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92E84" w14:textId="197453A0" w:rsidR="00234AA5" w:rsidRPr="00241D36" w:rsidRDefault="00234AA5" w:rsidP="00D15DC3">
      <w:pPr>
        <w:pStyle w:val="Heading1"/>
        <w:rPr>
          <w:rFonts w:ascii="Arial" w:hAnsi="Arial" w:cs="Arial"/>
          <w:b/>
          <w:bCs/>
          <w:sz w:val="44"/>
          <w:szCs w:val="44"/>
        </w:rPr>
      </w:pPr>
      <w:bookmarkStart w:id="0" w:name="_Toc121909709"/>
      <w:r w:rsidRPr="00241D36">
        <w:rPr>
          <w:rFonts w:ascii="Arial" w:hAnsi="Arial" w:cs="Arial"/>
          <w:b/>
          <w:bCs/>
        </w:rPr>
        <w:t xml:space="preserve">Supplementary </w:t>
      </w:r>
      <w:r w:rsidR="00BC26B0">
        <w:rPr>
          <w:rFonts w:ascii="Arial" w:hAnsi="Arial" w:cs="Arial"/>
          <w:b/>
          <w:bCs/>
        </w:rPr>
        <w:t>File</w:t>
      </w:r>
      <w:bookmarkEnd w:id="0"/>
    </w:p>
    <w:p w14:paraId="47F06F56" w14:textId="6DEC02E4" w:rsidR="00D15DC3" w:rsidRDefault="00D15DC3" w:rsidP="00A44266">
      <w:pPr>
        <w:snapToGrid w:val="0"/>
        <w:spacing w:line="240" w:lineRule="auto"/>
        <w:contextualSpacing/>
        <w:rPr>
          <w:rFonts w:ascii="Arial" w:hAnsi="Arial" w:cs="Arial"/>
          <w:b/>
          <w:bCs/>
        </w:rPr>
      </w:pPr>
    </w:p>
    <w:p w14:paraId="1237DE11" w14:textId="35D9E779" w:rsidR="00D15DC3" w:rsidRPr="00BD0EE0" w:rsidRDefault="009E0046" w:rsidP="00BD0EE0">
      <w:pPr>
        <w:pStyle w:val="Heading2"/>
      </w:pPr>
      <w:bookmarkStart w:id="1" w:name="_Toc121909710"/>
      <w:r w:rsidRPr="00BD0EE0">
        <w:t>Table of Contents</w:t>
      </w:r>
      <w:bookmarkEnd w:id="1"/>
    </w:p>
    <w:p w14:paraId="5058C33B" w14:textId="3B660316" w:rsidR="00707BE8" w:rsidRDefault="00A36B93">
      <w:pPr>
        <w:pStyle w:val="TOC1"/>
        <w:tabs>
          <w:tab w:val="right" w:leader="dot" w:pos="9016"/>
        </w:tabs>
        <w:rPr>
          <w:rFonts w:eastAsiaTheme="minorEastAsia"/>
          <w:noProof/>
          <w:sz w:val="24"/>
          <w:szCs w:val="24"/>
          <w:lang w:eastAsia="en-GB"/>
        </w:rPr>
      </w:pPr>
      <w:r w:rsidRPr="004A76F3">
        <w:rPr>
          <w:rFonts w:ascii="Arial" w:hAnsi="Arial" w:cs="Arial"/>
        </w:rPr>
        <w:fldChar w:fldCharType="begin"/>
      </w:r>
      <w:r w:rsidRPr="004A76F3">
        <w:rPr>
          <w:rFonts w:ascii="Arial" w:hAnsi="Arial" w:cs="Arial"/>
        </w:rPr>
        <w:instrText xml:space="preserve"> TOC \o "1-3" \u </w:instrText>
      </w:r>
      <w:r w:rsidRPr="004A76F3">
        <w:rPr>
          <w:rFonts w:ascii="Arial" w:hAnsi="Arial" w:cs="Arial"/>
        </w:rPr>
        <w:fldChar w:fldCharType="separate"/>
      </w:r>
      <w:r w:rsidR="00707BE8" w:rsidRPr="00A040D2">
        <w:rPr>
          <w:rFonts w:ascii="Arial" w:hAnsi="Arial" w:cs="Arial"/>
          <w:b/>
          <w:bCs/>
          <w:noProof/>
        </w:rPr>
        <w:t>Supplementary File</w:t>
      </w:r>
      <w:r w:rsidR="00707BE8">
        <w:rPr>
          <w:noProof/>
        </w:rPr>
        <w:tab/>
      </w:r>
      <w:r w:rsidR="00707BE8">
        <w:rPr>
          <w:noProof/>
        </w:rPr>
        <w:fldChar w:fldCharType="begin"/>
      </w:r>
      <w:r w:rsidR="00707BE8">
        <w:rPr>
          <w:noProof/>
        </w:rPr>
        <w:instrText xml:space="preserve"> PAGEREF _Toc121909709 \h </w:instrText>
      </w:r>
      <w:r w:rsidR="00707BE8">
        <w:rPr>
          <w:noProof/>
        </w:rPr>
      </w:r>
      <w:r w:rsidR="00707BE8">
        <w:rPr>
          <w:noProof/>
        </w:rPr>
        <w:fldChar w:fldCharType="separate"/>
      </w:r>
      <w:r w:rsidR="00707BE8">
        <w:rPr>
          <w:noProof/>
        </w:rPr>
        <w:t>1</w:t>
      </w:r>
      <w:r w:rsidR="00707BE8">
        <w:rPr>
          <w:noProof/>
        </w:rPr>
        <w:fldChar w:fldCharType="end"/>
      </w:r>
    </w:p>
    <w:p w14:paraId="78469036" w14:textId="779F01F8" w:rsidR="00707BE8" w:rsidRDefault="00707BE8">
      <w:pPr>
        <w:pStyle w:val="TOC2"/>
        <w:tabs>
          <w:tab w:val="right" w:leader="dot" w:pos="9016"/>
        </w:tabs>
        <w:rPr>
          <w:rFonts w:eastAsiaTheme="minorEastAsia"/>
          <w:noProof/>
          <w:sz w:val="24"/>
          <w:szCs w:val="24"/>
          <w:lang w:eastAsia="en-GB"/>
        </w:rPr>
      </w:pPr>
      <w:r>
        <w:rPr>
          <w:noProof/>
        </w:rPr>
        <w:t>Table of Contents</w:t>
      </w:r>
      <w:r>
        <w:rPr>
          <w:noProof/>
        </w:rPr>
        <w:tab/>
      </w:r>
      <w:r>
        <w:rPr>
          <w:noProof/>
        </w:rPr>
        <w:fldChar w:fldCharType="begin"/>
      </w:r>
      <w:r>
        <w:rPr>
          <w:noProof/>
        </w:rPr>
        <w:instrText xml:space="preserve"> PAGEREF _Toc121909710 \h </w:instrText>
      </w:r>
      <w:r>
        <w:rPr>
          <w:noProof/>
        </w:rPr>
      </w:r>
      <w:r>
        <w:rPr>
          <w:noProof/>
        </w:rPr>
        <w:fldChar w:fldCharType="separate"/>
      </w:r>
      <w:r>
        <w:rPr>
          <w:noProof/>
        </w:rPr>
        <w:t>1</w:t>
      </w:r>
      <w:r>
        <w:rPr>
          <w:noProof/>
        </w:rPr>
        <w:fldChar w:fldCharType="end"/>
      </w:r>
    </w:p>
    <w:p w14:paraId="46176965" w14:textId="1C0CDAAC" w:rsidR="00707BE8" w:rsidRDefault="00707BE8">
      <w:pPr>
        <w:pStyle w:val="TOC2"/>
        <w:tabs>
          <w:tab w:val="right" w:leader="dot" w:pos="9016"/>
        </w:tabs>
        <w:rPr>
          <w:rFonts w:eastAsiaTheme="minorEastAsia"/>
          <w:noProof/>
          <w:sz w:val="24"/>
          <w:szCs w:val="24"/>
          <w:lang w:eastAsia="en-GB"/>
        </w:rPr>
      </w:pPr>
      <w:r>
        <w:rPr>
          <w:noProof/>
        </w:rPr>
        <w:t>List of Investigators and UK Recruiting Centres</w:t>
      </w:r>
      <w:r>
        <w:rPr>
          <w:noProof/>
        </w:rPr>
        <w:tab/>
      </w:r>
      <w:r>
        <w:rPr>
          <w:noProof/>
        </w:rPr>
        <w:fldChar w:fldCharType="begin"/>
      </w:r>
      <w:r>
        <w:rPr>
          <w:noProof/>
        </w:rPr>
        <w:instrText xml:space="preserve"> PAGEREF _Toc121909711 \h </w:instrText>
      </w:r>
      <w:r>
        <w:rPr>
          <w:noProof/>
        </w:rPr>
      </w:r>
      <w:r>
        <w:rPr>
          <w:noProof/>
        </w:rPr>
        <w:fldChar w:fldCharType="separate"/>
      </w:r>
      <w:r>
        <w:rPr>
          <w:noProof/>
        </w:rPr>
        <w:t>5</w:t>
      </w:r>
      <w:r>
        <w:rPr>
          <w:noProof/>
        </w:rPr>
        <w:fldChar w:fldCharType="end"/>
      </w:r>
    </w:p>
    <w:p w14:paraId="0B331240" w14:textId="54FE9A07" w:rsidR="00707BE8" w:rsidRDefault="00707BE8">
      <w:pPr>
        <w:pStyle w:val="TOC2"/>
        <w:tabs>
          <w:tab w:val="right" w:leader="dot" w:pos="9016"/>
        </w:tabs>
        <w:rPr>
          <w:rFonts w:eastAsiaTheme="minorEastAsia"/>
          <w:noProof/>
          <w:sz w:val="24"/>
          <w:szCs w:val="24"/>
          <w:lang w:eastAsia="en-GB"/>
        </w:rPr>
      </w:pPr>
      <w:r>
        <w:rPr>
          <w:noProof/>
        </w:rPr>
        <w:t>Methods.</w:t>
      </w:r>
      <w:r>
        <w:rPr>
          <w:noProof/>
        </w:rPr>
        <w:tab/>
      </w:r>
      <w:r>
        <w:rPr>
          <w:noProof/>
        </w:rPr>
        <w:fldChar w:fldCharType="begin"/>
      </w:r>
      <w:r>
        <w:rPr>
          <w:noProof/>
        </w:rPr>
        <w:instrText xml:space="preserve"> PAGEREF _Toc121909712 \h </w:instrText>
      </w:r>
      <w:r>
        <w:rPr>
          <w:noProof/>
        </w:rPr>
      </w:r>
      <w:r>
        <w:rPr>
          <w:noProof/>
        </w:rPr>
        <w:fldChar w:fldCharType="separate"/>
      </w:r>
      <w:r>
        <w:rPr>
          <w:noProof/>
        </w:rPr>
        <w:t>5</w:t>
      </w:r>
      <w:r>
        <w:rPr>
          <w:noProof/>
        </w:rPr>
        <w:fldChar w:fldCharType="end"/>
      </w:r>
    </w:p>
    <w:p w14:paraId="414FCA76" w14:textId="59D2FDC8" w:rsidR="00707BE8" w:rsidRDefault="00707BE8">
      <w:pPr>
        <w:pStyle w:val="TOC3"/>
        <w:rPr>
          <w:rFonts w:eastAsiaTheme="minorEastAsia"/>
          <w:noProof/>
          <w:sz w:val="24"/>
          <w:szCs w:val="24"/>
          <w:lang w:eastAsia="en-GB"/>
        </w:rPr>
      </w:pPr>
      <w:r>
        <w:rPr>
          <w:noProof/>
        </w:rPr>
        <w:t>Anti-HLA Ab determination.</w:t>
      </w:r>
      <w:r>
        <w:rPr>
          <w:noProof/>
        </w:rPr>
        <w:tab/>
      </w:r>
      <w:r>
        <w:rPr>
          <w:noProof/>
        </w:rPr>
        <w:fldChar w:fldCharType="begin"/>
      </w:r>
      <w:r>
        <w:rPr>
          <w:noProof/>
        </w:rPr>
        <w:instrText xml:space="preserve"> PAGEREF _Toc121909713 \h </w:instrText>
      </w:r>
      <w:r>
        <w:rPr>
          <w:noProof/>
        </w:rPr>
      </w:r>
      <w:r>
        <w:rPr>
          <w:noProof/>
        </w:rPr>
        <w:fldChar w:fldCharType="separate"/>
      </w:r>
      <w:r>
        <w:rPr>
          <w:noProof/>
        </w:rPr>
        <w:t>5</w:t>
      </w:r>
      <w:r>
        <w:rPr>
          <w:noProof/>
        </w:rPr>
        <w:fldChar w:fldCharType="end"/>
      </w:r>
    </w:p>
    <w:p w14:paraId="2D16E6F6" w14:textId="200DD352" w:rsidR="00707BE8" w:rsidRDefault="00707BE8">
      <w:pPr>
        <w:pStyle w:val="TOC3"/>
        <w:rPr>
          <w:rFonts w:eastAsiaTheme="minorEastAsia"/>
          <w:noProof/>
          <w:sz w:val="24"/>
          <w:szCs w:val="24"/>
          <w:lang w:eastAsia="en-GB"/>
        </w:rPr>
      </w:pPr>
      <w:r>
        <w:rPr>
          <w:noProof/>
        </w:rPr>
        <w:t>Expansion of statistical methodology</w:t>
      </w:r>
      <w:r>
        <w:rPr>
          <w:noProof/>
        </w:rPr>
        <w:tab/>
      </w:r>
      <w:r>
        <w:rPr>
          <w:noProof/>
        </w:rPr>
        <w:fldChar w:fldCharType="begin"/>
      </w:r>
      <w:r>
        <w:rPr>
          <w:noProof/>
        </w:rPr>
        <w:instrText xml:space="preserve"> PAGEREF _Toc121909714 \h </w:instrText>
      </w:r>
      <w:r>
        <w:rPr>
          <w:noProof/>
        </w:rPr>
      </w:r>
      <w:r>
        <w:rPr>
          <w:noProof/>
        </w:rPr>
        <w:fldChar w:fldCharType="separate"/>
      </w:r>
      <w:r>
        <w:rPr>
          <w:noProof/>
        </w:rPr>
        <w:t>5</w:t>
      </w:r>
      <w:r>
        <w:rPr>
          <w:noProof/>
        </w:rPr>
        <w:fldChar w:fldCharType="end"/>
      </w:r>
    </w:p>
    <w:p w14:paraId="62A739E4" w14:textId="4E518CD2" w:rsidR="00707BE8" w:rsidRDefault="00707BE8">
      <w:pPr>
        <w:pStyle w:val="TOC3"/>
        <w:rPr>
          <w:rFonts w:eastAsiaTheme="minorEastAsia"/>
          <w:noProof/>
          <w:sz w:val="24"/>
          <w:szCs w:val="24"/>
          <w:lang w:eastAsia="en-GB"/>
        </w:rPr>
      </w:pPr>
      <w:r>
        <w:rPr>
          <w:noProof/>
        </w:rPr>
        <w:t>Primary outcome assumptions and sensitivity analyses</w:t>
      </w:r>
      <w:r>
        <w:rPr>
          <w:noProof/>
        </w:rPr>
        <w:tab/>
      </w:r>
      <w:r>
        <w:rPr>
          <w:noProof/>
        </w:rPr>
        <w:fldChar w:fldCharType="begin"/>
      </w:r>
      <w:r>
        <w:rPr>
          <w:noProof/>
        </w:rPr>
        <w:instrText xml:space="preserve"> PAGEREF _Toc121909715 \h </w:instrText>
      </w:r>
      <w:r>
        <w:rPr>
          <w:noProof/>
        </w:rPr>
      </w:r>
      <w:r>
        <w:rPr>
          <w:noProof/>
        </w:rPr>
        <w:fldChar w:fldCharType="separate"/>
      </w:r>
      <w:r>
        <w:rPr>
          <w:noProof/>
        </w:rPr>
        <w:t>5</w:t>
      </w:r>
      <w:r>
        <w:rPr>
          <w:noProof/>
        </w:rPr>
        <w:fldChar w:fldCharType="end"/>
      </w:r>
    </w:p>
    <w:p w14:paraId="4464C774" w14:textId="2DC1917A" w:rsidR="00707BE8" w:rsidRDefault="00707BE8">
      <w:pPr>
        <w:pStyle w:val="TOC3"/>
        <w:rPr>
          <w:rFonts w:eastAsiaTheme="minorEastAsia"/>
          <w:noProof/>
          <w:sz w:val="24"/>
          <w:szCs w:val="24"/>
          <w:lang w:eastAsia="en-GB"/>
        </w:rPr>
      </w:pPr>
      <w:r w:rsidRPr="00A040D2">
        <w:rPr>
          <w:noProof/>
        </w:rPr>
        <w:t>Adherence to drug therapy and perceptions of risk to the health of the transplant</w:t>
      </w:r>
      <w:r>
        <w:rPr>
          <w:noProof/>
        </w:rPr>
        <w:tab/>
      </w:r>
      <w:r>
        <w:rPr>
          <w:noProof/>
        </w:rPr>
        <w:fldChar w:fldCharType="begin"/>
      </w:r>
      <w:r>
        <w:rPr>
          <w:noProof/>
        </w:rPr>
        <w:instrText xml:space="preserve"> PAGEREF _Toc121909716 \h </w:instrText>
      </w:r>
      <w:r>
        <w:rPr>
          <w:noProof/>
        </w:rPr>
      </w:r>
      <w:r>
        <w:rPr>
          <w:noProof/>
        </w:rPr>
        <w:fldChar w:fldCharType="separate"/>
      </w:r>
      <w:r>
        <w:rPr>
          <w:noProof/>
        </w:rPr>
        <w:t>7</w:t>
      </w:r>
      <w:r>
        <w:rPr>
          <w:noProof/>
        </w:rPr>
        <w:fldChar w:fldCharType="end"/>
      </w:r>
    </w:p>
    <w:p w14:paraId="69448EFF" w14:textId="6734C285" w:rsidR="00707BE8" w:rsidRDefault="00707BE8">
      <w:pPr>
        <w:pStyle w:val="TOC3"/>
        <w:rPr>
          <w:rFonts w:eastAsiaTheme="minorEastAsia"/>
          <w:noProof/>
          <w:sz w:val="24"/>
          <w:szCs w:val="24"/>
          <w:lang w:eastAsia="en-GB"/>
        </w:rPr>
      </w:pPr>
      <w:r w:rsidRPr="00A040D2">
        <w:rPr>
          <w:rFonts w:cstheme="majorHAnsi"/>
          <w:noProof/>
        </w:rPr>
        <w:t>Changes to the analysis from the SAP following discussion of the results and peer review comments</w:t>
      </w:r>
      <w:r>
        <w:rPr>
          <w:noProof/>
        </w:rPr>
        <w:tab/>
      </w:r>
      <w:r>
        <w:rPr>
          <w:noProof/>
        </w:rPr>
        <w:fldChar w:fldCharType="begin"/>
      </w:r>
      <w:r>
        <w:rPr>
          <w:noProof/>
        </w:rPr>
        <w:instrText xml:space="preserve"> PAGEREF _Toc121909717 \h </w:instrText>
      </w:r>
      <w:r>
        <w:rPr>
          <w:noProof/>
        </w:rPr>
      </w:r>
      <w:r>
        <w:rPr>
          <w:noProof/>
        </w:rPr>
        <w:fldChar w:fldCharType="separate"/>
      </w:r>
      <w:r>
        <w:rPr>
          <w:noProof/>
        </w:rPr>
        <w:t>8</w:t>
      </w:r>
      <w:r>
        <w:rPr>
          <w:noProof/>
        </w:rPr>
        <w:fldChar w:fldCharType="end"/>
      </w:r>
    </w:p>
    <w:p w14:paraId="062EAF05" w14:textId="62812817" w:rsidR="00707BE8" w:rsidRDefault="00707BE8">
      <w:pPr>
        <w:pStyle w:val="TOC2"/>
        <w:tabs>
          <w:tab w:val="right" w:leader="dot" w:pos="9016"/>
        </w:tabs>
        <w:rPr>
          <w:rFonts w:eastAsiaTheme="minorEastAsia"/>
          <w:noProof/>
          <w:sz w:val="24"/>
          <w:szCs w:val="24"/>
          <w:lang w:eastAsia="en-GB"/>
        </w:rPr>
      </w:pPr>
      <w:r>
        <w:rPr>
          <w:noProof/>
        </w:rPr>
        <w:t>Results:</w:t>
      </w:r>
      <w:r>
        <w:rPr>
          <w:noProof/>
        </w:rPr>
        <w:tab/>
      </w:r>
      <w:r>
        <w:rPr>
          <w:noProof/>
        </w:rPr>
        <w:fldChar w:fldCharType="begin"/>
      </w:r>
      <w:r>
        <w:rPr>
          <w:noProof/>
        </w:rPr>
        <w:instrText xml:space="preserve"> PAGEREF _Toc121909718 \h </w:instrText>
      </w:r>
      <w:r>
        <w:rPr>
          <w:noProof/>
        </w:rPr>
      </w:r>
      <w:r>
        <w:rPr>
          <w:noProof/>
        </w:rPr>
        <w:fldChar w:fldCharType="separate"/>
      </w:r>
      <w:r>
        <w:rPr>
          <w:noProof/>
        </w:rPr>
        <w:t>8</w:t>
      </w:r>
      <w:r>
        <w:rPr>
          <w:noProof/>
        </w:rPr>
        <w:fldChar w:fldCharType="end"/>
      </w:r>
    </w:p>
    <w:p w14:paraId="47FD1940" w14:textId="078A1598" w:rsidR="00707BE8" w:rsidRDefault="00707BE8">
      <w:pPr>
        <w:pStyle w:val="TOC3"/>
        <w:rPr>
          <w:rFonts w:eastAsiaTheme="minorEastAsia"/>
          <w:noProof/>
          <w:sz w:val="24"/>
          <w:szCs w:val="24"/>
          <w:lang w:eastAsia="en-GB"/>
        </w:rPr>
      </w:pPr>
      <w:r>
        <w:rPr>
          <w:noProof/>
        </w:rPr>
        <w:t>Protocol violations/Randomisation errors</w:t>
      </w:r>
      <w:r>
        <w:rPr>
          <w:noProof/>
        </w:rPr>
        <w:tab/>
      </w:r>
      <w:r>
        <w:rPr>
          <w:noProof/>
        </w:rPr>
        <w:fldChar w:fldCharType="begin"/>
      </w:r>
      <w:r>
        <w:rPr>
          <w:noProof/>
        </w:rPr>
        <w:instrText xml:space="preserve"> PAGEREF _Toc121909719 \h </w:instrText>
      </w:r>
      <w:r>
        <w:rPr>
          <w:noProof/>
        </w:rPr>
      </w:r>
      <w:r>
        <w:rPr>
          <w:noProof/>
        </w:rPr>
        <w:fldChar w:fldCharType="separate"/>
      </w:r>
      <w:r>
        <w:rPr>
          <w:noProof/>
        </w:rPr>
        <w:t>8</w:t>
      </w:r>
      <w:r>
        <w:rPr>
          <w:noProof/>
        </w:rPr>
        <w:fldChar w:fldCharType="end"/>
      </w:r>
    </w:p>
    <w:p w14:paraId="53BE7C33" w14:textId="53A0E1D9" w:rsidR="00707BE8" w:rsidRDefault="00707BE8">
      <w:pPr>
        <w:pStyle w:val="TOC3"/>
        <w:rPr>
          <w:rFonts w:eastAsiaTheme="minorEastAsia"/>
          <w:noProof/>
          <w:sz w:val="24"/>
          <w:szCs w:val="24"/>
          <w:lang w:eastAsia="en-GB"/>
        </w:rPr>
      </w:pPr>
      <w:r w:rsidRPr="00A040D2">
        <w:rPr>
          <w:noProof/>
          <w:bdr w:val="nil"/>
        </w:rPr>
        <w:t>Adverse events and changes in DSA</w:t>
      </w:r>
      <w:r>
        <w:rPr>
          <w:noProof/>
        </w:rPr>
        <w:tab/>
      </w:r>
      <w:r>
        <w:rPr>
          <w:noProof/>
        </w:rPr>
        <w:fldChar w:fldCharType="begin"/>
      </w:r>
      <w:r>
        <w:rPr>
          <w:noProof/>
        </w:rPr>
        <w:instrText xml:space="preserve"> PAGEREF _Toc121909720 \h </w:instrText>
      </w:r>
      <w:r>
        <w:rPr>
          <w:noProof/>
        </w:rPr>
      </w:r>
      <w:r>
        <w:rPr>
          <w:noProof/>
        </w:rPr>
        <w:fldChar w:fldCharType="separate"/>
      </w:r>
      <w:r>
        <w:rPr>
          <w:noProof/>
        </w:rPr>
        <w:t>9</w:t>
      </w:r>
      <w:r>
        <w:rPr>
          <w:noProof/>
        </w:rPr>
        <w:fldChar w:fldCharType="end"/>
      </w:r>
    </w:p>
    <w:p w14:paraId="4DAF8319" w14:textId="680ACAFB" w:rsidR="00707BE8" w:rsidRDefault="00707BE8">
      <w:pPr>
        <w:pStyle w:val="TOC3"/>
        <w:rPr>
          <w:rFonts w:eastAsiaTheme="minorEastAsia"/>
          <w:noProof/>
          <w:sz w:val="24"/>
          <w:szCs w:val="24"/>
          <w:lang w:eastAsia="en-GB"/>
        </w:rPr>
      </w:pPr>
      <w:r w:rsidRPr="00A040D2">
        <w:rPr>
          <w:rFonts w:asciiTheme="majorHAnsi" w:eastAsiaTheme="majorEastAsia" w:hAnsiTheme="majorHAnsi" w:cstheme="majorHAnsi"/>
          <w:bCs/>
          <w:noProof/>
        </w:rPr>
        <w:t>Proportional hazards assumption for primary outcome</w:t>
      </w:r>
      <w:r>
        <w:rPr>
          <w:noProof/>
        </w:rPr>
        <w:tab/>
      </w:r>
      <w:r>
        <w:rPr>
          <w:noProof/>
        </w:rPr>
        <w:fldChar w:fldCharType="begin"/>
      </w:r>
      <w:r>
        <w:rPr>
          <w:noProof/>
        </w:rPr>
        <w:instrText xml:space="preserve"> PAGEREF _Toc121909721 \h </w:instrText>
      </w:r>
      <w:r>
        <w:rPr>
          <w:noProof/>
        </w:rPr>
      </w:r>
      <w:r>
        <w:rPr>
          <w:noProof/>
        </w:rPr>
        <w:fldChar w:fldCharType="separate"/>
      </w:r>
      <w:r>
        <w:rPr>
          <w:noProof/>
        </w:rPr>
        <w:t>10</w:t>
      </w:r>
      <w:r>
        <w:rPr>
          <w:noProof/>
        </w:rPr>
        <w:fldChar w:fldCharType="end"/>
      </w:r>
    </w:p>
    <w:p w14:paraId="6145365D" w14:textId="45ED93C6" w:rsidR="00707BE8" w:rsidRDefault="00707BE8">
      <w:pPr>
        <w:pStyle w:val="TOC2"/>
        <w:tabs>
          <w:tab w:val="right" w:leader="dot" w:pos="9016"/>
        </w:tabs>
        <w:rPr>
          <w:rFonts w:eastAsiaTheme="minorEastAsia"/>
          <w:noProof/>
          <w:sz w:val="24"/>
          <w:szCs w:val="24"/>
          <w:lang w:eastAsia="en-GB"/>
        </w:rPr>
      </w:pPr>
      <w:r w:rsidRPr="00A040D2">
        <w:rPr>
          <w:noProof/>
          <w:bdr w:val="nil"/>
        </w:rPr>
        <w:t>References</w:t>
      </w:r>
      <w:r>
        <w:rPr>
          <w:noProof/>
        </w:rPr>
        <w:tab/>
      </w:r>
      <w:r>
        <w:rPr>
          <w:noProof/>
        </w:rPr>
        <w:fldChar w:fldCharType="begin"/>
      </w:r>
      <w:r>
        <w:rPr>
          <w:noProof/>
        </w:rPr>
        <w:instrText xml:space="preserve"> PAGEREF _Toc121909722 \h </w:instrText>
      </w:r>
      <w:r>
        <w:rPr>
          <w:noProof/>
        </w:rPr>
      </w:r>
      <w:r>
        <w:rPr>
          <w:noProof/>
        </w:rPr>
        <w:fldChar w:fldCharType="separate"/>
      </w:r>
      <w:r>
        <w:rPr>
          <w:noProof/>
        </w:rPr>
        <w:t>10</w:t>
      </w:r>
      <w:r>
        <w:rPr>
          <w:noProof/>
        </w:rPr>
        <w:fldChar w:fldCharType="end"/>
      </w:r>
    </w:p>
    <w:p w14:paraId="37437749" w14:textId="3F6710B7" w:rsidR="00707BE8" w:rsidRDefault="00707BE8">
      <w:pPr>
        <w:pStyle w:val="TOC2"/>
        <w:tabs>
          <w:tab w:val="right" w:leader="dot" w:pos="9016"/>
        </w:tabs>
        <w:rPr>
          <w:rFonts w:eastAsiaTheme="minorEastAsia"/>
          <w:noProof/>
          <w:sz w:val="24"/>
          <w:szCs w:val="24"/>
          <w:lang w:eastAsia="en-GB"/>
        </w:rPr>
      </w:pPr>
      <w:r w:rsidRPr="00A040D2">
        <w:rPr>
          <w:rFonts w:ascii="Arial" w:hAnsi="Arial" w:cs="Arial"/>
          <w:noProof/>
          <w:u w:val="single"/>
        </w:rPr>
        <w:t>Supplementary Figures</w:t>
      </w:r>
      <w:r>
        <w:rPr>
          <w:noProof/>
        </w:rPr>
        <w:tab/>
      </w:r>
      <w:r>
        <w:rPr>
          <w:noProof/>
        </w:rPr>
        <w:fldChar w:fldCharType="begin"/>
      </w:r>
      <w:r>
        <w:rPr>
          <w:noProof/>
        </w:rPr>
        <w:instrText xml:space="preserve"> PAGEREF _Toc121909723 \h </w:instrText>
      </w:r>
      <w:r>
        <w:rPr>
          <w:noProof/>
        </w:rPr>
      </w:r>
      <w:r>
        <w:rPr>
          <w:noProof/>
        </w:rPr>
        <w:fldChar w:fldCharType="separate"/>
      </w:r>
      <w:r>
        <w:rPr>
          <w:noProof/>
        </w:rPr>
        <w:t>11</w:t>
      </w:r>
      <w:r>
        <w:rPr>
          <w:noProof/>
        </w:rPr>
        <w:fldChar w:fldCharType="end"/>
      </w:r>
    </w:p>
    <w:p w14:paraId="3243FBC5" w14:textId="1094CD11" w:rsidR="00707BE8" w:rsidRDefault="00707BE8">
      <w:pPr>
        <w:pStyle w:val="TOC3"/>
        <w:rPr>
          <w:rFonts w:eastAsiaTheme="minorEastAsia"/>
          <w:noProof/>
          <w:sz w:val="24"/>
          <w:szCs w:val="24"/>
          <w:lang w:eastAsia="en-GB"/>
        </w:rPr>
      </w:pPr>
      <w:r w:rsidRPr="00A040D2">
        <w:rPr>
          <w:rFonts w:ascii="Arial" w:hAnsi="Arial" w:cs="Arial"/>
          <w:noProof/>
          <w:u w:val="single"/>
        </w:rPr>
        <w:t>Supplementary Figure 1:</w:t>
      </w:r>
      <w:r w:rsidRPr="00A040D2">
        <w:rPr>
          <w:rFonts w:ascii="Arial" w:hAnsi="Arial" w:cs="Arial"/>
          <w:noProof/>
        </w:rPr>
        <w:t xml:space="preserve"> OuTSMART trial design</w:t>
      </w:r>
      <w:r>
        <w:rPr>
          <w:noProof/>
        </w:rPr>
        <w:tab/>
      </w:r>
      <w:r>
        <w:rPr>
          <w:noProof/>
        </w:rPr>
        <w:fldChar w:fldCharType="begin"/>
      </w:r>
      <w:r>
        <w:rPr>
          <w:noProof/>
        </w:rPr>
        <w:instrText xml:space="preserve"> PAGEREF _Toc121909724 \h </w:instrText>
      </w:r>
      <w:r>
        <w:rPr>
          <w:noProof/>
        </w:rPr>
      </w:r>
      <w:r>
        <w:rPr>
          <w:noProof/>
        </w:rPr>
        <w:fldChar w:fldCharType="separate"/>
      </w:r>
      <w:r>
        <w:rPr>
          <w:noProof/>
        </w:rPr>
        <w:t>11</w:t>
      </w:r>
      <w:r>
        <w:rPr>
          <w:noProof/>
        </w:rPr>
        <w:fldChar w:fldCharType="end"/>
      </w:r>
    </w:p>
    <w:p w14:paraId="751E7CA5" w14:textId="48D4E473" w:rsidR="00707BE8" w:rsidRDefault="00707BE8">
      <w:pPr>
        <w:pStyle w:val="TOC3"/>
        <w:rPr>
          <w:rFonts w:eastAsiaTheme="minorEastAsia"/>
          <w:noProof/>
          <w:sz w:val="24"/>
          <w:szCs w:val="24"/>
          <w:lang w:eastAsia="en-GB"/>
        </w:rPr>
      </w:pPr>
      <w:r w:rsidRPr="00A040D2">
        <w:rPr>
          <w:rFonts w:ascii="Arial" w:hAnsi="Arial" w:cs="Arial"/>
          <w:noProof/>
          <w:u w:val="single"/>
        </w:rPr>
        <w:t xml:space="preserve">Supplementary Figure 2: </w:t>
      </w:r>
      <w:r w:rsidRPr="00A040D2">
        <w:rPr>
          <w:rFonts w:ascii="Arial" w:hAnsi="Arial" w:cs="Arial"/>
          <w:noProof/>
        </w:rPr>
        <w:t>Diagram to help explain how endpoints were assessed</w:t>
      </w:r>
      <w:r>
        <w:rPr>
          <w:noProof/>
        </w:rPr>
        <w:tab/>
      </w:r>
      <w:r>
        <w:rPr>
          <w:noProof/>
        </w:rPr>
        <w:fldChar w:fldCharType="begin"/>
      </w:r>
      <w:r>
        <w:rPr>
          <w:noProof/>
        </w:rPr>
        <w:instrText xml:space="preserve"> PAGEREF _Toc121909725 \h </w:instrText>
      </w:r>
      <w:r>
        <w:rPr>
          <w:noProof/>
        </w:rPr>
      </w:r>
      <w:r>
        <w:rPr>
          <w:noProof/>
        </w:rPr>
        <w:fldChar w:fldCharType="separate"/>
      </w:r>
      <w:r>
        <w:rPr>
          <w:noProof/>
        </w:rPr>
        <w:t>12</w:t>
      </w:r>
      <w:r>
        <w:rPr>
          <w:noProof/>
        </w:rPr>
        <w:fldChar w:fldCharType="end"/>
      </w:r>
    </w:p>
    <w:p w14:paraId="2DA0BC1B" w14:textId="37D1DA25" w:rsidR="00707BE8" w:rsidRDefault="00707BE8">
      <w:pPr>
        <w:pStyle w:val="TOC3"/>
        <w:rPr>
          <w:rFonts w:eastAsiaTheme="minorEastAsia"/>
          <w:noProof/>
          <w:sz w:val="24"/>
          <w:szCs w:val="24"/>
          <w:lang w:eastAsia="en-GB"/>
        </w:rPr>
      </w:pPr>
      <w:r w:rsidRPr="00A040D2">
        <w:rPr>
          <w:rFonts w:ascii="Arial" w:hAnsi="Arial" w:cs="Arial"/>
          <w:noProof/>
          <w:u w:val="single"/>
        </w:rPr>
        <w:t xml:space="preserve">Supplementary Figure 3: </w:t>
      </w:r>
      <w:r w:rsidRPr="00A040D2">
        <w:rPr>
          <w:rFonts w:ascii="Arial" w:hAnsi="Arial" w:cs="Arial"/>
          <w:noProof/>
        </w:rPr>
        <w:t>Adverse events recorded in the HLA Ab+ groups</w:t>
      </w:r>
      <w:r>
        <w:rPr>
          <w:noProof/>
        </w:rPr>
        <w:tab/>
      </w:r>
      <w:r>
        <w:rPr>
          <w:noProof/>
        </w:rPr>
        <w:fldChar w:fldCharType="begin"/>
      </w:r>
      <w:r>
        <w:rPr>
          <w:noProof/>
        </w:rPr>
        <w:instrText xml:space="preserve"> PAGEREF _Toc121909726 \h </w:instrText>
      </w:r>
      <w:r>
        <w:rPr>
          <w:noProof/>
        </w:rPr>
      </w:r>
      <w:r>
        <w:rPr>
          <w:noProof/>
        </w:rPr>
        <w:fldChar w:fldCharType="separate"/>
      </w:r>
      <w:r>
        <w:rPr>
          <w:noProof/>
        </w:rPr>
        <w:t>13</w:t>
      </w:r>
      <w:r>
        <w:rPr>
          <w:noProof/>
        </w:rPr>
        <w:fldChar w:fldCharType="end"/>
      </w:r>
    </w:p>
    <w:p w14:paraId="0A5D1C85" w14:textId="25964A71" w:rsidR="00707BE8" w:rsidRDefault="00707BE8">
      <w:pPr>
        <w:pStyle w:val="TOC2"/>
        <w:tabs>
          <w:tab w:val="right" w:leader="dot" w:pos="9016"/>
        </w:tabs>
        <w:rPr>
          <w:rFonts w:eastAsiaTheme="minorEastAsia"/>
          <w:noProof/>
          <w:sz w:val="24"/>
          <w:szCs w:val="24"/>
          <w:lang w:eastAsia="en-GB"/>
        </w:rPr>
      </w:pPr>
      <w:r w:rsidRPr="00A040D2">
        <w:rPr>
          <w:rFonts w:ascii="Arial" w:hAnsi="Arial" w:cs="Arial"/>
          <w:noProof/>
          <w:u w:val="single"/>
        </w:rPr>
        <w:t>Supplementary Tables</w:t>
      </w:r>
      <w:r>
        <w:rPr>
          <w:noProof/>
        </w:rPr>
        <w:tab/>
      </w:r>
      <w:r>
        <w:rPr>
          <w:noProof/>
        </w:rPr>
        <w:fldChar w:fldCharType="begin"/>
      </w:r>
      <w:r>
        <w:rPr>
          <w:noProof/>
        </w:rPr>
        <w:instrText xml:space="preserve"> PAGEREF _Toc121909727 \h </w:instrText>
      </w:r>
      <w:r>
        <w:rPr>
          <w:noProof/>
        </w:rPr>
      </w:r>
      <w:r>
        <w:rPr>
          <w:noProof/>
        </w:rPr>
        <w:fldChar w:fldCharType="separate"/>
      </w:r>
      <w:r>
        <w:rPr>
          <w:noProof/>
        </w:rPr>
        <w:t>14</w:t>
      </w:r>
      <w:r>
        <w:rPr>
          <w:noProof/>
        </w:rPr>
        <w:fldChar w:fldCharType="end"/>
      </w:r>
    </w:p>
    <w:p w14:paraId="311BE373" w14:textId="68484F12" w:rsidR="00707BE8" w:rsidRDefault="00707BE8">
      <w:pPr>
        <w:pStyle w:val="TOC3"/>
        <w:rPr>
          <w:rFonts w:eastAsiaTheme="minorEastAsia"/>
          <w:noProof/>
          <w:sz w:val="24"/>
          <w:szCs w:val="24"/>
          <w:lang w:eastAsia="en-GB"/>
        </w:rPr>
      </w:pPr>
      <w:r>
        <w:rPr>
          <w:noProof/>
        </w:rPr>
        <w:t>Supplementary Table 1</w:t>
      </w:r>
      <w:r>
        <w:rPr>
          <w:noProof/>
        </w:rPr>
        <w:tab/>
      </w:r>
      <w:r>
        <w:rPr>
          <w:noProof/>
        </w:rPr>
        <w:fldChar w:fldCharType="begin"/>
      </w:r>
      <w:r>
        <w:rPr>
          <w:noProof/>
        </w:rPr>
        <w:instrText xml:space="preserve"> PAGEREF _Toc121909728 \h </w:instrText>
      </w:r>
      <w:r>
        <w:rPr>
          <w:noProof/>
        </w:rPr>
      </w:r>
      <w:r>
        <w:rPr>
          <w:noProof/>
        </w:rPr>
        <w:fldChar w:fldCharType="separate"/>
      </w:r>
      <w:r>
        <w:rPr>
          <w:noProof/>
        </w:rPr>
        <w:t>14</w:t>
      </w:r>
      <w:r>
        <w:rPr>
          <w:noProof/>
        </w:rPr>
        <w:fldChar w:fldCharType="end"/>
      </w:r>
    </w:p>
    <w:p w14:paraId="15F1710C" w14:textId="3EADA5F1" w:rsidR="00707BE8" w:rsidRDefault="00707BE8">
      <w:pPr>
        <w:pStyle w:val="TOC3"/>
        <w:rPr>
          <w:rFonts w:eastAsiaTheme="minorEastAsia"/>
          <w:noProof/>
          <w:sz w:val="24"/>
          <w:szCs w:val="24"/>
          <w:lang w:eastAsia="en-GB"/>
        </w:rPr>
      </w:pPr>
      <w:r w:rsidRPr="00A040D2">
        <w:rPr>
          <w:rFonts w:ascii="Arial" w:eastAsia="Times New Roman" w:hAnsi="Arial" w:cs="Arial"/>
          <w:noProof/>
          <w:color w:val="000000"/>
          <w:u w:val="single"/>
          <w:lang w:eastAsia="en-GB"/>
        </w:rPr>
        <w:t>Supplementary Table 2</w:t>
      </w:r>
      <w:r>
        <w:rPr>
          <w:noProof/>
        </w:rPr>
        <w:tab/>
      </w:r>
      <w:r>
        <w:rPr>
          <w:noProof/>
        </w:rPr>
        <w:fldChar w:fldCharType="begin"/>
      </w:r>
      <w:r>
        <w:rPr>
          <w:noProof/>
        </w:rPr>
        <w:instrText xml:space="preserve"> PAGEREF _Toc121909729 \h </w:instrText>
      </w:r>
      <w:r>
        <w:rPr>
          <w:noProof/>
        </w:rPr>
      </w:r>
      <w:r>
        <w:rPr>
          <w:noProof/>
        </w:rPr>
        <w:fldChar w:fldCharType="separate"/>
      </w:r>
      <w:r>
        <w:rPr>
          <w:noProof/>
        </w:rPr>
        <w:t>15</w:t>
      </w:r>
      <w:r>
        <w:rPr>
          <w:noProof/>
        </w:rPr>
        <w:fldChar w:fldCharType="end"/>
      </w:r>
    </w:p>
    <w:p w14:paraId="6A8A8AA9" w14:textId="32EE0A94" w:rsidR="00707BE8" w:rsidRDefault="00707BE8">
      <w:pPr>
        <w:pStyle w:val="TOC3"/>
        <w:rPr>
          <w:rFonts w:eastAsiaTheme="minorEastAsia"/>
          <w:noProof/>
          <w:sz w:val="24"/>
          <w:szCs w:val="24"/>
          <w:lang w:eastAsia="en-GB"/>
        </w:rPr>
      </w:pPr>
      <w:r w:rsidRPr="00A040D2">
        <w:rPr>
          <w:rFonts w:ascii="Arial" w:hAnsi="Arial" w:cs="Arial"/>
          <w:noProof/>
          <w:u w:val="single"/>
        </w:rPr>
        <w:t>Supplementary Table 3:</w:t>
      </w:r>
      <w:r>
        <w:rPr>
          <w:noProof/>
        </w:rPr>
        <w:tab/>
      </w:r>
      <w:r>
        <w:rPr>
          <w:noProof/>
        </w:rPr>
        <w:fldChar w:fldCharType="begin"/>
      </w:r>
      <w:r>
        <w:rPr>
          <w:noProof/>
        </w:rPr>
        <w:instrText xml:space="preserve"> PAGEREF _Toc121909730 \h </w:instrText>
      </w:r>
      <w:r>
        <w:rPr>
          <w:noProof/>
        </w:rPr>
      </w:r>
      <w:r>
        <w:rPr>
          <w:noProof/>
        </w:rPr>
        <w:fldChar w:fldCharType="separate"/>
      </w:r>
      <w:r>
        <w:rPr>
          <w:noProof/>
        </w:rPr>
        <w:t>16</w:t>
      </w:r>
      <w:r>
        <w:rPr>
          <w:noProof/>
        </w:rPr>
        <w:fldChar w:fldCharType="end"/>
      </w:r>
    </w:p>
    <w:p w14:paraId="5FF6632A" w14:textId="68EF098A" w:rsidR="00707BE8" w:rsidRDefault="00707BE8">
      <w:pPr>
        <w:pStyle w:val="TOC3"/>
        <w:rPr>
          <w:rFonts w:eastAsiaTheme="minorEastAsia"/>
          <w:noProof/>
          <w:sz w:val="24"/>
          <w:szCs w:val="24"/>
          <w:lang w:eastAsia="en-GB"/>
        </w:rPr>
      </w:pPr>
      <w:r w:rsidRPr="00A040D2">
        <w:rPr>
          <w:rFonts w:ascii="Arial" w:hAnsi="Arial" w:cs="Arial"/>
          <w:noProof/>
        </w:rPr>
        <w:t>Supplementary Table 4:</w:t>
      </w:r>
      <w:r>
        <w:rPr>
          <w:noProof/>
        </w:rPr>
        <w:tab/>
      </w:r>
      <w:r>
        <w:rPr>
          <w:noProof/>
        </w:rPr>
        <w:fldChar w:fldCharType="begin"/>
      </w:r>
      <w:r>
        <w:rPr>
          <w:noProof/>
        </w:rPr>
        <w:instrText xml:space="preserve"> PAGEREF _Toc121909731 \h </w:instrText>
      </w:r>
      <w:r>
        <w:rPr>
          <w:noProof/>
        </w:rPr>
      </w:r>
      <w:r>
        <w:rPr>
          <w:noProof/>
        </w:rPr>
        <w:fldChar w:fldCharType="separate"/>
      </w:r>
      <w:r>
        <w:rPr>
          <w:noProof/>
        </w:rPr>
        <w:t>17</w:t>
      </w:r>
      <w:r>
        <w:rPr>
          <w:noProof/>
        </w:rPr>
        <w:fldChar w:fldCharType="end"/>
      </w:r>
    </w:p>
    <w:p w14:paraId="0A472012" w14:textId="355C1AA0" w:rsidR="00707BE8" w:rsidRDefault="00707BE8">
      <w:pPr>
        <w:pStyle w:val="TOC3"/>
        <w:rPr>
          <w:rFonts w:eastAsiaTheme="minorEastAsia"/>
          <w:noProof/>
          <w:sz w:val="24"/>
          <w:szCs w:val="24"/>
          <w:lang w:eastAsia="en-GB"/>
        </w:rPr>
      </w:pPr>
      <w:r w:rsidRPr="00A040D2">
        <w:rPr>
          <w:rFonts w:ascii="Arial" w:hAnsi="Arial" w:cs="Arial"/>
          <w:noProof/>
          <w:u w:val="single"/>
        </w:rPr>
        <w:t>Supplementary table 5:</w:t>
      </w:r>
      <w:r>
        <w:rPr>
          <w:noProof/>
        </w:rPr>
        <w:tab/>
      </w:r>
      <w:r>
        <w:rPr>
          <w:noProof/>
        </w:rPr>
        <w:fldChar w:fldCharType="begin"/>
      </w:r>
      <w:r>
        <w:rPr>
          <w:noProof/>
        </w:rPr>
        <w:instrText xml:space="preserve"> PAGEREF _Toc121909732 \h </w:instrText>
      </w:r>
      <w:r>
        <w:rPr>
          <w:noProof/>
        </w:rPr>
      </w:r>
      <w:r>
        <w:rPr>
          <w:noProof/>
        </w:rPr>
        <w:fldChar w:fldCharType="separate"/>
      </w:r>
      <w:r>
        <w:rPr>
          <w:noProof/>
        </w:rPr>
        <w:t>18</w:t>
      </w:r>
      <w:r>
        <w:rPr>
          <w:noProof/>
        </w:rPr>
        <w:fldChar w:fldCharType="end"/>
      </w:r>
    </w:p>
    <w:p w14:paraId="65A615E6" w14:textId="44364FEB" w:rsidR="00707BE8" w:rsidRDefault="00707BE8">
      <w:pPr>
        <w:pStyle w:val="TOC3"/>
        <w:rPr>
          <w:rFonts w:eastAsiaTheme="minorEastAsia"/>
          <w:noProof/>
          <w:sz w:val="24"/>
          <w:szCs w:val="24"/>
          <w:lang w:eastAsia="en-GB"/>
        </w:rPr>
      </w:pPr>
      <w:r w:rsidRPr="00A040D2">
        <w:rPr>
          <w:rFonts w:ascii="Arial" w:hAnsi="Arial" w:cs="Arial"/>
          <w:noProof/>
          <w:u w:val="single"/>
        </w:rPr>
        <w:t>Supplementary table 6:</w:t>
      </w:r>
      <w:r>
        <w:rPr>
          <w:noProof/>
        </w:rPr>
        <w:tab/>
      </w:r>
      <w:r>
        <w:rPr>
          <w:noProof/>
        </w:rPr>
        <w:fldChar w:fldCharType="begin"/>
      </w:r>
      <w:r>
        <w:rPr>
          <w:noProof/>
        </w:rPr>
        <w:instrText xml:space="preserve"> PAGEREF _Toc121909733 \h </w:instrText>
      </w:r>
      <w:r>
        <w:rPr>
          <w:noProof/>
        </w:rPr>
      </w:r>
      <w:r>
        <w:rPr>
          <w:noProof/>
        </w:rPr>
        <w:fldChar w:fldCharType="separate"/>
      </w:r>
      <w:r>
        <w:rPr>
          <w:noProof/>
        </w:rPr>
        <w:t>19</w:t>
      </w:r>
      <w:r>
        <w:rPr>
          <w:noProof/>
        </w:rPr>
        <w:fldChar w:fldCharType="end"/>
      </w:r>
    </w:p>
    <w:p w14:paraId="2FA2FDB6" w14:textId="09EBD9EE" w:rsidR="00707BE8" w:rsidRDefault="00707BE8">
      <w:pPr>
        <w:pStyle w:val="TOC3"/>
        <w:rPr>
          <w:rFonts w:eastAsiaTheme="minorEastAsia"/>
          <w:noProof/>
          <w:sz w:val="24"/>
          <w:szCs w:val="24"/>
          <w:lang w:eastAsia="en-GB"/>
        </w:rPr>
      </w:pPr>
      <w:r w:rsidRPr="00A040D2">
        <w:rPr>
          <w:rFonts w:ascii="Arial" w:hAnsi="Arial" w:cs="Arial"/>
          <w:noProof/>
          <w:u w:val="single"/>
        </w:rPr>
        <w:t>Supplementary Table 7:</w:t>
      </w:r>
      <w:r>
        <w:rPr>
          <w:noProof/>
        </w:rPr>
        <w:tab/>
      </w:r>
      <w:r>
        <w:rPr>
          <w:noProof/>
        </w:rPr>
        <w:fldChar w:fldCharType="begin"/>
      </w:r>
      <w:r>
        <w:rPr>
          <w:noProof/>
        </w:rPr>
        <w:instrText xml:space="preserve"> PAGEREF _Toc121909734 \h </w:instrText>
      </w:r>
      <w:r>
        <w:rPr>
          <w:noProof/>
        </w:rPr>
      </w:r>
      <w:r>
        <w:rPr>
          <w:noProof/>
        </w:rPr>
        <w:fldChar w:fldCharType="separate"/>
      </w:r>
      <w:r>
        <w:rPr>
          <w:noProof/>
        </w:rPr>
        <w:t>20</w:t>
      </w:r>
      <w:r>
        <w:rPr>
          <w:noProof/>
        </w:rPr>
        <w:fldChar w:fldCharType="end"/>
      </w:r>
    </w:p>
    <w:p w14:paraId="1AEBEAD6" w14:textId="432EF8FC" w:rsidR="00707BE8" w:rsidRDefault="00707BE8">
      <w:pPr>
        <w:pStyle w:val="TOC3"/>
        <w:rPr>
          <w:rFonts w:eastAsiaTheme="minorEastAsia"/>
          <w:noProof/>
          <w:sz w:val="24"/>
          <w:szCs w:val="24"/>
          <w:lang w:eastAsia="en-GB"/>
        </w:rPr>
      </w:pPr>
      <w:r w:rsidRPr="00A040D2">
        <w:rPr>
          <w:rFonts w:ascii="Arial" w:hAnsi="Arial" w:cs="Arial"/>
          <w:noProof/>
          <w:u w:val="single"/>
        </w:rPr>
        <w:t>Supplementary Table 8:</w:t>
      </w:r>
      <w:r>
        <w:rPr>
          <w:noProof/>
        </w:rPr>
        <w:tab/>
      </w:r>
      <w:r>
        <w:rPr>
          <w:noProof/>
        </w:rPr>
        <w:fldChar w:fldCharType="begin"/>
      </w:r>
      <w:r>
        <w:rPr>
          <w:noProof/>
        </w:rPr>
        <w:instrText xml:space="preserve"> PAGEREF _Toc121909735 \h </w:instrText>
      </w:r>
      <w:r>
        <w:rPr>
          <w:noProof/>
        </w:rPr>
      </w:r>
      <w:r>
        <w:rPr>
          <w:noProof/>
        </w:rPr>
        <w:fldChar w:fldCharType="separate"/>
      </w:r>
      <w:r>
        <w:rPr>
          <w:noProof/>
        </w:rPr>
        <w:t>21</w:t>
      </w:r>
      <w:r>
        <w:rPr>
          <w:noProof/>
        </w:rPr>
        <w:fldChar w:fldCharType="end"/>
      </w:r>
    </w:p>
    <w:p w14:paraId="679CE4AA" w14:textId="05CA2611" w:rsidR="00707BE8" w:rsidRDefault="00707BE8">
      <w:pPr>
        <w:pStyle w:val="TOC1"/>
        <w:tabs>
          <w:tab w:val="right" w:leader="dot" w:pos="9016"/>
        </w:tabs>
        <w:rPr>
          <w:rFonts w:eastAsiaTheme="minorEastAsia"/>
          <w:noProof/>
          <w:sz w:val="24"/>
          <w:szCs w:val="24"/>
          <w:lang w:eastAsia="en-GB"/>
        </w:rPr>
      </w:pPr>
      <w:r w:rsidRPr="00A040D2">
        <w:rPr>
          <w:rFonts w:ascii="Arial" w:eastAsia="Times New Roman" w:hAnsi="Arial" w:cs="Arial"/>
          <w:b/>
          <w:noProof/>
          <w:kern w:val="32"/>
        </w:rPr>
        <w:t>PROTOCOL TITLE:</w:t>
      </w:r>
      <w:r>
        <w:rPr>
          <w:noProof/>
        </w:rPr>
        <w:tab/>
      </w:r>
      <w:r>
        <w:rPr>
          <w:noProof/>
        </w:rPr>
        <w:fldChar w:fldCharType="begin"/>
      </w:r>
      <w:r>
        <w:rPr>
          <w:noProof/>
        </w:rPr>
        <w:instrText xml:space="preserve"> PAGEREF _Toc121909736 \h </w:instrText>
      </w:r>
      <w:r>
        <w:rPr>
          <w:noProof/>
        </w:rPr>
      </w:r>
      <w:r>
        <w:rPr>
          <w:noProof/>
        </w:rPr>
        <w:fldChar w:fldCharType="separate"/>
      </w:r>
      <w:r>
        <w:rPr>
          <w:noProof/>
        </w:rPr>
        <w:t>22</w:t>
      </w:r>
      <w:r>
        <w:rPr>
          <w:noProof/>
        </w:rPr>
        <w:fldChar w:fldCharType="end"/>
      </w:r>
    </w:p>
    <w:p w14:paraId="08FD2E32" w14:textId="411F090D" w:rsidR="00707BE8" w:rsidRDefault="00707BE8">
      <w:pPr>
        <w:pStyle w:val="TOC3"/>
        <w:rPr>
          <w:rFonts w:eastAsiaTheme="minorEastAsia"/>
          <w:noProof/>
          <w:sz w:val="24"/>
          <w:szCs w:val="24"/>
          <w:lang w:eastAsia="en-GB"/>
        </w:rPr>
      </w:pPr>
      <w:r w:rsidRPr="00A040D2">
        <w:rPr>
          <w:rFonts w:ascii="Arial" w:eastAsia="Times New Roman" w:hAnsi="Arial" w:cs="Arial"/>
          <w:b/>
          <w:noProof/>
        </w:rPr>
        <w:t>Trial Identifiers</w:t>
      </w:r>
      <w:r>
        <w:rPr>
          <w:noProof/>
        </w:rPr>
        <w:tab/>
      </w:r>
      <w:r>
        <w:rPr>
          <w:noProof/>
        </w:rPr>
        <w:fldChar w:fldCharType="begin"/>
      </w:r>
      <w:r>
        <w:rPr>
          <w:noProof/>
        </w:rPr>
        <w:instrText xml:space="preserve"> PAGEREF _Toc121909737 \h </w:instrText>
      </w:r>
      <w:r>
        <w:rPr>
          <w:noProof/>
        </w:rPr>
      </w:r>
      <w:r>
        <w:rPr>
          <w:noProof/>
        </w:rPr>
        <w:fldChar w:fldCharType="separate"/>
      </w:r>
      <w:r>
        <w:rPr>
          <w:noProof/>
        </w:rPr>
        <w:t>22</w:t>
      </w:r>
      <w:r>
        <w:rPr>
          <w:noProof/>
        </w:rPr>
        <w:fldChar w:fldCharType="end"/>
      </w:r>
    </w:p>
    <w:p w14:paraId="73E1DEDF" w14:textId="37077735" w:rsidR="00707BE8" w:rsidRDefault="00707BE8">
      <w:pPr>
        <w:pStyle w:val="TOC3"/>
        <w:rPr>
          <w:rFonts w:eastAsiaTheme="minorEastAsia"/>
          <w:noProof/>
          <w:sz w:val="24"/>
          <w:szCs w:val="24"/>
          <w:lang w:eastAsia="en-GB"/>
        </w:rPr>
      </w:pPr>
      <w:r w:rsidRPr="00A040D2">
        <w:rPr>
          <w:rFonts w:ascii="Arial" w:eastAsia="Times New Roman" w:hAnsi="Arial" w:cs="Arial"/>
          <w:b/>
          <w:noProof/>
        </w:rPr>
        <w:t>Sponsor</w:t>
      </w:r>
      <w:r>
        <w:rPr>
          <w:noProof/>
        </w:rPr>
        <w:tab/>
      </w:r>
      <w:r>
        <w:rPr>
          <w:noProof/>
        </w:rPr>
        <w:fldChar w:fldCharType="begin"/>
      </w:r>
      <w:r>
        <w:rPr>
          <w:noProof/>
        </w:rPr>
        <w:instrText xml:space="preserve"> PAGEREF _Toc121909738 \h </w:instrText>
      </w:r>
      <w:r>
        <w:rPr>
          <w:noProof/>
        </w:rPr>
      </w:r>
      <w:r>
        <w:rPr>
          <w:noProof/>
        </w:rPr>
        <w:fldChar w:fldCharType="separate"/>
      </w:r>
      <w:r>
        <w:rPr>
          <w:noProof/>
        </w:rPr>
        <w:t>22</w:t>
      </w:r>
      <w:r>
        <w:rPr>
          <w:noProof/>
        </w:rPr>
        <w:fldChar w:fldCharType="end"/>
      </w:r>
    </w:p>
    <w:p w14:paraId="3B2FFF62" w14:textId="4E0E39FD" w:rsidR="00707BE8" w:rsidRDefault="00707BE8">
      <w:pPr>
        <w:pStyle w:val="TOC3"/>
        <w:rPr>
          <w:rFonts w:eastAsiaTheme="minorEastAsia"/>
          <w:noProof/>
          <w:sz w:val="24"/>
          <w:szCs w:val="24"/>
          <w:lang w:eastAsia="en-GB"/>
        </w:rPr>
      </w:pPr>
      <w:r w:rsidRPr="00A040D2">
        <w:rPr>
          <w:rFonts w:ascii="Arial" w:eastAsia="Times New Roman" w:hAnsi="Arial" w:cs="Arial"/>
          <w:b/>
          <w:noProof/>
        </w:rPr>
        <w:t>Chief Investigator</w:t>
      </w:r>
      <w:r>
        <w:rPr>
          <w:noProof/>
        </w:rPr>
        <w:tab/>
      </w:r>
      <w:r>
        <w:rPr>
          <w:noProof/>
        </w:rPr>
        <w:fldChar w:fldCharType="begin"/>
      </w:r>
      <w:r>
        <w:rPr>
          <w:noProof/>
        </w:rPr>
        <w:instrText xml:space="preserve"> PAGEREF _Toc121909739 \h </w:instrText>
      </w:r>
      <w:r>
        <w:rPr>
          <w:noProof/>
        </w:rPr>
      </w:r>
      <w:r>
        <w:rPr>
          <w:noProof/>
        </w:rPr>
        <w:fldChar w:fldCharType="separate"/>
      </w:r>
      <w:r>
        <w:rPr>
          <w:noProof/>
        </w:rPr>
        <w:t>22</w:t>
      </w:r>
      <w:r>
        <w:rPr>
          <w:noProof/>
        </w:rPr>
        <w:fldChar w:fldCharType="end"/>
      </w:r>
    </w:p>
    <w:p w14:paraId="3B651B82" w14:textId="51CE33FE" w:rsidR="00707BE8" w:rsidRDefault="00707BE8">
      <w:pPr>
        <w:pStyle w:val="TOC3"/>
        <w:rPr>
          <w:rFonts w:eastAsiaTheme="minorEastAsia"/>
          <w:noProof/>
          <w:sz w:val="24"/>
          <w:szCs w:val="24"/>
          <w:lang w:eastAsia="en-GB"/>
        </w:rPr>
      </w:pPr>
      <w:r w:rsidRPr="00A040D2">
        <w:rPr>
          <w:rFonts w:ascii="Arial" w:eastAsia="Times New Roman" w:hAnsi="Arial" w:cs="Arial"/>
          <w:b/>
          <w:noProof/>
        </w:rPr>
        <w:lastRenderedPageBreak/>
        <w:t>Name and address of Co-Investigator(s), Statistician, Laboratories etc</w:t>
      </w:r>
      <w:r>
        <w:rPr>
          <w:noProof/>
        </w:rPr>
        <w:tab/>
      </w:r>
      <w:r>
        <w:rPr>
          <w:noProof/>
        </w:rPr>
        <w:fldChar w:fldCharType="begin"/>
      </w:r>
      <w:r>
        <w:rPr>
          <w:noProof/>
        </w:rPr>
        <w:instrText xml:space="preserve"> PAGEREF _Toc121909740 \h </w:instrText>
      </w:r>
      <w:r>
        <w:rPr>
          <w:noProof/>
        </w:rPr>
      </w:r>
      <w:r>
        <w:rPr>
          <w:noProof/>
        </w:rPr>
        <w:fldChar w:fldCharType="separate"/>
      </w:r>
      <w:r>
        <w:rPr>
          <w:noProof/>
        </w:rPr>
        <w:t>22</w:t>
      </w:r>
      <w:r>
        <w:rPr>
          <w:noProof/>
        </w:rPr>
        <w:fldChar w:fldCharType="end"/>
      </w:r>
    </w:p>
    <w:p w14:paraId="30DD19F4" w14:textId="0E90928E" w:rsidR="00707BE8" w:rsidRDefault="00707BE8">
      <w:pPr>
        <w:pStyle w:val="TOC3"/>
        <w:rPr>
          <w:rFonts w:eastAsiaTheme="minorEastAsia"/>
          <w:noProof/>
          <w:sz w:val="24"/>
          <w:szCs w:val="24"/>
          <w:lang w:eastAsia="en-GB"/>
        </w:rPr>
      </w:pPr>
      <w:r w:rsidRPr="00A040D2">
        <w:rPr>
          <w:rFonts w:ascii="Arial" w:eastAsia="Times New Roman" w:hAnsi="Arial" w:cs="Arial"/>
          <w:b/>
          <w:noProof/>
        </w:rPr>
        <w:t>Study Synopsis</w:t>
      </w:r>
      <w:r>
        <w:rPr>
          <w:noProof/>
        </w:rPr>
        <w:tab/>
      </w:r>
      <w:r>
        <w:rPr>
          <w:noProof/>
        </w:rPr>
        <w:fldChar w:fldCharType="begin"/>
      </w:r>
      <w:r>
        <w:rPr>
          <w:noProof/>
        </w:rPr>
        <w:instrText xml:space="preserve"> PAGEREF _Toc121909741 \h </w:instrText>
      </w:r>
      <w:r>
        <w:rPr>
          <w:noProof/>
        </w:rPr>
      </w:r>
      <w:r>
        <w:rPr>
          <w:noProof/>
        </w:rPr>
        <w:fldChar w:fldCharType="separate"/>
      </w:r>
      <w:r>
        <w:rPr>
          <w:noProof/>
        </w:rPr>
        <w:t>24</w:t>
      </w:r>
      <w:r>
        <w:rPr>
          <w:noProof/>
        </w:rPr>
        <w:fldChar w:fldCharType="end"/>
      </w:r>
    </w:p>
    <w:p w14:paraId="2D39634F" w14:textId="3E9B98CB" w:rsidR="00707BE8" w:rsidRDefault="00707BE8">
      <w:pPr>
        <w:pStyle w:val="TOC3"/>
        <w:rPr>
          <w:rFonts w:eastAsiaTheme="minorEastAsia"/>
          <w:noProof/>
          <w:sz w:val="24"/>
          <w:szCs w:val="24"/>
          <w:lang w:eastAsia="en-GB"/>
        </w:rPr>
      </w:pPr>
      <w:r w:rsidRPr="00A040D2">
        <w:rPr>
          <w:rFonts w:ascii="Arial" w:eastAsia="Times New Roman" w:hAnsi="Arial" w:cs="Arial"/>
          <w:b/>
          <w:noProof/>
        </w:rPr>
        <w:t>1. Background &amp; Rationale</w:t>
      </w:r>
      <w:r>
        <w:rPr>
          <w:noProof/>
        </w:rPr>
        <w:tab/>
      </w:r>
      <w:r>
        <w:rPr>
          <w:noProof/>
        </w:rPr>
        <w:fldChar w:fldCharType="begin"/>
      </w:r>
      <w:r>
        <w:rPr>
          <w:noProof/>
        </w:rPr>
        <w:instrText xml:space="preserve"> PAGEREF _Toc121909742 \h </w:instrText>
      </w:r>
      <w:r>
        <w:rPr>
          <w:noProof/>
        </w:rPr>
      </w:r>
      <w:r>
        <w:rPr>
          <w:noProof/>
        </w:rPr>
        <w:fldChar w:fldCharType="separate"/>
      </w:r>
      <w:r>
        <w:rPr>
          <w:noProof/>
        </w:rPr>
        <w:t>30</w:t>
      </w:r>
      <w:r>
        <w:rPr>
          <w:noProof/>
        </w:rPr>
        <w:fldChar w:fldCharType="end"/>
      </w:r>
    </w:p>
    <w:p w14:paraId="0DA393FC" w14:textId="6CABDC89" w:rsidR="00707BE8" w:rsidRDefault="00707BE8">
      <w:pPr>
        <w:pStyle w:val="TOC3"/>
        <w:rPr>
          <w:rFonts w:eastAsiaTheme="minorEastAsia"/>
          <w:noProof/>
          <w:sz w:val="24"/>
          <w:szCs w:val="24"/>
          <w:lang w:eastAsia="en-GB"/>
        </w:rPr>
      </w:pPr>
      <w:r w:rsidRPr="00A040D2">
        <w:rPr>
          <w:rFonts w:ascii="Arial" w:eastAsia="Times New Roman" w:hAnsi="Arial" w:cs="Arial"/>
          <w:b/>
          <w:noProof/>
        </w:rPr>
        <w:t>2. Trial Objectives and Design</w:t>
      </w:r>
      <w:r>
        <w:rPr>
          <w:noProof/>
        </w:rPr>
        <w:tab/>
      </w:r>
      <w:r>
        <w:rPr>
          <w:noProof/>
        </w:rPr>
        <w:fldChar w:fldCharType="begin"/>
      </w:r>
      <w:r>
        <w:rPr>
          <w:noProof/>
        </w:rPr>
        <w:instrText xml:space="preserve"> PAGEREF _Toc121909743 \h </w:instrText>
      </w:r>
      <w:r>
        <w:rPr>
          <w:noProof/>
        </w:rPr>
      </w:r>
      <w:r>
        <w:rPr>
          <w:noProof/>
        </w:rPr>
        <w:fldChar w:fldCharType="separate"/>
      </w:r>
      <w:r>
        <w:rPr>
          <w:noProof/>
        </w:rPr>
        <w:t>35</w:t>
      </w:r>
      <w:r>
        <w:rPr>
          <w:noProof/>
        </w:rPr>
        <w:fldChar w:fldCharType="end"/>
      </w:r>
    </w:p>
    <w:p w14:paraId="5770EC8F" w14:textId="61B3647A" w:rsidR="00707BE8" w:rsidRDefault="00707BE8">
      <w:pPr>
        <w:pStyle w:val="TOC3"/>
        <w:rPr>
          <w:rFonts w:eastAsiaTheme="minorEastAsia"/>
          <w:noProof/>
          <w:sz w:val="24"/>
          <w:szCs w:val="24"/>
          <w:lang w:eastAsia="en-GB"/>
        </w:rPr>
      </w:pPr>
      <w:r w:rsidRPr="00A040D2">
        <w:rPr>
          <w:rFonts w:ascii="Arial" w:eastAsia="Times New Roman" w:hAnsi="Arial" w:cs="Arial"/>
          <w:b/>
          <w:noProof/>
        </w:rPr>
        <w:t>3 Trial Medication</w:t>
      </w:r>
      <w:r>
        <w:rPr>
          <w:noProof/>
        </w:rPr>
        <w:tab/>
      </w:r>
      <w:r>
        <w:rPr>
          <w:noProof/>
        </w:rPr>
        <w:fldChar w:fldCharType="begin"/>
      </w:r>
      <w:r>
        <w:rPr>
          <w:noProof/>
        </w:rPr>
        <w:instrText xml:space="preserve"> PAGEREF _Toc121909744 \h </w:instrText>
      </w:r>
      <w:r>
        <w:rPr>
          <w:noProof/>
        </w:rPr>
      </w:r>
      <w:r>
        <w:rPr>
          <w:noProof/>
        </w:rPr>
        <w:fldChar w:fldCharType="separate"/>
      </w:r>
      <w:r>
        <w:rPr>
          <w:noProof/>
        </w:rPr>
        <w:t>41</w:t>
      </w:r>
      <w:r>
        <w:rPr>
          <w:noProof/>
        </w:rPr>
        <w:fldChar w:fldCharType="end"/>
      </w:r>
    </w:p>
    <w:p w14:paraId="223004C4" w14:textId="1647C8DD" w:rsidR="00707BE8" w:rsidRDefault="00707BE8">
      <w:pPr>
        <w:pStyle w:val="TOC3"/>
        <w:rPr>
          <w:rFonts w:eastAsiaTheme="minorEastAsia"/>
          <w:noProof/>
          <w:sz w:val="24"/>
          <w:szCs w:val="24"/>
          <w:lang w:eastAsia="en-GB"/>
        </w:rPr>
      </w:pPr>
      <w:r w:rsidRPr="00A040D2">
        <w:rPr>
          <w:rFonts w:ascii="Arial" w:eastAsia="Times New Roman" w:hAnsi="Arial" w:cs="Arial"/>
          <w:b/>
          <w:noProof/>
        </w:rPr>
        <w:t>4.  Selection and Withdrawal of Subjects</w:t>
      </w:r>
      <w:r>
        <w:rPr>
          <w:noProof/>
        </w:rPr>
        <w:tab/>
      </w:r>
      <w:r>
        <w:rPr>
          <w:noProof/>
        </w:rPr>
        <w:fldChar w:fldCharType="begin"/>
      </w:r>
      <w:r>
        <w:rPr>
          <w:noProof/>
        </w:rPr>
        <w:instrText xml:space="preserve"> PAGEREF _Toc121909745 \h </w:instrText>
      </w:r>
      <w:r>
        <w:rPr>
          <w:noProof/>
        </w:rPr>
      </w:r>
      <w:r>
        <w:rPr>
          <w:noProof/>
        </w:rPr>
        <w:fldChar w:fldCharType="separate"/>
      </w:r>
      <w:r>
        <w:rPr>
          <w:noProof/>
        </w:rPr>
        <w:t>41</w:t>
      </w:r>
      <w:r>
        <w:rPr>
          <w:noProof/>
        </w:rPr>
        <w:fldChar w:fldCharType="end"/>
      </w:r>
    </w:p>
    <w:p w14:paraId="27338C60" w14:textId="47879CD6" w:rsidR="00707BE8" w:rsidRDefault="00707BE8">
      <w:pPr>
        <w:pStyle w:val="TOC3"/>
        <w:rPr>
          <w:rFonts w:eastAsiaTheme="minorEastAsia"/>
          <w:noProof/>
          <w:sz w:val="24"/>
          <w:szCs w:val="24"/>
          <w:lang w:eastAsia="en-GB"/>
        </w:rPr>
      </w:pPr>
      <w:r w:rsidRPr="00A040D2">
        <w:rPr>
          <w:rFonts w:ascii="Arial" w:eastAsia="Times New Roman" w:hAnsi="Arial" w:cs="Arial"/>
          <w:b/>
          <w:noProof/>
        </w:rPr>
        <w:t>5. Trial Procedures</w:t>
      </w:r>
      <w:r>
        <w:rPr>
          <w:noProof/>
        </w:rPr>
        <w:tab/>
      </w:r>
      <w:r>
        <w:rPr>
          <w:noProof/>
        </w:rPr>
        <w:fldChar w:fldCharType="begin"/>
      </w:r>
      <w:r>
        <w:rPr>
          <w:noProof/>
        </w:rPr>
        <w:instrText xml:space="preserve"> PAGEREF _Toc121909746 \h </w:instrText>
      </w:r>
      <w:r>
        <w:rPr>
          <w:noProof/>
        </w:rPr>
      </w:r>
      <w:r>
        <w:rPr>
          <w:noProof/>
        </w:rPr>
        <w:fldChar w:fldCharType="separate"/>
      </w:r>
      <w:r>
        <w:rPr>
          <w:noProof/>
        </w:rPr>
        <w:t>44</w:t>
      </w:r>
      <w:r>
        <w:rPr>
          <w:noProof/>
        </w:rPr>
        <w:fldChar w:fldCharType="end"/>
      </w:r>
    </w:p>
    <w:p w14:paraId="7F9D090D" w14:textId="4183B71C" w:rsidR="00707BE8" w:rsidRDefault="00707BE8">
      <w:pPr>
        <w:pStyle w:val="TOC3"/>
        <w:rPr>
          <w:rFonts w:eastAsiaTheme="minorEastAsia"/>
          <w:noProof/>
          <w:sz w:val="24"/>
          <w:szCs w:val="24"/>
          <w:lang w:eastAsia="en-GB"/>
        </w:rPr>
      </w:pPr>
      <w:r w:rsidRPr="00A040D2">
        <w:rPr>
          <w:rFonts w:ascii="Arial" w:eastAsia="Times New Roman" w:hAnsi="Arial" w:cs="Arial"/>
          <w:b/>
          <w:noProof/>
        </w:rPr>
        <w:t>6 Assessment of Efficacy</w:t>
      </w:r>
      <w:r>
        <w:rPr>
          <w:noProof/>
        </w:rPr>
        <w:tab/>
      </w:r>
      <w:r>
        <w:rPr>
          <w:noProof/>
        </w:rPr>
        <w:fldChar w:fldCharType="begin"/>
      </w:r>
      <w:r>
        <w:rPr>
          <w:noProof/>
        </w:rPr>
        <w:instrText xml:space="preserve"> PAGEREF _Toc121909747 \h </w:instrText>
      </w:r>
      <w:r>
        <w:rPr>
          <w:noProof/>
        </w:rPr>
      </w:r>
      <w:r>
        <w:rPr>
          <w:noProof/>
        </w:rPr>
        <w:fldChar w:fldCharType="separate"/>
      </w:r>
      <w:r>
        <w:rPr>
          <w:noProof/>
        </w:rPr>
        <w:t>46</w:t>
      </w:r>
      <w:r>
        <w:rPr>
          <w:noProof/>
        </w:rPr>
        <w:fldChar w:fldCharType="end"/>
      </w:r>
    </w:p>
    <w:p w14:paraId="4671312E" w14:textId="1B0B2A84" w:rsidR="00707BE8" w:rsidRDefault="00707BE8">
      <w:pPr>
        <w:pStyle w:val="TOC3"/>
        <w:rPr>
          <w:rFonts w:eastAsiaTheme="minorEastAsia"/>
          <w:noProof/>
          <w:sz w:val="24"/>
          <w:szCs w:val="24"/>
          <w:lang w:eastAsia="en-GB"/>
        </w:rPr>
      </w:pPr>
      <w:r w:rsidRPr="00A040D2">
        <w:rPr>
          <w:rFonts w:ascii="Arial" w:eastAsia="Times New Roman" w:hAnsi="Arial" w:cs="Arial"/>
          <w:b/>
          <w:noProof/>
        </w:rPr>
        <w:t>7. Assessment of Safety</w:t>
      </w:r>
      <w:r>
        <w:rPr>
          <w:noProof/>
        </w:rPr>
        <w:tab/>
      </w:r>
      <w:r>
        <w:rPr>
          <w:noProof/>
        </w:rPr>
        <w:fldChar w:fldCharType="begin"/>
      </w:r>
      <w:r>
        <w:rPr>
          <w:noProof/>
        </w:rPr>
        <w:instrText xml:space="preserve"> PAGEREF _Toc121909748 \h </w:instrText>
      </w:r>
      <w:r>
        <w:rPr>
          <w:noProof/>
        </w:rPr>
      </w:r>
      <w:r>
        <w:rPr>
          <w:noProof/>
        </w:rPr>
        <w:fldChar w:fldCharType="separate"/>
      </w:r>
      <w:r>
        <w:rPr>
          <w:noProof/>
        </w:rPr>
        <w:t>48</w:t>
      </w:r>
      <w:r>
        <w:rPr>
          <w:noProof/>
        </w:rPr>
        <w:fldChar w:fldCharType="end"/>
      </w:r>
    </w:p>
    <w:p w14:paraId="7F789C7B" w14:textId="75960B09" w:rsidR="00707BE8" w:rsidRDefault="00707BE8">
      <w:pPr>
        <w:pStyle w:val="TOC3"/>
        <w:rPr>
          <w:rFonts w:eastAsiaTheme="minorEastAsia"/>
          <w:noProof/>
          <w:sz w:val="24"/>
          <w:szCs w:val="24"/>
          <w:lang w:eastAsia="en-GB"/>
        </w:rPr>
      </w:pPr>
      <w:r w:rsidRPr="00A040D2">
        <w:rPr>
          <w:rFonts w:ascii="Arial" w:eastAsia="Times New Roman" w:hAnsi="Arial" w:cs="Arial"/>
          <w:b/>
          <w:noProof/>
        </w:rPr>
        <w:t>8. Statistics</w:t>
      </w:r>
      <w:r>
        <w:rPr>
          <w:noProof/>
        </w:rPr>
        <w:tab/>
      </w:r>
      <w:r>
        <w:rPr>
          <w:noProof/>
        </w:rPr>
        <w:fldChar w:fldCharType="begin"/>
      </w:r>
      <w:r>
        <w:rPr>
          <w:noProof/>
        </w:rPr>
        <w:instrText xml:space="preserve"> PAGEREF _Toc121909749 \h </w:instrText>
      </w:r>
      <w:r>
        <w:rPr>
          <w:noProof/>
        </w:rPr>
      </w:r>
      <w:r>
        <w:rPr>
          <w:noProof/>
        </w:rPr>
        <w:fldChar w:fldCharType="separate"/>
      </w:r>
      <w:r>
        <w:rPr>
          <w:noProof/>
        </w:rPr>
        <w:t>50</w:t>
      </w:r>
      <w:r>
        <w:rPr>
          <w:noProof/>
        </w:rPr>
        <w:fldChar w:fldCharType="end"/>
      </w:r>
    </w:p>
    <w:p w14:paraId="511814AB" w14:textId="4C75DBAF" w:rsidR="00707BE8" w:rsidRDefault="00707BE8">
      <w:pPr>
        <w:pStyle w:val="TOC3"/>
        <w:rPr>
          <w:rFonts w:eastAsiaTheme="minorEastAsia"/>
          <w:noProof/>
          <w:sz w:val="24"/>
          <w:szCs w:val="24"/>
          <w:lang w:eastAsia="en-GB"/>
        </w:rPr>
      </w:pPr>
      <w:r w:rsidRPr="00A040D2">
        <w:rPr>
          <w:rFonts w:ascii="Arial" w:eastAsia="Times New Roman" w:hAnsi="Arial" w:cs="Arial"/>
          <w:b/>
          <w:noProof/>
        </w:rPr>
        <w:t>9. Trial Steering Committee</w:t>
      </w:r>
      <w:r>
        <w:rPr>
          <w:noProof/>
        </w:rPr>
        <w:tab/>
      </w:r>
      <w:r>
        <w:rPr>
          <w:noProof/>
        </w:rPr>
        <w:fldChar w:fldCharType="begin"/>
      </w:r>
      <w:r>
        <w:rPr>
          <w:noProof/>
        </w:rPr>
        <w:instrText xml:space="preserve"> PAGEREF _Toc121909750 \h </w:instrText>
      </w:r>
      <w:r>
        <w:rPr>
          <w:noProof/>
        </w:rPr>
      </w:r>
      <w:r>
        <w:rPr>
          <w:noProof/>
        </w:rPr>
        <w:fldChar w:fldCharType="separate"/>
      </w:r>
      <w:r>
        <w:rPr>
          <w:noProof/>
        </w:rPr>
        <w:t>53</w:t>
      </w:r>
      <w:r>
        <w:rPr>
          <w:noProof/>
        </w:rPr>
        <w:fldChar w:fldCharType="end"/>
      </w:r>
    </w:p>
    <w:p w14:paraId="23DDB2DF" w14:textId="56DD6DBF" w:rsidR="00707BE8" w:rsidRDefault="00707BE8">
      <w:pPr>
        <w:pStyle w:val="TOC3"/>
        <w:rPr>
          <w:rFonts w:eastAsiaTheme="minorEastAsia"/>
          <w:noProof/>
          <w:sz w:val="24"/>
          <w:szCs w:val="24"/>
          <w:lang w:eastAsia="en-GB"/>
        </w:rPr>
      </w:pPr>
      <w:r w:rsidRPr="00A040D2">
        <w:rPr>
          <w:rFonts w:ascii="Arial" w:eastAsia="Times New Roman" w:hAnsi="Arial" w:cs="Arial"/>
          <w:b/>
          <w:noProof/>
        </w:rPr>
        <w:t>10. Data Monitoring Committee</w:t>
      </w:r>
      <w:r>
        <w:rPr>
          <w:noProof/>
        </w:rPr>
        <w:tab/>
      </w:r>
      <w:r>
        <w:rPr>
          <w:noProof/>
        </w:rPr>
        <w:fldChar w:fldCharType="begin"/>
      </w:r>
      <w:r>
        <w:rPr>
          <w:noProof/>
        </w:rPr>
        <w:instrText xml:space="preserve"> PAGEREF _Toc121909751 \h </w:instrText>
      </w:r>
      <w:r>
        <w:rPr>
          <w:noProof/>
        </w:rPr>
      </w:r>
      <w:r>
        <w:rPr>
          <w:noProof/>
        </w:rPr>
        <w:fldChar w:fldCharType="separate"/>
      </w:r>
      <w:r>
        <w:rPr>
          <w:noProof/>
        </w:rPr>
        <w:t>53</w:t>
      </w:r>
      <w:r>
        <w:rPr>
          <w:noProof/>
        </w:rPr>
        <w:fldChar w:fldCharType="end"/>
      </w:r>
    </w:p>
    <w:p w14:paraId="0B23EB2F" w14:textId="503169A9" w:rsidR="00707BE8" w:rsidRDefault="00707BE8">
      <w:pPr>
        <w:pStyle w:val="TOC3"/>
        <w:rPr>
          <w:rFonts w:eastAsiaTheme="minorEastAsia"/>
          <w:noProof/>
          <w:sz w:val="24"/>
          <w:szCs w:val="24"/>
          <w:lang w:eastAsia="en-GB"/>
        </w:rPr>
      </w:pPr>
      <w:r w:rsidRPr="00A040D2">
        <w:rPr>
          <w:rFonts w:ascii="Arial" w:eastAsia="Times New Roman" w:hAnsi="Arial" w:cs="Arial"/>
          <w:b/>
          <w:noProof/>
        </w:rPr>
        <w:t>11. Direct Access to Source Data and Documents</w:t>
      </w:r>
      <w:r>
        <w:rPr>
          <w:noProof/>
        </w:rPr>
        <w:tab/>
      </w:r>
      <w:r>
        <w:rPr>
          <w:noProof/>
        </w:rPr>
        <w:fldChar w:fldCharType="begin"/>
      </w:r>
      <w:r>
        <w:rPr>
          <w:noProof/>
        </w:rPr>
        <w:instrText xml:space="preserve"> PAGEREF _Toc121909752 \h </w:instrText>
      </w:r>
      <w:r>
        <w:rPr>
          <w:noProof/>
        </w:rPr>
      </w:r>
      <w:r>
        <w:rPr>
          <w:noProof/>
        </w:rPr>
        <w:fldChar w:fldCharType="separate"/>
      </w:r>
      <w:r>
        <w:rPr>
          <w:noProof/>
        </w:rPr>
        <w:t>53</w:t>
      </w:r>
      <w:r>
        <w:rPr>
          <w:noProof/>
        </w:rPr>
        <w:fldChar w:fldCharType="end"/>
      </w:r>
    </w:p>
    <w:p w14:paraId="7C021933" w14:textId="30939D1F" w:rsidR="00707BE8" w:rsidRDefault="00707BE8">
      <w:pPr>
        <w:pStyle w:val="TOC3"/>
        <w:rPr>
          <w:rFonts w:eastAsiaTheme="minorEastAsia"/>
          <w:noProof/>
          <w:sz w:val="24"/>
          <w:szCs w:val="24"/>
          <w:lang w:eastAsia="en-GB"/>
        </w:rPr>
      </w:pPr>
      <w:r w:rsidRPr="00A040D2">
        <w:rPr>
          <w:rFonts w:ascii="Arial" w:eastAsia="Times New Roman" w:hAnsi="Arial" w:cs="Arial"/>
          <w:b/>
          <w:noProof/>
        </w:rPr>
        <w:t>12. Ethics &amp; Regulatory Approvals</w:t>
      </w:r>
      <w:r>
        <w:rPr>
          <w:noProof/>
        </w:rPr>
        <w:tab/>
      </w:r>
      <w:r>
        <w:rPr>
          <w:noProof/>
        </w:rPr>
        <w:fldChar w:fldCharType="begin"/>
      </w:r>
      <w:r>
        <w:rPr>
          <w:noProof/>
        </w:rPr>
        <w:instrText xml:space="preserve"> PAGEREF _Toc121909753 \h </w:instrText>
      </w:r>
      <w:r>
        <w:rPr>
          <w:noProof/>
        </w:rPr>
      </w:r>
      <w:r>
        <w:rPr>
          <w:noProof/>
        </w:rPr>
        <w:fldChar w:fldCharType="separate"/>
      </w:r>
      <w:r>
        <w:rPr>
          <w:noProof/>
        </w:rPr>
        <w:t>54</w:t>
      </w:r>
      <w:r>
        <w:rPr>
          <w:noProof/>
        </w:rPr>
        <w:fldChar w:fldCharType="end"/>
      </w:r>
    </w:p>
    <w:p w14:paraId="778DC364" w14:textId="22928FBF" w:rsidR="00707BE8" w:rsidRDefault="00707BE8">
      <w:pPr>
        <w:pStyle w:val="TOC3"/>
        <w:rPr>
          <w:rFonts w:eastAsiaTheme="minorEastAsia"/>
          <w:noProof/>
          <w:sz w:val="24"/>
          <w:szCs w:val="24"/>
          <w:lang w:eastAsia="en-GB"/>
        </w:rPr>
      </w:pPr>
      <w:r w:rsidRPr="00A040D2">
        <w:rPr>
          <w:rFonts w:ascii="Arial" w:eastAsia="Times New Roman" w:hAnsi="Arial" w:cs="Arial"/>
          <w:b/>
          <w:noProof/>
        </w:rPr>
        <w:t>13. Quality Assurance</w:t>
      </w:r>
      <w:r>
        <w:rPr>
          <w:noProof/>
        </w:rPr>
        <w:tab/>
      </w:r>
      <w:r>
        <w:rPr>
          <w:noProof/>
        </w:rPr>
        <w:fldChar w:fldCharType="begin"/>
      </w:r>
      <w:r>
        <w:rPr>
          <w:noProof/>
        </w:rPr>
        <w:instrText xml:space="preserve"> PAGEREF _Toc121909754 \h </w:instrText>
      </w:r>
      <w:r>
        <w:rPr>
          <w:noProof/>
        </w:rPr>
      </w:r>
      <w:r>
        <w:rPr>
          <w:noProof/>
        </w:rPr>
        <w:fldChar w:fldCharType="separate"/>
      </w:r>
      <w:r>
        <w:rPr>
          <w:noProof/>
        </w:rPr>
        <w:t>54</w:t>
      </w:r>
      <w:r>
        <w:rPr>
          <w:noProof/>
        </w:rPr>
        <w:fldChar w:fldCharType="end"/>
      </w:r>
    </w:p>
    <w:p w14:paraId="148DDBED" w14:textId="5EBF59C4" w:rsidR="00707BE8" w:rsidRDefault="00707BE8">
      <w:pPr>
        <w:pStyle w:val="TOC3"/>
        <w:rPr>
          <w:rFonts w:eastAsiaTheme="minorEastAsia"/>
          <w:noProof/>
          <w:sz w:val="24"/>
          <w:szCs w:val="24"/>
          <w:lang w:eastAsia="en-GB"/>
        </w:rPr>
      </w:pPr>
      <w:r w:rsidRPr="00A040D2">
        <w:rPr>
          <w:rFonts w:ascii="Arial" w:eastAsia="Times New Roman" w:hAnsi="Arial" w:cs="Arial"/>
          <w:b/>
          <w:noProof/>
        </w:rPr>
        <w:t>14. Data Handling, Publication Policy and Finance</w:t>
      </w:r>
      <w:r>
        <w:rPr>
          <w:noProof/>
        </w:rPr>
        <w:tab/>
      </w:r>
      <w:r>
        <w:rPr>
          <w:noProof/>
        </w:rPr>
        <w:fldChar w:fldCharType="begin"/>
      </w:r>
      <w:r>
        <w:rPr>
          <w:noProof/>
        </w:rPr>
        <w:instrText xml:space="preserve"> PAGEREF _Toc121909755 \h </w:instrText>
      </w:r>
      <w:r>
        <w:rPr>
          <w:noProof/>
        </w:rPr>
      </w:r>
      <w:r>
        <w:rPr>
          <w:noProof/>
        </w:rPr>
        <w:fldChar w:fldCharType="separate"/>
      </w:r>
      <w:r>
        <w:rPr>
          <w:noProof/>
        </w:rPr>
        <w:t>54</w:t>
      </w:r>
      <w:r>
        <w:rPr>
          <w:noProof/>
        </w:rPr>
        <w:fldChar w:fldCharType="end"/>
      </w:r>
    </w:p>
    <w:p w14:paraId="213ACBAC" w14:textId="36A77BDC" w:rsidR="00707BE8" w:rsidRDefault="00707BE8">
      <w:pPr>
        <w:pStyle w:val="TOC3"/>
        <w:rPr>
          <w:rFonts w:eastAsiaTheme="minorEastAsia"/>
          <w:noProof/>
          <w:sz w:val="24"/>
          <w:szCs w:val="24"/>
          <w:lang w:eastAsia="en-GB"/>
        </w:rPr>
      </w:pPr>
      <w:r w:rsidRPr="00A040D2">
        <w:rPr>
          <w:rFonts w:ascii="Arial" w:eastAsia="Times New Roman" w:hAnsi="Arial" w:cs="Arial"/>
          <w:b/>
          <w:noProof/>
        </w:rPr>
        <w:t>15. Data Handling</w:t>
      </w:r>
      <w:r>
        <w:rPr>
          <w:noProof/>
        </w:rPr>
        <w:tab/>
      </w:r>
      <w:r>
        <w:rPr>
          <w:noProof/>
        </w:rPr>
        <w:fldChar w:fldCharType="begin"/>
      </w:r>
      <w:r>
        <w:rPr>
          <w:noProof/>
        </w:rPr>
        <w:instrText xml:space="preserve"> PAGEREF _Toc121909756 \h </w:instrText>
      </w:r>
      <w:r>
        <w:rPr>
          <w:noProof/>
        </w:rPr>
      </w:r>
      <w:r>
        <w:rPr>
          <w:noProof/>
        </w:rPr>
        <w:fldChar w:fldCharType="separate"/>
      </w:r>
      <w:r>
        <w:rPr>
          <w:noProof/>
        </w:rPr>
        <w:t>54</w:t>
      </w:r>
      <w:r>
        <w:rPr>
          <w:noProof/>
        </w:rPr>
        <w:fldChar w:fldCharType="end"/>
      </w:r>
    </w:p>
    <w:p w14:paraId="67A43E47" w14:textId="543AD613" w:rsidR="00707BE8" w:rsidRDefault="00707BE8">
      <w:pPr>
        <w:pStyle w:val="TOC3"/>
        <w:rPr>
          <w:rFonts w:eastAsiaTheme="minorEastAsia"/>
          <w:noProof/>
          <w:sz w:val="24"/>
          <w:szCs w:val="24"/>
          <w:lang w:eastAsia="en-GB"/>
        </w:rPr>
      </w:pPr>
      <w:r w:rsidRPr="00A040D2">
        <w:rPr>
          <w:rFonts w:ascii="Arial" w:eastAsia="Times New Roman" w:hAnsi="Arial" w:cs="Arial"/>
          <w:b/>
          <w:noProof/>
        </w:rPr>
        <w:t>16. Publication Policy</w:t>
      </w:r>
      <w:r>
        <w:rPr>
          <w:noProof/>
        </w:rPr>
        <w:tab/>
      </w:r>
      <w:r>
        <w:rPr>
          <w:noProof/>
        </w:rPr>
        <w:fldChar w:fldCharType="begin"/>
      </w:r>
      <w:r>
        <w:rPr>
          <w:noProof/>
        </w:rPr>
        <w:instrText xml:space="preserve"> PAGEREF _Toc121909757 \h </w:instrText>
      </w:r>
      <w:r>
        <w:rPr>
          <w:noProof/>
        </w:rPr>
      </w:r>
      <w:r>
        <w:rPr>
          <w:noProof/>
        </w:rPr>
        <w:fldChar w:fldCharType="separate"/>
      </w:r>
      <w:r>
        <w:rPr>
          <w:noProof/>
        </w:rPr>
        <w:t>54</w:t>
      </w:r>
      <w:r>
        <w:rPr>
          <w:noProof/>
        </w:rPr>
        <w:fldChar w:fldCharType="end"/>
      </w:r>
    </w:p>
    <w:p w14:paraId="22F61DDC" w14:textId="4B6D78B7" w:rsidR="00707BE8" w:rsidRDefault="00707BE8">
      <w:pPr>
        <w:pStyle w:val="TOC3"/>
        <w:rPr>
          <w:rFonts w:eastAsiaTheme="minorEastAsia"/>
          <w:noProof/>
          <w:sz w:val="24"/>
          <w:szCs w:val="24"/>
          <w:lang w:eastAsia="en-GB"/>
        </w:rPr>
      </w:pPr>
      <w:r w:rsidRPr="00A040D2">
        <w:rPr>
          <w:rFonts w:ascii="Arial" w:eastAsia="Times New Roman" w:hAnsi="Arial" w:cs="Arial"/>
          <w:b/>
          <w:noProof/>
        </w:rPr>
        <w:t>17. Insurance / Indemnity</w:t>
      </w:r>
      <w:r>
        <w:rPr>
          <w:noProof/>
        </w:rPr>
        <w:tab/>
      </w:r>
      <w:r>
        <w:rPr>
          <w:noProof/>
        </w:rPr>
        <w:fldChar w:fldCharType="begin"/>
      </w:r>
      <w:r>
        <w:rPr>
          <w:noProof/>
        </w:rPr>
        <w:instrText xml:space="preserve"> PAGEREF _Toc121909758 \h </w:instrText>
      </w:r>
      <w:r>
        <w:rPr>
          <w:noProof/>
        </w:rPr>
      </w:r>
      <w:r>
        <w:rPr>
          <w:noProof/>
        </w:rPr>
        <w:fldChar w:fldCharType="separate"/>
      </w:r>
      <w:r>
        <w:rPr>
          <w:noProof/>
        </w:rPr>
        <w:t>55</w:t>
      </w:r>
      <w:r>
        <w:rPr>
          <w:noProof/>
        </w:rPr>
        <w:fldChar w:fldCharType="end"/>
      </w:r>
    </w:p>
    <w:p w14:paraId="56E44242" w14:textId="5C8EC25D" w:rsidR="00707BE8" w:rsidRDefault="00707BE8">
      <w:pPr>
        <w:pStyle w:val="TOC3"/>
        <w:rPr>
          <w:rFonts w:eastAsiaTheme="minorEastAsia"/>
          <w:noProof/>
          <w:sz w:val="24"/>
          <w:szCs w:val="24"/>
          <w:lang w:eastAsia="en-GB"/>
        </w:rPr>
      </w:pPr>
      <w:r w:rsidRPr="00A040D2">
        <w:rPr>
          <w:rFonts w:ascii="Arial" w:eastAsia="Times New Roman" w:hAnsi="Arial" w:cs="Arial"/>
          <w:b/>
          <w:noProof/>
        </w:rPr>
        <w:t>18. Financial Aspects</w:t>
      </w:r>
      <w:r>
        <w:rPr>
          <w:noProof/>
        </w:rPr>
        <w:tab/>
      </w:r>
      <w:r>
        <w:rPr>
          <w:noProof/>
        </w:rPr>
        <w:fldChar w:fldCharType="begin"/>
      </w:r>
      <w:r>
        <w:rPr>
          <w:noProof/>
        </w:rPr>
        <w:instrText xml:space="preserve"> PAGEREF _Toc121909759 \h </w:instrText>
      </w:r>
      <w:r>
        <w:rPr>
          <w:noProof/>
        </w:rPr>
      </w:r>
      <w:r>
        <w:rPr>
          <w:noProof/>
        </w:rPr>
        <w:fldChar w:fldCharType="separate"/>
      </w:r>
      <w:r>
        <w:rPr>
          <w:noProof/>
        </w:rPr>
        <w:t>55</w:t>
      </w:r>
      <w:r>
        <w:rPr>
          <w:noProof/>
        </w:rPr>
        <w:fldChar w:fldCharType="end"/>
      </w:r>
    </w:p>
    <w:p w14:paraId="0DCEC6CE" w14:textId="783F0226" w:rsidR="00707BE8" w:rsidRDefault="00707BE8">
      <w:pPr>
        <w:pStyle w:val="TOC3"/>
        <w:rPr>
          <w:rFonts w:eastAsiaTheme="minorEastAsia"/>
          <w:noProof/>
          <w:sz w:val="24"/>
          <w:szCs w:val="24"/>
          <w:lang w:eastAsia="en-GB"/>
        </w:rPr>
      </w:pPr>
      <w:r w:rsidRPr="00A040D2">
        <w:rPr>
          <w:rFonts w:ascii="Arial" w:eastAsia="Times New Roman" w:hAnsi="Arial" w:cs="Arial"/>
          <w:b/>
          <w:noProof/>
        </w:rPr>
        <w:t>19. Signatures</w:t>
      </w:r>
      <w:r>
        <w:rPr>
          <w:noProof/>
        </w:rPr>
        <w:tab/>
      </w:r>
      <w:r>
        <w:rPr>
          <w:noProof/>
        </w:rPr>
        <w:fldChar w:fldCharType="begin"/>
      </w:r>
      <w:r>
        <w:rPr>
          <w:noProof/>
        </w:rPr>
        <w:instrText xml:space="preserve"> PAGEREF _Toc121909760 \h </w:instrText>
      </w:r>
      <w:r>
        <w:rPr>
          <w:noProof/>
        </w:rPr>
      </w:r>
      <w:r>
        <w:rPr>
          <w:noProof/>
        </w:rPr>
        <w:fldChar w:fldCharType="separate"/>
      </w:r>
      <w:r>
        <w:rPr>
          <w:noProof/>
        </w:rPr>
        <w:t>55</w:t>
      </w:r>
      <w:r>
        <w:rPr>
          <w:noProof/>
        </w:rPr>
        <w:fldChar w:fldCharType="end"/>
      </w:r>
    </w:p>
    <w:p w14:paraId="50AD84BB" w14:textId="30F1CD49" w:rsidR="00707BE8" w:rsidRDefault="00707BE8">
      <w:pPr>
        <w:pStyle w:val="TOC3"/>
        <w:rPr>
          <w:rFonts w:eastAsiaTheme="minorEastAsia"/>
          <w:noProof/>
          <w:sz w:val="24"/>
          <w:szCs w:val="24"/>
          <w:lang w:eastAsia="en-GB"/>
        </w:rPr>
      </w:pPr>
      <w:r w:rsidRPr="00A040D2">
        <w:rPr>
          <w:rFonts w:ascii="Arial" w:eastAsia="Times New Roman" w:hAnsi="Arial" w:cs="Arial"/>
          <w:b/>
          <w:noProof/>
          <w:lang w:val="en-US"/>
        </w:rPr>
        <w:t>Appendix 1</w:t>
      </w:r>
      <w:r>
        <w:rPr>
          <w:noProof/>
        </w:rPr>
        <w:tab/>
      </w:r>
      <w:r>
        <w:rPr>
          <w:noProof/>
        </w:rPr>
        <w:fldChar w:fldCharType="begin"/>
      </w:r>
      <w:r>
        <w:rPr>
          <w:noProof/>
        </w:rPr>
        <w:instrText xml:space="preserve"> PAGEREF _Toc121909761 \h </w:instrText>
      </w:r>
      <w:r>
        <w:rPr>
          <w:noProof/>
        </w:rPr>
      </w:r>
      <w:r>
        <w:rPr>
          <w:noProof/>
        </w:rPr>
        <w:fldChar w:fldCharType="separate"/>
      </w:r>
      <w:r>
        <w:rPr>
          <w:noProof/>
        </w:rPr>
        <w:t>56</w:t>
      </w:r>
      <w:r>
        <w:rPr>
          <w:noProof/>
        </w:rPr>
        <w:fldChar w:fldCharType="end"/>
      </w:r>
    </w:p>
    <w:p w14:paraId="2BC9E71B" w14:textId="668F34A0" w:rsidR="00707BE8" w:rsidRDefault="00707BE8">
      <w:pPr>
        <w:pStyle w:val="TOC2"/>
        <w:tabs>
          <w:tab w:val="right" w:leader="dot" w:pos="9016"/>
        </w:tabs>
        <w:rPr>
          <w:rFonts w:eastAsiaTheme="minorEastAsia"/>
          <w:noProof/>
          <w:sz w:val="24"/>
          <w:szCs w:val="24"/>
          <w:lang w:eastAsia="en-GB"/>
        </w:rPr>
      </w:pPr>
      <w:r w:rsidRPr="00A040D2">
        <w:rPr>
          <w:rFonts w:ascii="Arial" w:eastAsia="Times New Roman" w:hAnsi="Arial" w:cs="Arial"/>
          <w:b/>
          <w:noProof/>
          <w:color w:val="000000"/>
        </w:rPr>
        <w:t>Summary of changes to protocol approved by the ethics committee</w:t>
      </w:r>
      <w:r>
        <w:rPr>
          <w:noProof/>
        </w:rPr>
        <w:tab/>
      </w:r>
      <w:r>
        <w:rPr>
          <w:noProof/>
        </w:rPr>
        <w:fldChar w:fldCharType="begin"/>
      </w:r>
      <w:r>
        <w:rPr>
          <w:noProof/>
        </w:rPr>
        <w:instrText xml:space="preserve"> PAGEREF _Toc121909762 \h </w:instrText>
      </w:r>
      <w:r>
        <w:rPr>
          <w:noProof/>
        </w:rPr>
      </w:r>
      <w:r>
        <w:rPr>
          <w:noProof/>
        </w:rPr>
        <w:fldChar w:fldCharType="separate"/>
      </w:r>
      <w:r>
        <w:rPr>
          <w:noProof/>
        </w:rPr>
        <w:t>63</w:t>
      </w:r>
      <w:r>
        <w:rPr>
          <w:noProof/>
        </w:rPr>
        <w:fldChar w:fldCharType="end"/>
      </w:r>
    </w:p>
    <w:p w14:paraId="7BB3C33B" w14:textId="1B47966E" w:rsidR="00707BE8" w:rsidRDefault="00707BE8">
      <w:pPr>
        <w:pStyle w:val="TOC3"/>
        <w:rPr>
          <w:rFonts w:eastAsiaTheme="minorEastAsia"/>
          <w:noProof/>
          <w:sz w:val="24"/>
          <w:szCs w:val="24"/>
          <w:lang w:eastAsia="en-GB"/>
        </w:rPr>
      </w:pPr>
      <w:r w:rsidRPr="00A040D2">
        <w:rPr>
          <w:rFonts w:ascii="Arial" w:eastAsia="Times New Roman" w:hAnsi="Arial" w:cs="Arial"/>
          <w:bCs/>
          <w:i/>
          <w:iCs/>
          <w:noProof/>
          <w:color w:val="000000"/>
        </w:rPr>
        <w:t>Version 2 07/11/12:</w:t>
      </w:r>
      <w:r>
        <w:rPr>
          <w:noProof/>
        </w:rPr>
        <w:tab/>
      </w:r>
      <w:r>
        <w:rPr>
          <w:noProof/>
        </w:rPr>
        <w:fldChar w:fldCharType="begin"/>
      </w:r>
      <w:r>
        <w:rPr>
          <w:noProof/>
        </w:rPr>
        <w:instrText xml:space="preserve"> PAGEREF _Toc121909763 \h </w:instrText>
      </w:r>
      <w:r>
        <w:rPr>
          <w:noProof/>
        </w:rPr>
      </w:r>
      <w:r>
        <w:rPr>
          <w:noProof/>
        </w:rPr>
        <w:fldChar w:fldCharType="separate"/>
      </w:r>
      <w:r>
        <w:rPr>
          <w:noProof/>
        </w:rPr>
        <w:t>63</w:t>
      </w:r>
      <w:r>
        <w:rPr>
          <w:noProof/>
        </w:rPr>
        <w:fldChar w:fldCharType="end"/>
      </w:r>
    </w:p>
    <w:p w14:paraId="3A55B920" w14:textId="464FF0CF" w:rsidR="00707BE8" w:rsidRDefault="00707BE8">
      <w:pPr>
        <w:pStyle w:val="TOC3"/>
        <w:rPr>
          <w:rFonts w:eastAsiaTheme="minorEastAsia"/>
          <w:noProof/>
          <w:sz w:val="24"/>
          <w:szCs w:val="24"/>
          <w:lang w:eastAsia="en-GB"/>
        </w:rPr>
      </w:pPr>
      <w:r w:rsidRPr="00A040D2">
        <w:rPr>
          <w:rFonts w:ascii="Arial" w:eastAsia="Times New Roman" w:hAnsi="Arial" w:cs="Arial"/>
          <w:bCs/>
          <w:i/>
          <w:iCs/>
          <w:noProof/>
          <w:color w:val="000000"/>
        </w:rPr>
        <w:t>Version 3 29/1/2013</w:t>
      </w:r>
      <w:r>
        <w:rPr>
          <w:noProof/>
        </w:rPr>
        <w:tab/>
      </w:r>
      <w:r>
        <w:rPr>
          <w:noProof/>
        </w:rPr>
        <w:fldChar w:fldCharType="begin"/>
      </w:r>
      <w:r>
        <w:rPr>
          <w:noProof/>
        </w:rPr>
        <w:instrText xml:space="preserve"> PAGEREF _Toc121909764 \h </w:instrText>
      </w:r>
      <w:r>
        <w:rPr>
          <w:noProof/>
        </w:rPr>
      </w:r>
      <w:r>
        <w:rPr>
          <w:noProof/>
        </w:rPr>
        <w:fldChar w:fldCharType="separate"/>
      </w:r>
      <w:r>
        <w:rPr>
          <w:noProof/>
        </w:rPr>
        <w:t>63</w:t>
      </w:r>
      <w:r>
        <w:rPr>
          <w:noProof/>
        </w:rPr>
        <w:fldChar w:fldCharType="end"/>
      </w:r>
    </w:p>
    <w:p w14:paraId="05ABE2DC" w14:textId="2AEA7592" w:rsidR="00707BE8" w:rsidRDefault="00707BE8">
      <w:pPr>
        <w:pStyle w:val="TOC3"/>
        <w:rPr>
          <w:rFonts w:eastAsiaTheme="minorEastAsia"/>
          <w:noProof/>
          <w:sz w:val="24"/>
          <w:szCs w:val="24"/>
          <w:lang w:eastAsia="en-GB"/>
        </w:rPr>
      </w:pPr>
      <w:r w:rsidRPr="00A040D2">
        <w:rPr>
          <w:rFonts w:ascii="Arial" w:eastAsia="Times New Roman" w:hAnsi="Arial" w:cs="Arial"/>
          <w:bCs/>
          <w:i/>
          <w:iCs/>
          <w:noProof/>
          <w:color w:val="000000"/>
        </w:rPr>
        <w:t>Version 4 13/5/2013</w:t>
      </w:r>
      <w:r>
        <w:rPr>
          <w:noProof/>
        </w:rPr>
        <w:tab/>
      </w:r>
      <w:r>
        <w:rPr>
          <w:noProof/>
        </w:rPr>
        <w:fldChar w:fldCharType="begin"/>
      </w:r>
      <w:r>
        <w:rPr>
          <w:noProof/>
        </w:rPr>
        <w:instrText xml:space="preserve"> PAGEREF _Toc121909765 \h </w:instrText>
      </w:r>
      <w:r>
        <w:rPr>
          <w:noProof/>
        </w:rPr>
      </w:r>
      <w:r>
        <w:rPr>
          <w:noProof/>
        </w:rPr>
        <w:fldChar w:fldCharType="separate"/>
      </w:r>
      <w:r>
        <w:rPr>
          <w:noProof/>
        </w:rPr>
        <w:t>63</w:t>
      </w:r>
      <w:r>
        <w:rPr>
          <w:noProof/>
        </w:rPr>
        <w:fldChar w:fldCharType="end"/>
      </w:r>
    </w:p>
    <w:p w14:paraId="2E2ACA6B" w14:textId="1F8D27C9" w:rsidR="00707BE8" w:rsidRDefault="00707BE8">
      <w:pPr>
        <w:pStyle w:val="TOC3"/>
        <w:rPr>
          <w:rFonts w:eastAsiaTheme="minorEastAsia"/>
          <w:noProof/>
          <w:sz w:val="24"/>
          <w:szCs w:val="24"/>
          <w:lang w:eastAsia="en-GB"/>
        </w:rPr>
      </w:pPr>
      <w:r w:rsidRPr="00A040D2">
        <w:rPr>
          <w:rFonts w:ascii="Arial" w:eastAsia="Times New Roman" w:hAnsi="Arial" w:cs="Arial"/>
          <w:bCs/>
          <w:i/>
          <w:iCs/>
          <w:noProof/>
          <w:color w:val="000000"/>
        </w:rPr>
        <w:t>Version 5 9/7/2013</w:t>
      </w:r>
      <w:r>
        <w:rPr>
          <w:noProof/>
        </w:rPr>
        <w:tab/>
      </w:r>
      <w:r>
        <w:rPr>
          <w:noProof/>
        </w:rPr>
        <w:fldChar w:fldCharType="begin"/>
      </w:r>
      <w:r>
        <w:rPr>
          <w:noProof/>
        </w:rPr>
        <w:instrText xml:space="preserve"> PAGEREF _Toc121909766 \h </w:instrText>
      </w:r>
      <w:r>
        <w:rPr>
          <w:noProof/>
        </w:rPr>
      </w:r>
      <w:r>
        <w:rPr>
          <w:noProof/>
        </w:rPr>
        <w:fldChar w:fldCharType="separate"/>
      </w:r>
      <w:r>
        <w:rPr>
          <w:noProof/>
        </w:rPr>
        <w:t>63</w:t>
      </w:r>
      <w:r>
        <w:rPr>
          <w:noProof/>
        </w:rPr>
        <w:fldChar w:fldCharType="end"/>
      </w:r>
    </w:p>
    <w:p w14:paraId="3AA44310" w14:textId="05EB163D" w:rsidR="00707BE8" w:rsidRDefault="00707BE8">
      <w:pPr>
        <w:pStyle w:val="TOC3"/>
        <w:rPr>
          <w:rFonts w:eastAsiaTheme="minorEastAsia"/>
          <w:noProof/>
          <w:sz w:val="24"/>
          <w:szCs w:val="24"/>
          <w:lang w:eastAsia="en-GB"/>
        </w:rPr>
      </w:pPr>
      <w:r w:rsidRPr="00A040D2">
        <w:rPr>
          <w:rFonts w:ascii="Arial" w:eastAsia="Times New Roman" w:hAnsi="Arial" w:cs="Arial"/>
          <w:bCs/>
          <w:i/>
          <w:iCs/>
          <w:noProof/>
          <w:color w:val="000000"/>
        </w:rPr>
        <w:t>Version 6 6/12/2013</w:t>
      </w:r>
      <w:r>
        <w:rPr>
          <w:noProof/>
        </w:rPr>
        <w:tab/>
      </w:r>
      <w:r>
        <w:rPr>
          <w:noProof/>
        </w:rPr>
        <w:fldChar w:fldCharType="begin"/>
      </w:r>
      <w:r>
        <w:rPr>
          <w:noProof/>
        </w:rPr>
        <w:instrText xml:space="preserve"> PAGEREF _Toc121909767 \h </w:instrText>
      </w:r>
      <w:r>
        <w:rPr>
          <w:noProof/>
        </w:rPr>
      </w:r>
      <w:r>
        <w:rPr>
          <w:noProof/>
        </w:rPr>
        <w:fldChar w:fldCharType="separate"/>
      </w:r>
      <w:r>
        <w:rPr>
          <w:noProof/>
        </w:rPr>
        <w:t>63</w:t>
      </w:r>
      <w:r>
        <w:rPr>
          <w:noProof/>
        </w:rPr>
        <w:fldChar w:fldCharType="end"/>
      </w:r>
    </w:p>
    <w:p w14:paraId="4AAD8EA2" w14:textId="44847002" w:rsidR="00707BE8" w:rsidRDefault="00707BE8">
      <w:pPr>
        <w:pStyle w:val="TOC3"/>
        <w:rPr>
          <w:rFonts w:eastAsiaTheme="minorEastAsia"/>
          <w:noProof/>
          <w:sz w:val="24"/>
          <w:szCs w:val="24"/>
          <w:lang w:eastAsia="en-GB"/>
        </w:rPr>
      </w:pPr>
      <w:r w:rsidRPr="00A040D2">
        <w:rPr>
          <w:rFonts w:ascii="Arial" w:eastAsia="Times New Roman" w:hAnsi="Arial" w:cs="Arial"/>
          <w:bCs/>
          <w:i/>
          <w:iCs/>
          <w:noProof/>
          <w:color w:val="000000"/>
        </w:rPr>
        <w:t>Version 7 7/4/2014</w:t>
      </w:r>
      <w:r>
        <w:rPr>
          <w:noProof/>
        </w:rPr>
        <w:tab/>
      </w:r>
      <w:r>
        <w:rPr>
          <w:noProof/>
        </w:rPr>
        <w:fldChar w:fldCharType="begin"/>
      </w:r>
      <w:r>
        <w:rPr>
          <w:noProof/>
        </w:rPr>
        <w:instrText xml:space="preserve"> PAGEREF _Toc121909768 \h </w:instrText>
      </w:r>
      <w:r>
        <w:rPr>
          <w:noProof/>
        </w:rPr>
      </w:r>
      <w:r>
        <w:rPr>
          <w:noProof/>
        </w:rPr>
        <w:fldChar w:fldCharType="separate"/>
      </w:r>
      <w:r>
        <w:rPr>
          <w:noProof/>
        </w:rPr>
        <w:t>64</w:t>
      </w:r>
      <w:r>
        <w:rPr>
          <w:noProof/>
        </w:rPr>
        <w:fldChar w:fldCharType="end"/>
      </w:r>
    </w:p>
    <w:p w14:paraId="7F45C42D" w14:textId="19D0C874" w:rsidR="00707BE8" w:rsidRDefault="00707BE8">
      <w:pPr>
        <w:pStyle w:val="TOC3"/>
        <w:rPr>
          <w:rFonts w:eastAsiaTheme="minorEastAsia"/>
          <w:noProof/>
          <w:sz w:val="24"/>
          <w:szCs w:val="24"/>
          <w:lang w:eastAsia="en-GB"/>
        </w:rPr>
      </w:pPr>
      <w:r w:rsidRPr="00A040D2">
        <w:rPr>
          <w:rFonts w:ascii="Arial" w:eastAsia="Times New Roman" w:hAnsi="Arial" w:cs="Arial"/>
          <w:bCs/>
          <w:i/>
          <w:iCs/>
          <w:noProof/>
          <w:color w:val="000000"/>
        </w:rPr>
        <w:t>Version 8 1/7/2014</w:t>
      </w:r>
      <w:r>
        <w:rPr>
          <w:noProof/>
        </w:rPr>
        <w:tab/>
      </w:r>
      <w:r>
        <w:rPr>
          <w:noProof/>
        </w:rPr>
        <w:fldChar w:fldCharType="begin"/>
      </w:r>
      <w:r>
        <w:rPr>
          <w:noProof/>
        </w:rPr>
        <w:instrText xml:space="preserve"> PAGEREF _Toc121909769 \h </w:instrText>
      </w:r>
      <w:r>
        <w:rPr>
          <w:noProof/>
        </w:rPr>
      </w:r>
      <w:r>
        <w:rPr>
          <w:noProof/>
        </w:rPr>
        <w:fldChar w:fldCharType="separate"/>
      </w:r>
      <w:r>
        <w:rPr>
          <w:noProof/>
        </w:rPr>
        <w:t>64</w:t>
      </w:r>
      <w:r>
        <w:rPr>
          <w:noProof/>
        </w:rPr>
        <w:fldChar w:fldCharType="end"/>
      </w:r>
    </w:p>
    <w:p w14:paraId="3283DEB2" w14:textId="4F3A18B5" w:rsidR="00707BE8" w:rsidRDefault="00707BE8">
      <w:pPr>
        <w:pStyle w:val="TOC3"/>
        <w:rPr>
          <w:rFonts w:eastAsiaTheme="minorEastAsia"/>
          <w:noProof/>
          <w:sz w:val="24"/>
          <w:szCs w:val="24"/>
          <w:lang w:eastAsia="en-GB"/>
        </w:rPr>
      </w:pPr>
      <w:r w:rsidRPr="00A040D2">
        <w:rPr>
          <w:rFonts w:ascii="Arial" w:eastAsia="Times New Roman" w:hAnsi="Arial" w:cs="Arial"/>
          <w:bCs/>
          <w:noProof/>
          <w:color w:val="000000"/>
        </w:rPr>
        <w:t>Version 9 15/10/2014</w:t>
      </w:r>
      <w:r>
        <w:rPr>
          <w:noProof/>
        </w:rPr>
        <w:tab/>
      </w:r>
      <w:r>
        <w:rPr>
          <w:noProof/>
        </w:rPr>
        <w:fldChar w:fldCharType="begin"/>
      </w:r>
      <w:r>
        <w:rPr>
          <w:noProof/>
        </w:rPr>
        <w:instrText xml:space="preserve"> PAGEREF _Toc121909770 \h </w:instrText>
      </w:r>
      <w:r>
        <w:rPr>
          <w:noProof/>
        </w:rPr>
      </w:r>
      <w:r>
        <w:rPr>
          <w:noProof/>
        </w:rPr>
        <w:fldChar w:fldCharType="separate"/>
      </w:r>
      <w:r>
        <w:rPr>
          <w:noProof/>
        </w:rPr>
        <w:t>65</w:t>
      </w:r>
      <w:r>
        <w:rPr>
          <w:noProof/>
        </w:rPr>
        <w:fldChar w:fldCharType="end"/>
      </w:r>
    </w:p>
    <w:p w14:paraId="08031F52" w14:textId="5F8156F4" w:rsidR="00707BE8" w:rsidRDefault="00707BE8">
      <w:pPr>
        <w:pStyle w:val="TOC3"/>
        <w:rPr>
          <w:rFonts w:eastAsiaTheme="minorEastAsia"/>
          <w:noProof/>
          <w:sz w:val="24"/>
          <w:szCs w:val="24"/>
          <w:lang w:eastAsia="en-GB"/>
        </w:rPr>
      </w:pPr>
      <w:r w:rsidRPr="00A040D2">
        <w:rPr>
          <w:rFonts w:ascii="Arial" w:eastAsia="Times New Roman" w:hAnsi="Arial" w:cs="Arial"/>
          <w:bCs/>
          <w:i/>
          <w:iCs/>
          <w:noProof/>
          <w:color w:val="000000"/>
        </w:rPr>
        <w:t>Version 10 11/08/2015</w:t>
      </w:r>
      <w:r>
        <w:rPr>
          <w:noProof/>
        </w:rPr>
        <w:tab/>
      </w:r>
      <w:r>
        <w:rPr>
          <w:noProof/>
        </w:rPr>
        <w:fldChar w:fldCharType="begin"/>
      </w:r>
      <w:r>
        <w:rPr>
          <w:noProof/>
        </w:rPr>
        <w:instrText xml:space="preserve"> PAGEREF _Toc121909771 \h </w:instrText>
      </w:r>
      <w:r>
        <w:rPr>
          <w:noProof/>
        </w:rPr>
      </w:r>
      <w:r>
        <w:rPr>
          <w:noProof/>
        </w:rPr>
        <w:fldChar w:fldCharType="separate"/>
      </w:r>
      <w:r>
        <w:rPr>
          <w:noProof/>
        </w:rPr>
        <w:t>65</w:t>
      </w:r>
      <w:r>
        <w:rPr>
          <w:noProof/>
        </w:rPr>
        <w:fldChar w:fldCharType="end"/>
      </w:r>
    </w:p>
    <w:p w14:paraId="7AD5394B" w14:textId="482B2C95" w:rsidR="00707BE8" w:rsidRDefault="00707BE8">
      <w:pPr>
        <w:pStyle w:val="TOC3"/>
        <w:rPr>
          <w:rFonts w:eastAsiaTheme="minorEastAsia"/>
          <w:noProof/>
          <w:sz w:val="24"/>
          <w:szCs w:val="24"/>
          <w:lang w:eastAsia="en-GB"/>
        </w:rPr>
      </w:pPr>
      <w:r w:rsidRPr="00A040D2">
        <w:rPr>
          <w:rFonts w:ascii="Arial" w:eastAsia="Times New Roman" w:hAnsi="Arial" w:cs="Arial"/>
          <w:bCs/>
          <w:i/>
          <w:iCs/>
          <w:noProof/>
          <w:color w:val="000000"/>
        </w:rPr>
        <w:t>Version 11 26/11/2015</w:t>
      </w:r>
      <w:r>
        <w:rPr>
          <w:noProof/>
        </w:rPr>
        <w:tab/>
      </w:r>
      <w:r>
        <w:rPr>
          <w:noProof/>
        </w:rPr>
        <w:fldChar w:fldCharType="begin"/>
      </w:r>
      <w:r>
        <w:rPr>
          <w:noProof/>
        </w:rPr>
        <w:instrText xml:space="preserve"> PAGEREF _Toc121909772 \h </w:instrText>
      </w:r>
      <w:r>
        <w:rPr>
          <w:noProof/>
        </w:rPr>
      </w:r>
      <w:r>
        <w:rPr>
          <w:noProof/>
        </w:rPr>
        <w:fldChar w:fldCharType="separate"/>
      </w:r>
      <w:r>
        <w:rPr>
          <w:noProof/>
        </w:rPr>
        <w:t>65</w:t>
      </w:r>
      <w:r>
        <w:rPr>
          <w:noProof/>
        </w:rPr>
        <w:fldChar w:fldCharType="end"/>
      </w:r>
    </w:p>
    <w:p w14:paraId="6103EE67" w14:textId="1A98AD82" w:rsidR="00707BE8" w:rsidRDefault="00707BE8">
      <w:pPr>
        <w:pStyle w:val="TOC3"/>
        <w:rPr>
          <w:rFonts w:eastAsiaTheme="minorEastAsia"/>
          <w:noProof/>
          <w:sz w:val="24"/>
          <w:szCs w:val="24"/>
          <w:lang w:eastAsia="en-GB"/>
        </w:rPr>
      </w:pPr>
      <w:r w:rsidRPr="00A040D2">
        <w:rPr>
          <w:rFonts w:ascii="Arial" w:eastAsia="Times New Roman" w:hAnsi="Arial" w:cs="Arial"/>
          <w:bCs/>
          <w:i/>
          <w:iCs/>
          <w:noProof/>
          <w:color w:val="000000"/>
        </w:rPr>
        <w:t>Version 12 1/12/16</w:t>
      </w:r>
      <w:r>
        <w:rPr>
          <w:noProof/>
        </w:rPr>
        <w:tab/>
      </w:r>
      <w:r>
        <w:rPr>
          <w:noProof/>
        </w:rPr>
        <w:fldChar w:fldCharType="begin"/>
      </w:r>
      <w:r>
        <w:rPr>
          <w:noProof/>
        </w:rPr>
        <w:instrText xml:space="preserve"> PAGEREF _Toc121909773 \h </w:instrText>
      </w:r>
      <w:r>
        <w:rPr>
          <w:noProof/>
        </w:rPr>
      </w:r>
      <w:r>
        <w:rPr>
          <w:noProof/>
        </w:rPr>
        <w:fldChar w:fldCharType="separate"/>
      </w:r>
      <w:r>
        <w:rPr>
          <w:noProof/>
        </w:rPr>
        <w:t>65</w:t>
      </w:r>
      <w:r>
        <w:rPr>
          <w:noProof/>
        </w:rPr>
        <w:fldChar w:fldCharType="end"/>
      </w:r>
    </w:p>
    <w:p w14:paraId="6EDDBE81" w14:textId="0C5700C4" w:rsidR="00707BE8" w:rsidRDefault="00707BE8">
      <w:pPr>
        <w:pStyle w:val="TOC3"/>
        <w:rPr>
          <w:rFonts w:eastAsiaTheme="minorEastAsia"/>
          <w:noProof/>
          <w:sz w:val="24"/>
          <w:szCs w:val="24"/>
          <w:lang w:eastAsia="en-GB"/>
        </w:rPr>
      </w:pPr>
      <w:r w:rsidRPr="00A040D2">
        <w:rPr>
          <w:rFonts w:ascii="Arial" w:eastAsia="Times New Roman" w:hAnsi="Arial" w:cs="Arial"/>
          <w:bCs/>
          <w:i/>
          <w:iCs/>
          <w:noProof/>
          <w:color w:val="000000"/>
        </w:rPr>
        <w:t>Version 13 21/11/18</w:t>
      </w:r>
      <w:r>
        <w:rPr>
          <w:noProof/>
        </w:rPr>
        <w:tab/>
      </w:r>
      <w:r>
        <w:rPr>
          <w:noProof/>
        </w:rPr>
        <w:fldChar w:fldCharType="begin"/>
      </w:r>
      <w:r>
        <w:rPr>
          <w:noProof/>
        </w:rPr>
        <w:instrText xml:space="preserve"> PAGEREF _Toc121909774 \h </w:instrText>
      </w:r>
      <w:r>
        <w:rPr>
          <w:noProof/>
        </w:rPr>
      </w:r>
      <w:r>
        <w:rPr>
          <w:noProof/>
        </w:rPr>
        <w:fldChar w:fldCharType="separate"/>
      </w:r>
      <w:r>
        <w:rPr>
          <w:noProof/>
        </w:rPr>
        <w:t>65</w:t>
      </w:r>
      <w:r>
        <w:rPr>
          <w:noProof/>
        </w:rPr>
        <w:fldChar w:fldCharType="end"/>
      </w:r>
    </w:p>
    <w:p w14:paraId="4BE259F1" w14:textId="19C099B3" w:rsidR="00707BE8" w:rsidRDefault="00707BE8">
      <w:pPr>
        <w:pStyle w:val="TOC3"/>
        <w:rPr>
          <w:rFonts w:eastAsiaTheme="minorEastAsia"/>
          <w:noProof/>
          <w:sz w:val="24"/>
          <w:szCs w:val="24"/>
          <w:lang w:eastAsia="en-GB"/>
        </w:rPr>
      </w:pPr>
      <w:r w:rsidRPr="00A040D2">
        <w:rPr>
          <w:rFonts w:ascii="Arial" w:eastAsia="Times New Roman" w:hAnsi="Arial" w:cs="Arial"/>
          <w:bCs/>
          <w:i/>
          <w:iCs/>
          <w:noProof/>
          <w:color w:val="000000"/>
          <w:lang w:val="en-US"/>
        </w:rPr>
        <w:t xml:space="preserve">Version14 </w:t>
      </w:r>
      <w:r w:rsidRPr="00A040D2">
        <w:rPr>
          <w:rFonts w:ascii="Arial" w:eastAsia="Times New Roman" w:hAnsi="Arial" w:cs="Arial"/>
          <w:bCs/>
          <w:i/>
          <w:iCs/>
          <w:noProof/>
          <w:color w:val="000000"/>
        </w:rPr>
        <w:t>08/07/2020</w:t>
      </w:r>
      <w:r>
        <w:rPr>
          <w:noProof/>
        </w:rPr>
        <w:tab/>
      </w:r>
      <w:r>
        <w:rPr>
          <w:noProof/>
        </w:rPr>
        <w:fldChar w:fldCharType="begin"/>
      </w:r>
      <w:r>
        <w:rPr>
          <w:noProof/>
        </w:rPr>
        <w:instrText xml:space="preserve"> PAGEREF _Toc121909775 \h </w:instrText>
      </w:r>
      <w:r>
        <w:rPr>
          <w:noProof/>
        </w:rPr>
      </w:r>
      <w:r>
        <w:rPr>
          <w:noProof/>
        </w:rPr>
        <w:fldChar w:fldCharType="separate"/>
      </w:r>
      <w:r>
        <w:rPr>
          <w:noProof/>
        </w:rPr>
        <w:t>66</w:t>
      </w:r>
      <w:r>
        <w:rPr>
          <w:noProof/>
        </w:rPr>
        <w:fldChar w:fldCharType="end"/>
      </w:r>
    </w:p>
    <w:p w14:paraId="45A14ECA" w14:textId="4A2E6059" w:rsidR="00707BE8" w:rsidRDefault="00707BE8">
      <w:pPr>
        <w:pStyle w:val="TOC1"/>
        <w:tabs>
          <w:tab w:val="right" w:leader="dot" w:pos="9016"/>
        </w:tabs>
        <w:rPr>
          <w:rFonts w:eastAsiaTheme="minorEastAsia"/>
          <w:noProof/>
          <w:sz w:val="24"/>
          <w:szCs w:val="24"/>
          <w:lang w:eastAsia="en-GB"/>
        </w:rPr>
      </w:pPr>
      <w:r w:rsidRPr="00A040D2">
        <w:rPr>
          <w:rFonts w:cs="Arial"/>
          <w:noProof/>
        </w:rPr>
        <w:lastRenderedPageBreak/>
        <w:t>A randomised controlled trial of a combined screening /treatment programme to prevent premature failure of renal transplants due to chronic rejection in patients with HLA antibodies (OuTSMART trial)</w:t>
      </w:r>
      <w:r>
        <w:rPr>
          <w:noProof/>
        </w:rPr>
        <w:tab/>
      </w:r>
      <w:r>
        <w:rPr>
          <w:noProof/>
        </w:rPr>
        <w:fldChar w:fldCharType="begin"/>
      </w:r>
      <w:r>
        <w:rPr>
          <w:noProof/>
        </w:rPr>
        <w:instrText xml:space="preserve"> PAGEREF _Toc121909776 \h </w:instrText>
      </w:r>
      <w:r>
        <w:rPr>
          <w:noProof/>
        </w:rPr>
      </w:r>
      <w:r>
        <w:rPr>
          <w:noProof/>
        </w:rPr>
        <w:fldChar w:fldCharType="separate"/>
      </w:r>
      <w:r>
        <w:rPr>
          <w:noProof/>
        </w:rPr>
        <w:t>67</w:t>
      </w:r>
      <w:r>
        <w:rPr>
          <w:noProof/>
        </w:rPr>
        <w:fldChar w:fldCharType="end"/>
      </w:r>
    </w:p>
    <w:p w14:paraId="585865DC" w14:textId="6DEC3A4C" w:rsidR="00707BE8" w:rsidRDefault="00707BE8">
      <w:pPr>
        <w:pStyle w:val="TOC1"/>
        <w:tabs>
          <w:tab w:val="right" w:leader="dot" w:pos="9016"/>
        </w:tabs>
        <w:rPr>
          <w:rFonts w:eastAsiaTheme="minorEastAsia"/>
          <w:noProof/>
          <w:sz w:val="24"/>
          <w:szCs w:val="24"/>
          <w:lang w:eastAsia="en-GB"/>
        </w:rPr>
      </w:pPr>
      <w:r w:rsidRPr="00A040D2">
        <w:rPr>
          <w:rFonts w:cs="Arial"/>
          <w:noProof/>
        </w:rPr>
        <w:t>Statistical Analysis Plan</w:t>
      </w:r>
      <w:r>
        <w:rPr>
          <w:noProof/>
        </w:rPr>
        <w:tab/>
      </w:r>
      <w:r>
        <w:rPr>
          <w:noProof/>
        </w:rPr>
        <w:fldChar w:fldCharType="begin"/>
      </w:r>
      <w:r>
        <w:rPr>
          <w:noProof/>
        </w:rPr>
        <w:instrText xml:space="preserve"> PAGEREF _Toc121909777 \h </w:instrText>
      </w:r>
      <w:r>
        <w:rPr>
          <w:noProof/>
        </w:rPr>
      </w:r>
      <w:r>
        <w:rPr>
          <w:noProof/>
        </w:rPr>
        <w:fldChar w:fldCharType="separate"/>
      </w:r>
      <w:r>
        <w:rPr>
          <w:noProof/>
        </w:rPr>
        <w:t>67</w:t>
      </w:r>
      <w:r>
        <w:rPr>
          <w:noProof/>
        </w:rPr>
        <w:fldChar w:fldCharType="end"/>
      </w:r>
    </w:p>
    <w:p w14:paraId="524897E4" w14:textId="27862BB3" w:rsidR="00707BE8" w:rsidRDefault="00707BE8">
      <w:pPr>
        <w:pStyle w:val="TOC1"/>
        <w:tabs>
          <w:tab w:val="right" w:leader="dot" w:pos="9016"/>
        </w:tabs>
        <w:rPr>
          <w:rFonts w:eastAsiaTheme="minorEastAsia"/>
          <w:noProof/>
          <w:sz w:val="24"/>
          <w:szCs w:val="24"/>
          <w:lang w:eastAsia="en-GB"/>
        </w:rPr>
      </w:pPr>
      <w:r w:rsidRPr="00A040D2">
        <w:rPr>
          <w:rFonts w:cs="Arial"/>
          <w:noProof/>
        </w:rPr>
        <w:t>Version 2.4</w:t>
      </w:r>
      <w:r>
        <w:rPr>
          <w:noProof/>
        </w:rPr>
        <w:tab/>
      </w:r>
      <w:r>
        <w:rPr>
          <w:noProof/>
        </w:rPr>
        <w:fldChar w:fldCharType="begin"/>
      </w:r>
      <w:r>
        <w:rPr>
          <w:noProof/>
        </w:rPr>
        <w:instrText xml:space="preserve"> PAGEREF _Toc121909778 \h </w:instrText>
      </w:r>
      <w:r>
        <w:rPr>
          <w:noProof/>
        </w:rPr>
      </w:r>
      <w:r>
        <w:rPr>
          <w:noProof/>
        </w:rPr>
        <w:fldChar w:fldCharType="separate"/>
      </w:r>
      <w:r>
        <w:rPr>
          <w:noProof/>
        </w:rPr>
        <w:t>67</w:t>
      </w:r>
      <w:r>
        <w:rPr>
          <w:noProof/>
        </w:rPr>
        <w:fldChar w:fldCharType="end"/>
      </w:r>
    </w:p>
    <w:p w14:paraId="45F7E00B" w14:textId="0BA5B06E" w:rsidR="00707BE8" w:rsidRDefault="00707BE8">
      <w:pPr>
        <w:pStyle w:val="TOC1"/>
        <w:tabs>
          <w:tab w:val="right" w:leader="dot" w:pos="9016"/>
        </w:tabs>
        <w:rPr>
          <w:rFonts w:eastAsiaTheme="minorEastAsia"/>
          <w:noProof/>
          <w:sz w:val="24"/>
          <w:szCs w:val="24"/>
          <w:lang w:eastAsia="en-GB"/>
        </w:rPr>
      </w:pPr>
      <w:r w:rsidRPr="00A040D2">
        <w:rPr>
          <w:rFonts w:cs="Arial"/>
          <w:noProof/>
        </w:rPr>
        <w:t>Version 2.4 started: 09/02/2021</w:t>
      </w:r>
      <w:r>
        <w:rPr>
          <w:noProof/>
        </w:rPr>
        <w:tab/>
      </w:r>
      <w:r>
        <w:rPr>
          <w:noProof/>
        </w:rPr>
        <w:fldChar w:fldCharType="begin"/>
      </w:r>
      <w:r>
        <w:rPr>
          <w:noProof/>
        </w:rPr>
        <w:instrText xml:space="preserve"> PAGEREF _Toc121909779 \h </w:instrText>
      </w:r>
      <w:r>
        <w:rPr>
          <w:noProof/>
        </w:rPr>
      </w:r>
      <w:r>
        <w:rPr>
          <w:noProof/>
        </w:rPr>
        <w:fldChar w:fldCharType="separate"/>
      </w:r>
      <w:r>
        <w:rPr>
          <w:noProof/>
        </w:rPr>
        <w:t>67</w:t>
      </w:r>
      <w:r>
        <w:rPr>
          <w:noProof/>
        </w:rPr>
        <w:fldChar w:fldCharType="end"/>
      </w:r>
    </w:p>
    <w:p w14:paraId="515AD425" w14:textId="0A3AF416" w:rsidR="00707BE8" w:rsidRDefault="00707BE8">
      <w:pPr>
        <w:pStyle w:val="TOC2"/>
        <w:tabs>
          <w:tab w:val="right" w:leader="dot" w:pos="9016"/>
        </w:tabs>
        <w:rPr>
          <w:rFonts w:eastAsiaTheme="minorEastAsia"/>
          <w:noProof/>
          <w:sz w:val="24"/>
          <w:szCs w:val="24"/>
          <w:lang w:eastAsia="en-GB"/>
        </w:rPr>
      </w:pPr>
      <w:r w:rsidRPr="00A040D2">
        <w:rPr>
          <w:rFonts w:asciiTheme="majorHAnsi" w:hAnsiTheme="majorHAnsi"/>
          <w:b/>
          <w:bCs/>
          <w:noProof/>
        </w:rPr>
        <w:t>Purpose and Scope of Statistical Analysis Strategy</w:t>
      </w:r>
      <w:r>
        <w:rPr>
          <w:noProof/>
        </w:rPr>
        <w:tab/>
      </w:r>
      <w:r>
        <w:rPr>
          <w:noProof/>
        </w:rPr>
        <w:fldChar w:fldCharType="begin"/>
      </w:r>
      <w:r>
        <w:rPr>
          <w:noProof/>
        </w:rPr>
        <w:instrText xml:space="preserve"> PAGEREF _Toc121909780 \h </w:instrText>
      </w:r>
      <w:r>
        <w:rPr>
          <w:noProof/>
        </w:rPr>
      </w:r>
      <w:r>
        <w:rPr>
          <w:noProof/>
        </w:rPr>
        <w:fldChar w:fldCharType="separate"/>
      </w:r>
      <w:r>
        <w:rPr>
          <w:noProof/>
        </w:rPr>
        <w:t>69</w:t>
      </w:r>
      <w:r>
        <w:rPr>
          <w:noProof/>
        </w:rPr>
        <w:fldChar w:fldCharType="end"/>
      </w:r>
    </w:p>
    <w:p w14:paraId="24897A97" w14:textId="60BA91E3" w:rsidR="00707BE8" w:rsidRDefault="00707BE8">
      <w:pPr>
        <w:pStyle w:val="TOC2"/>
        <w:tabs>
          <w:tab w:val="right" w:leader="dot" w:pos="9016"/>
        </w:tabs>
        <w:rPr>
          <w:rFonts w:eastAsiaTheme="minorEastAsia"/>
          <w:noProof/>
          <w:sz w:val="24"/>
          <w:szCs w:val="24"/>
          <w:lang w:eastAsia="en-GB"/>
        </w:rPr>
      </w:pPr>
      <w:r>
        <w:rPr>
          <w:noProof/>
        </w:rPr>
        <w:t>Contents</w:t>
      </w:r>
      <w:r>
        <w:rPr>
          <w:noProof/>
        </w:rPr>
        <w:tab/>
      </w:r>
      <w:r>
        <w:rPr>
          <w:noProof/>
        </w:rPr>
        <w:fldChar w:fldCharType="begin"/>
      </w:r>
      <w:r>
        <w:rPr>
          <w:noProof/>
        </w:rPr>
        <w:instrText xml:space="preserve"> PAGEREF _Toc121909781 \h </w:instrText>
      </w:r>
      <w:r>
        <w:rPr>
          <w:noProof/>
        </w:rPr>
      </w:r>
      <w:r>
        <w:rPr>
          <w:noProof/>
        </w:rPr>
        <w:fldChar w:fldCharType="separate"/>
      </w:r>
      <w:r>
        <w:rPr>
          <w:noProof/>
        </w:rPr>
        <w:t>70</w:t>
      </w:r>
      <w:r>
        <w:rPr>
          <w:noProof/>
        </w:rPr>
        <w:fldChar w:fldCharType="end"/>
      </w:r>
    </w:p>
    <w:p w14:paraId="4930C2F4" w14:textId="732D9134" w:rsidR="00707BE8" w:rsidRDefault="00707BE8">
      <w:pPr>
        <w:pStyle w:val="TOC1"/>
        <w:tabs>
          <w:tab w:val="right" w:leader="dot" w:pos="9016"/>
        </w:tabs>
        <w:rPr>
          <w:rFonts w:eastAsiaTheme="minorEastAsia"/>
          <w:noProof/>
          <w:sz w:val="24"/>
          <w:szCs w:val="24"/>
          <w:lang w:eastAsia="en-GB"/>
        </w:rPr>
      </w:pPr>
      <w:r w:rsidRPr="00A040D2">
        <w:rPr>
          <w:noProof/>
        </w:rPr>
        <w:t>A) QUANTITATIVE ANALYSIS PLAN</w:t>
      </w:r>
      <w:r>
        <w:rPr>
          <w:noProof/>
        </w:rPr>
        <w:tab/>
      </w:r>
      <w:r>
        <w:rPr>
          <w:noProof/>
        </w:rPr>
        <w:fldChar w:fldCharType="begin"/>
      </w:r>
      <w:r>
        <w:rPr>
          <w:noProof/>
        </w:rPr>
        <w:instrText xml:space="preserve"> PAGEREF _Toc121909782 \h </w:instrText>
      </w:r>
      <w:r>
        <w:rPr>
          <w:noProof/>
        </w:rPr>
      </w:r>
      <w:r>
        <w:rPr>
          <w:noProof/>
        </w:rPr>
        <w:fldChar w:fldCharType="separate"/>
      </w:r>
      <w:r>
        <w:rPr>
          <w:noProof/>
        </w:rPr>
        <w:t>71</w:t>
      </w:r>
      <w:r>
        <w:rPr>
          <w:noProof/>
        </w:rPr>
        <w:fldChar w:fldCharType="end"/>
      </w:r>
    </w:p>
    <w:p w14:paraId="6EB3EB25" w14:textId="426B9FC1" w:rsidR="00707BE8" w:rsidRDefault="00707BE8">
      <w:pPr>
        <w:pStyle w:val="TOC2"/>
        <w:tabs>
          <w:tab w:val="right" w:leader="dot" w:pos="9016"/>
        </w:tabs>
        <w:rPr>
          <w:rFonts w:eastAsiaTheme="minorEastAsia"/>
          <w:noProof/>
          <w:sz w:val="24"/>
          <w:szCs w:val="24"/>
          <w:lang w:eastAsia="en-GB"/>
        </w:rPr>
      </w:pPr>
      <w:r>
        <w:rPr>
          <w:noProof/>
        </w:rPr>
        <w:t>Description of the trial</w:t>
      </w:r>
      <w:r>
        <w:rPr>
          <w:noProof/>
        </w:rPr>
        <w:tab/>
      </w:r>
      <w:r>
        <w:rPr>
          <w:noProof/>
        </w:rPr>
        <w:fldChar w:fldCharType="begin"/>
      </w:r>
      <w:r>
        <w:rPr>
          <w:noProof/>
        </w:rPr>
        <w:instrText xml:space="preserve"> PAGEREF _Toc121909783 \h </w:instrText>
      </w:r>
      <w:r>
        <w:rPr>
          <w:noProof/>
        </w:rPr>
      </w:r>
      <w:r>
        <w:rPr>
          <w:noProof/>
        </w:rPr>
        <w:fldChar w:fldCharType="separate"/>
      </w:r>
      <w:r>
        <w:rPr>
          <w:noProof/>
        </w:rPr>
        <w:t>71</w:t>
      </w:r>
      <w:r>
        <w:rPr>
          <w:noProof/>
        </w:rPr>
        <w:fldChar w:fldCharType="end"/>
      </w:r>
    </w:p>
    <w:p w14:paraId="0750E8D9" w14:textId="0E32F4EE" w:rsidR="00707BE8" w:rsidRDefault="00707BE8">
      <w:pPr>
        <w:pStyle w:val="TOC3"/>
        <w:rPr>
          <w:rFonts w:eastAsiaTheme="minorEastAsia"/>
          <w:noProof/>
          <w:sz w:val="24"/>
          <w:szCs w:val="24"/>
          <w:lang w:eastAsia="en-GB"/>
        </w:rPr>
      </w:pPr>
      <w:r w:rsidRPr="00A040D2">
        <w:rPr>
          <w:noProof/>
        </w:rPr>
        <w:t>Protocol Publication:</w:t>
      </w:r>
      <w:r>
        <w:rPr>
          <w:noProof/>
        </w:rPr>
        <w:tab/>
      </w:r>
      <w:r>
        <w:rPr>
          <w:noProof/>
        </w:rPr>
        <w:fldChar w:fldCharType="begin"/>
      </w:r>
      <w:r>
        <w:rPr>
          <w:noProof/>
        </w:rPr>
        <w:instrText xml:space="preserve"> PAGEREF _Toc121909784 \h </w:instrText>
      </w:r>
      <w:r>
        <w:rPr>
          <w:noProof/>
        </w:rPr>
      </w:r>
      <w:r>
        <w:rPr>
          <w:noProof/>
        </w:rPr>
        <w:fldChar w:fldCharType="separate"/>
      </w:r>
      <w:r>
        <w:rPr>
          <w:noProof/>
        </w:rPr>
        <w:t>71</w:t>
      </w:r>
      <w:r>
        <w:rPr>
          <w:noProof/>
        </w:rPr>
        <w:fldChar w:fldCharType="end"/>
      </w:r>
    </w:p>
    <w:p w14:paraId="460190CB" w14:textId="61AB0B9C" w:rsidR="00707BE8" w:rsidRDefault="00707BE8">
      <w:pPr>
        <w:pStyle w:val="TOC3"/>
        <w:rPr>
          <w:rFonts w:eastAsiaTheme="minorEastAsia"/>
          <w:noProof/>
          <w:sz w:val="24"/>
          <w:szCs w:val="24"/>
          <w:lang w:eastAsia="en-GB"/>
        </w:rPr>
      </w:pPr>
      <w:r>
        <w:rPr>
          <w:noProof/>
        </w:rPr>
        <w:t>Principal research objectives to be addressed</w:t>
      </w:r>
      <w:r>
        <w:rPr>
          <w:noProof/>
        </w:rPr>
        <w:tab/>
      </w:r>
      <w:r>
        <w:rPr>
          <w:noProof/>
        </w:rPr>
        <w:fldChar w:fldCharType="begin"/>
      </w:r>
      <w:r>
        <w:rPr>
          <w:noProof/>
        </w:rPr>
        <w:instrText xml:space="preserve"> PAGEREF _Toc121909785 \h </w:instrText>
      </w:r>
      <w:r>
        <w:rPr>
          <w:noProof/>
        </w:rPr>
      </w:r>
      <w:r>
        <w:rPr>
          <w:noProof/>
        </w:rPr>
        <w:fldChar w:fldCharType="separate"/>
      </w:r>
      <w:r>
        <w:rPr>
          <w:noProof/>
        </w:rPr>
        <w:t>71</w:t>
      </w:r>
      <w:r>
        <w:rPr>
          <w:noProof/>
        </w:rPr>
        <w:fldChar w:fldCharType="end"/>
      </w:r>
    </w:p>
    <w:p w14:paraId="451C8BEB" w14:textId="0DA63D53" w:rsidR="00707BE8" w:rsidRDefault="00707BE8">
      <w:pPr>
        <w:pStyle w:val="TOC3"/>
        <w:rPr>
          <w:rFonts w:eastAsiaTheme="minorEastAsia"/>
          <w:noProof/>
          <w:sz w:val="24"/>
          <w:szCs w:val="24"/>
          <w:lang w:eastAsia="en-GB"/>
        </w:rPr>
      </w:pPr>
      <w:r>
        <w:rPr>
          <w:noProof/>
        </w:rPr>
        <w:t>Trial design including blinding</w:t>
      </w:r>
      <w:r>
        <w:rPr>
          <w:noProof/>
        </w:rPr>
        <w:tab/>
      </w:r>
      <w:r>
        <w:rPr>
          <w:noProof/>
        </w:rPr>
        <w:fldChar w:fldCharType="begin"/>
      </w:r>
      <w:r>
        <w:rPr>
          <w:noProof/>
        </w:rPr>
        <w:instrText xml:space="preserve"> PAGEREF _Toc121909786 \h </w:instrText>
      </w:r>
      <w:r>
        <w:rPr>
          <w:noProof/>
        </w:rPr>
      </w:r>
      <w:r>
        <w:rPr>
          <w:noProof/>
        </w:rPr>
        <w:fldChar w:fldCharType="separate"/>
      </w:r>
      <w:r>
        <w:rPr>
          <w:noProof/>
        </w:rPr>
        <w:t>72</w:t>
      </w:r>
      <w:r>
        <w:rPr>
          <w:noProof/>
        </w:rPr>
        <w:fldChar w:fldCharType="end"/>
      </w:r>
    </w:p>
    <w:p w14:paraId="73309DD8" w14:textId="591CB613" w:rsidR="00707BE8" w:rsidRDefault="00707BE8">
      <w:pPr>
        <w:pStyle w:val="TOC3"/>
        <w:rPr>
          <w:rFonts w:eastAsiaTheme="minorEastAsia"/>
          <w:noProof/>
          <w:sz w:val="24"/>
          <w:szCs w:val="24"/>
          <w:lang w:eastAsia="en-GB"/>
        </w:rPr>
      </w:pPr>
      <w:r>
        <w:rPr>
          <w:noProof/>
        </w:rPr>
        <w:t>Method of allocation of groups</w:t>
      </w:r>
      <w:r>
        <w:rPr>
          <w:noProof/>
        </w:rPr>
        <w:tab/>
      </w:r>
      <w:r>
        <w:rPr>
          <w:noProof/>
        </w:rPr>
        <w:fldChar w:fldCharType="begin"/>
      </w:r>
      <w:r>
        <w:rPr>
          <w:noProof/>
        </w:rPr>
        <w:instrText xml:space="preserve"> PAGEREF _Toc121909787 \h </w:instrText>
      </w:r>
      <w:r>
        <w:rPr>
          <w:noProof/>
        </w:rPr>
      </w:r>
      <w:r>
        <w:rPr>
          <w:noProof/>
        </w:rPr>
        <w:fldChar w:fldCharType="separate"/>
      </w:r>
      <w:r>
        <w:rPr>
          <w:noProof/>
        </w:rPr>
        <w:t>74</w:t>
      </w:r>
      <w:r>
        <w:rPr>
          <w:noProof/>
        </w:rPr>
        <w:fldChar w:fldCharType="end"/>
      </w:r>
    </w:p>
    <w:p w14:paraId="2B2461C1" w14:textId="69B8D3FD" w:rsidR="00707BE8" w:rsidRDefault="00707BE8">
      <w:pPr>
        <w:pStyle w:val="TOC3"/>
        <w:rPr>
          <w:rFonts w:eastAsiaTheme="minorEastAsia"/>
          <w:noProof/>
          <w:sz w:val="24"/>
          <w:szCs w:val="24"/>
          <w:lang w:eastAsia="en-GB"/>
        </w:rPr>
      </w:pPr>
      <w:r>
        <w:rPr>
          <w:noProof/>
        </w:rPr>
        <w:t>Duration of the treatment period</w:t>
      </w:r>
      <w:r>
        <w:rPr>
          <w:noProof/>
        </w:rPr>
        <w:tab/>
      </w:r>
      <w:r>
        <w:rPr>
          <w:noProof/>
        </w:rPr>
        <w:fldChar w:fldCharType="begin"/>
      </w:r>
      <w:r>
        <w:rPr>
          <w:noProof/>
        </w:rPr>
        <w:instrText xml:space="preserve"> PAGEREF _Toc121909788 \h </w:instrText>
      </w:r>
      <w:r>
        <w:rPr>
          <w:noProof/>
        </w:rPr>
      </w:r>
      <w:r>
        <w:rPr>
          <w:noProof/>
        </w:rPr>
        <w:fldChar w:fldCharType="separate"/>
      </w:r>
      <w:r>
        <w:rPr>
          <w:noProof/>
        </w:rPr>
        <w:t>75</w:t>
      </w:r>
      <w:r>
        <w:rPr>
          <w:noProof/>
        </w:rPr>
        <w:fldChar w:fldCharType="end"/>
      </w:r>
    </w:p>
    <w:p w14:paraId="2DC6ED60" w14:textId="14985459" w:rsidR="00707BE8" w:rsidRDefault="00707BE8">
      <w:pPr>
        <w:pStyle w:val="TOC3"/>
        <w:rPr>
          <w:rFonts w:eastAsiaTheme="minorEastAsia"/>
          <w:noProof/>
          <w:sz w:val="24"/>
          <w:szCs w:val="24"/>
          <w:lang w:eastAsia="en-GB"/>
        </w:rPr>
      </w:pPr>
      <w:r>
        <w:rPr>
          <w:noProof/>
        </w:rPr>
        <w:t>Frequency and duration of follow-up</w:t>
      </w:r>
      <w:r>
        <w:rPr>
          <w:noProof/>
        </w:rPr>
        <w:tab/>
      </w:r>
      <w:r>
        <w:rPr>
          <w:noProof/>
        </w:rPr>
        <w:fldChar w:fldCharType="begin"/>
      </w:r>
      <w:r>
        <w:rPr>
          <w:noProof/>
        </w:rPr>
        <w:instrText xml:space="preserve"> PAGEREF _Toc121909789 \h </w:instrText>
      </w:r>
      <w:r>
        <w:rPr>
          <w:noProof/>
        </w:rPr>
      </w:r>
      <w:r>
        <w:rPr>
          <w:noProof/>
        </w:rPr>
        <w:fldChar w:fldCharType="separate"/>
      </w:r>
      <w:r>
        <w:rPr>
          <w:noProof/>
        </w:rPr>
        <w:t>75</w:t>
      </w:r>
      <w:r>
        <w:rPr>
          <w:noProof/>
        </w:rPr>
        <w:fldChar w:fldCharType="end"/>
      </w:r>
    </w:p>
    <w:p w14:paraId="438D418F" w14:textId="4F195B66" w:rsidR="00707BE8" w:rsidRDefault="00707BE8">
      <w:pPr>
        <w:pStyle w:val="TOC3"/>
        <w:rPr>
          <w:rFonts w:eastAsiaTheme="minorEastAsia"/>
          <w:noProof/>
          <w:sz w:val="24"/>
          <w:szCs w:val="24"/>
          <w:lang w:eastAsia="en-GB"/>
        </w:rPr>
      </w:pPr>
      <w:r>
        <w:rPr>
          <w:noProof/>
        </w:rPr>
        <w:t>Data collection</w:t>
      </w:r>
      <w:r>
        <w:rPr>
          <w:noProof/>
        </w:rPr>
        <w:tab/>
      </w:r>
      <w:r>
        <w:rPr>
          <w:noProof/>
        </w:rPr>
        <w:fldChar w:fldCharType="begin"/>
      </w:r>
      <w:r>
        <w:rPr>
          <w:noProof/>
        </w:rPr>
        <w:instrText xml:space="preserve"> PAGEREF _Toc121909790 \h </w:instrText>
      </w:r>
      <w:r>
        <w:rPr>
          <w:noProof/>
        </w:rPr>
      </w:r>
      <w:r>
        <w:rPr>
          <w:noProof/>
        </w:rPr>
        <w:fldChar w:fldCharType="separate"/>
      </w:r>
      <w:r>
        <w:rPr>
          <w:noProof/>
        </w:rPr>
        <w:t>76</w:t>
      </w:r>
      <w:r>
        <w:rPr>
          <w:noProof/>
        </w:rPr>
        <w:fldChar w:fldCharType="end"/>
      </w:r>
    </w:p>
    <w:p w14:paraId="1D18E1F2" w14:textId="2CB8898C" w:rsidR="00707BE8" w:rsidRDefault="00707BE8">
      <w:pPr>
        <w:pStyle w:val="TOC3"/>
        <w:rPr>
          <w:rFonts w:eastAsiaTheme="minorEastAsia"/>
          <w:noProof/>
          <w:sz w:val="24"/>
          <w:szCs w:val="24"/>
          <w:lang w:eastAsia="en-GB"/>
        </w:rPr>
      </w:pPr>
      <w:r>
        <w:rPr>
          <w:noProof/>
        </w:rPr>
        <w:t>Sample size estimation (including clinical significance)</w:t>
      </w:r>
      <w:r>
        <w:rPr>
          <w:noProof/>
        </w:rPr>
        <w:tab/>
      </w:r>
      <w:r>
        <w:rPr>
          <w:noProof/>
        </w:rPr>
        <w:fldChar w:fldCharType="begin"/>
      </w:r>
      <w:r>
        <w:rPr>
          <w:noProof/>
        </w:rPr>
        <w:instrText xml:space="preserve"> PAGEREF _Toc121909791 \h </w:instrText>
      </w:r>
      <w:r>
        <w:rPr>
          <w:noProof/>
        </w:rPr>
      </w:r>
      <w:r>
        <w:rPr>
          <w:noProof/>
        </w:rPr>
        <w:fldChar w:fldCharType="separate"/>
      </w:r>
      <w:r>
        <w:rPr>
          <w:noProof/>
        </w:rPr>
        <w:t>79</w:t>
      </w:r>
      <w:r>
        <w:rPr>
          <w:noProof/>
        </w:rPr>
        <w:fldChar w:fldCharType="end"/>
      </w:r>
    </w:p>
    <w:p w14:paraId="5EA0AFF8" w14:textId="20C4C6BC" w:rsidR="00707BE8" w:rsidRDefault="00707BE8">
      <w:pPr>
        <w:pStyle w:val="TOC3"/>
        <w:rPr>
          <w:rFonts w:eastAsiaTheme="minorEastAsia"/>
          <w:noProof/>
          <w:sz w:val="24"/>
          <w:szCs w:val="24"/>
          <w:lang w:eastAsia="en-GB"/>
        </w:rPr>
      </w:pPr>
      <w:r>
        <w:rPr>
          <w:noProof/>
        </w:rPr>
        <w:t>Brief description of proposed analyses</w:t>
      </w:r>
      <w:r>
        <w:rPr>
          <w:noProof/>
        </w:rPr>
        <w:tab/>
      </w:r>
      <w:r>
        <w:rPr>
          <w:noProof/>
        </w:rPr>
        <w:fldChar w:fldCharType="begin"/>
      </w:r>
      <w:r>
        <w:rPr>
          <w:noProof/>
        </w:rPr>
        <w:instrText xml:space="preserve"> PAGEREF _Toc121909792 \h </w:instrText>
      </w:r>
      <w:r>
        <w:rPr>
          <w:noProof/>
        </w:rPr>
      </w:r>
      <w:r>
        <w:rPr>
          <w:noProof/>
        </w:rPr>
        <w:fldChar w:fldCharType="separate"/>
      </w:r>
      <w:r>
        <w:rPr>
          <w:noProof/>
        </w:rPr>
        <w:t>82</w:t>
      </w:r>
      <w:r>
        <w:rPr>
          <w:noProof/>
        </w:rPr>
        <w:fldChar w:fldCharType="end"/>
      </w:r>
    </w:p>
    <w:p w14:paraId="558B99A1" w14:textId="79DA48F0" w:rsidR="00707BE8" w:rsidRDefault="00707BE8">
      <w:pPr>
        <w:pStyle w:val="TOC3"/>
        <w:tabs>
          <w:tab w:val="left" w:pos="800"/>
        </w:tabs>
        <w:rPr>
          <w:rFonts w:eastAsiaTheme="minorEastAsia"/>
          <w:noProof/>
          <w:sz w:val="24"/>
          <w:szCs w:val="24"/>
          <w:lang w:eastAsia="en-GB"/>
        </w:rPr>
      </w:pPr>
      <w:r>
        <w:rPr>
          <w:noProof/>
        </w:rPr>
        <w:t>1</w:t>
      </w:r>
      <w:r>
        <w:rPr>
          <w:rFonts w:eastAsiaTheme="minorEastAsia"/>
          <w:noProof/>
          <w:sz w:val="24"/>
          <w:szCs w:val="24"/>
          <w:lang w:eastAsia="en-GB"/>
        </w:rPr>
        <w:tab/>
      </w:r>
      <w:r>
        <w:rPr>
          <w:noProof/>
        </w:rPr>
        <w:t>Further changes in procedures in response to Covid-19</w:t>
      </w:r>
      <w:r>
        <w:rPr>
          <w:noProof/>
        </w:rPr>
        <w:tab/>
      </w:r>
      <w:r>
        <w:rPr>
          <w:noProof/>
        </w:rPr>
        <w:fldChar w:fldCharType="begin"/>
      </w:r>
      <w:r>
        <w:rPr>
          <w:noProof/>
        </w:rPr>
        <w:instrText xml:space="preserve"> PAGEREF _Toc121909793 \h </w:instrText>
      </w:r>
      <w:r>
        <w:rPr>
          <w:noProof/>
        </w:rPr>
      </w:r>
      <w:r>
        <w:rPr>
          <w:noProof/>
        </w:rPr>
        <w:fldChar w:fldCharType="separate"/>
      </w:r>
      <w:r>
        <w:rPr>
          <w:noProof/>
        </w:rPr>
        <w:t>82</w:t>
      </w:r>
      <w:r>
        <w:rPr>
          <w:noProof/>
        </w:rPr>
        <w:fldChar w:fldCharType="end"/>
      </w:r>
    </w:p>
    <w:p w14:paraId="67919BD7" w14:textId="7646450A" w:rsidR="00707BE8" w:rsidRDefault="00707BE8">
      <w:pPr>
        <w:pStyle w:val="TOC2"/>
        <w:tabs>
          <w:tab w:val="right" w:leader="dot" w:pos="9016"/>
        </w:tabs>
        <w:rPr>
          <w:rFonts w:eastAsiaTheme="minorEastAsia"/>
          <w:noProof/>
          <w:sz w:val="24"/>
          <w:szCs w:val="24"/>
          <w:lang w:eastAsia="en-GB"/>
        </w:rPr>
      </w:pPr>
      <w:r>
        <w:rPr>
          <w:noProof/>
        </w:rPr>
        <w:t>Data analysis plan – Data description</w:t>
      </w:r>
      <w:r>
        <w:rPr>
          <w:noProof/>
        </w:rPr>
        <w:tab/>
      </w:r>
      <w:r>
        <w:rPr>
          <w:noProof/>
        </w:rPr>
        <w:fldChar w:fldCharType="begin"/>
      </w:r>
      <w:r>
        <w:rPr>
          <w:noProof/>
        </w:rPr>
        <w:instrText xml:space="preserve"> PAGEREF _Toc121909794 \h </w:instrText>
      </w:r>
      <w:r>
        <w:rPr>
          <w:noProof/>
        </w:rPr>
      </w:r>
      <w:r>
        <w:rPr>
          <w:noProof/>
        </w:rPr>
        <w:fldChar w:fldCharType="separate"/>
      </w:r>
      <w:r>
        <w:rPr>
          <w:noProof/>
        </w:rPr>
        <w:t>83</w:t>
      </w:r>
      <w:r>
        <w:rPr>
          <w:noProof/>
        </w:rPr>
        <w:fldChar w:fldCharType="end"/>
      </w:r>
    </w:p>
    <w:p w14:paraId="58146597" w14:textId="1F2F585B" w:rsidR="00707BE8" w:rsidRDefault="00707BE8">
      <w:pPr>
        <w:pStyle w:val="TOC3"/>
        <w:rPr>
          <w:rFonts w:eastAsiaTheme="minorEastAsia"/>
          <w:noProof/>
          <w:sz w:val="24"/>
          <w:szCs w:val="24"/>
          <w:lang w:eastAsia="en-GB"/>
        </w:rPr>
      </w:pPr>
      <w:r>
        <w:rPr>
          <w:noProof/>
        </w:rPr>
        <w:t>Descriptives by HLA status</w:t>
      </w:r>
      <w:r>
        <w:rPr>
          <w:noProof/>
        </w:rPr>
        <w:tab/>
      </w:r>
      <w:r>
        <w:rPr>
          <w:noProof/>
        </w:rPr>
        <w:fldChar w:fldCharType="begin"/>
      </w:r>
      <w:r>
        <w:rPr>
          <w:noProof/>
        </w:rPr>
        <w:instrText xml:space="preserve"> PAGEREF _Toc121909795 \h </w:instrText>
      </w:r>
      <w:r>
        <w:rPr>
          <w:noProof/>
        </w:rPr>
      </w:r>
      <w:r>
        <w:rPr>
          <w:noProof/>
        </w:rPr>
        <w:fldChar w:fldCharType="separate"/>
      </w:r>
      <w:r>
        <w:rPr>
          <w:noProof/>
        </w:rPr>
        <w:t>83</w:t>
      </w:r>
      <w:r>
        <w:rPr>
          <w:noProof/>
        </w:rPr>
        <w:fldChar w:fldCharType="end"/>
      </w:r>
    </w:p>
    <w:p w14:paraId="218A2D92" w14:textId="08472BBC" w:rsidR="00707BE8" w:rsidRDefault="00707BE8">
      <w:pPr>
        <w:pStyle w:val="TOC3"/>
        <w:rPr>
          <w:rFonts w:eastAsiaTheme="minorEastAsia"/>
          <w:noProof/>
          <w:sz w:val="24"/>
          <w:szCs w:val="24"/>
          <w:lang w:eastAsia="en-GB"/>
        </w:rPr>
      </w:pPr>
      <w:r>
        <w:rPr>
          <w:noProof/>
        </w:rPr>
        <w:t>Recruitment and representativeness of recruited patients</w:t>
      </w:r>
      <w:r>
        <w:rPr>
          <w:noProof/>
        </w:rPr>
        <w:tab/>
      </w:r>
      <w:r>
        <w:rPr>
          <w:noProof/>
        </w:rPr>
        <w:fldChar w:fldCharType="begin"/>
      </w:r>
      <w:r>
        <w:rPr>
          <w:noProof/>
        </w:rPr>
        <w:instrText xml:space="preserve"> PAGEREF _Toc121909796 \h </w:instrText>
      </w:r>
      <w:r>
        <w:rPr>
          <w:noProof/>
        </w:rPr>
      </w:r>
      <w:r>
        <w:rPr>
          <w:noProof/>
        </w:rPr>
        <w:fldChar w:fldCharType="separate"/>
      </w:r>
      <w:r>
        <w:rPr>
          <w:noProof/>
        </w:rPr>
        <w:t>84</w:t>
      </w:r>
      <w:r>
        <w:rPr>
          <w:noProof/>
        </w:rPr>
        <w:fldChar w:fldCharType="end"/>
      </w:r>
    </w:p>
    <w:p w14:paraId="4D02FA1A" w14:textId="7689C204" w:rsidR="00707BE8" w:rsidRDefault="00707BE8">
      <w:pPr>
        <w:pStyle w:val="TOC3"/>
        <w:rPr>
          <w:rFonts w:eastAsiaTheme="minorEastAsia"/>
          <w:noProof/>
          <w:sz w:val="24"/>
          <w:szCs w:val="24"/>
          <w:lang w:eastAsia="en-GB"/>
        </w:rPr>
      </w:pPr>
      <w:r>
        <w:rPr>
          <w:noProof/>
        </w:rPr>
        <w:t>Baseline comparability of randomised groups</w:t>
      </w:r>
      <w:r>
        <w:rPr>
          <w:noProof/>
        </w:rPr>
        <w:tab/>
      </w:r>
      <w:r>
        <w:rPr>
          <w:noProof/>
        </w:rPr>
        <w:fldChar w:fldCharType="begin"/>
      </w:r>
      <w:r>
        <w:rPr>
          <w:noProof/>
        </w:rPr>
        <w:instrText xml:space="preserve"> PAGEREF _Toc121909797 \h </w:instrText>
      </w:r>
      <w:r>
        <w:rPr>
          <w:noProof/>
        </w:rPr>
      </w:r>
      <w:r>
        <w:rPr>
          <w:noProof/>
        </w:rPr>
        <w:fldChar w:fldCharType="separate"/>
      </w:r>
      <w:r>
        <w:rPr>
          <w:noProof/>
        </w:rPr>
        <w:t>85</w:t>
      </w:r>
      <w:r>
        <w:rPr>
          <w:noProof/>
        </w:rPr>
        <w:fldChar w:fldCharType="end"/>
      </w:r>
    </w:p>
    <w:p w14:paraId="06419CE7" w14:textId="293A232D" w:rsidR="00707BE8" w:rsidRDefault="00707BE8">
      <w:pPr>
        <w:pStyle w:val="TOC3"/>
        <w:rPr>
          <w:rFonts w:eastAsiaTheme="minorEastAsia"/>
          <w:noProof/>
          <w:sz w:val="24"/>
          <w:szCs w:val="24"/>
          <w:lang w:eastAsia="en-GB"/>
        </w:rPr>
      </w:pPr>
      <w:r>
        <w:rPr>
          <w:noProof/>
        </w:rPr>
        <w:t>Adherence to allocated treatment and treatment fidelity</w:t>
      </w:r>
      <w:r>
        <w:rPr>
          <w:noProof/>
        </w:rPr>
        <w:tab/>
      </w:r>
      <w:r>
        <w:rPr>
          <w:noProof/>
        </w:rPr>
        <w:fldChar w:fldCharType="begin"/>
      </w:r>
      <w:r>
        <w:rPr>
          <w:noProof/>
        </w:rPr>
        <w:instrText xml:space="preserve"> PAGEREF _Toc121909798 \h </w:instrText>
      </w:r>
      <w:r>
        <w:rPr>
          <w:noProof/>
        </w:rPr>
      </w:r>
      <w:r>
        <w:rPr>
          <w:noProof/>
        </w:rPr>
        <w:fldChar w:fldCharType="separate"/>
      </w:r>
      <w:r>
        <w:rPr>
          <w:noProof/>
        </w:rPr>
        <w:t>85</w:t>
      </w:r>
      <w:r>
        <w:rPr>
          <w:noProof/>
        </w:rPr>
        <w:fldChar w:fldCharType="end"/>
      </w:r>
    </w:p>
    <w:p w14:paraId="1E2CFB26" w14:textId="145AB53F" w:rsidR="00707BE8" w:rsidRDefault="00707BE8">
      <w:pPr>
        <w:pStyle w:val="TOC3"/>
        <w:rPr>
          <w:rFonts w:eastAsiaTheme="minorEastAsia"/>
          <w:noProof/>
          <w:sz w:val="24"/>
          <w:szCs w:val="24"/>
          <w:lang w:eastAsia="en-GB"/>
        </w:rPr>
      </w:pPr>
      <w:r>
        <w:rPr>
          <w:noProof/>
        </w:rPr>
        <w:t>Loss to follow-up and other missing data</w:t>
      </w:r>
      <w:r>
        <w:rPr>
          <w:noProof/>
        </w:rPr>
        <w:tab/>
      </w:r>
      <w:r>
        <w:rPr>
          <w:noProof/>
        </w:rPr>
        <w:fldChar w:fldCharType="begin"/>
      </w:r>
      <w:r>
        <w:rPr>
          <w:noProof/>
        </w:rPr>
        <w:instrText xml:space="preserve"> PAGEREF _Toc121909799 \h </w:instrText>
      </w:r>
      <w:r>
        <w:rPr>
          <w:noProof/>
        </w:rPr>
      </w:r>
      <w:r>
        <w:rPr>
          <w:noProof/>
        </w:rPr>
        <w:fldChar w:fldCharType="separate"/>
      </w:r>
      <w:r>
        <w:rPr>
          <w:noProof/>
        </w:rPr>
        <w:t>85</w:t>
      </w:r>
      <w:r>
        <w:rPr>
          <w:noProof/>
        </w:rPr>
        <w:fldChar w:fldCharType="end"/>
      </w:r>
    </w:p>
    <w:p w14:paraId="3EABA13E" w14:textId="7D19795B" w:rsidR="00707BE8" w:rsidRDefault="00707BE8">
      <w:pPr>
        <w:pStyle w:val="TOC3"/>
        <w:rPr>
          <w:rFonts w:eastAsiaTheme="minorEastAsia"/>
          <w:noProof/>
          <w:sz w:val="24"/>
          <w:szCs w:val="24"/>
          <w:lang w:eastAsia="en-GB"/>
        </w:rPr>
      </w:pPr>
      <w:r>
        <w:rPr>
          <w:noProof/>
        </w:rPr>
        <w:t>Adverse event reporting</w:t>
      </w:r>
      <w:r>
        <w:rPr>
          <w:noProof/>
        </w:rPr>
        <w:tab/>
      </w:r>
      <w:r>
        <w:rPr>
          <w:noProof/>
        </w:rPr>
        <w:fldChar w:fldCharType="begin"/>
      </w:r>
      <w:r>
        <w:rPr>
          <w:noProof/>
        </w:rPr>
        <w:instrText xml:space="preserve"> PAGEREF _Toc121909800 \h </w:instrText>
      </w:r>
      <w:r>
        <w:rPr>
          <w:noProof/>
        </w:rPr>
      </w:r>
      <w:r>
        <w:rPr>
          <w:noProof/>
        </w:rPr>
        <w:fldChar w:fldCharType="separate"/>
      </w:r>
      <w:r>
        <w:rPr>
          <w:noProof/>
        </w:rPr>
        <w:t>85</w:t>
      </w:r>
      <w:r>
        <w:rPr>
          <w:noProof/>
        </w:rPr>
        <w:fldChar w:fldCharType="end"/>
      </w:r>
    </w:p>
    <w:p w14:paraId="5955A974" w14:textId="7FA18DF1" w:rsidR="00707BE8" w:rsidRDefault="00707BE8">
      <w:pPr>
        <w:pStyle w:val="TOC3"/>
        <w:rPr>
          <w:rFonts w:eastAsiaTheme="minorEastAsia"/>
          <w:noProof/>
          <w:sz w:val="24"/>
          <w:szCs w:val="24"/>
          <w:lang w:eastAsia="en-GB"/>
        </w:rPr>
      </w:pPr>
      <w:r>
        <w:rPr>
          <w:noProof/>
        </w:rPr>
        <w:t>Assessment of outcome measures (unblinding)</w:t>
      </w:r>
      <w:r>
        <w:rPr>
          <w:noProof/>
        </w:rPr>
        <w:tab/>
      </w:r>
      <w:r>
        <w:rPr>
          <w:noProof/>
        </w:rPr>
        <w:fldChar w:fldCharType="begin"/>
      </w:r>
      <w:r>
        <w:rPr>
          <w:noProof/>
        </w:rPr>
        <w:instrText xml:space="preserve"> PAGEREF _Toc121909801 \h </w:instrText>
      </w:r>
      <w:r>
        <w:rPr>
          <w:noProof/>
        </w:rPr>
      </w:r>
      <w:r>
        <w:rPr>
          <w:noProof/>
        </w:rPr>
        <w:fldChar w:fldCharType="separate"/>
      </w:r>
      <w:r>
        <w:rPr>
          <w:noProof/>
        </w:rPr>
        <w:t>85</w:t>
      </w:r>
      <w:r>
        <w:rPr>
          <w:noProof/>
        </w:rPr>
        <w:fldChar w:fldCharType="end"/>
      </w:r>
    </w:p>
    <w:p w14:paraId="4652B07D" w14:textId="74D6F704" w:rsidR="00707BE8" w:rsidRDefault="00707BE8">
      <w:pPr>
        <w:pStyle w:val="TOC3"/>
        <w:rPr>
          <w:rFonts w:eastAsiaTheme="minorEastAsia"/>
          <w:noProof/>
          <w:sz w:val="24"/>
          <w:szCs w:val="24"/>
          <w:lang w:eastAsia="en-GB"/>
        </w:rPr>
      </w:pPr>
      <w:r>
        <w:rPr>
          <w:noProof/>
        </w:rPr>
        <w:t>Descriptive statistics for outcome measures</w:t>
      </w:r>
      <w:r>
        <w:rPr>
          <w:noProof/>
        </w:rPr>
        <w:tab/>
      </w:r>
      <w:r>
        <w:rPr>
          <w:noProof/>
        </w:rPr>
        <w:fldChar w:fldCharType="begin"/>
      </w:r>
      <w:r>
        <w:rPr>
          <w:noProof/>
        </w:rPr>
        <w:instrText xml:space="preserve"> PAGEREF _Toc121909802 \h </w:instrText>
      </w:r>
      <w:r>
        <w:rPr>
          <w:noProof/>
        </w:rPr>
      </w:r>
      <w:r>
        <w:rPr>
          <w:noProof/>
        </w:rPr>
        <w:fldChar w:fldCharType="separate"/>
      </w:r>
      <w:r>
        <w:rPr>
          <w:noProof/>
        </w:rPr>
        <w:t>85</w:t>
      </w:r>
      <w:r>
        <w:rPr>
          <w:noProof/>
        </w:rPr>
        <w:fldChar w:fldCharType="end"/>
      </w:r>
    </w:p>
    <w:p w14:paraId="6D499415" w14:textId="62B60FAF" w:rsidR="00707BE8" w:rsidRDefault="00707BE8">
      <w:pPr>
        <w:pStyle w:val="TOC3"/>
        <w:rPr>
          <w:rFonts w:eastAsiaTheme="minorEastAsia"/>
          <w:noProof/>
          <w:sz w:val="24"/>
          <w:szCs w:val="24"/>
          <w:lang w:eastAsia="en-GB"/>
        </w:rPr>
      </w:pPr>
      <w:r>
        <w:rPr>
          <w:noProof/>
        </w:rPr>
        <w:t>Description of therapists/therapies</w:t>
      </w:r>
      <w:r>
        <w:rPr>
          <w:noProof/>
        </w:rPr>
        <w:tab/>
      </w:r>
      <w:r>
        <w:rPr>
          <w:noProof/>
        </w:rPr>
        <w:fldChar w:fldCharType="begin"/>
      </w:r>
      <w:r>
        <w:rPr>
          <w:noProof/>
        </w:rPr>
        <w:instrText xml:space="preserve"> PAGEREF _Toc121909803 \h </w:instrText>
      </w:r>
      <w:r>
        <w:rPr>
          <w:noProof/>
        </w:rPr>
      </w:r>
      <w:r>
        <w:rPr>
          <w:noProof/>
        </w:rPr>
        <w:fldChar w:fldCharType="separate"/>
      </w:r>
      <w:r>
        <w:rPr>
          <w:noProof/>
        </w:rPr>
        <w:t>85</w:t>
      </w:r>
      <w:r>
        <w:rPr>
          <w:noProof/>
        </w:rPr>
        <w:fldChar w:fldCharType="end"/>
      </w:r>
    </w:p>
    <w:p w14:paraId="3AC2E051" w14:textId="08B2F9D5" w:rsidR="00707BE8" w:rsidRDefault="00707BE8">
      <w:pPr>
        <w:pStyle w:val="TOC2"/>
        <w:tabs>
          <w:tab w:val="right" w:leader="dot" w:pos="9016"/>
        </w:tabs>
        <w:rPr>
          <w:rFonts w:eastAsiaTheme="minorEastAsia"/>
          <w:noProof/>
          <w:sz w:val="24"/>
          <w:szCs w:val="24"/>
          <w:lang w:eastAsia="en-GB"/>
        </w:rPr>
      </w:pPr>
      <w:r>
        <w:rPr>
          <w:noProof/>
        </w:rPr>
        <w:t>Data analysis plan – Inferential analysis</w:t>
      </w:r>
      <w:r>
        <w:rPr>
          <w:noProof/>
        </w:rPr>
        <w:tab/>
      </w:r>
      <w:r>
        <w:rPr>
          <w:noProof/>
        </w:rPr>
        <w:fldChar w:fldCharType="begin"/>
      </w:r>
      <w:r>
        <w:rPr>
          <w:noProof/>
        </w:rPr>
        <w:instrText xml:space="preserve"> PAGEREF _Toc121909804 \h </w:instrText>
      </w:r>
      <w:r>
        <w:rPr>
          <w:noProof/>
        </w:rPr>
      </w:r>
      <w:r>
        <w:rPr>
          <w:noProof/>
        </w:rPr>
        <w:fldChar w:fldCharType="separate"/>
      </w:r>
      <w:r>
        <w:rPr>
          <w:noProof/>
        </w:rPr>
        <w:t>85</w:t>
      </w:r>
      <w:r>
        <w:rPr>
          <w:noProof/>
        </w:rPr>
        <w:fldChar w:fldCharType="end"/>
      </w:r>
    </w:p>
    <w:p w14:paraId="61245279" w14:textId="0880FDD2" w:rsidR="00707BE8" w:rsidRDefault="00707BE8">
      <w:pPr>
        <w:pStyle w:val="TOC3"/>
        <w:rPr>
          <w:rFonts w:eastAsiaTheme="minorEastAsia"/>
          <w:noProof/>
          <w:sz w:val="24"/>
          <w:szCs w:val="24"/>
          <w:lang w:eastAsia="en-GB"/>
        </w:rPr>
      </w:pPr>
      <w:r>
        <w:rPr>
          <w:noProof/>
        </w:rPr>
        <w:t>Main analysis of treatment differences</w:t>
      </w:r>
      <w:r>
        <w:rPr>
          <w:noProof/>
        </w:rPr>
        <w:tab/>
      </w:r>
      <w:r>
        <w:rPr>
          <w:noProof/>
        </w:rPr>
        <w:fldChar w:fldCharType="begin"/>
      </w:r>
      <w:r>
        <w:rPr>
          <w:noProof/>
        </w:rPr>
        <w:instrText xml:space="preserve"> PAGEREF _Toc121909805 \h </w:instrText>
      </w:r>
      <w:r>
        <w:rPr>
          <w:noProof/>
        </w:rPr>
      </w:r>
      <w:r>
        <w:rPr>
          <w:noProof/>
        </w:rPr>
        <w:fldChar w:fldCharType="separate"/>
      </w:r>
      <w:r>
        <w:rPr>
          <w:noProof/>
        </w:rPr>
        <w:t>85</w:t>
      </w:r>
      <w:r>
        <w:rPr>
          <w:noProof/>
        </w:rPr>
        <w:fldChar w:fldCharType="end"/>
      </w:r>
    </w:p>
    <w:p w14:paraId="497CDDFF" w14:textId="59A2B8A4" w:rsidR="00707BE8" w:rsidRDefault="00707BE8">
      <w:pPr>
        <w:pStyle w:val="TOC3"/>
        <w:rPr>
          <w:rFonts w:eastAsiaTheme="minorEastAsia"/>
          <w:noProof/>
          <w:sz w:val="24"/>
          <w:szCs w:val="24"/>
          <w:lang w:eastAsia="en-GB"/>
        </w:rPr>
      </w:pPr>
      <w:r>
        <w:rPr>
          <w:noProof/>
        </w:rPr>
        <w:t>Exploratory analyses</w:t>
      </w:r>
      <w:r>
        <w:rPr>
          <w:noProof/>
        </w:rPr>
        <w:tab/>
      </w:r>
      <w:r>
        <w:rPr>
          <w:noProof/>
        </w:rPr>
        <w:fldChar w:fldCharType="begin"/>
      </w:r>
      <w:r>
        <w:rPr>
          <w:noProof/>
        </w:rPr>
        <w:instrText xml:space="preserve"> PAGEREF _Toc121909806 \h </w:instrText>
      </w:r>
      <w:r>
        <w:rPr>
          <w:noProof/>
        </w:rPr>
      </w:r>
      <w:r>
        <w:rPr>
          <w:noProof/>
        </w:rPr>
        <w:fldChar w:fldCharType="separate"/>
      </w:r>
      <w:r>
        <w:rPr>
          <w:noProof/>
        </w:rPr>
        <w:t>88</w:t>
      </w:r>
      <w:r>
        <w:rPr>
          <w:noProof/>
        </w:rPr>
        <w:fldChar w:fldCharType="end"/>
      </w:r>
    </w:p>
    <w:p w14:paraId="565D6B02" w14:textId="6223C137" w:rsidR="00707BE8" w:rsidRDefault="00707BE8">
      <w:pPr>
        <w:pStyle w:val="TOC3"/>
        <w:rPr>
          <w:rFonts w:eastAsiaTheme="minorEastAsia"/>
          <w:noProof/>
          <w:sz w:val="24"/>
          <w:szCs w:val="24"/>
          <w:lang w:eastAsia="en-GB"/>
        </w:rPr>
      </w:pPr>
      <w:r>
        <w:rPr>
          <w:noProof/>
        </w:rPr>
        <w:t>Exploratory mediator and moderator analysis</w:t>
      </w:r>
      <w:r>
        <w:rPr>
          <w:noProof/>
        </w:rPr>
        <w:tab/>
      </w:r>
      <w:r>
        <w:rPr>
          <w:noProof/>
        </w:rPr>
        <w:fldChar w:fldCharType="begin"/>
      </w:r>
      <w:r>
        <w:rPr>
          <w:noProof/>
        </w:rPr>
        <w:instrText xml:space="preserve"> PAGEREF _Toc121909807 \h </w:instrText>
      </w:r>
      <w:r>
        <w:rPr>
          <w:noProof/>
        </w:rPr>
      </w:r>
      <w:r>
        <w:rPr>
          <w:noProof/>
        </w:rPr>
        <w:fldChar w:fldCharType="separate"/>
      </w:r>
      <w:r>
        <w:rPr>
          <w:noProof/>
        </w:rPr>
        <w:t>88</w:t>
      </w:r>
      <w:r>
        <w:rPr>
          <w:noProof/>
        </w:rPr>
        <w:fldChar w:fldCharType="end"/>
      </w:r>
    </w:p>
    <w:p w14:paraId="58DF10BB" w14:textId="6D69785E" w:rsidR="00707BE8" w:rsidRDefault="00707BE8">
      <w:pPr>
        <w:pStyle w:val="TOC3"/>
        <w:rPr>
          <w:rFonts w:eastAsiaTheme="minorEastAsia"/>
          <w:noProof/>
          <w:sz w:val="24"/>
          <w:szCs w:val="24"/>
          <w:lang w:eastAsia="en-GB"/>
        </w:rPr>
      </w:pPr>
      <w:r>
        <w:rPr>
          <w:noProof/>
        </w:rPr>
        <w:t>Interim analysis</w:t>
      </w:r>
      <w:r>
        <w:rPr>
          <w:noProof/>
        </w:rPr>
        <w:tab/>
      </w:r>
      <w:r>
        <w:rPr>
          <w:noProof/>
        </w:rPr>
        <w:fldChar w:fldCharType="begin"/>
      </w:r>
      <w:r>
        <w:rPr>
          <w:noProof/>
        </w:rPr>
        <w:instrText xml:space="preserve"> PAGEREF _Toc121909808 \h </w:instrText>
      </w:r>
      <w:r>
        <w:rPr>
          <w:noProof/>
        </w:rPr>
      </w:r>
      <w:r>
        <w:rPr>
          <w:noProof/>
        </w:rPr>
        <w:fldChar w:fldCharType="separate"/>
      </w:r>
      <w:r>
        <w:rPr>
          <w:noProof/>
        </w:rPr>
        <w:t>88</w:t>
      </w:r>
      <w:r>
        <w:rPr>
          <w:noProof/>
        </w:rPr>
        <w:fldChar w:fldCharType="end"/>
      </w:r>
    </w:p>
    <w:p w14:paraId="0091AA15" w14:textId="432FA931" w:rsidR="00707BE8" w:rsidRDefault="00707BE8">
      <w:pPr>
        <w:pStyle w:val="TOC2"/>
        <w:tabs>
          <w:tab w:val="right" w:leader="dot" w:pos="9016"/>
        </w:tabs>
        <w:rPr>
          <w:rFonts w:eastAsiaTheme="minorEastAsia"/>
          <w:noProof/>
          <w:sz w:val="24"/>
          <w:szCs w:val="24"/>
          <w:lang w:eastAsia="en-GB"/>
        </w:rPr>
      </w:pPr>
      <w:r>
        <w:rPr>
          <w:noProof/>
        </w:rPr>
        <w:t>Software</w:t>
      </w:r>
      <w:r>
        <w:rPr>
          <w:noProof/>
        </w:rPr>
        <w:tab/>
      </w:r>
      <w:r>
        <w:rPr>
          <w:noProof/>
        </w:rPr>
        <w:fldChar w:fldCharType="begin"/>
      </w:r>
      <w:r>
        <w:rPr>
          <w:noProof/>
        </w:rPr>
        <w:instrText xml:space="preserve"> PAGEREF _Toc121909809 \h </w:instrText>
      </w:r>
      <w:r>
        <w:rPr>
          <w:noProof/>
        </w:rPr>
      </w:r>
      <w:r>
        <w:rPr>
          <w:noProof/>
        </w:rPr>
        <w:fldChar w:fldCharType="separate"/>
      </w:r>
      <w:r>
        <w:rPr>
          <w:noProof/>
        </w:rPr>
        <w:t>88</w:t>
      </w:r>
      <w:r>
        <w:rPr>
          <w:noProof/>
        </w:rPr>
        <w:fldChar w:fldCharType="end"/>
      </w:r>
    </w:p>
    <w:p w14:paraId="6F369A6E" w14:textId="2FB7BCA6" w:rsidR="00707BE8" w:rsidRDefault="00707BE8">
      <w:pPr>
        <w:pStyle w:val="TOC1"/>
        <w:tabs>
          <w:tab w:val="right" w:leader="dot" w:pos="9016"/>
        </w:tabs>
        <w:rPr>
          <w:rFonts w:eastAsiaTheme="minorEastAsia"/>
          <w:noProof/>
          <w:sz w:val="24"/>
          <w:szCs w:val="24"/>
          <w:lang w:eastAsia="en-GB"/>
        </w:rPr>
      </w:pPr>
      <w:r>
        <w:rPr>
          <w:noProof/>
        </w:rPr>
        <w:lastRenderedPageBreak/>
        <w:t>B) ECONOMIC ANALYSIS AND ADHERENCE/RISK ASSESSMENT PLANS</w:t>
      </w:r>
      <w:r>
        <w:rPr>
          <w:noProof/>
        </w:rPr>
        <w:tab/>
      </w:r>
      <w:r>
        <w:rPr>
          <w:noProof/>
        </w:rPr>
        <w:fldChar w:fldCharType="begin"/>
      </w:r>
      <w:r>
        <w:rPr>
          <w:noProof/>
        </w:rPr>
        <w:instrText xml:space="preserve"> PAGEREF _Toc121909810 \h </w:instrText>
      </w:r>
      <w:r>
        <w:rPr>
          <w:noProof/>
        </w:rPr>
      </w:r>
      <w:r>
        <w:rPr>
          <w:noProof/>
        </w:rPr>
        <w:fldChar w:fldCharType="separate"/>
      </w:r>
      <w:r>
        <w:rPr>
          <w:noProof/>
        </w:rPr>
        <w:t>88</w:t>
      </w:r>
      <w:r>
        <w:rPr>
          <w:noProof/>
        </w:rPr>
        <w:fldChar w:fldCharType="end"/>
      </w:r>
    </w:p>
    <w:p w14:paraId="1CCF4DA6" w14:textId="3CD420B9" w:rsidR="00707BE8" w:rsidRDefault="00707BE8">
      <w:pPr>
        <w:pStyle w:val="TOC1"/>
        <w:tabs>
          <w:tab w:val="right" w:leader="dot" w:pos="9016"/>
        </w:tabs>
        <w:rPr>
          <w:rFonts w:eastAsiaTheme="minorEastAsia"/>
          <w:noProof/>
          <w:sz w:val="24"/>
          <w:szCs w:val="24"/>
          <w:lang w:eastAsia="en-GB"/>
        </w:rPr>
      </w:pPr>
      <w:r>
        <w:rPr>
          <w:noProof/>
        </w:rPr>
        <w:t>C) SCHEDULE OF ASSESSMENTS AND MEASURES</w:t>
      </w:r>
      <w:r>
        <w:rPr>
          <w:noProof/>
        </w:rPr>
        <w:tab/>
      </w:r>
      <w:r>
        <w:rPr>
          <w:noProof/>
        </w:rPr>
        <w:fldChar w:fldCharType="begin"/>
      </w:r>
      <w:r>
        <w:rPr>
          <w:noProof/>
        </w:rPr>
        <w:instrText xml:space="preserve"> PAGEREF _Toc121909811 \h </w:instrText>
      </w:r>
      <w:r>
        <w:rPr>
          <w:noProof/>
        </w:rPr>
      </w:r>
      <w:r>
        <w:rPr>
          <w:noProof/>
        </w:rPr>
        <w:fldChar w:fldCharType="separate"/>
      </w:r>
      <w:r>
        <w:rPr>
          <w:noProof/>
        </w:rPr>
        <w:t>91</w:t>
      </w:r>
      <w:r>
        <w:rPr>
          <w:noProof/>
        </w:rPr>
        <w:fldChar w:fldCharType="end"/>
      </w:r>
    </w:p>
    <w:p w14:paraId="57E296AB" w14:textId="38B31935" w:rsidR="00707BE8" w:rsidRDefault="00707BE8">
      <w:pPr>
        <w:pStyle w:val="TOC1"/>
        <w:tabs>
          <w:tab w:val="right" w:leader="dot" w:pos="9016"/>
        </w:tabs>
        <w:rPr>
          <w:rFonts w:eastAsiaTheme="minorEastAsia"/>
          <w:noProof/>
          <w:sz w:val="24"/>
          <w:szCs w:val="24"/>
          <w:lang w:eastAsia="en-GB"/>
        </w:rPr>
      </w:pPr>
      <w:r>
        <w:rPr>
          <w:noProof/>
        </w:rPr>
        <w:t>D) Reference list</w:t>
      </w:r>
      <w:r>
        <w:rPr>
          <w:noProof/>
        </w:rPr>
        <w:tab/>
      </w:r>
      <w:r>
        <w:rPr>
          <w:noProof/>
        </w:rPr>
        <w:fldChar w:fldCharType="begin"/>
      </w:r>
      <w:r>
        <w:rPr>
          <w:noProof/>
        </w:rPr>
        <w:instrText xml:space="preserve"> PAGEREF _Toc121909812 \h </w:instrText>
      </w:r>
      <w:r>
        <w:rPr>
          <w:noProof/>
        </w:rPr>
      </w:r>
      <w:r>
        <w:rPr>
          <w:noProof/>
        </w:rPr>
        <w:fldChar w:fldCharType="separate"/>
      </w:r>
      <w:r>
        <w:rPr>
          <w:noProof/>
        </w:rPr>
        <w:t>93</w:t>
      </w:r>
      <w:r>
        <w:rPr>
          <w:noProof/>
        </w:rPr>
        <w:fldChar w:fldCharType="end"/>
      </w:r>
    </w:p>
    <w:p w14:paraId="2ABB1542" w14:textId="24575E31" w:rsidR="00707BE8" w:rsidRDefault="00707BE8">
      <w:pPr>
        <w:pStyle w:val="TOC1"/>
        <w:tabs>
          <w:tab w:val="left" w:pos="440"/>
          <w:tab w:val="right" w:leader="dot" w:pos="9016"/>
        </w:tabs>
        <w:rPr>
          <w:rFonts w:eastAsiaTheme="minorEastAsia"/>
          <w:noProof/>
          <w:sz w:val="24"/>
          <w:szCs w:val="24"/>
          <w:lang w:eastAsia="en-GB"/>
        </w:rPr>
      </w:pPr>
      <w:r>
        <w:rPr>
          <w:noProof/>
        </w:rPr>
        <w:t>E)</w:t>
      </w:r>
      <w:r>
        <w:rPr>
          <w:rFonts w:eastAsiaTheme="minorEastAsia"/>
          <w:noProof/>
          <w:sz w:val="24"/>
          <w:szCs w:val="24"/>
          <w:lang w:eastAsia="en-GB"/>
        </w:rPr>
        <w:tab/>
      </w:r>
      <w:r>
        <w:rPr>
          <w:noProof/>
        </w:rPr>
        <w:t>Amendments to version 1.0</w:t>
      </w:r>
      <w:r>
        <w:rPr>
          <w:noProof/>
        </w:rPr>
        <w:tab/>
      </w:r>
      <w:r>
        <w:rPr>
          <w:noProof/>
        </w:rPr>
        <w:fldChar w:fldCharType="begin"/>
      </w:r>
      <w:r>
        <w:rPr>
          <w:noProof/>
        </w:rPr>
        <w:instrText xml:space="preserve"> PAGEREF _Toc121909813 \h </w:instrText>
      </w:r>
      <w:r>
        <w:rPr>
          <w:noProof/>
        </w:rPr>
      </w:r>
      <w:r>
        <w:rPr>
          <w:noProof/>
        </w:rPr>
        <w:fldChar w:fldCharType="separate"/>
      </w:r>
      <w:r>
        <w:rPr>
          <w:noProof/>
        </w:rPr>
        <w:t>93</w:t>
      </w:r>
      <w:r>
        <w:rPr>
          <w:noProof/>
        </w:rPr>
        <w:fldChar w:fldCharType="end"/>
      </w:r>
    </w:p>
    <w:p w14:paraId="662B5778" w14:textId="633B6C02" w:rsidR="00707BE8" w:rsidRDefault="00707BE8">
      <w:pPr>
        <w:pStyle w:val="TOC2"/>
        <w:tabs>
          <w:tab w:val="right" w:leader="dot" w:pos="9016"/>
        </w:tabs>
        <w:rPr>
          <w:rFonts w:eastAsiaTheme="minorEastAsia"/>
          <w:noProof/>
          <w:sz w:val="24"/>
          <w:szCs w:val="24"/>
          <w:lang w:eastAsia="en-GB"/>
        </w:rPr>
      </w:pPr>
      <w:r w:rsidRPr="00A040D2">
        <w:rPr>
          <w:rFonts w:ascii="Arial" w:hAnsi="Arial" w:cs="Arial"/>
          <w:noProof/>
          <w:u w:val="single"/>
        </w:rPr>
        <w:t>SOP relating to HLA antibody determination</w:t>
      </w:r>
      <w:r>
        <w:rPr>
          <w:noProof/>
        </w:rPr>
        <w:tab/>
      </w:r>
      <w:r>
        <w:rPr>
          <w:noProof/>
        </w:rPr>
        <w:fldChar w:fldCharType="begin"/>
      </w:r>
      <w:r>
        <w:rPr>
          <w:noProof/>
        </w:rPr>
        <w:instrText xml:space="preserve"> PAGEREF _Toc121909814 \h </w:instrText>
      </w:r>
      <w:r>
        <w:rPr>
          <w:noProof/>
        </w:rPr>
      </w:r>
      <w:r>
        <w:rPr>
          <w:noProof/>
        </w:rPr>
        <w:fldChar w:fldCharType="separate"/>
      </w:r>
      <w:r>
        <w:rPr>
          <w:noProof/>
        </w:rPr>
        <w:t>94</w:t>
      </w:r>
      <w:r>
        <w:rPr>
          <w:noProof/>
        </w:rPr>
        <w:fldChar w:fldCharType="end"/>
      </w:r>
    </w:p>
    <w:p w14:paraId="48523215" w14:textId="27C79646" w:rsidR="006B646D" w:rsidRPr="00332E94" w:rsidRDefault="00A36B93" w:rsidP="00A44266">
      <w:pPr>
        <w:snapToGrid w:val="0"/>
        <w:spacing w:line="240" w:lineRule="auto"/>
        <w:contextualSpacing/>
        <w:rPr>
          <w:rFonts w:ascii="Arial" w:hAnsi="Arial" w:cs="Arial"/>
          <w:b/>
          <w:bCs/>
        </w:rPr>
      </w:pPr>
      <w:r w:rsidRPr="004A76F3">
        <w:rPr>
          <w:rFonts w:ascii="Arial" w:hAnsi="Arial" w:cs="Arial"/>
        </w:rPr>
        <w:fldChar w:fldCharType="end"/>
      </w:r>
    </w:p>
    <w:p w14:paraId="6D41C416" w14:textId="77777777" w:rsidR="00B4048D" w:rsidRDefault="00B4048D">
      <w:pPr>
        <w:rPr>
          <w:rFonts w:ascii="Arial" w:eastAsiaTheme="majorEastAsia" w:hAnsi="Arial" w:cs="Arial"/>
          <w:color w:val="2F5496" w:themeColor="accent1" w:themeShade="BF"/>
          <w:sz w:val="26"/>
          <w:szCs w:val="26"/>
          <w:u w:val="single"/>
        </w:rPr>
      </w:pPr>
      <w:r>
        <w:rPr>
          <w:rFonts w:ascii="Arial" w:hAnsi="Arial" w:cs="Arial"/>
          <w:u w:val="single"/>
        </w:rPr>
        <w:br w:type="page"/>
      </w:r>
    </w:p>
    <w:p w14:paraId="20DA4BBB" w14:textId="5754DA26" w:rsidR="00234AA5" w:rsidRPr="00562F3E" w:rsidRDefault="009E1241" w:rsidP="00BD0EE0">
      <w:pPr>
        <w:pStyle w:val="Heading2"/>
      </w:pPr>
      <w:bookmarkStart w:id="2" w:name="_Toc121909711"/>
      <w:r w:rsidRPr="00562F3E">
        <w:lastRenderedPageBreak/>
        <w:t xml:space="preserve">List of Investigators and </w:t>
      </w:r>
      <w:r w:rsidR="00234AA5" w:rsidRPr="00562F3E">
        <w:t>UK Recruiting Centres</w:t>
      </w:r>
      <w:bookmarkEnd w:id="2"/>
    </w:p>
    <w:p w14:paraId="71980D3D" w14:textId="4BE9C598" w:rsidR="00234AA5" w:rsidRDefault="00234AA5" w:rsidP="00A44266">
      <w:pPr>
        <w:snapToGrid w:val="0"/>
        <w:spacing w:line="240" w:lineRule="auto"/>
        <w:contextualSpacing/>
        <w:rPr>
          <w:rFonts w:ascii="Arial" w:hAnsi="Arial" w:cs="Arial"/>
        </w:rPr>
      </w:pPr>
      <w:r w:rsidRPr="00332E94">
        <w:rPr>
          <w:rFonts w:ascii="Arial" w:hAnsi="Arial" w:cs="Arial"/>
        </w:rPr>
        <w:t xml:space="preserve">The </w:t>
      </w:r>
      <w:r w:rsidR="00876EE3">
        <w:rPr>
          <w:rFonts w:ascii="Arial" w:hAnsi="Arial" w:cs="Arial"/>
        </w:rPr>
        <w:t xml:space="preserve">following PIs, based in </w:t>
      </w:r>
      <w:r w:rsidRPr="00332E94">
        <w:rPr>
          <w:rFonts w:ascii="Arial" w:hAnsi="Arial" w:cs="Arial"/>
        </w:rPr>
        <w:t xml:space="preserve">13 UK centres were: 1) </w:t>
      </w:r>
      <w:r w:rsidR="00876EE3">
        <w:rPr>
          <w:rFonts w:ascii="Arial" w:hAnsi="Arial" w:cs="Arial"/>
        </w:rPr>
        <w:t xml:space="preserve">Anthony Dorling (CI) and Rachel Hilton (PI) </w:t>
      </w:r>
      <w:r w:rsidRPr="00332E94">
        <w:rPr>
          <w:rFonts w:ascii="Arial" w:hAnsi="Arial" w:cs="Arial"/>
        </w:rPr>
        <w:t xml:space="preserve">Guy’s Hospital, Guy’s and St Thomas’ NHS Foundation Trust; 2) </w:t>
      </w:r>
      <w:r w:rsidR="00876EE3">
        <w:rPr>
          <w:rFonts w:ascii="Arial" w:hAnsi="Arial" w:cs="Arial"/>
        </w:rPr>
        <w:t xml:space="preserve">Sapna Shah (PI) </w:t>
      </w:r>
      <w:r w:rsidRPr="00332E94">
        <w:rPr>
          <w:rFonts w:ascii="Arial" w:hAnsi="Arial" w:cs="Arial"/>
        </w:rPr>
        <w:t xml:space="preserve">King’s College Hospital, King’s College Hospital NHS Foundation Trust;  3) </w:t>
      </w:r>
      <w:r w:rsidR="00876EE3">
        <w:rPr>
          <w:rFonts w:ascii="Arial" w:hAnsi="Arial" w:cs="Arial"/>
        </w:rPr>
        <w:t xml:space="preserve">Richard Baker (PI) </w:t>
      </w:r>
      <w:r w:rsidRPr="00332E94">
        <w:rPr>
          <w:rFonts w:ascii="Arial" w:hAnsi="Arial" w:cs="Arial"/>
        </w:rPr>
        <w:t xml:space="preserve">St James’s University Hospital, Leeds Teaching Hospitals NHS Trust; 4) </w:t>
      </w:r>
      <w:r w:rsidR="007C6E34">
        <w:rPr>
          <w:rFonts w:ascii="Arial" w:hAnsi="Arial" w:cs="Arial"/>
        </w:rPr>
        <w:t xml:space="preserve">Michael Picton (PI) </w:t>
      </w:r>
      <w:r w:rsidRPr="00332E94">
        <w:rPr>
          <w:rFonts w:ascii="Arial" w:hAnsi="Arial" w:cs="Arial"/>
        </w:rPr>
        <w:t xml:space="preserve">Manchester Royal Infirmary, Manchester University NHS Foundation Trust; 5) </w:t>
      </w:r>
      <w:r w:rsidR="007C6E34">
        <w:rPr>
          <w:rFonts w:ascii="Arial" w:hAnsi="Arial" w:cs="Arial"/>
        </w:rPr>
        <w:t xml:space="preserve">Raj Thuraisingham (PI) </w:t>
      </w:r>
      <w:r w:rsidRPr="00332E94">
        <w:rPr>
          <w:rFonts w:ascii="Arial" w:hAnsi="Arial" w:cs="Arial"/>
        </w:rPr>
        <w:t xml:space="preserve">Royal London Hospital, Bart’s Health NHS Trust; 6) </w:t>
      </w:r>
      <w:r w:rsidR="007C6E34">
        <w:rPr>
          <w:rFonts w:ascii="Arial" w:hAnsi="Arial" w:cs="Arial"/>
        </w:rPr>
        <w:t xml:space="preserve">Richard Borrows (PI) </w:t>
      </w:r>
      <w:r w:rsidRPr="00332E94">
        <w:rPr>
          <w:rFonts w:ascii="Arial" w:hAnsi="Arial" w:cs="Arial"/>
        </w:rPr>
        <w:t xml:space="preserve">Queen Elizabeth Hospital, University Hospitals Birmingham NHS Foundation Trust; 7) </w:t>
      </w:r>
      <w:r w:rsidR="00710C21">
        <w:rPr>
          <w:rFonts w:ascii="Arial" w:hAnsi="Arial" w:cs="Arial"/>
        </w:rPr>
        <w:t xml:space="preserve">Keith </w:t>
      </w:r>
      <w:r w:rsidR="00192679">
        <w:rPr>
          <w:rFonts w:ascii="Arial" w:hAnsi="Arial" w:cs="Arial"/>
        </w:rPr>
        <w:t>McCullo</w:t>
      </w:r>
      <w:r w:rsidR="000F3CA0">
        <w:rPr>
          <w:rFonts w:ascii="Arial" w:hAnsi="Arial" w:cs="Arial"/>
        </w:rPr>
        <w:t>u</w:t>
      </w:r>
      <w:r w:rsidR="00192679">
        <w:rPr>
          <w:rFonts w:ascii="Arial" w:hAnsi="Arial" w:cs="Arial"/>
        </w:rPr>
        <w:t xml:space="preserve">gh (PI) </w:t>
      </w:r>
      <w:r w:rsidRPr="00332E94">
        <w:rPr>
          <w:rFonts w:ascii="Arial" w:hAnsi="Arial" w:cs="Arial"/>
        </w:rPr>
        <w:t xml:space="preserve">York Hospital, York and Scarborough Teaching Hospitals NHS Foundation Trust; 8) </w:t>
      </w:r>
      <w:r w:rsidR="00192679">
        <w:rPr>
          <w:rFonts w:ascii="Arial" w:hAnsi="Arial" w:cs="Arial"/>
        </w:rPr>
        <w:t xml:space="preserve">Waqar Ayub (PI) </w:t>
      </w:r>
      <w:r w:rsidRPr="00332E94">
        <w:rPr>
          <w:rFonts w:ascii="Arial" w:hAnsi="Arial" w:cs="Arial"/>
        </w:rPr>
        <w:t xml:space="preserve">University Hospital Coventry, University Hospitals Coventry and Warwickshire NHS Trust; 9) </w:t>
      </w:r>
      <w:r w:rsidR="00192679">
        <w:rPr>
          <w:rFonts w:ascii="Arial" w:hAnsi="Arial" w:cs="Arial"/>
        </w:rPr>
        <w:t xml:space="preserve">Aimun Ahmed (PI) </w:t>
      </w:r>
      <w:r w:rsidRPr="00332E94">
        <w:rPr>
          <w:rFonts w:ascii="Arial" w:hAnsi="Arial" w:cs="Arial"/>
        </w:rPr>
        <w:t xml:space="preserve">Royal Preston Hospital, Lancashire Teaching Hospitals NHS Foundation Trust; 10) </w:t>
      </w:r>
      <w:r w:rsidR="00192679">
        <w:rPr>
          <w:rFonts w:ascii="Arial" w:hAnsi="Arial" w:cs="Arial"/>
        </w:rPr>
        <w:t xml:space="preserve">Janet Hegarty (PI) </w:t>
      </w:r>
      <w:r w:rsidR="0077557A">
        <w:rPr>
          <w:rFonts w:ascii="Arial" w:hAnsi="Arial" w:cs="Arial"/>
        </w:rPr>
        <w:t>S</w:t>
      </w:r>
      <w:r w:rsidRPr="00332E94">
        <w:rPr>
          <w:rFonts w:ascii="Arial" w:hAnsi="Arial" w:cs="Arial"/>
        </w:rPr>
        <w:t xml:space="preserve">alford Royal Hospital, Northern Care Alliance NHS Foundation Trust; 11) </w:t>
      </w:r>
      <w:r w:rsidR="00192679">
        <w:rPr>
          <w:rFonts w:ascii="Arial" w:hAnsi="Arial" w:cs="Arial"/>
        </w:rPr>
        <w:t xml:space="preserve">John Stoves (PI) </w:t>
      </w:r>
      <w:r w:rsidRPr="00332E94">
        <w:rPr>
          <w:rFonts w:ascii="Arial" w:hAnsi="Arial" w:cs="Arial"/>
        </w:rPr>
        <w:t xml:space="preserve">Bradford Royal Infirmary, Bradford Teaching Hospitals NHS Foundation Trust; 12) </w:t>
      </w:r>
      <w:r w:rsidR="00192679">
        <w:rPr>
          <w:rFonts w:ascii="Arial" w:hAnsi="Arial" w:cs="Arial"/>
        </w:rPr>
        <w:t>Kin</w:t>
      </w:r>
      <w:r w:rsidR="00D85E73">
        <w:rPr>
          <w:rFonts w:ascii="Arial" w:hAnsi="Arial" w:cs="Arial"/>
        </w:rPr>
        <w:t xml:space="preserve"> Yee Shiu and Stephen B Walsh (PIs) </w:t>
      </w:r>
      <w:r w:rsidRPr="00332E94">
        <w:rPr>
          <w:rFonts w:ascii="Arial" w:hAnsi="Arial" w:cs="Arial"/>
        </w:rPr>
        <w:t xml:space="preserve">Royal Free Hospital, Royal Free NHS Foundation Trust; 13) </w:t>
      </w:r>
      <w:r w:rsidR="00D85E73">
        <w:rPr>
          <w:rFonts w:ascii="Arial" w:hAnsi="Arial" w:cs="Arial"/>
        </w:rPr>
        <w:t xml:space="preserve">Mysore Phanish (PI) </w:t>
      </w:r>
      <w:r w:rsidRPr="00332E94">
        <w:rPr>
          <w:rFonts w:ascii="Arial" w:hAnsi="Arial" w:cs="Arial"/>
        </w:rPr>
        <w:t>St Helier Hospital, Epsom and St Helier University Hospitals NHS Foundation Trust.</w:t>
      </w:r>
    </w:p>
    <w:p w14:paraId="3EBDAD62" w14:textId="7223D290" w:rsidR="000F44C6" w:rsidRDefault="000F44C6" w:rsidP="00A44266">
      <w:pPr>
        <w:snapToGrid w:val="0"/>
        <w:spacing w:line="240" w:lineRule="auto"/>
        <w:contextualSpacing/>
        <w:rPr>
          <w:rFonts w:ascii="Arial" w:hAnsi="Arial" w:cs="Arial"/>
        </w:rPr>
      </w:pPr>
    </w:p>
    <w:p w14:paraId="6351CC28" w14:textId="303F5AFF" w:rsidR="000F44C6" w:rsidRPr="00BD0EE0" w:rsidRDefault="000F44C6" w:rsidP="00BD0EE0">
      <w:pPr>
        <w:pStyle w:val="Heading2"/>
      </w:pPr>
      <w:bookmarkStart w:id="3" w:name="_Toc121909712"/>
      <w:r w:rsidRPr="00BD0EE0">
        <w:t>Methods</w:t>
      </w:r>
      <w:r w:rsidR="00B46DB3">
        <w:t>.</w:t>
      </w:r>
      <w:bookmarkEnd w:id="3"/>
    </w:p>
    <w:p w14:paraId="7D4902CA" w14:textId="07AB75E9" w:rsidR="005249C1" w:rsidRPr="00BD0EE0" w:rsidRDefault="005249C1" w:rsidP="00BD0EE0">
      <w:pPr>
        <w:pStyle w:val="Heading3"/>
      </w:pPr>
      <w:bookmarkStart w:id="4" w:name="_Toc121909713"/>
      <w:r w:rsidRPr="00BD0EE0">
        <w:t>Anti-HLA Ab determination.</w:t>
      </w:r>
      <w:bookmarkEnd w:id="4"/>
    </w:p>
    <w:p w14:paraId="2E3AA03C" w14:textId="6353E742" w:rsidR="00305B6F" w:rsidRDefault="005249C1" w:rsidP="00305B6F">
      <w:pPr>
        <w:rPr>
          <w:rFonts w:ascii="Arial" w:hAnsi="Arial" w:cs="Arial"/>
        </w:rPr>
      </w:pPr>
      <w:r w:rsidRPr="00305B6F">
        <w:rPr>
          <w:rFonts w:ascii="Arial" w:hAnsi="Arial" w:cs="Arial"/>
        </w:rPr>
        <w:t>Serum prepared from 10 mL of blood was used in LABScreen tests (One Lambda, Canoga Park, CA through VH Bio, Gatehead UK), analysed on Luminex equipment (Luminex Corp, Austin, Texas) in five sites (Guy’s, Birmingham, Manchester, Leeds and Royal London). All worked to the same standard operating procedure, agreed pre-trial (refer to supplementary appendix). Serum was first analysed using mixed HLA class I and class II Ab screening beads, with a positive or negative result assigned based on batch-specific cut offs designated using validated protocols at the Guys site. Serum with a positive result on mixed bead screening was analysed using single antigen coated class I or class II beads, with a positive defined as mean fluorescence intensity (MFI) of binding ≥2,000. Laboratory staff then compared assigned DSA/non-DSA status depending on whether HLA Ab were directed against a mismatched donor HLA antigen. No retrospective HLA typing was performed.  Instead, tissue typing staff inferred the presence of specific donor recipient mismatches when alleles were in strong linkage disequilibrium (see table 3).  HLA Ab in which it was difficult to label as DSA + or non-DSA + (for instance because of insufficient data on donor mismatches), were categorised as non-DSA+. Samples with a positive reaction on screening but lacking reactivity with the single antigen beads were considered negative.</w:t>
      </w:r>
    </w:p>
    <w:p w14:paraId="24DBA898" w14:textId="0992A5B5" w:rsidR="00305B6F" w:rsidRDefault="00305B6F" w:rsidP="00305B6F">
      <w:pPr>
        <w:rPr>
          <w:rFonts w:ascii="Arial" w:hAnsi="Arial" w:cs="Arial"/>
        </w:rPr>
      </w:pPr>
    </w:p>
    <w:p w14:paraId="59EBC5A7" w14:textId="08611C9C" w:rsidR="00B46DB3" w:rsidRPr="00305B6F" w:rsidRDefault="00B46DB3" w:rsidP="0036736C">
      <w:pPr>
        <w:pStyle w:val="Heading3"/>
        <w:rPr>
          <w:rFonts w:ascii="Arial" w:hAnsi="Arial" w:cs="Arial"/>
        </w:rPr>
      </w:pPr>
      <w:bookmarkStart w:id="5" w:name="_Toc121909714"/>
      <w:r w:rsidRPr="00BD0EE0">
        <w:t>Expansion of statistical methodology</w:t>
      </w:r>
      <w:bookmarkEnd w:id="5"/>
    </w:p>
    <w:p w14:paraId="0F3ADC28" w14:textId="085523A4" w:rsidR="000C2B59" w:rsidRPr="00BD0EE0" w:rsidRDefault="000C2B59" w:rsidP="00BD0EE0">
      <w:pPr>
        <w:pStyle w:val="Heading3"/>
      </w:pPr>
      <w:bookmarkStart w:id="6" w:name="_Toc121909715"/>
      <w:r w:rsidRPr="00BD0EE0">
        <w:t>Primary outcome assumptions and sensitivity analyses</w:t>
      </w:r>
      <w:bookmarkEnd w:id="6"/>
    </w:p>
    <w:p w14:paraId="1520DF94" w14:textId="77777777" w:rsidR="00DE39B8" w:rsidRPr="00DE39B8" w:rsidRDefault="00DE39B8" w:rsidP="00DE39B8">
      <w:pPr>
        <w:pStyle w:val="BodyText"/>
        <w:snapToGrid w:val="0"/>
        <w:contextualSpacing/>
        <w:jc w:val="both"/>
        <w:rPr>
          <w:rFonts w:eastAsiaTheme="minorHAnsi" w:cs="Arial"/>
          <w:b w:val="0"/>
          <w:color w:val="auto"/>
          <w:sz w:val="22"/>
          <w:szCs w:val="22"/>
          <w:lang w:eastAsia="en-US"/>
        </w:rPr>
      </w:pPr>
      <w:r w:rsidRPr="00DE39B8">
        <w:rPr>
          <w:rFonts w:eastAsiaTheme="minorHAnsi" w:cs="Arial"/>
          <w:b w:val="0"/>
          <w:color w:val="auto"/>
          <w:sz w:val="22"/>
          <w:szCs w:val="22"/>
          <w:lang w:eastAsia="en-US"/>
        </w:rPr>
        <w:t xml:space="preserve">The following treatment effect contrasts for the primary and secondary outcomes were estimated: </w:t>
      </w:r>
    </w:p>
    <w:p w14:paraId="292DFADF" w14:textId="77777777" w:rsidR="00DE39B8" w:rsidRPr="00DE39B8" w:rsidRDefault="00DE39B8" w:rsidP="00DE39B8">
      <w:pPr>
        <w:pStyle w:val="BodyText"/>
        <w:snapToGrid w:val="0"/>
        <w:contextualSpacing/>
        <w:jc w:val="both"/>
        <w:rPr>
          <w:rFonts w:eastAsiaTheme="minorHAnsi" w:cs="Arial"/>
          <w:b w:val="0"/>
          <w:color w:val="auto"/>
          <w:sz w:val="22"/>
          <w:szCs w:val="22"/>
          <w:lang w:eastAsia="en-US"/>
        </w:rPr>
      </w:pPr>
      <w:r w:rsidRPr="00DE39B8">
        <w:rPr>
          <w:rFonts w:eastAsiaTheme="minorHAnsi" w:cs="Arial"/>
          <w:b w:val="0"/>
          <w:color w:val="auto"/>
          <w:sz w:val="22"/>
          <w:szCs w:val="22"/>
          <w:lang w:eastAsia="en-US"/>
        </w:rPr>
        <w:t>1a. DSA+ BLC versus DSA+ SC participants (both at randomisation and re-screening)</w:t>
      </w:r>
    </w:p>
    <w:p w14:paraId="63FE0923" w14:textId="77777777" w:rsidR="00DE39B8" w:rsidRPr="00DE39B8" w:rsidRDefault="00DE39B8" w:rsidP="00DE39B8">
      <w:pPr>
        <w:pStyle w:val="BodyText"/>
        <w:snapToGrid w:val="0"/>
        <w:contextualSpacing/>
        <w:jc w:val="both"/>
        <w:rPr>
          <w:rFonts w:eastAsiaTheme="minorHAnsi" w:cs="Arial"/>
          <w:b w:val="0"/>
          <w:color w:val="auto"/>
          <w:sz w:val="22"/>
          <w:szCs w:val="22"/>
          <w:lang w:eastAsia="en-US"/>
        </w:rPr>
      </w:pPr>
      <w:r w:rsidRPr="00DE39B8">
        <w:rPr>
          <w:rFonts w:eastAsiaTheme="minorHAnsi" w:cs="Arial"/>
          <w:b w:val="0"/>
          <w:color w:val="auto"/>
          <w:sz w:val="22"/>
          <w:szCs w:val="22"/>
          <w:lang w:eastAsia="en-US"/>
        </w:rPr>
        <w:t>1b. non-DSA+ BLC versus non-DSA+ SC participants (both at randomisation and re-screening)</w:t>
      </w:r>
    </w:p>
    <w:p w14:paraId="23B17289" w14:textId="77777777" w:rsidR="00DE39B8" w:rsidRPr="00DE39B8" w:rsidRDefault="00DE39B8" w:rsidP="00DE39B8">
      <w:pPr>
        <w:pStyle w:val="BodyText"/>
        <w:snapToGrid w:val="0"/>
        <w:contextualSpacing/>
        <w:jc w:val="both"/>
        <w:rPr>
          <w:rFonts w:eastAsiaTheme="minorHAnsi" w:cs="Arial"/>
          <w:b w:val="0"/>
          <w:color w:val="auto"/>
          <w:sz w:val="22"/>
          <w:szCs w:val="22"/>
          <w:lang w:eastAsia="en-US"/>
        </w:rPr>
      </w:pPr>
      <w:r w:rsidRPr="00DE39B8">
        <w:rPr>
          <w:rFonts w:eastAsiaTheme="minorHAnsi" w:cs="Arial"/>
          <w:b w:val="0"/>
          <w:color w:val="auto"/>
          <w:sz w:val="22"/>
          <w:szCs w:val="22"/>
          <w:lang w:eastAsia="en-US"/>
        </w:rPr>
        <w:t>2. All randomised BLC versus SC participants.</w:t>
      </w:r>
    </w:p>
    <w:p w14:paraId="7341FC38" w14:textId="6983BE0B" w:rsidR="005670AE" w:rsidRDefault="00DE39B8" w:rsidP="00DE39B8">
      <w:pPr>
        <w:pStyle w:val="BodyText"/>
        <w:snapToGrid w:val="0"/>
        <w:contextualSpacing/>
        <w:jc w:val="both"/>
        <w:rPr>
          <w:rFonts w:eastAsiaTheme="minorHAnsi" w:cs="Arial"/>
          <w:b w:val="0"/>
          <w:color w:val="auto"/>
          <w:sz w:val="22"/>
          <w:szCs w:val="22"/>
          <w:lang w:eastAsia="en-US"/>
        </w:rPr>
      </w:pPr>
      <w:r w:rsidRPr="00DE39B8">
        <w:rPr>
          <w:rFonts w:eastAsiaTheme="minorHAnsi" w:cs="Arial"/>
          <w:b w:val="0"/>
          <w:color w:val="auto"/>
          <w:sz w:val="22"/>
          <w:szCs w:val="22"/>
          <w:lang w:eastAsia="en-US"/>
        </w:rPr>
        <w:t>For the primary outcome, contrasts 1a and 1b were tested for superiority and contrast 2 was tested for non-inferiority, with non-inferiority concluded if the upper bound of the 95% confidence interval for the hazard ratio was less than 1.4. For all secondary outcomes, all contrasts were tested for superiority.</w:t>
      </w:r>
    </w:p>
    <w:p w14:paraId="55E53BD9" w14:textId="77777777" w:rsidR="005670AE" w:rsidRDefault="005670AE" w:rsidP="00A44266">
      <w:pPr>
        <w:pStyle w:val="BodyText"/>
        <w:snapToGrid w:val="0"/>
        <w:contextualSpacing/>
        <w:jc w:val="both"/>
        <w:rPr>
          <w:rFonts w:eastAsiaTheme="minorHAnsi" w:cs="Arial"/>
          <w:b w:val="0"/>
          <w:color w:val="auto"/>
          <w:sz w:val="22"/>
          <w:szCs w:val="22"/>
          <w:lang w:eastAsia="en-US"/>
        </w:rPr>
      </w:pPr>
    </w:p>
    <w:p w14:paraId="2B5FF11F" w14:textId="4B0CAC24" w:rsidR="00592F8B" w:rsidRDefault="00592F8B" w:rsidP="00592F8B">
      <w:pPr>
        <w:pStyle w:val="BodyText"/>
        <w:snapToGrid w:val="0"/>
        <w:contextualSpacing/>
        <w:jc w:val="both"/>
        <w:rPr>
          <w:rFonts w:eastAsiaTheme="minorHAnsi" w:cs="Arial"/>
          <w:b w:val="0"/>
          <w:color w:val="auto"/>
          <w:sz w:val="22"/>
          <w:szCs w:val="22"/>
          <w:lang w:eastAsia="en-US"/>
        </w:rPr>
      </w:pPr>
      <w:r>
        <w:rPr>
          <w:rFonts w:eastAsiaTheme="minorHAnsi" w:cs="Arial"/>
          <w:b w:val="0"/>
          <w:color w:val="auto"/>
          <w:sz w:val="22"/>
          <w:szCs w:val="22"/>
          <w:lang w:eastAsia="en-US"/>
        </w:rPr>
        <w:lastRenderedPageBreak/>
        <w:t xml:space="preserve">Different comparisons/outcomes used different observation periods. This is outlined in suppl figure 2 below. </w:t>
      </w:r>
    </w:p>
    <w:p w14:paraId="1F4EC5D7" w14:textId="77777777" w:rsidR="00592F8B" w:rsidRDefault="00592F8B" w:rsidP="00592F8B">
      <w:pPr>
        <w:pStyle w:val="BodyText"/>
        <w:snapToGrid w:val="0"/>
        <w:contextualSpacing/>
        <w:jc w:val="both"/>
        <w:rPr>
          <w:rFonts w:eastAsiaTheme="minorHAnsi" w:cs="Arial"/>
          <w:b w:val="0"/>
          <w:color w:val="auto"/>
          <w:sz w:val="22"/>
          <w:szCs w:val="22"/>
          <w:lang w:eastAsia="en-US"/>
        </w:rPr>
      </w:pPr>
    </w:p>
    <w:p w14:paraId="2C08874C" w14:textId="77777777" w:rsidR="00592F8B" w:rsidRDefault="00592F8B" w:rsidP="00592F8B">
      <w:pPr>
        <w:pStyle w:val="BodyText"/>
        <w:snapToGrid w:val="0"/>
        <w:contextualSpacing/>
        <w:jc w:val="both"/>
        <w:rPr>
          <w:rFonts w:eastAsiaTheme="minorHAnsi" w:cs="Arial"/>
          <w:b w:val="0"/>
          <w:color w:val="auto"/>
          <w:sz w:val="22"/>
          <w:szCs w:val="22"/>
          <w:lang w:eastAsia="en-US"/>
        </w:rPr>
      </w:pPr>
      <w:r>
        <w:rPr>
          <w:rFonts w:eastAsiaTheme="minorHAnsi" w:cs="Arial"/>
          <w:b w:val="0"/>
          <w:color w:val="auto"/>
          <w:sz w:val="22"/>
          <w:szCs w:val="22"/>
          <w:lang w:eastAsia="en-US"/>
        </w:rPr>
        <w:t>The purpose of these different observation periods for the different comparisons, is that the within DSA+ and within non-DSA+ comparisons aim to estimate the treatment effect of unblinding + optimisation in HLA+ve participants and so include participants at risk from the time they were found to be HLA+ve. The overall unblinded (BLC) vs blinded (SC) comparison aims to estimate the overall effect of the blinding strategy, and so participants time at risk is the time of blinding/unblinding to the HLA result (which is randomisation for all participants).</w:t>
      </w:r>
    </w:p>
    <w:p w14:paraId="5E3B3F4E" w14:textId="77777777" w:rsidR="00592F8B" w:rsidRDefault="00592F8B" w:rsidP="00592F8B">
      <w:pPr>
        <w:pStyle w:val="BodyText"/>
        <w:snapToGrid w:val="0"/>
        <w:contextualSpacing/>
        <w:jc w:val="both"/>
        <w:rPr>
          <w:rFonts w:eastAsiaTheme="minorHAnsi" w:cs="Arial"/>
          <w:b w:val="0"/>
          <w:color w:val="auto"/>
          <w:sz w:val="22"/>
          <w:szCs w:val="22"/>
          <w:lang w:eastAsia="en-US"/>
        </w:rPr>
      </w:pPr>
    </w:p>
    <w:p w14:paraId="21F8853B" w14:textId="77777777" w:rsidR="00592F8B" w:rsidRDefault="00592F8B" w:rsidP="00592F8B">
      <w:pPr>
        <w:pStyle w:val="BodyText"/>
        <w:snapToGrid w:val="0"/>
        <w:contextualSpacing/>
        <w:jc w:val="both"/>
        <w:rPr>
          <w:rFonts w:cs="Courier New"/>
          <w:b w:val="0"/>
          <w:sz w:val="22"/>
          <w:szCs w:val="22"/>
          <w:u w:color="000000"/>
          <w:bdr w:val="nil"/>
        </w:rPr>
      </w:pPr>
      <w:r>
        <w:rPr>
          <w:rFonts w:eastAsiaTheme="minorHAnsi" w:cs="Arial"/>
          <w:b w:val="0"/>
          <w:color w:val="auto"/>
          <w:sz w:val="22"/>
          <w:szCs w:val="22"/>
          <w:lang w:eastAsia="en-US"/>
        </w:rPr>
        <w:t xml:space="preserve">For the DSA+ and within non-DSA+ comparisons, time at risk started at randomisation for those HLA positive at randomisation and at time of re-screening for those HLA Negative participants who became HLA positive later at re-screening rounds. For the primary outcome, </w:t>
      </w:r>
      <w:r>
        <w:rPr>
          <w:rFonts w:cs="Courier New"/>
          <w:b w:val="0"/>
          <w:sz w:val="22"/>
          <w:szCs w:val="22"/>
          <w:u w:color="000000"/>
          <w:bdr w:val="nil"/>
        </w:rPr>
        <w:t>p</w:t>
      </w:r>
      <w:r w:rsidRPr="00960D21">
        <w:rPr>
          <w:rFonts w:cs="Courier New"/>
          <w:b w:val="0"/>
          <w:sz w:val="22"/>
          <w:szCs w:val="22"/>
          <w:u w:color="000000"/>
          <w:bdr w:val="nil"/>
        </w:rPr>
        <w:t>atients follow up time was used up until the pre-COVID-19 collection period</w:t>
      </w:r>
      <w:r>
        <w:rPr>
          <w:rFonts w:cs="Courier New"/>
          <w:b w:val="0"/>
          <w:sz w:val="22"/>
          <w:szCs w:val="22"/>
          <w:u w:color="000000"/>
          <w:bdr w:val="nil"/>
        </w:rPr>
        <w:t>. For the overall comparison, time at risk started at randomisation for all participants up until the pre-COVID-19 collection period. This was also true for the secondary outcome of death.</w:t>
      </w:r>
    </w:p>
    <w:p w14:paraId="561BDF81" w14:textId="77777777" w:rsidR="00592F8B" w:rsidRDefault="00592F8B" w:rsidP="00592F8B">
      <w:pPr>
        <w:pStyle w:val="BodyText"/>
        <w:snapToGrid w:val="0"/>
        <w:contextualSpacing/>
        <w:jc w:val="both"/>
        <w:rPr>
          <w:rFonts w:cs="Courier New"/>
          <w:b w:val="0"/>
          <w:sz w:val="22"/>
          <w:szCs w:val="22"/>
          <w:u w:color="000000"/>
          <w:bdr w:val="nil"/>
        </w:rPr>
      </w:pPr>
    </w:p>
    <w:p w14:paraId="1B72F968" w14:textId="065A451D" w:rsidR="00592F8B" w:rsidRDefault="00592F8B" w:rsidP="00592F8B">
      <w:pPr>
        <w:pStyle w:val="BodyText"/>
        <w:snapToGrid w:val="0"/>
        <w:contextualSpacing/>
        <w:jc w:val="both"/>
        <w:rPr>
          <w:rFonts w:eastAsiaTheme="minorHAnsi" w:cs="Arial"/>
          <w:b w:val="0"/>
          <w:color w:val="auto"/>
          <w:sz w:val="22"/>
          <w:szCs w:val="22"/>
          <w:lang w:eastAsia="en-US"/>
        </w:rPr>
      </w:pPr>
      <w:r>
        <w:rPr>
          <w:rFonts w:cs="Courier New"/>
          <w:b w:val="0"/>
          <w:sz w:val="22"/>
          <w:szCs w:val="22"/>
          <w:u w:color="000000"/>
          <w:bdr w:val="nil"/>
        </w:rPr>
        <w:t xml:space="preserve">For the other secondary outcomes, these were only collected in the intensive data collection period which was from randomisation to 32 months post-randomisation, or in the case of participants who became HLA positive at re-screening rounds, 32 months post-re-screening. Therefore for these secondary outcomes, for the within DSA+ and within non_DSA+ comparisons,  </w:t>
      </w:r>
      <w:r>
        <w:rPr>
          <w:rFonts w:eastAsiaTheme="minorHAnsi" w:cs="Arial"/>
          <w:b w:val="0"/>
          <w:color w:val="auto"/>
          <w:sz w:val="22"/>
          <w:szCs w:val="22"/>
          <w:lang w:eastAsia="en-US"/>
        </w:rPr>
        <w:t>time at risk starts at randomisation for those HLA positive at randomisation and at time of re-screening for those HLA Negative participants who became HLA positive later and ends 32 months later. However, for the overall unblinded (BLC) vs blinded (SC) comparison for these other secondary outcomes, time at risk starts at randomisation for all participants and ends 32 months post-randomisation (ignoring any additional follow up for re-screen HLA positive participants).</w:t>
      </w:r>
    </w:p>
    <w:p w14:paraId="5FDD1E29" w14:textId="77777777" w:rsidR="00592F8B" w:rsidRDefault="00592F8B" w:rsidP="00A44266">
      <w:pPr>
        <w:pStyle w:val="BodyText"/>
        <w:snapToGrid w:val="0"/>
        <w:contextualSpacing/>
        <w:jc w:val="both"/>
        <w:rPr>
          <w:rFonts w:eastAsiaTheme="minorHAnsi" w:cs="Arial"/>
          <w:b w:val="0"/>
          <w:color w:val="auto"/>
          <w:sz w:val="22"/>
          <w:szCs w:val="22"/>
          <w:lang w:eastAsia="en-US"/>
        </w:rPr>
      </w:pPr>
    </w:p>
    <w:p w14:paraId="601CB622" w14:textId="0839E82B" w:rsidR="000C2B59" w:rsidRPr="00332E94" w:rsidRDefault="000C2B59" w:rsidP="00A44266">
      <w:pPr>
        <w:pStyle w:val="BodyText"/>
        <w:snapToGrid w:val="0"/>
        <w:contextualSpacing/>
        <w:jc w:val="both"/>
        <w:rPr>
          <w:rFonts w:eastAsiaTheme="minorHAnsi" w:cs="Arial"/>
          <w:b w:val="0"/>
          <w:color w:val="auto"/>
          <w:sz w:val="22"/>
          <w:szCs w:val="22"/>
          <w:lang w:eastAsia="en-US"/>
        </w:rPr>
      </w:pPr>
      <w:r w:rsidRPr="00332E94">
        <w:rPr>
          <w:rFonts w:eastAsiaTheme="minorHAnsi" w:cs="Arial"/>
          <w:b w:val="0"/>
          <w:color w:val="auto"/>
          <w:sz w:val="22"/>
          <w:szCs w:val="22"/>
          <w:lang w:eastAsia="en-US"/>
        </w:rPr>
        <w:t xml:space="preserve">For the primary outcome, the proportional hazards assumption was checked by testing for an interaction between treatment and time or more precisely, testing for a non-zero slope in a generalized linear regression of the scaled Schoenfeld residuals on functions of time which is equivalent to testing the interaction). </w:t>
      </w:r>
      <w:r w:rsidR="00DE19FF">
        <w:rPr>
          <w:rFonts w:eastAsiaTheme="minorHAnsi" w:cs="Arial"/>
          <w:b w:val="0"/>
          <w:color w:val="auto"/>
          <w:sz w:val="22"/>
          <w:szCs w:val="22"/>
          <w:lang w:eastAsia="en-US"/>
        </w:rPr>
        <w:t>Log-log survival plots were also examined, overall and across strata to assess this assumption.</w:t>
      </w:r>
    </w:p>
    <w:p w14:paraId="48841AC1" w14:textId="77777777" w:rsidR="000C2B59" w:rsidRPr="00332E94" w:rsidRDefault="000C2B59" w:rsidP="00A44266">
      <w:pPr>
        <w:snapToGrid w:val="0"/>
        <w:spacing w:line="240" w:lineRule="auto"/>
        <w:contextualSpacing/>
        <w:rPr>
          <w:rFonts w:ascii="Arial" w:hAnsi="Arial" w:cs="Arial"/>
        </w:rPr>
      </w:pPr>
    </w:p>
    <w:p w14:paraId="0F03473E" w14:textId="77777777" w:rsidR="000C2B59" w:rsidRPr="00332E94" w:rsidRDefault="000C2B59" w:rsidP="00A44266">
      <w:pPr>
        <w:pStyle w:val="BodyText"/>
        <w:snapToGrid w:val="0"/>
        <w:contextualSpacing/>
        <w:jc w:val="left"/>
        <w:rPr>
          <w:rFonts w:eastAsiaTheme="minorHAnsi" w:cs="Arial"/>
          <w:b w:val="0"/>
          <w:color w:val="auto"/>
          <w:sz w:val="22"/>
          <w:szCs w:val="22"/>
          <w:lang w:eastAsia="en-US"/>
        </w:rPr>
      </w:pPr>
      <w:r w:rsidRPr="00332E94">
        <w:rPr>
          <w:rFonts w:eastAsiaTheme="minorHAnsi" w:cs="Arial"/>
          <w:b w:val="0"/>
          <w:color w:val="auto"/>
          <w:sz w:val="22"/>
          <w:szCs w:val="22"/>
          <w:lang w:eastAsia="en-US"/>
        </w:rPr>
        <w:t>Several sensitivity analyses were also carried out for the primary outcome These used the same covariates/modelling strategy as the primary analysis unless stated:</w:t>
      </w:r>
    </w:p>
    <w:p w14:paraId="0BD0C2EF" w14:textId="77777777" w:rsidR="000C2B59" w:rsidRPr="00332E94" w:rsidRDefault="000C2B59" w:rsidP="00A44266">
      <w:pPr>
        <w:pStyle w:val="BodyText"/>
        <w:widowControl/>
        <w:numPr>
          <w:ilvl w:val="0"/>
          <w:numId w:val="1"/>
        </w:numPr>
        <w:autoSpaceDE/>
        <w:autoSpaceDN/>
        <w:adjustRightInd/>
        <w:snapToGrid w:val="0"/>
        <w:spacing w:after="160"/>
        <w:contextualSpacing/>
        <w:jc w:val="left"/>
        <w:rPr>
          <w:rFonts w:eastAsiaTheme="minorHAnsi" w:cs="Arial"/>
          <w:b w:val="0"/>
          <w:color w:val="auto"/>
          <w:sz w:val="22"/>
          <w:szCs w:val="22"/>
          <w:lang w:eastAsia="en-US"/>
        </w:rPr>
      </w:pPr>
      <w:r w:rsidRPr="00332E94">
        <w:rPr>
          <w:rFonts w:eastAsiaTheme="minorHAnsi" w:cs="Arial"/>
          <w:b w:val="0"/>
          <w:color w:val="auto"/>
          <w:sz w:val="22"/>
          <w:szCs w:val="22"/>
          <w:lang w:eastAsia="en-US"/>
        </w:rPr>
        <w:t>Excluding site as a covariate: There were a large number of sites, and this was a stratification factor adjusted for the model. However, there were low numbers of participants recruited for some sites such that some estimates for the site covariate was not estimated in the model. An analysis excluding site was carried out to ensure this was not causing instability in treatment effect estimates.</w:t>
      </w:r>
    </w:p>
    <w:p w14:paraId="62D30125" w14:textId="77777777" w:rsidR="000C2B59" w:rsidRPr="00332E94" w:rsidRDefault="000C2B59" w:rsidP="00A44266">
      <w:pPr>
        <w:pStyle w:val="BodyText"/>
        <w:widowControl/>
        <w:numPr>
          <w:ilvl w:val="0"/>
          <w:numId w:val="1"/>
        </w:numPr>
        <w:autoSpaceDE/>
        <w:autoSpaceDN/>
        <w:adjustRightInd/>
        <w:snapToGrid w:val="0"/>
        <w:spacing w:after="160"/>
        <w:contextualSpacing/>
        <w:jc w:val="left"/>
        <w:rPr>
          <w:rFonts w:eastAsiaTheme="minorHAnsi" w:cs="Arial"/>
          <w:b w:val="0"/>
          <w:color w:val="auto"/>
          <w:sz w:val="22"/>
          <w:szCs w:val="22"/>
          <w:lang w:eastAsia="en-US"/>
        </w:rPr>
      </w:pPr>
      <w:r w:rsidRPr="00332E94">
        <w:rPr>
          <w:rFonts w:eastAsiaTheme="minorHAnsi" w:cs="Arial"/>
          <w:b w:val="0"/>
          <w:color w:val="auto"/>
          <w:sz w:val="22"/>
          <w:szCs w:val="22"/>
          <w:lang w:eastAsia="en-US"/>
        </w:rPr>
        <w:t>A competing risks analysis using competing risk regression, according to the method of Fine and Gray (1999), was carried out to examine sensitivity of the results to the competing risk of death. The sub-hazard ratio for graft failure was estimated.</w:t>
      </w:r>
    </w:p>
    <w:p w14:paraId="53DFDCBB" w14:textId="77777777" w:rsidR="000C2B59" w:rsidRPr="00332E94" w:rsidRDefault="000C2B59" w:rsidP="00A44266">
      <w:pPr>
        <w:pStyle w:val="BodyText"/>
        <w:widowControl/>
        <w:numPr>
          <w:ilvl w:val="0"/>
          <w:numId w:val="1"/>
        </w:numPr>
        <w:autoSpaceDE/>
        <w:autoSpaceDN/>
        <w:adjustRightInd/>
        <w:snapToGrid w:val="0"/>
        <w:spacing w:after="160"/>
        <w:contextualSpacing/>
        <w:jc w:val="left"/>
        <w:rPr>
          <w:rFonts w:eastAsiaTheme="minorHAnsi" w:cs="Arial"/>
          <w:b w:val="0"/>
          <w:color w:val="auto"/>
          <w:sz w:val="22"/>
          <w:szCs w:val="22"/>
          <w:lang w:eastAsia="en-US"/>
        </w:rPr>
      </w:pPr>
      <w:r w:rsidRPr="00332E94">
        <w:rPr>
          <w:rFonts w:eastAsiaTheme="minorHAnsi" w:cs="Arial"/>
          <w:b w:val="0"/>
          <w:color w:val="auto"/>
          <w:sz w:val="22"/>
          <w:szCs w:val="22"/>
          <w:lang w:eastAsia="en-US"/>
        </w:rPr>
        <w:t>For COVID-19 data: An analysis was carried out using additional follow up data up until November 30th, 2020, which we called the post-COVID-19 timepoint as these participants’ outcomes may have been affected by the COVID-19 pandemic. The analysis was otherwise exactly the same.</w:t>
      </w:r>
    </w:p>
    <w:p w14:paraId="4E23C82D" w14:textId="77777777" w:rsidR="000C2B59" w:rsidRPr="00332E94" w:rsidRDefault="000C2B59" w:rsidP="00A44266">
      <w:pPr>
        <w:pStyle w:val="BodyText"/>
        <w:widowControl/>
        <w:numPr>
          <w:ilvl w:val="0"/>
          <w:numId w:val="1"/>
        </w:numPr>
        <w:autoSpaceDE/>
        <w:autoSpaceDN/>
        <w:adjustRightInd/>
        <w:snapToGrid w:val="0"/>
        <w:spacing w:after="160"/>
        <w:contextualSpacing/>
        <w:jc w:val="left"/>
        <w:rPr>
          <w:rFonts w:eastAsiaTheme="minorHAnsi" w:cs="Arial"/>
          <w:b w:val="0"/>
          <w:color w:val="auto"/>
          <w:sz w:val="22"/>
          <w:szCs w:val="22"/>
          <w:lang w:eastAsia="en-US"/>
        </w:rPr>
      </w:pPr>
      <w:r w:rsidRPr="00332E94">
        <w:rPr>
          <w:rFonts w:eastAsiaTheme="minorHAnsi" w:cs="Arial"/>
          <w:b w:val="0"/>
          <w:color w:val="auto"/>
          <w:sz w:val="22"/>
          <w:szCs w:val="22"/>
          <w:lang w:eastAsia="en-US"/>
        </w:rPr>
        <w:t>Using the primary model for the HLA Ab Non-DSA group but restricting it to those participants who were assessed as definite non-DSA (as opposed to Non-DSA in the absence of any conclusive evidence of DSA).</w:t>
      </w:r>
    </w:p>
    <w:p w14:paraId="4DC342CF" w14:textId="77777777" w:rsidR="000C2B59" w:rsidRPr="00332E94" w:rsidRDefault="000C2B59" w:rsidP="00A44266">
      <w:pPr>
        <w:pStyle w:val="BodyText"/>
        <w:widowControl/>
        <w:numPr>
          <w:ilvl w:val="0"/>
          <w:numId w:val="1"/>
        </w:numPr>
        <w:autoSpaceDE/>
        <w:autoSpaceDN/>
        <w:adjustRightInd/>
        <w:snapToGrid w:val="0"/>
        <w:spacing w:after="160"/>
        <w:contextualSpacing/>
        <w:jc w:val="left"/>
        <w:rPr>
          <w:rFonts w:eastAsiaTheme="minorHAnsi" w:cs="Arial"/>
          <w:b w:val="0"/>
          <w:color w:val="auto"/>
          <w:sz w:val="22"/>
          <w:szCs w:val="22"/>
          <w:lang w:eastAsia="en-US"/>
        </w:rPr>
      </w:pPr>
      <w:r w:rsidRPr="00332E94">
        <w:rPr>
          <w:rFonts w:eastAsiaTheme="minorHAnsi" w:cs="Arial"/>
          <w:b w:val="0"/>
          <w:color w:val="auto"/>
          <w:sz w:val="22"/>
          <w:szCs w:val="22"/>
          <w:lang w:eastAsia="en-US"/>
        </w:rPr>
        <w:t>A sensitivity/per protocol analysis restricting those in the HLA Ab+ DSA and HLA Ab+ non-DSA groups to those who received the full optimisation protocol (taking MMF, Tacrolimus and Prednisolone at the visit following the optimisation interview).</w:t>
      </w:r>
    </w:p>
    <w:p w14:paraId="56E6DE95" w14:textId="77777777" w:rsidR="000C2B59" w:rsidRPr="00332E94" w:rsidRDefault="000C2B59" w:rsidP="00A44266">
      <w:pPr>
        <w:pStyle w:val="BodyText"/>
        <w:widowControl/>
        <w:autoSpaceDE/>
        <w:autoSpaceDN/>
        <w:adjustRightInd/>
        <w:snapToGrid w:val="0"/>
        <w:spacing w:after="160"/>
        <w:contextualSpacing/>
        <w:jc w:val="left"/>
        <w:rPr>
          <w:rFonts w:eastAsiaTheme="minorHAnsi" w:cs="Arial"/>
          <w:b w:val="0"/>
          <w:color w:val="auto"/>
          <w:sz w:val="22"/>
          <w:szCs w:val="22"/>
          <w:lang w:eastAsia="en-US"/>
        </w:rPr>
      </w:pPr>
    </w:p>
    <w:p w14:paraId="71F5DCBB" w14:textId="77777777" w:rsidR="000C2B59" w:rsidRPr="00332E94" w:rsidRDefault="000C2B59" w:rsidP="00A44266">
      <w:pPr>
        <w:pStyle w:val="BodyText"/>
        <w:widowControl/>
        <w:autoSpaceDE/>
        <w:autoSpaceDN/>
        <w:adjustRightInd/>
        <w:snapToGrid w:val="0"/>
        <w:spacing w:after="160"/>
        <w:contextualSpacing/>
        <w:jc w:val="left"/>
        <w:rPr>
          <w:rFonts w:eastAsiaTheme="minorHAnsi" w:cs="Arial"/>
          <w:b w:val="0"/>
          <w:color w:val="auto"/>
          <w:sz w:val="22"/>
          <w:szCs w:val="22"/>
          <w:lang w:eastAsia="en-US"/>
        </w:rPr>
      </w:pPr>
      <w:r w:rsidRPr="00332E94">
        <w:rPr>
          <w:rFonts w:eastAsiaTheme="minorHAnsi" w:cs="Arial"/>
          <w:b w:val="0"/>
          <w:color w:val="auto"/>
          <w:sz w:val="22"/>
          <w:szCs w:val="22"/>
          <w:lang w:eastAsia="en-US"/>
        </w:rPr>
        <w:t>For the secondary outcome of death an additional sensitivity analysis restricting the follow up time to the first 32 months was carried out (as the original protocol implied that all secondary outcomes will be carried out on the 32 months intensive follow up period only).</w:t>
      </w:r>
    </w:p>
    <w:p w14:paraId="0021F3A4" w14:textId="77777777" w:rsidR="000C2B59" w:rsidRPr="00332E94" w:rsidRDefault="000C2B59" w:rsidP="00A44266">
      <w:pPr>
        <w:pStyle w:val="BodyText"/>
        <w:snapToGrid w:val="0"/>
        <w:ind w:left="720"/>
        <w:contextualSpacing/>
        <w:jc w:val="both"/>
        <w:rPr>
          <w:rFonts w:eastAsiaTheme="minorHAnsi" w:cs="Arial"/>
          <w:b w:val="0"/>
          <w:color w:val="auto"/>
          <w:sz w:val="22"/>
          <w:szCs w:val="22"/>
          <w:lang w:eastAsia="en-US"/>
        </w:rPr>
      </w:pPr>
    </w:p>
    <w:p w14:paraId="318C77E0" w14:textId="3C70C67A" w:rsidR="000C2B59" w:rsidRPr="00332E94" w:rsidRDefault="000C2B59" w:rsidP="00A44266">
      <w:pPr>
        <w:pStyle w:val="BodyText"/>
        <w:snapToGrid w:val="0"/>
        <w:contextualSpacing/>
        <w:jc w:val="both"/>
        <w:rPr>
          <w:rFonts w:eastAsiaTheme="minorHAnsi" w:cs="Arial"/>
          <w:b w:val="0"/>
          <w:color w:val="auto"/>
          <w:sz w:val="22"/>
          <w:szCs w:val="22"/>
          <w:lang w:eastAsia="en-US"/>
        </w:rPr>
      </w:pPr>
      <w:r w:rsidRPr="00332E94">
        <w:rPr>
          <w:rFonts w:eastAsiaTheme="minorHAnsi" w:cs="Arial"/>
          <w:b w:val="0"/>
          <w:color w:val="auto"/>
          <w:sz w:val="22"/>
          <w:szCs w:val="22"/>
          <w:lang w:eastAsia="en-US"/>
        </w:rPr>
        <w:t>The secondary outcomes of biopsy proven rejection, infection, malignancy, and diabetes de novo were all analysed using logistic regression, with the outcome as to whether the participant experienced the event (at least once) over the intensive 32 month follow up period (from randomisation</w:t>
      </w:r>
      <w:r w:rsidR="00860843">
        <w:rPr>
          <w:rFonts w:eastAsiaTheme="minorHAnsi" w:cs="Arial"/>
          <w:b w:val="0"/>
          <w:color w:val="auto"/>
          <w:sz w:val="22"/>
          <w:szCs w:val="22"/>
          <w:lang w:eastAsia="en-US"/>
        </w:rPr>
        <w:t xml:space="preserve"> (for overall comparison)</w:t>
      </w:r>
      <w:r w:rsidRPr="00332E94">
        <w:rPr>
          <w:rFonts w:eastAsiaTheme="minorHAnsi" w:cs="Arial"/>
          <w:b w:val="0"/>
          <w:color w:val="auto"/>
          <w:sz w:val="22"/>
          <w:szCs w:val="22"/>
          <w:lang w:eastAsia="en-US"/>
        </w:rPr>
        <w:t xml:space="preserve"> or from re-screening </w:t>
      </w:r>
      <w:r w:rsidR="00860843">
        <w:rPr>
          <w:rFonts w:eastAsiaTheme="minorHAnsi" w:cs="Arial"/>
          <w:b w:val="0"/>
          <w:color w:val="auto"/>
          <w:sz w:val="22"/>
          <w:szCs w:val="22"/>
          <w:lang w:eastAsia="en-US"/>
        </w:rPr>
        <w:t xml:space="preserve">(for DSA+ and non-DSA+) </w:t>
      </w:r>
      <w:r w:rsidRPr="00332E94">
        <w:rPr>
          <w:rFonts w:eastAsiaTheme="minorHAnsi" w:cs="Arial"/>
          <w:b w:val="0"/>
          <w:color w:val="auto"/>
          <w:sz w:val="22"/>
          <w:szCs w:val="22"/>
          <w:lang w:eastAsia="en-US"/>
        </w:rPr>
        <w:t>as appropriate). Site was not included as a covariate in these models as small numbers recruited in some sites would lead to perfect prediction and observations being dropped. Baseline immunosuppression was included as a covariate as per the primary outcome model</w:t>
      </w:r>
      <w:r w:rsidR="00F846FA">
        <w:rPr>
          <w:rFonts w:eastAsiaTheme="minorHAnsi" w:cs="Arial"/>
          <w:b w:val="0"/>
          <w:color w:val="auto"/>
          <w:sz w:val="22"/>
          <w:szCs w:val="22"/>
          <w:lang w:eastAsia="en-US"/>
        </w:rPr>
        <w:t>, except where this also led to perfect prediction which occurred for the biopsy proven rejection outcome in the non-DSA+ comparison and so was removed</w:t>
      </w:r>
      <w:r w:rsidRPr="00332E94">
        <w:rPr>
          <w:rFonts w:eastAsiaTheme="minorHAnsi" w:cs="Arial"/>
          <w:b w:val="0"/>
          <w:color w:val="auto"/>
          <w:sz w:val="22"/>
          <w:szCs w:val="22"/>
          <w:lang w:eastAsia="en-US"/>
        </w:rPr>
        <w:t>. All participants were included if they had at least one observation post-randomisation (or post-rescreening).</w:t>
      </w:r>
    </w:p>
    <w:p w14:paraId="74DFA709" w14:textId="77777777" w:rsidR="000C2B59" w:rsidRPr="00332E94" w:rsidRDefault="000C2B59" w:rsidP="00A44266">
      <w:pPr>
        <w:pStyle w:val="BodyText"/>
        <w:snapToGrid w:val="0"/>
        <w:contextualSpacing/>
        <w:jc w:val="both"/>
        <w:rPr>
          <w:rFonts w:eastAsiaTheme="minorHAnsi" w:cs="Arial"/>
          <w:b w:val="0"/>
          <w:color w:val="auto"/>
          <w:sz w:val="22"/>
          <w:szCs w:val="22"/>
          <w:lang w:eastAsia="en-US"/>
        </w:rPr>
      </w:pPr>
    </w:p>
    <w:p w14:paraId="43180A9E" w14:textId="77777777" w:rsidR="000C2B59" w:rsidRPr="00332E94" w:rsidRDefault="000C2B59" w:rsidP="00A44266">
      <w:pPr>
        <w:pStyle w:val="BodyText"/>
        <w:snapToGrid w:val="0"/>
        <w:contextualSpacing/>
        <w:jc w:val="both"/>
        <w:rPr>
          <w:rFonts w:eastAsiaTheme="minorHAnsi" w:cs="Arial"/>
          <w:b w:val="0"/>
          <w:color w:val="auto"/>
          <w:sz w:val="22"/>
          <w:szCs w:val="22"/>
          <w:lang w:eastAsia="en-US"/>
        </w:rPr>
      </w:pPr>
      <w:r w:rsidRPr="00332E94">
        <w:rPr>
          <w:rFonts w:eastAsiaTheme="minorHAnsi" w:cs="Arial"/>
          <w:b w:val="0"/>
          <w:color w:val="auto"/>
          <w:sz w:val="22"/>
          <w:szCs w:val="22"/>
          <w:lang w:eastAsia="en-US"/>
        </w:rPr>
        <w:t>The outcome of proteinuria at month 32 was analysed using a logistic (longitudinal) mixed model, with all observations included between randomisation (or re-screening as appropriate) and month 32 at 4 monthly intervals, although most participants only had data at 8 monthly intervals as frequency of follow up was changed to 8 monthly in Protocol V10 11/08/2015). Trial arm, timepoint, an interaction between timepoint and trial arm and stratification factors were included as covariates. A random intercept was included for participant. Treatment effects at month 32 were estimated using post-estimation commands. All participants were included if they had at least one observation post-randomisation (or post-rescreening).</w:t>
      </w:r>
    </w:p>
    <w:p w14:paraId="0C5C1D1A" w14:textId="77777777" w:rsidR="000C2B59" w:rsidRPr="00332E94" w:rsidRDefault="000C2B59" w:rsidP="00A44266">
      <w:pPr>
        <w:pStyle w:val="BodyText"/>
        <w:snapToGrid w:val="0"/>
        <w:contextualSpacing/>
        <w:jc w:val="both"/>
        <w:rPr>
          <w:rFonts w:eastAsiaTheme="minorHAnsi" w:cs="Arial"/>
          <w:b w:val="0"/>
          <w:color w:val="auto"/>
          <w:sz w:val="22"/>
          <w:szCs w:val="22"/>
          <w:lang w:eastAsia="en-US"/>
        </w:rPr>
      </w:pPr>
    </w:p>
    <w:p w14:paraId="44D52FC8" w14:textId="1299E915" w:rsidR="000C2B59" w:rsidRDefault="000C2B59" w:rsidP="00A44266">
      <w:pPr>
        <w:pStyle w:val="BodyText"/>
        <w:snapToGrid w:val="0"/>
        <w:contextualSpacing/>
        <w:jc w:val="both"/>
        <w:rPr>
          <w:rFonts w:eastAsiaTheme="minorHAnsi" w:cs="Arial"/>
          <w:b w:val="0"/>
          <w:color w:val="auto"/>
          <w:sz w:val="22"/>
          <w:szCs w:val="22"/>
          <w:lang w:eastAsia="en-US"/>
        </w:rPr>
      </w:pPr>
      <w:r w:rsidRPr="00332E94">
        <w:rPr>
          <w:rFonts w:eastAsiaTheme="minorHAnsi" w:cs="Arial"/>
          <w:b w:val="0"/>
          <w:color w:val="auto"/>
          <w:sz w:val="22"/>
          <w:szCs w:val="22"/>
          <w:lang w:eastAsia="en-US"/>
        </w:rPr>
        <w:t>The outcome of eGFR was analysed using a linear (longitudinal) mixed model, with timepoints as per the proteinuria model. Trial arm, timepoint, an interaction between timepoint and trial arm, baseline eGFR and the stratification factors were included as covariates. A random intercept was included for participant. Treatment effects at month 32 were estimated using post-estimation commands. All participants were included if they had at least one observation post-randomisation or post-rescreening (and so estimates are unbiased under a missing at random assumption as the model uses maximum likelihood).</w:t>
      </w:r>
      <w:r w:rsidR="006B3FCA">
        <w:rPr>
          <w:rFonts w:eastAsiaTheme="minorHAnsi" w:cs="Arial"/>
          <w:b w:val="0"/>
          <w:color w:val="auto"/>
          <w:sz w:val="22"/>
          <w:szCs w:val="22"/>
          <w:lang w:eastAsia="en-US"/>
        </w:rPr>
        <w:t xml:space="preserve"> </w:t>
      </w:r>
      <w:r w:rsidR="006B3FCA" w:rsidRPr="006B3FCA">
        <w:rPr>
          <w:rFonts w:eastAsiaTheme="minorHAnsi" w:cs="Arial"/>
          <w:b w:val="0"/>
          <w:color w:val="auto"/>
          <w:sz w:val="22"/>
          <w:szCs w:val="22"/>
          <w:lang w:eastAsia="en-US"/>
        </w:rPr>
        <w:t>Residuals were examined to assess the normality of residuals assumption.</w:t>
      </w:r>
    </w:p>
    <w:p w14:paraId="59A10137" w14:textId="77777777" w:rsidR="008F5FEB" w:rsidRDefault="008F5FEB" w:rsidP="00A44266">
      <w:pPr>
        <w:pStyle w:val="BodyText"/>
        <w:snapToGrid w:val="0"/>
        <w:contextualSpacing/>
        <w:jc w:val="both"/>
        <w:rPr>
          <w:rFonts w:eastAsiaTheme="minorHAnsi" w:cs="Arial"/>
          <w:b w:val="0"/>
          <w:color w:val="auto"/>
          <w:sz w:val="22"/>
          <w:szCs w:val="22"/>
          <w:lang w:eastAsia="en-US"/>
        </w:rPr>
      </w:pPr>
    </w:p>
    <w:p w14:paraId="598A0198" w14:textId="36E239D7" w:rsidR="004D3E89" w:rsidRPr="005A512C" w:rsidRDefault="004D3E89" w:rsidP="00BD0EE0">
      <w:pPr>
        <w:pStyle w:val="Heading3"/>
        <w:rPr>
          <w:rFonts w:eastAsiaTheme="minorHAnsi"/>
          <w:b/>
        </w:rPr>
      </w:pPr>
      <w:bookmarkStart w:id="7" w:name="_Toc121909716"/>
      <w:r w:rsidRPr="005A512C">
        <w:rPr>
          <w:rFonts w:eastAsiaTheme="minorHAnsi"/>
        </w:rPr>
        <w:t>Adherence to drug therapy and perceptions of risk to the health of the transplant</w:t>
      </w:r>
      <w:bookmarkEnd w:id="7"/>
    </w:p>
    <w:p w14:paraId="2EBC24EB" w14:textId="40C98CF7" w:rsidR="004D3E89" w:rsidRDefault="004D3E89" w:rsidP="004D3E89">
      <w:pPr>
        <w:snapToGrid w:val="0"/>
        <w:spacing w:line="240" w:lineRule="auto"/>
        <w:contextualSpacing/>
        <w:rPr>
          <w:rFonts w:ascii="Arial" w:hAnsi="Arial" w:cs="Arial"/>
        </w:rPr>
      </w:pPr>
      <w:r w:rsidRPr="00CD521E">
        <w:rPr>
          <w:rFonts w:ascii="Arial" w:hAnsi="Arial" w:cs="Arial"/>
        </w:rPr>
        <w:t>Health surveys, consisting of validated psychological measures adapted for this specific health context, were performed at baseline and 12 and 24 months post screening for HLA Ab+</w:t>
      </w:r>
      <w:r>
        <w:rPr>
          <w:rFonts w:ascii="Arial" w:hAnsi="Arial" w:cs="Arial"/>
        </w:rPr>
        <w:t xml:space="preserve">. </w:t>
      </w:r>
      <w:r w:rsidRPr="00CD521E">
        <w:rPr>
          <w:rFonts w:ascii="Arial" w:hAnsi="Arial" w:cs="Arial"/>
        </w:rPr>
        <w:t>The Medication Adherence report scale (MARS) questionnaire consisted of measuring six items on a five-point Likert scale with higher scores representing greater adherence. Most items assessed intentional medication non-adherence; one item measured unintentional non-adherence. The measure was completed for each concomitant medication that patients were receiving. MARS correlates well with relatively objective measures of adherence in a range of illness contexts, including electronic measures of inhaled corticosteroids for asthma and blood pressure control for hypertension</w:t>
      </w:r>
      <w:r w:rsidRPr="004D3E89">
        <w:rPr>
          <w:rFonts w:ascii="Arial" w:hAnsi="Arial" w:cs="Arial"/>
          <w:iCs/>
        </w:rPr>
        <w:fldChar w:fldCharType="begin">
          <w:fldData xml:space="preserve">PEVuZE5vdGU+PENpdGU+PEF1dGhvcj5Db2hlbjwvQXV0aG9yPjxZZWFyPjIwMDk8L1llYXI+PFJl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</w:fldData>
        </w:fldChar>
      </w:r>
      <w:r w:rsidR="00230BCE">
        <w:rPr>
          <w:rFonts w:ascii="Arial" w:hAnsi="Arial" w:cs="Arial"/>
          <w:iCs/>
        </w:rPr>
        <w:instrText xml:space="preserve"> ADDIN EN.CITE </w:instrText>
      </w:r>
      <w:r w:rsidR="00230BCE">
        <w:rPr>
          <w:rFonts w:ascii="Arial" w:hAnsi="Arial" w:cs="Arial"/>
          <w:iCs/>
        </w:rPr>
        <w:fldChar w:fldCharType="begin">
          <w:fldData xml:space="preserve">PEVuZE5vdGU+PENpdGU+PEF1dGhvcj5Db2hlbjwvQXV0aG9yPjxZZWFyPjIwMDk8L1llYXI+PFJl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</w:fldData>
        </w:fldChar>
      </w:r>
      <w:r w:rsidR="00230BCE">
        <w:rPr>
          <w:rFonts w:ascii="Arial" w:hAnsi="Arial" w:cs="Arial"/>
          <w:iCs/>
        </w:rPr>
        <w:instrText xml:space="preserve"> ADDIN EN.CITE.DATA </w:instrText>
      </w:r>
      <w:r w:rsidR="00230BCE">
        <w:rPr>
          <w:rFonts w:ascii="Arial" w:hAnsi="Arial" w:cs="Arial"/>
          <w:iCs/>
        </w:rPr>
      </w:r>
      <w:r w:rsidR="00230BCE">
        <w:rPr>
          <w:rFonts w:ascii="Arial" w:hAnsi="Arial" w:cs="Arial"/>
          <w:iCs/>
        </w:rPr>
        <w:fldChar w:fldCharType="end"/>
      </w:r>
      <w:r w:rsidRPr="004D3E89">
        <w:rPr>
          <w:rFonts w:ascii="Arial" w:hAnsi="Arial" w:cs="Arial"/>
          <w:iCs/>
        </w:rPr>
      </w:r>
      <w:r w:rsidRPr="004D3E89">
        <w:rPr>
          <w:rFonts w:ascii="Arial" w:hAnsi="Arial" w:cs="Arial"/>
          <w:iCs/>
        </w:rPr>
        <w:fldChar w:fldCharType="separate"/>
      </w:r>
      <w:r w:rsidR="00230BCE" w:rsidRPr="00230BCE">
        <w:rPr>
          <w:rFonts w:ascii="Arial" w:hAnsi="Arial" w:cs="Arial"/>
          <w:iCs/>
          <w:noProof/>
          <w:vertAlign w:val="superscript"/>
        </w:rPr>
        <w:t>1,2</w:t>
      </w:r>
      <w:r w:rsidRPr="004D3E89">
        <w:rPr>
          <w:rFonts w:ascii="Arial" w:hAnsi="Arial" w:cs="Arial"/>
        </w:rPr>
        <w:fldChar w:fldCharType="end"/>
      </w:r>
      <w:r w:rsidRPr="004D3E89">
        <w:rPr>
          <w:rFonts w:ascii="Arial" w:hAnsi="Arial" w:cs="Arial"/>
          <w:iCs/>
        </w:rPr>
        <w:t xml:space="preserve">. It has also been shown to have good levels of internal consistency, test-retest reliability and construct validity </w:t>
      </w:r>
      <w:r w:rsidRPr="004D3E89">
        <w:rPr>
          <w:rFonts w:ascii="Arial" w:hAnsi="Arial" w:cs="Arial"/>
          <w:iCs/>
        </w:rPr>
        <w:fldChar w:fldCharType="begin"/>
      </w:r>
      <w:r w:rsidR="00230BCE">
        <w:rPr>
          <w:rFonts w:ascii="Arial" w:hAnsi="Arial" w:cs="Arial"/>
          <w:iCs/>
        </w:rPr>
        <w:instrText xml:space="preserve"> ADDIN EN.CITE &lt;EndNote&gt;&lt;Cite&gt;&lt;Author&gt;Chan&lt;/Author&gt;&lt;Year&gt;2020&lt;/Year&gt;&lt;RecNum&gt;4376&lt;/RecNum&gt;&lt;DisplayText&gt;&lt;style face="superscript"&gt;2&lt;/style&gt;&lt;/DisplayText&gt;&lt;record&gt;&lt;rec-number&gt;4376&lt;/rec-number&gt;&lt;foreign-keys&gt;&lt;key app="EN" db-id="p9vz0d9tmeepwyewd5yvp2v2pr0xafz9xws0" timestamp="1651047890"&gt;4376&lt;/key&gt;&lt;/foreign-keys&gt;&lt;ref-type name="Journal Article"&gt;17&lt;/ref-type&gt;&lt;contributors&gt;&lt;authors&gt;&lt;author&gt;Chan, A. H. Y.&lt;/author&gt;&lt;author&gt;Horne, R.&lt;/author&gt;&lt;author&gt;Hankins, M.&lt;/author&gt;&lt;author&gt;Chisari, C.&lt;/author&gt;&lt;/authors&gt;&lt;/contributors&gt;&lt;auth-address&gt;Department of Practice and Policy, Centre for Behavioural Medicine, Department of Practice and Policy, UCL School of Pharmacy, London, UK.&amp;#xD;University of Brighton, Falmer, Brighton, BN1 9PH, UK.&lt;/auth-address&gt;&lt;titles&gt;&lt;title&gt;The Medication Adherence Report Scale: A measurement tool for eliciting patients&amp;apos; reports of nonadherence&lt;/title&gt;&lt;secondary-title&gt;Br J Clin Pharmacol&lt;/secondary-title&gt;&lt;/titles&gt;&lt;periodical&gt;&lt;full-title&gt;Br J Clin Pharmacol&lt;/full-title&gt;&lt;/periodical&gt;&lt;pages&gt;1281-1288&lt;/pages&gt;&lt;volume&gt;86&lt;/volume&gt;&lt;number&gt;7&lt;/number&gt;&lt;edition&gt;2019/12/12&lt;/edition&gt;&lt;keywords&gt;&lt;keyword&gt;Cross-Sectional Studies&lt;/keyword&gt;&lt;keyword&gt;England&lt;/keyword&gt;&lt;keyword&gt;Humans&lt;/keyword&gt;&lt;keyword&gt;London&lt;/keyword&gt;&lt;keyword&gt;*Medication Adherence&lt;/keyword&gt;&lt;keyword&gt;Reproducibility of Results&lt;/keyword&gt;&lt;keyword&gt;Surveys and Questionnaires&lt;/keyword&gt;&lt;keyword&gt;*mars-5&lt;/keyword&gt;&lt;keyword&gt;*Medication Adherence Report Scale&lt;/keyword&gt;&lt;keyword&gt;*adherence&lt;/keyword&gt;&lt;keyword&gt;*self-report&lt;/keyword&gt;&lt;keyword&gt;*validation&lt;/keyword&gt;&lt;/keywords&gt;&lt;dates&gt;&lt;year&gt;2020&lt;/year&gt;&lt;pub-dates&gt;&lt;date&gt;Jul&lt;/date&gt;&lt;/pub-dates&gt;&lt;/dates&gt;&lt;isbn&gt;1365-2125 (Electronic)&amp;#xD;0306-5251 (Linking)&lt;/isbn&gt;&lt;accession-num&gt;31823381&lt;/accession-num&gt;&lt;urls&gt;&lt;related-urls&gt;&lt;url&gt;https://www.ncbi.nlm.nih.gov/pubmed/31823381&lt;/url&gt;&lt;/related-urls&gt;&lt;/urls&gt;&lt;custom2&gt;PMC7319010&lt;/custom2&gt;&lt;electronic-resource-num&gt;10.1111/bcp.14193&lt;/electronic-resource-num&gt;&lt;/record&gt;&lt;/Cite&gt;&lt;/EndNote&gt;</w:instrText>
      </w:r>
      <w:r w:rsidRPr="004D3E89">
        <w:rPr>
          <w:rFonts w:ascii="Arial" w:hAnsi="Arial" w:cs="Arial"/>
          <w:iCs/>
        </w:rPr>
        <w:fldChar w:fldCharType="separate"/>
      </w:r>
      <w:r w:rsidR="00230BCE" w:rsidRPr="00230BCE">
        <w:rPr>
          <w:rFonts w:ascii="Arial" w:hAnsi="Arial" w:cs="Arial"/>
          <w:iCs/>
          <w:noProof/>
          <w:vertAlign w:val="superscript"/>
        </w:rPr>
        <w:t>2</w:t>
      </w:r>
      <w:r w:rsidRPr="004D3E89">
        <w:rPr>
          <w:rFonts w:ascii="Arial" w:hAnsi="Arial" w:cs="Arial"/>
        </w:rPr>
        <w:fldChar w:fldCharType="end"/>
      </w:r>
      <w:r w:rsidRPr="004D3E89">
        <w:rPr>
          <w:rFonts w:ascii="Arial" w:hAnsi="Arial" w:cs="Arial"/>
          <w:iCs/>
        </w:rPr>
        <w:t>.</w:t>
      </w:r>
      <w:r>
        <w:rPr>
          <w:rFonts w:ascii="Arial" w:hAnsi="Arial" w:cs="Arial"/>
        </w:rPr>
        <w:t xml:space="preserve"> </w:t>
      </w:r>
      <w:r w:rsidRPr="00CD521E">
        <w:rPr>
          <w:rFonts w:ascii="Arial" w:hAnsi="Arial" w:cs="Arial"/>
          <w:vertAlign w:val="superscript"/>
        </w:rPr>
        <w:t> </w:t>
      </w:r>
      <w:r w:rsidRPr="00CD521E">
        <w:rPr>
          <w:rFonts w:ascii="Arial" w:hAnsi="Arial" w:cs="Arial"/>
        </w:rPr>
        <w:t xml:space="preserve">For tacrolimus, 12 hour trough levels were also compared against the target trough levels (4-8ng/ml) intended on the trial. A composite adherence scale based on combining MARS scores with trough levels was developed. Concern about risk transplant failure was measured using the Brief Illness Perceptions Questionnaire (BIPQ) </w:t>
      </w:r>
      <w:r w:rsidR="00BC19E3">
        <w:rPr>
          <w:rFonts w:cs="Arial"/>
          <w:iCs/>
        </w:rPr>
        <w:fldChar w:fldCharType="begin">
          <w:fldData xml:space="preserve">PEVuZE5vdGU+PENpdGU+PEF1dGhvcj5Ccm9hZGJlbnQ8L0F1dGhvcj48WWVhcj4yMDA2PC9ZZWFy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</w:fldData>
        </w:fldChar>
      </w:r>
      <w:r w:rsidR="00230BCE">
        <w:rPr>
          <w:rFonts w:cs="Arial"/>
          <w:iCs/>
        </w:rPr>
        <w:instrText xml:space="preserve"> ADDIN EN.CITE </w:instrText>
      </w:r>
      <w:r w:rsidR="00230BCE">
        <w:rPr>
          <w:rFonts w:cs="Arial"/>
          <w:iCs/>
        </w:rPr>
        <w:fldChar w:fldCharType="begin">
          <w:fldData xml:space="preserve">PEVuZE5vdGU+PENpdGU+PEF1dGhvcj5Ccm9hZGJlbnQ8L0F1dGhvcj48WWVhcj4yMDA2PC9ZZWFy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</w:fldData>
        </w:fldChar>
      </w:r>
      <w:r w:rsidR="00230BCE">
        <w:rPr>
          <w:rFonts w:cs="Arial"/>
          <w:iCs/>
        </w:rPr>
        <w:instrText xml:space="preserve"> ADDIN EN.CITE.DATA </w:instrText>
      </w:r>
      <w:r w:rsidR="00230BCE">
        <w:rPr>
          <w:rFonts w:cs="Arial"/>
          <w:iCs/>
        </w:rPr>
      </w:r>
      <w:r w:rsidR="00230BCE">
        <w:rPr>
          <w:rFonts w:cs="Arial"/>
          <w:iCs/>
        </w:rPr>
        <w:fldChar w:fldCharType="end"/>
      </w:r>
      <w:r w:rsidR="00BC19E3">
        <w:rPr>
          <w:rFonts w:cs="Arial"/>
          <w:iCs/>
        </w:rPr>
      </w:r>
      <w:r w:rsidR="00BC19E3">
        <w:rPr>
          <w:rFonts w:cs="Arial"/>
          <w:iCs/>
        </w:rPr>
        <w:fldChar w:fldCharType="separate"/>
      </w:r>
      <w:r w:rsidR="00230BCE" w:rsidRPr="00230BCE">
        <w:rPr>
          <w:rFonts w:cs="Arial"/>
          <w:iCs/>
          <w:noProof/>
          <w:vertAlign w:val="superscript"/>
        </w:rPr>
        <w:t>3</w:t>
      </w:r>
      <w:r w:rsidR="00BC19E3">
        <w:rPr>
          <w:rFonts w:cs="Arial"/>
          <w:iCs/>
        </w:rPr>
        <w:fldChar w:fldCharType="end"/>
      </w:r>
      <w:r w:rsidRPr="00CD521E">
        <w:rPr>
          <w:rFonts w:ascii="Arial" w:hAnsi="Arial" w:cs="Arial"/>
        </w:rPr>
        <w:t>.</w:t>
      </w:r>
    </w:p>
    <w:p w14:paraId="27DE4130" w14:textId="3C9E9A14" w:rsidR="00FD056A" w:rsidRDefault="00FD056A" w:rsidP="004D3E89">
      <w:pPr>
        <w:snapToGrid w:val="0"/>
        <w:spacing w:line="240" w:lineRule="auto"/>
        <w:contextualSpacing/>
        <w:rPr>
          <w:rFonts w:ascii="Arial" w:hAnsi="Arial" w:cs="Arial"/>
        </w:rPr>
      </w:pPr>
      <w:r w:rsidRPr="00CD521E">
        <w:rPr>
          <w:rFonts w:ascii="Arial" w:hAnsi="Arial" w:cs="Arial"/>
        </w:rPr>
        <w:t>Analysis was performed separately to the main trial data by the team at UCL</w:t>
      </w:r>
      <w:r>
        <w:rPr>
          <w:rFonts w:ascii="Arial" w:hAnsi="Arial" w:cs="Arial"/>
        </w:rPr>
        <w:t xml:space="preserve">. </w:t>
      </w:r>
      <w:r w:rsidRPr="00CD521E">
        <w:rPr>
          <w:rFonts w:ascii="Arial" w:hAnsi="Arial" w:cs="Arial"/>
        </w:rPr>
        <w:t>Analyses were based on imputed data: where values were missing for a given survey item, the mean score for that item across all participants was used, providing that a given case had at least 80% complete data for other items on that scale</w:t>
      </w:r>
      <w:r>
        <w:rPr>
          <w:rFonts w:ascii="Arial" w:hAnsi="Arial" w:cs="Arial"/>
        </w:rPr>
        <w:t xml:space="preserve">. </w:t>
      </w:r>
      <w:r w:rsidRPr="00CD521E">
        <w:rPr>
          <w:rFonts w:ascii="Arial" w:hAnsi="Arial" w:cs="Arial"/>
        </w:rPr>
        <w:t>Mann Whitney U or Chi Squared tests</w:t>
      </w:r>
      <w:r>
        <w:rPr>
          <w:rFonts w:ascii="Arial" w:hAnsi="Arial" w:cs="Arial"/>
        </w:rPr>
        <w:t xml:space="preserve"> </w:t>
      </w:r>
      <w:r w:rsidRPr="00CD521E">
        <w:rPr>
          <w:rFonts w:ascii="Arial" w:hAnsi="Arial" w:cs="Arial"/>
        </w:rPr>
        <w:t xml:space="preserve">were </w:t>
      </w:r>
      <w:r w:rsidRPr="00CD521E">
        <w:rPr>
          <w:rFonts w:ascii="Arial" w:hAnsi="Arial" w:cs="Arial"/>
        </w:rPr>
        <w:lastRenderedPageBreak/>
        <w:t>used to compare mean scores</w:t>
      </w:r>
      <w:r>
        <w:rPr>
          <w:rFonts w:ascii="Arial" w:hAnsi="Arial" w:cs="Arial"/>
        </w:rPr>
        <w:t xml:space="preserve"> </w:t>
      </w:r>
      <w:r w:rsidRPr="00CD521E">
        <w:rPr>
          <w:rFonts w:ascii="Arial" w:hAnsi="Arial" w:cs="Arial"/>
        </w:rPr>
        <w:t>or percentages</w:t>
      </w:r>
      <w:r>
        <w:rPr>
          <w:rFonts w:ascii="Arial" w:hAnsi="Arial" w:cs="Arial"/>
        </w:rPr>
        <w:t xml:space="preserve"> </w:t>
      </w:r>
      <w:r w:rsidRPr="00CD521E">
        <w:rPr>
          <w:rFonts w:ascii="Arial" w:hAnsi="Arial" w:cs="Arial"/>
        </w:rPr>
        <w:t>across patients in the BLC DSA+ compared to SC DSA+ groups, and BLC non DSA compared to SC non DSA groups.</w:t>
      </w:r>
    </w:p>
    <w:p w14:paraId="2B89D1ED" w14:textId="614730B6" w:rsidR="00F12B9F" w:rsidRDefault="00F12B9F" w:rsidP="004D3E89">
      <w:pPr>
        <w:snapToGrid w:val="0"/>
        <w:spacing w:line="240" w:lineRule="auto"/>
        <w:contextualSpacing/>
        <w:rPr>
          <w:rFonts w:ascii="Arial" w:hAnsi="Arial" w:cs="Arial"/>
        </w:rPr>
      </w:pPr>
    </w:p>
    <w:p w14:paraId="563C0EDE" w14:textId="77777777" w:rsidR="00F12B9F" w:rsidRPr="00F12B9F" w:rsidRDefault="00F12B9F" w:rsidP="00786249">
      <w:pPr>
        <w:pStyle w:val="Heading3"/>
        <w:rPr>
          <w:rFonts w:cstheme="majorHAnsi"/>
        </w:rPr>
      </w:pPr>
      <w:bookmarkStart w:id="8" w:name="_Toc121909717"/>
      <w:r w:rsidRPr="00F12B9F">
        <w:rPr>
          <w:rFonts w:cstheme="majorHAnsi"/>
        </w:rPr>
        <w:t>Changes to the analysis from the SAP following discussion of the results and peer review comments</w:t>
      </w:r>
      <w:bookmarkEnd w:id="8"/>
    </w:p>
    <w:p w14:paraId="59133DC7" w14:textId="77777777" w:rsidR="00F12B9F" w:rsidRPr="00F12B9F" w:rsidRDefault="00F12B9F" w:rsidP="00F12B9F">
      <w:pPr>
        <w:snapToGrid w:val="0"/>
        <w:spacing w:line="240" w:lineRule="auto"/>
        <w:contextualSpacing/>
        <w:rPr>
          <w:rFonts w:ascii="Arial" w:hAnsi="Arial" w:cs="Arial"/>
        </w:rPr>
      </w:pPr>
    </w:p>
    <w:p w14:paraId="5235E10B" w14:textId="77777777" w:rsidR="00F12B9F" w:rsidRPr="00F12B9F" w:rsidRDefault="00F12B9F" w:rsidP="00F12B9F">
      <w:pPr>
        <w:snapToGrid w:val="0"/>
        <w:spacing w:line="240" w:lineRule="auto"/>
        <w:contextualSpacing/>
        <w:rPr>
          <w:rFonts w:ascii="Arial" w:hAnsi="Arial" w:cs="Arial"/>
        </w:rPr>
      </w:pPr>
      <w:r w:rsidRPr="00F12B9F">
        <w:rPr>
          <w:rFonts w:ascii="Arial" w:hAnsi="Arial" w:cs="Arial"/>
        </w:rPr>
        <w:t>The following changes were made to the analysis following discussion/review of the results and peer review comments and are not covered in the final Statistical Analysis Plan (V2.4 09/02/2021)</w:t>
      </w:r>
    </w:p>
    <w:p w14:paraId="78075675" w14:textId="77777777" w:rsidR="00F12B9F" w:rsidRPr="00F12B9F" w:rsidRDefault="00F12B9F" w:rsidP="00F12B9F">
      <w:pPr>
        <w:snapToGrid w:val="0"/>
        <w:spacing w:line="240" w:lineRule="auto"/>
        <w:contextualSpacing/>
        <w:rPr>
          <w:rFonts w:ascii="Arial" w:hAnsi="Arial" w:cs="Arial"/>
        </w:rPr>
      </w:pPr>
    </w:p>
    <w:p w14:paraId="4C8CC32F" w14:textId="77777777" w:rsidR="00F12B9F" w:rsidRPr="00F12B9F" w:rsidRDefault="00F12B9F" w:rsidP="00F12B9F">
      <w:pPr>
        <w:numPr>
          <w:ilvl w:val="0"/>
          <w:numId w:val="33"/>
        </w:numPr>
        <w:snapToGrid w:val="0"/>
        <w:spacing w:line="240" w:lineRule="auto"/>
        <w:contextualSpacing/>
        <w:rPr>
          <w:rFonts w:ascii="Arial" w:hAnsi="Arial" w:cs="Arial"/>
        </w:rPr>
      </w:pPr>
      <w:r w:rsidRPr="00F12B9F">
        <w:rPr>
          <w:rFonts w:ascii="Arial" w:hAnsi="Arial" w:cs="Arial"/>
        </w:rPr>
        <w:t>A post-hoc exploratory sensitivity analysis for the primary outcome was carried out (for each of the 3 comparisons) using only BLC participants taking all 3 IMPs and with Tacrolimus trough levels of between 6 and 8 compared to SC participants (and reported in Supplementary Table 2)</w:t>
      </w:r>
    </w:p>
    <w:p w14:paraId="4F28C581" w14:textId="218E3DC7" w:rsidR="00F12B9F" w:rsidRPr="0036664C" w:rsidRDefault="00F12B9F" w:rsidP="0036664C">
      <w:pPr>
        <w:numPr>
          <w:ilvl w:val="0"/>
          <w:numId w:val="33"/>
        </w:numPr>
        <w:snapToGrid w:val="0"/>
        <w:spacing w:line="240" w:lineRule="auto"/>
        <w:contextualSpacing/>
        <w:rPr>
          <w:rFonts w:ascii="Arial" w:hAnsi="Arial" w:cs="Arial"/>
        </w:rPr>
      </w:pPr>
      <w:r w:rsidRPr="00F12B9F">
        <w:rPr>
          <w:rFonts w:ascii="Arial" w:hAnsi="Arial" w:cs="Arial"/>
        </w:rPr>
        <w:t>A post-hoc exploratory sensitivity analysis for the primary outcome was carried out (for each of the 3 comparisons) further adjusting for time of transplant and sex as covariates given chance imbalances between arms for these variables.</w:t>
      </w:r>
      <w:r w:rsidR="00961736">
        <w:rPr>
          <w:rFonts w:ascii="Arial" w:hAnsi="Arial" w:cs="Arial"/>
        </w:rPr>
        <w:t xml:space="preserve"> </w:t>
      </w:r>
      <w:r w:rsidR="0036664C" w:rsidRPr="0036664C">
        <w:rPr>
          <w:rFonts w:ascii="Arial" w:hAnsi="Arial" w:cs="Arial"/>
        </w:rPr>
        <w:t>Time to transplant appeared skewed (even after log transforming) and so was included categorised by quartiles.</w:t>
      </w:r>
    </w:p>
    <w:p w14:paraId="6A2DC120" w14:textId="77777777" w:rsidR="00F12B9F" w:rsidRPr="00F12B9F" w:rsidRDefault="00F12B9F" w:rsidP="00F12B9F">
      <w:pPr>
        <w:numPr>
          <w:ilvl w:val="0"/>
          <w:numId w:val="33"/>
        </w:numPr>
        <w:snapToGrid w:val="0"/>
        <w:spacing w:line="240" w:lineRule="auto"/>
        <w:contextualSpacing/>
        <w:rPr>
          <w:rFonts w:ascii="Arial" w:hAnsi="Arial" w:cs="Arial"/>
        </w:rPr>
      </w:pPr>
      <w:r w:rsidRPr="00F12B9F">
        <w:rPr>
          <w:rFonts w:ascii="Arial" w:hAnsi="Arial" w:cs="Arial"/>
        </w:rPr>
        <w:t>McNemar tests were carried out comparing whether numbers on immunosuppression medications  for BLC HLA+ participants (both DSA and non-DSA) changed from pre-optimisation to the last visit. This was to try to demonstrate that the optimisation intervention did change these participants immunosuppression medications as intended. This is reported in footnote for Table 4 in the main text.</w:t>
      </w:r>
    </w:p>
    <w:p w14:paraId="7856CB9A" w14:textId="5FE6658F" w:rsidR="00F12B9F" w:rsidRPr="00F12B9F" w:rsidRDefault="00F12B9F" w:rsidP="00F12B9F">
      <w:pPr>
        <w:numPr>
          <w:ilvl w:val="0"/>
          <w:numId w:val="33"/>
        </w:numPr>
        <w:snapToGrid w:val="0"/>
        <w:spacing w:line="240" w:lineRule="auto"/>
        <w:contextualSpacing/>
        <w:rPr>
          <w:rFonts w:ascii="Arial" w:hAnsi="Arial" w:cs="Arial"/>
        </w:rPr>
      </w:pPr>
      <w:r w:rsidRPr="00F12B9F">
        <w:rPr>
          <w:rFonts w:ascii="Arial" w:hAnsi="Arial" w:cs="Arial"/>
        </w:rPr>
        <w:t>A post-hoc analysis of the interaction between persisting DSA and time to graft failure in the main analysis was added to test whether those with persisting DSA and those without had different treatment effects. Results are described below in supplementary in the “Adverse events and changes in DSA” section.</w:t>
      </w:r>
    </w:p>
    <w:p w14:paraId="34CDD120" w14:textId="307C6FDB" w:rsidR="00F12B9F" w:rsidRDefault="00F12B9F" w:rsidP="00F12B9F">
      <w:pPr>
        <w:numPr>
          <w:ilvl w:val="0"/>
          <w:numId w:val="33"/>
        </w:numPr>
        <w:snapToGrid w:val="0"/>
        <w:spacing w:line="240" w:lineRule="auto"/>
        <w:contextualSpacing/>
        <w:rPr>
          <w:rFonts w:ascii="Arial" w:hAnsi="Arial" w:cs="Arial"/>
        </w:rPr>
      </w:pPr>
      <w:r w:rsidRPr="00F12B9F">
        <w:rPr>
          <w:rFonts w:ascii="Arial" w:hAnsi="Arial" w:cs="Arial"/>
        </w:rPr>
        <w:t>The definition of what was classified as a biopsy proven rejection was not strictly defined in the SAP or the protocol. This was erroneously taken to be only those participants who showed rejection on the primary pathology for renal biopsies originally. Biopsy proven rejection is a secondary outcome. This became clear when responding to peer review and the Chief Investigator clarified that rejection on secondary pathology should also have been defined as biopsy proven rejection. This analysis was therefore amended to include these few additional events and the results changed slightly.</w:t>
      </w:r>
    </w:p>
    <w:p w14:paraId="30DC02E5" w14:textId="0AA1B7AA" w:rsidR="002742C7" w:rsidRPr="00F12B9F" w:rsidRDefault="00AA48E1" w:rsidP="00F12B9F">
      <w:pPr>
        <w:numPr>
          <w:ilvl w:val="0"/>
          <w:numId w:val="33"/>
        </w:numPr>
        <w:snapToGrid w:val="0"/>
        <w:spacing w:line="240" w:lineRule="auto"/>
        <w:contextualSpacing/>
        <w:rPr>
          <w:rFonts w:ascii="Arial" w:hAnsi="Arial" w:cs="Arial"/>
        </w:rPr>
      </w:pPr>
      <w:bookmarkStart w:id="9" w:name="_Hlk121830248"/>
      <w:r w:rsidRPr="00D07853">
        <w:rPr>
          <w:rFonts w:ascii="Arial" w:hAnsi="Arial" w:cs="Arial"/>
          <w:u w:val="single"/>
        </w:rPr>
        <w:t>Where secondary outcomes reported odds ratios in the analysis, we have also</w:t>
      </w:r>
      <w:r>
        <w:rPr>
          <w:rFonts w:ascii="Arial" w:hAnsi="Arial" w:cs="Arial"/>
          <w:u w:val="single"/>
        </w:rPr>
        <w:t xml:space="preserve"> estimated and</w:t>
      </w:r>
      <w:r w:rsidRPr="00D07853">
        <w:rPr>
          <w:rFonts w:ascii="Arial" w:hAnsi="Arial" w:cs="Arial"/>
          <w:u w:val="single"/>
        </w:rPr>
        <w:t xml:space="preserve"> reported adjusted risk differences in Supplementary table 8 to aid interpretation. </w:t>
      </w:r>
      <w:bookmarkEnd w:id="9"/>
      <w:r w:rsidRPr="00D07853">
        <w:rPr>
          <w:rFonts w:ascii="Arial" w:hAnsi="Arial" w:cs="Arial"/>
          <w:u w:val="single"/>
        </w:rPr>
        <w:t xml:space="preserve">Adjusted risk differences were </w:t>
      </w:r>
      <w:r>
        <w:rPr>
          <w:rFonts w:ascii="Arial" w:hAnsi="Arial" w:cs="Arial"/>
          <w:u w:val="single"/>
        </w:rPr>
        <w:t>estimated</w:t>
      </w:r>
      <w:r w:rsidRPr="00D07853">
        <w:rPr>
          <w:rFonts w:ascii="Arial" w:hAnsi="Arial" w:cs="Arial"/>
          <w:u w:val="single"/>
        </w:rPr>
        <w:t xml:space="preserve"> from the respective logistic regression models using post-estimation commands in Stata (margins).</w:t>
      </w:r>
    </w:p>
    <w:p w14:paraId="03249821" w14:textId="77777777" w:rsidR="00F12B9F" w:rsidRPr="00CD521E" w:rsidRDefault="00F12B9F" w:rsidP="004D3E89">
      <w:pPr>
        <w:snapToGrid w:val="0"/>
        <w:spacing w:line="240" w:lineRule="auto"/>
        <w:contextualSpacing/>
        <w:rPr>
          <w:rFonts w:ascii="Arial" w:hAnsi="Arial" w:cs="Arial"/>
        </w:rPr>
      </w:pPr>
    </w:p>
    <w:p w14:paraId="2396A7A5" w14:textId="77777777" w:rsidR="002A5AED" w:rsidRPr="00332E94" w:rsidRDefault="002A5AED" w:rsidP="00A44266">
      <w:pPr>
        <w:snapToGrid w:val="0"/>
        <w:spacing w:line="240" w:lineRule="auto"/>
        <w:contextualSpacing/>
        <w:rPr>
          <w:b/>
          <w:bCs/>
          <w:u w:val="single"/>
        </w:rPr>
      </w:pPr>
    </w:p>
    <w:p w14:paraId="06353DA2" w14:textId="77777777" w:rsidR="00162039" w:rsidRDefault="000F44C6" w:rsidP="00BD0EE0">
      <w:pPr>
        <w:pStyle w:val="Heading2"/>
      </w:pPr>
      <w:bookmarkStart w:id="10" w:name="_Toc121909718"/>
      <w:r w:rsidRPr="00BD0EE0">
        <w:t>Results:</w:t>
      </w:r>
      <w:bookmarkEnd w:id="10"/>
      <w:r w:rsidRPr="00BD0EE0">
        <w:t xml:space="preserve"> </w:t>
      </w:r>
    </w:p>
    <w:p w14:paraId="57873E2B" w14:textId="2819F0BD" w:rsidR="001776C9" w:rsidRPr="00BD0EE0" w:rsidRDefault="00740E06" w:rsidP="00162039">
      <w:pPr>
        <w:pStyle w:val="Heading3"/>
      </w:pPr>
      <w:bookmarkStart w:id="11" w:name="_Toc121909719"/>
      <w:r w:rsidRPr="00BD0EE0">
        <w:t>Protocol violations</w:t>
      </w:r>
      <w:r w:rsidR="00201CD1" w:rsidRPr="00BD0EE0">
        <w:t>/Randomisation errors</w:t>
      </w:r>
      <w:bookmarkEnd w:id="11"/>
    </w:p>
    <w:p w14:paraId="1EBF6BDA" w14:textId="2C97C944" w:rsidR="003656F2" w:rsidRPr="00332E94" w:rsidRDefault="00C43072" w:rsidP="00A44266">
      <w:pPr>
        <w:snapToGrid w:val="0"/>
        <w:spacing w:line="240" w:lineRule="auto"/>
        <w:contextualSpacing/>
        <w:rPr>
          <w:rFonts w:ascii="Arial" w:hAnsi="Arial" w:cs="Arial"/>
        </w:rPr>
      </w:pPr>
      <w:r w:rsidRPr="00332E94">
        <w:rPr>
          <w:rFonts w:ascii="Arial" w:hAnsi="Arial" w:cs="Arial"/>
        </w:rPr>
        <w:t>Consented and eligible p</w:t>
      </w:r>
      <w:r w:rsidR="00D62D6D" w:rsidRPr="00332E94">
        <w:rPr>
          <w:rFonts w:ascii="Arial" w:hAnsi="Arial" w:cs="Arial"/>
        </w:rPr>
        <w:t>articipants were</w:t>
      </w:r>
      <w:r w:rsidRPr="00332E94">
        <w:rPr>
          <w:rFonts w:ascii="Arial" w:hAnsi="Arial" w:cs="Arial"/>
        </w:rPr>
        <w:t xml:space="preserve"> randomised by unblinded lab staff (using the KCTU bespoke randomisation system) following completion of baseline and HLA</w:t>
      </w:r>
      <w:r w:rsidR="00132FC4" w:rsidRPr="00332E94">
        <w:rPr>
          <w:rFonts w:ascii="Arial" w:hAnsi="Arial" w:cs="Arial"/>
        </w:rPr>
        <w:t xml:space="preserve"> </w:t>
      </w:r>
      <w:r w:rsidRPr="00332E94">
        <w:rPr>
          <w:rFonts w:ascii="Arial" w:hAnsi="Arial" w:cs="Arial"/>
        </w:rPr>
        <w:t>screening.</w:t>
      </w:r>
      <w:r w:rsidR="009C4FFD" w:rsidRPr="00332E94">
        <w:rPr>
          <w:rFonts w:ascii="Arial" w:hAnsi="Arial" w:cs="Arial"/>
        </w:rPr>
        <w:t xml:space="preserve"> Baseline HLA</w:t>
      </w:r>
      <w:r w:rsidR="00132FC4" w:rsidRPr="00332E94">
        <w:rPr>
          <w:rFonts w:ascii="Arial" w:hAnsi="Arial" w:cs="Arial"/>
        </w:rPr>
        <w:t xml:space="preserve"> </w:t>
      </w:r>
      <w:r w:rsidR="009C4FFD" w:rsidRPr="00332E94">
        <w:rPr>
          <w:rFonts w:ascii="Arial" w:hAnsi="Arial" w:cs="Arial"/>
        </w:rPr>
        <w:t>Ab status was entered into the randomisation system</w:t>
      </w:r>
      <w:r w:rsidR="00632881" w:rsidRPr="00332E94">
        <w:rPr>
          <w:rFonts w:ascii="Arial" w:hAnsi="Arial" w:cs="Arial"/>
        </w:rPr>
        <w:t>, and trial arm</w:t>
      </w:r>
      <w:r w:rsidR="00542E90" w:rsidRPr="00332E94">
        <w:rPr>
          <w:rFonts w:ascii="Arial" w:hAnsi="Arial" w:cs="Arial"/>
        </w:rPr>
        <w:t xml:space="preserve"> (and </w:t>
      </w:r>
      <w:r w:rsidR="00124E5E" w:rsidRPr="00332E94">
        <w:rPr>
          <w:rFonts w:ascii="Arial" w:hAnsi="Arial" w:cs="Arial"/>
        </w:rPr>
        <w:t>HLA Ab</w:t>
      </w:r>
      <w:r w:rsidR="00542E90" w:rsidRPr="00332E94">
        <w:rPr>
          <w:rFonts w:ascii="Arial" w:hAnsi="Arial" w:cs="Arial"/>
        </w:rPr>
        <w:t xml:space="preserve"> status if unblinded) communicated to </w:t>
      </w:r>
      <w:r w:rsidR="00655ABD" w:rsidRPr="00332E94">
        <w:rPr>
          <w:rFonts w:ascii="Arial" w:hAnsi="Arial" w:cs="Arial"/>
        </w:rPr>
        <w:t xml:space="preserve">the </w:t>
      </w:r>
      <w:r w:rsidR="00542E90" w:rsidRPr="00332E94">
        <w:rPr>
          <w:rFonts w:ascii="Arial" w:hAnsi="Arial" w:cs="Arial"/>
        </w:rPr>
        <w:t>research staff at the site by email</w:t>
      </w:r>
      <w:r w:rsidR="00655ABD" w:rsidRPr="00332E94">
        <w:rPr>
          <w:rFonts w:ascii="Arial" w:hAnsi="Arial" w:cs="Arial"/>
        </w:rPr>
        <w:t>s</w:t>
      </w:r>
      <w:r w:rsidR="00130E04" w:rsidRPr="00332E94">
        <w:rPr>
          <w:rFonts w:ascii="Arial" w:hAnsi="Arial" w:cs="Arial"/>
        </w:rPr>
        <w:t xml:space="preserve"> generated by the system</w:t>
      </w:r>
      <w:r w:rsidR="00542E90" w:rsidRPr="00332E94">
        <w:rPr>
          <w:rFonts w:ascii="Arial" w:hAnsi="Arial" w:cs="Arial"/>
        </w:rPr>
        <w:t xml:space="preserve">. </w:t>
      </w:r>
      <w:r w:rsidR="00846B4A" w:rsidRPr="00332E94">
        <w:rPr>
          <w:rFonts w:ascii="Arial" w:hAnsi="Arial" w:cs="Arial"/>
        </w:rPr>
        <w:t>Changes in HLA</w:t>
      </w:r>
      <w:r w:rsidR="00132FC4" w:rsidRPr="00332E94">
        <w:rPr>
          <w:rFonts w:ascii="Arial" w:hAnsi="Arial" w:cs="Arial"/>
        </w:rPr>
        <w:t xml:space="preserve"> </w:t>
      </w:r>
      <w:r w:rsidR="00846B4A" w:rsidRPr="00332E94">
        <w:rPr>
          <w:rFonts w:ascii="Arial" w:hAnsi="Arial" w:cs="Arial"/>
        </w:rPr>
        <w:t xml:space="preserve">Ab status at re-screening rounds (every 8 months for </w:t>
      </w:r>
      <w:r w:rsidR="00124E5E" w:rsidRPr="00332E94">
        <w:rPr>
          <w:rFonts w:ascii="Arial" w:hAnsi="Arial" w:cs="Arial"/>
        </w:rPr>
        <w:t xml:space="preserve">HLA </w:t>
      </w:r>
      <w:r w:rsidR="00132FC4" w:rsidRPr="00332E94">
        <w:rPr>
          <w:rFonts w:ascii="Arial" w:hAnsi="Arial" w:cs="Arial"/>
        </w:rPr>
        <w:t>Ab-negative</w:t>
      </w:r>
      <w:r w:rsidR="00846B4A" w:rsidRPr="00332E94">
        <w:rPr>
          <w:rFonts w:ascii="Arial" w:hAnsi="Arial" w:cs="Arial"/>
        </w:rPr>
        <w:t xml:space="preserve"> participants still in the trial up until Month 32) were similarly entered into the randomisation system, and emai</w:t>
      </w:r>
      <w:r w:rsidR="00901088" w:rsidRPr="00332E94">
        <w:rPr>
          <w:rFonts w:ascii="Arial" w:hAnsi="Arial" w:cs="Arial"/>
        </w:rPr>
        <w:t xml:space="preserve">ls sent by the system to the </w:t>
      </w:r>
      <w:r w:rsidR="00282132" w:rsidRPr="00332E94">
        <w:rPr>
          <w:rFonts w:ascii="Arial" w:hAnsi="Arial" w:cs="Arial"/>
        </w:rPr>
        <w:t>principal inves</w:t>
      </w:r>
      <w:r w:rsidR="000A5C20" w:rsidRPr="00332E94">
        <w:rPr>
          <w:rFonts w:ascii="Arial" w:hAnsi="Arial" w:cs="Arial"/>
        </w:rPr>
        <w:t>tigator a</w:t>
      </w:r>
      <w:r w:rsidR="00901088" w:rsidRPr="00332E94">
        <w:rPr>
          <w:rFonts w:ascii="Arial" w:hAnsi="Arial" w:cs="Arial"/>
        </w:rPr>
        <w:t xml:space="preserve">bout the change in </w:t>
      </w:r>
      <w:r w:rsidR="00124E5E" w:rsidRPr="00332E94">
        <w:rPr>
          <w:rFonts w:ascii="Arial" w:hAnsi="Arial" w:cs="Arial"/>
        </w:rPr>
        <w:t>HLA Ab</w:t>
      </w:r>
      <w:r w:rsidR="00901088" w:rsidRPr="00332E94">
        <w:rPr>
          <w:rFonts w:ascii="Arial" w:hAnsi="Arial" w:cs="Arial"/>
        </w:rPr>
        <w:t xml:space="preserve"> status for</w:t>
      </w:r>
      <w:r w:rsidR="000A5C20" w:rsidRPr="00332E94">
        <w:rPr>
          <w:rFonts w:ascii="Arial" w:hAnsi="Arial" w:cs="Arial"/>
        </w:rPr>
        <w:t xml:space="preserve"> participants in</w:t>
      </w:r>
      <w:r w:rsidR="00901088" w:rsidRPr="00332E94">
        <w:rPr>
          <w:rFonts w:ascii="Arial" w:hAnsi="Arial" w:cs="Arial"/>
        </w:rPr>
        <w:t xml:space="preserve"> the unblinded (BLC) arm.</w:t>
      </w:r>
    </w:p>
    <w:p w14:paraId="7E52E41F" w14:textId="5F4CBACE" w:rsidR="00B6007C" w:rsidRPr="00332E94" w:rsidRDefault="00B6007C" w:rsidP="00A44266">
      <w:pPr>
        <w:snapToGrid w:val="0"/>
        <w:spacing w:line="240" w:lineRule="auto"/>
        <w:contextualSpacing/>
        <w:rPr>
          <w:rFonts w:ascii="Arial" w:hAnsi="Arial" w:cs="Arial"/>
        </w:rPr>
      </w:pPr>
      <w:r w:rsidRPr="00332E94">
        <w:rPr>
          <w:rFonts w:ascii="Arial" w:hAnsi="Arial" w:cs="Arial"/>
        </w:rPr>
        <w:lastRenderedPageBreak/>
        <w:t>There were two randomisation errors</w:t>
      </w:r>
      <w:r w:rsidR="00125609" w:rsidRPr="00332E94">
        <w:rPr>
          <w:rFonts w:ascii="Arial" w:hAnsi="Arial" w:cs="Arial"/>
        </w:rPr>
        <w:t xml:space="preserve">, </w:t>
      </w:r>
      <w:r w:rsidR="005879E3" w:rsidRPr="00332E94">
        <w:rPr>
          <w:rFonts w:ascii="Arial" w:hAnsi="Arial" w:cs="Arial"/>
        </w:rPr>
        <w:t>both participants were randomised to the Blinded (SC) arm and were HLA</w:t>
      </w:r>
      <w:r w:rsidR="00132FC4" w:rsidRPr="00332E94">
        <w:rPr>
          <w:rFonts w:ascii="Arial" w:hAnsi="Arial" w:cs="Arial"/>
        </w:rPr>
        <w:t xml:space="preserve"> Ab-negative</w:t>
      </w:r>
      <w:r w:rsidR="005879E3" w:rsidRPr="00332E94">
        <w:rPr>
          <w:rFonts w:ascii="Arial" w:hAnsi="Arial" w:cs="Arial"/>
        </w:rPr>
        <w:t xml:space="preserve"> at baseline. </w:t>
      </w:r>
      <w:r w:rsidR="00125609" w:rsidRPr="00332E94">
        <w:rPr>
          <w:rFonts w:ascii="Arial" w:hAnsi="Arial" w:cs="Arial"/>
        </w:rPr>
        <w:t xml:space="preserve">One participant had graft failure prior to randomisation and one participant was randomised but was found to have died shortly before randomisation. Randomisation was carried out by lab staff following </w:t>
      </w:r>
      <w:r w:rsidR="00124E5E" w:rsidRPr="00332E94">
        <w:rPr>
          <w:rFonts w:ascii="Arial" w:hAnsi="Arial" w:cs="Arial"/>
        </w:rPr>
        <w:t xml:space="preserve">HLA </w:t>
      </w:r>
      <w:r w:rsidR="00125609" w:rsidRPr="00332E94">
        <w:rPr>
          <w:rFonts w:ascii="Arial" w:hAnsi="Arial" w:cs="Arial"/>
        </w:rPr>
        <w:t>screening and in error, it was not communicated to the lab staff that these events had occurred prior to randomisation. These participants are excluded from all analyses.</w:t>
      </w:r>
    </w:p>
    <w:p w14:paraId="1557278F" w14:textId="1746E8FF" w:rsidR="00201CD1" w:rsidRPr="00332E94" w:rsidRDefault="00201CD1" w:rsidP="00A44266">
      <w:pPr>
        <w:snapToGrid w:val="0"/>
        <w:spacing w:line="240" w:lineRule="auto"/>
        <w:contextualSpacing/>
        <w:jc w:val="both"/>
        <w:rPr>
          <w:rFonts w:ascii="Arial" w:hAnsi="Arial" w:cs="Arial"/>
        </w:rPr>
      </w:pPr>
      <w:r w:rsidRPr="00332E94">
        <w:rPr>
          <w:rFonts w:ascii="Arial" w:hAnsi="Arial" w:cs="Arial"/>
        </w:rPr>
        <w:t xml:space="preserve">Further, </w:t>
      </w:r>
      <w:r w:rsidR="00F4696F" w:rsidRPr="00332E94">
        <w:rPr>
          <w:rFonts w:ascii="Arial" w:hAnsi="Arial" w:cs="Arial"/>
        </w:rPr>
        <w:t>f</w:t>
      </w:r>
      <w:r w:rsidRPr="00332E94">
        <w:rPr>
          <w:rFonts w:ascii="Arial" w:hAnsi="Arial" w:cs="Arial"/>
        </w:rPr>
        <w:t xml:space="preserve">or the primary analysis, </w:t>
      </w:r>
      <w:r w:rsidR="00F4696F" w:rsidRPr="00332E94">
        <w:rPr>
          <w:rFonts w:ascii="Arial" w:hAnsi="Arial" w:cs="Arial"/>
        </w:rPr>
        <w:t>one</w:t>
      </w:r>
      <w:r w:rsidRPr="00332E94">
        <w:rPr>
          <w:rFonts w:ascii="Arial" w:hAnsi="Arial" w:cs="Arial"/>
        </w:rPr>
        <w:t xml:space="preserve"> re-screened randomised participant is not included in the DSA group as they were found to have graft failure prior to being re-screened and becoming </w:t>
      </w:r>
      <w:r w:rsidR="00124E5E" w:rsidRPr="00332E94">
        <w:rPr>
          <w:rFonts w:ascii="Arial" w:hAnsi="Arial" w:cs="Arial"/>
        </w:rPr>
        <w:t>HLA Ab</w:t>
      </w:r>
      <w:r w:rsidR="00433231" w:rsidRPr="00332E94">
        <w:rPr>
          <w:rFonts w:ascii="Arial" w:hAnsi="Arial" w:cs="Arial"/>
        </w:rPr>
        <w:t xml:space="preserve">+ </w:t>
      </w:r>
      <w:r w:rsidRPr="00332E94">
        <w:rPr>
          <w:rFonts w:ascii="Arial" w:hAnsi="Arial" w:cs="Arial"/>
        </w:rPr>
        <w:t>DSA and so were not at risk for the purpose of this analysis. This participant is included in any group/sensitivity analyses where time at risk starts at randomisation for all.</w:t>
      </w:r>
    </w:p>
    <w:p w14:paraId="241BEC58" w14:textId="010C0747" w:rsidR="003D3E60" w:rsidRPr="00332E94" w:rsidRDefault="003D3E60" w:rsidP="00A44266">
      <w:pPr>
        <w:snapToGrid w:val="0"/>
        <w:spacing w:line="240" w:lineRule="auto"/>
        <w:contextualSpacing/>
        <w:rPr>
          <w:rFonts w:ascii="Arial" w:hAnsi="Arial" w:cs="Arial"/>
        </w:rPr>
      </w:pPr>
      <w:r w:rsidRPr="00332E94">
        <w:rPr>
          <w:rFonts w:ascii="Arial" w:hAnsi="Arial" w:cs="Arial"/>
        </w:rPr>
        <w:t>There were several other errors in recording of HLA status in the randomisation system.</w:t>
      </w:r>
      <w:r w:rsidR="00201CD1" w:rsidRPr="00332E94">
        <w:rPr>
          <w:rFonts w:ascii="Arial" w:hAnsi="Arial" w:cs="Arial"/>
        </w:rPr>
        <w:t xml:space="preserve"> As per the intention to treat principle, these were</w:t>
      </w:r>
      <w:r w:rsidR="00DF5F84" w:rsidRPr="00332E94">
        <w:rPr>
          <w:rFonts w:ascii="Arial" w:hAnsi="Arial" w:cs="Arial"/>
        </w:rPr>
        <w:t xml:space="preserve"> analysed in </w:t>
      </w:r>
      <w:r w:rsidR="00EC07F8" w:rsidRPr="00332E94">
        <w:rPr>
          <w:rFonts w:ascii="Arial" w:hAnsi="Arial" w:cs="Arial"/>
        </w:rPr>
        <w:t xml:space="preserve">the original </w:t>
      </w:r>
      <w:r w:rsidR="00DF5F84" w:rsidRPr="00332E94">
        <w:rPr>
          <w:rFonts w:ascii="Arial" w:hAnsi="Arial" w:cs="Arial"/>
        </w:rPr>
        <w:t xml:space="preserve">groups as </w:t>
      </w:r>
      <w:r w:rsidR="00E7430E" w:rsidRPr="00332E94">
        <w:rPr>
          <w:rFonts w:ascii="Arial" w:hAnsi="Arial" w:cs="Arial"/>
        </w:rPr>
        <w:t>recorded in the</w:t>
      </w:r>
      <w:r w:rsidR="00DF5F84" w:rsidRPr="00332E94">
        <w:rPr>
          <w:rFonts w:ascii="Arial" w:hAnsi="Arial" w:cs="Arial"/>
        </w:rPr>
        <w:t xml:space="preserve"> randomisation data</w:t>
      </w:r>
      <w:r w:rsidR="00EC07F8" w:rsidRPr="00332E94">
        <w:rPr>
          <w:rFonts w:ascii="Arial" w:hAnsi="Arial" w:cs="Arial"/>
        </w:rPr>
        <w:t xml:space="preserve"> and not in the corrected group</w:t>
      </w:r>
      <w:r w:rsidR="00E7430E" w:rsidRPr="00332E94">
        <w:rPr>
          <w:rFonts w:ascii="Arial" w:hAnsi="Arial" w:cs="Arial"/>
        </w:rPr>
        <w:t xml:space="preserve"> (</w:t>
      </w:r>
      <w:r w:rsidR="00EC07F8" w:rsidRPr="00332E94">
        <w:rPr>
          <w:rFonts w:ascii="Arial" w:hAnsi="Arial" w:cs="Arial"/>
        </w:rPr>
        <w:t>a</w:t>
      </w:r>
      <w:r w:rsidR="00E7430E" w:rsidRPr="00332E94">
        <w:rPr>
          <w:rFonts w:ascii="Arial" w:hAnsi="Arial" w:cs="Arial"/>
        </w:rPr>
        <w:t>s</w:t>
      </w:r>
      <w:r w:rsidR="00282C7D" w:rsidRPr="00332E94">
        <w:rPr>
          <w:rFonts w:ascii="Arial" w:hAnsi="Arial" w:cs="Arial"/>
        </w:rPr>
        <w:t xml:space="preserve"> the HLA status as per randomisation data was</w:t>
      </w:r>
      <w:r w:rsidR="00E7430E" w:rsidRPr="00332E94">
        <w:rPr>
          <w:rFonts w:ascii="Arial" w:hAnsi="Arial" w:cs="Arial"/>
        </w:rPr>
        <w:t xml:space="preserve"> communicated to the PI if in the unblinded arm</w:t>
      </w:r>
      <w:r w:rsidR="00282C7D" w:rsidRPr="00332E94">
        <w:rPr>
          <w:rFonts w:ascii="Arial" w:hAnsi="Arial" w:cs="Arial"/>
        </w:rPr>
        <w:t>, and treatment strategy would have been based on this data). These errors were the following:</w:t>
      </w:r>
    </w:p>
    <w:p w14:paraId="456C7DB3" w14:textId="79E5E16E" w:rsidR="00077C9E" w:rsidRPr="00332E94" w:rsidRDefault="00077C9E" w:rsidP="00A44266">
      <w:pPr>
        <w:pStyle w:val="ListParagraph"/>
        <w:numPr>
          <w:ilvl w:val="0"/>
          <w:numId w:val="2"/>
        </w:numPr>
        <w:snapToGrid w:val="0"/>
        <w:spacing w:line="240" w:lineRule="auto"/>
        <w:rPr>
          <w:rFonts w:ascii="Arial" w:hAnsi="Arial" w:cs="Arial"/>
        </w:rPr>
      </w:pPr>
      <w:r w:rsidRPr="00332E94">
        <w:rPr>
          <w:rFonts w:ascii="Arial" w:hAnsi="Arial" w:cs="Arial"/>
        </w:rPr>
        <w:t xml:space="preserve">One participant randomised to the BLC arm and entered as </w:t>
      </w:r>
      <w:r w:rsidR="00124E5E" w:rsidRPr="00332E94">
        <w:rPr>
          <w:rFonts w:ascii="Arial" w:hAnsi="Arial" w:cs="Arial"/>
        </w:rPr>
        <w:t>HLA Ab</w:t>
      </w:r>
      <w:r w:rsidR="008B681C" w:rsidRPr="00332E94">
        <w:rPr>
          <w:rFonts w:ascii="Arial" w:hAnsi="Arial" w:cs="Arial"/>
        </w:rPr>
        <w:t xml:space="preserve">+ </w:t>
      </w:r>
      <w:r w:rsidR="009A6894" w:rsidRPr="00332E94">
        <w:rPr>
          <w:rFonts w:ascii="Arial" w:hAnsi="Arial" w:cs="Arial"/>
        </w:rPr>
        <w:t xml:space="preserve">DSA </w:t>
      </w:r>
      <w:r w:rsidR="005D3209" w:rsidRPr="00332E94">
        <w:rPr>
          <w:rFonts w:ascii="Arial" w:hAnsi="Arial" w:cs="Arial"/>
        </w:rPr>
        <w:t xml:space="preserve">at baseline in randomisation system </w:t>
      </w:r>
      <w:r w:rsidR="00B961F7" w:rsidRPr="00332E94">
        <w:rPr>
          <w:rFonts w:ascii="Arial" w:hAnsi="Arial" w:cs="Arial"/>
        </w:rPr>
        <w:t xml:space="preserve">was actually </w:t>
      </w:r>
      <w:r w:rsidR="00124E5E" w:rsidRPr="00332E94">
        <w:rPr>
          <w:rFonts w:ascii="Arial" w:hAnsi="Arial" w:cs="Arial"/>
        </w:rPr>
        <w:t>HLA Ab</w:t>
      </w:r>
      <w:r w:rsidR="008B681C" w:rsidRPr="00332E94">
        <w:rPr>
          <w:rFonts w:ascii="Arial" w:hAnsi="Arial" w:cs="Arial"/>
        </w:rPr>
        <w:t xml:space="preserve">+ </w:t>
      </w:r>
      <w:r w:rsidR="009A6894" w:rsidRPr="00332E94">
        <w:rPr>
          <w:rFonts w:ascii="Arial" w:hAnsi="Arial" w:cs="Arial"/>
        </w:rPr>
        <w:t>definite non</w:t>
      </w:r>
      <w:r w:rsidR="00640F22" w:rsidRPr="00332E94">
        <w:rPr>
          <w:rFonts w:ascii="Arial" w:hAnsi="Arial" w:cs="Arial"/>
        </w:rPr>
        <w:t>-</w:t>
      </w:r>
      <w:r w:rsidR="009A6894" w:rsidRPr="00332E94">
        <w:rPr>
          <w:rFonts w:ascii="Arial" w:hAnsi="Arial" w:cs="Arial"/>
        </w:rPr>
        <w:t>DSA</w:t>
      </w:r>
      <w:r w:rsidR="00B961F7" w:rsidRPr="00332E94">
        <w:rPr>
          <w:rFonts w:ascii="Arial" w:hAnsi="Arial" w:cs="Arial"/>
        </w:rPr>
        <w:t xml:space="preserve"> </w:t>
      </w:r>
      <w:r w:rsidR="005D3209" w:rsidRPr="00332E94">
        <w:rPr>
          <w:rFonts w:ascii="Arial" w:hAnsi="Arial" w:cs="Arial"/>
        </w:rPr>
        <w:t xml:space="preserve">at baseline </w:t>
      </w:r>
      <w:r w:rsidR="009A6894" w:rsidRPr="00332E94">
        <w:rPr>
          <w:rFonts w:ascii="Arial" w:hAnsi="Arial" w:cs="Arial"/>
        </w:rPr>
        <w:t xml:space="preserve">according to the lab data. </w:t>
      </w:r>
    </w:p>
    <w:p w14:paraId="3B59832C" w14:textId="5432B55E" w:rsidR="000F3C76" w:rsidRPr="00332E94" w:rsidRDefault="000F3C76" w:rsidP="00A44266">
      <w:pPr>
        <w:pStyle w:val="ListParagraph"/>
        <w:numPr>
          <w:ilvl w:val="0"/>
          <w:numId w:val="2"/>
        </w:numPr>
        <w:snapToGrid w:val="0"/>
        <w:spacing w:line="240" w:lineRule="auto"/>
        <w:rPr>
          <w:rFonts w:ascii="Arial" w:hAnsi="Arial" w:cs="Arial"/>
        </w:rPr>
      </w:pPr>
      <w:r w:rsidRPr="00332E94">
        <w:rPr>
          <w:rFonts w:ascii="Arial" w:hAnsi="Arial" w:cs="Arial"/>
        </w:rPr>
        <w:t xml:space="preserve">One participant randomised to the SC arm and entered as </w:t>
      </w:r>
      <w:r w:rsidR="00124E5E" w:rsidRPr="00332E94">
        <w:rPr>
          <w:rFonts w:ascii="Arial" w:hAnsi="Arial" w:cs="Arial"/>
        </w:rPr>
        <w:t>HLA Ab</w:t>
      </w:r>
      <w:r w:rsidR="008B681C" w:rsidRPr="00332E94">
        <w:rPr>
          <w:rFonts w:ascii="Arial" w:hAnsi="Arial" w:cs="Arial"/>
        </w:rPr>
        <w:t xml:space="preserve">+ </w:t>
      </w:r>
      <w:r w:rsidRPr="00332E94">
        <w:rPr>
          <w:rFonts w:ascii="Arial" w:hAnsi="Arial" w:cs="Arial"/>
        </w:rPr>
        <w:t>DSA</w:t>
      </w:r>
      <w:r w:rsidR="005D3209" w:rsidRPr="00332E94">
        <w:rPr>
          <w:rFonts w:ascii="Arial" w:hAnsi="Arial" w:cs="Arial"/>
        </w:rPr>
        <w:t xml:space="preserve"> at baseline </w:t>
      </w:r>
      <w:r w:rsidRPr="00332E94">
        <w:rPr>
          <w:rFonts w:ascii="Arial" w:hAnsi="Arial" w:cs="Arial"/>
        </w:rPr>
        <w:t xml:space="preserve">was actually </w:t>
      </w:r>
      <w:r w:rsidR="00124E5E" w:rsidRPr="00332E94">
        <w:rPr>
          <w:rFonts w:ascii="Arial" w:hAnsi="Arial" w:cs="Arial"/>
        </w:rPr>
        <w:t>HLA Ab</w:t>
      </w:r>
      <w:r w:rsidR="008B681C" w:rsidRPr="00332E94">
        <w:rPr>
          <w:rFonts w:ascii="Arial" w:hAnsi="Arial" w:cs="Arial"/>
        </w:rPr>
        <w:t xml:space="preserve">+ </w:t>
      </w:r>
      <w:r w:rsidRPr="00332E94">
        <w:rPr>
          <w:rFonts w:ascii="Arial" w:hAnsi="Arial" w:cs="Arial"/>
        </w:rPr>
        <w:t>definite non-DSA at</w:t>
      </w:r>
      <w:r w:rsidR="005D3209" w:rsidRPr="00332E94">
        <w:rPr>
          <w:rFonts w:ascii="Arial" w:hAnsi="Arial" w:cs="Arial"/>
        </w:rPr>
        <w:t xml:space="preserve"> baseline</w:t>
      </w:r>
      <w:r w:rsidRPr="00332E94">
        <w:rPr>
          <w:rFonts w:ascii="Arial" w:hAnsi="Arial" w:cs="Arial"/>
        </w:rPr>
        <w:t xml:space="preserve"> according to the lab data. </w:t>
      </w:r>
    </w:p>
    <w:p w14:paraId="3818D04D" w14:textId="26E5BA5C" w:rsidR="005C4C0A" w:rsidRPr="00332E94" w:rsidRDefault="005C4C0A" w:rsidP="00A44266">
      <w:pPr>
        <w:pStyle w:val="ListParagraph"/>
        <w:numPr>
          <w:ilvl w:val="0"/>
          <w:numId w:val="2"/>
        </w:numPr>
        <w:snapToGrid w:val="0"/>
        <w:spacing w:line="240" w:lineRule="auto"/>
        <w:rPr>
          <w:rFonts w:ascii="Arial" w:hAnsi="Arial" w:cs="Arial"/>
        </w:rPr>
      </w:pPr>
      <w:r w:rsidRPr="00332E94">
        <w:rPr>
          <w:rFonts w:ascii="Arial" w:hAnsi="Arial" w:cs="Arial"/>
        </w:rPr>
        <w:t xml:space="preserve">One participant in the BLC arm was moved from </w:t>
      </w:r>
      <w:r w:rsidR="008C1BED" w:rsidRPr="00332E94">
        <w:rPr>
          <w:rFonts w:ascii="Arial" w:hAnsi="Arial" w:cs="Arial"/>
        </w:rPr>
        <w:t xml:space="preserve">the </w:t>
      </w:r>
      <w:r w:rsidR="00124E5E" w:rsidRPr="00332E94">
        <w:rPr>
          <w:rFonts w:ascii="Arial" w:hAnsi="Arial" w:cs="Arial"/>
        </w:rPr>
        <w:t>HLA Ab</w:t>
      </w:r>
      <w:r w:rsidR="00132FC4" w:rsidRPr="00332E94">
        <w:rPr>
          <w:rFonts w:ascii="Arial" w:hAnsi="Arial" w:cs="Arial"/>
        </w:rPr>
        <w:t>-</w:t>
      </w:r>
      <w:r w:rsidR="00473404" w:rsidRPr="00332E94">
        <w:rPr>
          <w:rFonts w:ascii="Arial" w:hAnsi="Arial" w:cs="Arial"/>
        </w:rPr>
        <w:t>n</w:t>
      </w:r>
      <w:r w:rsidRPr="00332E94">
        <w:rPr>
          <w:rFonts w:ascii="Arial" w:hAnsi="Arial" w:cs="Arial"/>
        </w:rPr>
        <w:t xml:space="preserve">egative to the </w:t>
      </w:r>
      <w:r w:rsidR="00124E5E" w:rsidRPr="00332E94">
        <w:rPr>
          <w:rFonts w:ascii="Arial" w:hAnsi="Arial" w:cs="Arial"/>
        </w:rPr>
        <w:t>HLA Ab</w:t>
      </w:r>
      <w:r w:rsidR="008B681C" w:rsidRPr="00332E94">
        <w:rPr>
          <w:rFonts w:ascii="Arial" w:hAnsi="Arial" w:cs="Arial"/>
        </w:rPr>
        <w:t xml:space="preserve">+ </w:t>
      </w:r>
      <w:r w:rsidRPr="00332E94">
        <w:rPr>
          <w:rFonts w:ascii="Arial" w:hAnsi="Arial" w:cs="Arial"/>
        </w:rPr>
        <w:t>DSA group at re-scree</w:t>
      </w:r>
      <w:r w:rsidR="007D4E1C" w:rsidRPr="00332E94">
        <w:rPr>
          <w:rFonts w:ascii="Arial" w:hAnsi="Arial" w:cs="Arial"/>
        </w:rPr>
        <w:t>n</w:t>
      </w:r>
      <w:r w:rsidRPr="00332E94">
        <w:rPr>
          <w:rFonts w:ascii="Arial" w:hAnsi="Arial" w:cs="Arial"/>
        </w:rPr>
        <w:t xml:space="preserve">ing (at month 16). However according to their lab data, their antibodies at that time indicated “unknown whether DSA” and should have been allocated to the non-DSA group as per the protocol. </w:t>
      </w:r>
    </w:p>
    <w:p w14:paraId="562B2500" w14:textId="03A7ABDD" w:rsidR="00332E94" w:rsidRPr="00F47B27" w:rsidRDefault="00332E94" w:rsidP="00A44266">
      <w:pPr>
        <w:pStyle w:val="ListParagraph"/>
        <w:numPr>
          <w:ilvl w:val="0"/>
          <w:numId w:val="2"/>
        </w:numPr>
        <w:snapToGrid w:val="0"/>
        <w:spacing w:after="0" w:line="240" w:lineRule="auto"/>
        <w:rPr>
          <w:rFonts w:ascii="Times New Roman" w:eastAsia="Times New Roman" w:hAnsi="Times New Roman" w:cs="Times New Roman"/>
          <w:color w:val="000000" w:themeColor="text1"/>
          <w:lang w:eastAsia="en-GB"/>
        </w:rPr>
      </w:pPr>
      <w:r w:rsidRPr="00332E94">
        <w:rPr>
          <w:rFonts w:ascii="Arial" w:eastAsia="Times New Roman" w:hAnsi="Arial" w:cs="Arial"/>
          <w:color w:val="000000" w:themeColor="text1"/>
          <w:lang w:eastAsia="en-GB"/>
        </w:rPr>
        <w:t>One participant randomised to the BLC arm and entered as DSA at baseline actually had antibodies at that time indicating “unknown whether DSA” and should have been randomised to the non-DSA group</w:t>
      </w:r>
    </w:p>
    <w:p w14:paraId="687048FC" w14:textId="20CC85CD" w:rsidR="007D4E1C" w:rsidRPr="00332E94" w:rsidRDefault="007D4E1C" w:rsidP="00A44266">
      <w:pPr>
        <w:pStyle w:val="ListParagraph"/>
        <w:numPr>
          <w:ilvl w:val="0"/>
          <w:numId w:val="2"/>
        </w:numPr>
        <w:snapToGrid w:val="0"/>
        <w:spacing w:line="240" w:lineRule="auto"/>
        <w:rPr>
          <w:rFonts w:ascii="Arial" w:hAnsi="Arial" w:cs="Arial"/>
        </w:rPr>
      </w:pPr>
      <w:r w:rsidRPr="00332E94">
        <w:rPr>
          <w:rFonts w:ascii="Arial" w:hAnsi="Arial" w:cs="Arial"/>
        </w:rPr>
        <w:t xml:space="preserve">Two participants randomised to the SC arm who were </w:t>
      </w:r>
      <w:r w:rsidR="00124E5E" w:rsidRPr="00332E94">
        <w:rPr>
          <w:rFonts w:ascii="Arial" w:hAnsi="Arial" w:cs="Arial"/>
        </w:rPr>
        <w:t>HLA Ab</w:t>
      </w:r>
      <w:r w:rsidR="00132FC4" w:rsidRPr="00332E94">
        <w:rPr>
          <w:rFonts w:ascii="Arial" w:hAnsi="Arial" w:cs="Arial"/>
        </w:rPr>
        <w:t>-</w:t>
      </w:r>
      <w:r w:rsidR="00473404" w:rsidRPr="00332E94">
        <w:rPr>
          <w:rFonts w:ascii="Arial" w:hAnsi="Arial" w:cs="Arial"/>
        </w:rPr>
        <w:t>n</w:t>
      </w:r>
      <w:r w:rsidRPr="00332E94">
        <w:rPr>
          <w:rFonts w:ascii="Arial" w:hAnsi="Arial" w:cs="Arial"/>
        </w:rPr>
        <w:t xml:space="preserve">egative at </w:t>
      </w:r>
      <w:r w:rsidR="008C1BED" w:rsidRPr="00332E94">
        <w:rPr>
          <w:rFonts w:ascii="Arial" w:hAnsi="Arial" w:cs="Arial"/>
        </w:rPr>
        <w:t>baseline</w:t>
      </w:r>
      <w:r w:rsidRPr="00332E94">
        <w:rPr>
          <w:rFonts w:ascii="Arial" w:hAnsi="Arial" w:cs="Arial"/>
        </w:rPr>
        <w:t xml:space="preserve"> were re-screened according to lab data at Month 16 and became HLA</w:t>
      </w:r>
      <w:r w:rsidR="00132FC4" w:rsidRPr="00332E94">
        <w:rPr>
          <w:rFonts w:ascii="Arial" w:hAnsi="Arial" w:cs="Arial"/>
        </w:rPr>
        <w:t xml:space="preserve"> </w:t>
      </w:r>
      <w:r w:rsidRPr="00332E94">
        <w:rPr>
          <w:rFonts w:ascii="Arial" w:hAnsi="Arial" w:cs="Arial"/>
        </w:rPr>
        <w:t>Ab</w:t>
      </w:r>
      <w:r w:rsidR="008B681C" w:rsidRPr="00332E94">
        <w:rPr>
          <w:rFonts w:ascii="Arial" w:hAnsi="Arial" w:cs="Arial"/>
        </w:rPr>
        <w:t xml:space="preserve">+ </w:t>
      </w:r>
      <w:r w:rsidRPr="00332E94">
        <w:rPr>
          <w:rFonts w:ascii="Arial" w:hAnsi="Arial" w:cs="Arial"/>
        </w:rPr>
        <w:t xml:space="preserve">with unknown DSA. However, this was erroneously not entered </w:t>
      </w:r>
      <w:r w:rsidR="006A5BBF" w:rsidRPr="00332E94">
        <w:rPr>
          <w:rFonts w:ascii="Arial" w:hAnsi="Arial" w:cs="Arial"/>
        </w:rPr>
        <w:t xml:space="preserve">into the randomisation system (and are considered </w:t>
      </w:r>
      <w:r w:rsidR="00124E5E" w:rsidRPr="00332E94">
        <w:rPr>
          <w:rFonts w:ascii="Arial" w:hAnsi="Arial" w:cs="Arial"/>
        </w:rPr>
        <w:t>HLA Ab</w:t>
      </w:r>
      <w:r w:rsidR="00132FC4" w:rsidRPr="00332E94">
        <w:rPr>
          <w:rFonts w:ascii="Arial" w:hAnsi="Arial" w:cs="Arial"/>
        </w:rPr>
        <w:t>-</w:t>
      </w:r>
      <w:r w:rsidR="00473404" w:rsidRPr="00332E94">
        <w:rPr>
          <w:rFonts w:ascii="Arial" w:hAnsi="Arial" w:cs="Arial"/>
        </w:rPr>
        <w:t>n</w:t>
      </w:r>
      <w:r w:rsidR="006A5BBF" w:rsidRPr="00332E94">
        <w:rPr>
          <w:rFonts w:ascii="Arial" w:hAnsi="Arial" w:cs="Arial"/>
        </w:rPr>
        <w:t xml:space="preserve">egative for </w:t>
      </w:r>
      <w:r w:rsidR="00F4696F" w:rsidRPr="00332E94">
        <w:rPr>
          <w:rFonts w:ascii="Arial" w:hAnsi="Arial" w:cs="Arial"/>
        </w:rPr>
        <w:t xml:space="preserve">the </w:t>
      </w:r>
      <w:r w:rsidR="006A5BBF" w:rsidRPr="00332E94">
        <w:rPr>
          <w:rFonts w:ascii="Arial" w:hAnsi="Arial" w:cs="Arial"/>
        </w:rPr>
        <w:t>purpose of ITT analysis).</w:t>
      </w:r>
    </w:p>
    <w:p w14:paraId="32A46981" w14:textId="77777777" w:rsidR="007D4E1C" w:rsidRPr="00332E94" w:rsidRDefault="007D4E1C" w:rsidP="00A44266">
      <w:pPr>
        <w:pStyle w:val="ListParagraph"/>
        <w:snapToGrid w:val="0"/>
        <w:spacing w:line="240" w:lineRule="auto"/>
      </w:pPr>
    </w:p>
    <w:p w14:paraId="03793BB0" w14:textId="08DB6B4F" w:rsidR="001776C9" w:rsidRPr="000006D8" w:rsidRDefault="008A0524" w:rsidP="00162039">
      <w:pPr>
        <w:pStyle w:val="Heading3"/>
        <w:rPr>
          <w:rFonts w:ascii="Arial" w:hAnsi="Arial"/>
          <w:bdr w:val="nil"/>
        </w:rPr>
      </w:pPr>
      <w:bookmarkStart w:id="12" w:name="_Toc121909720"/>
      <w:r w:rsidRPr="000006D8">
        <w:rPr>
          <w:bdr w:val="nil"/>
        </w:rPr>
        <w:t>Adverse events and changes in DSA</w:t>
      </w:r>
      <w:bookmarkEnd w:id="12"/>
    </w:p>
    <w:p w14:paraId="582A442E" w14:textId="1F23F6C5" w:rsidR="002A5AED" w:rsidRPr="002A5AED" w:rsidRDefault="002A5AED" w:rsidP="002A5AED">
      <w:pPr>
        <w:pStyle w:val="BodyText"/>
        <w:snapToGrid w:val="0"/>
        <w:contextualSpacing/>
        <w:jc w:val="both"/>
        <w:rPr>
          <w:rFonts w:cs="Arial"/>
          <w:b w:val="0"/>
          <w:sz w:val="22"/>
          <w:szCs w:val="22"/>
          <w:u w:color="000000"/>
          <w:bdr w:val="nil"/>
        </w:rPr>
      </w:pPr>
      <w:r w:rsidRPr="002A5AED">
        <w:rPr>
          <w:rFonts w:cs="Arial"/>
          <w:b w:val="0"/>
          <w:sz w:val="22"/>
          <w:szCs w:val="22"/>
          <w:u w:color="000000"/>
          <w:bdr w:val="nil"/>
        </w:rPr>
        <w:t>A total of 8189 AEs (670 SAES) were reported, and 1570 patients (77%) experienced at least one AE (suppl</w:t>
      </w:r>
      <w:r w:rsidR="00D556EE">
        <w:rPr>
          <w:rFonts w:cs="Arial"/>
          <w:b w:val="0"/>
          <w:sz w:val="22"/>
          <w:szCs w:val="22"/>
          <w:u w:color="000000"/>
          <w:bdr w:val="nil"/>
        </w:rPr>
        <w:t>ementary</w:t>
      </w:r>
      <w:r w:rsidRPr="002A5AED">
        <w:rPr>
          <w:rFonts w:cs="Arial"/>
          <w:b w:val="0"/>
          <w:sz w:val="22"/>
          <w:szCs w:val="22"/>
          <w:u w:color="000000"/>
          <w:bdr w:val="nil"/>
        </w:rPr>
        <w:t xml:space="preserve"> table </w:t>
      </w:r>
      <w:r w:rsidR="00D556EE">
        <w:rPr>
          <w:rFonts w:cs="Arial"/>
          <w:b w:val="0"/>
          <w:sz w:val="22"/>
          <w:szCs w:val="22"/>
          <w:u w:color="000000"/>
          <w:bdr w:val="nil"/>
        </w:rPr>
        <w:t>6</w:t>
      </w:r>
      <w:r w:rsidRPr="002A5AED">
        <w:rPr>
          <w:rFonts w:cs="Arial"/>
          <w:b w:val="0"/>
          <w:sz w:val="22"/>
          <w:szCs w:val="22"/>
          <w:u w:color="000000"/>
          <w:bdr w:val="nil"/>
        </w:rPr>
        <w:t>). Significant differences were observed for 5 outcomes/codes with HLA Ab+ participants in the BLC arm being more likely to experience cardiovascular, respiratory, gastrointestinal and GU/renal AEs than HLA Ab+ participants in the SC arm (suppl</w:t>
      </w:r>
      <w:r w:rsidR="00D556EE">
        <w:rPr>
          <w:rFonts w:cs="Arial"/>
          <w:b w:val="0"/>
          <w:sz w:val="22"/>
          <w:szCs w:val="22"/>
          <w:u w:color="000000"/>
          <w:bdr w:val="nil"/>
        </w:rPr>
        <w:t>ementary</w:t>
      </w:r>
      <w:r w:rsidRPr="002A5AED">
        <w:rPr>
          <w:rFonts w:cs="Arial"/>
          <w:b w:val="0"/>
          <w:sz w:val="22"/>
          <w:szCs w:val="22"/>
          <w:u w:color="000000"/>
          <w:bdr w:val="nil"/>
        </w:rPr>
        <w:t xml:space="preserve"> figure</w:t>
      </w:r>
      <w:r w:rsidR="00D556EE">
        <w:rPr>
          <w:rFonts w:cs="Arial"/>
          <w:b w:val="0"/>
          <w:sz w:val="22"/>
          <w:szCs w:val="22"/>
          <w:u w:color="000000"/>
          <w:bdr w:val="nil"/>
        </w:rPr>
        <w:t xml:space="preserve"> 2</w:t>
      </w:r>
      <w:r w:rsidRPr="002A5AED">
        <w:rPr>
          <w:rFonts w:cs="Arial"/>
          <w:b w:val="0"/>
          <w:sz w:val="22"/>
          <w:szCs w:val="22"/>
          <w:u w:color="000000"/>
          <w:bdr w:val="nil"/>
        </w:rPr>
        <w:t>). These comparisons are not adjusted for multiple testing however, and any adverse events of concern are covered by existing secondary outcomes.</w:t>
      </w:r>
    </w:p>
    <w:p w14:paraId="6886783E" w14:textId="77777777" w:rsidR="002A5AED" w:rsidRPr="002A5AED" w:rsidRDefault="002A5AED" w:rsidP="002A5AED">
      <w:pPr>
        <w:pStyle w:val="BodyText"/>
        <w:snapToGrid w:val="0"/>
        <w:contextualSpacing/>
        <w:jc w:val="both"/>
        <w:rPr>
          <w:rFonts w:cs="Arial"/>
          <w:b w:val="0"/>
          <w:sz w:val="22"/>
          <w:szCs w:val="22"/>
          <w:u w:color="000000"/>
          <w:bdr w:val="nil"/>
        </w:rPr>
      </w:pPr>
    </w:p>
    <w:p w14:paraId="1FA45167" w14:textId="09BFD312" w:rsidR="002A5AED" w:rsidRPr="002A5AED" w:rsidRDefault="002A5AED" w:rsidP="002A5AED">
      <w:pPr>
        <w:pStyle w:val="BodyText"/>
        <w:snapToGrid w:val="0"/>
        <w:contextualSpacing/>
        <w:jc w:val="both"/>
        <w:rPr>
          <w:rFonts w:cs="Arial"/>
          <w:b w:val="0"/>
          <w:sz w:val="22"/>
          <w:szCs w:val="22"/>
          <w:u w:color="000000"/>
          <w:bdr w:val="nil"/>
        </w:rPr>
      </w:pPr>
      <w:r w:rsidRPr="002A5AED">
        <w:rPr>
          <w:rFonts w:cs="Arial"/>
          <w:b w:val="0"/>
          <w:sz w:val="22"/>
          <w:szCs w:val="22"/>
          <w:u w:color="000000"/>
          <w:bdr w:val="nil"/>
        </w:rPr>
        <w:t>By the end of intensive follow up, fewer than 2% of the HLA Ab-negative groups became Ab+, more than 50% of the DSA+ participants became HLA Ab-negative, 16-23% lost their DSA but retained non-DSA HLA Ab, and 60-70% of the non-DSA+ participants became Ab-negative.  5.1% of the SC non-DSA+ recruits had developed DSA or possible DSA, compared to 1.6% of the unblinded non-DSA+ participants (table 2). Within the blinded SC group, the same proportion (2/21 [9.5%]) of those with persisting DSA had graft failure as those who became DSA-negative (4/48 [8.3%]).  Although in the BLC group, only 2/50 (4%) of the recruits who lost DSA suffered graft failure, compared to 6/28 (21.4%) with persisting DSA, a formal post-hoc analysis of the interaction between persisting DSA and time to graft failure in the main analysis revealed non-significant differences (p=0.316) in revised HRs.  Further analysis of within group interactions were not undertaken as numbers were small.</w:t>
      </w:r>
    </w:p>
    <w:p w14:paraId="6D91AB46" w14:textId="77777777" w:rsidR="00713EDA" w:rsidRDefault="00713EDA" w:rsidP="00713EDA">
      <w:pPr>
        <w:pStyle w:val="BodyText"/>
        <w:snapToGrid w:val="0"/>
        <w:contextualSpacing/>
        <w:jc w:val="both"/>
        <w:rPr>
          <w:rFonts w:eastAsiaTheme="minorHAnsi" w:cs="Arial"/>
          <w:b w:val="0"/>
          <w:color w:val="auto"/>
          <w:sz w:val="22"/>
          <w:szCs w:val="22"/>
          <w:lang w:eastAsia="en-US"/>
        </w:rPr>
      </w:pPr>
    </w:p>
    <w:p w14:paraId="0864943E" w14:textId="77777777" w:rsidR="00713EDA" w:rsidRPr="003A4A29" w:rsidRDefault="00713EDA" w:rsidP="003A4A29">
      <w:pPr>
        <w:pStyle w:val="BodyText"/>
        <w:snapToGrid w:val="0"/>
        <w:contextualSpacing/>
        <w:jc w:val="left"/>
        <w:outlineLvl w:val="2"/>
        <w:rPr>
          <w:rFonts w:asciiTheme="majorHAnsi" w:eastAsiaTheme="majorEastAsia" w:hAnsiTheme="majorHAnsi" w:cstheme="majorHAnsi"/>
          <w:b w:val="0"/>
          <w:bCs/>
          <w:sz w:val="24"/>
        </w:rPr>
      </w:pPr>
      <w:bookmarkStart w:id="13" w:name="_Toc121909721"/>
      <w:r w:rsidRPr="003A4A29">
        <w:rPr>
          <w:rFonts w:asciiTheme="majorHAnsi" w:eastAsiaTheme="majorEastAsia" w:hAnsiTheme="majorHAnsi" w:cstheme="majorHAnsi"/>
          <w:b w:val="0"/>
          <w:bCs/>
          <w:sz w:val="24"/>
        </w:rPr>
        <w:lastRenderedPageBreak/>
        <w:t>Proportional hazards assumption for primary outcome</w:t>
      </w:r>
      <w:bookmarkEnd w:id="13"/>
    </w:p>
    <w:p w14:paraId="1597D316" w14:textId="77777777" w:rsidR="00713EDA" w:rsidRDefault="00713EDA" w:rsidP="00713EDA">
      <w:pPr>
        <w:pStyle w:val="BodyText"/>
        <w:snapToGrid w:val="0"/>
        <w:contextualSpacing/>
        <w:jc w:val="both"/>
        <w:rPr>
          <w:rFonts w:eastAsiaTheme="minorHAnsi" w:cs="Arial"/>
          <w:b w:val="0"/>
          <w:color w:val="auto"/>
          <w:sz w:val="22"/>
          <w:szCs w:val="22"/>
          <w:lang w:eastAsia="en-US"/>
        </w:rPr>
      </w:pPr>
      <w:r w:rsidRPr="00663DB9">
        <w:rPr>
          <w:rFonts w:eastAsiaTheme="minorHAnsi" w:cs="Arial"/>
          <w:b w:val="0"/>
          <w:color w:val="auto"/>
          <w:sz w:val="22"/>
          <w:szCs w:val="22"/>
          <w:lang w:eastAsia="en-US"/>
        </w:rPr>
        <w:t xml:space="preserve">The proportional hazards assumption was assessed for the primary outcome by examining log-log plots and by testing whether the log-hazard ratio is constant over time  (using </w:t>
      </w:r>
      <w:r w:rsidRPr="00663DB9">
        <w:rPr>
          <w:rFonts w:eastAsiaTheme="minorHAnsi" w:cs="Arial"/>
          <w:b w:val="0"/>
          <w:i/>
          <w:iCs/>
          <w:color w:val="auto"/>
          <w:sz w:val="22"/>
          <w:szCs w:val="22"/>
          <w:lang w:eastAsia="en-US"/>
        </w:rPr>
        <w:t xml:space="preserve">phtest </w:t>
      </w:r>
      <w:r w:rsidRPr="00663DB9">
        <w:rPr>
          <w:rFonts w:eastAsiaTheme="minorHAnsi" w:cs="Arial"/>
          <w:b w:val="0"/>
          <w:color w:val="auto"/>
          <w:sz w:val="22"/>
          <w:szCs w:val="22"/>
          <w:lang w:eastAsia="en-US"/>
        </w:rPr>
        <w:t>in Stata). Log time was used.  There was no  evidence for any of the three comparisons (witihin DSA+ comparison p=0.89 , within non-DSA comparison p=0.74, overall comparison p=0.58) that this assumption was violated.</w:t>
      </w:r>
    </w:p>
    <w:p w14:paraId="3AD9381E" w14:textId="77777777" w:rsidR="002A5AED" w:rsidRPr="002A5AED" w:rsidRDefault="002A5AED" w:rsidP="00A44266">
      <w:pPr>
        <w:pStyle w:val="BodyText"/>
        <w:snapToGrid w:val="0"/>
        <w:contextualSpacing/>
        <w:jc w:val="both"/>
        <w:rPr>
          <w:rFonts w:cs="Arial"/>
          <w:b w:val="0"/>
          <w:sz w:val="22"/>
          <w:szCs w:val="22"/>
          <w:u w:color="000000"/>
          <w:bdr w:val="nil"/>
        </w:rPr>
      </w:pPr>
    </w:p>
    <w:p w14:paraId="629EBA6B" w14:textId="0EB2FB27" w:rsidR="00230BCE" w:rsidRPr="000006D8" w:rsidRDefault="00230BCE" w:rsidP="00BD0EE0">
      <w:pPr>
        <w:pStyle w:val="Heading2"/>
        <w:rPr>
          <w:b/>
          <w:bdr w:val="nil"/>
        </w:rPr>
      </w:pPr>
      <w:bookmarkStart w:id="14" w:name="_Toc121909722"/>
      <w:r w:rsidRPr="000006D8">
        <w:rPr>
          <w:bdr w:val="nil"/>
        </w:rPr>
        <w:t>References</w:t>
      </w:r>
      <w:bookmarkEnd w:id="14"/>
    </w:p>
    <w:p w14:paraId="718EAE26" w14:textId="77777777" w:rsidR="00DA7744" w:rsidRPr="00DA7744" w:rsidRDefault="00230BCE" w:rsidP="00DA7744">
      <w:pPr>
        <w:pStyle w:val="EndNoteBibliography"/>
        <w:spacing w:after="0"/>
        <w:rPr>
          <w:noProof/>
        </w:rPr>
      </w:pPr>
      <w:r w:rsidRPr="00302B19">
        <w:rPr>
          <w:rFonts w:ascii="Arial" w:hAnsi="Arial" w:cs="Arial"/>
        </w:rPr>
        <w:fldChar w:fldCharType="begin"/>
      </w:r>
      <w:r w:rsidRPr="00302B19">
        <w:rPr>
          <w:rFonts w:ascii="Arial" w:hAnsi="Arial" w:cs="Arial"/>
        </w:rPr>
        <w:instrText xml:space="preserve"> ADDIN EN.REFLIST </w:instrText>
      </w:r>
      <w:r w:rsidRPr="00302B19">
        <w:rPr>
          <w:rFonts w:ascii="Arial" w:hAnsi="Arial" w:cs="Arial"/>
        </w:rPr>
        <w:fldChar w:fldCharType="separate"/>
      </w:r>
      <w:r w:rsidR="00DA7744" w:rsidRPr="00DA7744">
        <w:rPr>
          <w:noProof/>
        </w:rPr>
        <w:t>1.</w:t>
      </w:r>
      <w:r w:rsidR="00DA7744" w:rsidRPr="00DA7744">
        <w:rPr>
          <w:noProof/>
        </w:rPr>
        <w:tab/>
        <w:t xml:space="preserve">Cohen JL, Mann DM, Wisnivesky JP, et al. Assessing the validity of self-reported medication adherence among inner-city asthmatic adults: the Medication Adherence Report Scale for Asthma. </w:t>
      </w:r>
      <w:r w:rsidR="00DA7744" w:rsidRPr="00DA7744">
        <w:rPr>
          <w:i/>
          <w:noProof/>
        </w:rPr>
        <w:t>Ann Allergy Asthma Immunol</w:t>
      </w:r>
      <w:r w:rsidR="00DA7744" w:rsidRPr="00DA7744">
        <w:rPr>
          <w:noProof/>
        </w:rPr>
        <w:t xml:space="preserve"> 2009; </w:t>
      </w:r>
      <w:r w:rsidR="00DA7744" w:rsidRPr="00DA7744">
        <w:rPr>
          <w:b/>
          <w:noProof/>
        </w:rPr>
        <w:t>103</w:t>
      </w:r>
      <w:r w:rsidR="00DA7744" w:rsidRPr="00DA7744">
        <w:rPr>
          <w:noProof/>
        </w:rPr>
        <w:t>(4): 325-31.</w:t>
      </w:r>
    </w:p>
    <w:p w14:paraId="63EBE025" w14:textId="77777777" w:rsidR="00DA7744" w:rsidRPr="00DA7744" w:rsidRDefault="00DA7744" w:rsidP="00DA7744">
      <w:pPr>
        <w:pStyle w:val="EndNoteBibliography"/>
        <w:spacing w:after="0"/>
        <w:rPr>
          <w:noProof/>
        </w:rPr>
      </w:pPr>
      <w:r w:rsidRPr="00DA7744">
        <w:rPr>
          <w:noProof/>
        </w:rPr>
        <w:t>2.</w:t>
      </w:r>
      <w:r w:rsidRPr="00DA7744">
        <w:rPr>
          <w:noProof/>
        </w:rPr>
        <w:tab/>
        <w:t xml:space="preserve">Chan AHY, Horne R, Hankins M, Chisari C. The Medication Adherence Report Scale: A measurement tool for eliciting patients' reports of nonadherence. </w:t>
      </w:r>
      <w:r w:rsidRPr="00DA7744">
        <w:rPr>
          <w:i/>
          <w:noProof/>
        </w:rPr>
        <w:t>Br J Clin Pharmacol</w:t>
      </w:r>
      <w:r w:rsidRPr="00DA7744">
        <w:rPr>
          <w:noProof/>
        </w:rPr>
        <w:t xml:space="preserve"> 2020; </w:t>
      </w:r>
      <w:r w:rsidRPr="00DA7744">
        <w:rPr>
          <w:b/>
          <w:noProof/>
        </w:rPr>
        <w:t>86</w:t>
      </w:r>
      <w:r w:rsidRPr="00DA7744">
        <w:rPr>
          <w:noProof/>
        </w:rPr>
        <w:t>(7): 1281-8.</w:t>
      </w:r>
    </w:p>
    <w:p w14:paraId="0272B3E5" w14:textId="77777777" w:rsidR="00DA7744" w:rsidRPr="00DA7744" w:rsidRDefault="00DA7744" w:rsidP="00DA7744">
      <w:pPr>
        <w:pStyle w:val="EndNoteBibliography"/>
        <w:rPr>
          <w:noProof/>
        </w:rPr>
      </w:pPr>
      <w:r w:rsidRPr="00DA7744">
        <w:rPr>
          <w:noProof/>
        </w:rPr>
        <w:t>3.</w:t>
      </w:r>
      <w:r w:rsidRPr="00DA7744">
        <w:rPr>
          <w:noProof/>
        </w:rPr>
        <w:tab/>
        <w:t xml:space="preserve">Broadbent E, Petrie KJ, Main J, Weinman J. The brief illness perception questionnaire. </w:t>
      </w:r>
      <w:r w:rsidRPr="00DA7744">
        <w:rPr>
          <w:i/>
          <w:noProof/>
        </w:rPr>
        <w:t>J Psychosom Res</w:t>
      </w:r>
      <w:r w:rsidRPr="00DA7744">
        <w:rPr>
          <w:noProof/>
        </w:rPr>
        <w:t xml:space="preserve"> 2006; </w:t>
      </w:r>
      <w:r w:rsidRPr="00DA7744">
        <w:rPr>
          <w:b/>
          <w:noProof/>
        </w:rPr>
        <w:t>60</w:t>
      </w:r>
      <w:r w:rsidRPr="00DA7744">
        <w:rPr>
          <w:noProof/>
        </w:rPr>
        <w:t>(6): 631-7.</w:t>
      </w:r>
    </w:p>
    <w:p w14:paraId="65DCCC83" w14:textId="69873114" w:rsidR="00230BCE" w:rsidRPr="00302B19" w:rsidRDefault="00230BCE" w:rsidP="00230BCE">
      <w:pPr>
        <w:pStyle w:val="BodyText"/>
        <w:snapToGrid w:val="0"/>
        <w:contextualSpacing/>
        <w:jc w:val="both"/>
        <w:rPr>
          <w:rFonts w:cs="Arial"/>
          <w:b w:val="0"/>
          <w:sz w:val="22"/>
          <w:szCs w:val="22"/>
          <w:u w:color="000000"/>
          <w:bdr w:val="nil"/>
        </w:rPr>
      </w:pPr>
      <w:r w:rsidRPr="00302B19">
        <w:rPr>
          <w:rFonts w:cs="Arial"/>
        </w:rPr>
        <w:fldChar w:fldCharType="end"/>
      </w:r>
    </w:p>
    <w:p w14:paraId="17452502" w14:textId="77777777" w:rsidR="00546074" w:rsidRDefault="00546074">
      <w:pPr>
        <w:rPr>
          <w:rFonts w:ascii="Arial" w:eastAsiaTheme="majorEastAsia" w:hAnsi="Arial" w:cs="Arial"/>
          <w:color w:val="2F5496" w:themeColor="accent1" w:themeShade="BF"/>
          <w:sz w:val="26"/>
          <w:szCs w:val="26"/>
          <w:u w:val="single"/>
        </w:rPr>
      </w:pPr>
      <w:r>
        <w:rPr>
          <w:rFonts w:ascii="Arial" w:hAnsi="Arial" w:cs="Arial"/>
          <w:u w:val="single"/>
        </w:rPr>
        <w:br w:type="page"/>
      </w:r>
    </w:p>
    <w:p w14:paraId="0C39B277" w14:textId="77777777" w:rsidR="002562AF" w:rsidRDefault="002562AF" w:rsidP="00A10D7D">
      <w:pPr>
        <w:pStyle w:val="Heading3"/>
        <w:rPr>
          <w:rFonts w:ascii="Arial" w:hAnsi="Arial" w:cs="Arial"/>
          <w:u w:val="single"/>
        </w:rPr>
        <w:sectPr w:rsidR="002562AF">
          <w:footerReference w:type="even" r:id="rId7"/>
          <w:footerReference w:type="default" r:id="rId8"/>
          <w:pgSz w:w="11906" w:h="16838"/>
          <w:pgMar w:top="1440" w:right="1440" w:bottom="1440" w:left="1440" w:header="708" w:footer="708" w:gutter="0"/>
          <w:cols w:space="708"/>
          <w:docGrid w:linePitch="360"/>
        </w:sectPr>
      </w:pPr>
    </w:p>
    <w:p w14:paraId="29BC9687" w14:textId="77777777" w:rsidR="009C62F9" w:rsidRDefault="009C62F9" w:rsidP="00162039">
      <w:pPr>
        <w:pStyle w:val="Heading2"/>
        <w:rPr>
          <w:rFonts w:ascii="Arial" w:hAnsi="Arial" w:cs="Arial"/>
          <w:u w:val="single"/>
        </w:rPr>
      </w:pPr>
      <w:bookmarkStart w:id="15" w:name="_Toc121909723"/>
      <w:r>
        <w:rPr>
          <w:rFonts w:ascii="Arial" w:hAnsi="Arial" w:cs="Arial"/>
          <w:u w:val="single"/>
        </w:rPr>
        <w:lastRenderedPageBreak/>
        <w:t>Supplementary Figures</w:t>
      </w:r>
      <w:bookmarkEnd w:id="15"/>
    </w:p>
    <w:p w14:paraId="4611CEDE" w14:textId="3E78575E" w:rsidR="00DA271E" w:rsidRPr="00711896" w:rsidRDefault="00546074" w:rsidP="00A10D7D">
      <w:pPr>
        <w:pStyle w:val="Heading3"/>
        <w:rPr>
          <w:rFonts w:ascii="Arial" w:hAnsi="Arial" w:cs="Arial"/>
          <w:sz w:val="22"/>
          <w:szCs w:val="22"/>
        </w:rPr>
      </w:pPr>
      <w:bookmarkStart w:id="16" w:name="_Toc121909724"/>
      <w:r>
        <w:rPr>
          <w:rFonts w:ascii="Arial" w:hAnsi="Arial" w:cs="Arial"/>
          <w:u w:val="single"/>
        </w:rPr>
        <w:t>Supp</w:t>
      </w:r>
      <w:r w:rsidR="00241CDB">
        <w:rPr>
          <w:rFonts w:ascii="Arial" w:hAnsi="Arial" w:cs="Arial"/>
          <w:u w:val="single"/>
        </w:rPr>
        <w:t>lementary Figure 1</w:t>
      </w:r>
      <w:r w:rsidR="00830809">
        <w:rPr>
          <w:rFonts w:ascii="Arial" w:hAnsi="Arial" w:cs="Arial"/>
          <w:u w:val="single"/>
        </w:rPr>
        <w:t>:</w:t>
      </w:r>
      <w:r w:rsidR="00830809" w:rsidRPr="00711896">
        <w:rPr>
          <w:rFonts w:ascii="Arial" w:hAnsi="Arial" w:cs="Arial"/>
          <w:sz w:val="22"/>
          <w:szCs w:val="22"/>
        </w:rPr>
        <w:t xml:space="preserve"> OuTSMART trial design</w:t>
      </w:r>
      <w:bookmarkEnd w:id="16"/>
    </w:p>
    <w:p w14:paraId="2E93EFC7" w14:textId="0C939E0F" w:rsidR="00241CDB" w:rsidRDefault="00FA1A00" w:rsidP="00A44266">
      <w:pPr>
        <w:snapToGrid w:val="0"/>
        <w:spacing w:line="240" w:lineRule="auto"/>
        <w:contextualSpacing/>
        <w:rPr>
          <w:rFonts w:ascii="Arial" w:hAnsi="Arial" w:cs="Arial"/>
          <w:u w:val="single"/>
        </w:rPr>
      </w:pPr>
      <w:r w:rsidRPr="00FA1A00">
        <w:rPr>
          <w:rFonts w:ascii="Arial" w:hAnsi="Arial" w:cs="Arial"/>
          <w:noProof/>
          <w:u w:val="single"/>
        </w:rPr>
        <w:drawing>
          <wp:inline distT="0" distB="0" distL="0" distR="0" wp14:anchorId="16235734" wp14:editId="25DF7A68">
            <wp:extent cx="5985802" cy="3920744"/>
            <wp:effectExtent l="0" t="0" r="0" b="381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9"/>
                    <a:stretch>
                      <a:fillRect/>
                    </a:stretch>
                  </pic:blipFill>
                  <pic:spPr>
                    <a:xfrm>
                      <a:off x="0" y="0"/>
                      <a:ext cx="6040805" cy="3956771"/>
                    </a:xfrm>
                    <a:prstGeom prst="rect">
                      <a:avLst/>
                    </a:prstGeom>
                  </pic:spPr>
                </pic:pic>
              </a:graphicData>
            </a:graphic>
          </wp:inline>
        </w:drawing>
      </w:r>
    </w:p>
    <w:p w14:paraId="22A1C4DC" w14:textId="5C8879C3" w:rsidR="006B46C1" w:rsidRPr="006B46C1" w:rsidRDefault="00DA32C1" w:rsidP="006B46C1">
      <w:pPr>
        <w:snapToGrid w:val="0"/>
        <w:spacing w:line="240" w:lineRule="auto"/>
        <w:contextualSpacing/>
        <w:rPr>
          <w:rFonts w:ascii="Arial" w:hAnsi="Arial" w:cs="Arial"/>
        </w:rPr>
      </w:pPr>
      <w:r w:rsidRPr="00DA32C1">
        <w:rPr>
          <w:rFonts w:ascii="Arial" w:hAnsi="Arial" w:cs="Arial"/>
        </w:rPr>
        <w:t xml:space="preserve">Legend to </w:t>
      </w:r>
      <w:r>
        <w:rPr>
          <w:rFonts w:ascii="Arial" w:hAnsi="Arial" w:cs="Arial"/>
        </w:rPr>
        <w:t xml:space="preserve">Supplementary Figure 1: </w:t>
      </w:r>
      <w:r w:rsidR="006B46C1" w:rsidRPr="006B46C1">
        <w:rPr>
          <w:rFonts w:ascii="Arial" w:hAnsi="Arial" w:cs="Arial"/>
        </w:rPr>
        <w:t xml:space="preserve">*Randomisation was performed </w:t>
      </w:r>
      <w:r w:rsidR="00314EA4">
        <w:rPr>
          <w:rFonts w:ascii="Arial" w:hAnsi="Arial" w:cs="Arial"/>
        </w:rPr>
        <w:t>after</w:t>
      </w:r>
      <w:r w:rsidR="006B46C1" w:rsidRPr="006B46C1">
        <w:rPr>
          <w:rFonts w:ascii="Arial" w:hAnsi="Arial" w:cs="Arial"/>
        </w:rPr>
        <w:t xml:space="preserve"> results of a recruit’s first screening test result. Those with HLA Ab under</w:t>
      </w:r>
      <w:r w:rsidR="009C6806">
        <w:rPr>
          <w:rFonts w:ascii="Arial" w:hAnsi="Arial" w:cs="Arial"/>
        </w:rPr>
        <w:t>went</w:t>
      </w:r>
      <w:r w:rsidR="006B46C1" w:rsidRPr="006B46C1">
        <w:rPr>
          <w:rFonts w:ascii="Arial" w:hAnsi="Arial" w:cs="Arial"/>
        </w:rPr>
        <w:t xml:space="preserve"> no further screening as part of the trial </w:t>
      </w:r>
      <w:r w:rsidR="009C6806">
        <w:rPr>
          <w:rFonts w:ascii="Arial" w:hAnsi="Arial" w:cs="Arial"/>
        </w:rPr>
        <w:t>but had a final test performed at the last formal visit.</w:t>
      </w:r>
      <w:r w:rsidR="006B46C1" w:rsidRPr="006B46C1">
        <w:rPr>
          <w:rFonts w:ascii="Arial" w:hAnsi="Arial" w:cs="Arial"/>
        </w:rPr>
        <w:t xml:space="preserve"> </w:t>
      </w:r>
    </w:p>
    <w:p w14:paraId="1A60F591" w14:textId="23AEF51D" w:rsidR="00241CDB" w:rsidRDefault="006B46C1" w:rsidP="00A44266">
      <w:pPr>
        <w:snapToGrid w:val="0"/>
        <w:spacing w:line="240" w:lineRule="auto"/>
        <w:contextualSpacing/>
        <w:rPr>
          <w:rFonts w:ascii="Arial" w:hAnsi="Arial" w:cs="Arial"/>
        </w:rPr>
      </w:pPr>
      <w:r w:rsidRPr="006B46C1">
        <w:rPr>
          <w:rFonts w:ascii="Arial" w:hAnsi="Arial" w:cs="Arial"/>
          <w:b/>
          <w:bCs/>
          <w:vertAlign w:val="superscript"/>
        </w:rPr>
        <w:t>†</w:t>
      </w:r>
      <w:r w:rsidRPr="006B46C1">
        <w:rPr>
          <w:rFonts w:ascii="Arial" w:hAnsi="Arial" w:cs="Arial"/>
        </w:rPr>
        <w:t>Those initially HLA Ab-negative under</w:t>
      </w:r>
      <w:r w:rsidR="009C6806">
        <w:rPr>
          <w:rFonts w:ascii="Arial" w:hAnsi="Arial" w:cs="Arial"/>
        </w:rPr>
        <w:t>went</w:t>
      </w:r>
      <w:r w:rsidRPr="006B46C1">
        <w:rPr>
          <w:rFonts w:ascii="Arial" w:hAnsi="Arial" w:cs="Arial"/>
        </w:rPr>
        <w:t xml:space="preserve"> routine screening every 8 months. There </w:t>
      </w:r>
      <w:r w:rsidR="009C6806">
        <w:rPr>
          <w:rFonts w:ascii="Arial" w:hAnsi="Arial" w:cs="Arial"/>
        </w:rPr>
        <w:t>wa</w:t>
      </w:r>
      <w:r w:rsidRPr="006B46C1">
        <w:rPr>
          <w:rFonts w:ascii="Arial" w:hAnsi="Arial" w:cs="Arial"/>
        </w:rPr>
        <w:t>s no second randomisation: If a recruit allocated to Blinded standard care (group C) bec</w:t>
      </w:r>
      <w:r w:rsidR="009C6806">
        <w:rPr>
          <w:rFonts w:ascii="Arial" w:hAnsi="Arial" w:cs="Arial"/>
        </w:rPr>
        <w:t>a</w:t>
      </w:r>
      <w:r w:rsidRPr="006B46C1">
        <w:rPr>
          <w:rFonts w:ascii="Arial" w:hAnsi="Arial" w:cs="Arial"/>
        </w:rPr>
        <w:t xml:space="preserve">me HLA Ab positive (black lines), </w:t>
      </w:r>
      <w:r w:rsidR="00E12670">
        <w:rPr>
          <w:rFonts w:ascii="Arial" w:hAnsi="Arial" w:cs="Arial"/>
        </w:rPr>
        <w:t>they</w:t>
      </w:r>
      <w:r w:rsidRPr="006B46C1">
        <w:rPr>
          <w:rFonts w:ascii="Arial" w:hAnsi="Arial" w:cs="Arial"/>
        </w:rPr>
        <w:t xml:space="preserve"> remain</w:t>
      </w:r>
      <w:r w:rsidR="00E12670">
        <w:rPr>
          <w:rFonts w:ascii="Arial" w:hAnsi="Arial" w:cs="Arial"/>
        </w:rPr>
        <w:t>ed</w:t>
      </w:r>
      <w:r w:rsidRPr="006B46C1">
        <w:rPr>
          <w:rFonts w:ascii="Arial" w:hAnsi="Arial" w:cs="Arial"/>
        </w:rPr>
        <w:t xml:space="preserve"> in Standard care group (group A1 or A2). If in unblinded group (D), they change</w:t>
      </w:r>
      <w:r w:rsidR="00332256">
        <w:rPr>
          <w:rFonts w:ascii="Arial" w:hAnsi="Arial" w:cs="Arial"/>
        </w:rPr>
        <w:t>d</w:t>
      </w:r>
      <w:r w:rsidRPr="006B46C1">
        <w:rPr>
          <w:rFonts w:ascii="Arial" w:hAnsi="Arial" w:cs="Arial"/>
        </w:rPr>
        <w:t xml:space="preserve"> to unblinded biomarker-led care (group B1 or B2) (orange lines). For each patient</w:t>
      </w:r>
      <w:r w:rsidR="00F07629">
        <w:rPr>
          <w:rFonts w:ascii="Arial" w:hAnsi="Arial" w:cs="Arial"/>
        </w:rPr>
        <w:t xml:space="preserve"> moving this way</w:t>
      </w:r>
      <w:r w:rsidRPr="006B46C1">
        <w:rPr>
          <w:rFonts w:ascii="Arial" w:hAnsi="Arial" w:cs="Arial"/>
        </w:rPr>
        <w:t xml:space="preserve">, the trial clock </w:t>
      </w:r>
      <w:r w:rsidR="00F07629">
        <w:rPr>
          <w:rFonts w:ascii="Arial" w:hAnsi="Arial" w:cs="Arial"/>
        </w:rPr>
        <w:t>was</w:t>
      </w:r>
      <w:r w:rsidRPr="006B46C1">
        <w:rPr>
          <w:rFonts w:ascii="Arial" w:hAnsi="Arial" w:cs="Arial"/>
        </w:rPr>
        <w:t xml:space="preserve"> ‘reset’ to time zero </w:t>
      </w:r>
      <w:r w:rsidR="00F07629">
        <w:rPr>
          <w:rFonts w:ascii="Arial" w:hAnsi="Arial" w:cs="Arial"/>
        </w:rPr>
        <w:t>at that point</w:t>
      </w:r>
      <w:r w:rsidRPr="006B46C1">
        <w:rPr>
          <w:rFonts w:ascii="Arial" w:hAnsi="Arial" w:cs="Arial"/>
        </w:rPr>
        <w:t>, and they under</w:t>
      </w:r>
      <w:r w:rsidR="00F07629">
        <w:rPr>
          <w:rFonts w:ascii="Arial" w:hAnsi="Arial" w:cs="Arial"/>
        </w:rPr>
        <w:t>went</w:t>
      </w:r>
      <w:r w:rsidRPr="006B46C1">
        <w:rPr>
          <w:rFonts w:ascii="Arial" w:hAnsi="Arial" w:cs="Arial"/>
        </w:rPr>
        <w:t xml:space="preserve"> a further 32 months of follow-up.</w:t>
      </w:r>
      <w:r w:rsidR="00F07629">
        <w:rPr>
          <w:rFonts w:ascii="Arial" w:hAnsi="Arial" w:cs="Arial"/>
        </w:rPr>
        <w:t xml:space="preserve"> To maintain blinding in group C, the </w:t>
      </w:r>
      <w:r w:rsidR="008D2676">
        <w:rPr>
          <w:rFonts w:ascii="Arial" w:hAnsi="Arial" w:cs="Arial"/>
        </w:rPr>
        <w:t>randomisation system was programmed at each screening round to choose a random group of HLA Ab-negative recruits to complete a further 32 months follow-up.</w:t>
      </w:r>
    </w:p>
    <w:p w14:paraId="6D5224D4" w14:textId="057BE879" w:rsidR="00860843" w:rsidRDefault="00860843" w:rsidP="00860843">
      <w:pPr>
        <w:pStyle w:val="Heading3"/>
        <w:rPr>
          <w:rFonts w:ascii="Arial" w:hAnsi="Arial" w:cs="Arial"/>
          <w:sz w:val="22"/>
          <w:szCs w:val="22"/>
        </w:rPr>
      </w:pPr>
      <w:bookmarkStart w:id="17" w:name="_Toc121909725"/>
      <w:r>
        <w:rPr>
          <w:rFonts w:ascii="Arial" w:hAnsi="Arial" w:cs="Arial"/>
          <w:u w:val="single"/>
        </w:rPr>
        <w:lastRenderedPageBreak/>
        <w:t xml:space="preserve">Supplementary Figure 2: </w:t>
      </w:r>
      <w:r>
        <w:rPr>
          <w:rFonts w:ascii="Arial" w:hAnsi="Arial" w:cs="Arial"/>
          <w:sz w:val="22"/>
          <w:szCs w:val="22"/>
        </w:rPr>
        <w:t>Diagram to help explain how endpoints were assessed</w:t>
      </w:r>
      <w:bookmarkEnd w:id="17"/>
    </w:p>
    <w:p w14:paraId="7D922AD7" w14:textId="48BAFB5A" w:rsidR="00860843" w:rsidRDefault="009868BA" w:rsidP="00860843">
      <w:r w:rsidRPr="009868BA">
        <w:rPr>
          <w:noProof/>
        </w:rPr>
        <mc:AlternateContent>
          <mc:Choice Requires="wpg">
            <w:drawing>
              <wp:anchor distT="0" distB="0" distL="114300" distR="114300" simplePos="0" relativeHeight="251659264" behindDoc="0" locked="0" layoutInCell="1" allowOverlap="1" wp14:anchorId="48498F0D" wp14:editId="4901BA04">
                <wp:simplePos x="0" y="0"/>
                <wp:positionH relativeFrom="column">
                  <wp:posOffset>0</wp:posOffset>
                </wp:positionH>
                <wp:positionV relativeFrom="paragraph">
                  <wp:posOffset>-635</wp:posOffset>
                </wp:positionV>
                <wp:extent cx="8470507" cy="3814201"/>
                <wp:effectExtent l="0" t="0" r="51435" b="0"/>
                <wp:wrapNone/>
                <wp:docPr id="2127" name="Group 16"/>
                <wp:cNvGraphicFramePr/>
                <a:graphic xmlns:a="http://schemas.openxmlformats.org/drawingml/2006/main">
                  <a:graphicData uri="http://schemas.microsoft.com/office/word/2010/wordprocessingGroup">
                    <wpg:wgp>
                      <wpg:cNvGrpSpPr/>
                      <wpg:grpSpPr>
                        <a:xfrm>
                          <a:off x="0" y="0"/>
                          <a:ext cx="8470507" cy="3814201"/>
                          <a:chOff x="0" y="0"/>
                          <a:chExt cx="8470507" cy="3814201"/>
                        </a:xfrm>
                      </wpg:grpSpPr>
                      <wps:wsp>
                        <wps:cNvPr id="2128" name="Straight Connector 2128"/>
                        <wps:cNvCnPr>
                          <a:cxnSpLocks/>
                        </wps:cNvCnPr>
                        <wps:spPr>
                          <a:xfrm>
                            <a:off x="552198" y="1145475"/>
                            <a:ext cx="187200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9" name="Straight Connector 2129"/>
                        <wps:cNvCnPr>
                          <a:cxnSpLocks/>
                        </wps:cNvCnPr>
                        <wps:spPr>
                          <a:xfrm>
                            <a:off x="552198" y="3211346"/>
                            <a:ext cx="46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0" name="Straight Connector 2130"/>
                        <wps:cNvCnPr>
                          <a:cxnSpLocks/>
                        </wps:cNvCnPr>
                        <wps:spPr>
                          <a:xfrm>
                            <a:off x="1117536" y="3211346"/>
                            <a:ext cx="187200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1" name="Straight Connector 2131"/>
                        <wps:cNvCnPr>
                          <a:cxnSpLocks/>
                        </wps:cNvCnPr>
                        <wps:spPr>
                          <a:xfrm>
                            <a:off x="552198" y="2108514"/>
                            <a:ext cx="936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2" name="Straight Connector 2132"/>
                        <wps:cNvCnPr>
                          <a:cxnSpLocks/>
                        </wps:cNvCnPr>
                        <wps:spPr>
                          <a:xfrm>
                            <a:off x="1574408" y="2108514"/>
                            <a:ext cx="187200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3" name="Straight Connector 2133"/>
                        <wps:cNvCnPr>
                          <a:cxnSpLocks/>
                        </wps:cNvCnPr>
                        <wps:spPr>
                          <a:xfrm flipV="1">
                            <a:off x="5263542" y="780860"/>
                            <a:ext cx="0" cy="271800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34" name="Straight Connector 2134"/>
                        <wps:cNvCnPr/>
                        <wps:spPr>
                          <a:xfrm>
                            <a:off x="3395172" y="2108514"/>
                            <a:ext cx="1872001" cy="0"/>
                          </a:xfrm>
                          <a:prstGeom prst="line">
                            <a:avLst/>
                          </a:prstGeom>
                          <a:ln w="28575">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35" name="Straight Connector 2135"/>
                        <wps:cNvCnPr>
                          <a:cxnSpLocks/>
                        </wps:cNvCnPr>
                        <wps:spPr>
                          <a:xfrm>
                            <a:off x="2459172" y="1145475"/>
                            <a:ext cx="2804370" cy="0"/>
                          </a:xfrm>
                          <a:prstGeom prst="line">
                            <a:avLst/>
                          </a:prstGeom>
                          <a:ln w="28575">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36" name="Straight Connector 2136"/>
                        <wps:cNvCnPr>
                          <a:cxnSpLocks/>
                        </wps:cNvCnPr>
                        <wps:spPr>
                          <a:xfrm>
                            <a:off x="3006618" y="3211346"/>
                            <a:ext cx="2188608" cy="0"/>
                          </a:xfrm>
                          <a:prstGeom prst="line">
                            <a:avLst/>
                          </a:prstGeom>
                          <a:ln w="28575">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37" name="TextBox 17"/>
                        <wps:cNvSpPr txBox="1"/>
                        <wps:spPr>
                          <a:xfrm>
                            <a:off x="552182" y="1132470"/>
                            <a:ext cx="959485" cy="327025"/>
                          </a:xfrm>
                          <a:prstGeom prst="rect">
                            <a:avLst/>
                          </a:prstGeom>
                          <a:noFill/>
                        </wps:spPr>
                        <wps:txbx>
                          <w:txbxContent>
                            <w:p w14:paraId="725DFD03"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HLA Ab- at all tests</w:t>
                              </w:r>
                            </w:p>
                          </w:txbxContent>
                        </wps:txbx>
                        <wps:bodyPr wrap="none" rtlCol="0">
                          <a:spAutoFit/>
                        </wps:bodyPr>
                      </wps:wsp>
                      <wps:wsp>
                        <wps:cNvPr id="2138" name="TextBox 18"/>
                        <wps:cNvSpPr txBox="1"/>
                        <wps:spPr>
                          <a:xfrm>
                            <a:off x="552182" y="3251591"/>
                            <a:ext cx="1078230" cy="562610"/>
                          </a:xfrm>
                          <a:prstGeom prst="rect">
                            <a:avLst/>
                          </a:prstGeom>
                          <a:noFill/>
                        </wps:spPr>
                        <wps:txbx>
                          <w:txbxContent>
                            <w:p w14:paraId="1AC03EA0"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HLA Ab- at enrolment</w:t>
                              </w:r>
                            </w:p>
                            <w:p w14:paraId="5C2F2E34"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DSA+month8</w:t>
                              </w:r>
                            </w:p>
                          </w:txbxContent>
                        </wps:txbx>
                        <wps:bodyPr wrap="none" rtlCol="0">
                          <a:spAutoFit/>
                        </wps:bodyPr>
                      </wps:wsp>
                      <wps:wsp>
                        <wps:cNvPr id="2139" name="TextBox 20"/>
                        <wps:cNvSpPr txBox="1"/>
                        <wps:spPr>
                          <a:xfrm>
                            <a:off x="552182" y="2132868"/>
                            <a:ext cx="1078230" cy="562610"/>
                          </a:xfrm>
                          <a:prstGeom prst="rect">
                            <a:avLst/>
                          </a:prstGeom>
                          <a:noFill/>
                        </wps:spPr>
                        <wps:txbx>
                          <w:txbxContent>
                            <w:p w14:paraId="190C75EE"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HLA Ab- at enrolment</w:t>
                              </w:r>
                            </w:p>
                            <w:p w14:paraId="0E14FAAA"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Non-DSA+month16</w:t>
                              </w:r>
                            </w:p>
                          </w:txbxContent>
                        </wps:txbx>
                        <wps:bodyPr wrap="none" rtlCol="0">
                          <a:spAutoFit/>
                        </wps:bodyPr>
                      </wps:wsp>
                      <wps:wsp>
                        <wps:cNvPr id="2140" name="Straight Connector 2140"/>
                        <wps:cNvCnPr>
                          <a:cxnSpLocks/>
                        </wps:cNvCnPr>
                        <wps:spPr>
                          <a:xfrm>
                            <a:off x="1574408" y="2014511"/>
                            <a:ext cx="1872001" cy="0"/>
                          </a:xfrm>
                          <a:prstGeom prst="line">
                            <a:avLst/>
                          </a:prstGeom>
                          <a:ln w="28575">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41" name="Straight Connector 2141"/>
                        <wps:cNvCnPr>
                          <a:cxnSpLocks/>
                        </wps:cNvCnPr>
                        <wps:spPr>
                          <a:xfrm>
                            <a:off x="1117536" y="3076779"/>
                            <a:ext cx="1872001" cy="0"/>
                          </a:xfrm>
                          <a:prstGeom prst="line">
                            <a:avLst/>
                          </a:prstGeom>
                          <a:ln w="28575">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42" name="Straight Connector 2142"/>
                        <wps:cNvCnPr>
                          <a:cxnSpLocks/>
                        </wps:cNvCnPr>
                        <wps:spPr>
                          <a:xfrm>
                            <a:off x="552198" y="965404"/>
                            <a:ext cx="4669312" cy="0"/>
                          </a:xfrm>
                          <a:prstGeom prst="line">
                            <a:avLst/>
                          </a:prstGeom>
                          <a:ln w="28575">
                            <a:solidFill>
                              <a:srgbClr val="00B05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43" name="Straight Connector 2143"/>
                        <wps:cNvCnPr>
                          <a:cxnSpLocks/>
                        </wps:cNvCnPr>
                        <wps:spPr>
                          <a:xfrm>
                            <a:off x="1574408" y="1846332"/>
                            <a:ext cx="3668525" cy="0"/>
                          </a:xfrm>
                          <a:prstGeom prst="line">
                            <a:avLst/>
                          </a:prstGeom>
                          <a:ln w="28575">
                            <a:solidFill>
                              <a:srgbClr val="FFC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44" name="Straight Connector 2144"/>
                        <wps:cNvCnPr>
                          <a:cxnSpLocks/>
                        </wps:cNvCnPr>
                        <wps:spPr>
                          <a:xfrm>
                            <a:off x="1117536" y="2955569"/>
                            <a:ext cx="4091187" cy="0"/>
                          </a:xfrm>
                          <a:prstGeom prst="line">
                            <a:avLst/>
                          </a:prstGeom>
                          <a:ln w="28575">
                            <a:solidFill>
                              <a:srgbClr val="FFC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45" name="Straight Connector 2145"/>
                        <wps:cNvCnPr>
                          <a:cxnSpLocks/>
                        </wps:cNvCnPr>
                        <wps:spPr>
                          <a:xfrm>
                            <a:off x="567321" y="1929181"/>
                            <a:ext cx="936000" cy="0"/>
                          </a:xfrm>
                          <a:prstGeom prst="line">
                            <a:avLst/>
                          </a:prstGeom>
                          <a:ln w="28575">
                            <a:solidFill>
                              <a:srgbClr val="00B0F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46" name="Straight Connector 2146"/>
                        <wps:cNvCnPr>
                          <a:cxnSpLocks/>
                        </wps:cNvCnPr>
                        <wps:spPr>
                          <a:xfrm>
                            <a:off x="567321" y="3034082"/>
                            <a:ext cx="468000" cy="0"/>
                          </a:xfrm>
                          <a:prstGeom prst="line">
                            <a:avLst/>
                          </a:prstGeom>
                          <a:ln w="28575">
                            <a:solidFill>
                              <a:srgbClr val="00B0F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47" name="Straight Connector 2147"/>
                        <wps:cNvCnPr>
                          <a:cxnSpLocks/>
                        </wps:cNvCnPr>
                        <wps:spPr>
                          <a:xfrm>
                            <a:off x="556470" y="821883"/>
                            <a:ext cx="1872001" cy="0"/>
                          </a:xfrm>
                          <a:prstGeom prst="line">
                            <a:avLst/>
                          </a:prstGeom>
                          <a:ln w="28575">
                            <a:solidFill>
                              <a:schemeClr val="tx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48" name="Straight Connector 2148"/>
                        <wps:cNvCnPr>
                          <a:cxnSpLocks/>
                        </wps:cNvCnPr>
                        <wps:spPr>
                          <a:xfrm>
                            <a:off x="559425" y="1754051"/>
                            <a:ext cx="1872001" cy="0"/>
                          </a:xfrm>
                          <a:prstGeom prst="line">
                            <a:avLst/>
                          </a:prstGeom>
                          <a:ln w="28575">
                            <a:solidFill>
                              <a:schemeClr val="tx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49" name="Straight Connector 2149"/>
                        <wps:cNvCnPr>
                          <a:cxnSpLocks/>
                        </wps:cNvCnPr>
                        <wps:spPr>
                          <a:xfrm>
                            <a:off x="567321" y="2858555"/>
                            <a:ext cx="1872001" cy="0"/>
                          </a:xfrm>
                          <a:prstGeom prst="line">
                            <a:avLst/>
                          </a:prstGeom>
                          <a:ln w="28575">
                            <a:solidFill>
                              <a:schemeClr val="tx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50" name="Straight Connector 2150"/>
                        <wps:cNvCnPr>
                          <a:cxnSpLocks/>
                        </wps:cNvCnPr>
                        <wps:spPr>
                          <a:xfrm>
                            <a:off x="0" y="1385564"/>
                            <a:ext cx="5265002" cy="0"/>
                          </a:xfrm>
                          <a:prstGeom prst="line">
                            <a:avLst/>
                          </a:prstGeom>
                          <a:ln w="28575">
                            <a:solidFill>
                              <a:schemeClr val="tx1"/>
                            </a:solidFill>
                            <a:prstDash val="sys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51" name="Straight Connector 2151"/>
                        <wps:cNvCnPr>
                          <a:cxnSpLocks/>
                        </wps:cNvCnPr>
                        <wps:spPr>
                          <a:xfrm>
                            <a:off x="0" y="2642011"/>
                            <a:ext cx="5265002" cy="0"/>
                          </a:xfrm>
                          <a:prstGeom prst="line">
                            <a:avLst/>
                          </a:prstGeom>
                          <a:ln w="28575">
                            <a:solidFill>
                              <a:schemeClr val="tx1"/>
                            </a:solidFill>
                            <a:prstDash val="sys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52" name="TextBox 42"/>
                        <wps:cNvSpPr txBox="1"/>
                        <wps:spPr>
                          <a:xfrm>
                            <a:off x="61717" y="845306"/>
                            <a:ext cx="276225" cy="435610"/>
                          </a:xfrm>
                          <a:prstGeom prst="rect">
                            <a:avLst/>
                          </a:prstGeom>
                          <a:noFill/>
                        </wps:spPr>
                        <wps:txbx>
                          <w:txbxContent>
                            <w:p w14:paraId="55E0FF02" w14:textId="77777777" w:rsidR="009868BA" w:rsidRDefault="009868BA" w:rsidP="009868BA">
                              <w:pPr>
                                <w:rPr>
                                  <w:rFonts w:hAnsi="Calibri"/>
                                  <w:color w:val="000000" w:themeColor="text1"/>
                                  <w:kern w:val="24"/>
                                  <w:sz w:val="29"/>
                                  <w:szCs w:val="29"/>
                                </w:rPr>
                              </w:pPr>
                              <w:r>
                                <w:rPr>
                                  <w:rFonts w:hAnsi="Calibri"/>
                                  <w:color w:val="000000" w:themeColor="text1"/>
                                  <w:kern w:val="24"/>
                                  <w:sz w:val="29"/>
                                  <w:szCs w:val="29"/>
                                </w:rPr>
                                <w:t>1</w:t>
                              </w:r>
                            </w:p>
                          </w:txbxContent>
                        </wps:txbx>
                        <wps:bodyPr wrap="none" rtlCol="0">
                          <a:spAutoFit/>
                        </wps:bodyPr>
                      </wps:wsp>
                      <wps:wsp>
                        <wps:cNvPr id="2153" name="TextBox 43"/>
                        <wps:cNvSpPr txBox="1"/>
                        <wps:spPr>
                          <a:xfrm>
                            <a:off x="61717" y="1879347"/>
                            <a:ext cx="276225" cy="435610"/>
                          </a:xfrm>
                          <a:prstGeom prst="rect">
                            <a:avLst/>
                          </a:prstGeom>
                          <a:noFill/>
                        </wps:spPr>
                        <wps:txbx>
                          <w:txbxContent>
                            <w:p w14:paraId="33A3D2DC" w14:textId="77777777" w:rsidR="009868BA" w:rsidRDefault="009868BA" w:rsidP="009868BA">
                              <w:pPr>
                                <w:rPr>
                                  <w:rFonts w:hAnsi="Calibri"/>
                                  <w:color w:val="000000" w:themeColor="text1"/>
                                  <w:kern w:val="24"/>
                                  <w:sz w:val="29"/>
                                  <w:szCs w:val="29"/>
                                </w:rPr>
                              </w:pPr>
                              <w:r>
                                <w:rPr>
                                  <w:rFonts w:hAnsi="Calibri"/>
                                  <w:color w:val="000000" w:themeColor="text1"/>
                                  <w:kern w:val="24"/>
                                  <w:sz w:val="29"/>
                                  <w:szCs w:val="29"/>
                                </w:rPr>
                                <w:t>2</w:t>
                              </w:r>
                            </w:p>
                          </w:txbxContent>
                        </wps:txbx>
                        <wps:bodyPr wrap="none" rtlCol="0">
                          <a:spAutoFit/>
                        </wps:bodyPr>
                      </wps:wsp>
                      <wps:wsp>
                        <wps:cNvPr id="2154" name="TextBox 44"/>
                        <wps:cNvSpPr txBox="1"/>
                        <wps:spPr>
                          <a:xfrm>
                            <a:off x="61717" y="2858262"/>
                            <a:ext cx="276225" cy="435610"/>
                          </a:xfrm>
                          <a:prstGeom prst="rect">
                            <a:avLst/>
                          </a:prstGeom>
                          <a:noFill/>
                        </wps:spPr>
                        <wps:txbx>
                          <w:txbxContent>
                            <w:p w14:paraId="2EDD0150" w14:textId="77777777" w:rsidR="009868BA" w:rsidRDefault="009868BA" w:rsidP="009868BA">
                              <w:pPr>
                                <w:rPr>
                                  <w:rFonts w:hAnsi="Calibri"/>
                                  <w:color w:val="000000" w:themeColor="text1"/>
                                  <w:kern w:val="24"/>
                                  <w:sz w:val="29"/>
                                  <w:szCs w:val="29"/>
                                </w:rPr>
                              </w:pPr>
                              <w:r>
                                <w:rPr>
                                  <w:rFonts w:hAnsi="Calibri"/>
                                  <w:color w:val="000000" w:themeColor="text1"/>
                                  <w:kern w:val="24"/>
                                  <w:sz w:val="29"/>
                                  <w:szCs w:val="29"/>
                                </w:rPr>
                                <w:t>3</w:t>
                              </w:r>
                            </w:p>
                          </w:txbxContent>
                        </wps:txbx>
                        <wps:bodyPr wrap="none" rtlCol="0">
                          <a:spAutoFit/>
                        </wps:bodyPr>
                      </wps:wsp>
                      <wps:wsp>
                        <wps:cNvPr id="2155" name="TextBox 45"/>
                        <wps:cNvSpPr txBox="1"/>
                        <wps:spPr>
                          <a:xfrm>
                            <a:off x="1538702" y="430823"/>
                            <a:ext cx="919480" cy="435610"/>
                          </a:xfrm>
                          <a:prstGeom prst="rect">
                            <a:avLst/>
                          </a:prstGeom>
                          <a:noFill/>
                        </wps:spPr>
                        <wps:txbx>
                          <w:txbxContent>
                            <w:p w14:paraId="6F882729" w14:textId="77777777" w:rsidR="009868BA" w:rsidRDefault="009868BA" w:rsidP="009868BA">
                              <w:pPr>
                                <w:rPr>
                                  <w:rFonts w:hAnsi="Calibri"/>
                                  <w:color w:val="000000" w:themeColor="text1"/>
                                  <w:kern w:val="24"/>
                                  <w:sz w:val="29"/>
                                  <w:szCs w:val="29"/>
                                </w:rPr>
                              </w:pPr>
                              <w:r>
                                <w:rPr>
                                  <w:rFonts w:hAnsi="Calibri"/>
                                  <w:color w:val="000000" w:themeColor="text1"/>
                                  <w:kern w:val="24"/>
                                  <w:sz w:val="29"/>
                                  <w:szCs w:val="29"/>
                                </w:rPr>
                                <w:t>Month 32</w:t>
                              </w:r>
                            </w:p>
                          </w:txbxContent>
                        </wps:txbx>
                        <wps:bodyPr wrap="none" rtlCol="0">
                          <a:spAutoFit/>
                        </wps:bodyPr>
                      </wps:wsp>
                      <wps:wsp>
                        <wps:cNvPr id="2156" name="TextBox 47"/>
                        <wps:cNvSpPr txBox="1"/>
                        <wps:spPr>
                          <a:xfrm>
                            <a:off x="3450021" y="430823"/>
                            <a:ext cx="919480" cy="435610"/>
                          </a:xfrm>
                          <a:prstGeom prst="rect">
                            <a:avLst/>
                          </a:prstGeom>
                          <a:noFill/>
                        </wps:spPr>
                        <wps:txbx>
                          <w:txbxContent>
                            <w:p w14:paraId="55534C93" w14:textId="77777777" w:rsidR="009868BA" w:rsidRDefault="009868BA" w:rsidP="009868BA">
                              <w:pPr>
                                <w:rPr>
                                  <w:rFonts w:hAnsi="Calibri"/>
                                  <w:color w:val="000000" w:themeColor="text1"/>
                                  <w:kern w:val="24"/>
                                  <w:sz w:val="29"/>
                                  <w:szCs w:val="29"/>
                                </w:rPr>
                              </w:pPr>
                              <w:r>
                                <w:rPr>
                                  <w:rFonts w:hAnsi="Calibri"/>
                                  <w:color w:val="000000" w:themeColor="text1"/>
                                  <w:kern w:val="24"/>
                                  <w:sz w:val="29"/>
                                  <w:szCs w:val="29"/>
                                </w:rPr>
                                <w:t>Month 64</w:t>
                              </w:r>
                            </w:p>
                          </w:txbxContent>
                        </wps:txbx>
                        <wps:bodyPr wrap="none" rtlCol="0">
                          <a:spAutoFit/>
                        </wps:bodyPr>
                      </wps:wsp>
                      <wps:wsp>
                        <wps:cNvPr id="2157" name="Straight Connector 2157"/>
                        <wps:cNvCnPr>
                          <a:cxnSpLocks/>
                        </wps:cNvCnPr>
                        <wps:spPr>
                          <a:xfrm flipV="1">
                            <a:off x="4344671" y="650327"/>
                            <a:ext cx="0" cy="146250"/>
                          </a:xfrm>
                          <a:prstGeom prst="line">
                            <a:avLst/>
                          </a:prstGeom>
                          <a:ln w="1587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158" name="Straight Connector 2158"/>
                        <wps:cNvCnPr>
                          <a:cxnSpLocks/>
                        </wps:cNvCnPr>
                        <wps:spPr>
                          <a:xfrm flipV="1">
                            <a:off x="2434192" y="650327"/>
                            <a:ext cx="0" cy="146250"/>
                          </a:xfrm>
                          <a:prstGeom prst="line">
                            <a:avLst/>
                          </a:prstGeom>
                          <a:ln w="1587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159" name="Straight Connector 2159"/>
                        <wps:cNvCnPr>
                          <a:cxnSpLocks/>
                        </wps:cNvCnPr>
                        <wps:spPr>
                          <a:xfrm>
                            <a:off x="567321" y="2721575"/>
                            <a:ext cx="4669312" cy="0"/>
                          </a:xfrm>
                          <a:prstGeom prst="line">
                            <a:avLst/>
                          </a:prstGeom>
                          <a:ln w="28575">
                            <a:solidFill>
                              <a:srgbClr val="00B05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60" name="Straight Connector 2160"/>
                        <wps:cNvCnPr>
                          <a:cxnSpLocks/>
                        </wps:cNvCnPr>
                        <wps:spPr>
                          <a:xfrm>
                            <a:off x="559425" y="1627556"/>
                            <a:ext cx="4669312" cy="0"/>
                          </a:xfrm>
                          <a:prstGeom prst="line">
                            <a:avLst/>
                          </a:prstGeom>
                          <a:ln w="28575">
                            <a:solidFill>
                              <a:srgbClr val="00B05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g:cNvPr id="2161" name="Group 2161"/>
                        <wpg:cNvGrpSpPr/>
                        <wpg:grpSpPr>
                          <a:xfrm>
                            <a:off x="5929311" y="0"/>
                            <a:ext cx="2541196" cy="3509094"/>
                            <a:chOff x="5929311" y="0"/>
                            <a:chExt cx="2541196" cy="3509094"/>
                          </a:xfrm>
                        </wpg:grpSpPr>
                        <wps:wsp>
                          <wps:cNvPr id="2162" name="Straight Connector 2162"/>
                          <wps:cNvCnPr>
                            <a:cxnSpLocks/>
                          </wps:cNvCnPr>
                          <wps:spPr>
                            <a:xfrm>
                              <a:off x="5953802" y="2889689"/>
                              <a:ext cx="1872000" cy="0"/>
                            </a:xfrm>
                            <a:prstGeom prst="line">
                              <a:avLst/>
                            </a:prstGeom>
                            <a:ln w="28575">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63" name="TextBox 22"/>
                          <wps:cNvSpPr txBox="1"/>
                          <wps:spPr>
                            <a:xfrm>
                              <a:off x="5953632" y="2493972"/>
                              <a:ext cx="2296795" cy="461010"/>
                            </a:xfrm>
                            <a:prstGeom prst="rect">
                              <a:avLst/>
                            </a:prstGeom>
                            <a:noFill/>
                          </wps:spPr>
                          <wps:txbx>
                            <w:txbxContent>
                              <w:p w14:paraId="77AD86D4"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Period of assessment of all other secondary EPs in HLA Ab+ BLC vs. HLA Ab+ SC groups</w:t>
                                </w:r>
                              </w:p>
                            </w:txbxContent>
                          </wps:txbx>
                          <wps:bodyPr wrap="square" rtlCol="0">
                            <a:spAutoFit/>
                          </wps:bodyPr>
                        </wps:wsp>
                        <wps:wsp>
                          <wps:cNvPr id="2164" name="Straight Connector 2164"/>
                          <wps:cNvCnPr>
                            <a:cxnSpLocks/>
                          </wps:cNvCnPr>
                          <wps:spPr>
                            <a:xfrm>
                              <a:off x="5945905" y="2327694"/>
                              <a:ext cx="2480704" cy="0"/>
                            </a:xfrm>
                            <a:prstGeom prst="line">
                              <a:avLst/>
                            </a:prstGeom>
                            <a:ln w="28575">
                              <a:solidFill>
                                <a:srgbClr val="00B05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65" name="TextBox 25"/>
                          <wps:cNvSpPr txBox="1"/>
                          <wps:spPr>
                            <a:xfrm>
                              <a:off x="5945736" y="1990145"/>
                              <a:ext cx="2510790" cy="461010"/>
                            </a:xfrm>
                            <a:prstGeom prst="rect">
                              <a:avLst/>
                            </a:prstGeom>
                            <a:noFill/>
                          </wps:spPr>
                          <wps:txbx>
                            <w:txbxContent>
                              <w:p w14:paraId="571A74A4"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Period of assessment of overall graft failure in BLC vs. SC arms and death</w:t>
                                </w:r>
                              </w:p>
                            </w:txbxContent>
                          </wps:txbx>
                          <wps:bodyPr wrap="square" rtlCol="0">
                            <a:spAutoFit/>
                          </wps:bodyPr>
                        </wps:wsp>
                        <wps:wsp>
                          <wps:cNvPr id="2166" name="Straight Connector 2166"/>
                          <wps:cNvCnPr>
                            <a:cxnSpLocks/>
                          </wps:cNvCnPr>
                          <wps:spPr>
                            <a:xfrm>
                              <a:off x="5959641" y="1329768"/>
                              <a:ext cx="936000" cy="0"/>
                            </a:xfrm>
                            <a:prstGeom prst="line">
                              <a:avLst/>
                            </a:prstGeom>
                            <a:ln w="28575">
                              <a:solidFill>
                                <a:srgbClr val="00B0F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67" name="TextBox 2"/>
                          <wps:cNvSpPr txBox="1"/>
                          <wps:spPr>
                            <a:xfrm>
                              <a:off x="5959471" y="785392"/>
                              <a:ext cx="2066290" cy="594360"/>
                            </a:xfrm>
                            <a:prstGeom prst="rect">
                              <a:avLst/>
                            </a:prstGeom>
                            <a:noFill/>
                          </wps:spPr>
                          <wps:txbx>
                            <w:txbxContent>
                              <w:p w14:paraId="2CF99AB6"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Ignore graft failure for primary endpoint  and selected outcome analyses of secondary endpoints in HLA Ab+ groups</w:t>
                                </w:r>
                              </w:p>
                            </w:txbxContent>
                          </wps:txbx>
                          <wps:bodyPr wrap="square" rtlCol="0">
                            <a:spAutoFit/>
                          </wps:bodyPr>
                        </wps:wsp>
                        <wps:wsp>
                          <wps:cNvPr id="2168" name="Straight Connector 2168"/>
                          <wps:cNvCnPr>
                            <a:cxnSpLocks/>
                          </wps:cNvCnPr>
                          <wps:spPr>
                            <a:xfrm>
                              <a:off x="5953802" y="3404036"/>
                              <a:ext cx="1872000" cy="0"/>
                            </a:xfrm>
                            <a:prstGeom prst="line">
                              <a:avLst/>
                            </a:prstGeom>
                            <a:ln w="28575">
                              <a:solidFill>
                                <a:schemeClr val="tx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69" name="TextBox 32"/>
                          <wps:cNvSpPr txBox="1"/>
                          <wps:spPr>
                            <a:xfrm>
                              <a:off x="5953632" y="3048084"/>
                              <a:ext cx="2296795" cy="461010"/>
                            </a:xfrm>
                            <a:prstGeom prst="rect">
                              <a:avLst/>
                            </a:prstGeom>
                            <a:noFill/>
                          </wps:spPr>
                          <wps:txbx>
                            <w:txbxContent>
                              <w:p w14:paraId="7EB0F781" w14:textId="77777777" w:rsidR="009868BA" w:rsidRDefault="009868BA" w:rsidP="009868BA">
                                <w:pPr>
                                  <w:rPr>
                                    <w:rFonts w:hAnsi="Calibri"/>
                                    <w:color w:val="000000"/>
                                    <w:kern w:val="24"/>
                                    <w:sz w:val="16"/>
                                    <w:szCs w:val="16"/>
                                  </w:rPr>
                                </w:pPr>
                                <w:r>
                                  <w:rPr>
                                    <w:rFonts w:hAnsi="Calibri"/>
                                    <w:color w:val="000000"/>
                                    <w:kern w:val="24"/>
                                    <w:sz w:val="16"/>
                                    <w:szCs w:val="16"/>
                                  </w:rPr>
                                  <w:t xml:space="preserve">Period of assessment of all other  </w:t>
                                </w:r>
                                <w:r>
                                  <w:rPr>
                                    <w:rFonts w:hAnsi="Calibri"/>
                                    <w:color w:val="000000" w:themeColor="text1"/>
                                    <w:kern w:val="24"/>
                                    <w:sz w:val="16"/>
                                    <w:szCs w:val="16"/>
                                  </w:rPr>
                                  <w:t>secondary EPs in overall BLC vs. SC comparison</w:t>
                                </w:r>
                              </w:p>
                            </w:txbxContent>
                          </wps:txbx>
                          <wps:bodyPr wrap="square" rtlCol="0">
                            <a:spAutoFit/>
                          </wps:bodyPr>
                        </wps:wsp>
                        <wps:wsp>
                          <wps:cNvPr id="2170" name="Straight Connector 2170"/>
                          <wps:cNvCnPr>
                            <a:cxnSpLocks/>
                          </wps:cNvCnPr>
                          <wps:spPr>
                            <a:xfrm>
                              <a:off x="5989803" y="665347"/>
                              <a:ext cx="2480704" cy="0"/>
                            </a:xfrm>
                            <a:prstGeom prst="line">
                              <a:avLst/>
                            </a:prstGeom>
                            <a:ln w="28575">
                              <a:solidFill>
                                <a:srgbClr val="FFC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71" name="TextBox 37"/>
                          <wps:cNvSpPr txBox="1"/>
                          <wps:spPr>
                            <a:xfrm>
                              <a:off x="5929311" y="426917"/>
                              <a:ext cx="2511425" cy="327025"/>
                            </a:xfrm>
                            <a:prstGeom prst="rect">
                              <a:avLst/>
                            </a:prstGeom>
                            <a:noFill/>
                          </wps:spPr>
                          <wps:txbx>
                            <w:txbxContent>
                              <w:p w14:paraId="66140353"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Period of assessment of primary endpoints</w:t>
                                </w:r>
                              </w:p>
                            </w:txbxContent>
                          </wps:txbx>
                          <wps:bodyPr wrap="square" rtlCol="0">
                            <a:spAutoFit/>
                          </wps:bodyPr>
                        </wps:wsp>
                        <wps:wsp>
                          <wps:cNvPr id="2172" name="TextBox 38"/>
                          <wps:cNvSpPr txBox="1"/>
                          <wps:spPr>
                            <a:xfrm>
                              <a:off x="5939600" y="0"/>
                              <a:ext cx="1892300" cy="494030"/>
                            </a:xfrm>
                            <a:prstGeom prst="rect">
                              <a:avLst/>
                            </a:prstGeom>
                            <a:noFill/>
                          </wps:spPr>
                          <wps:txbx>
                            <w:txbxContent>
                              <w:p w14:paraId="28D083E9" w14:textId="77777777" w:rsidR="009868BA" w:rsidRDefault="009868BA" w:rsidP="009868BA">
                                <w:pPr>
                                  <w:rPr>
                                    <w:rFonts w:hAnsi="Calibri"/>
                                    <w:color w:val="000000" w:themeColor="text1"/>
                                    <w:kern w:val="24"/>
                                    <w:sz w:val="36"/>
                                    <w:szCs w:val="36"/>
                                  </w:rPr>
                                </w:pPr>
                                <w:r>
                                  <w:rPr>
                                    <w:rFonts w:hAnsi="Calibri"/>
                                    <w:color w:val="000000" w:themeColor="text1"/>
                                    <w:kern w:val="24"/>
                                    <w:sz w:val="36"/>
                                    <w:szCs w:val="36"/>
                                  </w:rPr>
                                  <w:t>Primary endpoints</w:t>
                                </w:r>
                              </w:p>
                            </w:txbxContent>
                          </wps:txbx>
                          <wps:bodyPr wrap="none" rtlCol="0">
                            <a:spAutoFit/>
                          </wps:bodyPr>
                        </wps:wsp>
                        <wps:wsp>
                          <wps:cNvPr id="2173" name="TextBox 39"/>
                          <wps:cNvSpPr txBox="1"/>
                          <wps:spPr>
                            <a:xfrm>
                              <a:off x="5929311" y="1647256"/>
                              <a:ext cx="2134235" cy="494030"/>
                            </a:xfrm>
                            <a:prstGeom prst="rect">
                              <a:avLst/>
                            </a:prstGeom>
                            <a:noFill/>
                          </wps:spPr>
                          <wps:txbx>
                            <w:txbxContent>
                              <w:p w14:paraId="626145AD" w14:textId="77777777" w:rsidR="009868BA" w:rsidRDefault="009868BA" w:rsidP="009868BA">
                                <w:pPr>
                                  <w:rPr>
                                    <w:rFonts w:hAnsi="Calibri"/>
                                    <w:color w:val="000000" w:themeColor="text1"/>
                                    <w:kern w:val="24"/>
                                    <w:sz w:val="36"/>
                                    <w:szCs w:val="36"/>
                                  </w:rPr>
                                </w:pPr>
                                <w:r>
                                  <w:rPr>
                                    <w:rFonts w:hAnsi="Calibri"/>
                                    <w:color w:val="000000" w:themeColor="text1"/>
                                    <w:kern w:val="24"/>
                                    <w:sz w:val="36"/>
                                    <w:szCs w:val="36"/>
                                  </w:rPr>
                                  <w:t>Secondary endpoints</w:t>
                                </w:r>
                              </w:p>
                            </w:txbxContent>
                          </wps:txbx>
                          <wps:bodyPr wrap="none" rtlCol="0">
                            <a:spAutoFit/>
                          </wps:bodyPr>
                        </wps:wsp>
                      </wpg:grpSp>
                    </wpg:wgp>
                  </a:graphicData>
                </a:graphic>
              </wp:anchor>
            </w:drawing>
          </mc:Choice>
          <mc:Fallback>
            <w:pict>
              <v:group w14:anchorId="48498F0D" id="Group 16" o:spid="_x0000_s1026" style="position:absolute;margin-left:0;margin-top:-.05pt;width:666.95pt;height:300.35pt;z-index:251659264" coordsize="84705,381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">
                <v:line id="Straight Connector 2128" o:spid="_x0000_s1027" style="position:absolute;visibility:visible;mso-wrap-style:square" from="5521,11454" to="24241,11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" strokecolor="black [3213]" strokeweight="2.25pt">
                  <v:stroke joinstyle="miter"/>
                  <o:lock v:ext="edit" shapetype="f"/>
                </v:line>
                <v:line id="Straight Connector 2129" o:spid="_x0000_s1028" style="position:absolute;visibility:visible;mso-wrap-style:square" from="5521,32113" to="10201,321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" strokecolor="black [3213]" strokeweight="2.25pt">
                  <v:stroke joinstyle="miter"/>
                  <o:lock v:ext="edit" shapetype="f"/>
                </v:line>
                <v:line id="Straight Connector 2130" o:spid="_x0000_s1029" style="position:absolute;visibility:visible;mso-wrap-style:square" from="11175,32113" to="29895,321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" strokecolor="black [3213]" strokeweight="2.25pt">
                  <v:stroke joinstyle="miter"/>
                  <o:lock v:ext="edit" shapetype="f"/>
                </v:line>
                <v:line id="Straight Connector 2131" o:spid="_x0000_s1030" style="position:absolute;visibility:visible;mso-wrap-style:square" from="5521,21085" to="14881,21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" strokecolor="black [3213]" strokeweight="2.25pt">
                  <v:stroke joinstyle="miter"/>
                  <o:lock v:ext="edit" shapetype="f"/>
                </v:line>
                <v:line id="Straight Connector 2132" o:spid="_x0000_s1031" style="position:absolute;visibility:visible;mso-wrap-style:square" from="15744,21085" to="34464,21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" strokecolor="black [3213]" strokeweight="2.25pt">
                  <v:stroke joinstyle="miter"/>
                  <o:lock v:ext="edit" shapetype="f"/>
                </v:line>
                <v:line id="Straight Connector 2133" o:spid="_x0000_s1032" style="position:absolute;flip:y;visibility:visible;mso-wrap-style:square" from="52635,7808" to="52635,34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" strokecolor="black [3213]" strokeweight="2.25pt">
                  <v:stroke dashstyle="3 1" joinstyle="miter"/>
                  <o:lock v:ext="edit" shapetype="f"/>
                </v:line>
                <v:line id="Straight Connector 2134" o:spid="_x0000_s1033" style="position:absolute;visibility:visible;mso-wrap-style:square" from="33951,21085" to="52671,21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" strokecolor="black [3213]" strokeweight="2.25pt">
                  <v:stroke dashstyle="dash" endarrow="block" joinstyle="miter"/>
                </v:line>
                <v:line id="Straight Connector 2135" o:spid="_x0000_s1034" style="position:absolute;visibility:visible;mso-wrap-style:square" from="24591,11454" to="52635,11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" strokecolor="black [3213]" strokeweight="2.25pt">
                  <v:stroke dashstyle="dash" endarrow="block" joinstyle="miter"/>
                  <o:lock v:ext="edit" shapetype="f"/>
                </v:line>
                <v:line id="Straight Connector 2136" o:spid="_x0000_s1035" style="position:absolute;visibility:visible;mso-wrap-style:square" from="30066,32113" to="51952,321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" strokecolor="black [3213]" strokeweight="2.25pt">
                  <v:stroke dashstyle="dash" endarrow="block" joinstyle="miter"/>
                  <o:lock v:ext="edit" shapetype="f"/>
                </v:line>
                <v:shapetype id="_x0000_t202" coordsize="21600,21600" o:spt="202" path="m,l,21600r21600,l21600,xe">
                  <v:stroke joinstyle="miter"/>
                  <v:path gradientshapeok="t" o:connecttype="rect"/>
                </v:shapetype>
                <v:shape id="TextBox 17" o:spid="_x0000_s1036" type="#_x0000_t202" style="position:absolute;left:5521;top:11324;width:9595;height:327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" filled="f" stroked="f">
                  <v:textbox style="mso-fit-shape-to-text:t">
                    <w:txbxContent>
                      <w:p w14:paraId="725DFD03"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HLA Ab- at all tests</w:t>
                        </w:r>
                      </w:p>
                    </w:txbxContent>
                  </v:textbox>
                </v:shape>
                <v:shape id="TextBox 18" o:spid="_x0000_s1037" type="#_x0000_t202" style="position:absolute;left:5521;top:32515;width:10783;height:562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" filled="f" stroked="f">
                  <v:textbox style="mso-fit-shape-to-text:t">
                    <w:txbxContent>
                      <w:p w14:paraId="1AC03EA0"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HLA Ab- at enrolment</w:t>
                        </w:r>
                      </w:p>
                      <w:p w14:paraId="5C2F2E34"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DSA+month8</w:t>
                        </w:r>
                      </w:p>
                    </w:txbxContent>
                  </v:textbox>
                </v:shape>
                <v:shape id="TextBox 20" o:spid="_x0000_s1038" type="#_x0000_t202" style="position:absolute;left:5521;top:21328;width:10783;height:562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" filled="f" stroked="f">
                  <v:textbox style="mso-fit-shape-to-text:t">
                    <w:txbxContent>
                      <w:p w14:paraId="190C75EE"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HLA Ab- at enrolment</w:t>
                        </w:r>
                      </w:p>
                      <w:p w14:paraId="0E14FAAA"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Non-DSA+month16</w:t>
                        </w:r>
                      </w:p>
                    </w:txbxContent>
                  </v:textbox>
                </v:shape>
                <v:line id="Straight Connector 2140" o:spid="_x0000_s1039" style="position:absolute;visibility:visible;mso-wrap-style:square" from="15744,20145" to="34464,201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" strokecolor="red" strokeweight="2.25pt">
                  <v:stroke startarrow="oval" endarrow="oval" joinstyle="miter"/>
                  <o:lock v:ext="edit" shapetype="f"/>
                </v:line>
                <v:line id="Straight Connector 2141" o:spid="_x0000_s1040" style="position:absolute;visibility:visible;mso-wrap-style:square" from="11175,30767" to="29895,30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" strokecolor="red" strokeweight="2.25pt">
                  <v:stroke startarrow="oval" endarrow="oval" joinstyle="miter"/>
                  <o:lock v:ext="edit" shapetype="f"/>
                </v:line>
                <v:line id="Straight Connector 2142" o:spid="_x0000_s1041" style="position:absolute;visibility:visible;mso-wrap-style:square" from="5521,9654" to="52215,9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" strokecolor="#00b050" strokeweight="2.25pt">
                  <v:stroke startarrow="oval" endarrow="oval" joinstyle="miter"/>
                  <o:lock v:ext="edit" shapetype="f"/>
                </v:line>
                <v:line id="Straight Connector 2143" o:spid="_x0000_s1042" style="position:absolute;visibility:visible;mso-wrap-style:square" from="15744,18463" to="52429,18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" strokecolor="#ffc000" strokeweight="2.25pt">
                  <v:stroke startarrow="oval" endarrow="oval" joinstyle="miter"/>
                  <o:lock v:ext="edit" shapetype="f"/>
                </v:line>
                <v:line id="Straight Connector 2144" o:spid="_x0000_s1043" style="position:absolute;visibility:visible;mso-wrap-style:square" from="11175,29555" to="52087,29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" strokecolor="#ffc000" strokeweight="2.25pt">
                  <v:stroke startarrow="oval" endarrow="oval" joinstyle="miter"/>
                  <o:lock v:ext="edit" shapetype="f"/>
                </v:line>
                <v:line id="Straight Connector 2145" o:spid="_x0000_s1044" style="position:absolute;visibility:visible;mso-wrap-style:square" from="5673,19291" to="15033,192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" strokecolor="#00b0f0" strokeweight="2.25pt">
                  <v:stroke startarrow="oval" endarrow="oval" joinstyle="miter"/>
                  <o:lock v:ext="edit" shapetype="f"/>
                </v:line>
                <v:line id="Straight Connector 2146" o:spid="_x0000_s1045" style="position:absolute;visibility:visible;mso-wrap-style:square" from="5673,30340" to="10353,303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" strokecolor="#00b0f0" strokeweight="2.25pt">
                  <v:stroke startarrow="oval" endarrow="oval" joinstyle="miter"/>
                  <o:lock v:ext="edit" shapetype="f"/>
                </v:line>
                <v:line id="Straight Connector 2147" o:spid="_x0000_s1046" style="position:absolute;visibility:visible;mso-wrap-style:square" from="5564,8218" to="24284,8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" strokecolor="black [3213]" strokeweight="2.25pt">
                  <v:stroke startarrow="oval" endarrow="oval" joinstyle="miter"/>
                  <o:lock v:ext="edit" shapetype="f"/>
                </v:line>
                <v:line id="Straight Connector 2148" o:spid="_x0000_s1047" style="position:absolute;visibility:visible;mso-wrap-style:square" from="5594,17540" to="24314,17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" strokecolor="black [3213]" strokeweight="2.25pt">
                  <v:stroke startarrow="oval" endarrow="oval" joinstyle="miter"/>
                  <o:lock v:ext="edit" shapetype="f"/>
                </v:line>
                <v:line id="Straight Connector 2149" o:spid="_x0000_s1048" style="position:absolute;visibility:visible;mso-wrap-style:square" from="5673,28585" to="24393,28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" strokecolor="black [3213]" strokeweight="2.25pt">
                  <v:stroke startarrow="oval" endarrow="oval" joinstyle="miter"/>
                  <o:lock v:ext="edit" shapetype="f"/>
                </v:line>
                <v:line id="Straight Connector 2150" o:spid="_x0000_s1049" style="position:absolute;visibility:visible;mso-wrap-style:square" from="0,13855" to="52650,13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" strokecolor="black [3213]" strokeweight="2.25pt">
                  <v:stroke dashstyle="1 1" joinstyle="miter"/>
                  <o:lock v:ext="edit" shapetype="f"/>
                </v:line>
                <v:line id="Straight Connector 2151" o:spid="_x0000_s1050" style="position:absolute;visibility:visible;mso-wrap-style:square" from="0,26420" to="52650,26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" strokecolor="black [3213]" strokeweight="2.25pt">
                  <v:stroke dashstyle="1 1" joinstyle="miter"/>
                  <o:lock v:ext="edit" shapetype="f"/>
                </v:line>
                <v:shape id="TextBox 42" o:spid="_x0000_s1051" type="#_x0000_t202" style="position:absolute;left:617;top:8453;width:2762;height:435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" filled="f" stroked="f">
                  <v:textbox style="mso-fit-shape-to-text:t">
                    <w:txbxContent>
                      <w:p w14:paraId="55E0FF02" w14:textId="77777777" w:rsidR="009868BA" w:rsidRDefault="009868BA" w:rsidP="009868BA">
                        <w:pPr>
                          <w:rPr>
                            <w:rFonts w:hAnsi="Calibri"/>
                            <w:color w:val="000000" w:themeColor="text1"/>
                            <w:kern w:val="24"/>
                            <w:sz w:val="29"/>
                            <w:szCs w:val="29"/>
                          </w:rPr>
                        </w:pPr>
                        <w:r>
                          <w:rPr>
                            <w:rFonts w:hAnsi="Calibri"/>
                            <w:color w:val="000000" w:themeColor="text1"/>
                            <w:kern w:val="24"/>
                            <w:sz w:val="29"/>
                            <w:szCs w:val="29"/>
                          </w:rPr>
                          <w:t>1</w:t>
                        </w:r>
                      </w:p>
                    </w:txbxContent>
                  </v:textbox>
                </v:shape>
                <v:shape id="TextBox 43" o:spid="_x0000_s1052" type="#_x0000_t202" style="position:absolute;left:617;top:18793;width:2762;height:435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" filled="f" stroked="f">
                  <v:textbox style="mso-fit-shape-to-text:t">
                    <w:txbxContent>
                      <w:p w14:paraId="33A3D2DC" w14:textId="77777777" w:rsidR="009868BA" w:rsidRDefault="009868BA" w:rsidP="009868BA">
                        <w:pPr>
                          <w:rPr>
                            <w:rFonts w:hAnsi="Calibri"/>
                            <w:color w:val="000000" w:themeColor="text1"/>
                            <w:kern w:val="24"/>
                            <w:sz w:val="29"/>
                            <w:szCs w:val="29"/>
                          </w:rPr>
                        </w:pPr>
                        <w:r>
                          <w:rPr>
                            <w:rFonts w:hAnsi="Calibri"/>
                            <w:color w:val="000000" w:themeColor="text1"/>
                            <w:kern w:val="24"/>
                            <w:sz w:val="29"/>
                            <w:szCs w:val="29"/>
                          </w:rPr>
                          <w:t>2</w:t>
                        </w:r>
                      </w:p>
                    </w:txbxContent>
                  </v:textbox>
                </v:shape>
                <v:shape id="TextBox 44" o:spid="_x0000_s1053" type="#_x0000_t202" style="position:absolute;left:617;top:28582;width:2762;height:435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" filled="f" stroked="f">
                  <v:textbox style="mso-fit-shape-to-text:t">
                    <w:txbxContent>
                      <w:p w14:paraId="2EDD0150" w14:textId="77777777" w:rsidR="009868BA" w:rsidRDefault="009868BA" w:rsidP="009868BA">
                        <w:pPr>
                          <w:rPr>
                            <w:rFonts w:hAnsi="Calibri"/>
                            <w:color w:val="000000" w:themeColor="text1"/>
                            <w:kern w:val="24"/>
                            <w:sz w:val="29"/>
                            <w:szCs w:val="29"/>
                          </w:rPr>
                        </w:pPr>
                        <w:r>
                          <w:rPr>
                            <w:rFonts w:hAnsi="Calibri"/>
                            <w:color w:val="000000" w:themeColor="text1"/>
                            <w:kern w:val="24"/>
                            <w:sz w:val="29"/>
                            <w:szCs w:val="29"/>
                          </w:rPr>
                          <w:t>3</w:t>
                        </w:r>
                      </w:p>
                    </w:txbxContent>
                  </v:textbox>
                </v:shape>
                <v:shape id="TextBox 45" o:spid="_x0000_s1054" type="#_x0000_t202" style="position:absolute;left:15387;top:4308;width:9194;height:435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" filled="f" stroked="f">
                  <v:textbox style="mso-fit-shape-to-text:t">
                    <w:txbxContent>
                      <w:p w14:paraId="6F882729" w14:textId="77777777" w:rsidR="009868BA" w:rsidRDefault="009868BA" w:rsidP="009868BA">
                        <w:pPr>
                          <w:rPr>
                            <w:rFonts w:hAnsi="Calibri"/>
                            <w:color w:val="000000" w:themeColor="text1"/>
                            <w:kern w:val="24"/>
                            <w:sz w:val="29"/>
                            <w:szCs w:val="29"/>
                          </w:rPr>
                        </w:pPr>
                        <w:r>
                          <w:rPr>
                            <w:rFonts w:hAnsi="Calibri"/>
                            <w:color w:val="000000" w:themeColor="text1"/>
                            <w:kern w:val="24"/>
                            <w:sz w:val="29"/>
                            <w:szCs w:val="29"/>
                          </w:rPr>
                          <w:t>Month 32</w:t>
                        </w:r>
                      </w:p>
                    </w:txbxContent>
                  </v:textbox>
                </v:shape>
                <v:shape id="TextBox 47" o:spid="_x0000_s1055" type="#_x0000_t202" style="position:absolute;left:34500;top:4308;width:9195;height:435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" filled="f" stroked="f">
                  <v:textbox style="mso-fit-shape-to-text:t">
                    <w:txbxContent>
                      <w:p w14:paraId="55534C93" w14:textId="77777777" w:rsidR="009868BA" w:rsidRDefault="009868BA" w:rsidP="009868BA">
                        <w:pPr>
                          <w:rPr>
                            <w:rFonts w:hAnsi="Calibri"/>
                            <w:color w:val="000000" w:themeColor="text1"/>
                            <w:kern w:val="24"/>
                            <w:sz w:val="29"/>
                            <w:szCs w:val="29"/>
                          </w:rPr>
                        </w:pPr>
                        <w:r>
                          <w:rPr>
                            <w:rFonts w:hAnsi="Calibri"/>
                            <w:color w:val="000000" w:themeColor="text1"/>
                            <w:kern w:val="24"/>
                            <w:sz w:val="29"/>
                            <w:szCs w:val="29"/>
                          </w:rPr>
                          <w:t>Month 64</w:t>
                        </w:r>
                      </w:p>
                    </w:txbxContent>
                  </v:textbox>
                </v:shape>
                <v:line id="Straight Connector 2157" o:spid="_x0000_s1056" style="position:absolute;flip:y;visibility:visible;mso-wrap-style:square" from="43446,6503" to="43446,7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" strokecolor="black [3213]" strokeweight="1.25pt">
                  <v:stroke joinstyle="miter"/>
                  <o:lock v:ext="edit" shapetype="f"/>
                </v:line>
                <v:line id="Straight Connector 2158" o:spid="_x0000_s1057" style="position:absolute;flip:y;visibility:visible;mso-wrap-style:square" from="24341,6503" to="24341,7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" strokecolor="black [3213]" strokeweight="1.25pt">
                  <v:stroke joinstyle="miter"/>
                  <o:lock v:ext="edit" shapetype="f"/>
                </v:line>
                <v:line id="Straight Connector 2159" o:spid="_x0000_s1058" style="position:absolute;visibility:visible;mso-wrap-style:square" from="5673,27215" to="52366,27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" strokecolor="#00b050" strokeweight="2.25pt">
                  <v:stroke startarrow="oval" endarrow="oval" joinstyle="miter"/>
                  <o:lock v:ext="edit" shapetype="f"/>
                </v:line>
                <v:line id="Straight Connector 2160" o:spid="_x0000_s1059" style="position:absolute;visibility:visible;mso-wrap-style:square" from="5594,16275" to="52287,16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" strokecolor="#00b050" strokeweight="2.25pt">
                  <v:stroke startarrow="oval" endarrow="oval" joinstyle="miter"/>
                  <o:lock v:ext="edit" shapetype="f"/>
                </v:line>
                <v:group id="Group 2161" o:spid="_x0000_s1060" style="position:absolute;left:59293;width:25412;height:35090" coordorigin="59293" coordsize="25411,35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">
                  <v:line id="Straight Connector 2162" o:spid="_x0000_s1061" style="position:absolute;visibility:visible;mso-wrap-style:square" from="59538,28896" to="78258,28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" strokecolor="red" strokeweight="2.25pt">
                    <v:stroke startarrow="oval" endarrow="oval" joinstyle="miter"/>
                    <o:lock v:ext="edit" shapetype="f"/>
                  </v:line>
                  <v:shape id="TextBox 22" o:spid="_x0000_s1062" type="#_x0000_t202" style="position:absolute;left:59536;top:24939;width:22968;height:4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" filled="f" stroked="f">
                    <v:textbox style="mso-fit-shape-to-text:t">
                      <w:txbxContent>
                        <w:p w14:paraId="77AD86D4"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Period of assessment of all other secondary EPs in HLA Ab+ BLC vs. HLA Ab+ SC groups</w:t>
                          </w:r>
                        </w:p>
                      </w:txbxContent>
                    </v:textbox>
                  </v:shape>
                  <v:line id="Straight Connector 2164" o:spid="_x0000_s1063" style="position:absolute;visibility:visible;mso-wrap-style:square" from="59459,23276" to="84266,23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" strokecolor="#00b050" strokeweight="2.25pt">
                    <v:stroke startarrow="oval" endarrow="oval" joinstyle="miter"/>
                    <o:lock v:ext="edit" shapetype="f"/>
                  </v:line>
                  <v:shape id="TextBox 25" o:spid="_x0000_s1064" type="#_x0000_t202" style="position:absolute;left:59457;top:19901;width:25108;height:4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" filled="f" stroked="f">
                    <v:textbox style="mso-fit-shape-to-text:t">
                      <w:txbxContent>
                        <w:p w14:paraId="571A74A4"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Period of assessment of overall graft failure in BLC vs. SC arms and death</w:t>
                          </w:r>
                        </w:p>
                      </w:txbxContent>
                    </v:textbox>
                  </v:shape>
                  <v:line id="Straight Connector 2166" o:spid="_x0000_s1065" style="position:absolute;visibility:visible;mso-wrap-style:square" from="59596,13297" to="68956,13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" strokecolor="#00b0f0" strokeweight="2.25pt">
                    <v:stroke startarrow="oval" endarrow="oval" joinstyle="miter"/>
                    <o:lock v:ext="edit" shapetype="f"/>
                  </v:line>
                  <v:shape id="TextBox 2" o:spid="_x0000_s1066" type="#_x0000_t202" style="position:absolute;left:59594;top:7853;width:20663;height:5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" filled="f" stroked="f">
                    <v:textbox style="mso-fit-shape-to-text:t">
                      <w:txbxContent>
                        <w:p w14:paraId="2CF99AB6"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Ignore graft failure for primary endpoint  and selected outcome analyses of secondary endpoints in HLA Ab+ groups</w:t>
                          </w:r>
                        </w:p>
                      </w:txbxContent>
                    </v:textbox>
                  </v:shape>
                  <v:line id="Straight Connector 2168" o:spid="_x0000_s1067" style="position:absolute;visibility:visible;mso-wrap-style:square" from="59538,34040" to="78258,34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" strokecolor="black [3213]" strokeweight="2.25pt">
                    <v:stroke startarrow="oval" endarrow="oval" joinstyle="miter"/>
                    <o:lock v:ext="edit" shapetype="f"/>
                  </v:line>
                  <v:shape id="TextBox 32" o:spid="_x0000_s1068" type="#_x0000_t202" style="position:absolute;left:59536;top:30480;width:22968;height:4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" filled="f" stroked="f">
                    <v:textbox style="mso-fit-shape-to-text:t">
                      <w:txbxContent>
                        <w:p w14:paraId="7EB0F781" w14:textId="77777777" w:rsidR="009868BA" w:rsidRDefault="009868BA" w:rsidP="009868BA">
                          <w:pPr>
                            <w:rPr>
                              <w:rFonts w:hAnsi="Calibri"/>
                              <w:color w:val="000000"/>
                              <w:kern w:val="24"/>
                              <w:sz w:val="16"/>
                              <w:szCs w:val="16"/>
                            </w:rPr>
                          </w:pPr>
                          <w:r>
                            <w:rPr>
                              <w:rFonts w:hAnsi="Calibri"/>
                              <w:color w:val="000000"/>
                              <w:kern w:val="24"/>
                              <w:sz w:val="16"/>
                              <w:szCs w:val="16"/>
                            </w:rPr>
                            <w:t xml:space="preserve">Period of assessment of all other  </w:t>
                          </w:r>
                          <w:r>
                            <w:rPr>
                              <w:rFonts w:hAnsi="Calibri"/>
                              <w:color w:val="000000" w:themeColor="text1"/>
                              <w:kern w:val="24"/>
                              <w:sz w:val="16"/>
                              <w:szCs w:val="16"/>
                            </w:rPr>
                            <w:t>secondary EPs in overall BLC vs. SC comparison</w:t>
                          </w:r>
                        </w:p>
                      </w:txbxContent>
                    </v:textbox>
                  </v:shape>
                  <v:line id="Straight Connector 2170" o:spid="_x0000_s1069" style="position:absolute;visibility:visible;mso-wrap-style:square" from="59898,6653" to="84705,6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" strokecolor="#ffc000" strokeweight="2.25pt">
                    <v:stroke startarrow="oval" endarrow="oval" joinstyle="miter"/>
                    <o:lock v:ext="edit" shapetype="f"/>
                  </v:line>
                  <v:shape id="TextBox 37" o:spid="_x0000_s1070" type="#_x0000_t202" style="position:absolute;left:59293;top:4269;width:25114;height:3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" filled="f" stroked="f">
                    <v:textbox style="mso-fit-shape-to-text:t">
                      <w:txbxContent>
                        <w:p w14:paraId="66140353" w14:textId="77777777" w:rsidR="009868BA" w:rsidRDefault="009868BA" w:rsidP="009868BA">
                          <w:pPr>
                            <w:rPr>
                              <w:rFonts w:hAnsi="Calibri"/>
                              <w:color w:val="000000" w:themeColor="text1"/>
                              <w:kern w:val="24"/>
                              <w:sz w:val="16"/>
                              <w:szCs w:val="16"/>
                            </w:rPr>
                          </w:pPr>
                          <w:r>
                            <w:rPr>
                              <w:rFonts w:hAnsi="Calibri"/>
                              <w:color w:val="000000" w:themeColor="text1"/>
                              <w:kern w:val="24"/>
                              <w:sz w:val="16"/>
                              <w:szCs w:val="16"/>
                            </w:rPr>
                            <w:t>Period of assessment of primary endpoints</w:t>
                          </w:r>
                        </w:p>
                      </w:txbxContent>
                    </v:textbox>
                  </v:shape>
                  <v:shape id="TextBox 38" o:spid="_x0000_s1071" type="#_x0000_t202" style="position:absolute;left:59396;width:18923;height:49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" filled="f" stroked="f">
                    <v:textbox style="mso-fit-shape-to-text:t">
                      <w:txbxContent>
                        <w:p w14:paraId="28D083E9" w14:textId="77777777" w:rsidR="009868BA" w:rsidRDefault="009868BA" w:rsidP="009868BA">
                          <w:pPr>
                            <w:rPr>
                              <w:rFonts w:hAnsi="Calibri"/>
                              <w:color w:val="000000" w:themeColor="text1"/>
                              <w:kern w:val="24"/>
                              <w:sz w:val="36"/>
                              <w:szCs w:val="36"/>
                            </w:rPr>
                          </w:pPr>
                          <w:r>
                            <w:rPr>
                              <w:rFonts w:hAnsi="Calibri"/>
                              <w:color w:val="000000" w:themeColor="text1"/>
                              <w:kern w:val="24"/>
                              <w:sz w:val="36"/>
                              <w:szCs w:val="36"/>
                            </w:rPr>
                            <w:t>Primary endpoints</w:t>
                          </w:r>
                        </w:p>
                      </w:txbxContent>
                    </v:textbox>
                  </v:shape>
                  <v:shape id="TextBox 39" o:spid="_x0000_s1072" type="#_x0000_t202" style="position:absolute;left:59293;top:16472;width:21342;height:49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" filled="f" stroked="f">
                    <v:textbox style="mso-fit-shape-to-text:t">
                      <w:txbxContent>
                        <w:p w14:paraId="626145AD" w14:textId="77777777" w:rsidR="009868BA" w:rsidRDefault="009868BA" w:rsidP="009868BA">
                          <w:pPr>
                            <w:rPr>
                              <w:rFonts w:hAnsi="Calibri"/>
                              <w:color w:val="000000" w:themeColor="text1"/>
                              <w:kern w:val="24"/>
                              <w:sz w:val="36"/>
                              <w:szCs w:val="36"/>
                            </w:rPr>
                          </w:pPr>
                          <w:r>
                            <w:rPr>
                              <w:rFonts w:hAnsi="Calibri"/>
                              <w:color w:val="000000" w:themeColor="text1"/>
                              <w:kern w:val="24"/>
                              <w:sz w:val="36"/>
                              <w:szCs w:val="36"/>
                            </w:rPr>
                            <w:t>Secondary endpoints</w:t>
                          </w:r>
                        </w:p>
                      </w:txbxContent>
                    </v:textbox>
                  </v:shape>
                </v:group>
              </v:group>
            </w:pict>
          </mc:Fallback>
        </mc:AlternateContent>
      </w:r>
    </w:p>
    <w:p w14:paraId="0955A689" w14:textId="1C090072" w:rsidR="00860843" w:rsidRDefault="00860843" w:rsidP="00860843"/>
    <w:p w14:paraId="6BFB629C" w14:textId="2602FC86" w:rsidR="00E2426B" w:rsidRDefault="00E2426B" w:rsidP="00860843"/>
    <w:p w14:paraId="5B9E7246" w14:textId="6892E036" w:rsidR="00E2426B" w:rsidRDefault="00E2426B" w:rsidP="00860843"/>
    <w:p w14:paraId="65B07053" w14:textId="3CD211E5" w:rsidR="00E2426B" w:rsidRDefault="00E2426B" w:rsidP="00860843"/>
    <w:p w14:paraId="62054DB0" w14:textId="00824E6E" w:rsidR="00E2426B" w:rsidRDefault="00E2426B" w:rsidP="00860843"/>
    <w:p w14:paraId="22077E3F" w14:textId="1482F7C7" w:rsidR="00E2426B" w:rsidRDefault="00E2426B" w:rsidP="00860843"/>
    <w:p w14:paraId="7F6857CE" w14:textId="60FD7F78" w:rsidR="00E2426B" w:rsidRDefault="00E2426B" w:rsidP="00860843"/>
    <w:p w14:paraId="781009F7" w14:textId="1A5B2DBD" w:rsidR="00E2426B" w:rsidRDefault="00E2426B" w:rsidP="00860843"/>
    <w:p w14:paraId="36F65971" w14:textId="23D21D38" w:rsidR="00E2426B" w:rsidRDefault="00E2426B" w:rsidP="00860843"/>
    <w:p w14:paraId="4EB7A6AA" w14:textId="77777777" w:rsidR="00E2426B" w:rsidRPr="00860843" w:rsidRDefault="00E2426B" w:rsidP="00860843"/>
    <w:p w14:paraId="035BCFDB" w14:textId="77777777" w:rsidR="00860843" w:rsidRDefault="00860843" w:rsidP="00860843">
      <w:pPr>
        <w:snapToGrid w:val="0"/>
        <w:spacing w:line="240" w:lineRule="auto"/>
        <w:contextualSpacing/>
        <w:rPr>
          <w:rFonts w:ascii="Arial" w:hAnsi="Arial" w:cs="Arial"/>
          <w:u w:val="single"/>
        </w:rPr>
      </w:pPr>
    </w:p>
    <w:p w14:paraId="09FE2E82" w14:textId="774AE3F3" w:rsidR="00860843" w:rsidRDefault="00860843" w:rsidP="00A44266">
      <w:pPr>
        <w:snapToGrid w:val="0"/>
        <w:spacing w:line="240" w:lineRule="auto"/>
        <w:contextualSpacing/>
        <w:rPr>
          <w:rFonts w:ascii="Arial" w:hAnsi="Arial" w:cs="Arial"/>
        </w:rPr>
      </w:pPr>
    </w:p>
    <w:p w14:paraId="0F17E05C" w14:textId="365126CB" w:rsidR="00860843" w:rsidRDefault="00860843" w:rsidP="00A44266">
      <w:pPr>
        <w:snapToGrid w:val="0"/>
        <w:spacing w:line="240" w:lineRule="auto"/>
        <w:contextualSpacing/>
        <w:rPr>
          <w:rFonts w:ascii="Arial" w:hAnsi="Arial" w:cs="Arial"/>
        </w:rPr>
      </w:pPr>
    </w:p>
    <w:p w14:paraId="624A111C" w14:textId="60B876D6" w:rsidR="003F6E7E" w:rsidRDefault="003F6E7E" w:rsidP="00A44266">
      <w:pPr>
        <w:snapToGrid w:val="0"/>
        <w:spacing w:line="240" w:lineRule="auto"/>
        <w:contextualSpacing/>
        <w:rPr>
          <w:rFonts w:ascii="Arial" w:hAnsi="Arial" w:cs="Arial"/>
        </w:rPr>
      </w:pPr>
    </w:p>
    <w:p w14:paraId="1FB3E2FC" w14:textId="77777777" w:rsidR="003F6E7E" w:rsidRDefault="003F6E7E" w:rsidP="00A44266">
      <w:pPr>
        <w:snapToGrid w:val="0"/>
        <w:spacing w:line="240" w:lineRule="auto"/>
        <w:contextualSpacing/>
        <w:rPr>
          <w:rFonts w:ascii="Arial" w:hAnsi="Arial" w:cs="Arial"/>
        </w:rPr>
      </w:pPr>
    </w:p>
    <w:p w14:paraId="662D2E1A" w14:textId="608CBA7C" w:rsidR="00FA1A00" w:rsidRDefault="00E2426B" w:rsidP="00F524A1">
      <w:pPr>
        <w:rPr>
          <w:rFonts w:ascii="Arial" w:hAnsi="Arial" w:cs="Arial"/>
          <w:u w:val="single"/>
        </w:rPr>
      </w:pPr>
      <w:r>
        <w:rPr>
          <w:rFonts w:ascii="Arial" w:hAnsi="Arial" w:cs="Arial"/>
          <w:u w:val="single"/>
        </w:rPr>
        <w:t xml:space="preserve">Legend to supplementary figure 2.  </w:t>
      </w:r>
      <w:r w:rsidR="00C550E8" w:rsidRPr="00C550E8">
        <w:rPr>
          <w:rFonts w:ascii="Arial" w:hAnsi="Arial" w:cs="Arial"/>
          <w:u w:val="single"/>
        </w:rPr>
        <w:t>Figure depicts 3 recruitment scenarios and explains how different outcomes were assessed, either in relation to recruitment/randomisation or, in the case of recruits turning from HLA Ab-negative to +,  in relation to re-screen.</w:t>
      </w:r>
    </w:p>
    <w:p w14:paraId="551B4A7D" w14:textId="77777777" w:rsidR="00E2426B" w:rsidRDefault="00E2426B" w:rsidP="00E2426B"/>
    <w:p w14:paraId="567444A0" w14:textId="77777777" w:rsidR="00E2426B" w:rsidRDefault="00E2426B" w:rsidP="00E2426B"/>
    <w:p w14:paraId="38262625" w14:textId="13058963" w:rsidR="00E2426B" w:rsidRPr="00E2426B" w:rsidRDefault="00E2426B" w:rsidP="00E2426B">
      <w:pPr>
        <w:sectPr w:rsidR="00E2426B" w:rsidRPr="00E2426B" w:rsidSect="00FA1A00">
          <w:pgSz w:w="16838" w:h="11906" w:orient="landscape"/>
          <w:pgMar w:top="1440" w:right="1440" w:bottom="1440" w:left="1440" w:header="708" w:footer="708" w:gutter="0"/>
          <w:cols w:space="708"/>
          <w:docGrid w:linePitch="360"/>
        </w:sectPr>
      </w:pPr>
    </w:p>
    <w:p w14:paraId="28998076" w14:textId="18BC7D41" w:rsidR="00241CDB" w:rsidRDefault="00241CDB" w:rsidP="00A10D7D">
      <w:pPr>
        <w:pStyle w:val="Heading3"/>
        <w:rPr>
          <w:rFonts w:ascii="Arial" w:hAnsi="Arial" w:cs="Arial"/>
          <w:u w:val="single"/>
        </w:rPr>
      </w:pPr>
      <w:bookmarkStart w:id="18" w:name="_Toc121909726"/>
      <w:r>
        <w:rPr>
          <w:rFonts w:ascii="Arial" w:hAnsi="Arial" w:cs="Arial"/>
          <w:u w:val="single"/>
        </w:rPr>
        <w:lastRenderedPageBreak/>
        <w:t xml:space="preserve">Supplementary Figure </w:t>
      </w:r>
      <w:r w:rsidR="00860843">
        <w:rPr>
          <w:rFonts w:ascii="Arial" w:hAnsi="Arial" w:cs="Arial"/>
          <w:u w:val="single"/>
        </w:rPr>
        <w:t>3</w:t>
      </w:r>
      <w:r w:rsidR="002E03F9">
        <w:rPr>
          <w:rFonts w:ascii="Arial" w:hAnsi="Arial" w:cs="Arial"/>
          <w:u w:val="single"/>
        </w:rPr>
        <w:t xml:space="preserve">: </w:t>
      </w:r>
      <w:r w:rsidR="002E03F9" w:rsidRPr="00332E94">
        <w:rPr>
          <w:rFonts w:ascii="Arial" w:hAnsi="Arial" w:cs="Arial"/>
          <w:sz w:val="22"/>
          <w:szCs w:val="22"/>
        </w:rPr>
        <w:t>Adverse events recorded in the HLA Ab+ groups</w:t>
      </w:r>
      <w:bookmarkEnd w:id="18"/>
    </w:p>
    <w:p w14:paraId="53754D1F" w14:textId="561C78ED" w:rsidR="00241CDB" w:rsidRDefault="00241CDB" w:rsidP="00A44266">
      <w:pPr>
        <w:snapToGrid w:val="0"/>
        <w:spacing w:line="240" w:lineRule="auto"/>
        <w:contextualSpacing/>
        <w:rPr>
          <w:rFonts w:ascii="Arial" w:hAnsi="Arial" w:cs="Arial"/>
          <w:u w:val="single"/>
        </w:rPr>
      </w:pPr>
    </w:p>
    <w:p w14:paraId="30F41F6A" w14:textId="77777777" w:rsidR="002E03F9" w:rsidRDefault="00241CDB" w:rsidP="00A44266">
      <w:pPr>
        <w:snapToGrid w:val="0"/>
        <w:spacing w:line="240" w:lineRule="auto"/>
        <w:contextualSpacing/>
        <w:rPr>
          <w:rFonts w:ascii="Arial" w:hAnsi="Arial" w:cs="Arial"/>
        </w:rPr>
      </w:pPr>
      <w:r w:rsidRPr="00241CDB">
        <w:rPr>
          <w:rFonts w:ascii="Arial" w:hAnsi="Arial" w:cs="Arial"/>
          <w:noProof/>
          <w:u w:val="single"/>
        </w:rPr>
        <w:drawing>
          <wp:inline distT="0" distB="0" distL="0" distR="0" wp14:anchorId="4FA5FE8F" wp14:editId="5791A7DF">
            <wp:extent cx="5731510" cy="3019425"/>
            <wp:effectExtent l="0" t="0" r="0" b="3175"/>
            <wp:docPr id="11" name="Picture 10" descr="A picture containing chart&#10;&#10;Description automatically generated">
              <a:extLst xmlns:a="http://schemas.openxmlformats.org/drawingml/2006/main">
                <a:ext uri="{FF2B5EF4-FFF2-40B4-BE49-F238E27FC236}">
                  <a16:creationId xmlns:a16="http://schemas.microsoft.com/office/drawing/2014/main" id="{E5CF1AA4-6E17-484F-BB6D-FE5686DAF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hart&#10;&#10;Description automatically generated">
                      <a:extLst>
                        <a:ext uri="{FF2B5EF4-FFF2-40B4-BE49-F238E27FC236}">
                          <a16:creationId xmlns:a16="http://schemas.microsoft.com/office/drawing/2014/main" id="{E5CF1AA4-6E17-484F-BB6D-FE5686DAFA09}"/>
                        </a:ext>
                      </a:extLst>
                    </pic:cNvPr>
                    <pic:cNvPicPr>
                      <a:picLocks noChangeAspect="1"/>
                    </pic:cNvPicPr>
                  </pic:nvPicPr>
                  <pic:blipFill rotWithShape="1">
                    <a:blip r:embed="rId10"/>
                    <a:srcRect t="6887"/>
                    <a:stretch/>
                  </pic:blipFill>
                  <pic:spPr>
                    <a:xfrm>
                      <a:off x="0" y="0"/>
                      <a:ext cx="5731510" cy="3019425"/>
                    </a:xfrm>
                    <a:prstGeom prst="rect">
                      <a:avLst/>
                    </a:prstGeom>
                  </pic:spPr>
                </pic:pic>
              </a:graphicData>
            </a:graphic>
          </wp:inline>
        </w:drawing>
      </w:r>
    </w:p>
    <w:p w14:paraId="4D5CCB98" w14:textId="1A75F9D8" w:rsidR="00500EB4" w:rsidRPr="00241CDB" w:rsidRDefault="00A44266" w:rsidP="00A44266">
      <w:pPr>
        <w:snapToGrid w:val="0"/>
        <w:spacing w:line="240" w:lineRule="auto"/>
        <w:contextualSpacing/>
        <w:rPr>
          <w:rFonts w:ascii="Arial" w:hAnsi="Arial" w:cs="Arial"/>
          <w:u w:val="single"/>
        </w:rPr>
      </w:pPr>
      <w:r>
        <w:rPr>
          <w:rFonts w:ascii="Arial" w:hAnsi="Arial" w:cs="Arial"/>
        </w:rPr>
        <w:t xml:space="preserve">Legend to </w:t>
      </w:r>
      <w:r w:rsidR="00500EB4" w:rsidRPr="00332E94">
        <w:rPr>
          <w:rFonts w:ascii="Arial" w:hAnsi="Arial" w:cs="Arial"/>
        </w:rPr>
        <w:t xml:space="preserve">Supplementary Figure </w:t>
      </w:r>
      <w:r w:rsidR="004A3B1C">
        <w:rPr>
          <w:rFonts w:ascii="Arial" w:hAnsi="Arial" w:cs="Arial"/>
        </w:rPr>
        <w:t>3</w:t>
      </w:r>
    </w:p>
    <w:p w14:paraId="7BFB6CDE" w14:textId="6A36E8BC" w:rsidR="00500EB4" w:rsidRPr="00332E94" w:rsidRDefault="00500EB4" w:rsidP="00A44266">
      <w:pPr>
        <w:snapToGrid w:val="0"/>
        <w:spacing w:line="240" w:lineRule="auto"/>
        <w:contextualSpacing/>
        <w:rPr>
          <w:rFonts w:ascii="Arial" w:hAnsi="Arial" w:cs="Arial"/>
        </w:rPr>
      </w:pPr>
    </w:p>
    <w:p w14:paraId="778C7B01" w14:textId="5B7F67AD" w:rsidR="00500EB4" w:rsidRDefault="00500EB4" w:rsidP="00A44266">
      <w:pPr>
        <w:snapToGrid w:val="0"/>
        <w:spacing w:line="240" w:lineRule="auto"/>
        <w:contextualSpacing/>
        <w:rPr>
          <w:rFonts w:ascii="Arial" w:hAnsi="Arial" w:cs="Arial"/>
        </w:rPr>
      </w:pPr>
      <w:r w:rsidRPr="00332E94">
        <w:rPr>
          <w:rFonts w:ascii="Arial" w:hAnsi="Arial" w:cs="Arial"/>
        </w:rPr>
        <w:t>Left panel compares the proportion of patients suffering adverse events grouped by body system in blinded (SC: blue circles) and unblinded (BLC: purple triangles) HLA</w:t>
      </w:r>
      <w:r w:rsidR="00132FC4" w:rsidRPr="00332E94">
        <w:rPr>
          <w:rFonts w:ascii="Arial" w:hAnsi="Arial" w:cs="Arial"/>
        </w:rPr>
        <w:t xml:space="preserve"> </w:t>
      </w:r>
      <w:r w:rsidRPr="00332E94">
        <w:rPr>
          <w:rFonts w:ascii="Arial" w:hAnsi="Arial" w:cs="Arial"/>
        </w:rPr>
        <w:t>Ab+ groups. Right panel shows relative risk (95% CI) of developing an adverse event in the BLC patients, ordered by size of relative risk.</w:t>
      </w:r>
    </w:p>
    <w:p w14:paraId="41B93A01" w14:textId="77777777" w:rsidR="008E5533" w:rsidRDefault="008E5533" w:rsidP="00A44266">
      <w:pPr>
        <w:snapToGrid w:val="0"/>
        <w:spacing w:line="240" w:lineRule="auto"/>
        <w:contextualSpacing/>
        <w:rPr>
          <w:rFonts w:ascii="Arial" w:hAnsi="Arial" w:cs="Arial"/>
        </w:rPr>
      </w:pPr>
    </w:p>
    <w:p w14:paraId="4F01A9BC" w14:textId="6481A35D" w:rsidR="00AB757B" w:rsidRDefault="00AB757B">
      <w:pPr>
        <w:rPr>
          <w:rFonts w:ascii="Arial" w:hAnsi="Arial" w:cs="Arial"/>
        </w:rPr>
      </w:pPr>
      <w:r>
        <w:rPr>
          <w:rFonts w:ascii="Arial" w:hAnsi="Arial" w:cs="Arial"/>
        </w:rPr>
        <w:br w:type="page"/>
      </w:r>
    </w:p>
    <w:p w14:paraId="5C650352" w14:textId="4013322A" w:rsidR="00F5771A" w:rsidRDefault="00F5771A" w:rsidP="00162039">
      <w:pPr>
        <w:pStyle w:val="Heading2"/>
        <w:rPr>
          <w:rFonts w:ascii="Arial" w:hAnsi="Arial" w:cs="Arial"/>
        </w:rPr>
      </w:pPr>
      <w:bookmarkStart w:id="19" w:name="_Toc121909727"/>
      <w:r w:rsidRPr="00F5771A">
        <w:rPr>
          <w:rFonts w:ascii="Arial" w:hAnsi="Arial" w:cs="Arial"/>
          <w:u w:val="single"/>
        </w:rPr>
        <w:lastRenderedPageBreak/>
        <w:t>Supplementary Tables</w:t>
      </w:r>
      <w:bookmarkEnd w:id="19"/>
    </w:p>
    <w:p w14:paraId="05A41332" w14:textId="77777777" w:rsidR="00F5771A" w:rsidRDefault="00F5771A" w:rsidP="00F5771A"/>
    <w:p w14:paraId="2C8A098A" w14:textId="77777777" w:rsidR="00F5771A" w:rsidRDefault="00F5771A" w:rsidP="00F5771A"/>
    <w:p w14:paraId="25843529" w14:textId="77777777" w:rsidR="00823F35" w:rsidRDefault="00F5771A" w:rsidP="00162039">
      <w:pPr>
        <w:pStyle w:val="Heading3"/>
      </w:pPr>
      <w:bookmarkStart w:id="20" w:name="_Toc121909728"/>
      <w:r>
        <w:t>Supplementary Table 1</w:t>
      </w:r>
      <w:bookmarkEnd w:id="20"/>
    </w:p>
    <w:p w14:paraId="4E7471C3" w14:textId="57DBC793" w:rsidR="00F5771A" w:rsidRDefault="00F5771A" w:rsidP="00823F35">
      <w:r>
        <w:t xml:space="preserve"> Prevalent population of UK transplant recipients being followed up at OuTSMART recruiting centres 2013-2016</w:t>
      </w:r>
    </w:p>
    <w:p w14:paraId="643D1D6E" w14:textId="77777777" w:rsidR="00F5771A" w:rsidRDefault="00F5771A" w:rsidP="00823F35"/>
    <w:tbl>
      <w:tblPr>
        <w:tblStyle w:val="GridTable5Dark-Accent2"/>
        <w:tblW w:w="0" w:type="auto"/>
        <w:tblLook w:val="04A0" w:firstRow="1" w:lastRow="0" w:firstColumn="1" w:lastColumn="0" w:noHBand="0" w:noVBand="1"/>
      </w:tblPr>
      <w:tblGrid>
        <w:gridCol w:w="2450"/>
        <w:gridCol w:w="801"/>
        <w:gridCol w:w="801"/>
        <w:gridCol w:w="801"/>
        <w:gridCol w:w="801"/>
      </w:tblGrid>
      <w:tr w:rsidR="00F5771A" w14:paraId="5082DB79" w14:textId="77777777" w:rsidTr="004E4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9EEBC4" w14:textId="77777777" w:rsidR="00F5771A" w:rsidRDefault="00F5771A" w:rsidP="004E4AE4"/>
        </w:tc>
        <w:tc>
          <w:tcPr>
            <w:tcW w:w="0" w:type="auto"/>
          </w:tcPr>
          <w:p w14:paraId="46C779C5" w14:textId="77777777" w:rsidR="00F5771A" w:rsidRDefault="00F5771A" w:rsidP="004E4AE4">
            <w:pPr>
              <w:cnfStyle w:val="100000000000" w:firstRow="1" w:lastRow="0" w:firstColumn="0" w:lastColumn="0" w:oddVBand="0" w:evenVBand="0" w:oddHBand="0" w:evenHBand="0" w:firstRowFirstColumn="0" w:firstRowLastColumn="0" w:lastRowFirstColumn="0" w:lastRowLastColumn="0"/>
            </w:pPr>
            <w:r>
              <w:t>2013</w:t>
            </w:r>
          </w:p>
        </w:tc>
        <w:tc>
          <w:tcPr>
            <w:tcW w:w="0" w:type="auto"/>
          </w:tcPr>
          <w:p w14:paraId="6D9763EA" w14:textId="77777777" w:rsidR="00F5771A" w:rsidRDefault="00F5771A" w:rsidP="004E4AE4">
            <w:pPr>
              <w:cnfStyle w:val="100000000000" w:firstRow="1" w:lastRow="0" w:firstColumn="0" w:lastColumn="0" w:oddVBand="0" w:evenVBand="0" w:oddHBand="0" w:evenHBand="0" w:firstRowFirstColumn="0" w:firstRowLastColumn="0" w:lastRowFirstColumn="0" w:lastRowLastColumn="0"/>
            </w:pPr>
            <w:r>
              <w:t>2014</w:t>
            </w:r>
          </w:p>
        </w:tc>
        <w:tc>
          <w:tcPr>
            <w:tcW w:w="0" w:type="auto"/>
          </w:tcPr>
          <w:p w14:paraId="63E0F0AE" w14:textId="77777777" w:rsidR="00F5771A" w:rsidRDefault="00F5771A" w:rsidP="004E4AE4">
            <w:pPr>
              <w:cnfStyle w:val="100000000000" w:firstRow="1" w:lastRow="0" w:firstColumn="0" w:lastColumn="0" w:oddVBand="0" w:evenVBand="0" w:oddHBand="0" w:evenHBand="0" w:firstRowFirstColumn="0" w:firstRowLastColumn="0" w:lastRowFirstColumn="0" w:lastRowLastColumn="0"/>
            </w:pPr>
            <w:r>
              <w:t>2015</w:t>
            </w:r>
          </w:p>
        </w:tc>
        <w:tc>
          <w:tcPr>
            <w:tcW w:w="0" w:type="auto"/>
          </w:tcPr>
          <w:p w14:paraId="477E39F9" w14:textId="77777777" w:rsidR="00F5771A" w:rsidRDefault="00F5771A" w:rsidP="004E4AE4">
            <w:pPr>
              <w:cnfStyle w:val="100000000000" w:firstRow="1" w:lastRow="0" w:firstColumn="0" w:lastColumn="0" w:oddVBand="0" w:evenVBand="0" w:oddHBand="0" w:evenHBand="0" w:firstRowFirstColumn="0" w:firstRowLastColumn="0" w:lastRowFirstColumn="0" w:lastRowLastColumn="0"/>
            </w:pPr>
            <w:r>
              <w:t>2016</w:t>
            </w:r>
          </w:p>
        </w:tc>
      </w:tr>
      <w:tr w:rsidR="00F5771A" w14:paraId="6B624ECA" w14:textId="77777777" w:rsidTr="004E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2A9EE0" w14:textId="77777777" w:rsidR="00F5771A" w:rsidRPr="001102F2" w:rsidRDefault="00F5771A" w:rsidP="004E4AE4">
            <w:pPr>
              <w:adjustRightInd w:val="0"/>
              <w:snapToGrid w:val="0"/>
              <w:contextualSpacing/>
              <w:rPr>
                <w:rFonts w:ascii="Arial" w:hAnsi="Arial" w:cs="Arial"/>
                <w:sz w:val="20"/>
                <w:szCs w:val="20"/>
              </w:rPr>
            </w:pPr>
            <w:r w:rsidRPr="0030175D">
              <w:rPr>
                <w:rFonts w:ascii="Arial" w:hAnsi="Arial" w:cs="Arial"/>
                <w:sz w:val="20"/>
                <w:szCs w:val="20"/>
              </w:rPr>
              <w:t>Leeds</w:t>
            </w:r>
          </w:p>
        </w:tc>
        <w:tc>
          <w:tcPr>
            <w:tcW w:w="0" w:type="auto"/>
          </w:tcPr>
          <w:p w14:paraId="491DE31F"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890</w:t>
            </w:r>
          </w:p>
        </w:tc>
        <w:tc>
          <w:tcPr>
            <w:tcW w:w="0" w:type="auto"/>
          </w:tcPr>
          <w:p w14:paraId="1A9EFDBF"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916</w:t>
            </w:r>
          </w:p>
        </w:tc>
        <w:tc>
          <w:tcPr>
            <w:tcW w:w="0" w:type="auto"/>
          </w:tcPr>
          <w:p w14:paraId="607947ED"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954</w:t>
            </w:r>
          </w:p>
        </w:tc>
        <w:tc>
          <w:tcPr>
            <w:tcW w:w="0" w:type="auto"/>
          </w:tcPr>
          <w:p w14:paraId="27C92A23" w14:textId="77777777" w:rsidR="00F5771A" w:rsidRDefault="00F5771A" w:rsidP="004E4AE4">
            <w:pPr>
              <w:cnfStyle w:val="000000100000" w:firstRow="0" w:lastRow="0" w:firstColumn="0" w:lastColumn="0" w:oddVBand="0" w:evenVBand="0" w:oddHBand="1" w:evenHBand="0" w:firstRowFirstColumn="0" w:firstRowLastColumn="0" w:lastRowFirstColumn="0" w:lastRowLastColumn="0"/>
            </w:pPr>
            <w:r w:rsidRPr="00A616A3">
              <w:rPr>
                <w:sz w:val="21"/>
                <w:szCs w:val="21"/>
              </w:rPr>
              <w:t>976</w:t>
            </w:r>
          </w:p>
        </w:tc>
      </w:tr>
      <w:tr w:rsidR="00F5771A" w14:paraId="50AE3F3B" w14:textId="77777777" w:rsidTr="004E4AE4">
        <w:tc>
          <w:tcPr>
            <w:cnfStyle w:val="001000000000" w:firstRow="0" w:lastRow="0" w:firstColumn="1" w:lastColumn="0" w:oddVBand="0" w:evenVBand="0" w:oddHBand="0" w:evenHBand="0" w:firstRowFirstColumn="0" w:firstRowLastColumn="0" w:lastRowFirstColumn="0" w:lastRowLastColumn="0"/>
            <w:tcW w:w="0" w:type="auto"/>
          </w:tcPr>
          <w:p w14:paraId="35757F90" w14:textId="77777777" w:rsidR="00F5771A" w:rsidRDefault="00F5771A" w:rsidP="004E4AE4">
            <w:r w:rsidRPr="0030175D">
              <w:rPr>
                <w:rFonts w:ascii="Arial" w:hAnsi="Arial" w:cs="Arial"/>
                <w:sz w:val="20"/>
                <w:szCs w:val="20"/>
              </w:rPr>
              <w:t>Royal London</w:t>
            </w:r>
          </w:p>
        </w:tc>
        <w:tc>
          <w:tcPr>
            <w:tcW w:w="0" w:type="auto"/>
          </w:tcPr>
          <w:p w14:paraId="77AB8B9B"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952</w:t>
            </w:r>
          </w:p>
        </w:tc>
        <w:tc>
          <w:tcPr>
            <w:tcW w:w="0" w:type="auto"/>
          </w:tcPr>
          <w:p w14:paraId="0B17A06A"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1,041</w:t>
            </w:r>
          </w:p>
        </w:tc>
        <w:tc>
          <w:tcPr>
            <w:tcW w:w="0" w:type="auto"/>
          </w:tcPr>
          <w:p w14:paraId="2471B396"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1,072</w:t>
            </w:r>
          </w:p>
        </w:tc>
        <w:tc>
          <w:tcPr>
            <w:tcW w:w="0" w:type="auto"/>
          </w:tcPr>
          <w:p w14:paraId="39035A5C" w14:textId="77777777" w:rsidR="00F5771A" w:rsidRDefault="00F5771A" w:rsidP="004E4AE4">
            <w:pPr>
              <w:cnfStyle w:val="000000000000" w:firstRow="0" w:lastRow="0" w:firstColumn="0" w:lastColumn="0" w:oddVBand="0" w:evenVBand="0" w:oddHBand="0" w:evenHBand="0" w:firstRowFirstColumn="0" w:firstRowLastColumn="0" w:lastRowFirstColumn="0" w:lastRowLastColumn="0"/>
            </w:pPr>
            <w:r w:rsidRPr="006C5D42">
              <w:rPr>
                <w:sz w:val="21"/>
                <w:szCs w:val="21"/>
              </w:rPr>
              <w:t>1,141</w:t>
            </w:r>
          </w:p>
        </w:tc>
      </w:tr>
      <w:tr w:rsidR="00F5771A" w14:paraId="081A1E62" w14:textId="77777777" w:rsidTr="004E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BCA309" w14:textId="77777777" w:rsidR="00F5771A" w:rsidRDefault="00F5771A" w:rsidP="004E4AE4">
            <w:r w:rsidRPr="0030175D">
              <w:rPr>
                <w:rFonts w:ascii="Arial" w:hAnsi="Arial" w:cs="Arial"/>
                <w:sz w:val="20"/>
                <w:szCs w:val="20"/>
              </w:rPr>
              <w:t>Guy’s</w:t>
            </w:r>
          </w:p>
        </w:tc>
        <w:tc>
          <w:tcPr>
            <w:tcW w:w="0" w:type="auto"/>
          </w:tcPr>
          <w:p w14:paraId="2AC759A0"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1,182</w:t>
            </w:r>
          </w:p>
        </w:tc>
        <w:tc>
          <w:tcPr>
            <w:tcW w:w="0" w:type="auto"/>
          </w:tcPr>
          <w:p w14:paraId="3CC6224C"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1,240</w:t>
            </w:r>
          </w:p>
        </w:tc>
        <w:tc>
          <w:tcPr>
            <w:tcW w:w="0" w:type="auto"/>
          </w:tcPr>
          <w:p w14:paraId="181E88EA"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1,302</w:t>
            </w:r>
          </w:p>
        </w:tc>
        <w:tc>
          <w:tcPr>
            <w:tcW w:w="0" w:type="auto"/>
          </w:tcPr>
          <w:p w14:paraId="66774189" w14:textId="77777777" w:rsidR="00F5771A" w:rsidRDefault="00F5771A" w:rsidP="004E4AE4">
            <w:pPr>
              <w:cnfStyle w:val="000000100000" w:firstRow="0" w:lastRow="0" w:firstColumn="0" w:lastColumn="0" w:oddVBand="0" w:evenVBand="0" w:oddHBand="1" w:evenHBand="0" w:firstRowFirstColumn="0" w:firstRowLastColumn="0" w:lastRowFirstColumn="0" w:lastRowLastColumn="0"/>
            </w:pPr>
            <w:r w:rsidRPr="00CF2AB1">
              <w:rPr>
                <w:sz w:val="21"/>
                <w:szCs w:val="21"/>
              </w:rPr>
              <w:t>1,365</w:t>
            </w:r>
          </w:p>
        </w:tc>
      </w:tr>
      <w:tr w:rsidR="00F5771A" w14:paraId="09F23740" w14:textId="77777777" w:rsidTr="004E4AE4">
        <w:tc>
          <w:tcPr>
            <w:cnfStyle w:val="001000000000" w:firstRow="0" w:lastRow="0" w:firstColumn="1" w:lastColumn="0" w:oddVBand="0" w:evenVBand="0" w:oddHBand="0" w:evenHBand="0" w:firstRowFirstColumn="0" w:firstRowLastColumn="0" w:lastRowFirstColumn="0" w:lastRowLastColumn="0"/>
            <w:tcW w:w="0" w:type="auto"/>
          </w:tcPr>
          <w:p w14:paraId="6D0C4182" w14:textId="77777777" w:rsidR="00F5771A" w:rsidRDefault="00F5771A" w:rsidP="004E4AE4">
            <w:r w:rsidRPr="0030175D">
              <w:rPr>
                <w:rFonts w:ascii="Arial" w:hAnsi="Arial" w:cs="Arial"/>
                <w:sz w:val="20"/>
                <w:szCs w:val="20"/>
              </w:rPr>
              <w:t>Manchester</w:t>
            </w:r>
          </w:p>
        </w:tc>
        <w:tc>
          <w:tcPr>
            <w:tcW w:w="0" w:type="auto"/>
          </w:tcPr>
          <w:p w14:paraId="0A3A0301"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1,259</w:t>
            </w:r>
          </w:p>
        </w:tc>
        <w:tc>
          <w:tcPr>
            <w:tcW w:w="0" w:type="auto"/>
          </w:tcPr>
          <w:p w14:paraId="6E91EAB1"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1,218</w:t>
            </w:r>
          </w:p>
        </w:tc>
        <w:tc>
          <w:tcPr>
            <w:tcW w:w="0" w:type="auto"/>
          </w:tcPr>
          <w:p w14:paraId="6EE58461"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1,305</w:t>
            </w:r>
          </w:p>
        </w:tc>
        <w:tc>
          <w:tcPr>
            <w:tcW w:w="0" w:type="auto"/>
          </w:tcPr>
          <w:p w14:paraId="761475A5" w14:textId="77777777" w:rsidR="00F5771A" w:rsidRDefault="00F5771A" w:rsidP="004E4AE4">
            <w:pPr>
              <w:cnfStyle w:val="000000000000" w:firstRow="0" w:lastRow="0" w:firstColumn="0" w:lastColumn="0" w:oddVBand="0" w:evenVBand="0" w:oddHBand="0" w:evenHBand="0" w:firstRowFirstColumn="0" w:firstRowLastColumn="0" w:lastRowFirstColumn="0" w:lastRowLastColumn="0"/>
            </w:pPr>
            <w:r w:rsidRPr="00D65E81">
              <w:rPr>
                <w:sz w:val="21"/>
                <w:szCs w:val="21"/>
              </w:rPr>
              <w:t>1,398</w:t>
            </w:r>
          </w:p>
        </w:tc>
      </w:tr>
      <w:tr w:rsidR="00F5771A" w14:paraId="6137839F" w14:textId="77777777" w:rsidTr="004E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3E52EA" w14:textId="77777777" w:rsidR="00F5771A" w:rsidRDefault="00F5771A" w:rsidP="004E4AE4">
            <w:r w:rsidRPr="0030175D">
              <w:rPr>
                <w:rFonts w:ascii="Arial" w:hAnsi="Arial" w:cs="Arial"/>
                <w:sz w:val="20"/>
                <w:szCs w:val="20"/>
              </w:rPr>
              <w:t>Birmingham</w:t>
            </w:r>
          </w:p>
        </w:tc>
        <w:tc>
          <w:tcPr>
            <w:tcW w:w="0" w:type="auto"/>
          </w:tcPr>
          <w:p w14:paraId="6DFFAB7A"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sidRPr="00A020B8">
              <w:rPr>
                <w:sz w:val="21"/>
                <w:szCs w:val="21"/>
              </w:rPr>
              <w:t>1</w:t>
            </w:r>
            <w:r>
              <w:rPr>
                <w:sz w:val="21"/>
                <w:szCs w:val="21"/>
              </w:rPr>
              <w:t>,</w:t>
            </w:r>
            <w:r w:rsidRPr="00A020B8">
              <w:rPr>
                <w:sz w:val="21"/>
                <w:szCs w:val="21"/>
              </w:rPr>
              <w:t>163</w:t>
            </w:r>
          </w:p>
        </w:tc>
        <w:tc>
          <w:tcPr>
            <w:tcW w:w="0" w:type="auto"/>
          </w:tcPr>
          <w:p w14:paraId="04626AAC"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1,231</w:t>
            </w:r>
          </w:p>
        </w:tc>
        <w:tc>
          <w:tcPr>
            <w:tcW w:w="0" w:type="auto"/>
          </w:tcPr>
          <w:p w14:paraId="4EA30BFF"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1,291</w:t>
            </w:r>
          </w:p>
        </w:tc>
        <w:tc>
          <w:tcPr>
            <w:tcW w:w="0" w:type="auto"/>
          </w:tcPr>
          <w:p w14:paraId="6010025D" w14:textId="77777777" w:rsidR="00F5771A" w:rsidRDefault="00F5771A" w:rsidP="004E4AE4">
            <w:pPr>
              <w:cnfStyle w:val="000000100000" w:firstRow="0" w:lastRow="0" w:firstColumn="0" w:lastColumn="0" w:oddVBand="0" w:evenVBand="0" w:oddHBand="1" w:evenHBand="0" w:firstRowFirstColumn="0" w:firstRowLastColumn="0" w:lastRowFirstColumn="0" w:lastRowLastColumn="0"/>
            </w:pPr>
            <w:r w:rsidRPr="009120A6">
              <w:rPr>
                <w:sz w:val="21"/>
                <w:szCs w:val="21"/>
              </w:rPr>
              <w:t xml:space="preserve">1,411 </w:t>
            </w:r>
          </w:p>
        </w:tc>
      </w:tr>
      <w:tr w:rsidR="00F5771A" w14:paraId="2750E2DF" w14:textId="77777777" w:rsidTr="004E4AE4">
        <w:tc>
          <w:tcPr>
            <w:cnfStyle w:val="001000000000" w:firstRow="0" w:lastRow="0" w:firstColumn="1" w:lastColumn="0" w:oddVBand="0" w:evenVBand="0" w:oddHBand="0" w:evenHBand="0" w:firstRowFirstColumn="0" w:firstRowLastColumn="0" w:lastRowFirstColumn="0" w:lastRowLastColumn="0"/>
            <w:tcW w:w="0" w:type="auto"/>
          </w:tcPr>
          <w:p w14:paraId="29C162CC" w14:textId="77777777" w:rsidR="00F5771A" w:rsidRDefault="00F5771A" w:rsidP="004E4AE4">
            <w:r w:rsidRPr="0030175D">
              <w:rPr>
                <w:rFonts w:ascii="Arial" w:hAnsi="Arial" w:cs="Arial"/>
                <w:sz w:val="20"/>
                <w:szCs w:val="20"/>
              </w:rPr>
              <w:t>King’s College Hospital</w:t>
            </w:r>
          </w:p>
        </w:tc>
        <w:tc>
          <w:tcPr>
            <w:tcW w:w="0" w:type="auto"/>
          </w:tcPr>
          <w:p w14:paraId="7AF8057F"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362</w:t>
            </w:r>
          </w:p>
        </w:tc>
        <w:tc>
          <w:tcPr>
            <w:tcW w:w="0" w:type="auto"/>
          </w:tcPr>
          <w:p w14:paraId="17F7CDBA"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393</w:t>
            </w:r>
          </w:p>
        </w:tc>
        <w:tc>
          <w:tcPr>
            <w:tcW w:w="0" w:type="auto"/>
          </w:tcPr>
          <w:p w14:paraId="189C2453"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429</w:t>
            </w:r>
          </w:p>
        </w:tc>
        <w:tc>
          <w:tcPr>
            <w:tcW w:w="0" w:type="auto"/>
          </w:tcPr>
          <w:p w14:paraId="392A5021" w14:textId="77777777" w:rsidR="00F5771A" w:rsidRDefault="00F5771A" w:rsidP="004E4AE4">
            <w:pPr>
              <w:cnfStyle w:val="000000000000" w:firstRow="0" w:lastRow="0" w:firstColumn="0" w:lastColumn="0" w:oddVBand="0" w:evenVBand="0" w:oddHBand="0" w:evenHBand="0" w:firstRowFirstColumn="0" w:firstRowLastColumn="0" w:lastRowFirstColumn="0" w:lastRowLastColumn="0"/>
            </w:pPr>
            <w:r>
              <w:rPr>
                <w:sz w:val="21"/>
                <w:szCs w:val="21"/>
              </w:rPr>
              <w:t>436</w:t>
            </w:r>
          </w:p>
        </w:tc>
      </w:tr>
      <w:tr w:rsidR="00F5771A" w14:paraId="0C174E79" w14:textId="77777777" w:rsidTr="004E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1C5987" w14:textId="77777777" w:rsidR="00F5771A" w:rsidRDefault="00F5771A" w:rsidP="004E4AE4">
            <w:r w:rsidRPr="0030175D">
              <w:rPr>
                <w:rFonts w:ascii="Arial" w:hAnsi="Arial" w:cs="Arial"/>
                <w:sz w:val="20"/>
                <w:szCs w:val="20"/>
              </w:rPr>
              <w:t>York</w:t>
            </w:r>
          </w:p>
        </w:tc>
        <w:tc>
          <w:tcPr>
            <w:tcW w:w="0" w:type="auto"/>
          </w:tcPr>
          <w:p w14:paraId="0BA38C0E"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242</w:t>
            </w:r>
          </w:p>
        </w:tc>
        <w:tc>
          <w:tcPr>
            <w:tcW w:w="0" w:type="auto"/>
          </w:tcPr>
          <w:p w14:paraId="1C4099CE"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289</w:t>
            </w:r>
          </w:p>
        </w:tc>
        <w:tc>
          <w:tcPr>
            <w:tcW w:w="0" w:type="auto"/>
          </w:tcPr>
          <w:p w14:paraId="75592775"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300</w:t>
            </w:r>
          </w:p>
        </w:tc>
        <w:tc>
          <w:tcPr>
            <w:tcW w:w="0" w:type="auto"/>
          </w:tcPr>
          <w:p w14:paraId="784BB979" w14:textId="77777777" w:rsidR="00F5771A" w:rsidRDefault="00F5771A" w:rsidP="004E4AE4">
            <w:pPr>
              <w:cnfStyle w:val="000000100000" w:firstRow="0" w:lastRow="0" w:firstColumn="0" w:lastColumn="0" w:oddVBand="0" w:evenVBand="0" w:oddHBand="1" w:evenHBand="0" w:firstRowFirstColumn="0" w:firstRowLastColumn="0" w:lastRowFirstColumn="0" w:lastRowLastColumn="0"/>
            </w:pPr>
            <w:r w:rsidRPr="00181E85">
              <w:rPr>
                <w:sz w:val="21"/>
                <w:szCs w:val="21"/>
              </w:rPr>
              <w:t>306</w:t>
            </w:r>
          </w:p>
        </w:tc>
      </w:tr>
      <w:tr w:rsidR="00F5771A" w14:paraId="3D172200" w14:textId="77777777" w:rsidTr="004E4AE4">
        <w:tc>
          <w:tcPr>
            <w:cnfStyle w:val="001000000000" w:firstRow="0" w:lastRow="0" w:firstColumn="1" w:lastColumn="0" w:oddVBand="0" w:evenVBand="0" w:oddHBand="0" w:evenHBand="0" w:firstRowFirstColumn="0" w:firstRowLastColumn="0" w:lastRowFirstColumn="0" w:lastRowLastColumn="0"/>
            <w:tcW w:w="0" w:type="auto"/>
          </w:tcPr>
          <w:p w14:paraId="752A20A4" w14:textId="77777777" w:rsidR="00F5771A" w:rsidRDefault="00F5771A" w:rsidP="004E4AE4">
            <w:r w:rsidRPr="0030175D">
              <w:rPr>
                <w:rFonts w:ascii="Arial" w:hAnsi="Arial" w:cs="Arial"/>
                <w:sz w:val="20"/>
                <w:szCs w:val="20"/>
              </w:rPr>
              <w:t>Coventry</w:t>
            </w:r>
          </w:p>
        </w:tc>
        <w:tc>
          <w:tcPr>
            <w:tcW w:w="0" w:type="auto"/>
          </w:tcPr>
          <w:p w14:paraId="6C33259E"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471</w:t>
            </w:r>
          </w:p>
        </w:tc>
        <w:tc>
          <w:tcPr>
            <w:tcW w:w="0" w:type="auto"/>
          </w:tcPr>
          <w:p w14:paraId="013709ED"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504</w:t>
            </w:r>
          </w:p>
        </w:tc>
        <w:tc>
          <w:tcPr>
            <w:tcW w:w="0" w:type="auto"/>
          </w:tcPr>
          <w:p w14:paraId="37846F63"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518</w:t>
            </w:r>
          </w:p>
        </w:tc>
        <w:tc>
          <w:tcPr>
            <w:tcW w:w="0" w:type="auto"/>
          </w:tcPr>
          <w:p w14:paraId="6EB1FBD6" w14:textId="77777777" w:rsidR="00F5771A" w:rsidRDefault="00F5771A" w:rsidP="004E4AE4">
            <w:pPr>
              <w:cnfStyle w:val="000000000000" w:firstRow="0" w:lastRow="0" w:firstColumn="0" w:lastColumn="0" w:oddVBand="0" w:evenVBand="0" w:oddHBand="0" w:evenHBand="0" w:firstRowFirstColumn="0" w:firstRowLastColumn="0" w:lastRowFirstColumn="0" w:lastRowLastColumn="0"/>
            </w:pPr>
            <w:r>
              <w:rPr>
                <w:sz w:val="21"/>
                <w:szCs w:val="21"/>
              </w:rPr>
              <w:t>531</w:t>
            </w:r>
          </w:p>
        </w:tc>
      </w:tr>
      <w:tr w:rsidR="00F5771A" w14:paraId="1DE985FA" w14:textId="77777777" w:rsidTr="004E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802B26" w14:textId="77777777" w:rsidR="00F5771A" w:rsidRDefault="00F5771A" w:rsidP="004E4AE4">
            <w:r w:rsidRPr="0030175D">
              <w:rPr>
                <w:rFonts w:ascii="Arial" w:hAnsi="Arial" w:cs="Arial"/>
                <w:sz w:val="20"/>
                <w:szCs w:val="20"/>
              </w:rPr>
              <w:t>Preston</w:t>
            </w:r>
          </w:p>
        </w:tc>
        <w:tc>
          <w:tcPr>
            <w:tcW w:w="0" w:type="auto"/>
          </w:tcPr>
          <w:p w14:paraId="3F041FC8"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487</w:t>
            </w:r>
          </w:p>
        </w:tc>
        <w:tc>
          <w:tcPr>
            <w:tcW w:w="0" w:type="auto"/>
          </w:tcPr>
          <w:p w14:paraId="1C44005E"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548</w:t>
            </w:r>
          </w:p>
        </w:tc>
        <w:tc>
          <w:tcPr>
            <w:tcW w:w="0" w:type="auto"/>
          </w:tcPr>
          <w:p w14:paraId="77CEDF46"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591</w:t>
            </w:r>
          </w:p>
        </w:tc>
        <w:tc>
          <w:tcPr>
            <w:tcW w:w="0" w:type="auto"/>
          </w:tcPr>
          <w:p w14:paraId="56588B6C" w14:textId="77777777" w:rsidR="00F5771A" w:rsidRDefault="00F5771A" w:rsidP="004E4AE4">
            <w:pPr>
              <w:cnfStyle w:val="000000100000" w:firstRow="0" w:lastRow="0" w:firstColumn="0" w:lastColumn="0" w:oddVBand="0" w:evenVBand="0" w:oddHBand="1" w:evenHBand="0" w:firstRowFirstColumn="0" w:firstRowLastColumn="0" w:lastRowFirstColumn="0" w:lastRowLastColumn="0"/>
            </w:pPr>
            <w:r>
              <w:rPr>
                <w:sz w:val="21"/>
                <w:szCs w:val="21"/>
              </w:rPr>
              <w:t>605</w:t>
            </w:r>
          </w:p>
        </w:tc>
      </w:tr>
      <w:tr w:rsidR="00F5771A" w14:paraId="35CABDC7" w14:textId="77777777" w:rsidTr="004E4AE4">
        <w:tc>
          <w:tcPr>
            <w:cnfStyle w:val="001000000000" w:firstRow="0" w:lastRow="0" w:firstColumn="1" w:lastColumn="0" w:oddVBand="0" w:evenVBand="0" w:oddHBand="0" w:evenHBand="0" w:firstRowFirstColumn="0" w:firstRowLastColumn="0" w:lastRowFirstColumn="0" w:lastRowLastColumn="0"/>
            <w:tcW w:w="0" w:type="auto"/>
          </w:tcPr>
          <w:p w14:paraId="22C59633" w14:textId="77777777" w:rsidR="00F5771A" w:rsidRPr="0030175D" w:rsidRDefault="00F5771A" w:rsidP="004E4AE4">
            <w:pPr>
              <w:rPr>
                <w:rFonts w:ascii="Arial" w:hAnsi="Arial" w:cs="Arial"/>
                <w:sz w:val="20"/>
                <w:szCs w:val="20"/>
              </w:rPr>
            </w:pPr>
            <w:r w:rsidRPr="0030175D">
              <w:rPr>
                <w:rFonts w:ascii="Arial" w:hAnsi="Arial" w:cs="Arial"/>
                <w:sz w:val="20"/>
                <w:szCs w:val="20"/>
              </w:rPr>
              <w:t>Salford</w:t>
            </w:r>
          </w:p>
        </w:tc>
        <w:tc>
          <w:tcPr>
            <w:tcW w:w="0" w:type="auto"/>
          </w:tcPr>
          <w:p w14:paraId="111FD5DB"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411</w:t>
            </w:r>
          </w:p>
        </w:tc>
        <w:tc>
          <w:tcPr>
            <w:tcW w:w="0" w:type="auto"/>
          </w:tcPr>
          <w:p w14:paraId="0D5BF64C"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470</w:t>
            </w:r>
          </w:p>
        </w:tc>
        <w:tc>
          <w:tcPr>
            <w:tcW w:w="0" w:type="auto"/>
          </w:tcPr>
          <w:p w14:paraId="1C047CE1"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483</w:t>
            </w:r>
          </w:p>
        </w:tc>
        <w:tc>
          <w:tcPr>
            <w:tcW w:w="0" w:type="auto"/>
          </w:tcPr>
          <w:p w14:paraId="73379136" w14:textId="77777777" w:rsidR="00F5771A" w:rsidRDefault="00F5771A" w:rsidP="004E4AE4">
            <w:pPr>
              <w:cnfStyle w:val="000000000000" w:firstRow="0" w:lastRow="0" w:firstColumn="0" w:lastColumn="0" w:oddVBand="0" w:evenVBand="0" w:oddHBand="0" w:evenHBand="0" w:firstRowFirstColumn="0" w:firstRowLastColumn="0" w:lastRowFirstColumn="0" w:lastRowLastColumn="0"/>
            </w:pPr>
            <w:r>
              <w:rPr>
                <w:sz w:val="21"/>
                <w:szCs w:val="21"/>
              </w:rPr>
              <w:t>513</w:t>
            </w:r>
          </w:p>
        </w:tc>
      </w:tr>
      <w:tr w:rsidR="00F5771A" w14:paraId="5C6C9524" w14:textId="77777777" w:rsidTr="004E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DF4A31" w14:textId="77777777" w:rsidR="00F5771A" w:rsidRPr="0030175D" w:rsidRDefault="00F5771A" w:rsidP="004E4AE4">
            <w:pPr>
              <w:rPr>
                <w:rFonts w:ascii="Arial" w:hAnsi="Arial" w:cs="Arial"/>
                <w:sz w:val="20"/>
                <w:szCs w:val="20"/>
              </w:rPr>
            </w:pPr>
            <w:r w:rsidRPr="0030175D">
              <w:rPr>
                <w:rFonts w:ascii="Arial" w:hAnsi="Arial" w:cs="Arial"/>
                <w:sz w:val="20"/>
                <w:szCs w:val="20"/>
              </w:rPr>
              <w:t>Bradford</w:t>
            </w:r>
          </w:p>
        </w:tc>
        <w:tc>
          <w:tcPr>
            <w:tcW w:w="0" w:type="auto"/>
          </w:tcPr>
          <w:p w14:paraId="3A2E1DE8"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288</w:t>
            </w:r>
          </w:p>
        </w:tc>
        <w:tc>
          <w:tcPr>
            <w:tcW w:w="0" w:type="auto"/>
          </w:tcPr>
          <w:p w14:paraId="163E1A89"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305</w:t>
            </w:r>
          </w:p>
        </w:tc>
        <w:tc>
          <w:tcPr>
            <w:tcW w:w="0" w:type="auto"/>
          </w:tcPr>
          <w:p w14:paraId="678CB7A9"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330</w:t>
            </w:r>
          </w:p>
        </w:tc>
        <w:tc>
          <w:tcPr>
            <w:tcW w:w="0" w:type="auto"/>
          </w:tcPr>
          <w:p w14:paraId="1C6EA996" w14:textId="77777777" w:rsidR="00F5771A" w:rsidRDefault="00F5771A" w:rsidP="004E4AE4">
            <w:pPr>
              <w:cnfStyle w:val="000000100000" w:firstRow="0" w:lastRow="0" w:firstColumn="0" w:lastColumn="0" w:oddVBand="0" w:evenVBand="0" w:oddHBand="1" w:evenHBand="0" w:firstRowFirstColumn="0" w:firstRowLastColumn="0" w:lastRowFirstColumn="0" w:lastRowLastColumn="0"/>
            </w:pPr>
            <w:r>
              <w:rPr>
                <w:sz w:val="21"/>
                <w:szCs w:val="21"/>
              </w:rPr>
              <w:t>359</w:t>
            </w:r>
          </w:p>
        </w:tc>
      </w:tr>
      <w:tr w:rsidR="00F5771A" w14:paraId="5608A6F1" w14:textId="77777777" w:rsidTr="004E4AE4">
        <w:tc>
          <w:tcPr>
            <w:cnfStyle w:val="001000000000" w:firstRow="0" w:lastRow="0" w:firstColumn="1" w:lastColumn="0" w:oddVBand="0" w:evenVBand="0" w:oddHBand="0" w:evenHBand="0" w:firstRowFirstColumn="0" w:firstRowLastColumn="0" w:lastRowFirstColumn="0" w:lastRowLastColumn="0"/>
            <w:tcW w:w="0" w:type="auto"/>
          </w:tcPr>
          <w:p w14:paraId="4CA26204" w14:textId="77777777" w:rsidR="00F5771A" w:rsidRPr="0030175D" w:rsidRDefault="00F5771A" w:rsidP="004E4AE4">
            <w:pPr>
              <w:rPr>
                <w:rFonts w:ascii="Arial" w:hAnsi="Arial" w:cs="Arial"/>
                <w:sz w:val="20"/>
                <w:szCs w:val="20"/>
              </w:rPr>
            </w:pPr>
            <w:r w:rsidRPr="0030175D">
              <w:rPr>
                <w:rFonts w:ascii="Arial" w:hAnsi="Arial" w:cs="Arial"/>
                <w:sz w:val="20"/>
                <w:szCs w:val="20"/>
              </w:rPr>
              <w:t>Royal Free</w:t>
            </w:r>
          </w:p>
        </w:tc>
        <w:tc>
          <w:tcPr>
            <w:tcW w:w="0" w:type="auto"/>
          </w:tcPr>
          <w:p w14:paraId="0C97086D"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1,093</w:t>
            </w:r>
          </w:p>
        </w:tc>
        <w:tc>
          <w:tcPr>
            <w:tcW w:w="0" w:type="auto"/>
          </w:tcPr>
          <w:p w14:paraId="192AF054"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1,155</w:t>
            </w:r>
          </w:p>
        </w:tc>
        <w:tc>
          <w:tcPr>
            <w:tcW w:w="0" w:type="auto"/>
          </w:tcPr>
          <w:p w14:paraId="1F5278DF"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1,221</w:t>
            </w:r>
          </w:p>
        </w:tc>
        <w:tc>
          <w:tcPr>
            <w:tcW w:w="0" w:type="auto"/>
          </w:tcPr>
          <w:p w14:paraId="39F3B8E3" w14:textId="77777777" w:rsidR="00F5771A" w:rsidRDefault="00F5771A" w:rsidP="004E4AE4">
            <w:pPr>
              <w:cnfStyle w:val="000000000000" w:firstRow="0" w:lastRow="0" w:firstColumn="0" w:lastColumn="0" w:oddVBand="0" w:evenVBand="0" w:oddHBand="0" w:evenHBand="0" w:firstRowFirstColumn="0" w:firstRowLastColumn="0" w:lastRowFirstColumn="0" w:lastRowLastColumn="0"/>
            </w:pPr>
            <w:r w:rsidRPr="000A4A45">
              <w:rPr>
                <w:sz w:val="21"/>
                <w:szCs w:val="21"/>
              </w:rPr>
              <w:t>1,288</w:t>
            </w:r>
          </w:p>
        </w:tc>
      </w:tr>
      <w:tr w:rsidR="00F5771A" w14:paraId="75B45632" w14:textId="77777777" w:rsidTr="004E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F95A86" w14:textId="77777777" w:rsidR="00F5771A" w:rsidRPr="0030175D" w:rsidRDefault="00F5771A" w:rsidP="004E4AE4">
            <w:pPr>
              <w:rPr>
                <w:rFonts w:ascii="Arial" w:hAnsi="Arial" w:cs="Arial"/>
                <w:sz w:val="20"/>
                <w:szCs w:val="20"/>
              </w:rPr>
            </w:pPr>
            <w:r w:rsidRPr="0030175D">
              <w:rPr>
                <w:rFonts w:ascii="Arial" w:hAnsi="Arial" w:cs="Arial"/>
                <w:sz w:val="20"/>
                <w:szCs w:val="20"/>
              </w:rPr>
              <w:t>St Helie</w:t>
            </w:r>
            <w:r>
              <w:rPr>
                <w:rFonts w:ascii="Arial" w:hAnsi="Arial" w:cs="Arial"/>
                <w:sz w:val="20"/>
                <w:szCs w:val="20"/>
              </w:rPr>
              <w:t>r</w:t>
            </w:r>
          </w:p>
        </w:tc>
        <w:tc>
          <w:tcPr>
            <w:tcW w:w="0" w:type="auto"/>
          </w:tcPr>
          <w:p w14:paraId="0D127A89"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604</w:t>
            </w:r>
          </w:p>
        </w:tc>
        <w:tc>
          <w:tcPr>
            <w:tcW w:w="0" w:type="auto"/>
          </w:tcPr>
          <w:p w14:paraId="18F3818F"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636</w:t>
            </w:r>
          </w:p>
        </w:tc>
        <w:tc>
          <w:tcPr>
            <w:tcW w:w="0" w:type="auto"/>
          </w:tcPr>
          <w:p w14:paraId="50BE0FBC" w14:textId="77777777" w:rsidR="00F5771A" w:rsidRPr="00A020B8"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652</w:t>
            </w:r>
          </w:p>
        </w:tc>
        <w:tc>
          <w:tcPr>
            <w:tcW w:w="0" w:type="auto"/>
          </w:tcPr>
          <w:p w14:paraId="266E6F66" w14:textId="77777777" w:rsidR="00F5771A" w:rsidRDefault="00F5771A" w:rsidP="004E4AE4">
            <w:pPr>
              <w:cnfStyle w:val="000000100000" w:firstRow="0" w:lastRow="0" w:firstColumn="0" w:lastColumn="0" w:oddVBand="0" w:evenVBand="0" w:oddHBand="1" w:evenHBand="0" w:firstRowFirstColumn="0" w:firstRowLastColumn="0" w:lastRowFirstColumn="0" w:lastRowLastColumn="0"/>
            </w:pPr>
            <w:r>
              <w:rPr>
                <w:sz w:val="21"/>
                <w:szCs w:val="21"/>
              </w:rPr>
              <w:t>685</w:t>
            </w:r>
          </w:p>
        </w:tc>
      </w:tr>
      <w:tr w:rsidR="00F5771A" w14:paraId="2D8CF1A5" w14:textId="77777777" w:rsidTr="004E4AE4">
        <w:tc>
          <w:tcPr>
            <w:cnfStyle w:val="001000000000" w:firstRow="0" w:lastRow="0" w:firstColumn="1" w:lastColumn="0" w:oddVBand="0" w:evenVBand="0" w:oddHBand="0" w:evenHBand="0" w:firstRowFirstColumn="0" w:firstRowLastColumn="0" w:lastRowFirstColumn="0" w:lastRowLastColumn="0"/>
            <w:tcW w:w="0" w:type="auto"/>
          </w:tcPr>
          <w:p w14:paraId="225BBA92" w14:textId="77777777" w:rsidR="00F5771A" w:rsidRPr="0030175D" w:rsidRDefault="00F5771A" w:rsidP="004E4AE4">
            <w:pPr>
              <w:rPr>
                <w:rFonts w:ascii="Arial" w:hAnsi="Arial" w:cs="Arial"/>
                <w:sz w:val="20"/>
                <w:szCs w:val="20"/>
              </w:rPr>
            </w:pPr>
            <w:r>
              <w:rPr>
                <w:rFonts w:ascii="Arial" w:hAnsi="Arial" w:cs="Arial"/>
                <w:sz w:val="20"/>
                <w:szCs w:val="20"/>
              </w:rPr>
              <w:t>Total</w:t>
            </w:r>
          </w:p>
        </w:tc>
        <w:tc>
          <w:tcPr>
            <w:tcW w:w="0" w:type="auto"/>
          </w:tcPr>
          <w:p w14:paraId="34113700" w14:textId="77777777" w:rsidR="00F5771A" w:rsidRPr="00973569" w:rsidRDefault="00F5771A" w:rsidP="004E4AE4">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973569">
              <w:rPr>
                <w:rFonts w:ascii="Calibri" w:hAnsi="Calibri" w:cs="Calibri"/>
                <w:color w:val="000000"/>
                <w:sz w:val="21"/>
                <w:szCs w:val="21"/>
              </w:rPr>
              <w:t>9</w:t>
            </w:r>
            <w:r>
              <w:rPr>
                <w:rFonts w:ascii="Calibri" w:hAnsi="Calibri" w:cs="Calibri"/>
                <w:color w:val="000000"/>
                <w:sz w:val="21"/>
                <w:szCs w:val="21"/>
              </w:rPr>
              <w:t>,</w:t>
            </w:r>
            <w:r w:rsidRPr="00973569">
              <w:rPr>
                <w:rFonts w:ascii="Calibri" w:hAnsi="Calibri" w:cs="Calibri"/>
                <w:color w:val="000000"/>
                <w:sz w:val="21"/>
                <w:szCs w:val="21"/>
              </w:rPr>
              <w:t>404</w:t>
            </w:r>
          </w:p>
        </w:tc>
        <w:tc>
          <w:tcPr>
            <w:tcW w:w="0" w:type="auto"/>
          </w:tcPr>
          <w:p w14:paraId="1377CB2D" w14:textId="77777777" w:rsidR="00F5771A" w:rsidRPr="00973569" w:rsidRDefault="00F5771A" w:rsidP="004E4AE4">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973569">
              <w:rPr>
                <w:rFonts w:ascii="Calibri" w:hAnsi="Calibri" w:cs="Calibri"/>
                <w:color w:val="000000"/>
                <w:sz w:val="21"/>
                <w:szCs w:val="21"/>
              </w:rPr>
              <w:t>9</w:t>
            </w:r>
            <w:r>
              <w:rPr>
                <w:rFonts w:ascii="Calibri" w:hAnsi="Calibri" w:cs="Calibri"/>
                <w:color w:val="000000"/>
                <w:sz w:val="21"/>
                <w:szCs w:val="21"/>
              </w:rPr>
              <w:t>,</w:t>
            </w:r>
            <w:r w:rsidRPr="00973569">
              <w:rPr>
                <w:rFonts w:ascii="Calibri" w:hAnsi="Calibri" w:cs="Calibri"/>
                <w:color w:val="000000"/>
                <w:sz w:val="21"/>
                <w:szCs w:val="21"/>
              </w:rPr>
              <w:t>946</w:t>
            </w:r>
          </w:p>
        </w:tc>
        <w:tc>
          <w:tcPr>
            <w:tcW w:w="0" w:type="auto"/>
          </w:tcPr>
          <w:p w14:paraId="75BA3E75" w14:textId="77777777" w:rsidR="00F5771A" w:rsidRPr="00973569" w:rsidRDefault="00F5771A" w:rsidP="004E4AE4">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973569">
              <w:rPr>
                <w:rFonts w:ascii="Calibri" w:hAnsi="Calibri" w:cs="Calibri"/>
                <w:color w:val="000000"/>
                <w:sz w:val="21"/>
                <w:szCs w:val="21"/>
              </w:rPr>
              <w:t>10</w:t>
            </w:r>
            <w:r>
              <w:rPr>
                <w:rFonts w:ascii="Calibri" w:hAnsi="Calibri" w:cs="Calibri"/>
                <w:color w:val="000000"/>
                <w:sz w:val="21"/>
                <w:szCs w:val="21"/>
              </w:rPr>
              <w:t>,</w:t>
            </w:r>
            <w:r w:rsidRPr="00973569">
              <w:rPr>
                <w:rFonts w:ascii="Calibri" w:hAnsi="Calibri" w:cs="Calibri"/>
                <w:color w:val="000000"/>
                <w:sz w:val="21"/>
                <w:szCs w:val="21"/>
              </w:rPr>
              <w:t>448</w:t>
            </w:r>
          </w:p>
        </w:tc>
        <w:tc>
          <w:tcPr>
            <w:tcW w:w="0" w:type="auto"/>
          </w:tcPr>
          <w:p w14:paraId="04FB08CA" w14:textId="77777777" w:rsidR="00F5771A" w:rsidRPr="00973569" w:rsidRDefault="00F5771A" w:rsidP="004E4AE4">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973569">
              <w:rPr>
                <w:rFonts w:ascii="Calibri" w:hAnsi="Calibri" w:cs="Calibri"/>
                <w:color w:val="000000"/>
                <w:sz w:val="21"/>
                <w:szCs w:val="21"/>
              </w:rPr>
              <w:t>11</w:t>
            </w:r>
            <w:r>
              <w:rPr>
                <w:rFonts w:ascii="Calibri" w:hAnsi="Calibri" w:cs="Calibri"/>
                <w:color w:val="000000"/>
                <w:sz w:val="21"/>
                <w:szCs w:val="21"/>
              </w:rPr>
              <w:t>,</w:t>
            </w:r>
            <w:r w:rsidRPr="00973569">
              <w:rPr>
                <w:rFonts w:ascii="Calibri" w:hAnsi="Calibri" w:cs="Calibri"/>
                <w:color w:val="000000"/>
                <w:sz w:val="21"/>
                <w:szCs w:val="21"/>
              </w:rPr>
              <w:t>014</w:t>
            </w:r>
          </w:p>
        </w:tc>
      </w:tr>
      <w:tr w:rsidR="00F5771A" w14:paraId="69BBE07A" w14:textId="77777777" w:rsidTr="004E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1F0CA1" w14:textId="77777777" w:rsidR="00F5771A" w:rsidRDefault="00F5771A" w:rsidP="004E4AE4">
            <w:pPr>
              <w:rPr>
                <w:rFonts w:ascii="Arial" w:hAnsi="Arial" w:cs="Arial"/>
                <w:sz w:val="20"/>
                <w:szCs w:val="20"/>
              </w:rPr>
            </w:pPr>
          </w:p>
        </w:tc>
        <w:tc>
          <w:tcPr>
            <w:tcW w:w="0" w:type="auto"/>
          </w:tcPr>
          <w:p w14:paraId="29342D1E" w14:textId="77777777" w:rsidR="00F5771A"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p>
        </w:tc>
        <w:tc>
          <w:tcPr>
            <w:tcW w:w="0" w:type="auto"/>
          </w:tcPr>
          <w:p w14:paraId="51B3AD51" w14:textId="77777777" w:rsidR="00F5771A"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p>
        </w:tc>
        <w:tc>
          <w:tcPr>
            <w:tcW w:w="0" w:type="auto"/>
          </w:tcPr>
          <w:p w14:paraId="750CD8F6" w14:textId="77777777" w:rsidR="00F5771A"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p>
        </w:tc>
        <w:tc>
          <w:tcPr>
            <w:tcW w:w="0" w:type="auto"/>
          </w:tcPr>
          <w:p w14:paraId="08EC3BB9" w14:textId="77777777" w:rsidR="00F5771A" w:rsidRDefault="00F5771A" w:rsidP="004E4AE4">
            <w:pPr>
              <w:cnfStyle w:val="000000100000" w:firstRow="0" w:lastRow="0" w:firstColumn="0" w:lastColumn="0" w:oddVBand="0" w:evenVBand="0" w:oddHBand="1" w:evenHBand="0" w:firstRowFirstColumn="0" w:firstRowLastColumn="0" w:lastRowFirstColumn="0" w:lastRowLastColumn="0"/>
              <w:rPr>
                <w:sz w:val="21"/>
                <w:szCs w:val="21"/>
              </w:rPr>
            </w:pPr>
          </w:p>
        </w:tc>
      </w:tr>
      <w:tr w:rsidR="00F5771A" w14:paraId="7CC4B638" w14:textId="77777777" w:rsidTr="004E4AE4">
        <w:tc>
          <w:tcPr>
            <w:cnfStyle w:val="001000000000" w:firstRow="0" w:lastRow="0" w:firstColumn="1" w:lastColumn="0" w:oddVBand="0" w:evenVBand="0" w:oddHBand="0" w:evenHBand="0" w:firstRowFirstColumn="0" w:firstRowLastColumn="0" w:lastRowFirstColumn="0" w:lastRowLastColumn="0"/>
            <w:tcW w:w="0" w:type="auto"/>
          </w:tcPr>
          <w:p w14:paraId="679F91F8" w14:textId="77777777" w:rsidR="00F5771A" w:rsidRPr="0030175D" w:rsidRDefault="00F5771A" w:rsidP="004E4AE4">
            <w:pPr>
              <w:rPr>
                <w:rFonts w:ascii="Arial" w:hAnsi="Arial" w:cs="Arial"/>
                <w:sz w:val="20"/>
                <w:szCs w:val="20"/>
              </w:rPr>
            </w:pPr>
            <w:r>
              <w:rPr>
                <w:rFonts w:ascii="Arial" w:hAnsi="Arial" w:cs="Arial"/>
                <w:sz w:val="20"/>
                <w:szCs w:val="20"/>
              </w:rPr>
              <w:t>All UK</w:t>
            </w:r>
          </w:p>
        </w:tc>
        <w:tc>
          <w:tcPr>
            <w:tcW w:w="0" w:type="auto"/>
          </w:tcPr>
          <w:p w14:paraId="6FAFB547"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29,592</w:t>
            </w:r>
          </w:p>
        </w:tc>
        <w:tc>
          <w:tcPr>
            <w:tcW w:w="0" w:type="auto"/>
          </w:tcPr>
          <w:p w14:paraId="42CA4AFF"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31,164</w:t>
            </w:r>
          </w:p>
        </w:tc>
        <w:tc>
          <w:tcPr>
            <w:tcW w:w="0" w:type="auto"/>
          </w:tcPr>
          <w:p w14:paraId="65ABE92F" w14:textId="77777777" w:rsidR="00F5771A" w:rsidRPr="00A020B8" w:rsidRDefault="00F5771A" w:rsidP="004E4AE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32,624</w:t>
            </w:r>
          </w:p>
        </w:tc>
        <w:tc>
          <w:tcPr>
            <w:tcW w:w="0" w:type="auto"/>
          </w:tcPr>
          <w:p w14:paraId="0F1D9408" w14:textId="77777777" w:rsidR="00F5771A" w:rsidRDefault="00F5771A" w:rsidP="004E4AE4">
            <w:pPr>
              <w:cnfStyle w:val="000000000000" w:firstRow="0" w:lastRow="0" w:firstColumn="0" w:lastColumn="0" w:oddVBand="0" w:evenVBand="0" w:oddHBand="0" w:evenHBand="0" w:firstRowFirstColumn="0" w:firstRowLastColumn="0" w:lastRowFirstColumn="0" w:lastRowLastColumn="0"/>
            </w:pPr>
            <w:r>
              <w:rPr>
                <w:sz w:val="21"/>
                <w:szCs w:val="21"/>
              </w:rPr>
              <w:t>34,107</w:t>
            </w:r>
          </w:p>
        </w:tc>
      </w:tr>
    </w:tbl>
    <w:p w14:paraId="218F6ED8" w14:textId="77777777" w:rsidR="00F5771A" w:rsidRDefault="00F5771A" w:rsidP="00F5771A"/>
    <w:p w14:paraId="169C088C" w14:textId="77777777" w:rsidR="00F5771A" w:rsidRDefault="00F5771A" w:rsidP="00F5771A">
      <w:r>
        <w:t>Source – UK Kidney Association Annual reports (</w:t>
      </w:r>
      <w:hyperlink r:id="rId11" w:history="1">
        <w:r w:rsidRPr="002355CF">
          <w:rPr>
            <w:rStyle w:val="Hyperlink"/>
          </w:rPr>
          <w:t>https://ukkidney.org/audit-research/annual-report/all</w:t>
        </w:r>
      </w:hyperlink>
      <w:r>
        <w:t>)</w:t>
      </w:r>
    </w:p>
    <w:p w14:paraId="7B009F8C" w14:textId="1612269C" w:rsidR="00364D21" w:rsidRDefault="00364D21">
      <w:r>
        <w:br w:type="page"/>
      </w:r>
    </w:p>
    <w:p w14:paraId="3EC66074" w14:textId="236B6973" w:rsidR="00364D21" w:rsidRPr="00AF4FF7" w:rsidRDefault="00364D21" w:rsidP="00AF4FF7">
      <w:pPr>
        <w:pStyle w:val="Heading3"/>
        <w:rPr>
          <w:rFonts w:ascii="Arial" w:eastAsia="Times New Roman" w:hAnsi="Arial" w:cs="Arial"/>
          <w:color w:val="000000"/>
          <w:u w:val="single"/>
          <w:lang w:eastAsia="en-GB"/>
        </w:rPr>
      </w:pPr>
      <w:bookmarkStart w:id="21" w:name="_Toc121909729"/>
      <w:r w:rsidRPr="00AF4FF7">
        <w:rPr>
          <w:rFonts w:ascii="Arial" w:eastAsia="Times New Roman" w:hAnsi="Arial" w:cs="Arial"/>
          <w:color w:val="000000"/>
          <w:u w:val="single"/>
          <w:lang w:eastAsia="en-GB"/>
        </w:rPr>
        <w:lastRenderedPageBreak/>
        <w:t>Supplementary Table 2</w:t>
      </w:r>
      <w:bookmarkEnd w:id="21"/>
    </w:p>
    <w:p w14:paraId="2A57A4F9" w14:textId="0E5DA87A" w:rsidR="00364D21" w:rsidRPr="00364D21" w:rsidRDefault="00364D21" w:rsidP="00364D2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Combinations of drugs taken by participants in the BLC groups pre-and post-optim</w:t>
      </w:r>
      <w:r w:rsidR="001267A9">
        <w:rPr>
          <w:rFonts w:ascii="Calibri" w:eastAsia="Times New Roman" w:hAnsi="Calibri" w:cs="Calibri"/>
          <w:color w:val="000000"/>
          <w:lang w:eastAsia="en-GB"/>
        </w:rPr>
        <w:t>i</w:t>
      </w:r>
      <w:r>
        <w:rPr>
          <w:rFonts w:ascii="Calibri" w:eastAsia="Times New Roman" w:hAnsi="Calibri" w:cs="Calibri"/>
          <w:color w:val="000000"/>
          <w:lang w:eastAsia="en-GB"/>
        </w:rPr>
        <w:t>zation</w:t>
      </w:r>
      <w:r w:rsidRPr="00364D21">
        <w:rPr>
          <w:rFonts w:ascii="Calibri" w:eastAsia="Times New Roman" w:hAnsi="Calibri" w:cs="Calibri"/>
          <w:color w:val="000000"/>
          <w:lang w:eastAsia="en-GB"/>
        </w:rPr>
        <w:br/>
        <w:t> </w:t>
      </w:r>
    </w:p>
    <w:tbl>
      <w:tblPr>
        <w:tblW w:w="10400" w:type="dxa"/>
        <w:tblInd w:w="-3" w:type="dxa"/>
        <w:tblCellMar>
          <w:left w:w="0" w:type="dxa"/>
          <w:right w:w="0" w:type="dxa"/>
        </w:tblCellMar>
        <w:tblLook w:val="04A0" w:firstRow="1" w:lastRow="0" w:firstColumn="1" w:lastColumn="0" w:noHBand="0" w:noVBand="1"/>
      </w:tblPr>
      <w:tblGrid>
        <w:gridCol w:w="2720"/>
        <w:gridCol w:w="1580"/>
        <w:gridCol w:w="2040"/>
        <w:gridCol w:w="1920"/>
        <w:gridCol w:w="2140"/>
      </w:tblGrid>
      <w:tr w:rsidR="00364D21" w:rsidRPr="00364D21" w14:paraId="0B209EB3" w14:textId="77777777" w:rsidTr="00364D21">
        <w:trPr>
          <w:trHeight w:val="300"/>
        </w:trPr>
        <w:tc>
          <w:tcPr>
            <w:tcW w:w="2720" w:type="dxa"/>
            <w:vMerge w:val="restart"/>
            <w:tcBorders>
              <w:top w:val="single" w:sz="8" w:space="0" w:color="auto"/>
              <w:left w:val="single" w:sz="8" w:space="0" w:color="auto"/>
              <w:bottom w:val="single" w:sz="8" w:space="0" w:color="000000"/>
              <w:right w:val="single" w:sz="8" w:space="0" w:color="auto"/>
            </w:tcBorders>
            <w:noWrap/>
            <w:tcMar>
              <w:top w:w="0" w:type="dxa"/>
              <w:left w:w="108" w:type="dxa"/>
              <w:bottom w:w="0" w:type="dxa"/>
              <w:right w:w="108" w:type="dxa"/>
            </w:tcMar>
            <w:vAlign w:val="bottom"/>
            <w:hideMark/>
          </w:tcPr>
          <w:p w14:paraId="7F60BCB8"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Which immunosuppression drugs (of Tac,Pred and MMF) is participant taking? </w:t>
            </w:r>
          </w:p>
        </w:tc>
        <w:tc>
          <w:tcPr>
            <w:tcW w:w="362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D34DDFF"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DSA+ BLC</w:t>
            </w:r>
          </w:p>
        </w:tc>
        <w:tc>
          <w:tcPr>
            <w:tcW w:w="406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03562EB"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Non-DSA BLC</w:t>
            </w:r>
          </w:p>
        </w:tc>
      </w:tr>
      <w:tr w:rsidR="00364D21" w:rsidRPr="00364D21" w14:paraId="043CE722" w14:textId="77777777" w:rsidTr="00364D21">
        <w:trPr>
          <w:trHeight w:val="73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D74FDE2" w14:textId="77777777" w:rsidR="00364D21" w:rsidRPr="00364D21" w:rsidRDefault="00364D21" w:rsidP="00364D21">
            <w:pPr>
              <w:spacing w:after="0" w:line="240" w:lineRule="auto"/>
              <w:rPr>
                <w:rFonts w:ascii="Calibri" w:eastAsia="Times New Roman" w:hAnsi="Calibri" w:cs="Calibri"/>
                <w:lang w:eastAsia="en-GB"/>
              </w:rPr>
            </w:pPr>
          </w:p>
        </w:tc>
        <w:tc>
          <w:tcPr>
            <w:tcW w:w="1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3CC489"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Baseline/post-screening</w:t>
            </w:r>
          </w:p>
        </w:tc>
        <w:tc>
          <w:tcPr>
            <w:tcW w:w="2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4C71F2"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Immediately post-optimization</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BC10E8"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Baseline/post-screening</w:t>
            </w:r>
          </w:p>
        </w:tc>
        <w:tc>
          <w:tcPr>
            <w:tcW w:w="2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E14C67"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Immediately post-optimization</w:t>
            </w:r>
          </w:p>
        </w:tc>
      </w:tr>
      <w:tr w:rsidR="00364D21" w:rsidRPr="00364D21" w14:paraId="485BCF8D" w14:textId="77777777" w:rsidTr="00364D21">
        <w:trPr>
          <w:trHeight w:val="300"/>
        </w:trPr>
        <w:tc>
          <w:tcPr>
            <w:tcW w:w="2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7BC36B" w14:textId="77777777" w:rsidR="00364D21" w:rsidRPr="00364D21" w:rsidRDefault="00364D21" w:rsidP="00364D21">
            <w:pPr>
              <w:spacing w:after="0" w:line="240" w:lineRule="auto"/>
              <w:rPr>
                <w:rFonts w:ascii="Calibri" w:eastAsia="Times New Roman" w:hAnsi="Calibri" w:cs="Calibri"/>
                <w:lang w:eastAsia="en-GB"/>
              </w:rPr>
            </w:pPr>
            <w:r w:rsidRPr="00364D21">
              <w:rPr>
                <w:rFonts w:ascii="Calibri" w:eastAsia="Times New Roman" w:hAnsi="Calibri" w:cs="Calibri"/>
                <w:color w:val="000000"/>
                <w:lang w:eastAsia="en-GB"/>
              </w:rPr>
              <w:t>Not taking Pred, MMF or Tac</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49EF6"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7 (6.7%)</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531AF5"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3 (3.1%)</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3E0FCE"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20 (4.7%)</w:t>
            </w:r>
          </w:p>
        </w:tc>
        <w:tc>
          <w:tcPr>
            <w:tcW w:w="21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F133C5"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9 (2.2%)</w:t>
            </w:r>
          </w:p>
        </w:tc>
      </w:tr>
      <w:tr w:rsidR="00364D21" w:rsidRPr="00364D21" w14:paraId="5850194B" w14:textId="77777777" w:rsidTr="00364D21">
        <w:trPr>
          <w:trHeight w:val="300"/>
        </w:trPr>
        <w:tc>
          <w:tcPr>
            <w:tcW w:w="2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363CE7" w14:textId="77777777" w:rsidR="00364D21" w:rsidRPr="00364D21" w:rsidRDefault="00364D21" w:rsidP="00364D21">
            <w:pPr>
              <w:spacing w:after="0" w:line="240" w:lineRule="auto"/>
              <w:rPr>
                <w:rFonts w:ascii="Calibri" w:eastAsia="Times New Roman" w:hAnsi="Calibri" w:cs="Calibri"/>
                <w:lang w:eastAsia="en-GB"/>
              </w:rPr>
            </w:pPr>
            <w:r w:rsidRPr="00364D21">
              <w:rPr>
                <w:rFonts w:ascii="Calibri" w:eastAsia="Times New Roman" w:hAnsi="Calibri" w:cs="Calibri"/>
                <w:color w:val="000000"/>
                <w:lang w:eastAsia="en-GB"/>
              </w:rPr>
              <w:t>Pred only</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CB13E2"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11 (10.5%)</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66DC9"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4 (4.1%)</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6EAA10"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36 (8.4%)</w:t>
            </w:r>
          </w:p>
        </w:tc>
        <w:tc>
          <w:tcPr>
            <w:tcW w:w="21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7EECD3"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21 (5.2%)</w:t>
            </w:r>
          </w:p>
        </w:tc>
      </w:tr>
      <w:tr w:rsidR="00364D21" w:rsidRPr="00364D21" w14:paraId="1D58107C" w14:textId="77777777" w:rsidTr="00364D21">
        <w:trPr>
          <w:trHeight w:val="300"/>
        </w:trPr>
        <w:tc>
          <w:tcPr>
            <w:tcW w:w="2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E72665" w14:textId="77777777" w:rsidR="00364D21" w:rsidRPr="00364D21" w:rsidRDefault="00364D21" w:rsidP="00364D21">
            <w:pPr>
              <w:spacing w:after="0" w:line="240" w:lineRule="auto"/>
              <w:rPr>
                <w:rFonts w:ascii="Calibri" w:eastAsia="Times New Roman" w:hAnsi="Calibri" w:cs="Calibri"/>
                <w:lang w:eastAsia="en-GB"/>
              </w:rPr>
            </w:pPr>
            <w:r w:rsidRPr="00364D21">
              <w:rPr>
                <w:rFonts w:ascii="Calibri" w:eastAsia="Times New Roman" w:hAnsi="Calibri" w:cs="Calibri"/>
                <w:color w:val="000000"/>
                <w:lang w:eastAsia="en-GB"/>
              </w:rPr>
              <w:t>MMF only</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B8A37F"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5 (4.8%)</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64F875"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1 (1.0%)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9C789F"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16 (3.8%)</w:t>
            </w:r>
          </w:p>
        </w:tc>
        <w:tc>
          <w:tcPr>
            <w:tcW w:w="21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CC369E"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8 (2.0%)</w:t>
            </w:r>
          </w:p>
        </w:tc>
      </w:tr>
      <w:tr w:rsidR="00364D21" w:rsidRPr="00364D21" w14:paraId="6EED506A" w14:textId="77777777" w:rsidTr="00364D21">
        <w:trPr>
          <w:trHeight w:val="300"/>
        </w:trPr>
        <w:tc>
          <w:tcPr>
            <w:tcW w:w="2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7D2AA7" w14:textId="77777777" w:rsidR="00364D21" w:rsidRPr="00364D21" w:rsidRDefault="00364D21" w:rsidP="00364D21">
            <w:pPr>
              <w:spacing w:after="0" w:line="240" w:lineRule="auto"/>
              <w:rPr>
                <w:rFonts w:ascii="Calibri" w:eastAsia="Times New Roman" w:hAnsi="Calibri" w:cs="Calibri"/>
                <w:lang w:eastAsia="en-GB"/>
              </w:rPr>
            </w:pPr>
            <w:r w:rsidRPr="00364D21">
              <w:rPr>
                <w:rFonts w:ascii="Calibri" w:eastAsia="Times New Roman" w:hAnsi="Calibri" w:cs="Calibri"/>
                <w:color w:val="000000"/>
                <w:lang w:eastAsia="en-GB"/>
              </w:rPr>
              <w:t>Tac only</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A3F0F"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13 (12.4%)</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B1D5A0"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3 (3.1%)</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5D3749"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57 (13.4%)</w:t>
            </w:r>
          </w:p>
        </w:tc>
        <w:tc>
          <w:tcPr>
            <w:tcW w:w="21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ED565"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35 (8.7%)</w:t>
            </w:r>
          </w:p>
        </w:tc>
      </w:tr>
      <w:tr w:rsidR="00364D21" w:rsidRPr="00364D21" w14:paraId="381926DE" w14:textId="77777777" w:rsidTr="00364D21">
        <w:trPr>
          <w:trHeight w:val="300"/>
        </w:trPr>
        <w:tc>
          <w:tcPr>
            <w:tcW w:w="2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132F2B6" w14:textId="77777777" w:rsidR="00364D21" w:rsidRPr="00364D21" w:rsidRDefault="00364D21" w:rsidP="00364D21">
            <w:pPr>
              <w:spacing w:after="0" w:line="240" w:lineRule="auto"/>
              <w:rPr>
                <w:rFonts w:ascii="Calibri" w:eastAsia="Times New Roman" w:hAnsi="Calibri" w:cs="Calibri"/>
                <w:lang w:eastAsia="en-GB"/>
              </w:rPr>
            </w:pPr>
            <w:r w:rsidRPr="00364D21">
              <w:rPr>
                <w:rFonts w:ascii="Calibri" w:eastAsia="Times New Roman" w:hAnsi="Calibri" w:cs="Calibri"/>
                <w:color w:val="000000"/>
                <w:lang w:eastAsia="en-GB"/>
              </w:rPr>
              <w:t>Pred and MMF only</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9601DD"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15 (14.3%)</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D25BA5"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7 (7.1%)</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2930C"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42 (9.8%)</w:t>
            </w:r>
          </w:p>
        </w:tc>
        <w:tc>
          <w:tcPr>
            <w:tcW w:w="21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9FFF7C"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21 (5.2%)</w:t>
            </w:r>
          </w:p>
        </w:tc>
      </w:tr>
      <w:tr w:rsidR="00364D21" w:rsidRPr="00364D21" w14:paraId="1AD5A592" w14:textId="77777777" w:rsidTr="00364D21">
        <w:trPr>
          <w:trHeight w:val="300"/>
        </w:trPr>
        <w:tc>
          <w:tcPr>
            <w:tcW w:w="2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F4DF00" w14:textId="77777777" w:rsidR="00364D21" w:rsidRPr="00364D21" w:rsidRDefault="00364D21" w:rsidP="00364D21">
            <w:pPr>
              <w:spacing w:after="0" w:line="240" w:lineRule="auto"/>
              <w:rPr>
                <w:rFonts w:ascii="Calibri" w:eastAsia="Times New Roman" w:hAnsi="Calibri" w:cs="Calibri"/>
                <w:lang w:eastAsia="en-GB"/>
              </w:rPr>
            </w:pPr>
            <w:r w:rsidRPr="00364D21">
              <w:rPr>
                <w:rFonts w:ascii="Calibri" w:eastAsia="Times New Roman" w:hAnsi="Calibri" w:cs="Calibri"/>
                <w:color w:val="000000"/>
                <w:lang w:eastAsia="en-GB"/>
              </w:rPr>
              <w:t>Tac and Pred only</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1BE05C"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12 (11.4%)</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7B0FB2"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14 (14.3%)</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161D8B"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43 (10.1%)</w:t>
            </w:r>
          </w:p>
        </w:tc>
        <w:tc>
          <w:tcPr>
            <w:tcW w:w="21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783D55"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40 (9.9%)</w:t>
            </w:r>
          </w:p>
        </w:tc>
      </w:tr>
      <w:tr w:rsidR="00364D21" w:rsidRPr="00364D21" w14:paraId="693BA379" w14:textId="77777777" w:rsidTr="00364D21">
        <w:trPr>
          <w:trHeight w:val="300"/>
        </w:trPr>
        <w:tc>
          <w:tcPr>
            <w:tcW w:w="2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3D94A7" w14:textId="77777777" w:rsidR="00364D21" w:rsidRPr="00364D21" w:rsidRDefault="00364D21" w:rsidP="00364D21">
            <w:pPr>
              <w:spacing w:after="0" w:line="240" w:lineRule="auto"/>
              <w:rPr>
                <w:rFonts w:ascii="Calibri" w:eastAsia="Times New Roman" w:hAnsi="Calibri" w:cs="Calibri"/>
                <w:lang w:eastAsia="en-GB"/>
              </w:rPr>
            </w:pPr>
            <w:r w:rsidRPr="00364D21">
              <w:rPr>
                <w:rFonts w:ascii="Calibri" w:eastAsia="Times New Roman" w:hAnsi="Calibri" w:cs="Calibri"/>
                <w:color w:val="000000"/>
                <w:lang w:eastAsia="en-GB"/>
              </w:rPr>
              <w:t>Tac and MMF only</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7C9081"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18 (17.1%)</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0636D"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13 (13.3%)</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34024"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107 (25.1%)</w:t>
            </w:r>
          </w:p>
        </w:tc>
        <w:tc>
          <w:tcPr>
            <w:tcW w:w="21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07315"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92 (22.8%)</w:t>
            </w:r>
          </w:p>
        </w:tc>
      </w:tr>
      <w:tr w:rsidR="00364D21" w:rsidRPr="00364D21" w14:paraId="2C4AA81E" w14:textId="77777777" w:rsidTr="00364D21">
        <w:trPr>
          <w:trHeight w:val="300"/>
        </w:trPr>
        <w:tc>
          <w:tcPr>
            <w:tcW w:w="2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FB57AA" w14:textId="77777777" w:rsidR="00364D21" w:rsidRPr="00364D21" w:rsidRDefault="00364D21" w:rsidP="00364D21">
            <w:pPr>
              <w:spacing w:after="0" w:line="240" w:lineRule="auto"/>
              <w:rPr>
                <w:rFonts w:ascii="Calibri" w:eastAsia="Times New Roman" w:hAnsi="Calibri" w:cs="Calibri"/>
                <w:lang w:eastAsia="en-GB"/>
              </w:rPr>
            </w:pPr>
            <w:r w:rsidRPr="00364D21">
              <w:rPr>
                <w:rFonts w:ascii="Calibri" w:eastAsia="Times New Roman" w:hAnsi="Calibri" w:cs="Calibri"/>
                <w:color w:val="000000"/>
                <w:lang w:eastAsia="en-GB"/>
              </w:rPr>
              <w:t>All three drugs</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EE528"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24 (22.9%)</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8A058C"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53 (54.1%)</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03B9C8"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106 (24.8%)</w:t>
            </w:r>
          </w:p>
        </w:tc>
        <w:tc>
          <w:tcPr>
            <w:tcW w:w="21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FAF30A"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178 (44.1%)</w:t>
            </w:r>
          </w:p>
        </w:tc>
      </w:tr>
      <w:tr w:rsidR="00364D21" w:rsidRPr="00364D21" w14:paraId="3F06D6B9" w14:textId="77777777" w:rsidTr="00364D21">
        <w:trPr>
          <w:trHeight w:val="300"/>
        </w:trPr>
        <w:tc>
          <w:tcPr>
            <w:tcW w:w="2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204683" w14:textId="77777777" w:rsidR="00364D21" w:rsidRPr="00364D21" w:rsidRDefault="00364D21" w:rsidP="00364D21">
            <w:pPr>
              <w:spacing w:after="0" w:line="240" w:lineRule="auto"/>
              <w:rPr>
                <w:rFonts w:ascii="Calibri" w:eastAsia="Times New Roman" w:hAnsi="Calibri" w:cs="Calibri"/>
                <w:lang w:eastAsia="en-GB"/>
              </w:rPr>
            </w:pPr>
            <w:r w:rsidRPr="00364D21">
              <w:rPr>
                <w:rFonts w:ascii="Calibri" w:eastAsia="Times New Roman" w:hAnsi="Calibri" w:cs="Calibri"/>
                <w:color w:val="000000"/>
                <w:lang w:eastAsia="en-GB"/>
              </w:rPr>
              <w:t>Total</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3DF199"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105</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A448A"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98</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42053"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427</w:t>
            </w:r>
          </w:p>
        </w:tc>
        <w:tc>
          <w:tcPr>
            <w:tcW w:w="21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E8E0D9" w14:textId="77777777" w:rsidR="00364D21" w:rsidRPr="00364D21" w:rsidRDefault="00364D21" w:rsidP="00364D21">
            <w:pPr>
              <w:spacing w:after="0" w:line="240" w:lineRule="auto"/>
              <w:jc w:val="center"/>
              <w:rPr>
                <w:rFonts w:ascii="Calibri" w:eastAsia="Times New Roman" w:hAnsi="Calibri" w:cs="Calibri"/>
                <w:lang w:eastAsia="en-GB"/>
              </w:rPr>
            </w:pPr>
            <w:r w:rsidRPr="00364D21">
              <w:rPr>
                <w:rFonts w:ascii="Calibri" w:eastAsia="Times New Roman" w:hAnsi="Calibri" w:cs="Calibri"/>
                <w:color w:val="000000"/>
                <w:lang w:eastAsia="en-GB"/>
              </w:rPr>
              <w:t>404</w:t>
            </w:r>
          </w:p>
        </w:tc>
      </w:tr>
    </w:tbl>
    <w:p w14:paraId="046854A6" w14:textId="77777777" w:rsidR="00364D21" w:rsidRPr="00364D21" w:rsidRDefault="00364D21" w:rsidP="00364D21">
      <w:pPr>
        <w:spacing w:after="0" w:line="240" w:lineRule="auto"/>
        <w:rPr>
          <w:rFonts w:ascii="Calibri" w:eastAsia="Times New Roman" w:hAnsi="Calibri" w:cs="Calibri"/>
          <w:color w:val="000000"/>
          <w:lang w:eastAsia="en-GB"/>
        </w:rPr>
      </w:pPr>
      <w:r w:rsidRPr="00364D21">
        <w:rPr>
          <w:rFonts w:ascii="Calibri" w:eastAsia="Times New Roman" w:hAnsi="Calibri" w:cs="Calibri"/>
          <w:color w:val="000000"/>
          <w:lang w:eastAsia="en-GB"/>
        </w:rPr>
        <w:t>Percentages are column percentages.</w:t>
      </w:r>
    </w:p>
    <w:p w14:paraId="318404D3" w14:textId="77777777" w:rsidR="00364D21" w:rsidRPr="00364D21" w:rsidRDefault="00364D21" w:rsidP="00364D21">
      <w:pPr>
        <w:spacing w:after="0" w:line="240" w:lineRule="auto"/>
        <w:rPr>
          <w:rFonts w:ascii="Calibri" w:eastAsia="Times New Roman" w:hAnsi="Calibri" w:cs="Calibri"/>
          <w:color w:val="000000"/>
          <w:lang w:eastAsia="en-GB"/>
        </w:rPr>
      </w:pPr>
      <w:r w:rsidRPr="00364D21">
        <w:rPr>
          <w:rFonts w:ascii="Calibri" w:eastAsia="Times New Roman" w:hAnsi="Calibri" w:cs="Calibri"/>
          <w:color w:val="000000"/>
          <w:lang w:eastAsia="en-GB"/>
        </w:rPr>
        <w:t> </w:t>
      </w:r>
    </w:p>
    <w:p w14:paraId="515FE84A" w14:textId="77777777" w:rsidR="00F5771A" w:rsidRDefault="00F5771A" w:rsidP="00F5771A"/>
    <w:p w14:paraId="30496E57" w14:textId="0C1ADBC5" w:rsidR="00364D21" w:rsidRDefault="00364D21" w:rsidP="00F5771A"/>
    <w:p w14:paraId="7D6DD813" w14:textId="7A0743FD" w:rsidR="00364D21" w:rsidRDefault="00364D21" w:rsidP="00F5771A"/>
    <w:p w14:paraId="03C8411E" w14:textId="77777777" w:rsidR="00364D21" w:rsidRDefault="00364D21" w:rsidP="00F5771A"/>
    <w:p w14:paraId="0BDF0E91" w14:textId="4D10C752" w:rsidR="00365CEB" w:rsidRDefault="00365CEB">
      <w:pPr>
        <w:rPr>
          <w:rFonts w:ascii="Arial" w:hAnsi="Arial" w:cs="Arial"/>
        </w:rPr>
      </w:pPr>
      <w:r>
        <w:rPr>
          <w:rFonts w:ascii="Arial" w:hAnsi="Arial" w:cs="Arial"/>
        </w:rPr>
        <w:br w:type="page"/>
      </w:r>
    </w:p>
    <w:p w14:paraId="06BB29E7" w14:textId="4D5E1496" w:rsidR="00823F35" w:rsidRDefault="00141060" w:rsidP="00505F1C">
      <w:pPr>
        <w:pStyle w:val="Heading3"/>
        <w:rPr>
          <w:rFonts w:ascii="Arial" w:hAnsi="Arial" w:cs="Arial"/>
        </w:rPr>
      </w:pPr>
      <w:bookmarkStart w:id="22" w:name="_Toc121909730"/>
      <w:r w:rsidRPr="00141060">
        <w:rPr>
          <w:rFonts w:ascii="Arial" w:hAnsi="Arial" w:cs="Arial"/>
          <w:u w:val="single"/>
        </w:rPr>
        <w:lastRenderedPageBreak/>
        <w:t xml:space="preserve">Supplementary Table </w:t>
      </w:r>
      <w:r w:rsidR="00364D21">
        <w:rPr>
          <w:rFonts w:ascii="Arial" w:hAnsi="Arial" w:cs="Arial"/>
          <w:u w:val="single"/>
        </w:rPr>
        <w:t>3</w:t>
      </w:r>
      <w:r w:rsidR="00A0792E" w:rsidRPr="00A0792E">
        <w:rPr>
          <w:rFonts w:ascii="Arial" w:hAnsi="Arial" w:cs="Arial"/>
          <w:u w:val="single"/>
        </w:rPr>
        <w:t>:</w:t>
      </w:r>
      <w:bookmarkEnd w:id="22"/>
      <w:r w:rsidR="00A0792E">
        <w:rPr>
          <w:rFonts w:ascii="Arial" w:hAnsi="Arial" w:cs="Arial"/>
        </w:rPr>
        <w:t xml:space="preserve"> </w:t>
      </w:r>
    </w:p>
    <w:p w14:paraId="29B22E33" w14:textId="2166FB15" w:rsidR="00141060" w:rsidRPr="00141060" w:rsidRDefault="00141060" w:rsidP="00823F35">
      <w:pPr>
        <w:rPr>
          <w:rFonts w:ascii="Arial" w:hAnsi="Arial" w:cs="Arial"/>
        </w:rPr>
      </w:pPr>
      <w:r w:rsidRPr="00141060">
        <w:rPr>
          <w:rFonts w:ascii="Arial" w:hAnsi="Arial" w:cs="Arial"/>
        </w:rPr>
        <w:t xml:space="preserve">Sensitivity analyses on the primary outcome </w:t>
      </w:r>
    </w:p>
    <w:p w14:paraId="15F79904" w14:textId="77777777" w:rsidR="00141060" w:rsidRPr="00141060" w:rsidRDefault="00141060" w:rsidP="00141060">
      <w:pPr>
        <w:spacing w:after="0" w:line="240" w:lineRule="auto"/>
        <w:rPr>
          <w:rFonts w:ascii="Arial" w:hAnsi="Arial" w:cs="Arial"/>
          <w:i/>
          <w:iCs/>
          <w:sz w:val="24"/>
          <w:szCs w:val="24"/>
        </w:rPr>
      </w:pPr>
    </w:p>
    <w:tbl>
      <w:tblPr>
        <w:tblW w:w="9804" w:type="dxa"/>
        <w:tblInd w:w="-4" w:type="dxa"/>
        <w:tblBorders>
          <w:top w:val="single" w:sz="4" w:space="0" w:color="auto"/>
          <w:left w:val="single" w:sz="4" w:space="0" w:color="auto"/>
          <w:bottom w:val="single" w:sz="4" w:space="0" w:color="auto"/>
          <w:right w:val="single" w:sz="4" w:space="0" w:color="auto"/>
        </w:tblBorders>
        <w:tblLayout w:type="fixed"/>
        <w:tblLook w:val="0420" w:firstRow="1" w:lastRow="0" w:firstColumn="0" w:lastColumn="0" w:noHBand="0" w:noVBand="1"/>
      </w:tblPr>
      <w:tblGrid>
        <w:gridCol w:w="2922"/>
        <w:gridCol w:w="1809"/>
        <w:gridCol w:w="1699"/>
        <w:gridCol w:w="1687"/>
        <w:gridCol w:w="1687"/>
      </w:tblGrid>
      <w:tr w:rsidR="00141060" w:rsidRPr="00141060" w14:paraId="483D94F6" w14:textId="77777777" w:rsidTr="00487C17">
        <w:trPr>
          <w:cantSplit/>
        </w:trPr>
        <w:tc>
          <w:tcPr>
            <w:tcW w:w="2922" w:type="dxa"/>
            <w:tcBorders>
              <w:top w:val="single" w:sz="4" w:space="0" w:color="auto"/>
              <w:bottom w:val="single" w:sz="4" w:space="0" w:color="auto"/>
            </w:tcBorders>
            <w:shd w:val="clear" w:color="auto" w:fill="FFFFFF"/>
            <w:tcMar>
              <w:top w:w="0" w:type="dxa"/>
              <w:left w:w="0" w:type="dxa"/>
              <w:bottom w:w="0" w:type="dxa"/>
              <w:right w:w="0" w:type="dxa"/>
            </w:tcMar>
          </w:tcPr>
          <w:p w14:paraId="56B5DFD4"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b/>
                <w:sz w:val="24"/>
                <w:szCs w:val="24"/>
                <w:lang w:val="en-US"/>
              </w:rPr>
              <w:t>Group/comparison</w:t>
            </w:r>
          </w:p>
        </w:tc>
        <w:tc>
          <w:tcPr>
            <w:tcW w:w="1809" w:type="dxa"/>
            <w:tcBorders>
              <w:top w:val="single" w:sz="4" w:space="0" w:color="auto"/>
              <w:bottom w:val="single" w:sz="4" w:space="0" w:color="auto"/>
            </w:tcBorders>
            <w:shd w:val="clear" w:color="auto" w:fill="FFFFFF"/>
            <w:tcMar>
              <w:top w:w="0" w:type="dxa"/>
              <w:left w:w="0" w:type="dxa"/>
              <w:bottom w:w="0" w:type="dxa"/>
              <w:right w:w="0" w:type="dxa"/>
            </w:tcMar>
          </w:tcPr>
          <w:p w14:paraId="1A58BCC2"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b/>
                <w:sz w:val="24"/>
                <w:szCs w:val="24"/>
                <w:lang w:val="en-US"/>
              </w:rPr>
              <w:t>Hazard Ratio</w:t>
            </w:r>
          </w:p>
        </w:tc>
        <w:tc>
          <w:tcPr>
            <w:tcW w:w="1699" w:type="dxa"/>
            <w:tcBorders>
              <w:top w:val="single" w:sz="4" w:space="0" w:color="auto"/>
              <w:bottom w:val="single" w:sz="4" w:space="0" w:color="auto"/>
            </w:tcBorders>
            <w:shd w:val="clear" w:color="auto" w:fill="FFFFFF"/>
            <w:tcMar>
              <w:top w:w="0" w:type="dxa"/>
              <w:left w:w="0" w:type="dxa"/>
              <w:bottom w:w="0" w:type="dxa"/>
              <w:right w:w="0" w:type="dxa"/>
            </w:tcMar>
          </w:tcPr>
          <w:p w14:paraId="594E11CD"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b/>
                <w:sz w:val="24"/>
                <w:szCs w:val="24"/>
                <w:lang w:val="en-US"/>
              </w:rPr>
              <w:t>Lower 95% CI</w:t>
            </w:r>
          </w:p>
        </w:tc>
        <w:tc>
          <w:tcPr>
            <w:tcW w:w="1687" w:type="dxa"/>
            <w:tcBorders>
              <w:top w:val="single" w:sz="4" w:space="0" w:color="auto"/>
              <w:bottom w:val="single" w:sz="4" w:space="0" w:color="auto"/>
            </w:tcBorders>
            <w:shd w:val="clear" w:color="auto" w:fill="FFFFFF"/>
            <w:tcMar>
              <w:top w:w="0" w:type="dxa"/>
              <w:left w:w="0" w:type="dxa"/>
              <w:bottom w:w="0" w:type="dxa"/>
              <w:right w:w="0" w:type="dxa"/>
            </w:tcMar>
          </w:tcPr>
          <w:p w14:paraId="230DCF93"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b/>
                <w:sz w:val="24"/>
                <w:szCs w:val="24"/>
                <w:lang w:val="en-US"/>
              </w:rPr>
              <w:t>Upper 95% CI</w:t>
            </w:r>
          </w:p>
        </w:tc>
        <w:tc>
          <w:tcPr>
            <w:tcW w:w="1687" w:type="dxa"/>
            <w:tcBorders>
              <w:top w:val="single" w:sz="4" w:space="0" w:color="auto"/>
              <w:bottom w:val="single" w:sz="4" w:space="0" w:color="auto"/>
            </w:tcBorders>
            <w:shd w:val="clear" w:color="auto" w:fill="FFFFFF"/>
          </w:tcPr>
          <w:p w14:paraId="63E0F5AB" w14:textId="77777777" w:rsidR="00141060" w:rsidRPr="00141060" w:rsidRDefault="00141060" w:rsidP="00141060">
            <w:pPr>
              <w:spacing w:after="0" w:line="240" w:lineRule="auto"/>
              <w:rPr>
                <w:rFonts w:ascii="Arial" w:hAnsi="Arial" w:cs="Arial"/>
                <w:b/>
                <w:sz w:val="24"/>
                <w:szCs w:val="24"/>
                <w:lang w:val="en-US"/>
              </w:rPr>
            </w:pPr>
            <w:r w:rsidRPr="00141060">
              <w:rPr>
                <w:rFonts w:ascii="Arial" w:hAnsi="Arial" w:cs="Arial"/>
                <w:b/>
                <w:sz w:val="24"/>
                <w:szCs w:val="24"/>
                <w:lang w:val="en-US"/>
              </w:rPr>
              <w:t>P-value</w:t>
            </w:r>
          </w:p>
        </w:tc>
      </w:tr>
      <w:tr w:rsidR="00141060" w:rsidRPr="00141060" w14:paraId="76DD3E14" w14:textId="77777777" w:rsidTr="00487C17">
        <w:trPr>
          <w:cantSplit/>
        </w:trPr>
        <w:tc>
          <w:tcPr>
            <w:tcW w:w="9804" w:type="dxa"/>
            <w:gridSpan w:val="5"/>
            <w:tcBorders>
              <w:top w:val="single" w:sz="4" w:space="0" w:color="auto"/>
            </w:tcBorders>
            <w:shd w:val="clear" w:color="auto" w:fill="F2F2F2"/>
            <w:tcMar>
              <w:top w:w="0" w:type="dxa"/>
              <w:left w:w="0" w:type="dxa"/>
              <w:bottom w:w="0" w:type="dxa"/>
              <w:right w:w="0" w:type="dxa"/>
            </w:tcMar>
          </w:tcPr>
          <w:p w14:paraId="7D887429"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b/>
                <w:bCs/>
                <w:sz w:val="24"/>
                <w:szCs w:val="24"/>
                <w:lang w:val="en-US"/>
              </w:rPr>
              <w:t>Post-COVID analysis</w:t>
            </w:r>
            <w:r w:rsidRPr="00141060">
              <w:rPr>
                <w:rFonts w:ascii="Arial" w:hAnsi="Arial" w:cs="Arial"/>
                <w:b/>
                <w:bCs/>
                <w:sz w:val="24"/>
                <w:szCs w:val="24"/>
                <w:vertAlign w:val="superscript"/>
                <w:lang w:val="en-US"/>
              </w:rPr>
              <w:t>1</w:t>
            </w:r>
          </w:p>
        </w:tc>
      </w:tr>
      <w:tr w:rsidR="00141060" w:rsidRPr="00141060" w14:paraId="5286FC5A" w14:textId="77777777" w:rsidTr="00487C17">
        <w:trPr>
          <w:cantSplit/>
        </w:trPr>
        <w:tc>
          <w:tcPr>
            <w:tcW w:w="2922" w:type="dxa"/>
            <w:tcBorders>
              <w:top w:val="single" w:sz="4" w:space="0" w:color="auto"/>
            </w:tcBorders>
            <w:shd w:val="clear" w:color="auto" w:fill="F2F2F2"/>
            <w:tcMar>
              <w:top w:w="0" w:type="dxa"/>
              <w:left w:w="0" w:type="dxa"/>
              <w:bottom w:w="0" w:type="dxa"/>
              <w:right w:w="0" w:type="dxa"/>
            </w:tcMar>
          </w:tcPr>
          <w:p w14:paraId="20A388C4" w14:textId="77777777" w:rsidR="00141060" w:rsidRPr="00141060" w:rsidRDefault="00141060" w:rsidP="00141060">
            <w:pPr>
              <w:spacing w:after="0" w:line="240" w:lineRule="auto"/>
              <w:rPr>
                <w:rFonts w:ascii="Arial" w:hAnsi="Arial" w:cs="Arial"/>
                <w:sz w:val="24"/>
                <w:szCs w:val="24"/>
                <w:lang w:val="en-US"/>
              </w:rPr>
            </w:pPr>
            <w:bookmarkStart w:id="23" w:name="_Hlk97561146"/>
            <w:r w:rsidRPr="00141060">
              <w:rPr>
                <w:rFonts w:ascii="Arial" w:hAnsi="Arial" w:cs="Arial"/>
                <w:sz w:val="24"/>
                <w:szCs w:val="24"/>
                <w:lang w:val="en-US"/>
              </w:rPr>
              <w:t>DSA (N=197</w:t>
            </w:r>
            <w:r w:rsidRPr="00141060">
              <w:rPr>
                <w:rFonts w:ascii="Arial" w:hAnsi="Arial" w:cs="Arial"/>
                <w:sz w:val="24"/>
                <w:szCs w:val="24"/>
                <w:vertAlign w:val="superscript"/>
                <w:lang w:val="en-US"/>
              </w:rPr>
              <w:t>2</w:t>
            </w:r>
            <w:r w:rsidRPr="00141060">
              <w:rPr>
                <w:rFonts w:ascii="Arial" w:hAnsi="Arial" w:cs="Arial"/>
                <w:sz w:val="24"/>
                <w:szCs w:val="24"/>
                <w:lang w:val="en-US"/>
              </w:rPr>
              <w:t>)</w:t>
            </w:r>
          </w:p>
        </w:tc>
        <w:tc>
          <w:tcPr>
            <w:tcW w:w="1809" w:type="dxa"/>
            <w:tcBorders>
              <w:top w:val="single" w:sz="4" w:space="0" w:color="auto"/>
            </w:tcBorders>
            <w:shd w:val="clear" w:color="auto" w:fill="F2F2F2"/>
            <w:tcMar>
              <w:top w:w="0" w:type="dxa"/>
              <w:left w:w="0" w:type="dxa"/>
              <w:bottom w:w="0" w:type="dxa"/>
              <w:right w:w="0" w:type="dxa"/>
            </w:tcMar>
            <w:vAlign w:val="center"/>
          </w:tcPr>
          <w:p w14:paraId="3CC298A7"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1.29</w:t>
            </w:r>
          </w:p>
        </w:tc>
        <w:tc>
          <w:tcPr>
            <w:tcW w:w="1699" w:type="dxa"/>
            <w:tcBorders>
              <w:top w:val="single" w:sz="4" w:space="0" w:color="auto"/>
            </w:tcBorders>
            <w:shd w:val="clear" w:color="auto" w:fill="F2F2F2"/>
            <w:tcMar>
              <w:top w:w="0" w:type="dxa"/>
              <w:left w:w="0" w:type="dxa"/>
              <w:bottom w:w="0" w:type="dxa"/>
              <w:right w:w="0" w:type="dxa"/>
            </w:tcMar>
            <w:vAlign w:val="center"/>
          </w:tcPr>
          <w:p w14:paraId="10670328"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0.64</w:t>
            </w:r>
          </w:p>
        </w:tc>
        <w:tc>
          <w:tcPr>
            <w:tcW w:w="1687" w:type="dxa"/>
            <w:tcBorders>
              <w:top w:val="single" w:sz="4" w:space="0" w:color="auto"/>
            </w:tcBorders>
            <w:shd w:val="clear" w:color="auto" w:fill="F2F2F2"/>
            <w:tcMar>
              <w:top w:w="0" w:type="dxa"/>
              <w:left w:w="0" w:type="dxa"/>
              <w:bottom w:w="0" w:type="dxa"/>
              <w:right w:w="0" w:type="dxa"/>
            </w:tcMar>
            <w:vAlign w:val="center"/>
          </w:tcPr>
          <w:p w14:paraId="5AF0C9C1"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2.60</w:t>
            </w:r>
          </w:p>
        </w:tc>
        <w:tc>
          <w:tcPr>
            <w:tcW w:w="1687" w:type="dxa"/>
            <w:tcBorders>
              <w:top w:val="single" w:sz="4" w:space="0" w:color="auto"/>
            </w:tcBorders>
            <w:shd w:val="clear" w:color="auto" w:fill="F2F2F2"/>
            <w:vAlign w:val="center"/>
          </w:tcPr>
          <w:p w14:paraId="6278E21A"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0.48</w:t>
            </w:r>
          </w:p>
        </w:tc>
      </w:tr>
      <w:tr w:rsidR="00141060" w:rsidRPr="00141060" w14:paraId="5C65D8A9" w14:textId="77777777" w:rsidTr="00487C17">
        <w:trPr>
          <w:cantSplit/>
        </w:trPr>
        <w:tc>
          <w:tcPr>
            <w:tcW w:w="2922" w:type="dxa"/>
            <w:shd w:val="clear" w:color="auto" w:fill="FFFFFF"/>
            <w:tcMar>
              <w:top w:w="0" w:type="dxa"/>
              <w:left w:w="0" w:type="dxa"/>
              <w:bottom w:w="0" w:type="dxa"/>
              <w:right w:w="0" w:type="dxa"/>
            </w:tcMar>
          </w:tcPr>
          <w:p w14:paraId="1F8BDAAB"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Non-DSA (N=818)</w:t>
            </w:r>
          </w:p>
        </w:tc>
        <w:tc>
          <w:tcPr>
            <w:tcW w:w="1809" w:type="dxa"/>
            <w:shd w:val="clear" w:color="auto" w:fill="FFFFFF"/>
            <w:tcMar>
              <w:top w:w="0" w:type="dxa"/>
              <w:left w:w="0" w:type="dxa"/>
              <w:bottom w:w="0" w:type="dxa"/>
              <w:right w:w="0" w:type="dxa"/>
            </w:tcMar>
            <w:vAlign w:val="center"/>
          </w:tcPr>
          <w:p w14:paraId="5350A105"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1.05</w:t>
            </w:r>
          </w:p>
        </w:tc>
        <w:tc>
          <w:tcPr>
            <w:tcW w:w="1699" w:type="dxa"/>
            <w:shd w:val="clear" w:color="auto" w:fill="FFFFFF"/>
            <w:tcMar>
              <w:top w:w="0" w:type="dxa"/>
              <w:left w:w="0" w:type="dxa"/>
              <w:bottom w:w="0" w:type="dxa"/>
              <w:right w:w="0" w:type="dxa"/>
            </w:tcMar>
            <w:vAlign w:val="center"/>
          </w:tcPr>
          <w:p w14:paraId="573E20EB"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0.61</w:t>
            </w:r>
          </w:p>
        </w:tc>
        <w:tc>
          <w:tcPr>
            <w:tcW w:w="1687" w:type="dxa"/>
            <w:shd w:val="clear" w:color="auto" w:fill="FFFFFF"/>
            <w:tcMar>
              <w:top w:w="0" w:type="dxa"/>
              <w:left w:w="0" w:type="dxa"/>
              <w:bottom w:w="0" w:type="dxa"/>
              <w:right w:w="0" w:type="dxa"/>
            </w:tcMar>
            <w:vAlign w:val="center"/>
          </w:tcPr>
          <w:p w14:paraId="0581CAFD"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1.82</w:t>
            </w:r>
          </w:p>
        </w:tc>
        <w:tc>
          <w:tcPr>
            <w:tcW w:w="1687" w:type="dxa"/>
            <w:shd w:val="clear" w:color="auto" w:fill="FFFFFF"/>
            <w:vAlign w:val="center"/>
          </w:tcPr>
          <w:p w14:paraId="5F5509CD"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0.86</w:t>
            </w:r>
          </w:p>
        </w:tc>
      </w:tr>
      <w:tr w:rsidR="00141060" w:rsidRPr="00141060" w14:paraId="34BB91D7" w14:textId="77777777" w:rsidTr="00487C17">
        <w:trPr>
          <w:cantSplit/>
        </w:trPr>
        <w:tc>
          <w:tcPr>
            <w:tcW w:w="2922" w:type="dxa"/>
            <w:shd w:val="clear" w:color="auto" w:fill="F2F2F2"/>
            <w:tcMar>
              <w:top w:w="0" w:type="dxa"/>
              <w:left w:w="0" w:type="dxa"/>
              <w:bottom w:w="0" w:type="dxa"/>
              <w:right w:w="0" w:type="dxa"/>
            </w:tcMar>
          </w:tcPr>
          <w:p w14:paraId="4A35A768"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All participants (N=2035</w:t>
            </w:r>
            <w:r w:rsidRPr="00141060">
              <w:rPr>
                <w:rFonts w:ascii="Arial" w:hAnsi="Arial" w:cs="Arial"/>
                <w:sz w:val="24"/>
                <w:szCs w:val="24"/>
                <w:vertAlign w:val="superscript"/>
                <w:lang w:val="en-US"/>
              </w:rPr>
              <w:t>3</w:t>
            </w:r>
            <w:r w:rsidRPr="00141060">
              <w:rPr>
                <w:rFonts w:ascii="Arial" w:hAnsi="Arial" w:cs="Arial"/>
                <w:sz w:val="24"/>
                <w:szCs w:val="24"/>
                <w:lang w:val="en-US"/>
              </w:rPr>
              <w:t>)</w:t>
            </w:r>
          </w:p>
        </w:tc>
        <w:tc>
          <w:tcPr>
            <w:tcW w:w="1809" w:type="dxa"/>
            <w:shd w:val="clear" w:color="auto" w:fill="F2F2F2"/>
            <w:tcMar>
              <w:top w:w="0" w:type="dxa"/>
              <w:left w:w="0" w:type="dxa"/>
              <w:bottom w:w="0" w:type="dxa"/>
              <w:right w:w="0" w:type="dxa"/>
            </w:tcMar>
            <w:vAlign w:val="center"/>
          </w:tcPr>
          <w:p w14:paraId="07641CB9"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1.03</w:t>
            </w:r>
          </w:p>
        </w:tc>
        <w:tc>
          <w:tcPr>
            <w:tcW w:w="1699" w:type="dxa"/>
            <w:shd w:val="clear" w:color="auto" w:fill="F2F2F2"/>
            <w:tcMar>
              <w:top w:w="0" w:type="dxa"/>
              <w:left w:w="0" w:type="dxa"/>
              <w:bottom w:w="0" w:type="dxa"/>
              <w:right w:w="0" w:type="dxa"/>
            </w:tcMar>
            <w:vAlign w:val="center"/>
          </w:tcPr>
          <w:p w14:paraId="26AE93D0"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0.74</w:t>
            </w:r>
          </w:p>
        </w:tc>
        <w:tc>
          <w:tcPr>
            <w:tcW w:w="1687" w:type="dxa"/>
            <w:shd w:val="clear" w:color="auto" w:fill="F2F2F2"/>
            <w:tcMar>
              <w:top w:w="0" w:type="dxa"/>
              <w:left w:w="0" w:type="dxa"/>
              <w:bottom w:w="0" w:type="dxa"/>
              <w:right w:w="0" w:type="dxa"/>
            </w:tcMar>
            <w:vAlign w:val="center"/>
          </w:tcPr>
          <w:p w14:paraId="12696BA8"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1.42</w:t>
            </w:r>
          </w:p>
        </w:tc>
        <w:tc>
          <w:tcPr>
            <w:tcW w:w="1687" w:type="dxa"/>
            <w:shd w:val="clear" w:color="auto" w:fill="F2F2F2"/>
            <w:vAlign w:val="center"/>
          </w:tcPr>
          <w:p w14:paraId="7153BE61"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0.88</w:t>
            </w:r>
          </w:p>
        </w:tc>
      </w:tr>
      <w:bookmarkEnd w:id="23"/>
      <w:tr w:rsidR="00141060" w:rsidRPr="00141060" w14:paraId="391DB5F8" w14:textId="77777777" w:rsidTr="00487C17">
        <w:trPr>
          <w:cantSplit/>
        </w:trPr>
        <w:tc>
          <w:tcPr>
            <w:tcW w:w="9804" w:type="dxa"/>
            <w:gridSpan w:val="5"/>
            <w:tcBorders>
              <w:top w:val="single" w:sz="4" w:space="0" w:color="auto"/>
              <w:bottom w:val="single" w:sz="4" w:space="0" w:color="auto"/>
            </w:tcBorders>
            <w:shd w:val="clear" w:color="auto" w:fill="FFFFFF"/>
            <w:tcMar>
              <w:top w:w="0" w:type="dxa"/>
              <w:left w:w="0" w:type="dxa"/>
              <w:bottom w:w="0" w:type="dxa"/>
              <w:right w:w="0" w:type="dxa"/>
            </w:tcMar>
          </w:tcPr>
          <w:p w14:paraId="1AD6AFA9" w14:textId="77777777" w:rsidR="00141060" w:rsidRPr="00141060" w:rsidRDefault="00141060" w:rsidP="00141060">
            <w:pPr>
              <w:spacing w:after="0" w:line="240" w:lineRule="auto"/>
              <w:rPr>
                <w:rFonts w:ascii="Arial" w:hAnsi="Arial" w:cs="Arial"/>
                <w:b/>
                <w:sz w:val="24"/>
                <w:szCs w:val="24"/>
                <w:lang w:val="en-US"/>
              </w:rPr>
            </w:pPr>
            <w:r w:rsidRPr="00141060">
              <w:rPr>
                <w:rFonts w:ascii="Arial" w:hAnsi="Arial" w:cs="Arial"/>
                <w:b/>
                <w:bCs/>
                <w:sz w:val="24"/>
                <w:szCs w:val="24"/>
              </w:rPr>
              <w:t>Excluding site as a co-variate</w:t>
            </w:r>
          </w:p>
        </w:tc>
      </w:tr>
      <w:tr w:rsidR="00141060" w:rsidRPr="00141060" w14:paraId="3CFCB905" w14:textId="77777777" w:rsidTr="00487C17">
        <w:trPr>
          <w:cantSplit/>
        </w:trPr>
        <w:tc>
          <w:tcPr>
            <w:tcW w:w="2922" w:type="dxa"/>
            <w:tcBorders>
              <w:top w:val="single" w:sz="4" w:space="0" w:color="auto"/>
            </w:tcBorders>
            <w:shd w:val="clear" w:color="auto" w:fill="F2F2F2"/>
            <w:tcMar>
              <w:top w:w="0" w:type="dxa"/>
              <w:left w:w="0" w:type="dxa"/>
              <w:bottom w:w="0" w:type="dxa"/>
              <w:right w:w="0" w:type="dxa"/>
            </w:tcMar>
          </w:tcPr>
          <w:p w14:paraId="43DAC130"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DSA (N=197)</w:t>
            </w:r>
          </w:p>
        </w:tc>
        <w:tc>
          <w:tcPr>
            <w:tcW w:w="1809" w:type="dxa"/>
            <w:tcBorders>
              <w:top w:val="single" w:sz="4" w:space="0" w:color="auto"/>
            </w:tcBorders>
            <w:shd w:val="clear" w:color="auto" w:fill="F2F2F2"/>
            <w:tcMar>
              <w:top w:w="0" w:type="dxa"/>
              <w:left w:w="0" w:type="dxa"/>
              <w:bottom w:w="0" w:type="dxa"/>
              <w:right w:w="0" w:type="dxa"/>
            </w:tcMar>
            <w:vAlign w:val="center"/>
          </w:tcPr>
          <w:p w14:paraId="3A321CF7"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1.51</w:t>
            </w:r>
          </w:p>
        </w:tc>
        <w:tc>
          <w:tcPr>
            <w:tcW w:w="1699" w:type="dxa"/>
            <w:tcBorders>
              <w:top w:val="single" w:sz="4" w:space="0" w:color="auto"/>
            </w:tcBorders>
            <w:shd w:val="clear" w:color="auto" w:fill="F2F2F2"/>
            <w:tcMar>
              <w:top w:w="0" w:type="dxa"/>
              <w:left w:w="0" w:type="dxa"/>
              <w:bottom w:w="0" w:type="dxa"/>
              <w:right w:w="0" w:type="dxa"/>
            </w:tcMar>
            <w:vAlign w:val="center"/>
          </w:tcPr>
          <w:p w14:paraId="2F8DF0FF"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0.72</w:t>
            </w:r>
          </w:p>
        </w:tc>
        <w:tc>
          <w:tcPr>
            <w:tcW w:w="1687" w:type="dxa"/>
            <w:tcBorders>
              <w:top w:val="single" w:sz="4" w:space="0" w:color="auto"/>
            </w:tcBorders>
            <w:shd w:val="clear" w:color="auto" w:fill="F2F2F2"/>
            <w:tcMar>
              <w:top w:w="0" w:type="dxa"/>
              <w:left w:w="0" w:type="dxa"/>
              <w:bottom w:w="0" w:type="dxa"/>
              <w:right w:w="0" w:type="dxa"/>
            </w:tcMar>
            <w:vAlign w:val="center"/>
          </w:tcPr>
          <w:p w14:paraId="73632221"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3.19</w:t>
            </w:r>
          </w:p>
        </w:tc>
        <w:tc>
          <w:tcPr>
            <w:tcW w:w="1687" w:type="dxa"/>
            <w:tcBorders>
              <w:top w:val="single" w:sz="4" w:space="0" w:color="auto"/>
            </w:tcBorders>
            <w:shd w:val="clear" w:color="auto" w:fill="F2F2F2"/>
            <w:vAlign w:val="center"/>
          </w:tcPr>
          <w:p w14:paraId="3D212E5F"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0.28</w:t>
            </w:r>
          </w:p>
        </w:tc>
      </w:tr>
      <w:tr w:rsidR="00141060" w:rsidRPr="00141060" w14:paraId="3AF148F7" w14:textId="77777777" w:rsidTr="00487C17">
        <w:trPr>
          <w:cantSplit/>
        </w:trPr>
        <w:tc>
          <w:tcPr>
            <w:tcW w:w="2922" w:type="dxa"/>
            <w:shd w:val="clear" w:color="auto" w:fill="FFFFFF"/>
            <w:tcMar>
              <w:top w:w="0" w:type="dxa"/>
              <w:left w:w="0" w:type="dxa"/>
              <w:bottom w:w="0" w:type="dxa"/>
              <w:right w:w="0" w:type="dxa"/>
            </w:tcMar>
          </w:tcPr>
          <w:p w14:paraId="4652CBBC"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Non-DSA (N=818)</w:t>
            </w:r>
          </w:p>
        </w:tc>
        <w:tc>
          <w:tcPr>
            <w:tcW w:w="1809" w:type="dxa"/>
            <w:shd w:val="clear" w:color="auto" w:fill="FFFFFF"/>
            <w:tcMar>
              <w:top w:w="0" w:type="dxa"/>
              <w:left w:w="0" w:type="dxa"/>
              <w:bottom w:w="0" w:type="dxa"/>
              <w:right w:w="0" w:type="dxa"/>
            </w:tcMar>
            <w:vAlign w:val="center"/>
          </w:tcPr>
          <w:p w14:paraId="715EB9BE"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0.98</w:t>
            </w:r>
          </w:p>
        </w:tc>
        <w:tc>
          <w:tcPr>
            <w:tcW w:w="1699" w:type="dxa"/>
            <w:shd w:val="clear" w:color="auto" w:fill="FFFFFF"/>
            <w:tcMar>
              <w:top w:w="0" w:type="dxa"/>
              <w:left w:w="0" w:type="dxa"/>
              <w:bottom w:w="0" w:type="dxa"/>
              <w:right w:w="0" w:type="dxa"/>
            </w:tcMar>
            <w:vAlign w:val="center"/>
          </w:tcPr>
          <w:p w14:paraId="5A08B50B"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0.54</w:t>
            </w:r>
          </w:p>
        </w:tc>
        <w:tc>
          <w:tcPr>
            <w:tcW w:w="1687" w:type="dxa"/>
            <w:shd w:val="clear" w:color="auto" w:fill="FFFFFF"/>
            <w:tcMar>
              <w:top w:w="0" w:type="dxa"/>
              <w:left w:w="0" w:type="dxa"/>
              <w:bottom w:w="0" w:type="dxa"/>
              <w:right w:w="0" w:type="dxa"/>
            </w:tcMar>
            <w:vAlign w:val="center"/>
          </w:tcPr>
          <w:p w14:paraId="1B164D20"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1.75</w:t>
            </w:r>
          </w:p>
        </w:tc>
        <w:tc>
          <w:tcPr>
            <w:tcW w:w="1687" w:type="dxa"/>
            <w:shd w:val="clear" w:color="auto" w:fill="FFFFFF"/>
            <w:vAlign w:val="center"/>
          </w:tcPr>
          <w:p w14:paraId="41998E34"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0.93</w:t>
            </w:r>
          </w:p>
        </w:tc>
      </w:tr>
      <w:tr w:rsidR="00141060" w:rsidRPr="00141060" w14:paraId="4DA751DB" w14:textId="77777777" w:rsidTr="00487C17">
        <w:trPr>
          <w:cantSplit/>
        </w:trPr>
        <w:tc>
          <w:tcPr>
            <w:tcW w:w="2922" w:type="dxa"/>
            <w:shd w:val="clear" w:color="auto" w:fill="F2F2F2"/>
            <w:tcMar>
              <w:top w:w="0" w:type="dxa"/>
              <w:left w:w="0" w:type="dxa"/>
              <w:bottom w:w="0" w:type="dxa"/>
              <w:right w:w="0" w:type="dxa"/>
            </w:tcMar>
          </w:tcPr>
          <w:p w14:paraId="55891108"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All participants (N=2035)</w:t>
            </w:r>
          </w:p>
        </w:tc>
        <w:tc>
          <w:tcPr>
            <w:tcW w:w="1809" w:type="dxa"/>
            <w:shd w:val="clear" w:color="auto" w:fill="F2F2F2"/>
            <w:tcMar>
              <w:top w:w="0" w:type="dxa"/>
              <w:left w:w="0" w:type="dxa"/>
              <w:bottom w:w="0" w:type="dxa"/>
              <w:right w:w="0" w:type="dxa"/>
            </w:tcMar>
            <w:vAlign w:val="center"/>
          </w:tcPr>
          <w:p w14:paraId="065F4FEE"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1.02</w:t>
            </w:r>
          </w:p>
        </w:tc>
        <w:tc>
          <w:tcPr>
            <w:tcW w:w="1699" w:type="dxa"/>
            <w:shd w:val="clear" w:color="auto" w:fill="F2F2F2"/>
            <w:tcMar>
              <w:top w:w="0" w:type="dxa"/>
              <w:left w:w="0" w:type="dxa"/>
              <w:bottom w:w="0" w:type="dxa"/>
              <w:right w:w="0" w:type="dxa"/>
            </w:tcMar>
            <w:vAlign w:val="center"/>
          </w:tcPr>
          <w:p w14:paraId="1189FFC8"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0.72</w:t>
            </w:r>
          </w:p>
        </w:tc>
        <w:tc>
          <w:tcPr>
            <w:tcW w:w="1687" w:type="dxa"/>
            <w:shd w:val="clear" w:color="auto" w:fill="F2F2F2"/>
            <w:tcMar>
              <w:top w:w="0" w:type="dxa"/>
              <w:left w:w="0" w:type="dxa"/>
              <w:bottom w:w="0" w:type="dxa"/>
              <w:right w:w="0" w:type="dxa"/>
            </w:tcMar>
            <w:vAlign w:val="center"/>
          </w:tcPr>
          <w:p w14:paraId="76265679"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1.45</w:t>
            </w:r>
          </w:p>
        </w:tc>
        <w:tc>
          <w:tcPr>
            <w:tcW w:w="1687" w:type="dxa"/>
            <w:shd w:val="clear" w:color="auto" w:fill="F2F2F2"/>
            <w:vAlign w:val="center"/>
          </w:tcPr>
          <w:p w14:paraId="37D0505A"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0.91</w:t>
            </w:r>
          </w:p>
        </w:tc>
      </w:tr>
      <w:tr w:rsidR="00141060" w:rsidRPr="00141060" w14:paraId="2E44099E" w14:textId="77777777" w:rsidTr="00487C17">
        <w:trPr>
          <w:cantSplit/>
        </w:trPr>
        <w:tc>
          <w:tcPr>
            <w:tcW w:w="9804" w:type="dxa"/>
            <w:gridSpan w:val="5"/>
            <w:tcBorders>
              <w:top w:val="single" w:sz="4" w:space="0" w:color="auto"/>
              <w:bottom w:val="single" w:sz="4" w:space="0" w:color="auto"/>
            </w:tcBorders>
            <w:shd w:val="clear" w:color="auto" w:fill="FFFFFF"/>
            <w:tcMar>
              <w:top w:w="0" w:type="dxa"/>
              <w:left w:w="0" w:type="dxa"/>
              <w:bottom w:w="0" w:type="dxa"/>
              <w:right w:w="0" w:type="dxa"/>
            </w:tcMar>
          </w:tcPr>
          <w:p w14:paraId="26FC0B23" w14:textId="77777777" w:rsidR="00141060" w:rsidRPr="00141060" w:rsidRDefault="00141060" w:rsidP="00141060">
            <w:pPr>
              <w:spacing w:after="0" w:line="240" w:lineRule="auto"/>
              <w:rPr>
                <w:rFonts w:ascii="Arial" w:hAnsi="Arial" w:cs="Arial"/>
                <w:b/>
                <w:sz w:val="24"/>
                <w:szCs w:val="24"/>
                <w:lang w:val="en-US"/>
              </w:rPr>
            </w:pPr>
            <w:r w:rsidRPr="00141060">
              <w:rPr>
                <w:rFonts w:ascii="Arial" w:hAnsi="Arial" w:cs="Arial"/>
                <w:b/>
                <w:bCs/>
                <w:sz w:val="24"/>
                <w:szCs w:val="24"/>
              </w:rPr>
              <w:t>Competing risk of death</w:t>
            </w:r>
          </w:p>
        </w:tc>
      </w:tr>
      <w:tr w:rsidR="00141060" w:rsidRPr="00141060" w14:paraId="39C014D2" w14:textId="77777777" w:rsidTr="00487C17">
        <w:trPr>
          <w:cantSplit/>
        </w:trPr>
        <w:tc>
          <w:tcPr>
            <w:tcW w:w="2922" w:type="dxa"/>
            <w:tcBorders>
              <w:top w:val="single" w:sz="4" w:space="0" w:color="auto"/>
            </w:tcBorders>
            <w:shd w:val="clear" w:color="auto" w:fill="F2F2F2"/>
            <w:tcMar>
              <w:top w:w="0" w:type="dxa"/>
              <w:left w:w="0" w:type="dxa"/>
              <w:bottom w:w="0" w:type="dxa"/>
              <w:right w:w="0" w:type="dxa"/>
            </w:tcMar>
          </w:tcPr>
          <w:p w14:paraId="0331CC51"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DSA (N=197)</w:t>
            </w:r>
          </w:p>
        </w:tc>
        <w:tc>
          <w:tcPr>
            <w:tcW w:w="1809" w:type="dxa"/>
            <w:tcBorders>
              <w:top w:val="single" w:sz="4" w:space="0" w:color="auto"/>
            </w:tcBorders>
            <w:shd w:val="clear" w:color="auto" w:fill="F2F2F2"/>
            <w:tcMar>
              <w:top w:w="0" w:type="dxa"/>
              <w:left w:w="0" w:type="dxa"/>
              <w:bottom w:w="0" w:type="dxa"/>
              <w:right w:w="0" w:type="dxa"/>
            </w:tcMar>
            <w:vAlign w:val="center"/>
          </w:tcPr>
          <w:p w14:paraId="2877F1B4"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1.53</w:t>
            </w:r>
          </w:p>
        </w:tc>
        <w:tc>
          <w:tcPr>
            <w:tcW w:w="1699" w:type="dxa"/>
            <w:tcBorders>
              <w:top w:val="single" w:sz="4" w:space="0" w:color="auto"/>
            </w:tcBorders>
            <w:shd w:val="clear" w:color="auto" w:fill="F2F2F2"/>
            <w:tcMar>
              <w:top w:w="0" w:type="dxa"/>
              <w:left w:w="0" w:type="dxa"/>
              <w:bottom w:w="0" w:type="dxa"/>
              <w:right w:w="0" w:type="dxa"/>
            </w:tcMar>
            <w:vAlign w:val="center"/>
          </w:tcPr>
          <w:p w14:paraId="1C805BAA"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0.70</w:t>
            </w:r>
          </w:p>
        </w:tc>
        <w:tc>
          <w:tcPr>
            <w:tcW w:w="1687" w:type="dxa"/>
            <w:tcBorders>
              <w:top w:val="single" w:sz="4" w:space="0" w:color="auto"/>
            </w:tcBorders>
            <w:shd w:val="clear" w:color="auto" w:fill="F2F2F2"/>
            <w:tcMar>
              <w:top w:w="0" w:type="dxa"/>
              <w:left w:w="0" w:type="dxa"/>
              <w:bottom w:w="0" w:type="dxa"/>
              <w:right w:w="0" w:type="dxa"/>
            </w:tcMar>
            <w:vAlign w:val="center"/>
          </w:tcPr>
          <w:p w14:paraId="03494800"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3.35</w:t>
            </w:r>
          </w:p>
        </w:tc>
        <w:tc>
          <w:tcPr>
            <w:tcW w:w="1687" w:type="dxa"/>
            <w:tcBorders>
              <w:top w:val="single" w:sz="4" w:space="0" w:color="auto"/>
            </w:tcBorders>
            <w:shd w:val="clear" w:color="auto" w:fill="F2F2F2"/>
            <w:vAlign w:val="center"/>
          </w:tcPr>
          <w:p w14:paraId="2D5BE72B"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0.29</w:t>
            </w:r>
          </w:p>
        </w:tc>
      </w:tr>
      <w:tr w:rsidR="00141060" w:rsidRPr="00141060" w14:paraId="426387B0" w14:textId="77777777" w:rsidTr="00487C17">
        <w:trPr>
          <w:cantSplit/>
        </w:trPr>
        <w:tc>
          <w:tcPr>
            <w:tcW w:w="2922" w:type="dxa"/>
            <w:shd w:val="clear" w:color="auto" w:fill="FFFFFF"/>
            <w:tcMar>
              <w:top w:w="0" w:type="dxa"/>
              <w:left w:w="0" w:type="dxa"/>
              <w:bottom w:w="0" w:type="dxa"/>
              <w:right w:w="0" w:type="dxa"/>
            </w:tcMar>
          </w:tcPr>
          <w:p w14:paraId="18EB8F9D"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Non-DSA (N=818)</w:t>
            </w:r>
          </w:p>
        </w:tc>
        <w:tc>
          <w:tcPr>
            <w:tcW w:w="1809" w:type="dxa"/>
            <w:shd w:val="clear" w:color="auto" w:fill="FFFFFF"/>
            <w:tcMar>
              <w:top w:w="0" w:type="dxa"/>
              <w:left w:w="0" w:type="dxa"/>
              <w:bottom w:w="0" w:type="dxa"/>
              <w:right w:w="0" w:type="dxa"/>
            </w:tcMar>
            <w:vAlign w:val="center"/>
          </w:tcPr>
          <w:p w14:paraId="1FF12CEA"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0.96</w:t>
            </w:r>
          </w:p>
        </w:tc>
        <w:tc>
          <w:tcPr>
            <w:tcW w:w="1699" w:type="dxa"/>
            <w:shd w:val="clear" w:color="auto" w:fill="FFFFFF"/>
            <w:tcMar>
              <w:top w:w="0" w:type="dxa"/>
              <w:left w:w="0" w:type="dxa"/>
              <w:bottom w:w="0" w:type="dxa"/>
              <w:right w:w="0" w:type="dxa"/>
            </w:tcMar>
            <w:vAlign w:val="center"/>
          </w:tcPr>
          <w:p w14:paraId="0254CD4D"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0.53</w:t>
            </w:r>
          </w:p>
        </w:tc>
        <w:tc>
          <w:tcPr>
            <w:tcW w:w="1687" w:type="dxa"/>
            <w:shd w:val="clear" w:color="auto" w:fill="FFFFFF"/>
            <w:tcMar>
              <w:top w:w="0" w:type="dxa"/>
              <w:left w:w="0" w:type="dxa"/>
              <w:bottom w:w="0" w:type="dxa"/>
              <w:right w:w="0" w:type="dxa"/>
            </w:tcMar>
            <w:vAlign w:val="center"/>
          </w:tcPr>
          <w:p w14:paraId="0A54B09C"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1.74</w:t>
            </w:r>
          </w:p>
        </w:tc>
        <w:tc>
          <w:tcPr>
            <w:tcW w:w="1687" w:type="dxa"/>
            <w:shd w:val="clear" w:color="auto" w:fill="FFFFFF"/>
            <w:vAlign w:val="center"/>
          </w:tcPr>
          <w:p w14:paraId="6E07F589"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0.90</w:t>
            </w:r>
          </w:p>
        </w:tc>
      </w:tr>
      <w:tr w:rsidR="00141060" w:rsidRPr="00141060" w14:paraId="3CAE2B0C" w14:textId="77777777" w:rsidTr="00487C17">
        <w:trPr>
          <w:cantSplit/>
        </w:trPr>
        <w:tc>
          <w:tcPr>
            <w:tcW w:w="2922" w:type="dxa"/>
            <w:shd w:val="clear" w:color="auto" w:fill="F2F2F2"/>
            <w:tcMar>
              <w:top w:w="0" w:type="dxa"/>
              <w:left w:w="0" w:type="dxa"/>
              <w:bottom w:w="0" w:type="dxa"/>
              <w:right w:w="0" w:type="dxa"/>
            </w:tcMar>
          </w:tcPr>
          <w:p w14:paraId="7F595076"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All participants (N=2035)</w:t>
            </w:r>
          </w:p>
        </w:tc>
        <w:tc>
          <w:tcPr>
            <w:tcW w:w="1809" w:type="dxa"/>
            <w:shd w:val="clear" w:color="auto" w:fill="F2F2F2"/>
            <w:tcMar>
              <w:top w:w="0" w:type="dxa"/>
              <w:left w:w="0" w:type="dxa"/>
              <w:bottom w:w="0" w:type="dxa"/>
              <w:right w:w="0" w:type="dxa"/>
            </w:tcMar>
            <w:vAlign w:val="center"/>
          </w:tcPr>
          <w:p w14:paraId="2070C3CB"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1.01</w:t>
            </w:r>
          </w:p>
        </w:tc>
        <w:tc>
          <w:tcPr>
            <w:tcW w:w="1699" w:type="dxa"/>
            <w:shd w:val="clear" w:color="auto" w:fill="F2F2F2"/>
            <w:tcMar>
              <w:top w:w="0" w:type="dxa"/>
              <w:left w:w="0" w:type="dxa"/>
              <w:bottom w:w="0" w:type="dxa"/>
              <w:right w:w="0" w:type="dxa"/>
            </w:tcMar>
            <w:vAlign w:val="center"/>
          </w:tcPr>
          <w:p w14:paraId="2113FF37"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0.71</w:t>
            </w:r>
          </w:p>
        </w:tc>
        <w:tc>
          <w:tcPr>
            <w:tcW w:w="1687" w:type="dxa"/>
            <w:shd w:val="clear" w:color="auto" w:fill="F2F2F2"/>
            <w:tcMar>
              <w:top w:w="0" w:type="dxa"/>
              <w:left w:w="0" w:type="dxa"/>
              <w:bottom w:w="0" w:type="dxa"/>
              <w:right w:w="0" w:type="dxa"/>
            </w:tcMar>
            <w:vAlign w:val="center"/>
          </w:tcPr>
          <w:p w14:paraId="1732AADD"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1.43</w:t>
            </w:r>
          </w:p>
        </w:tc>
        <w:tc>
          <w:tcPr>
            <w:tcW w:w="1687" w:type="dxa"/>
            <w:shd w:val="clear" w:color="auto" w:fill="F2F2F2"/>
            <w:vAlign w:val="center"/>
          </w:tcPr>
          <w:p w14:paraId="0DD19783"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0.96</w:t>
            </w:r>
          </w:p>
        </w:tc>
      </w:tr>
      <w:tr w:rsidR="00141060" w:rsidRPr="00141060" w14:paraId="6956208B" w14:textId="77777777" w:rsidTr="00487C17">
        <w:trPr>
          <w:cantSplit/>
        </w:trPr>
        <w:tc>
          <w:tcPr>
            <w:tcW w:w="9804" w:type="dxa"/>
            <w:gridSpan w:val="5"/>
            <w:tcBorders>
              <w:top w:val="single" w:sz="4" w:space="0" w:color="auto"/>
              <w:bottom w:val="single" w:sz="4" w:space="0" w:color="auto"/>
            </w:tcBorders>
            <w:shd w:val="clear" w:color="auto" w:fill="FFFFFF"/>
            <w:tcMar>
              <w:top w:w="0" w:type="dxa"/>
              <w:left w:w="0" w:type="dxa"/>
              <w:bottom w:w="0" w:type="dxa"/>
              <w:right w:w="0" w:type="dxa"/>
            </w:tcMar>
          </w:tcPr>
          <w:p w14:paraId="00B63684" w14:textId="77777777" w:rsidR="00141060" w:rsidRPr="00141060" w:rsidRDefault="00141060" w:rsidP="00141060">
            <w:pPr>
              <w:spacing w:after="0" w:line="240" w:lineRule="auto"/>
              <w:rPr>
                <w:rFonts w:ascii="Arial" w:hAnsi="Arial" w:cs="Arial"/>
                <w:b/>
                <w:sz w:val="24"/>
                <w:szCs w:val="24"/>
                <w:lang w:val="en-US"/>
              </w:rPr>
            </w:pPr>
            <w:r w:rsidRPr="00141060">
              <w:rPr>
                <w:rFonts w:ascii="Arial" w:hAnsi="Arial" w:cs="Arial"/>
                <w:b/>
                <w:sz w:val="24"/>
                <w:szCs w:val="24"/>
                <w:lang w:val="en-US"/>
              </w:rPr>
              <w:t>Randomisation as time zero</w:t>
            </w:r>
            <w:r w:rsidRPr="00141060">
              <w:rPr>
                <w:rFonts w:ascii="Arial" w:hAnsi="Arial" w:cs="Arial"/>
                <w:b/>
                <w:sz w:val="24"/>
                <w:szCs w:val="24"/>
                <w:vertAlign w:val="superscript"/>
                <w:lang w:val="en-US"/>
              </w:rPr>
              <w:t>4</w:t>
            </w:r>
          </w:p>
        </w:tc>
      </w:tr>
      <w:tr w:rsidR="00141060" w:rsidRPr="00141060" w14:paraId="6ADEF594" w14:textId="77777777" w:rsidTr="00487C17">
        <w:trPr>
          <w:cantSplit/>
        </w:trPr>
        <w:tc>
          <w:tcPr>
            <w:tcW w:w="2922" w:type="dxa"/>
            <w:tcBorders>
              <w:top w:val="single" w:sz="4" w:space="0" w:color="auto"/>
            </w:tcBorders>
            <w:shd w:val="clear" w:color="auto" w:fill="F2F2F2"/>
            <w:tcMar>
              <w:top w:w="0" w:type="dxa"/>
              <w:left w:w="0" w:type="dxa"/>
              <w:bottom w:w="0" w:type="dxa"/>
              <w:right w:w="0" w:type="dxa"/>
            </w:tcMar>
          </w:tcPr>
          <w:p w14:paraId="282B765A"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DSA (N=198)</w:t>
            </w:r>
          </w:p>
        </w:tc>
        <w:tc>
          <w:tcPr>
            <w:tcW w:w="1809" w:type="dxa"/>
            <w:tcBorders>
              <w:top w:val="single" w:sz="4" w:space="0" w:color="auto"/>
            </w:tcBorders>
            <w:shd w:val="clear" w:color="auto" w:fill="F2F2F2"/>
            <w:tcMar>
              <w:top w:w="0" w:type="dxa"/>
              <w:left w:w="0" w:type="dxa"/>
              <w:bottom w:w="0" w:type="dxa"/>
              <w:right w:w="0" w:type="dxa"/>
            </w:tcMar>
            <w:vAlign w:val="center"/>
          </w:tcPr>
          <w:p w14:paraId="26681152"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1.35</w:t>
            </w:r>
          </w:p>
        </w:tc>
        <w:tc>
          <w:tcPr>
            <w:tcW w:w="1699" w:type="dxa"/>
            <w:tcBorders>
              <w:top w:val="single" w:sz="4" w:space="0" w:color="auto"/>
            </w:tcBorders>
            <w:shd w:val="clear" w:color="auto" w:fill="F2F2F2"/>
            <w:tcMar>
              <w:top w:w="0" w:type="dxa"/>
              <w:left w:w="0" w:type="dxa"/>
              <w:bottom w:w="0" w:type="dxa"/>
              <w:right w:w="0" w:type="dxa"/>
            </w:tcMar>
            <w:vAlign w:val="center"/>
          </w:tcPr>
          <w:p w14:paraId="016D3A3B"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0.64</w:t>
            </w:r>
          </w:p>
        </w:tc>
        <w:tc>
          <w:tcPr>
            <w:tcW w:w="1687" w:type="dxa"/>
            <w:tcBorders>
              <w:top w:val="single" w:sz="4" w:space="0" w:color="auto"/>
            </w:tcBorders>
            <w:shd w:val="clear" w:color="auto" w:fill="F2F2F2"/>
            <w:tcMar>
              <w:top w:w="0" w:type="dxa"/>
              <w:left w:w="0" w:type="dxa"/>
              <w:bottom w:w="0" w:type="dxa"/>
              <w:right w:w="0" w:type="dxa"/>
            </w:tcMar>
            <w:vAlign w:val="center"/>
          </w:tcPr>
          <w:p w14:paraId="565F88D4"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2.86</w:t>
            </w:r>
          </w:p>
        </w:tc>
        <w:tc>
          <w:tcPr>
            <w:tcW w:w="1687" w:type="dxa"/>
            <w:tcBorders>
              <w:top w:val="single" w:sz="4" w:space="0" w:color="auto"/>
            </w:tcBorders>
            <w:shd w:val="clear" w:color="auto" w:fill="F2F2F2"/>
            <w:vAlign w:val="center"/>
          </w:tcPr>
          <w:p w14:paraId="2A110AFB"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0.43</w:t>
            </w:r>
          </w:p>
        </w:tc>
      </w:tr>
      <w:tr w:rsidR="00141060" w:rsidRPr="00141060" w14:paraId="45592824" w14:textId="77777777" w:rsidTr="00487C17">
        <w:trPr>
          <w:cantSplit/>
        </w:trPr>
        <w:tc>
          <w:tcPr>
            <w:tcW w:w="2922" w:type="dxa"/>
            <w:shd w:val="clear" w:color="auto" w:fill="FFFFFF"/>
            <w:tcMar>
              <w:top w:w="0" w:type="dxa"/>
              <w:left w:w="0" w:type="dxa"/>
              <w:bottom w:w="0" w:type="dxa"/>
              <w:right w:w="0" w:type="dxa"/>
            </w:tcMar>
          </w:tcPr>
          <w:p w14:paraId="06802A07"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Non-DSA (N=818)</w:t>
            </w:r>
          </w:p>
        </w:tc>
        <w:tc>
          <w:tcPr>
            <w:tcW w:w="1809" w:type="dxa"/>
            <w:shd w:val="clear" w:color="auto" w:fill="FFFFFF"/>
            <w:tcMar>
              <w:top w:w="0" w:type="dxa"/>
              <w:left w:w="0" w:type="dxa"/>
              <w:bottom w:w="0" w:type="dxa"/>
              <w:right w:w="0" w:type="dxa"/>
            </w:tcMar>
            <w:vAlign w:val="center"/>
          </w:tcPr>
          <w:p w14:paraId="7DD8FA5F"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0.96</w:t>
            </w:r>
          </w:p>
        </w:tc>
        <w:tc>
          <w:tcPr>
            <w:tcW w:w="1699" w:type="dxa"/>
            <w:shd w:val="clear" w:color="auto" w:fill="FFFFFF"/>
            <w:tcMar>
              <w:top w:w="0" w:type="dxa"/>
              <w:left w:w="0" w:type="dxa"/>
              <w:bottom w:w="0" w:type="dxa"/>
              <w:right w:w="0" w:type="dxa"/>
            </w:tcMar>
            <w:vAlign w:val="center"/>
          </w:tcPr>
          <w:p w14:paraId="080A18AF"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0.53</w:t>
            </w:r>
          </w:p>
        </w:tc>
        <w:tc>
          <w:tcPr>
            <w:tcW w:w="1687" w:type="dxa"/>
            <w:shd w:val="clear" w:color="auto" w:fill="FFFFFF"/>
            <w:tcMar>
              <w:top w:w="0" w:type="dxa"/>
              <w:left w:w="0" w:type="dxa"/>
              <w:bottom w:w="0" w:type="dxa"/>
              <w:right w:w="0" w:type="dxa"/>
            </w:tcMar>
            <w:vAlign w:val="center"/>
          </w:tcPr>
          <w:p w14:paraId="0661A2F5"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1.72</w:t>
            </w:r>
          </w:p>
        </w:tc>
        <w:tc>
          <w:tcPr>
            <w:tcW w:w="1687" w:type="dxa"/>
            <w:shd w:val="clear" w:color="auto" w:fill="FFFFFF"/>
            <w:vAlign w:val="center"/>
          </w:tcPr>
          <w:p w14:paraId="6AB53903"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0.88</w:t>
            </w:r>
          </w:p>
        </w:tc>
      </w:tr>
      <w:tr w:rsidR="00141060" w:rsidRPr="00141060" w14:paraId="45FCBAFB" w14:textId="77777777" w:rsidTr="00487C17">
        <w:trPr>
          <w:cantSplit/>
        </w:trPr>
        <w:tc>
          <w:tcPr>
            <w:tcW w:w="9804" w:type="dxa"/>
            <w:gridSpan w:val="5"/>
            <w:tcBorders>
              <w:top w:val="single" w:sz="4" w:space="0" w:color="auto"/>
              <w:bottom w:val="single" w:sz="4" w:space="0" w:color="auto"/>
            </w:tcBorders>
            <w:shd w:val="clear" w:color="auto" w:fill="FFFFFF"/>
            <w:tcMar>
              <w:top w:w="0" w:type="dxa"/>
              <w:left w:w="0" w:type="dxa"/>
              <w:bottom w:w="0" w:type="dxa"/>
              <w:right w:w="0" w:type="dxa"/>
            </w:tcMar>
          </w:tcPr>
          <w:p w14:paraId="0865D72E" w14:textId="10B78151" w:rsidR="00141060" w:rsidRPr="00141060" w:rsidRDefault="00141060" w:rsidP="00141060">
            <w:pPr>
              <w:spacing w:after="0" w:line="240" w:lineRule="auto"/>
              <w:rPr>
                <w:rFonts w:ascii="Arial" w:hAnsi="Arial" w:cs="Arial"/>
                <w:b/>
                <w:sz w:val="24"/>
                <w:szCs w:val="24"/>
                <w:lang w:val="en-US"/>
              </w:rPr>
            </w:pPr>
            <w:r w:rsidRPr="00141060">
              <w:rPr>
                <w:rFonts w:ascii="Arial" w:hAnsi="Arial" w:cs="Arial"/>
                <w:b/>
                <w:sz w:val="24"/>
                <w:szCs w:val="24"/>
                <w:lang w:val="en-US"/>
              </w:rPr>
              <w:t xml:space="preserve">Analysis of only those who underwent IS </w:t>
            </w:r>
            <w:r w:rsidR="00B37DE7">
              <w:rPr>
                <w:rFonts w:ascii="Arial" w:hAnsi="Arial" w:cs="Arial"/>
                <w:b/>
                <w:sz w:val="24"/>
                <w:szCs w:val="24"/>
                <w:lang w:val="en-US"/>
              </w:rPr>
              <w:t>optimization (using only BLC participants taking all 3 IMPs)</w:t>
            </w:r>
            <w:r w:rsidR="00B37DE7" w:rsidRPr="009A53A7">
              <w:rPr>
                <w:rFonts w:ascii="Arial" w:hAnsi="Arial" w:cs="Arial"/>
                <w:b/>
                <w:sz w:val="24"/>
                <w:szCs w:val="24"/>
                <w:vertAlign w:val="superscript"/>
                <w:lang w:val="en-US"/>
              </w:rPr>
              <w:t>5</w:t>
            </w:r>
          </w:p>
        </w:tc>
      </w:tr>
      <w:tr w:rsidR="00141060" w:rsidRPr="00141060" w14:paraId="2B759800" w14:textId="77777777" w:rsidTr="00487C17">
        <w:trPr>
          <w:cantSplit/>
        </w:trPr>
        <w:tc>
          <w:tcPr>
            <w:tcW w:w="2922" w:type="dxa"/>
            <w:tcBorders>
              <w:top w:val="single" w:sz="4" w:space="0" w:color="auto"/>
            </w:tcBorders>
            <w:shd w:val="clear" w:color="auto" w:fill="F2F2F2"/>
            <w:tcMar>
              <w:top w:w="0" w:type="dxa"/>
              <w:left w:w="0" w:type="dxa"/>
              <w:bottom w:w="0" w:type="dxa"/>
              <w:right w:w="0" w:type="dxa"/>
            </w:tcMar>
          </w:tcPr>
          <w:p w14:paraId="0B9DFCAA"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DSA (N=145)</w:t>
            </w:r>
          </w:p>
        </w:tc>
        <w:tc>
          <w:tcPr>
            <w:tcW w:w="1809" w:type="dxa"/>
            <w:tcBorders>
              <w:top w:val="single" w:sz="4" w:space="0" w:color="auto"/>
            </w:tcBorders>
            <w:shd w:val="clear" w:color="auto" w:fill="F2F2F2"/>
            <w:tcMar>
              <w:top w:w="0" w:type="dxa"/>
              <w:left w:w="0" w:type="dxa"/>
              <w:bottom w:w="0" w:type="dxa"/>
              <w:right w:w="0" w:type="dxa"/>
            </w:tcMar>
            <w:vAlign w:val="center"/>
          </w:tcPr>
          <w:p w14:paraId="46F2B231"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1.17</w:t>
            </w:r>
          </w:p>
        </w:tc>
        <w:tc>
          <w:tcPr>
            <w:tcW w:w="1699" w:type="dxa"/>
            <w:tcBorders>
              <w:top w:val="single" w:sz="4" w:space="0" w:color="auto"/>
            </w:tcBorders>
            <w:shd w:val="clear" w:color="auto" w:fill="F2F2F2"/>
            <w:tcMar>
              <w:top w:w="0" w:type="dxa"/>
              <w:left w:w="0" w:type="dxa"/>
              <w:bottom w:w="0" w:type="dxa"/>
              <w:right w:w="0" w:type="dxa"/>
            </w:tcMar>
            <w:vAlign w:val="center"/>
          </w:tcPr>
          <w:p w14:paraId="67AAD0A0"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0.44</w:t>
            </w:r>
          </w:p>
        </w:tc>
        <w:tc>
          <w:tcPr>
            <w:tcW w:w="1687" w:type="dxa"/>
            <w:tcBorders>
              <w:top w:val="single" w:sz="4" w:space="0" w:color="auto"/>
            </w:tcBorders>
            <w:shd w:val="clear" w:color="auto" w:fill="F2F2F2"/>
            <w:tcMar>
              <w:top w:w="0" w:type="dxa"/>
              <w:left w:w="0" w:type="dxa"/>
              <w:bottom w:w="0" w:type="dxa"/>
              <w:right w:w="0" w:type="dxa"/>
            </w:tcMar>
            <w:vAlign w:val="center"/>
          </w:tcPr>
          <w:p w14:paraId="1F126743"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3.14</w:t>
            </w:r>
          </w:p>
        </w:tc>
        <w:tc>
          <w:tcPr>
            <w:tcW w:w="1687" w:type="dxa"/>
            <w:tcBorders>
              <w:top w:val="single" w:sz="4" w:space="0" w:color="auto"/>
            </w:tcBorders>
            <w:shd w:val="clear" w:color="auto" w:fill="F2F2F2"/>
            <w:vAlign w:val="center"/>
          </w:tcPr>
          <w:p w14:paraId="201046B7"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0.75</w:t>
            </w:r>
          </w:p>
        </w:tc>
      </w:tr>
      <w:tr w:rsidR="00141060" w:rsidRPr="00141060" w14:paraId="56CA89DE" w14:textId="77777777" w:rsidTr="00487C17">
        <w:trPr>
          <w:cantSplit/>
        </w:trPr>
        <w:tc>
          <w:tcPr>
            <w:tcW w:w="2922" w:type="dxa"/>
            <w:shd w:val="clear" w:color="auto" w:fill="FFFFFF"/>
            <w:tcMar>
              <w:top w:w="0" w:type="dxa"/>
              <w:left w:w="0" w:type="dxa"/>
              <w:bottom w:w="0" w:type="dxa"/>
              <w:right w:w="0" w:type="dxa"/>
            </w:tcMar>
          </w:tcPr>
          <w:p w14:paraId="5954F058"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Non-DSA (N=569)</w:t>
            </w:r>
          </w:p>
        </w:tc>
        <w:tc>
          <w:tcPr>
            <w:tcW w:w="1809" w:type="dxa"/>
            <w:shd w:val="clear" w:color="auto" w:fill="FFFFFF"/>
            <w:tcMar>
              <w:top w:w="0" w:type="dxa"/>
              <w:left w:w="0" w:type="dxa"/>
              <w:bottom w:w="0" w:type="dxa"/>
              <w:right w:w="0" w:type="dxa"/>
            </w:tcMar>
            <w:vAlign w:val="center"/>
          </w:tcPr>
          <w:p w14:paraId="2A955096"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0.96</w:t>
            </w:r>
          </w:p>
        </w:tc>
        <w:tc>
          <w:tcPr>
            <w:tcW w:w="1699" w:type="dxa"/>
            <w:shd w:val="clear" w:color="auto" w:fill="FFFFFF"/>
            <w:tcMar>
              <w:top w:w="0" w:type="dxa"/>
              <w:left w:w="0" w:type="dxa"/>
              <w:bottom w:w="0" w:type="dxa"/>
              <w:right w:w="0" w:type="dxa"/>
            </w:tcMar>
            <w:vAlign w:val="center"/>
          </w:tcPr>
          <w:p w14:paraId="3D41648E"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0.44</w:t>
            </w:r>
          </w:p>
        </w:tc>
        <w:tc>
          <w:tcPr>
            <w:tcW w:w="1687" w:type="dxa"/>
            <w:shd w:val="clear" w:color="auto" w:fill="FFFFFF"/>
            <w:tcMar>
              <w:top w:w="0" w:type="dxa"/>
              <w:left w:w="0" w:type="dxa"/>
              <w:bottom w:w="0" w:type="dxa"/>
              <w:right w:w="0" w:type="dxa"/>
            </w:tcMar>
            <w:vAlign w:val="center"/>
          </w:tcPr>
          <w:p w14:paraId="10BB822A"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2.10</w:t>
            </w:r>
          </w:p>
        </w:tc>
        <w:tc>
          <w:tcPr>
            <w:tcW w:w="1687" w:type="dxa"/>
            <w:shd w:val="clear" w:color="auto" w:fill="FFFFFF"/>
            <w:vAlign w:val="center"/>
          </w:tcPr>
          <w:p w14:paraId="047D524A"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0.91</w:t>
            </w:r>
          </w:p>
        </w:tc>
      </w:tr>
      <w:tr w:rsidR="00141060" w:rsidRPr="00141060" w14:paraId="52992F9B" w14:textId="77777777" w:rsidTr="00487C17">
        <w:trPr>
          <w:cantSplit/>
        </w:trPr>
        <w:tc>
          <w:tcPr>
            <w:tcW w:w="2922" w:type="dxa"/>
            <w:shd w:val="clear" w:color="auto" w:fill="F2F2F2"/>
            <w:tcMar>
              <w:top w:w="0" w:type="dxa"/>
              <w:left w:w="0" w:type="dxa"/>
              <w:bottom w:w="0" w:type="dxa"/>
              <w:right w:w="0" w:type="dxa"/>
            </w:tcMar>
          </w:tcPr>
          <w:p w14:paraId="3317F133"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All participants (N=1238)</w:t>
            </w:r>
          </w:p>
        </w:tc>
        <w:tc>
          <w:tcPr>
            <w:tcW w:w="1809" w:type="dxa"/>
            <w:shd w:val="clear" w:color="auto" w:fill="F2F2F2"/>
            <w:tcMar>
              <w:top w:w="0" w:type="dxa"/>
              <w:left w:w="0" w:type="dxa"/>
              <w:bottom w:w="0" w:type="dxa"/>
              <w:right w:w="0" w:type="dxa"/>
            </w:tcMar>
            <w:vAlign w:val="center"/>
          </w:tcPr>
          <w:p w14:paraId="388D0C6B"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1.21</w:t>
            </w:r>
          </w:p>
        </w:tc>
        <w:tc>
          <w:tcPr>
            <w:tcW w:w="1699" w:type="dxa"/>
            <w:shd w:val="clear" w:color="auto" w:fill="F2F2F2"/>
            <w:tcMar>
              <w:top w:w="0" w:type="dxa"/>
              <w:left w:w="0" w:type="dxa"/>
              <w:bottom w:w="0" w:type="dxa"/>
              <w:right w:w="0" w:type="dxa"/>
            </w:tcMar>
            <w:vAlign w:val="center"/>
          </w:tcPr>
          <w:p w14:paraId="16222503"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0.71</w:t>
            </w:r>
          </w:p>
        </w:tc>
        <w:tc>
          <w:tcPr>
            <w:tcW w:w="1687" w:type="dxa"/>
            <w:shd w:val="clear" w:color="auto" w:fill="F2F2F2"/>
            <w:tcMar>
              <w:top w:w="0" w:type="dxa"/>
              <w:left w:w="0" w:type="dxa"/>
              <w:bottom w:w="0" w:type="dxa"/>
              <w:right w:w="0" w:type="dxa"/>
            </w:tcMar>
            <w:vAlign w:val="center"/>
          </w:tcPr>
          <w:p w14:paraId="36F2AA26"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2.09</w:t>
            </w:r>
          </w:p>
        </w:tc>
        <w:tc>
          <w:tcPr>
            <w:tcW w:w="1687" w:type="dxa"/>
            <w:shd w:val="clear" w:color="auto" w:fill="F2F2F2"/>
            <w:vAlign w:val="center"/>
          </w:tcPr>
          <w:p w14:paraId="16764747"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0.48</w:t>
            </w:r>
          </w:p>
        </w:tc>
      </w:tr>
      <w:tr w:rsidR="00141060" w:rsidRPr="00141060" w14:paraId="55CE0696" w14:textId="77777777" w:rsidTr="00487C17">
        <w:trPr>
          <w:cantSplit/>
        </w:trPr>
        <w:tc>
          <w:tcPr>
            <w:tcW w:w="9804" w:type="dxa"/>
            <w:gridSpan w:val="5"/>
            <w:tcBorders>
              <w:top w:val="single" w:sz="4" w:space="0" w:color="auto"/>
              <w:bottom w:val="single" w:sz="4" w:space="0" w:color="auto"/>
            </w:tcBorders>
            <w:shd w:val="clear" w:color="auto" w:fill="FFFFFF"/>
            <w:tcMar>
              <w:top w:w="0" w:type="dxa"/>
              <w:left w:w="0" w:type="dxa"/>
              <w:bottom w:w="0" w:type="dxa"/>
              <w:right w:w="0" w:type="dxa"/>
            </w:tcMar>
          </w:tcPr>
          <w:p w14:paraId="59C42BB8" w14:textId="77777777" w:rsidR="00141060" w:rsidRPr="00141060" w:rsidRDefault="00141060" w:rsidP="00141060">
            <w:pPr>
              <w:spacing w:after="0" w:line="240" w:lineRule="auto"/>
              <w:rPr>
                <w:rFonts w:ascii="Arial" w:hAnsi="Arial" w:cs="Arial"/>
                <w:b/>
                <w:sz w:val="24"/>
                <w:szCs w:val="24"/>
                <w:lang w:val="en-US"/>
              </w:rPr>
            </w:pPr>
            <w:r w:rsidRPr="00141060">
              <w:rPr>
                <w:rFonts w:ascii="Arial" w:hAnsi="Arial" w:cs="Arial"/>
                <w:b/>
                <w:sz w:val="24"/>
                <w:szCs w:val="24"/>
                <w:lang w:val="en-US"/>
              </w:rPr>
              <w:t>Analysis of only those with definite non-DSA</w:t>
            </w:r>
          </w:p>
        </w:tc>
      </w:tr>
      <w:tr w:rsidR="00141060" w:rsidRPr="00141060" w14:paraId="4ADB31B4" w14:textId="77777777" w:rsidTr="00487C17">
        <w:trPr>
          <w:cantSplit/>
        </w:trPr>
        <w:tc>
          <w:tcPr>
            <w:tcW w:w="2922" w:type="dxa"/>
            <w:tcBorders>
              <w:top w:val="single" w:sz="4" w:space="0" w:color="auto"/>
            </w:tcBorders>
            <w:shd w:val="clear" w:color="auto" w:fill="F2F2F2"/>
            <w:tcMar>
              <w:top w:w="0" w:type="dxa"/>
              <w:left w:w="0" w:type="dxa"/>
              <w:bottom w:w="0" w:type="dxa"/>
              <w:right w:w="0" w:type="dxa"/>
            </w:tcMar>
          </w:tcPr>
          <w:p w14:paraId="5BDF930A"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DSA (N=283)</w:t>
            </w:r>
          </w:p>
        </w:tc>
        <w:tc>
          <w:tcPr>
            <w:tcW w:w="1809" w:type="dxa"/>
            <w:tcBorders>
              <w:top w:val="single" w:sz="4" w:space="0" w:color="auto"/>
            </w:tcBorders>
            <w:shd w:val="clear" w:color="auto" w:fill="F2F2F2"/>
            <w:tcMar>
              <w:top w:w="0" w:type="dxa"/>
              <w:left w:w="0" w:type="dxa"/>
              <w:bottom w:w="0" w:type="dxa"/>
              <w:right w:w="0" w:type="dxa"/>
            </w:tcMar>
            <w:vAlign w:val="center"/>
          </w:tcPr>
          <w:p w14:paraId="2B18CBB6"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1.47</w:t>
            </w:r>
          </w:p>
        </w:tc>
        <w:tc>
          <w:tcPr>
            <w:tcW w:w="1699" w:type="dxa"/>
            <w:tcBorders>
              <w:top w:val="single" w:sz="4" w:space="0" w:color="auto"/>
            </w:tcBorders>
            <w:shd w:val="clear" w:color="auto" w:fill="F2F2F2"/>
            <w:tcMar>
              <w:top w:w="0" w:type="dxa"/>
              <w:left w:w="0" w:type="dxa"/>
              <w:bottom w:w="0" w:type="dxa"/>
              <w:right w:w="0" w:type="dxa"/>
            </w:tcMar>
            <w:vAlign w:val="center"/>
          </w:tcPr>
          <w:p w14:paraId="714BE03A"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0.76</w:t>
            </w:r>
          </w:p>
        </w:tc>
        <w:tc>
          <w:tcPr>
            <w:tcW w:w="1687" w:type="dxa"/>
            <w:tcBorders>
              <w:top w:val="single" w:sz="4" w:space="0" w:color="auto"/>
            </w:tcBorders>
            <w:shd w:val="clear" w:color="auto" w:fill="F2F2F2"/>
            <w:tcMar>
              <w:top w:w="0" w:type="dxa"/>
              <w:left w:w="0" w:type="dxa"/>
              <w:bottom w:w="0" w:type="dxa"/>
              <w:right w:w="0" w:type="dxa"/>
            </w:tcMar>
            <w:vAlign w:val="center"/>
          </w:tcPr>
          <w:p w14:paraId="06E60C7B"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2.85</w:t>
            </w:r>
          </w:p>
        </w:tc>
        <w:tc>
          <w:tcPr>
            <w:tcW w:w="1687" w:type="dxa"/>
            <w:tcBorders>
              <w:top w:val="single" w:sz="4" w:space="0" w:color="auto"/>
            </w:tcBorders>
            <w:shd w:val="clear" w:color="auto" w:fill="F2F2F2"/>
            <w:vAlign w:val="center"/>
          </w:tcPr>
          <w:p w14:paraId="42798474"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0.25</w:t>
            </w:r>
          </w:p>
        </w:tc>
      </w:tr>
      <w:tr w:rsidR="00141060" w:rsidRPr="00141060" w14:paraId="127AEB50" w14:textId="77777777" w:rsidTr="00487C17">
        <w:trPr>
          <w:cantSplit/>
        </w:trPr>
        <w:tc>
          <w:tcPr>
            <w:tcW w:w="2922" w:type="dxa"/>
            <w:tcBorders>
              <w:bottom w:val="single" w:sz="4" w:space="0" w:color="auto"/>
            </w:tcBorders>
            <w:shd w:val="clear" w:color="auto" w:fill="FFFFFF"/>
            <w:tcMar>
              <w:top w:w="0" w:type="dxa"/>
              <w:left w:w="0" w:type="dxa"/>
              <w:bottom w:w="0" w:type="dxa"/>
              <w:right w:w="0" w:type="dxa"/>
            </w:tcMar>
          </w:tcPr>
          <w:p w14:paraId="560E9EE1"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Non-DSA (N=729)</w:t>
            </w:r>
          </w:p>
        </w:tc>
        <w:tc>
          <w:tcPr>
            <w:tcW w:w="1809" w:type="dxa"/>
            <w:tcBorders>
              <w:bottom w:val="single" w:sz="4" w:space="0" w:color="auto"/>
            </w:tcBorders>
            <w:shd w:val="clear" w:color="auto" w:fill="FFFFFF"/>
            <w:tcMar>
              <w:top w:w="0" w:type="dxa"/>
              <w:left w:w="0" w:type="dxa"/>
              <w:bottom w:w="0" w:type="dxa"/>
              <w:right w:w="0" w:type="dxa"/>
            </w:tcMar>
            <w:vAlign w:val="center"/>
          </w:tcPr>
          <w:p w14:paraId="09F20B70"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0.90</w:t>
            </w:r>
          </w:p>
        </w:tc>
        <w:tc>
          <w:tcPr>
            <w:tcW w:w="1699" w:type="dxa"/>
            <w:tcBorders>
              <w:bottom w:val="single" w:sz="4" w:space="0" w:color="auto"/>
            </w:tcBorders>
            <w:shd w:val="clear" w:color="auto" w:fill="FFFFFF"/>
            <w:tcMar>
              <w:top w:w="0" w:type="dxa"/>
              <w:left w:w="0" w:type="dxa"/>
              <w:bottom w:w="0" w:type="dxa"/>
              <w:right w:w="0" w:type="dxa"/>
            </w:tcMar>
            <w:vAlign w:val="center"/>
          </w:tcPr>
          <w:p w14:paraId="25AD782B"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0.46</w:t>
            </w:r>
          </w:p>
        </w:tc>
        <w:tc>
          <w:tcPr>
            <w:tcW w:w="1687" w:type="dxa"/>
            <w:tcBorders>
              <w:bottom w:val="single" w:sz="4" w:space="0" w:color="auto"/>
            </w:tcBorders>
            <w:shd w:val="clear" w:color="auto" w:fill="FFFFFF"/>
            <w:tcMar>
              <w:top w:w="0" w:type="dxa"/>
              <w:left w:w="0" w:type="dxa"/>
              <w:bottom w:w="0" w:type="dxa"/>
              <w:right w:w="0" w:type="dxa"/>
            </w:tcMar>
            <w:vAlign w:val="center"/>
          </w:tcPr>
          <w:p w14:paraId="0AE7D11B"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1.73</w:t>
            </w:r>
          </w:p>
        </w:tc>
        <w:tc>
          <w:tcPr>
            <w:tcW w:w="1687" w:type="dxa"/>
            <w:tcBorders>
              <w:bottom w:val="single" w:sz="4" w:space="0" w:color="auto"/>
            </w:tcBorders>
            <w:shd w:val="clear" w:color="auto" w:fill="FFFFFF"/>
            <w:vAlign w:val="center"/>
          </w:tcPr>
          <w:p w14:paraId="7A4DB738"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0.74</w:t>
            </w:r>
          </w:p>
        </w:tc>
      </w:tr>
      <w:tr w:rsidR="00141060" w:rsidRPr="00141060" w14:paraId="35FB5EA1" w14:textId="77777777" w:rsidTr="00487C17">
        <w:trPr>
          <w:cantSplit/>
        </w:trPr>
        <w:tc>
          <w:tcPr>
            <w:tcW w:w="9804" w:type="dxa"/>
            <w:gridSpan w:val="5"/>
            <w:tcBorders>
              <w:top w:val="single" w:sz="4" w:space="0" w:color="auto"/>
              <w:bottom w:val="single" w:sz="4" w:space="0" w:color="auto"/>
            </w:tcBorders>
            <w:shd w:val="clear" w:color="auto" w:fill="FFFFFF"/>
            <w:tcMar>
              <w:top w:w="0" w:type="dxa"/>
              <w:left w:w="0" w:type="dxa"/>
              <w:bottom w:w="0" w:type="dxa"/>
              <w:right w:w="0" w:type="dxa"/>
            </w:tcMar>
          </w:tcPr>
          <w:p w14:paraId="10A21B3B"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b/>
                <w:sz w:val="24"/>
                <w:szCs w:val="24"/>
                <w:lang w:val="en-US"/>
              </w:rPr>
              <w:t xml:space="preserve">Post-hoc sensitivity with sex and time since transplant as additional covariates </w:t>
            </w:r>
          </w:p>
        </w:tc>
      </w:tr>
      <w:tr w:rsidR="00141060" w:rsidRPr="00141060" w14:paraId="569469CE" w14:textId="77777777" w:rsidTr="00487C17">
        <w:trPr>
          <w:cantSplit/>
        </w:trPr>
        <w:tc>
          <w:tcPr>
            <w:tcW w:w="2922" w:type="dxa"/>
            <w:tcBorders>
              <w:top w:val="single" w:sz="4" w:space="0" w:color="auto"/>
            </w:tcBorders>
            <w:shd w:val="clear" w:color="auto" w:fill="F2F2F2" w:themeFill="background1" w:themeFillShade="F2"/>
            <w:tcMar>
              <w:top w:w="0" w:type="dxa"/>
              <w:left w:w="0" w:type="dxa"/>
              <w:bottom w:w="0" w:type="dxa"/>
              <w:right w:w="0" w:type="dxa"/>
            </w:tcMar>
          </w:tcPr>
          <w:p w14:paraId="076A292C"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DSA (N=197)</w:t>
            </w:r>
          </w:p>
        </w:tc>
        <w:tc>
          <w:tcPr>
            <w:tcW w:w="1809" w:type="dxa"/>
            <w:tcBorders>
              <w:top w:val="single" w:sz="4" w:space="0" w:color="auto"/>
            </w:tcBorders>
            <w:shd w:val="clear" w:color="auto" w:fill="F2F2F2" w:themeFill="background1" w:themeFillShade="F2"/>
            <w:tcMar>
              <w:top w:w="0" w:type="dxa"/>
              <w:left w:w="0" w:type="dxa"/>
              <w:bottom w:w="0" w:type="dxa"/>
              <w:right w:w="0" w:type="dxa"/>
            </w:tcMar>
          </w:tcPr>
          <w:p w14:paraId="0EBA38EE"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1.60</w:t>
            </w:r>
          </w:p>
        </w:tc>
        <w:tc>
          <w:tcPr>
            <w:tcW w:w="1699" w:type="dxa"/>
            <w:tcBorders>
              <w:top w:val="single" w:sz="4" w:space="0" w:color="auto"/>
            </w:tcBorders>
            <w:shd w:val="clear" w:color="auto" w:fill="F2F2F2" w:themeFill="background1" w:themeFillShade="F2"/>
            <w:tcMar>
              <w:top w:w="0" w:type="dxa"/>
              <w:left w:w="0" w:type="dxa"/>
              <w:bottom w:w="0" w:type="dxa"/>
              <w:right w:w="0" w:type="dxa"/>
            </w:tcMar>
          </w:tcPr>
          <w:p w14:paraId="1926C1EE"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0.73</w:t>
            </w:r>
          </w:p>
        </w:tc>
        <w:tc>
          <w:tcPr>
            <w:tcW w:w="1687" w:type="dxa"/>
            <w:tcBorders>
              <w:top w:val="single" w:sz="4" w:space="0" w:color="auto"/>
            </w:tcBorders>
            <w:shd w:val="clear" w:color="auto" w:fill="F2F2F2" w:themeFill="background1" w:themeFillShade="F2"/>
            <w:tcMar>
              <w:top w:w="0" w:type="dxa"/>
              <w:left w:w="0" w:type="dxa"/>
              <w:bottom w:w="0" w:type="dxa"/>
              <w:right w:w="0" w:type="dxa"/>
            </w:tcMar>
          </w:tcPr>
          <w:p w14:paraId="7EEA752A"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3.49</w:t>
            </w:r>
          </w:p>
        </w:tc>
        <w:tc>
          <w:tcPr>
            <w:tcW w:w="1687" w:type="dxa"/>
            <w:tcBorders>
              <w:top w:val="single" w:sz="4" w:space="0" w:color="auto"/>
            </w:tcBorders>
            <w:shd w:val="clear" w:color="auto" w:fill="F2F2F2" w:themeFill="background1" w:themeFillShade="F2"/>
          </w:tcPr>
          <w:p w14:paraId="039DC4D2"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0.24</w:t>
            </w:r>
          </w:p>
        </w:tc>
      </w:tr>
      <w:tr w:rsidR="00141060" w:rsidRPr="00141060" w14:paraId="0BD03716" w14:textId="77777777" w:rsidTr="00487C17">
        <w:trPr>
          <w:cantSplit/>
        </w:trPr>
        <w:tc>
          <w:tcPr>
            <w:tcW w:w="2922" w:type="dxa"/>
            <w:shd w:val="clear" w:color="auto" w:fill="FFFFFF"/>
            <w:tcMar>
              <w:top w:w="0" w:type="dxa"/>
              <w:left w:w="0" w:type="dxa"/>
              <w:bottom w:w="0" w:type="dxa"/>
              <w:right w:w="0" w:type="dxa"/>
            </w:tcMar>
          </w:tcPr>
          <w:p w14:paraId="16ABE28C"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Non-DSA (N=818)</w:t>
            </w:r>
          </w:p>
        </w:tc>
        <w:tc>
          <w:tcPr>
            <w:tcW w:w="1809" w:type="dxa"/>
            <w:shd w:val="clear" w:color="auto" w:fill="FFFFFF"/>
            <w:tcMar>
              <w:top w:w="0" w:type="dxa"/>
              <w:left w:w="0" w:type="dxa"/>
              <w:bottom w:w="0" w:type="dxa"/>
              <w:right w:w="0" w:type="dxa"/>
            </w:tcMar>
          </w:tcPr>
          <w:p w14:paraId="5B1EDF1D"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1.02</w:t>
            </w:r>
          </w:p>
        </w:tc>
        <w:tc>
          <w:tcPr>
            <w:tcW w:w="1699" w:type="dxa"/>
            <w:shd w:val="clear" w:color="auto" w:fill="FFFFFF"/>
            <w:tcMar>
              <w:top w:w="0" w:type="dxa"/>
              <w:left w:w="0" w:type="dxa"/>
              <w:bottom w:w="0" w:type="dxa"/>
              <w:right w:w="0" w:type="dxa"/>
            </w:tcMar>
          </w:tcPr>
          <w:p w14:paraId="4A623599"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0.56</w:t>
            </w:r>
          </w:p>
        </w:tc>
        <w:tc>
          <w:tcPr>
            <w:tcW w:w="1687" w:type="dxa"/>
            <w:shd w:val="clear" w:color="auto" w:fill="FFFFFF"/>
            <w:tcMar>
              <w:top w:w="0" w:type="dxa"/>
              <w:left w:w="0" w:type="dxa"/>
              <w:bottom w:w="0" w:type="dxa"/>
              <w:right w:w="0" w:type="dxa"/>
            </w:tcMar>
          </w:tcPr>
          <w:p w14:paraId="34AF1529"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1.85</w:t>
            </w:r>
          </w:p>
        </w:tc>
        <w:tc>
          <w:tcPr>
            <w:tcW w:w="1687" w:type="dxa"/>
            <w:shd w:val="clear" w:color="auto" w:fill="FFFFFF"/>
          </w:tcPr>
          <w:p w14:paraId="3BCB92EC" w14:textId="77777777" w:rsidR="00141060" w:rsidRPr="00141060" w:rsidRDefault="00141060" w:rsidP="00141060">
            <w:pPr>
              <w:spacing w:after="0" w:line="240" w:lineRule="auto"/>
              <w:rPr>
                <w:rFonts w:ascii="Arial" w:hAnsi="Arial" w:cs="Arial"/>
                <w:sz w:val="24"/>
                <w:szCs w:val="24"/>
                <w:lang w:val="en-US"/>
              </w:rPr>
            </w:pPr>
            <w:r w:rsidRPr="00141060">
              <w:rPr>
                <w:rFonts w:ascii="Arial" w:hAnsi="Arial" w:cs="Arial"/>
                <w:sz w:val="24"/>
                <w:szCs w:val="24"/>
                <w:lang w:val="en-US"/>
              </w:rPr>
              <w:t>0.96</w:t>
            </w:r>
          </w:p>
        </w:tc>
      </w:tr>
      <w:tr w:rsidR="00141060" w:rsidRPr="009C3B0A" w14:paraId="6E76C9F9" w14:textId="77777777" w:rsidTr="00487C17">
        <w:trPr>
          <w:cantSplit/>
        </w:trPr>
        <w:tc>
          <w:tcPr>
            <w:tcW w:w="2922" w:type="dxa"/>
            <w:shd w:val="clear" w:color="auto" w:fill="F2F2F2" w:themeFill="background1" w:themeFillShade="F2"/>
            <w:tcMar>
              <w:top w:w="0" w:type="dxa"/>
              <w:left w:w="0" w:type="dxa"/>
              <w:bottom w:w="0" w:type="dxa"/>
              <w:right w:w="0" w:type="dxa"/>
            </w:tcMar>
          </w:tcPr>
          <w:p w14:paraId="4DDE082E" w14:textId="77777777" w:rsidR="00141060" w:rsidRPr="009C3B0A" w:rsidRDefault="00141060" w:rsidP="00141060">
            <w:pPr>
              <w:spacing w:after="0" w:line="240" w:lineRule="auto"/>
              <w:rPr>
                <w:rFonts w:ascii="Arial" w:hAnsi="Arial" w:cs="Arial"/>
                <w:sz w:val="24"/>
                <w:szCs w:val="24"/>
                <w:lang w:val="en-US"/>
              </w:rPr>
            </w:pPr>
            <w:r w:rsidRPr="009C3B0A">
              <w:rPr>
                <w:rFonts w:ascii="Arial" w:hAnsi="Arial" w:cs="Arial"/>
                <w:sz w:val="24"/>
                <w:szCs w:val="24"/>
                <w:lang w:val="en-US"/>
              </w:rPr>
              <w:t>All participants (N=2035)</w:t>
            </w:r>
          </w:p>
        </w:tc>
        <w:tc>
          <w:tcPr>
            <w:tcW w:w="1809" w:type="dxa"/>
            <w:shd w:val="clear" w:color="auto" w:fill="F2F2F2" w:themeFill="background1" w:themeFillShade="F2"/>
            <w:tcMar>
              <w:top w:w="0" w:type="dxa"/>
              <w:left w:w="0" w:type="dxa"/>
              <w:bottom w:w="0" w:type="dxa"/>
              <w:right w:w="0" w:type="dxa"/>
            </w:tcMar>
          </w:tcPr>
          <w:p w14:paraId="59ECA799" w14:textId="77777777" w:rsidR="00141060" w:rsidRPr="009C3B0A" w:rsidRDefault="00141060" w:rsidP="00141060">
            <w:pPr>
              <w:spacing w:after="0" w:line="240" w:lineRule="auto"/>
              <w:rPr>
                <w:rFonts w:ascii="Arial" w:hAnsi="Arial" w:cs="Arial"/>
                <w:sz w:val="24"/>
                <w:szCs w:val="24"/>
                <w:lang w:val="en-US"/>
              </w:rPr>
            </w:pPr>
            <w:r w:rsidRPr="009C3B0A">
              <w:rPr>
                <w:rFonts w:ascii="Arial" w:hAnsi="Arial" w:cs="Arial"/>
                <w:sz w:val="24"/>
                <w:szCs w:val="24"/>
                <w:lang w:val="en-US"/>
              </w:rPr>
              <w:t>1.00</w:t>
            </w:r>
          </w:p>
        </w:tc>
        <w:tc>
          <w:tcPr>
            <w:tcW w:w="1699" w:type="dxa"/>
            <w:shd w:val="clear" w:color="auto" w:fill="F2F2F2" w:themeFill="background1" w:themeFillShade="F2"/>
            <w:tcMar>
              <w:top w:w="0" w:type="dxa"/>
              <w:left w:w="0" w:type="dxa"/>
              <w:bottom w:w="0" w:type="dxa"/>
              <w:right w:w="0" w:type="dxa"/>
            </w:tcMar>
          </w:tcPr>
          <w:p w14:paraId="66E67F15" w14:textId="77777777" w:rsidR="00141060" w:rsidRPr="009C3B0A" w:rsidRDefault="00141060" w:rsidP="00141060">
            <w:pPr>
              <w:spacing w:after="0" w:line="240" w:lineRule="auto"/>
              <w:rPr>
                <w:rFonts w:ascii="Arial" w:hAnsi="Arial" w:cs="Arial"/>
                <w:sz w:val="24"/>
                <w:szCs w:val="24"/>
                <w:lang w:val="en-US"/>
              </w:rPr>
            </w:pPr>
            <w:r w:rsidRPr="009C3B0A">
              <w:rPr>
                <w:rFonts w:ascii="Arial" w:hAnsi="Arial" w:cs="Arial"/>
                <w:sz w:val="24"/>
                <w:szCs w:val="24"/>
                <w:lang w:val="en-US"/>
              </w:rPr>
              <w:t>0.71</w:t>
            </w:r>
          </w:p>
        </w:tc>
        <w:tc>
          <w:tcPr>
            <w:tcW w:w="1687" w:type="dxa"/>
            <w:shd w:val="clear" w:color="auto" w:fill="F2F2F2" w:themeFill="background1" w:themeFillShade="F2"/>
            <w:tcMar>
              <w:top w:w="0" w:type="dxa"/>
              <w:left w:w="0" w:type="dxa"/>
              <w:bottom w:w="0" w:type="dxa"/>
              <w:right w:w="0" w:type="dxa"/>
            </w:tcMar>
          </w:tcPr>
          <w:p w14:paraId="33A6350D" w14:textId="77777777" w:rsidR="00141060" w:rsidRPr="009C3B0A" w:rsidRDefault="00141060" w:rsidP="00141060">
            <w:pPr>
              <w:spacing w:after="0" w:line="240" w:lineRule="auto"/>
              <w:rPr>
                <w:rFonts w:ascii="Arial" w:hAnsi="Arial" w:cs="Arial"/>
                <w:sz w:val="24"/>
                <w:szCs w:val="24"/>
                <w:lang w:val="en-US"/>
              </w:rPr>
            </w:pPr>
            <w:r w:rsidRPr="009C3B0A">
              <w:rPr>
                <w:rFonts w:ascii="Arial" w:hAnsi="Arial" w:cs="Arial"/>
                <w:sz w:val="24"/>
                <w:szCs w:val="24"/>
                <w:lang w:val="en-US"/>
              </w:rPr>
              <w:t>1.43</w:t>
            </w:r>
          </w:p>
        </w:tc>
        <w:tc>
          <w:tcPr>
            <w:tcW w:w="1687" w:type="dxa"/>
            <w:shd w:val="clear" w:color="auto" w:fill="F2F2F2" w:themeFill="background1" w:themeFillShade="F2"/>
          </w:tcPr>
          <w:p w14:paraId="0A4E0732" w14:textId="77777777" w:rsidR="00141060" w:rsidRPr="009C3B0A" w:rsidRDefault="00141060" w:rsidP="00141060">
            <w:pPr>
              <w:spacing w:after="0" w:line="240" w:lineRule="auto"/>
              <w:rPr>
                <w:rFonts w:ascii="Arial" w:hAnsi="Arial" w:cs="Arial"/>
                <w:sz w:val="24"/>
                <w:szCs w:val="24"/>
                <w:lang w:val="en-US"/>
              </w:rPr>
            </w:pPr>
            <w:r w:rsidRPr="009C3B0A">
              <w:rPr>
                <w:rFonts w:ascii="Arial" w:hAnsi="Arial" w:cs="Arial"/>
                <w:sz w:val="24"/>
                <w:szCs w:val="24"/>
                <w:lang w:val="en-US"/>
              </w:rPr>
              <w:t>0.98</w:t>
            </w:r>
          </w:p>
        </w:tc>
      </w:tr>
      <w:tr w:rsidR="00897C87" w:rsidRPr="009C3B0A" w14:paraId="170A9965" w14:textId="77777777" w:rsidTr="006A50C9">
        <w:trPr>
          <w:cantSplit/>
        </w:trPr>
        <w:tc>
          <w:tcPr>
            <w:tcW w:w="9804" w:type="dxa"/>
            <w:gridSpan w:val="5"/>
            <w:tcBorders>
              <w:top w:val="single" w:sz="4" w:space="0" w:color="auto"/>
              <w:bottom w:val="single" w:sz="4" w:space="0" w:color="auto"/>
            </w:tcBorders>
            <w:shd w:val="clear" w:color="auto" w:fill="FFFFFF"/>
            <w:tcMar>
              <w:top w:w="0" w:type="dxa"/>
              <w:left w:w="0" w:type="dxa"/>
              <w:bottom w:w="0" w:type="dxa"/>
              <w:right w:w="0" w:type="dxa"/>
            </w:tcMar>
          </w:tcPr>
          <w:p w14:paraId="42B78F8B" w14:textId="458E2BDB" w:rsidR="00897C87" w:rsidRPr="009C3B0A" w:rsidRDefault="00897C87" w:rsidP="006A50C9">
            <w:pPr>
              <w:spacing w:after="0" w:line="240" w:lineRule="auto"/>
              <w:rPr>
                <w:rFonts w:ascii="Arial" w:hAnsi="Arial" w:cs="Arial"/>
                <w:sz w:val="24"/>
                <w:szCs w:val="24"/>
                <w:lang w:val="en-US"/>
              </w:rPr>
            </w:pPr>
            <w:r w:rsidRPr="009C3B0A">
              <w:rPr>
                <w:rFonts w:ascii="Arial" w:hAnsi="Arial" w:cs="Arial"/>
                <w:b/>
                <w:sz w:val="24"/>
                <w:szCs w:val="24"/>
                <w:lang w:val="en-US"/>
              </w:rPr>
              <w:t xml:space="preserve">Post-hoc sensitivity </w:t>
            </w:r>
            <w:r w:rsidR="006E2D96" w:rsidRPr="009C3B0A">
              <w:rPr>
                <w:rFonts w:ascii="Arial" w:hAnsi="Arial" w:cs="Arial"/>
                <w:b/>
                <w:sz w:val="24"/>
                <w:szCs w:val="24"/>
                <w:lang w:val="en-US"/>
              </w:rPr>
              <w:t>using only BLC participants taking all 3 IMPs with tac levels 6-8</w:t>
            </w:r>
            <w:r w:rsidR="00B37DE7" w:rsidRPr="009C3B0A">
              <w:rPr>
                <w:rFonts w:ascii="Arial" w:hAnsi="Arial" w:cs="Arial"/>
                <w:b/>
                <w:sz w:val="24"/>
                <w:szCs w:val="24"/>
                <w:vertAlign w:val="superscript"/>
                <w:lang w:val="en-US"/>
              </w:rPr>
              <w:t>6</w:t>
            </w:r>
            <w:r w:rsidRPr="009C3B0A">
              <w:rPr>
                <w:rFonts w:ascii="Arial" w:hAnsi="Arial" w:cs="Arial"/>
                <w:b/>
                <w:sz w:val="24"/>
                <w:szCs w:val="24"/>
                <w:lang w:val="en-US"/>
              </w:rPr>
              <w:t xml:space="preserve"> </w:t>
            </w:r>
          </w:p>
        </w:tc>
      </w:tr>
      <w:tr w:rsidR="00897C87" w:rsidRPr="009C3B0A" w14:paraId="72091945" w14:textId="77777777" w:rsidTr="006A50C9">
        <w:trPr>
          <w:cantSplit/>
        </w:trPr>
        <w:tc>
          <w:tcPr>
            <w:tcW w:w="2922" w:type="dxa"/>
            <w:tcBorders>
              <w:top w:val="single" w:sz="4" w:space="0" w:color="auto"/>
            </w:tcBorders>
            <w:shd w:val="clear" w:color="auto" w:fill="F2F2F2" w:themeFill="background1" w:themeFillShade="F2"/>
            <w:tcMar>
              <w:top w:w="0" w:type="dxa"/>
              <w:left w:w="0" w:type="dxa"/>
              <w:bottom w:w="0" w:type="dxa"/>
              <w:right w:w="0" w:type="dxa"/>
            </w:tcMar>
          </w:tcPr>
          <w:p w14:paraId="0CAB7FA0" w14:textId="62E5ADEE" w:rsidR="00897C87" w:rsidRPr="009C3B0A" w:rsidRDefault="00897C87" w:rsidP="006A50C9">
            <w:pPr>
              <w:spacing w:after="0" w:line="240" w:lineRule="auto"/>
              <w:rPr>
                <w:rFonts w:ascii="Arial" w:hAnsi="Arial" w:cs="Arial"/>
                <w:sz w:val="24"/>
                <w:szCs w:val="24"/>
                <w:lang w:val="en-US"/>
              </w:rPr>
            </w:pPr>
            <w:r w:rsidRPr="009C3B0A">
              <w:rPr>
                <w:rFonts w:ascii="Arial" w:hAnsi="Arial" w:cs="Arial"/>
                <w:sz w:val="24"/>
                <w:szCs w:val="24"/>
                <w:lang w:val="en-US"/>
              </w:rPr>
              <w:t>DSA (N=</w:t>
            </w:r>
            <w:r w:rsidR="00B37DE7" w:rsidRPr="009C3B0A">
              <w:rPr>
                <w:rFonts w:ascii="Arial" w:hAnsi="Arial" w:cs="Arial"/>
                <w:sz w:val="24"/>
                <w:szCs w:val="24"/>
                <w:lang w:val="en-US"/>
              </w:rPr>
              <w:t>118</w:t>
            </w:r>
            <w:r w:rsidRPr="009C3B0A">
              <w:rPr>
                <w:rFonts w:ascii="Arial" w:hAnsi="Arial" w:cs="Arial"/>
                <w:sz w:val="24"/>
                <w:szCs w:val="24"/>
                <w:lang w:val="en-US"/>
              </w:rPr>
              <w:t>)</w:t>
            </w:r>
          </w:p>
        </w:tc>
        <w:tc>
          <w:tcPr>
            <w:tcW w:w="1809" w:type="dxa"/>
            <w:tcBorders>
              <w:top w:val="single" w:sz="4" w:space="0" w:color="auto"/>
            </w:tcBorders>
            <w:shd w:val="clear" w:color="auto" w:fill="F2F2F2" w:themeFill="background1" w:themeFillShade="F2"/>
            <w:tcMar>
              <w:top w:w="0" w:type="dxa"/>
              <w:left w:w="0" w:type="dxa"/>
              <w:bottom w:w="0" w:type="dxa"/>
              <w:right w:w="0" w:type="dxa"/>
            </w:tcMar>
          </w:tcPr>
          <w:p w14:paraId="2A4BDEFD" w14:textId="61DA2A73" w:rsidR="00897C87" w:rsidRPr="009C3B0A" w:rsidRDefault="006E2D96" w:rsidP="006A50C9">
            <w:pPr>
              <w:spacing w:after="0" w:line="240" w:lineRule="auto"/>
              <w:rPr>
                <w:rFonts w:ascii="Arial" w:hAnsi="Arial" w:cs="Arial"/>
                <w:sz w:val="24"/>
                <w:szCs w:val="24"/>
                <w:lang w:val="en-US"/>
              </w:rPr>
            </w:pPr>
            <w:r w:rsidRPr="009C3B0A">
              <w:rPr>
                <w:rFonts w:ascii="Arial" w:hAnsi="Arial" w:cs="Arial"/>
                <w:sz w:val="24"/>
                <w:szCs w:val="24"/>
                <w:lang w:val="en-US"/>
              </w:rPr>
              <w:t>1.23</w:t>
            </w:r>
          </w:p>
        </w:tc>
        <w:tc>
          <w:tcPr>
            <w:tcW w:w="1699" w:type="dxa"/>
            <w:tcBorders>
              <w:top w:val="single" w:sz="4" w:space="0" w:color="auto"/>
            </w:tcBorders>
            <w:shd w:val="clear" w:color="auto" w:fill="F2F2F2" w:themeFill="background1" w:themeFillShade="F2"/>
            <w:tcMar>
              <w:top w:w="0" w:type="dxa"/>
              <w:left w:w="0" w:type="dxa"/>
              <w:bottom w:w="0" w:type="dxa"/>
              <w:right w:w="0" w:type="dxa"/>
            </w:tcMar>
          </w:tcPr>
          <w:p w14:paraId="3BB65CCA" w14:textId="19B53351" w:rsidR="00897C87" w:rsidRPr="009C3B0A" w:rsidRDefault="00897C87" w:rsidP="006A50C9">
            <w:pPr>
              <w:spacing w:after="0" w:line="240" w:lineRule="auto"/>
              <w:rPr>
                <w:rFonts w:ascii="Arial" w:hAnsi="Arial" w:cs="Arial"/>
                <w:sz w:val="24"/>
                <w:szCs w:val="24"/>
                <w:lang w:val="en-US"/>
              </w:rPr>
            </w:pPr>
            <w:r w:rsidRPr="009C3B0A">
              <w:rPr>
                <w:rFonts w:ascii="Arial" w:hAnsi="Arial" w:cs="Arial"/>
                <w:sz w:val="24"/>
                <w:szCs w:val="24"/>
                <w:lang w:val="en-US"/>
              </w:rPr>
              <w:t>0.</w:t>
            </w:r>
            <w:r w:rsidR="00F97D49" w:rsidRPr="009C3B0A">
              <w:rPr>
                <w:rFonts w:ascii="Arial" w:hAnsi="Arial" w:cs="Arial"/>
                <w:sz w:val="24"/>
                <w:szCs w:val="24"/>
                <w:lang w:val="en-US"/>
              </w:rPr>
              <w:t>30</w:t>
            </w:r>
          </w:p>
        </w:tc>
        <w:tc>
          <w:tcPr>
            <w:tcW w:w="1687" w:type="dxa"/>
            <w:tcBorders>
              <w:top w:val="single" w:sz="4" w:space="0" w:color="auto"/>
            </w:tcBorders>
            <w:shd w:val="clear" w:color="auto" w:fill="F2F2F2" w:themeFill="background1" w:themeFillShade="F2"/>
            <w:tcMar>
              <w:top w:w="0" w:type="dxa"/>
              <w:left w:w="0" w:type="dxa"/>
              <w:bottom w:w="0" w:type="dxa"/>
              <w:right w:w="0" w:type="dxa"/>
            </w:tcMar>
          </w:tcPr>
          <w:p w14:paraId="5E1272CB" w14:textId="78AF432B" w:rsidR="00897C87" w:rsidRPr="009C3B0A" w:rsidRDefault="00F97D49" w:rsidP="006A50C9">
            <w:pPr>
              <w:spacing w:after="0" w:line="240" w:lineRule="auto"/>
              <w:rPr>
                <w:rFonts w:ascii="Arial" w:hAnsi="Arial" w:cs="Arial"/>
                <w:sz w:val="24"/>
                <w:szCs w:val="24"/>
                <w:lang w:val="en-US"/>
              </w:rPr>
            </w:pPr>
            <w:r w:rsidRPr="009C3B0A">
              <w:rPr>
                <w:rFonts w:ascii="Arial" w:hAnsi="Arial" w:cs="Arial"/>
                <w:sz w:val="24"/>
                <w:szCs w:val="24"/>
                <w:lang w:val="en-US"/>
              </w:rPr>
              <w:t>4.98</w:t>
            </w:r>
          </w:p>
        </w:tc>
        <w:tc>
          <w:tcPr>
            <w:tcW w:w="1687" w:type="dxa"/>
            <w:tcBorders>
              <w:top w:val="single" w:sz="4" w:space="0" w:color="auto"/>
            </w:tcBorders>
            <w:shd w:val="clear" w:color="auto" w:fill="F2F2F2" w:themeFill="background1" w:themeFillShade="F2"/>
          </w:tcPr>
          <w:p w14:paraId="04CAC58B" w14:textId="4B144FC8" w:rsidR="00897C87" w:rsidRPr="009C3B0A" w:rsidRDefault="00897C87" w:rsidP="006A50C9">
            <w:pPr>
              <w:spacing w:after="0" w:line="240" w:lineRule="auto"/>
              <w:rPr>
                <w:rFonts w:ascii="Arial" w:hAnsi="Arial" w:cs="Arial"/>
                <w:sz w:val="24"/>
                <w:szCs w:val="24"/>
                <w:lang w:val="en-US"/>
              </w:rPr>
            </w:pPr>
            <w:r w:rsidRPr="009C3B0A">
              <w:rPr>
                <w:rFonts w:ascii="Arial" w:hAnsi="Arial" w:cs="Arial"/>
                <w:sz w:val="24"/>
                <w:szCs w:val="24"/>
                <w:lang w:val="en-US"/>
              </w:rPr>
              <w:t>0.</w:t>
            </w:r>
            <w:r w:rsidR="00F97D49" w:rsidRPr="009C3B0A">
              <w:rPr>
                <w:rFonts w:ascii="Arial" w:hAnsi="Arial" w:cs="Arial"/>
                <w:sz w:val="24"/>
                <w:szCs w:val="24"/>
                <w:lang w:val="en-US"/>
              </w:rPr>
              <w:t>77</w:t>
            </w:r>
          </w:p>
        </w:tc>
      </w:tr>
      <w:tr w:rsidR="00897C87" w:rsidRPr="009C3B0A" w14:paraId="11F557CB" w14:textId="77777777" w:rsidTr="006A50C9">
        <w:trPr>
          <w:cantSplit/>
        </w:trPr>
        <w:tc>
          <w:tcPr>
            <w:tcW w:w="2922" w:type="dxa"/>
            <w:shd w:val="clear" w:color="auto" w:fill="FFFFFF"/>
            <w:tcMar>
              <w:top w:w="0" w:type="dxa"/>
              <w:left w:w="0" w:type="dxa"/>
              <w:bottom w:w="0" w:type="dxa"/>
              <w:right w:w="0" w:type="dxa"/>
            </w:tcMar>
          </w:tcPr>
          <w:p w14:paraId="621B599C" w14:textId="0879EA21" w:rsidR="00897C87" w:rsidRPr="009C3B0A" w:rsidRDefault="00897C87" w:rsidP="006A50C9">
            <w:pPr>
              <w:spacing w:after="0" w:line="240" w:lineRule="auto"/>
              <w:rPr>
                <w:rFonts w:ascii="Arial" w:hAnsi="Arial" w:cs="Arial"/>
                <w:sz w:val="24"/>
                <w:szCs w:val="24"/>
                <w:lang w:val="en-US"/>
              </w:rPr>
            </w:pPr>
            <w:r w:rsidRPr="009C3B0A">
              <w:rPr>
                <w:rFonts w:ascii="Arial" w:hAnsi="Arial" w:cs="Arial"/>
                <w:sz w:val="24"/>
                <w:szCs w:val="24"/>
                <w:lang w:val="en-US"/>
              </w:rPr>
              <w:t>Non-DSA (N=</w:t>
            </w:r>
            <w:r w:rsidR="00B37DE7" w:rsidRPr="009C3B0A">
              <w:rPr>
                <w:rFonts w:ascii="Arial" w:hAnsi="Arial" w:cs="Arial"/>
                <w:sz w:val="24"/>
                <w:szCs w:val="24"/>
                <w:lang w:val="en-US"/>
              </w:rPr>
              <w:t>496</w:t>
            </w:r>
            <w:r w:rsidRPr="009C3B0A">
              <w:rPr>
                <w:rFonts w:ascii="Arial" w:hAnsi="Arial" w:cs="Arial"/>
                <w:sz w:val="24"/>
                <w:szCs w:val="24"/>
                <w:lang w:val="en-US"/>
              </w:rPr>
              <w:t>)</w:t>
            </w:r>
          </w:p>
        </w:tc>
        <w:tc>
          <w:tcPr>
            <w:tcW w:w="1809" w:type="dxa"/>
            <w:shd w:val="clear" w:color="auto" w:fill="FFFFFF"/>
            <w:tcMar>
              <w:top w:w="0" w:type="dxa"/>
              <w:left w:w="0" w:type="dxa"/>
              <w:bottom w:w="0" w:type="dxa"/>
              <w:right w:w="0" w:type="dxa"/>
            </w:tcMar>
          </w:tcPr>
          <w:p w14:paraId="4E49A517" w14:textId="5E73839C" w:rsidR="00897C87" w:rsidRPr="009C3B0A" w:rsidRDefault="00F97D49" w:rsidP="006A50C9">
            <w:pPr>
              <w:spacing w:after="0" w:line="240" w:lineRule="auto"/>
              <w:rPr>
                <w:rFonts w:ascii="Arial" w:hAnsi="Arial" w:cs="Arial"/>
                <w:sz w:val="24"/>
                <w:szCs w:val="24"/>
                <w:lang w:val="en-US"/>
              </w:rPr>
            </w:pPr>
            <w:r w:rsidRPr="009C3B0A">
              <w:rPr>
                <w:rFonts w:ascii="Arial" w:hAnsi="Arial" w:cs="Arial"/>
                <w:sz w:val="24"/>
                <w:szCs w:val="24"/>
                <w:lang w:val="en-US"/>
              </w:rPr>
              <w:t>0.7</w:t>
            </w:r>
            <w:r w:rsidR="00D86639" w:rsidRPr="009C3B0A">
              <w:rPr>
                <w:rFonts w:ascii="Arial" w:hAnsi="Arial" w:cs="Arial"/>
                <w:sz w:val="24"/>
                <w:szCs w:val="24"/>
                <w:lang w:val="en-US"/>
              </w:rPr>
              <w:t>0</w:t>
            </w:r>
          </w:p>
        </w:tc>
        <w:tc>
          <w:tcPr>
            <w:tcW w:w="1699" w:type="dxa"/>
            <w:shd w:val="clear" w:color="auto" w:fill="FFFFFF"/>
            <w:tcMar>
              <w:top w:w="0" w:type="dxa"/>
              <w:left w:w="0" w:type="dxa"/>
              <w:bottom w:w="0" w:type="dxa"/>
              <w:right w:w="0" w:type="dxa"/>
            </w:tcMar>
          </w:tcPr>
          <w:p w14:paraId="7A4F4103" w14:textId="48C3A75B" w:rsidR="00897C87" w:rsidRPr="009C3B0A" w:rsidRDefault="00897C87" w:rsidP="006A50C9">
            <w:pPr>
              <w:spacing w:after="0" w:line="240" w:lineRule="auto"/>
              <w:rPr>
                <w:rFonts w:ascii="Arial" w:hAnsi="Arial" w:cs="Arial"/>
                <w:sz w:val="24"/>
                <w:szCs w:val="24"/>
                <w:lang w:val="en-US"/>
              </w:rPr>
            </w:pPr>
            <w:r w:rsidRPr="009C3B0A">
              <w:rPr>
                <w:rFonts w:ascii="Arial" w:hAnsi="Arial" w:cs="Arial"/>
                <w:sz w:val="24"/>
                <w:szCs w:val="24"/>
                <w:lang w:val="en-US"/>
              </w:rPr>
              <w:t>0.</w:t>
            </w:r>
            <w:r w:rsidR="00F97D49" w:rsidRPr="009C3B0A">
              <w:rPr>
                <w:rFonts w:ascii="Arial" w:hAnsi="Arial" w:cs="Arial"/>
                <w:sz w:val="24"/>
                <w:szCs w:val="24"/>
                <w:lang w:val="en-US"/>
              </w:rPr>
              <w:t>23</w:t>
            </w:r>
          </w:p>
        </w:tc>
        <w:tc>
          <w:tcPr>
            <w:tcW w:w="1687" w:type="dxa"/>
            <w:shd w:val="clear" w:color="auto" w:fill="FFFFFF"/>
            <w:tcMar>
              <w:top w:w="0" w:type="dxa"/>
              <w:left w:w="0" w:type="dxa"/>
              <w:bottom w:w="0" w:type="dxa"/>
              <w:right w:w="0" w:type="dxa"/>
            </w:tcMar>
          </w:tcPr>
          <w:p w14:paraId="4D7E123D" w14:textId="2C601F43" w:rsidR="00897C87" w:rsidRPr="009C3B0A" w:rsidRDefault="00F97D49" w:rsidP="006A50C9">
            <w:pPr>
              <w:spacing w:after="0" w:line="240" w:lineRule="auto"/>
              <w:rPr>
                <w:rFonts w:ascii="Arial" w:hAnsi="Arial" w:cs="Arial"/>
                <w:sz w:val="24"/>
                <w:szCs w:val="24"/>
                <w:lang w:val="en-US"/>
              </w:rPr>
            </w:pPr>
            <w:r w:rsidRPr="009C3B0A">
              <w:rPr>
                <w:rFonts w:ascii="Arial" w:hAnsi="Arial" w:cs="Arial"/>
                <w:sz w:val="24"/>
                <w:szCs w:val="24"/>
                <w:lang w:val="en-US"/>
              </w:rPr>
              <w:t>2.12</w:t>
            </w:r>
          </w:p>
        </w:tc>
        <w:tc>
          <w:tcPr>
            <w:tcW w:w="1687" w:type="dxa"/>
            <w:shd w:val="clear" w:color="auto" w:fill="FFFFFF"/>
          </w:tcPr>
          <w:p w14:paraId="788E9BA1" w14:textId="5A4B7A7B" w:rsidR="00897C87" w:rsidRPr="009C3B0A" w:rsidRDefault="00897C87" w:rsidP="006A50C9">
            <w:pPr>
              <w:spacing w:after="0" w:line="240" w:lineRule="auto"/>
              <w:rPr>
                <w:rFonts w:ascii="Arial" w:hAnsi="Arial" w:cs="Arial"/>
                <w:sz w:val="24"/>
                <w:szCs w:val="24"/>
                <w:lang w:val="en-US"/>
              </w:rPr>
            </w:pPr>
            <w:r w:rsidRPr="009C3B0A">
              <w:rPr>
                <w:rFonts w:ascii="Arial" w:hAnsi="Arial" w:cs="Arial"/>
                <w:sz w:val="24"/>
                <w:szCs w:val="24"/>
                <w:lang w:val="en-US"/>
              </w:rPr>
              <w:t>0.</w:t>
            </w:r>
            <w:r w:rsidR="00F97D49" w:rsidRPr="009C3B0A">
              <w:rPr>
                <w:rFonts w:ascii="Arial" w:hAnsi="Arial" w:cs="Arial"/>
                <w:sz w:val="24"/>
                <w:szCs w:val="24"/>
                <w:lang w:val="en-US"/>
              </w:rPr>
              <w:t>53</w:t>
            </w:r>
          </w:p>
        </w:tc>
      </w:tr>
      <w:tr w:rsidR="00897C87" w:rsidRPr="009C3B0A" w14:paraId="0F16C78F" w14:textId="77777777" w:rsidTr="006A50C9">
        <w:trPr>
          <w:cantSplit/>
        </w:trPr>
        <w:tc>
          <w:tcPr>
            <w:tcW w:w="2922" w:type="dxa"/>
            <w:shd w:val="clear" w:color="auto" w:fill="F2F2F2" w:themeFill="background1" w:themeFillShade="F2"/>
            <w:tcMar>
              <w:top w:w="0" w:type="dxa"/>
              <w:left w:w="0" w:type="dxa"/>
              <w:bottom w:w="0" w:type="dxa"/>
              <w:right w:w="0" w:type="dxa"/>
            </w:tcMar>
          </w:tcPr>
          <w:p w14:paraId="0C35B43B" w14:textId="40D89921" w:rsidR="00897C87" w:rsidRPr="009C3B0A" w:rsidRDefault="00897C87" w:rsidP="006A50C9">
            <w:pPr>
              <w:spacing w:after="0" w:line="240" w:lineRule="auto"/>
              <w:rPr>
                <w:rFonts w:ascii="Arial" w:hAnsi="Arial" w:cs="Arial"/>
                <w:sz w:val="24"/>
                <w:szCs w:val="24"/>
                <w:lang w:val="en-US"/>
              </w:rPr>
            </w:pPr>
            <w:r w:rsidRPr="009C3B0A">
              <w:rPr>
                <w:rFonts w:ascii="Arial" w:hAnsi="Arial" w:cs="Arial"/>
                <w:sz w:val="24"/>
                <w:szCs w:val="24"/>
                <w:lang w:val="en-US"/>
              </w:rPr>
              <w:t>All participants (N=</w:t>
            </w:r>
            <w:r w:rsidR="00B37DE7" w:rsidRPr="009C3B0A">
              <w:rPr>
                <w:rFonts w:ascii="Arial" w:hAnsi="Arial" w:cs="Arial"/>
                <w:sz w:val="24"/>
                <w:szCs w:val="24"/>
                <w:lang w:val="en-US"/>
              </w:rPr>
              <w:t>1138</w:t>
            </w:r>
            <w:r w:rsidRPr="009C3B0A">
              <w:rPr>
                <w:rFonts w:ascii="Arial" w:hAnsi="Arial" w:cs="Arial"/>
                <w:sz w:val="24"/>
                <w:szCs w:val="24"/>
                <w:lang w:val="en-US"/>
              </w:rPr>
              <w:t>)</w:t>
            </w:r>
          </w:p>
        </w:tc>
        <w:tc>
          <w:tcPr>
            <w:tcW w:w="1809" w:type="dxa"/>
            <w:shd w:val="clear" w:color="auto" w:fill="F2F2F2" w:themeFill="background1" w:themeFillShade="F2"/>
            <w:tcMar>
              <w:top w:w="0" w:type="dxa"/>
              <w:left w:w="0" w:type="dxa"/>
              <w:bottom w:w="0" w:type="dxa"/>
              <w:right w:w="0" w:type="dxa"/>
            </w:tcMar>
          </w:tcPr>
          <w:p w14:paraId="034FF8BB" w14:textId="772AE8BD" w:rsidR="00897C87" w:rsidRPr="009C3B0A" w:rsidRDefault="00D86639" w:rsidP="006A50C9">
            <w:pPr>
              <w:spacing w:after="0" w:line="240" w:lineRule="auto"/>
              <w:rPr>
                <w:rFonts w:ascii="Arial" w:hAnsi="Arial" w:cs="Arial"/>
                <w:sz w:val="24"/>
                <w:szCs w:val="24"/>
                <w:lang w:val="en-US"/>
              </w:rPr>
            </w:pPr>
            <w:r w:rsidRPr="009C3B0A">
              <w:rPr>
                <w:rFonts w:ascii="Arial" w:hAnsi="Arial" w:cs="Arial"/>
                <w:sz w:val="24"/>
                <w:szCs w:val="24"/>
                <w:lang w:val="en-US"/>
              </w:rPr>
              <w:t>1.02</w:t>
            </w:r>
          </w:p>
        </w:tc>
        <w:tc>
          <w:tcPr>
            <w:tcW w:w="1699" w:type="dxa"/>
            <w:shd w:val="clear" w:color="auto" w:fill="F2F2F2" w:themeFill="background1" w:themeFillShade="F2"/>
            <w:tcMar>
              <w:top w:w="0" w:type="dxa"/>
              <w:left w:w="0" w:type="dxa"/>
              <w:bottom w:w="0" w:type="dxa"/>
              <w:right w:w="0" w:type="dxa"/>
            </w:tcMar>
          </w:tcPr>
          <w:p w14:paraId="2E05C160" w14:textId="16AC3397" w:rsidR="00897C87" w:rsidRPr="009C3B0A" w:rsidRDefault="00D86639" w:rsidP="006A50C9">
            <w:pPr>
              <w:spacing w:after="0" w:line="240" w:lineRule="auto"/>
              <w:rPr>
                <w:rFonts w:ascii="Arial" w:hAnsi="Arial" w:cs="Arial"/>
                <w:sz w:val="24"/>
                <w:szCs w:val="24"/>
                <w:lang w:val="en-US"/>
              </w:rPr>
            </w:pPr>
            <w:r w:rsidRPr="009C3B0A">
              <w:rPr>
                <w:rFonts w:ascii="Arial" w:hAnsi="Arial" w:cs="Arial"/>
                <w:sz w:val="24"/>
                <w:szCs w:val="24"/>
                <w:lang w:val="en-US"/>
              </w:rPr>
              <w:t>0.48</w:t>
            </w:r>
          </w:p>
        </w:tc>
        <w:tc>
          <w:tcPr>
            <w:tcW w:w="1687" w:type="dxa"/>
            <w:shd w:val="clear" w:color="auto" w:fill="F2F2F2" w:themeFill="background1" w:themeFillShade="F2"/>
            <w:tcMar>
              <w:top w:w="0" w:type="dxa"/>
              <w:left w:w="0" w:type="dxa"/>
              <w:bottom w:w="0" w:type="dxa"/>
              <w:right w:w="0" w:type="dxa"/>
            </w:tcMar>
          </w:tcPr>
          <w:p w14:paraId="2DD8567F" w14:textId="77A36AB1" w:rsidR="00897C87" w:rsidRPr="009C3B0A" w:rsidRDefault="00D86639" w:rsidP="006A50C9">
            <w:pPr>
              <w:spacing w:after="0" w:line="240" w:lineRule="auto"/>
              <w:rPr>
                <w:rFonts w:ascii="Arial" w:hAnsi="Arial" w:cs="Arial"/>
                <w:sz w:val="24"/>
                <w:szCs w:val="24"/>
                <w:lang w:val="en-US"/>
              </w:rPr>
            </w:pPr>
            <w:r w:rsidRPr="009C3B0A">
              <w:rPr>
                <w:rFonts w:ascii="Arial" w:hAnsi="Arial" w:cs="Arial"/>
                <w:sz w:val="24"/>
                <w:szCs w:val="24"/>
                <w:lang w:val="en-US"/>
              </w:rPr>
              <w:t>2.17</w:t>
            </w:r>
          </w:p>
        </w:tc>
        <w:tc>
          <w:tcPr>
            <w:tcW w:w="1687" w:type="dxa"/>
            <w:shd w:val="clear" w:color="auto" w:fill="F2F2F2" w:themeFill="background1" w:themeFillShade="F2"/>
          </w:tcPr>
          <w:p w14:paraId="5F7B0FB7" w14:textId="07CAF752" w:rsidR="00897C87" w:rsidRPr="009C3B0A" w:rsidRDefault="00D86639" w:rsidP="006A50C9">
            <w:pPr>
              <w:spacing w:after="0" w:line="240" w:lineRule="auto"/>
              <w:rPr>
                <w:rFonts w:ascii="Arial" w:hAnsi="Arial" w:cs="Arial"/>
                <w:sz w:val="24"/>
                <w:szCs w:val="24"/>
                <w:lang w:val="en-US"/>
              </w:rPr>
            </w:pPr>
            <w:r w:rsidRPr="009C3B0A">
              <w:rPr>
                <w:rFonts w:ascii="Arial" w:hAnsi="Arial" w:cs="Arial"/>
                <w:sz w:val="24"/>
                <w:szCs w:val="24"/>
                <w:lang w:val="en-US"/>
              </w:rPr>
              <w:t>0.96</w:t>
            </w:r>
          </w:p>
        </w:tc>
      </w:tr>
    </w:tbl>
    <w:p w14:paraId="5E2F5A3A" w14:textId="77777777" w:rsidR="00141060" w:rsidRPr="009C3B0A" w:rsidRDefault="00141060" w:rsidP="00141060">
      <w:pPr>
        <w:spacing w:after="0" w:line="240" w:lineRule="auto"/>
        <w:rPr>
          <w:rFonts w:ascii="Arial" w:hAnsi="Arial" w:cs="Arial"/>
          <w:sz w:val="24"/>
          <w:szCs w:val="24"/>
        </w:rPr>
      </w:pPr>
    </w:p>
    <w:p w14:paraId="59A55E2D" w14:textId="16A705F7" w:rsidR="00141060" w:rsidRPr="009C3B0A" w:rsidRDefault="00F77ADC" w:rsidP="00141060">
      <w:pPr>
        <w:spacing w:after="0" w:line="240" w:lineRule="auto"/>
        <w:rPr>
          <w:rFonts w:ascii="Arial" w:hAnsi="Arial" w:cs="Arial"/>
        </w:rPr>
      </w:pPr>
      <w:r w:rsidRPr="009C3B0A">
        <w:rPr>
          <w:rFonts w:ascii="Arial" w:hAnsi="Arial" w:cs="Arial"/>
        </w:rPr>
        <w:t>S</w:t>
      </w:r>
      <w:r w:rsidR="00141060" w:rsidRPr="009C3B0A">
        <w:rPr>
          <w:rFonts w:ascii="Arial" w:hAnsi="Arial" w:cs="Arial"/>
        </w:rPr>
        <w:t>ensitivity analyses performed on primary endpoint</w:t>
      </w:r>
    </w:p>
    <w:p w14:paraId="381ACEE6" w14:textId="77777777" w:rsidR="00141060" w:rsidRPr="009C3B0A" w:rsidRDefault="00141060" w:rsidP="00141060">
      <w:pPr>
        <w:spacing w:after="0" w:line="240" w:lineRule="auto"/>
        <w:rPr>
          <w:rFonts w:ascii="Arial" w:hAnsi="Arial" w:cs="Arial"/>
        </w:rPr>
      </w:pPr>
    </w:p>
    <w:p w14:paraId="797E69B5" w14:textId="01AA4D5A" w:rsidR="00B37DE7" w:rsidRPr="009C3B0A" w:rsidRDefault="00141060" w:rsidP="00141060">
      <w:pPr>
        <w:spacing w:after="0" w:line="240" w:lineRule="auto"/>
        <w:rPr>
          <w:rFonts w:ascii="Arial" w:hAnsi="Arial" w:cs="Arial"/>
        </w:rPr>
      </w:pPr>
      <w:r w:rsidRPr="009C3B0A">
        <w:rPr>
          <w:rFonts w:ascii="Arial" w:hAnsi="Arial" w:cs="Arial"/>
        </w:rPr>
        <w:t>Footnotes</w:t>
      </w:r>
      <w:r w:rsidR="00A44748" w:rsidRPr="009C3B0A">
        <w:rPr>
          <w:rFonts w:ascii="Arial" w:hAnsi="Arial" w:cs="Arial"/>
        </w:rPr>
        <w:t xml:space="preserve">: </w:t>
      </w:r>
      <w:r w:rsidRPr="009C3B0A">
        <w:rPr>
          <w:rFonts w:ascii="Arial" w:hAnsi="Arial" w:cs="Arial"/>
          <w:vertAlign w:val="superscript"/>
        </w:rPr>
        <w:t>1</w:t>
      </w:r>
      <w:r w:rsidRPr="009C3B0A">
        <w:rPr>
          <w:rFonts w:ascii="Arial" w:hAnsi="Arial" w:cs="Arial"/>
        </w:rPr>
        <w:t>Post-COVID (1</w:t>
      </w:r>
      <w:r w:rsidRPr="009C3B0A">
        <w:rPr>
          <w:rFonts w:ascii="Arial" w:hAnsi="Arial" w:cs="Arial"/>
          <w:vertAlign w:val="superscript"/>
        </w:rPr>
        <w:t>st</w:t>
      </w:r>
      <w:r w:rsidRPr="009C3B0A">
        <w:rPr>
          <w:rFonts w:ascii="Arial" w:hAnsi="Arial" w:cs="Arial"/>
        </w:rPr>
        <w:t xml:space="preserve"> wave) analysis included additional graft failure events that occurred between March 16</w:t>
      </w:r>
      <w:r w:rsidRPr="009C3B0A">
        <w:rPr>
          <w:rFonts w:ascii="Arial" w:hAnsi="Arial" w:cs="Arial"/>
          <w:vertAlign w:val="superscript"/>
        </w:rPr>
        <w:t>th</w:t>
      </w:r>
      <w:r w:rsidRPr="009C3B0A">
        <w:rPr>
          <w:rFonts w:ascii="Arial" w:hAnsi="Arial" w:cs="Arial"/>
        </w:rPr>
        <w:t xml:space="preserve"> 2020, and end November 2020 that included COVID outcomes</w:t>
      </w:r>
      <w:r w:rsidR="00A44748" w:rsidRPr="009C3B0A">
        <w:rPr>
          <w:rFonts w:ascii="Arial" w:hAnsi="Arial" w:cs="Arial"/>
        </w:rPr>
        <w:t xml:space="preserve">. </w:t>
      </w:r>
      <w:r w:rsidRPr="009C3B0A">
        <w:rPr>
          <w:rFonts w:ascii="Arial" w:hAnsi="Arial" w:cs="Arial"/>
          <w:vertAlign w:val="superscript"/>
        </w:rPr>
        <w:t>2</w:t>
      </w:r>
      <w:r w:rsidRPr="009C3B0A">
        <w:rPr>
          <w:rFonts w:ascii="Arial" w:hAnsi="Arial" w:cs="Arial"/>
        </w:rPr>
        <w:t>One HLA-Ab-negative participant in the blinded (SC) group who developed DSA on re-screening was not included in this analysis as the graft failed prior to re-screening, so they were not at risk for the purpose of this analysis.</w:t>
      </w:r>
      <w:r w:rsidR="00A44748" w:rsidRPr="009C3B0A">
        <w:rPr>
          <w:rFonts w:ascii="Arial" w:hAnsi="Arial" w:cs="Arial"/>
        </w:rPr>
        <w:t xml:space="preserve"> </w:t>
      </w:r>
      <w:r w:rsidRPr="009C3B0A">
        <w:rPr>
          <w:rFonts w:ascii="Arial" w:hAnsi="Arial" w:cs="Arial"/>
          <w:vertAlign w:val="superscript"/>
        </w:rPr>
        <w:t>3</w:t>
      </w:r>
      <w:r w:rsidRPr="009C3B0A">
        <w:rPr>
          <w:rFonts w:ascii="Arial" w:hAnsi="Arial" w:cs="Arial"/>
        </w:rPr>
        <w:t>Although 2037 randomised, 2 patients in the HLA Ab-negative group were excluded from the analysis – see text and figure 2</w:t>
      </w:r>
      <w:r w:rsidR="00A44748" w:rsidRPr="009C3B0A">
        <w:rPr>
          <w:rFonts w:ascii="Arial" w:hAnsi="Arial" w:cs="Arial"/>
        </w:rPr>
        <w:t xml:space="preserve">: </w:t>
      </w:r>
      <w:r w:rsidRPr="009C3B0A">
        <w:rPr>
          <w:rFonts w:ascii="Arial" w:hAnsi="Arial" w:cs="Arial"/>
          <w:vertAlign w:val="superscript"/>
        </w:rPr>
        <w:t>4</w:t>
      </w:r>
      <w:r w:rsidRPr="009C3B0A">
        <w:rPr>
          <w:rFonts w:ascii="Arial" w:hAnsi="Arial" w:cs="Arial"/>
        </w:rPr>
        <w:t>Using randomisation as time zero for all (as opposed to time of re-screen for those initially HLA Ab-negative at time of randomisation)</w:t>
      </w:r>
    </w:p>
    <w:p w14:paraId="5409C5DD" w14:textId="25678366" w:rsidR="00B37DE7" w:rsidRPr="009C3B0A" w:rsidRDefault="00794C37" w:rsidP="00141060">
      <w:pPr>
        <w:spacing w:after="0" w:line="240" w:lineRule="auto"/>
        <w:rPr>
          <w:rFonts w:ascii="Arial" w:hAnsi="Arial" w:cs="Arial"/>
        </w:rPr>
      </w:pPr>
      <w:r w:rsidRPr="009C3B0A">
        <w:rPr>
          <w:rFonts w:ascii="Arial" w:hAnsi="Arial" w:cs="Arial"/>
          <w:vertAlign w:val="superscript"/>
        </w:rPr>
        <w:t>5</w:t>
      </w:r>
      <w:r w:rsidR="00B37DE7" w:rsidRPr="009C3B0A">
        <w:rPr>
          <w:rFonts w:ascii="Arial" w:hAnsi="Arial" w:cs="Arial"/>
        </w:rPr>
        <w:t>Comparing the 53 (54%) BLC DSA+ recruits and the 178 (44%) BLC non-DSA+ recruits who were on optimised onto all three IMPs, with all SC DSA+ and SC non-DSA+ recruits.</w:t>
      </w:r>
    </w:p>
    <w:p w14:paraId="6AE9CFC7" w14:textId="0BF7D5C8" w:rsidR="003A4F29" w:rsidRDefault="00B37DE7" w:rsidP="000E1E32">
      <w:pPr>
        <w:spacing w:after="0" w:line="240" w:lineRule="auto"/>
        <w:rPr>
          <w:rFonts w:ascii="Arial" w:hAnsi="Arial" w:cs="Arial"/>
        </w:rPr>
      </w:pPr>
      <w:r w:rsidRPr="009C3B0A">
        <w:rPr>
          <w:rFonts w:ascii="Arial" w:hAnsi="Arial" w:cs="Arial"/>
          <w:vertAlign w:val="superscript"/>
        </w:rPr>
        <w:t>6</w:t>
      </w:r>
      <w:r w:rsidR="00794C37" w:rsidRPr="009C3B0A">
        <w:rPr>
          <w:rFonts w:ascii="Arial" w:hAnsi="Arial" w:cs="Arial"/>
        </w:rPr>
        <w:t>Comparing</w:t>
      </w:r>
      <w:r w:rsidR="00A07CC6" w:rsidRPr="009C3B0A">
        <w:rPr>
          <w:rFonts w:ascii="Arial" w:hAnsi="Arial" w:cs="Arial"/>
        </w:rPr>
        <w:t xml:space="preserve"> the 26 (26.5%) BLC DSA+ recruits and the </w:t>
      </w:r>
      <w:r w:rsidR="00A47D67" w:rsidRPr="009C3B0A">
        <w:rPr>
          <w:rFonts w:ascii="Arial" w:hAnsi="Arial" w:cs="Arial"/>
        </w:rPr>
        <w:t xml:space="preserve">105 (26%) BLC non-DSA+ recruits who </w:t>
      </w:r>
      <w:r w:rsidR="00DF2196" w:rsidRPr="009C3B0A">
        <w:rPr>
          <w:rFonts w:ascii="Arial" w:hAnsi="Arial" w:cs="Arial"/>
        </w:rPr>
        <w:t xml:space="preserve">were on </w:t>
      </w:r>
      <w:r w:rsidR="004512DA" w:rsidRPr="009C3B0A">
        <w:rPr>
          <w:rFonts w:ascii="Arial" w:hAnsi="Arial" w:cs="Arial"/>
        </w:rPr>
        <w:t>optimised onto all</w:t>
      </w:r>
      <w:r w:rsidR="00DF2196" w:rsidRPr="009C3B0A">
        <w:rPr>
          <w:rFonts w:ascii="Arial" w:hAnsi="Arial" w:cs="Arial"/>
        </w:rPr>
        <w:t xml:space="preserve"> three IMPS with tacrolimus</w:t>
      </w:r>
      <w:r w:rsidR="004512DA" w:rsidRPr="009C3B0A">
        <w:rPr>
          <w:rFonts w:ascii="Arial" w:hAnsi="Arial" w:cs="Arial"/>
        </w:rPr>
        <w:t xml:space="preserve"> levels </w:t>
      </w:r>
      <w:r w:rsidR="00DF2196" w:rsidRPr="009C3B0A">
        <w:rPr>
          <w:rFonts w:ascii="Arial" w:hAnsi="Arial" w:cs="Arial"/>
        </w:rPr>
        <w:t xml:space="preserve">at the higher end of the range we targeted, </w:t>
      </w:r>
      <w:r w:rsidR="00A47D67" w:rsidRPr="009C3B0A">
        <w:rPr>
          <w:rFonts w:ascii="Arial" w:hAnsi="Arial" w:cs="Arial"/>
        </w:rPr>
        <w:t xml:space="preserve">with all SC DSA+ and SC non-DSA+ </w:t>
      </w:r>
      <w:r w:rsidR="00DF2196" w:rsidRPr="009C3B0A">
        <w:rPr>
          <w:rFonts w:ascii="Arial" w:hAnsi="Arial" w:cs="Arial"/>
        </w:rPr>
        <w:t>recruits.</w:t>
      </w:r>
      <w:r w:rsidR="000E1E32">
        <w:rPr>
          <w:rFonts w:ascii="Arial" w:hAnsi="Arial" w:cs="Arial"/>
        </w:rPr>
        <w:t xml:space="preserve"> </w:t>
      </w:r>
      <w:r w:rsidR="003A4F29">
        <w:rPr>
          <w:rFonts w:ascii="Arial" w:hAnsi="Arial" w:cs="Arial"/>
        </w:rPr>
        <w:br w:type="page"/>
      </w:r>
    </w:p>
    <w:p w14:paraId="26D4FB3B" w14:textId="77777777" w:rsidR="003A4F29" w:rsidRDefault="003A4F29" w:rsidP="003A4F29">
      <w:pPr>
        <w:rPr>
          <w:rFonts w:ascii="Arial" w:hAnsi="Arial" w:cs="Arial"/>
        </w:rPr>
      </w:pPr>
    </w:p>
    <w:p w14:paraId="4C4F8325" w14:textId="7A118991" w:rsidR="00823F35" w:rsidRDefault="003A4F29" w:rsidP="00823F35">
      <w:pPr>
        <w:pStyle w:val="Heading3"/>
        <w:rPr>
          <w:rFonts w:ascii="Arial" w:hAnsi="Arial" w:cs="Arial"/>
          <w:sz w:val="22"/>
          <w:szCs w:val="22"/>
        </w:rPr>
      </w:pPr>
      <w:bookmarkStart w:id="24" w:name="_Toc121909731"/>
      <w:r>
        <w:rPr>
          <w:rFonts w:ascii="Arial" w:hAnsi="Arial" w:cs="Arial"/>
          <w:sz w:val="22"/>
          <w:szCs w:val="22"/>
        </w:rPr>
        <w:t xml:space="preserve">Supplementary Table </w:t>
      </w:r>
      <w:r w:rsidR="00364D21">
        <w:rPr>
          <w:rFonts w:ascii="Arial" w:hAnsi="Arial" w:cs="Arial"/>
        </w:rPr>
        <w:t>4</w:t>
      </w:r>
      <w:r>
        <w:rPr>
          <w:rFonts w:ascii="Arial" w:hAnsi="Arial" w:cs="Arial"/>
          <w:sz w:val="22"/>
          <w:szCs w:val="22"/>
        </w:rPr>
        <w:t>:</w:t>
      </w:r>
      <w:bookmarkEnd w:id="24"/>
      <w:r>
        <w:rPr>
          <w:rFonts w:ascii="Arial" w:hAnsi="Arial" w:cs="Arial"/>
          <w:sz w:val="22"/>
          <w:szCs w:val="22"/>
        </w:rPr>
        <w:t xml:space="preserve"> </w:t>
      </w:r>
    </w:p>
    <w:p w14:paraId="53B6DCAD" w14:textId="0EBEE478" w:rsidR="003A4F29" w:rsidRDefault="003A4F29" w:rsidP="00823F35">
      <w:pPr>
        <w:rPr>
          <w:rFonts w:ascii="Arial" w:hAnsi="Arial" w:cs="Arial"/>
        </w:rPr>
      </w:pPr>
      <w:r>
        <w:rPr>
          <w:rFonts w:ascii="Arial" w:hAnsi="Arial" w:cs="Arial"/>
        </w:rPr>
        <w:t>Histological diagnoses in DSA+ patients undergoing biopsy during the 32 months post-identification of DSA</w:t>
      </w:r>
    </w:p>
    <w:p w14:paraId="293CB550" w14:textId="77777777" w:rsidR="003A4F29" w:rsidRPr="00CE5BA6" w:rsidRDefault="003A4F29" w:rsidP="00E30556">
      <w:pPr>
        <w:adjustRightInd w:val="0"/>
        <w:snapToGrid w:val="0"/>
        <w:spacing w:line="240" w:lineRule="auto"/>
        <w:contextualSpacing/>
        <w:rPr>
          <w:rFonts w:ascii="Arial" w:hAnsi="Arial" w:cs="Arial"/>
        </w:rPr>
      </w:pPr>
    </w:p>
    <w:tbl>
      <w:tblPr>
        <w:tblStyle w:val="TableGrid"/>
        <w:tblW w:w="0" w:type="auto"/>
        <w:tblLook w:val="04A0" w:firstRow="1" w:lastRow="0" w:firstColumn="1" w:lastColumn="0" w:noHBand="0" w:noVBand="1"/>
      </w:tblPr>
      <w:tblGrid>
        <w:gridCol w:w="4031"/>
        <w:gridCol w:w="2338"/>
        <w:gridCol w:w="1959"/>
      </w:tblGrid>
      <w:tr w:rsidR="003A4F29" w:rsidRPr="00CE5BA6" w14:paraId="4CC4724D" w14:textId="77777777" w:rsidTr="004E4AE4">
        <w:tc>
          <w:tcPr>
            <w:tcW w:w="0" w:type="auto"/>
            <w:vAlign w:val="bottom"/>
          </w:tcPr>
          <w:p w14:paraId="19047716" w14:textId="77777777" w:rsidR="003A4F29" w:rsidRPr="00CE5BA6" w:rsidRDefault="003A4F29" w:rsidP="00E30556">
            <w:pPr>
              <w:adjustRightInd w:val="0"/>
              <w:snapToGrid w:val="0"/>
              <w:contextualSpacing/>
              <w:jc w:val="center"/>
              <w:rPr>
                <w:rFonts w:ascii="Arial" w:hAnsi="Arial" w:cs="Arial"/>
                <w:sz w:val="22"/>
                <w:szCs w:val="22"/>
              </w:rPr>
            </w:pPr>
            <w:r w:rsidRPr="00CE5BA6">
              <w:rPr>
                <w:rFonts w:ascii="Arial" w:hAnsi="Arial" w:cs="Arial"/>
                <w:sz w:val="22"/>
                <w:szCs w:val="22"/>
              </w:rPr>
              <w:t>BANFF 09 Classification</w:t>
            </w:r>
          </w:p>
        </w:tc>
        <w:tc>
          <w:tcPr>
            <w:tcW w:w="0" w:type="auto"/>
          </w:tcPr>
          <w:p w14:paraId="5B59433C" w14:textId="77777777" w:rsidR="003A4F29" w:rsidRPr="00CE5BA6" w:rsidRDefault="003A4F29" w:rsidP="00E30556">
            <w:pPr>
              <w:adjustRightInd w:val="0"/>
              <w:snapToGrid w:val="0"/>
              <w:contextualSpacing/>
              <w:jc w:val="center"/>
              <w:rPr>
                <w:rFonts w:ascii="Arial" w:hAnsi="Arial" w:cs="Arial"/>
                <w:sz w:val="22"/>
                <w:szCs w:val="22"/>
              </w:rPr>
            </w:pPr>
            <w:r w:rsidRPr="00CE5BA6">
              <w:rPr>
                <w:rFonts w:ascii="Arial" w:hAnsi="Arial" w:cs="Arial"/>
                <w:sz w:val="22"/>
                <w:szCs w:val="22"/>
              </w:rPr>
              <w:t>Unblinded</w:t>
            </w:r>
            <w:r>
              <w:rPr>
                <w:rFonts w:ascii="Arial" w:hAnsi="Arial" w:cs="Arial"/>
                <w:sz w:val="22"/>
                <w:szCs w:val="22"/>
              </w:rPr>
              <w:t xml:space="preserve"> BLC DSA+</w:t>
            </w:r>
          </w:p>
        </w:tc>
        <w:tc>
          <w:tcPr>
            <w:tcW w:w="0" w:type="auto"/>
          </w:tcPr>
          <w:p w14:paraId="0A753023" w14:textId="77777777" w:rsidR="003A4F29" w:rsidRPr="00CE5BA6" w:rsidRDefault="003A4F29" w:rsidP="00E30556">
            <w:pPr>
              <w:adjustRightInd w:val="0"/>
              <w:snapToGrid w:val="0"/>
              <w:contextualSpacing/>
              <w:jc w:val="center"/>
              <w:rPr>
                <w:rFonts w:ascii="Arial" w:hAnsi="Arial" w:cs="Arial"/>
                <w:sz w:val="22"/>
                <w:szCs w:val="22"/>
              </w:rPr>
            </w:pPr>
            <w:r w:rsidRPr="00CE5BA6">
              <w:rPr>
                <w:rFonts w:ascii="Arial" w:hAnsi="Arial" w:cs="Arial"/>
                <w:sz w:val="22"/>
                <w:szCs w:val="22"/>
              </w:rPr>
              <w:t>Blinded</w:t>
            </w:r>
            <w:r>
              <w:rPr>
                <w:rFonts w:ascii="Arial" w:hAnsi="Arial" w:cs="Arial"/>
                <w:sz w:val="22"/>
                <w:szCs w:val="22"/>
              </w:rPr>
              <w:t xml:space="preserve"> SC DSA+</w:t>
            </w:r>
          </w:p>
        </w:tc>
      </w:tr>
      <w:tr w:rsidR="003A4F29" w:rsidRPr="00CE5BA6" w14:paraId="57DF101C" w14:textId="77777777" w:rsidTr="004E4AE4">
        <w:tc>
          <w:tcPr>
            <w:tcW w:w="0" w:type="auto"/>
            <w:vAlign w:val="bottom"/>
          </w:tcPr>
          <w:p w14:paraId="2761C7AB" w14:textId="77777777" w:rsidR="003A4F29" w:rsidRPr="00CE5BA6" w:rsidRDefault="003A4F29" w:rsidP="00E30556">
            <w:pPr>
              <w:adjustRightInd w:val="0"/>
              <w:snapToGrid w:val="0"/>
              <w:contextualSpacing/>
              <w:rPr>
                <w:rFonts w:ascii="Arial" w:hAnsi="Arial" w:cs="Arial"/>
                <w:sz w:val="22"/>
                <w:szCs w:val="22"/>
              </w:rPr>
            </w:pPr>
            <w:r w:rsidRPr="00CE5BA6">
              <w:rPr>
                <w:rFonts w:ascii="Arial" w:hAnsi="Arial" w:cs="Arial"/>
                <w:sz w:val="22"/>
                <w:szCs w:val="22"/>
              </w:rPr>
              <w:t>Cat</w:t>
            </w:r>
            <w:r>
              <w:rPr>
                <w:rFonts w:ascii="Arial" w:hAnsi="Arial" w:cs="Arial"/>
                <w:sz w:val="22"/>
                <w:szCs w:val="22"/>
              </w:rPr>
              <w:t>egory</w:t>
            </w:r>
            <w:r w:rsidRPr="00CE5BA6">
              <w:rPr>
                <w:rFonts w:ascii="Arial" w:hAnsi="Arial" w:cs="Arial"/>
                <w:sz w:val="22"/>
                <w:szCs w:val="22"/>
              </w:rPr>
              <w:t xml:space="preserve"> 1 Normal</w:t>
            </w:r>
          </w:p>
        </w:tc>
        <w:tc>
          <w:tcPr>
            <w:tcW w:w="0" w:type="auto"/>
          </w:tcPr>
          <w:p w14:paraId="6D35C0D6" w14:textId="77777777" w:rsidR="003A4F29" w:rsidRPr="00CE5BA6" w:rsidRDefault="003A4F29" w:rsidP="00E30556">
            <w:pPr>
              <w:adjustRightInd w:val="0"/>
              <w:snapToGrid w:val="0"/>
              <w:contextualSpacing/>
              <w:jc w:val="center"/>
              <w:rPr>
                <w:rFonts w:ascii="Arial" w:hAnsi="Arial" w:cs="Arial"/>
                <w:sz w:val="22"/>
                <w:szCs w:val="22"/>
              </w:rPr>
            </w:pPr>
            <w:r w:rsidRPr="00CE5BA6">
              <w:rPr>
                <w:rFonts w:ascii="Arial" w:hAnsi="Arial" w:cs="Arial"/>
                <w:sz w:val="22"/>
                <w:szCs w:val="22"/>
              </w:rPr>
              <w:t>2</w:t>
            </w:r>
          </w:p>
        </w:tc>
        <w:tc>
          <w:tcPr>
            <w:tcW w:w="0" w:type="auto"/>
          </w:tcPr>
          <w:p w14:paraId="4233CA27" w14:textId="77777777" w:rsidR="003A4F29" w:rsidRPr="00CE5BA6" w:rsidRDefault="003A4F29" w:rsidP="00E30556">
            <w:pPr>
              <w:adjustRightInd w:val="0"/>
              <w:snapToGrid w:val="0"/>
              <w:contextualSpacing/>
              <w:jc w:val="center"/>
              <w:rPr>
                <w:rFonts w:ascii="Arial" w:hAnsi="Arial" w:cs="Arial"/>
                <w:sz w:val="22"/>
                <w:szCs w:val="22"/>
              </w:rPr>
            </w:pPr>
            <w:r w:rsidRPr="00CE5BA6">
              <w:rPr>
                <w:rFonts w:ascii="Arial" w:hAnsi="Arial" w:cs="Arial"/>
                <w:sz w:val="22"/>
                <w:szCs w:val="22"/>
              </w:rPr>
              <w:t>0</w:t>
            </w:r>
          </w:p>
        </w:tc>
      </w:tr>
      <w:tr w:rsidR="003A4F29" w:rsidRPr="00CE5BA6" w14:paraId="7714B324" w14:textId="77777777" w:rsidTr="004E4AE4">
        <w:tc>
          <w:tcPr>
            <w:tcW w:w="0" w:type="auto"/>
            <w:tcBorders>
              <w:bottom w:val="single" w:sz="4" w:space="0" w:color="auto"/>
            </w:tcBorders>
            <w:vAlign w:val="bottom"/>
          </w:tcPr>
          <w:p w14:paraId="2379E920" w14:textId="77777777" w:rsidR="003A4F29" w:rsidRPr="00CE5BA6" w:rsidRDefault="003A4F29" w:rsidP="00E30556">
            <w:pPr>
              <w:adjustRightInd w:val="0"/>
              <w:snapToGrid w:val="0"/>
              <w:contextualSpacing/>
              <w:rPr>
                <w:rFonts w:ascii="Arial" w:hAnsi="Arial" w:cs="Arial"/>
                <w:sz w:val="22"/>
                <w:szCs w:val="22"/>
              </w:rPr>
            </w:pPr>
            <w:r w:rsidRPr="00CE5BA6">
              <w:rPr>
                <w:rFonts w:ascii="Arial" w:hAnsi="Arial" w:cs="Arial"/>
                <w:sz w:val="22"/>
                <w:szCs w:val="22"/>
              </w:rPr>
              <w:t>Cat</w:t>
            </w:r>
            <w:r>
              <w:rPr>
                <w:rFonts w:ascii="Arial" w:hAnsi="Arial" w:cs="Arial"/>
                <w:sz w:val="22"/>
                <w:szCs w:val="22"/>
              </w:rPr>
              <w:t>egory</w:t>
            </w:r>
            <w:r w:rsidRPr="00CE5BA6">
              <w:rPr>
                <w:rFonts w:ascii="Arial" w:hAnsi="Arial" w:cs="Arial"/>
                <w:sz w:val="22"/>
                <w:szCs w:val="22"/>
              </w:rPr>
              <w:t xml:space="preserve"> 2 ABMR</w:t>
            </w:r>
          </w:p>
        </w:tc>
        <w:tc>
          <w:tcPr>
            <w:tcW w:w="0" w:type="auto"/>
            <w:tcBorders>
              <w:bottom w:val="single" w:sz="4" w:space="0" w:color="auto"/>
            </w:tcBorders>
          </w:tcPr>
          <w:p w14:paraId="16F13A22" w14:textId="77777777" w:rsidR="003A4F29" w:rsidRPr="00CE5BA6" w:rsidRDefault="003A4F29" w:rsidP="00E30556">
            <w:pPr>
              <w:adjustRightInd w:val="0"/>
              <w:snapToGrid w:val="0"/>
              <w:contextualSpacing/>
              <w:jc w:val="center"/>
              <w:rPr>
                <w:rFonts w:ascii="Arial" w:hAnsi="Arial" w:cs="Arial"/>
                <w:sz w:val="22"/>
                <w:szCs w:val="22"/>
              </w:rPr>
            </w:pPr>
            <w:r>
              <w:rPr>
                <w:rFonts w:ascii="Arial" w:hAnsi="Arial" w:cs="Arial"/>
                <w:sz w:val="22"/>
                <w:szCs w:val="22"/>
              </w:rPr>
              <w:t>2</w:t>
            </w:r>
          </w:p>
        </w:tc>
        <w:tc>
          <w:tcPr>
            <w:tcW w:w="0" w:type="auto"/>
            <w:tcBorders>
              <w:bottom w:val="single" w:sz="4" w:space="0" w:color="auto"/>
            </w:tcBorders>
          </w:tcPr>
          <w:p w14:paraId="3F4FE519" w14:textId="77777777" w:rsidR="003A4F29" w:rsidRPr="00CE5BA6" w:rsidRDefault="003A4F29" w:rsidP="00E30556">
            <w:pPr>
              <w:adjustRightInd w:val="0"/>
              <w:snapToGrid w:val="0"/>
              <w:contextualSpacing/>
              <w:jc w:val="center"/>
              <w:rPr>
                <w:rFonts w:ascii="Arial" w:hAnsi="Arial" w:cs="Arial"/>
                <w:sz w:val="22"/>
                <w:szCs w:val="22"/>
              </w:rPr>
            </w:pPr>
            <w:r>
              <w:rPr>
                <w:rFonts w:ascii="Arial" w:hAnsi="Arial" w:cs="Arial"/>
                <w:sz w:val="22"/>
                <w:szCs w:val="22"/>
              </w:rPr>
              <w:t>8</w:t>
            </w:r>
          </w:p>
        </w:tc>
      </w:tr>
      <w:tr w:rsidR="003A4F29" w:rsidRPr="00CE5BA6" w14:paraId="069B0FED" w14:textId="77777777" w:rsidTr="004E4AE4">
        <w:tc>
          <w:tcPr>
            <w:tcW w:w="0" w:type="auto"/>
            <w:shd w:val="clear" w:color="auto" w:fill="FBE4D5" w:themeFill="accent2" w:themeFillTint="33"/>
            <w:vAlign w:val="bottom"/>
          </w:tcPr>
          <w:p w14:paraId="70295BB8"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C4d deposition only</w:t>
            </w:r>
          </w:p>
        </w:tc>
        <w:tc>
          <w:tcPr>
            <w:tcW w:w="0" w:type="auto"/>
            <w:shd w:val="clear" w:color="auto" w:fill="FBE4D5" w:themeFill="accent2" w:themeFillTint="33"/>
          </w:tcPr>
          <w:p w14:paraId="7DB0948E"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0</w:t>
            </w:r>
          </w:p>
        </w:tc>
        <w:tc>
          <w:tcPr>
            <w:tcW w:w="0" w:type="auto"/>
            <w:shd w:val="clear" w:color="auto" w:fill="FBE4D5" w:themeFill="accent2" w:themeFillTint="33"/>
          </w:tcPr>
          <w:p w14:paraId="7A400F62"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1</w:t>
            </w:r>
          </w:p>
        </w:tc>
      </w:tr>
      <w:tr w:rsidR="003A4F29" w:rsidRPr="00CE5BA6" w14:paraId="7DB4EA2A" w14:textId="77777777" w:rsidTr="004E4AE4">
        <w:tc>
          <w:tcPr>
            <w:tcW w:w="0" w:type="auto"/>
            <w:shd w:val="clear" w:color="auto" w:fill="FBE4D5" w:themeFill="accent2" w:themeFillTint="33"/>
            <w:vAlign w:val="bottom"/>
          </w:tcPr>
          <w:p w14:paraId="05BEAB2D"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subtype 1</w:t>
            </w:r>
          </w:p>
        </w:tc>
        <w:tc>
          <w:tcPr>
            <w:tcW w:w="0" w:type="auto"/>
            <w:shd w:val="clear" w:color="auto" w:fill="FBE4D5" w:themeFill="accent2" w:themeFillTint="33"/>
          </w:tcPr>
          <w:p w14:paraId="7EB99A09"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0</w:t>
            </w:r>
          </w:p>
        </w:tc>
        <w:tc>
          <w:tcPr>
            <w:tcW w:w="0" w:type="auto"/>
            <w:shd w:val="clear" w:color="auto" w:fill="FBE4D5" w:themeFill="accent2" w:themeFillTint="33"/>
          </w:tcPr>
          <w:p w14:paraId="3157506B"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0</w:t>
            </w:r>
          </w:p>
        </w:tc>
      </w:tr>
      <w:tr w:rsidR="003A4F29" w:rsidRPr="00CE5BA6" w14:paraId="5CD5C738" w14:textId="77777777" w:rsidTr="004E4AE4">
        <w:tc>
          <w:tcPr>
            <w:tcW w:w="0" w:type="auto"/>
            <w:shd w:val="clear" w:color="auto" w:fill="FBE4D5" w:themeFill="accent2" w:themeFillTint="33"/>
            <w:vAlign w:val="bottom"/>
          </w:tcPr>
          <w:p w14:paraId="20885089"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subtype 2</w:t>
            </w:r>
          </w:p>
        </w:tc>
        <w:tc>
          <w:tcPr>
            <w:tcW w:w="0" w:type="auto"/>
            <w:shd w:val="clear" w:color="auto" w:fill="FBE4D5" w:themeFill="accent2" w:themeFillTint="33"/>
          </w:tcPr>
          <w:p w14:paraId="2886543D" w14:textId="77777777" w:rsidR="003A4F29" w:rsidRPr="00CE5BA6" w:rsidRDefault="003A4F29" w:rsidP="00E30556">
            <w:pPr>
              <w:adjustRightInd w:val="0"/>
              <w:snapToGrid w:val="0"/>
              <w:contextualSpacing/>
              <w:jc w:val="right"/>
              <w:rPr>
                <w:rFonts w:ascii="Arial" w:hAnsi="Arial" w:cs="Arial"/>
                <w:sz w:val="18"/>
                <w:szCs w:val="18"/>
              </w:rPr>
            </w:pPr>
            <w:r>
              <w:rPr>
                <w:rFonts w:ascii="Arial" w:hAnsi="Arial" w:cs="Arial"/>
                <w:sz w:val="18"/>
                <w:szCs w:val="18"/>
              </w:rPr>
              <w:t>0</w:t>
            </w:r>
          </w:p>
        </w:tc>
        <w:tc>
          <w:tcPr>
            <w:tcW w:w="0" w:type="auto"/>
            <w:shd w:val="clear" w:color="auto" w:fill="FBE4D5" w:themeFill="accent2" w:themeFillTint="33"/>
          </w:tcPr>
          <w:p w14:paraId="445A720A" w14:textId="77777777" w:rsidR="003A4F29" w:rsidRPr="00CE5BA6" w:rsidRDefault="003A4F29" w:rsidP="00E30556">
            <w:pPr>
              <w:adjustRightInd w:val="0"/>
              <w:snapToGrid w:val="0"/>
              <w:contextualSpacing/>
              <w:jc w:val="right"/>
              <w:rPr>
                <w:rFonts w:ascii="Arial" w:hAnsi="Arial" w:cs="Arial"/>
                <w:sz w:val="18"/>
                <w:szCs w:val="18"/>
              </w:rPr>
            </w:pPr>
            <w:r>
              <w:rPr>
                <w:rFonts w:ascii="Arial" w:hAnsi="Arial" w:cs="Arial"/>
                <w:sz w:val="18"/>
                <w:szCs w:val="18"/>
              </w:rPr>
              <w:t>2</w:t>
            </w:r>
          </w:p>
        </w:tc>
      </w:tr>
      <w:tr w:rsidR="003A4F29" w:rsidRPr="00CE5BA6" w14:paraId="3B88A3EF" w14:textId="77777777" w:rsidTr="004E4AE4">
        <w:tc>
          <w:tcPr>
            <w:tcW w:w="0" w:type="auto"/>
            <w:shd w:val="clear" w:color="auto" w:fill="FBE4D5" w:themeFill="accent2" w:themeFillTint="33"/>
            <w:vAlign w:val="bottom"/>
          </w:tcPr>
          <w:p w14:paraId="1048842A"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subtype 3</w:t>
            </w:r>
          </w:p>
        </w:tc>
        <w:tc>
          <w:tcPr>
            <w:tcW w:w="0" w:type="auto"/>
            <w:shd w:val="clear" w:color="auto" w:fill="FBE4D5" w:themeFill="accent2" w:themeFillTint="33"/>
          </w:tcPr>
          <w:p w14:paraId="49030A69"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1</w:t>
            </w:r>
            <w:r w:rsidRPr="00710FE2">
              <w:rPr>
                <w:rFonts w:ascii="Arial" w:hAnsi="Arial" w:cs="Arial"/>
                <w:sz w:val="18"/>
                <w:szCs w:val="18"/>
                <w:vertAlign w:val="superscript"/>
              </w:rPr>
              <w:t>1</w:t>
            </w:r>
          </w:p>
        </w:tc>
        <w:tc>
          <w:tcPr>
            <w:tcW w:w="0" w:type="auto"/>
            <w:shd w:val="clear" w:color="auto" w:fill="FBE4D5" w:themeFill="accent2" w:themeFillTint="33"/>
          </w:tcPr>
          <w:p w14:paraId="14B33F1B"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0</w:t>
            </w:r>
          </w:p>
        </w:tc>
      </w:tr>
      <w:tr w:rsidR="003A4F29" w:rsidRPr="00CE5BA6" w14:paraId="0B9EAD91" w14:textId="77777777" w:rsidTr="004E4AE4">
        <w:tc>
          <w:tcPr>
            <w:tcW w:w="0" w:type="auto"/>
            <w:shd w:val="clear" w:color="auto" w:fill="FBE4D5" w:themeFill="accent2" w:themeFillTint="33"/>
            <w:vAlign w:val="bottom"/>
          </w:tcPr>
          <w:p w14:paraId="0405D95A"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chronic</w:t>
            </w:r>
          </w:p>
        </w:tc>
        <w:tc>
          <w:tcPr>
            <w:tcW w:w="0" w:type="auto"/>
            <w:shd w:val="clear" w:color="auto" w:fill="FBE4D5" w:themeFill="accent2" w:themeFillTint="33"/>
          </w:tcPr>
          <w:p w14:paraId="6F6FF6C8"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1</w:t>
            </w:r>
          </w:p>
        </w:tc>
        <w:tc>
          <w:tcPr>
            <w:tcW w:w="0" w:type="auto"/>
            <w:shd w:val="clear" w:color="auto" w:fill="FBE4D5" w:themeFill="accent2" w:themeFillTint="33"/>
          </w:tcPr>
          <w:p w14:paraId="355B537D" w14:textId="77777777" w:rsidR="003A4F29" w:rsidRPr="00CE5BA6" w:rsidRDefault="003A4F29" w:rsidP="00E30556">
            <w:pPr>
              <w:adjustRightInd w:val="0"/>
              <w:snapToGrid w:val="0"/>
              <w:contextualSpacing/>
              <w:jc w:val="right"/>
              <w:rPr>
                <w:rFonts w:ascii="Arial" w:hAnsi="Arial" w:cs="Arial"/>
                <w:sz w:val="18"/>
                <w:szCs w:val="18"/>
              </w:rPr>
            </w:pPr>
            <w:r>
              <w:rPr>
                <w:rFonts w:ascii="Arial" w:hAnsi="Arial" w:cs="Arial"/>
                <w:sz w:val="18"/>
                <w:szCs w:val="18"/>
              </w:rPr>
              <w:t>5</w:t>
            </w:r>
            <w:r w:rsidRPr="005572F9">
              <w:rPr>
                <w:rFonts w:ascii="Arial" w:hAnsi="Arial" w:cs="Arial"/>
                <w:sz w:val="18"/>
                <w:szCs w:val="18"/>
                <w:vertAlign w:val="superscript"/>
              </w:rPr>
              <w:t>2</w:t>
            </w:r>
          </w:p>
        </w:tc>
      </w:tr>
      <w:tr w:rsidR="003A4F29" w:rsidRPr="00CE5BA6" w14:paraId="0F84DAA1" w14:textId="77777777" w:rsidTr="004E4AE4">
        <w:tc>
          <w:tcPr>
            <w:tcW w:w="0" w:type="auto"/>
            <w:shd w:val="clear" w:color="auto" w:fill="FBE4D5" w:themeFill="accent2" w:themeFillTint="33"/>
            <w:vAlign w:val="bottom"/>
          </w:tcPr>
          <w:p w14:paraId="61754E45"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subtype NOS</w:t>
            </w:r>
          </w:p>
        </w:tc>
        <w:tc>
          <w:tcPr>
            <w:tcW w:w="0" w:type="auto"/>
            <w:shd w:val="clear" w:color="auto" w:fill="FBE4D5" w:themeFill="accent2" w:themeFillTint="33"/>
          </w:tcPr>
          <w:p w14:paraId="6C48888D" w14:textId="77777777" w:rsidR="003A4F29" w:rsidRPr="00CE5BA6" w:rsidRDefault="003A4F29" w:rsidP="00E30556">
            <w:pPr>
              <w:adjustRightInd w:val="0"/>
              <w:snapToGrid w:val="0"/>
              <w:contextualSpacing/>
              <w:jc w:val="right"/>
              <w:rPr>
                <w:rFonts w:ascii="Arial" w:hAnsi="Arial" w:cs="Arial"/>
                <w:sz w:val="18"/>
                <w:szCs w:val="18"/>
              </w:rPr>
            </w:pPr>
            <w:r>
              <w:rPr>
                <w:rFonts w:ascii="Arial" w:hAnsi="Arial" w:cs="Arial"/>
                <w:sz w:val="18"/>
                <w:szCs w:val="18"/>
              </w:rPr>
              <w:t>0</w:t>
            </w:r>
          </w:p>
        </w:tc>
        <w:tc>
          <w:tcPr>
            <w:tcW w:w="0" w:type="auto"/>
            <w:shd w:val="clear" w:color="auto" w:fill="FBE4D5" w:themeFill="accent2" w:themeFillTint="33"/>
          </w:tcPr>
          <w:p w14:paraId="35AB811C"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0</w:t>
            </w:r>
          </w:p>
        </w:tc>
      </w:tr>
      <w:tr w:rsidR="003A4F29" w:rsidRPr="00CE5BA6" w14:paraId="36D8182C" w14:textId="77777777" w:rsidTr="004E4AE4">
        <w:tc>
          <w:tcPr>
            <w:tcW w:w="0" w:type="auto"/>
            <w:vAlign w:val="bottom"/>
          </w:tcPr>
          <w:p w14:paraId="76C40297" w14:textId="77777777" w:rsidR="003A4F29" w:rsidRPr="00CE5BA6" w:rsidRDefault="003A4F29" w:rsidP="00E30556">
            <w:pPr>
              <w:adjustRightInd w:val="0"/>
              <w:snapToGrid w:val="0"/>
              <w:contextualSpacing/>
              <w:rPr>
                <w:rFonts w:ascii="Arial" w:hAnsi="Arial" w:cs="Arial"/>
                <w:sz w:val="22"/>
                <w:szCs w:val="22"/>
              </w:rPr>
            </w:pPr>
            <w:r w:rsidRPr="00CE5BA6">
              <w:rPr>
                <w:rFonts w:ascii="Arial" w:hAnsi="Arial" w:cs="Arial"/>
                <w:sz w:val="22"/>
                <w:szCs w:val="22"/>
              </w:rPr>
              <w:t>Cat</w:t>
            </w:r>
            <w:r>
              <w:rPr>
                <w:rFonts w:ascii="Arial" w:hAnsi="Arial" w:cs="Arial"/>
                <w:sz w:val="22"/>
                <w:szCs w:val="22"/>
              </w:rPr>
              <w:t>egory</w:t>
            </w:r>
            <w:r w:rsidRPr="00CE5BA6">
              <w:rPr>
                <w:rFonts w:ascii="Arial" w:hAnsi="Arial" w:cs="Arial"/>
                <w:sz w:val="22"/>
                <w:szCs w:val="22"/>
              </w:rPr>
              <w:t xml:space="preserve"> 3 Borderline change</w:t>
            </w:r>
          </w:p>
        </w:tc>
        <w:tc>
          <w:tcPr>
            <w:tcW w:w="0" w:type="auto"/>
          </w:tcPr>
          <w:p w14:paraId="58A44C39" w14:textId="77777777" w:rsidR="003A4F29" w:rsidRPr="00CE5BA6" w:rsidRDefault="003A4F29" w:rsidP="00E30556">
            <w:pPr>
              <w:adjustRightInd w:val="0"/>
              <w:snapToGrid w:val="0"/>
              <w:contextualSpacing/>
              <w:jc w:val="center"/>
              <w:rPr>
                <w:rFonts w:ascii="Arial" w:hAnsi="Arial" w:cs="Arial"/>
                <w:sz w:val="22"/>
                <w:szCs w:val="22"/>
              </w:rPr>
            </w:pPr>
            <w:r w:rsidRPr="00CE5BA6">
              <w:rPr>
                <w:rFonts w:ascii="Arial" w:hAnsi="Arial" w:cs="Arial"/>
                <w:sz w:val="22"/>
                <w:szCs w:val="22"/>
              </w:rPr>
              <w:t>2</w:t>
            </w:r>
          </w:p>
        </w:tc>
        <w:tc>
          <w:tcPr>
            <w:tcW w:w="0" w:type="auto"/>
          </w:tcPr>
          <w:p w14:paraId="320CF9CE" w14:textId="77777777" w:rsidR="003A4F29" w:rsidRPr="00CE5BA6" w:rsidRDefault="003A4F29" w:rsidP="00E30556">
            <w:pPr>
              <w:adjustRightInd w:val="0"/>
              <w:snapToGrid w:val="0"/>
              <w:contextualSpacing/>
              <w:jc w:val="center"/>
              <w:rPr>
                <w:rFonts w:ascii="Arial" w:hAnsi="Arial" w:cs="Arial"/>
                <w:sz w:val="22"/>
                <w:szCs w:val="22"/>
              </w:rPr>
            </w:pPr>
            <w:r w:rsidRPr="00CE5BA6">
              <w:rPr>
                <w:rFonts w:ascii="Arial" w:hAnsi="Arial" w:cs="Arial"/>
                <w:sz w:val="22"/>
                <w:szCs w:val="22"/>
              </w:rPr>
              <w:t>3</w:t>
            </w:r>
          </w:p>
        </w:tc>
      </w:tr>
      <w:tr w:rsidR="003A4F29" w:rsidRPr="00CE5BA6" w14:paraId="3700C109" w14:textId="77777777" w:rsidTr="004E4AE4">
        <w:tc>
          <w:tcPr>
            <w:tcW w:w="0" w:type="auto"/>
            <w:tcBorders>
              <w:bottom w:val="single" w:sz="4" w:space="0" w:color="auto"/>
            </w:tcBorders>
            <w:vAlign w:val="bottom"/>
          </w:tcPr>
          <w:p w14:paraId="1B241CA3" w14:textId="77777777" w:rsidR="003A4F29" w:rsidRPr="00CE5BA6" w:rsidRDefault="003A4F29" w:rsidP="00E30556">
            <w:pPr>
              <w:adjustRightInd w:val="0"/>
              <w:snapToGrid w:val="0"/>
              <w:contextualSpacing/>
              <w:rPr>
                <w:rFonts w:ascii="Arial" w:hAnsi="Arial" w:cs="Arial"/>
                <w:sz w:val="22"/>
                <w:szCs w:val="22"/>
              </w:rPr>
            </w:pPr>
            <w:r w:rsidRPr="00CE5BA6">
              <w:rPr>
                <w:rFonts w:ascii="Arial" w:hAnsi="Arial" w:cs="Arial"/>
                <w:sz w:val="22"/>
                <w:szCs w:val="22"/>
              </w:rPr>
              <w:t>Cat</w:t>
            </w:r>
            <w:r>
              <w:rPr>
                <w:rFonts w:ascii="Arial" w:hAnsi="Arial" w:cs="Arial"/>
                <w:sz w:val="22"/>
                <w:szCs w:val="22"/>
              </w:rPr>
              <w:t>egory</w:t>
            </w:r>
            <w:r w:rsidRPr="00CE5BA6">
              <w:rPr>
                <w:rFonts w:ascii="Arial" w:hAnsi="Arial" w:cs="Arial"/>
                <w:sz w:val="22"/>
                <w:szCs w:val="22"/>
              </w:rPr>
              <w:t xml:space="preserve"> 4 TCMR</w:t>
            </w:r>
          </w:p>
        </w:tc>
        <w:tc>
          <w:tcPr>
            <w:tcW w:w="0" w:type="auto"/>
            <w:tcBorders>
              <w:bottom w:val="single" w:sz="4" w:space="0" w:color="auto"/>
            </w:tcBorders>
          </w:tcPr>
          <w:p w14:paraId="536B6C16" w14:textId="77777777" w:rsidR="003A4F29" w:rsidRPr="00CE5BA6" w:rsidRDefault="003A4F29" w:rsidP="00E30556">
            <w:pPr>
              <w:adjustRightInd w:val="0"/>
              <w:snapToGrid w:val="0"/>
              <w:contextualSpacing/>
              <w:jc w:val="center"/>
              <w:rPr>
                <w:rFonts w:ascii="Arial" w:hAnsi="Arial" w:cs="Arial"/>
                <w:sz w:val="22"/>
                <w:szCs w:val="22"/>
              </w:rPr>
            </w:pPr>
            <w:r>
              <w:rPr>
                <w:rFonts w:ascii="Arial" w:hAnsi="Arial" w:cs="Arial"/>
                <w:sz w:val="22"/>
                <w:szCs w:val="22"/>
              </w:rPr>
              <w:t>3</w:t>
            </w:r>
          </w:p>
        </w:tc>
        <w:tc>
          <w:tcPr>
            <w:tcW w:w="0" w:type="auto"/>
            <w:tcBorders>
              <w:bottom w:val="single" w:sz="4" w:space="0" w:color="auto"/>
            </w:tcBorders>
          </w:tcPr>
          <w:p w14:paraId="5B1E5DC9" w14:textId="77777777" w:rsidR="003A4F29" w:rsidRPr="00CE5BA6" w:rsidRDefault="003A4F29" w:rsidP="00E30556">
            <w:pPr>
              <w:adjustRightInd w:val="0"/>
              <w:snapToGrid w:val="0"/>
              <w:contextualSpacing/>
              <w:jc w:val="center"/>
              <w:rPr>
                <w:rFonts w:ascii="Arial" w:hAnsi="Arial" w:cs="Arial"/>
                <w:sz w:val="22"/>
                <w:szCs w:val="22"/>
              </w:rPr>
            </w:pPr>
            <w:r>
              <w:rPr>
                <w:rFonts w:ascii="Arial" w:hAnsi="Arial" w:cs="Arial"/>
                <w:sz w:val="22"/>
                <w:szCs w:val="22"/>
              </w:rPr>
              <w:t>2</w:t>
            </w:r>
          </w:p>
        </w:tc>
      </w:tr>
      <w:tr w:rsidR="003A4F29" w:rsidRPr="00CE5BA6" w14:paraId="5688D63F" w14:textId="77777777" w:rsidTr="004E4AE4">
        <w:tc>
          <w:tcPr>
            <w:tcW w:w="0" w:type="auto"/>
            <w:shd w:val="clear" w:color="auto" w:fill="FBE4D5" w:themeFill="accent2" w:themeFillTint="33"/>
            <w:vAlign w:val="bottom"/>
          </w:tcPr>
          <w:p w14:paraId="32FA4804"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subtype IA</w:t>
            </w:r>
          </w:p>
        </w:tc>
        <w:tc>
          <w:tcPr>
            <w:tcW w:w="0" w:type="auto"/>
            <w:shd w:val="clear" w:color="auto" w:fill="FBE4D5" w:themeFill="accent2" w:themeFillTint="33"/>
          </w:tcPr>
          <w:p w14:paraId="46A9A1D0"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1</w:t>
            </w:r>
          </w:p>
        </w:tc>
        <w:tc>
          <w:tcPr>
            <w:tcW w:w="0" w:type="auto"/>
            <w:shd w:val="clear" w:color="auto" w:fill="FBE4D5" w:themeFill="accent2" w:themeFillTint="33"/>
          </w:tcPr>
          <w:p w14:paraId="74B172AA"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2</w:t>
            </w:r>
            <w:r w:rsidRPr="005572F9">
              <w:rPr>
                <w:rFonts w:ascii="Arial" w:hAnsi="Arial" w:cs="Arial"/>
                <w:sz w:val="18"/>
                <w:szCs w:val="18"/>
                <w:vertAlign w:val="superscript"/>
              </w:rPr>
              <w:t>2</w:t>
            </w:r>
          </w:p>
        </w:tc>
      </w:tr>
      <w:tr w:rsidR="003A4F29" w:rsidRPr="00CE5BA6" w14:paraId="26947002" w14:textId="77777777" w:rsidTr="004E4AE4">
        <w:tc>
          <w:tcPr>
            <w:tcW w:w="0" w:type="auto"/>
            <w:shd w:val="clear" w:color="auto" w:fill="FBE4D5" w:themeFill="accent2" w:themeFillTint="33"/>
            <w:vAlign w:val="bottom"/>
          </w:tcPr>
          <w:p w14:paraId="5A901DB4"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 xml:space="preserve">subtype </w:t>
            </w:r>
            <w:r>
              <w:rPr>
                <w:rFonts w:ascii="Arial" w:hAnsi="Arial" w:cs="Arial"/>
                <w:sz w:val="18"/>
                <w:szCs w:val="18"/>
              </w:rPr>
              <w:t>I</w:t>
            </w:r>
            <w:r w:rsidRPr="00CE5BA6">
              <w:rPr>
                <w:rFonts w:ascii="Arial" w:hAnsi="Arial" w:cs="Arial"/>
                <w:sz w:val="18"/>
                <w:szCs w:val="18"/>
              </w:rPr>
              <w:t>B</w:t>
            </w:r>
          </w:p>
        </w:tc>
        <w:tc>
          <w:tcPr>
            <w:tcW w:w="0" w:type="auto"/>
            <w:shd w:val="clear" w:color="auto" w:fill="FBE4D5" w:themeFill="accent2" w:themeFillTint="33"/>
          </w:tcPr>
          <w:p w14:paraId="65D07507"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1</w:t>
            </w:r>
          </w:p>
        </w:tc>
        <w:tc>
          <w:tcPr>
            <w:tcW w:w="0" w:type="auto"/>
            <w:shd w:val="clear" w:color="auto" w:fill="FBE4D5" w:themeFill="accent2" w:themeFillTint="33"/>
          </w:tcPr>
          <w:p w14:paraId="09268A4D" w14:textId="77777777" w:rsidR="003A4F29" w:rsidRPr="00CE5BA6" w:rsidRDefault="003A4F29" w:rsidP="00E30556">
            <w:pPr>
              <w:adjustRightInd w:val="0"/>
              <w:snapToGrid w:val="0"/>
              <w:contextualSpacing/>
              <w:jc w:val="right"/>
              <w:rPr>
                <w:rFonts w:ascii="Arial" w:hAnsi="Arial" w:cs="Arial"/>
                <w:sz w:val="18"/>
                <w:szCs w:val="18"/>
              </w:rPr>
            </w:pPr>
            <w:r>
              <w:rPr>
                <w:rFonts w:ascii="Arial" w:hAnsi="Arial" w:cs="Arial"/>
                <w:sz w:val="18"/>
                <w:szCs w:val="18"/>
              </w:rPr>
              <w:t>0</w:t>
            </w:r>
          </w:p>
        </w:tc>
      </w:tr>
      <w:tr w:rsidR="003A4F29" w:rsidRPr="00CE5BA6" w14:paraId="7A976D21" w14:textId="77777777" w:rsidTr="004E4AE4">
        <w:tc>
          <w:tcPr>
            <w:tcW w:w="0" w:type="auto"/>
            <w:shd w:val="clear" w:color="auto" w:fill="FBE4D5" w:themeFill="accent2" w:themeFillTint="33"/>
            <w:vAlign w:val="bottom"/>
          </w:tcPr>
          <w:p w14:paraId="2799D3DF"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subtype IIA</w:t>
            </w:r>
          </w:p>
        </w:tc>
        <w:tc>
          <w:tcPr>
            <w:tcW w:w="0" w:type="auto"/>
            <w:shd w:val="clear" w:color="auto" w:fill="FBE4D5" w:themeFill="accent2" w:themeFillTint="33"/>
          </w:tcPr>
          <w:p w14:paraId="5361CF01"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0</w:t>
            </w:r>
          </w:p>
        </w:tc>
        <w:tc>
          <w:tcPr>
            <w:tcW w:w="0" w:type="auto"/>
            <w:shd w:val="clear" w:color="auto" w:fill="FBE4D5" w:themeFill="accent2" w:themeFillTint="33"/>
          </w:tcPr>
          <w:p w14:paraId="6A4F2DA8"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0</w:t>
            </w:r>
          </w:p>
        </w:tc>
      </w:tr>
      <w:tr w:rsidR="003A4F29" w:rsidRPr="00CE5BA6" w14:paraId="74579F1B" w14:textId="77777777" w:rsidTr="004E4AE4">
        <w:tc>
          <w:tcPr>
            <w:tcW w:w="0" w:type="auto"/>
            <w:shd w:val="clear" w:color="auto" w:fill="FBE4D5" w:themeFill="accent2" w:themeFillTint="33"/>
            <w:vAlign w:val="bottom"/>
          </w:tcPr>
          <w:p w14:paraId="1E4288CC"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subtype IIB</w:t>
            </w:r>
          </w:p>
        </w:tc>
        <w:tc>
          <w:tcPr>
            <w:tcW w:w="0" w:type="auto"/>
            <w:shd w:val="clear" w:color="auto" w:fill="FBE4D5" w:themeFill="accent2" w:themeFillTint="33"/>
          </w:tcPr>
          <w:p w14:paraId="7986ACAF" w14:textId="77777777" w:rsidR="003A4F29" w:rsidRPr="00CE5BA6" w:rsidRDefault="003A4F29" w:rsidP="00E30556">
            <w:pPr>
              <w:adjustRightInd w:val="0"/>
              <w:snapToGrid w:val="0"/>
              <w:contextualSpacing/>
              <w:jc w:val="right"/>
              <w:rPr>
                <w:rFonts w:ascii="Arial" w:hAnsi="Arial" w:cs="Arial"/>
                <w:sz w:val="18"/>
                <w:szCs w:val="18"/>
              </w:rPr>
            </w:pPr>
            <w:r>
              <w:rPr>
                <w:rFonts w:ascii="Arial" w:hAnsi="Arial" w:cs="Arial"/>
                <w:sz w:val="18"/>
                <w:szCs w:val="18"/>
              </w:rPr>
              <w:t>0</w:t>
            </w:r>
          </w:p>
        </w:tc>
        <w:tc>
          <w:tcPr>
            <w:tcW w:w="0" w:type="auto"/>
            <w:shd w:val="clear" w:color="auto" w:fill="FBE4D5" w:themeFill="accent2" w:themeFillTint="33"/>
          </w:tcPr>
          <w:p w14:paraId="3E9BA6B7" w14:textId="77777777" w:rsidR="003A4F29" w:rsidRPr="00CE5BA6" w:rsidRDefault="003A4F29" w:rsidP="00E30556">
            <w:pPr>
              <w:adjustRightInd w:val="0"/>
              <w:snapToGrid w:val="0"/>
              <w:contextualSpacing/>
              <w:jc w:val="right"/>
              <w:rPr>
                <w:rFonts w:ascii="Arial" w:hAnsi="Arial" w:cs="Arial"/>
                <w:sz w:val="18"/>
                <w:szCs w:val="18"/>
              </w:rPr>
            </w:pPr>
            <w:r>
              <w:rPr>
                <w:rFonts w:ascii="Arial" w:hAnsi="Arial" w:cs="Arial"/>
                <w:sz w:val="18"/>
                <w:szCs w:val="18"/>
              </w:rPr>
              <w:t>0</w:t>
            </w:r>
          </w:p>
        </w:tc>
      </w:tr>
      <w:tr w:rsidR="003A4F29" w:rsidRPr="00CE5BA6" w14:paraId="52C75C8F" w14:textId="77777777" w:rsidTr="004E4AE4">
        <w:tc>
          <w:tcPr>
            <w:tcW w:w="0" w:type="auto"/>
            <w:shd w:val="clear" w:color="auto" w:fill="FBE4D5" w:themeFill="accent2" w:themeFillTint="33"/>
            <w:vAlign w:val="bottom"/>
          </w:tcPr>
          <w:p w14:paraId="607FCCD6"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subtype III</w:t>
            </w:r>
          </w:p>
        </w:tc>
        <w:tc>
          <w:tcPr>
            <w:tcW w:w="0" w:type="auto"/>
            <w:shd w:val="clear" w:color="auto" w:fill="FBE4D5" w:themeFill="accent2" w:themeFillTint="33"/>
          </w:tcPr>
          <w:p w14:paraId="21E21BAA" w14:textId="77777777" w:rsidR="003A4F29" w:rsidRPr="00CE5BA6" w:rsidRDefault="003A4F29" w:rsidP="00E30556">
            <w:pPr>
              <w:adjustRightInd w:val="0"/>
              <w:snapToGrid w:val="0"/>
              <w:contextualSpacing/>
              <w:jc w:val="right"/>
              <w:rPr>
                <w:rFonts w:ascii="Arial" w:hAnsi="Arial" w:cs="Arial"/>
                <w:sz w:val="18"/>
                <w:szCs w:val="18"/>
              </w:rPr>
            </w:pPr>
            <w:r>
              <w:rPr>
                <w:rFonts w:ascii="Arial" w:hAnsi="Arial" w:cs="Arial"/>
                <w:sz w:val="18"/>
                <w:szCs w:val="18"/>
              </w:rPr>
              <w:t>1</w:t>
            </w:r>
            <w:r w:rsidRPr="00710FE2">
              <w:rPr>
                <w:rFonts w:ascii="Arial" w:hAnsi="Arial" w:cs="Arial"/>
                <w:sz w:val="18"/>
                <w:szCs w:val="18"/>
                <w:vertAlign w:val="superscript"/>
              </w:rPr>
              <w:t>1</w:t>
            </w:r>
          </w:p>
        </w:tc>
        <w:tc>
          <w:tcPr>
            <w:tcW w:w="0" w:type="auto"/>
            <w:shd w:val="clear" w:color="auto" w:fill="FBE4D5" w:themeFill="accent2" w:themeFillTint="33"/>
          </w:tcPr>
          <w:p w14:paraId="7A4C0E23"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0</w:t>
            </w:r>
          </w:p>
        </w:tc>
      </w:tr>
      <w:tr w:rsidR="003A4F29" w:rsidRPr="00CE5BA6" w14:paraId="2A7D4F65" w14:textId="77777777" w:rsidTr="004E4AE4">
        <w:tc>
          <w:tcPr>
            <w:tcW w:w="0" w:type="auto"/>
            <w:shd w:val="clear" w:color="auto" w:fill="FBE4D5" w:themeFill="accent2" w:themeFillTint="33"/>
            <w:vAlign w:val="bottom"/>
          </w:tcPr>
          <w:p w14:paraId="4536BFED"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subtype NOS</w:t>
            </w:r>
          </w:p>
        </w:tc>
        <w:tc>
          <w:tcPr>
            <w:tcW w:w="0" w:type="auto"/>
            <w:shd w:val="clear" w:color="auto" w:fill="FBE4D5" w:themeFill="accent2" w:themeFillTint="33"/>
          </w:tcPr>
          <w:p w14:paraId="606DC91A"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0</w:t>
            </w:r>
          </w:p>
        </w:tc>
        <w:tc>
          <w:tcPr>
            <w:tcW w:w="0" w:type="auto"/>
            <w:shd w:val="clear" w:color="auto" w:fill="FBE4D5" w:themeFill="accent2" w:themeFillTint="33"/>
          </w:tcPr>
          <w:p w14:paraId="6EC8DAC3"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0</w:t>
            </w:r>
          </w:p>
        </w:tc>
      </w:tr>
      <w:tr w:rsidR="003A4F29" w:rsidRPr="00CE5BA6" w14:paraId="2E6C5100" w14:textId="77777777" w:rsidTr="004E4AE4">
        <w:tc>
          <w:tcPr>
            <w:tcW w:w="0" w:type="auto"/>
            <w:tcBorders>
              <w:bottom w:val="single" w:sz="4" w:space="0" w:color="auto"/>
            </w:tcBorders>
            <w:vAlign w:val="bottom"/>
          </w:tcPr>
          <w:p w14:paraId="245BA68B" w14:textId="77777777" w:rsidR="003A4F29" w:rsidRPr="00CE5BA6" w:rsidRDefault="003A4F29" w:rsidP="00E30556">
            <w:pPr>
              <w:adjustRightInd w:val="0"/>
              <w:snapToGrid w:val="0"/>
              <w:contextualSpacing/>
              <w:rPr>
                <w:rFonts w:ascii="Arial" w:hAnsi="Arial" w:cs="Arial"/>
                <w:sz w:val="22"/>
                <w:szCs w:val="22"/>
              </w:rPr>
            </w:pPr>
            <w:r w:rsidRPr="00CE5BA6">
              <w:rPr>
                <w:rFonts w:ascii="Arial" w:hAnsi="Arial" w:cs="Arial"/>
                <w:sz w:val="22"/>
                <w:szCs w:val="22"/>
              </w:rPr>
              <w:t>Cat</w:t>
            </w:r>
            <w:r>
              <w:rPr>
                <w:rFonts w:ascii="Arial" w:hAnsi="Arial" w:cs="Arial"/>
                <w:sz w:val="22"/>
                <w:szCs w:val="22"/>
              </w:rPr>
              <w:t>egory</w:t>
            </w:r>
            <w:r w:rsidRPr="00CE5BA6">
              <w:rPr>
                <w:rFonts w:ascii="Arial" w:hAnsi="Arial" w:cs="Arial"/>
                <w:sz w:val="22"/>
                <w:szCs w:val="22"/>
              </w:rPr>
              <w:t xml:space="preserve"> 5 IFTA without specific cause</w:t>
            </w:r>
          </w:p>
        </w:tc>
        <w:tc>
          <w:tcPr>
            <w:tcW w:w="0" w:type="auto"/>
            <w:tcBorders>
              <w:bottom w:val="single" w:sz="4" w:space="0" w:color="auto"/>
            </w:tcBorders>
          </w:tcPr>
          <w:p w14:paraId="6B10D598" w14:textId="77777777" w:rsidR="003A4F29" w:rsidRPr="00CE5BA6" w:rsidRDefault="003A4F29" w:rsidP="00E30556">
            <w:pPr>
              <w:adjustRightInd w:val="0"/>
              <w:snapToGrid w:val="0"/>
              <w:contextualSpacing/>
              <w:jc w:val="center"/>
              <w:rPr>
                <w:rFonts w:ascii="Arial" w:hAnsi="Arial" w:cs="Arial"/>
                <w:sz w:val="22"/>
                <w:szCs w:val="22"/>
              </w:rPr>
            </w:pPr>
            <w:r w:rsidRPr="00CE5BA6">
              <w:rPr>
                <w:rFonts w:ascii="Arial" w:hAnsi="Arial" w:cs="Arial"/>
                <w:sz w:val="22"/>
                <w:szCs w:val="22"/>
              </w:rPr>
              <w:t>5</w:t>
            </w:r>
          </w:p>
        </w:tc>
        <w:tc>
          <w:tcPr>
            <w:tcW w:w="0" w:type="auto"/>
            <w:tcBorders>
              <w:bottom w:val="single" w:sz="4" w:space="0" w:color="auto"/>
            </w:tcBorders>
          </w:tcPr>
          <w:p w14:paraId="7FDF23C6" w14:textId="77777777" w:rsidR="003A4F29" w:rsidRPr="00CE5BA6" w:rsidRDefault="003A4F29" w:rsidP="00E30556">
            <w:pPr>
              <w:adjustRightInd w:val="0"/>
              <w:snapToGrid w:val="0"/>
              <w:contextualSpacing/>
              <w:jc w:val="center"/>
              <w:rPr>
                <w:rFonts w:ascii="Arial" w:hAnsi="Arial" w:cs="Arial"/>
                <w:sz w:val="22"/>
                <w:szCs w:val="22"/>
              </w:rPr>
            </w:pPr>
            <w:r w:rsidRPr="00CE5BA6">
              <w:rPr>
                <w:rFonts w:ascii="Arial" w:hAnsi="Arial" w:cs="Arial"/>
                <w:sz w:val="22"/>
                <w:szCs w:val="22"/>
              </w:rPr>
              <w:t>3</w:t>
            </w:r>
          </w:p>
        </w:tc>
      </w:tr>
      <w:tr w:rsidR="003A4F29" w:rsidRPr="00CE5BA6" w14:paraId="0734A45E" w14:textId="77777777" w:rsidTr="004E4AE4">
        <w:tc>
          <w:tcPr>
            <w:tcW w:w="0" w:type="auto"/>
            <w:shd w:val="clear" w:color="auto" w:fill="FBE4D5" w:themeFill="accent2" w:themeFillTint="33"/>
            <w:vAlign w:val="bottom"/>
          </w:tcPr>
          <w:p w14:paraId="0C6C4066"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Grade I</w:t>
            </w:r>
          </w:p>
        </w:tc>
        <w:tc>
          <w:tcPr>
            <w:tcW w:w="0" w:type="auto"/>
            <w:shd w:val="clear" w:color="auto" w:fill="FBE4D5" w:themeFill="accent2" w:themeFillTint="33"/>
          </w:tcPr>
          <w:p w14:paraId="2FEF42E7"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2</w:t>
            </w:r>
          </w:p>
        </w:tc>
        <w:tc>
          <w:tcPr>
            <w:tcW w:w="0" w:type="auto"/>
            <w:shd w:val="clear" w:color="auto" w:fill="FBE4D5" w:themeFill="accent2" w:themeFillTint="33"/>
          </w:tcPr>
          <w:p w14:paraId="08E65417"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0</w:t>
            </w:r>
          </w:p>
        </w:tc>
      </w:tr>
      <w:tr w:rsidR="003A4F29" w:rsidRPr="00CE5BA6" w14:paraId="6BEA3EA7" w14:textId="77777777" w:rsidTr="004E4AE4">
        <w:tc>
          <w:tcPr>
            <w:tcW w:w="0" w:type="auto"/>
            <w:shd w:val="clear" w:color="auto" w:fill="FBE4D5" w:themeFill="accent2" w:themeFillTint="33"/>
            <w:vAlign w:val="bottom"/>
          </w:tcPr>
          <w:p w14:paraId="09924B7F"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Grade II</w:t>
            </w:r>
          </w:p>
        </w:tc>
        <w:tc>
          <w:tcPr>
            <w:tcW w:w="0" w:type="auto"/>
            <w:shd w:val="clear" w:color="auto" w:fill="FBE4D5" w:themeFill="accent2" w:themeFillTint="33"/>
          </w:tcPr>
          <w:p w14:paraId="4C66F418"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3</w:t>
            </w:r>
            <w:r w:rsidRPr="005572F9">
              <w:rPr>
                <w:rFonts w:ascii="Arial" w:hAnsi="Arial" w:cs="Arial"/>
                <w:sz w:val="18"/>
                <w:szCs w:val="18"/>
                <w:vertAlign w:val="superscript"/>
              </w:rPr>
              <w:t>1</w:t>
            </w:r>
          </w:p>
        </w:tc>
        <w:tc>
          <w:tcPr>
            <w:tcW w:w="0" w:type="auto"/>
            <w:shd w:val="clear" w:color="auto" w:fill="FBE4D5" w:themeFill="accent2" w:themeFillTint="33"/>
          </w:tcPr>
          <w:p w14:paraId="24AF15F6"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3</w:t>
            </w:r>
          </w:p>
        </w:tc>
      </w:tr>
      <w:tr w:rsidR="003A4F29" w:rsidRPr="00CE5BA6" w14:paraId="374B2E08" w14:textId="77777777" w:rsidTr="004E4AE4">
        <w:tc>
          <w:tcPr>
            <w:tcW w:w="0" w:type="auto"/>
            <w:shd w:val="clear" w:color="auto" w:fill="FBE4D5" w:themeFill="accent2" w:themeFillTint="33"/>
            <w:vAlign w:val="bottom"/>
          </w:tcPr>
          <w:p w14:paraId="14728707"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Grade III</w:t>
            </w:r>
          </w:p>
        </w:tc>
        <w:tc>
          <w:tcPr>
            <w:tcW w:w="0" w:type="auto"/>
            <w:shd w:val="clear" w:color="auto" w:fill="FBE4D5" w:themeFill="accent2" w:themeFillTint="33"/>
          </w:tcPr>
          <w:p w14:paraId="08B2E2D9"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0</w:t>
            </w:r>
          </w:p>
        </w:tc>
        <w:tc>
          <w:tcPr>
            <w:tcW w:w="0" w:type="auto"/>
            <w:shd w:val="clear" w:color="auto" w:fill="FBE4D5" w:themeFill="accent2" w:themeFillTint="33"/>
          </w:tcPr>
          <w:p w14:paraId="51B5675D" w14:textId="77777777" w:rsidR="003A4F29" w:rsidRPr="00CE5BA6" w:rsidRDefault="003A4F29" w:rsidP="00E30556">
            <w:pPr>
              <w:adjustRightInd w:val="0"/>
              <w:snapToGrid w:val="0"/>
              <w:contextualSpacing/>
              <w:jc w:val="right"/>
              <w:rPr>
                <w:rFonts w:ascii="Arial" w:hAnsi="Arial" w:cs="Arial"/>
                <w:sz w:val="18"/>
                <w:szCs w:val="18"/>
              </w:rPr>
            </w:pPr>
            <w:r w:rsidRPr="00CE5BA6">
              <w:rPr>
                <w:rFonts w:ascii="Arial" w:hAnsi="Arial" w:cs="Arial"/>
                <w:sz w:val="18"/>
                <w:szCs w:val="18"/>
              </w:rPr>
              <w:t>0</w:t>
            </w:r>
          </w:p>
        </w:tc>
      </w:tr>
      <w:tr w:rsidR="003A4F29" w:rsidRPr="00CE5BA6" w14:paraId="239C9CDA" w14:textId="77777777" w:rsidTr="004E4AE4">
        <w:tc>
          <w:tcPr>
            <w:tcW w:w="0" w:type="auto"/>
            <w:vAlign w:val="bottom"/>
          </w:tcPr>
          <w:p w14:paraId="5A31BB2D" w14:textId="77777777" w:rsidR="003A4F29" w:rsidRPr="00CE5BA6" w:rsidRDefault="003A4F29" w:rsidP="00E30556">
            <w:pPr>
              <w:adjustRightInd w:val="0"/>
              <w:snapToGrid w:val="0"/>
              <w:contextualSpacing/>
              <w:rPr>
                <w:rFonts w:ascii="Arial" w:hAnsi="Arial" w:cs="Arial"/>
                <w:sz w:val="22"/>
                <w:szCs w:val="22"/>
              </w:rPr>
            </w:pPr>
            <w:r w:rsidRPr="00CE5BA6">
              <w:rPr>
                <w:rFonts w:ascii="Arial" w:hAnsi="Arial" w:cs="Arial"/>
                <w:sz w:val="22"/>
                <w:szCs w:val="22"/>
              </w:rPr>
              <w:t>Cat</w:t>
            </w:r>
            <w:r>
              <w:rPr>
                <w:rFonts w:ascii="Arial" w:hAnsi="Arial" w:cs="Arial"/>
                <w:sz w:val="22"/>
                <w:szCs w:val="22"/>
              </w:rPr>
              <w:t>egory</w:t>
            </w:r>
            <w:r w:rsidRPr="00CE5BA6">
              <w:rPr>
                <w:rFonts w:ascii="Arial" w:hAnsi="Arial" w:cs="Arial"/>
                <w:sz w:val="22"/>
                <w:szCs w:val="22"/>
              </w:rPr>
              <w:t xml:space="preserve"> 6 </w:t>
            </w:r>
          </w:p>
        </w:tc>
        <w:tc>
          <w:tcPr>
            <w:tcW w:w="0" w:type="auto"/>
          </w:tcPr>
          <w:p w14:paraId="40E6981F" w14:textId="77777777" w:rsidR="003A4F29" w:rsidRPr="00CE5BA6" w:rsidRDefault="003A4F29" w:rsidP="00E30556">
            <w:pPr>
              <w:adjustRightInd w:val="0"/>
              <w:snapToGrid w:val="0"/>
              <w:contextualSpacing/>
              <w:jc w:val="center"/>
              <w:rPr>
                <w:rFonts w:ascii="Arial" w:hAnsi="Arial" w:cs="Arial"/>
                <w:sz w:val="22"/>
                <w:szCs w:val="22"/>
              </w:rPr>
            </w:pPr>
            <w:r>
              <w:rPr>
                <w:rFonts w:ascii="Arial" w:hAnsi="Arial" w:cs="Arial"/>
                <w:sz w:val="22"/>
                <w:szCs w:val="22"/>
              </w:rPr>
              <w:t>5</w:t>
            </w:r>
            <w:r w:rsidRPr="00CE5BA6">
              <w:rPr>
                <w:rFonts w:ascii="Arial" w:hAnsi="Arial" w:cs="Arial"/>
                <w:sz w:val="22"/>
                <w:szCs w:val="22"/>
              </w:rPr>
              <w:t>*</w:t>
            </w:r>
          </w:p>
        </w:tc>
        <w:tc>
          <w:tcPr>
            <w:tcW w:w="0" w:type="auto"/>
          </w:tcPr>
          <w:p w14:paraId="6966B0E1" w14:textId="77777777" w:rsidR="003A4F29" w:rsidRPr="00CE5BA6" w:rsidRDefault="003A4F29" w:rsidP="00E30556">
            <w:pPr>
              <w:adjustRightInd w:val="0"/>
              <w:snapToGrid w:val="0"/>
              <w:contextualSpacing/>
              <w:jc w:val="center"/>
              <w:rPr>
                <w:rFonts w:ascii="Arial" w:hAnsi="Arial" w:cs="Arial"/>
                <w:sz w:val="22"/>
                <w:szCs w:val="22"/>
              </w:rPr>
            </w:pPr>
            <w:r>
              <w:rPr>
                <w:rFonts w:ascii="Arial" w:hAnsi="Arial" w:cs="Arial"/>
                <w:sz w:val="22"/>
                <w:szCs w:val="22"/>
              </w:rPr>
              <w:t>6</w:t>
            </w:r>
            <w:r w:rsidRPr="00CE5BA6">
              <w:rPr>
                <w:rFonts w:ascii="Arial" w:hAnsi="Arial" w:cs="Arial"/>
                <w:sz w:val="22"/>
                <w:szCs w:val="22"/>
              </w:rPr>
              <w:t>†</w:t>
            </w:r>
          </w:p>
        </w:tc>
      </w:tr>
      <w:tr w:rsidR="003A4F29" w:rsidRPr="00CE5BA6" w14:paraId="746EDED6" w14:textId="77777777" w:rsidTr="004E4AE4">
        <w:tc>
          <w:tcPr>
            <w:tcW w:w="0" w:type="auto"/>
            <w:vAlign w:val="bottom"/>
          </w:tcPr>
          <w:p w14:paraId="4A3A2D5D" w14:textId="77777777" w:rsidR="003A4F29" w:rsidRPr="00CE5BA6" w:rsidRDefault="003A4F29" w:rsidP="00E30556">
            <w:pPr>
              <w:adjustRightInd w:val="0"/>
              <w:snapToGrid w:val="0"/>
              <w:contextualSpacing/>
              <w:rPr>
                <w:rFonts w:ascii="Arial" w:hAnsi="Arial" w:cs="Arial"/>
                <w:sz w:val="22"/>
                <w:szCs w:val="22"/>
              </w:rPr>
            </w:pPr>
            <w:r w:rsidRPr="00CE5BA6">
              <w:rPr>
                <w:rFonts w:ascii="Arial" w:hAnsi="Arial" w:cs="Arial"/>
                <w:sz w:val="22"/>
                <w:szCs w:val="22"/>
              </w:rPr>
              <w:t>Insufficient</w:t>
            </w:r>
            <w:r>
              <w:rPr>
                <w:rFonts w:ascii="Arial" w:hAnsi="Arial" w:cs="Arial"/>
                <w:sz w:val="22"/>
                <w:szCs w:val="22"/>
              </w:rPr>
              <w:t xml:space="preserve"> sample</w:t>
            </w:r>
          </w:p>
        </w:tc>
        <w:tc>
          <w:tcPr>
            <w:tcW w:w="0" w:type="auto"/>
          </w:tcPr>
          <w:p w14:paraId="34EB1E48" w14:textId="77777777" w:rsidR="003A4F29" w:rsidRPr="00CE5BA6" w:rsidRDefault="003A4F29" w:rsidP="00E30556">
            <w:pPr>
              <w:adjustRightInd w:val="0"/>
              <w:snapToGrid w:val="0"/>
              <w:contextualSpacing/>
              <w:jc w:val="center"/>
              <w:rPr>
                <w:rFonts w:ascii="Arial" w:hAnsi="Arial" w:cs="Arial"/>
                <w:sz w:val="22"/>
                <w:szCs w:val="22"/>
              </w:rPr>
            </w:pPr>
            <w:r w:rsidRPr="00CE5BA6">
              <w:rPr>
                <w:rFonts w:ascii="Arial" w:hAnsi="Arial" w:cs="Arial"/>
                <w:sz w:val="22"/>
                <w:szCs w:val="22"/>
              </w:rPr>
              <w:t>2</w:t>
            </w:r>
          </w:p>
        </w:tc>
        <w:tc>
          <w:tcPr>
            <w:tcW w:w="0" w:type="auto"/>
          </w:tcPr>
          <w:p w14:paraId="3AF56D4C" w14:textId="77777777" w:rsidR="003A4F29" w:rsidRPr="00CE5BA6" w:rsidRDefault="003A4F29" w:rsidP="00E30556">
            <w:pPr>
              <w:adjustRightInd w:val="0"/>
              <w:snapToGrid w:val="0"/>
              <w:contextualSpacing/>
              <w:jc w:val="center"/>
              <w:rPr>
                <w:rFonts w:ascii="Arial" w:hAnsi="Arial" w:cs="Arial"/>
                <w:sz w:val="22"/>
                <w:szCs w:val="22"/>
              </w:rPr>
            </w:pPr>
            <w:r w:rsidRPr="00CE5BA6">
              <w:rPr>
                <w:rFonts w:ascii="Arial" w:hAnsi="Arial" w:cs="Arial"/>
                <w:sz w:val="22"/>
                <w:szCs w:val="22"/>
              </w:rPr>
              <w:t>0</w:t>
            </w:r>
          </w:p>
        </w:tc>
      </w:tr>
      <w:tr w:rsidR="003A4F29" w:rsidRPr="00CE5BA6" w14:paraId="59E4B4B1" w14:textId="77777777" w:rsidTr="004E4AE4">
        <w:tc>
          <w:tcPr>
            <w:tcW w:w="0" w:type="auto"/>
            <w:vAlign w:val="bottom"/>
          </w:tcPr>
          <w:p w14:paraId="5C67BCF7" w14:textId="77777777" w:rsidR="003A4F29" w:rsidRPr="00CE5BA6" w:rsidRDefault="003A4F29" w:rsidP="00E30556">
            <w:pPr>
              <w:adjustRightInd w:val="0"/>
              <w:snapToGrid w:val="0"/>
              <w:contextualSpacing/>
              <w:rPr>
                <w:rFonts w:ascii="Arial" w:hAnsi="Arial" w:cs="Arial"/>
                <w:sz w:val="22"/>
                <w:szCs w:val="22"/>
              </w:rPr>
            </w:pPr>
            <w:r w:rsidRPr="00CE5BA6">
              <w:rPr>
                <w:rFonts w:ascii="Arial" w:hAnsi="Arial" w:cs="Arial"/>
                <w:sz w:val="22"/>
                <w:szCs w:val="22"/>
              </w:rPr>
              <w:t>Totals</w:t>
            </w:r>
          </w:p>
        </w:tc>
        <w:tc>
          <w:tcPr>
            <w:tcW w:w="0" w:type="auto"/>
          </w:tcPr>
          <w:p w14:paraId="12C92813" w14:textId="77777777" w:rsidR="003A4F29" w:rsidRPr="00CE5BA6" w:rsidRDefault="003A4F29" w:rsidP="00E30556">
            <w:pPr>
              <w:adjustRightInd w:val="0"/>
              <w:snapToGrid w:val="0"/>
              <w:contextualSpacing/>
              <w:jc w:val="center"/>
              <w:rPr>
                <w:rFonts w:ascii="Arial" w:hAnsi="Arial" w:cs="Arial"/>
                <w:sz w:val="22"/>
                <w:szCs w:val="22"/>
              </w:rPr>
            </w:pPr>
            <w:r w:rsidRPr="00CE5BA6">
              <w:rPr>
                <w:rFonts w:ascii="Arial" w:hAnsi="Arial" w:cs="Arial"/>
                <w:sz w:val="22"/>
                <w:szCs w:val="22"/>
              </w:rPr>
              <w:t>2</w:t>
            </w:r>
            <w:r>
              <w:rPr>
                <w:rFonts w:ascii="Arial" w:hAnsi="Arial" w:cs="Arial"/>
                <w:sz w:val="22"/>
                <w:szCs w:val="22"/>
              </w:rPr>
              <w:t>1</w:t>
            </w:r>
          </w:p>
        </w:tc>
        <w:tc>
          <w:tcPr>
            <w:tcW w:w="0" w:type="auto"/>
          </w:tcPr>
          <w:p w14:paraId="4A131A4C" w14:textId="77777777" w:rsidR="003A4F29" w:rsidRPr="00CE5BA6" w:rsidRDefault="003A4F29" w:rsidP="00E30556">
            <w:pPr>
              <w:adjustRightInd w:val="0"/>
              <w:snapToGrid w:val="0"/>
              <w:contextualSpacing/>
              <w:jc w:val="center"/>
              <w:rPr>
                <w:rFonts w:ascii="Arial" w:hAnsi="Arial" w:cs="Arial"/>
                <w:sz w:val="22"/>
                <w:szCs w:val="22"/>
              </w:rPr>
            </w:pPr>
            <w:r w:rsidRPr="00CE5BA6">
              <w:rPr>
                <w:rFonts w:ascii="Arial" w:hAnsi="Arial" w:cs="Arial"/>
                <w:sz w:val="22"/>
                <w:szCs w:val="22"/>
              </w:rPr>
              <w:t>2</w:t>
            </w:r>
            <w:r>
              <w:rPr>
                <w:rFonts w:ascii="Arial" w:hAnsi="Arial" w:cs="Arial"/>
                <w:sz w:val="22"/>
                <w:szCs w:val="22"/>
              </w:rPr>
              <w:t>2</w:t>
            </w:r>
          </w:p>
        </w:tc>
      </w:tr>
    </w:tbl>
    <w:p w14:paraId="35F4D766" w14:textId="77777777" w:rsidR="003A4F29" w:rsidRDefault="003A4F29" w:rsidP="00E30556">
      <w:pPr>
        <w:adjustRightInd w:val="0"/>
        <w:snapToGrid w:val="0"/>
        <w:spacing w:line="240" w:lineRule="auto"/>
        <w:contextualSpacing/>
        <w:rPr>
          <w:rFonts w:ascii="Arial" w:hAnsi="Arial" w:cs="Arial"/>
        </w:rPr>
      </w:pPr>
    </w:p>
    <w:p w14:paraId="0CF82984" w14:textId="77777777" w:rsidR="003A4F29" w:rsidRDefault="003A4F29" w:rsidP="00E30556">
      <w:pPr>
        <w:adjustRightInd w:val="0"/>
        <w:snapToGrid w:val="0"/>
        <w:spacing w:line="240" w:lineRule="auto"/>
        <w:contextualSpacing/>
        <w:rPr>
          <w:rFonts w:ascii="Arial" w:hAnsi="Arial" w:cs="Arial"/>
        </w:rPr>
      </w:pPr>
      <w:r>
        <w:rPr>
          <w:rFonts w:ascii="Arial" w:hAnsi="Arial" w:cs="Arial"/>
        </w:rPr>
        <w:t>Definitions: ABMR antibody mediated rejection; TCMR T cell mediated rejection; IFTA interstitial fibrosis with tubular atrophy.</w:t>
      </w:r>
    </w:p>
    <w:p w14:paraId="275D6F0B" w14:textId="77777777" w:rsidR="003A4F29" w:rsidRDefault="003A4F29" w:rsidP="00E30556">
      <w:pPr>
        <w:adjustRightInd w:val="0"/>
        <w:snapToGrid w:val="0"/>
        <w:spacing w:line="240" w:lineRule="auto"/>
        <w:contextualSpacing/>
        <w:rPr>
          <w:rFonts w:ascii="Arial" w:hAnsi="Arial" w:cs="Arial"/>
        </w:rPr>
      </w:pPr>
    </w:p>
    <w:p w14:paraId="4679B46A" w14:textId="77777777" w:rsidR="003A4F29" w:rsidRDefault="003A4F29" w:rsidP="00E30556">
      <w:pPr>
        <w:adjustRightInd w:val="0"/>
        <w:snapToGrid w:val="0"/>
        <w:spacing w:line="240" w:lineRule="auto"/>
        <w:contextualSpacing/>
        <w:rPr>
          <w:rFonts w:ascii="Arial" w:hAnsi="Arial" w:cs="Arial"/>
        </w:rPr>
      </w:pPr>
      <w:r>
        <w:rPr>
          <w:rFonts w:ascii="Arial" w:hAnsi="Arial" w:cs="Arial"/>
        </w:rPr>
        <w:t xml:space="preserve">Table shows only the findings of biopsies performed after patients were allocated to either of the two 2 DSA+ groups.  If patients were originally allocated to the HLA-Ab-negative groups, and had a biopsy prior to DSA development, these are not included in the above table. </w:t>
      </w:r>
    </w:p>
    <w:p w14:paraId="460B21EC" w14:textId="77777777" w:rsidR="003A4F29" w:rsidRDefault="003A4F29" w:rsidP="00E30556">
      <w:pPr>
        <w:adjustRightInd w:val="0"/>
        <w:snapToGrid w:val="0"/>
        <w:spacing w:line="240" w:lineRule="auto"/>
        <w:contextualSpacing/>
        <w:rPr>
          <w:rFonts w:ascii="Arial" w:hAnsi="Arial" w:cs="Arial"/>
        </w:rPr>
      </w:pPr>
    </w:p>
    <w:p w14:paraId="3421254A" w14:textId="77777777" w:rsidR="003A4F29" w:rsidRDefault="003A4F29" w:rsidP="00E30556">
      <w:pPr>
        <w:adjustRightInd w:val="0"/>
        <w:snapToGrid w:val="0"/>
        <w:spacing w:line="240" w:lineRule="auto"/>
        <w:contextualSpacing/>
        <w:rPr>
          <w:rFonts w:ascii="Arial" w:hAnsi="Arial" w:cs="Arial"/>
        </w:rPr>
      </w:pPr>
      <w:r>
        <w:rPr>
          <w:rFonts w:ascii="Arial" w:hAnsi="Arial" w:cs="Arial"/>
        </w:rPr>
        <w:t xml:space="preserve">4 DSA + patients in unblinded BLC group were diagnosed with rejection on biopsy. NB </w:t>
      </w:r>
      <w:r w:rsidRPr="00710FE2">
        <w:rPr>
          <w:rFonts w:ascii="Arial" w:hAnsi="Arial" w:cs="Arial"/>
          <w:vertAlign w:val="superscript"/>
        </w:rPr>
        <w:t>1</w:t>
      </w:r>
      <w:r>
        <w:rPr>
          <w:rFonts w:ascii="Arial" w:hAnsi="Arial" w:cs="Arial"/>
        </w:rPr>
        <w:t>Is a single patient with mixed ABMR subtype 3 and TCMR subtype III (plus IFTA grade II) in same biopsy.</w:t>
      </w:r>
    </w:p>
    <w:p w14:paraId="76A05774" w14:textId="69879A78" w:rsidR="003A4F29" w:rsidRDefault="000206FB" w:rsidP="00E30556">
      <w:pPr>
        <w:adjustRightInd w:val="0"/>
        <w:snapToGrid w:val="0"/>
        <w:spacing w:line="240" w:lineRule="auto"/>
        <w:contextualSpacing/>
        <w:rPr>
          <w:rFonts w:ascii="Arial" w:hAnsi="Arial" w:cs="Arial"/>
        </w:rPr>
      </w:pPr>
      <w:r>
        <w:rPr>
          <w:rFonts w:ascii="Arial" w:hAnsi="Arial" w:cs="Arial"/>
        </w:rPr>
        <w:t>9</w:t>
      </w:r>
      <w:r w:rsidR="003A4F29">
        <w:rPr>
          <w:rFonts w:ascii="Arial" w:hAnsi="Arial" w:cs="Arial"/>
        </w:rPr>
        <w:t xml:space="preserve"> DSA+ patients in blinded group were diagnosed with rejection on biopsy.  NB </w:t>
      </w:r>
      <w:r w:rsidR="003A4F29" w:rsidRPr="000E317E">
        <w:rPr>
          <w:rFonts w:ascii="Arial" w:hAnsi="Arial" w:cs="Arial"/>
          <w:vertAlign w:val="superscript"/>
        </w:rPr>
        <w:t>2</w:t>
      </w:r>
      <w:r w:rsidR="003A4F29">
        <w:rPr>
          <w:rFonts w:ascii="Arial" w:hAnsi="Arial" w:cs="Arial"/>
        </w:rPr>
        <w:t xml:space="preserve"> is a single patient with mixed TCMR subtype IA and chronic ABMR in same biopsy.</w:t>
      </w:r>
    </w:p>
    <w:p w14:paraId="643F312E" w14:textId="77777777" w:rsidR="003A4F29" w:rsidRPr="00CE5BA6" w:rsidRDefault="003A4F29" w:rsidP="00E30556">
      <w:pPr>
        <w:adjustRightInd w:val="0"/>
        <w:snapToGrid w:val="0"/>
        <w:spacing w:line="240" w:lineRule="auto"/>
        <w:contextualSpacing/>
        <w:rPr>
          <w:rFonts w:ascii="Arial" w:hAnsi="Arial" w:cs="Arial"/>
        </w:rPr>
      </w:pPr>
    </w:p>
    <w:p w14:paraId="674EA04E" w14:textId="77777777" w:rsidR="003A4F29" w:rsidRPr="00CE5BA6" w:rsidRDefault="003A4F29" w:rsidP="00E30556">
      <w:pPr>
        <w:adjustRightInd w:val="0"/>
        <w:snapToGrid w:val="0"/>
        <w:spacing w:line="240" w:lineRule="auto"/>
        <w:contextualSpacing/>
        <w:rPr>
          <w:rFonts w:ascii="Arial" w:hAnsi="Arial" w:cs="Arial"/>
        </w:rPr>
      </w:pPr>
      <w:r w:rsidRPr="00CE5BA6">
        <w:rPr>
          <w:rFonts w:ascii="Arial" w:hAnsi="Arial" w:cs="Arial"/>
        </w:rPr>
        <w:t>Category 6 diagnoses recorded</w:t>
      </w:r>
    </w:p>
    <w:p w14:paraId="4E68BC75" w14:textId="77777777" w:rsidR="003A4F29" w:rsidRPr="00CE5BA6" w:rsidRDefault="003A4F29" w:rsidP="00E30556">
      <w:pPr>
        <w:adjustRightInd w:val="0"/>
        <w:snapToGrid w:val="0"/>
        <w:spacing w:line="240" w:lineRule="auto"/>
        <w:contextualSpacing/>
        <w:rPr>
          <w:rFonts w:ascii="Arial" w:hAnsi="Arial" w:cs="Arial"/>
        </w:rPr>
      </w:pPr>
      <w:r w:rsidRPr="00CE5BA6">
        <w:rPr>
          <w:rFonts w:ascii="Arial" w:hAnsi="Arial" w:cs="Arial"/>
        </w:rPr>
        <w:t>*Recurrent IgA, chronic ischaemia, diabetic change, not recorded x</w:t>
      </w:r>
      <w:r>
        <w:rPr>
          <w:rFonts w:ascii="Arial" w:hAnsi="Arial" w:cs="Arial"/>
        </w:rPr>
        <w:t>2</w:t>
      </w:r>
    </w:p>
    <w:p w14:paraId="2312B277" w14:textId="77777777" w:rsidR="003A4F29" w:rsidRPr="00CE5BA6" w:rsidRDefault="003A4F29" w:rsidP="00E30556">
      <w:pPr>
        <w:tabs>
          <w:tab w:val="left" w:pos="2010"/>
        </w:tabs>
        <w:adjustRightInd w:val="0"/>
        <w:snapToGrid w:val="0"/>
        <w:spacing w:line="240" w:lineRule="auto"/>
        <w:contextualSpacing/>
        <w:rPr>
          <w:rFonts w:ascii="Arial" w:hAnsi="Arial" w:cs="Arial"/>
        </w:rPr>
      </w:pPr>
      <w:r w:rsidRPr="00CE5BA6">
        <w:rPr>
          <w:rFonts w:ascii="Arial" w:hAnsi="Arial" w:cs="Arial"/>
        </w:rPr>
        <w:t>† Chronic TIN, membranous nephropathy, acute tubular injury, not recorded x</w:t>
      </w:r>
      <w:r>
        <w:rPr>
          <w:rFonts w:ascii="Arial" w:hAnsi="Arial" w:cs="Arial"/>
        </w:rPr>
        <w:t>3</w:t>
      </w:r>
      <w:r w:rsidRPr="00CE5BA6">
        <w:rPr>
          <w:rFonts w:ascii="Arial" w:hAnsi="Arial" w:cs="Arial"/>
        </w:rPr>
        <w:t>,</w:t>
      </w:r>
    </w:p>
    <w:p w14:paraId="1F555088" w14:textId="26FF27F5" w:rsidR="003A4F29" w:rsidRDefault="003A4F29" w:rsidP="00E30556">
      <w:pPr>
        <w:adjustRightInd w:val="0"/>
        <w:snapToGrid w:val="0"/>
        <w:spacing w:line="240" w:lineRule="auto"/>
        <w:contextualSpacing/>
        <w:rPr>
          <w:rFonts w:ascii="Arial" w:hAnsi="Arial" w:cs="Arial"/>
        </w:rPr>
      </w:pPr>
    </w:p>
    <w:p w14:paraId="6B4A71F7" w14:textId="77777777" w:rsidR="003A4F29" w:rsidRPr="00426F39" w:rsidRDefault="003A4F29" w:rsidP="00426F39">
      <w:pPr>
        <w:spacing w:after="0" w:line="240" w:lineRule="auto"/>
        <w:rPr>
          <w:rFonts w:ascii="Arial" w:hAnsi="Arial" w:cs="Arial"/>
          <w:sz w:val="24"/>
          <w:szCs w:val="24"/>
        </w:rPr>
      </w:pPr>
    </w:p>
    <w:p w14:paraId="312F7A8E" w14:textId="77777777" w:rsidR="00E268AF" w:rsidRDefault="00E268AF">
      <w:pPr>
        <w:sectPr w:rsidR="00E268AF" w:rsidSect="000E1E32">
          <w:pgSz w:w="11906" w:h="16838"/>
          <w:pgMar w:top="1440" w:right="1134" w:bottom="1440" w:left="1134" w:header="709" w:footer="709" w:gutter="0"/>
          <w:cols w:space="708"/>
          <w:docGrid w:linePitch="360"/>
        </w:sectPr>
      </w:pPr>
      <w:r>
        <w:br w:type="page"/>
      </w:r>
    </w:p>
    <w:p w14:paraId="68686FF5" w14:textId="65E014F5" w:rsidR="00141060" w:rsidRPr="00344C05" w:rsidRDefault="00141060" w:rsidP="00A95698">
      <w:pPr>
        <w:pStyle w:val="Heading2"/>
        <w:rPr>
          <w:rFonts w:ascii="Arial" w:hAnsi="Arial" w:cs="Arial"/>
          <w:sz w:val="24"/>
          <w:szCs w:val="24"/>
          <w:u w:val="single"/>
        </w:rPr>
      </w:pPr>
    </w:p>
    <w:p w14:paraId="5A42488B" w14:textId="230502D7" w:rsidR="00823F35" w:rsidRDefault="00344C05" w:rsidP="00505F1C">
      <w:pPr>
        <w:pStyle w:val="Caption"/>
        <w:keepNext/>
        <w:outlineLvl w:val="2"/>
        <w:rPr>
          <w:rFonts w:ascii="Arial" w:hAnsi="Arial" w:cs="Arial"/>
          <w:i w:val="0"/>
          <w:iCs w:val="0"/>
          <w:sz w:val="24"/>
          <w:szCs w:val="20"/>
          <w:u w:val="single"/>
        </w:rPr>
      </w:pPr>
      <w:bookmarkStart w:id="25" w:name="_Toc121909732"/>
      <w:r w:rsidRPr="00344C05">
        <w:rPr>
          <w:rFonts w:ascii="Arial" w:hAnsi="Arial" w:cs="Arial"/>
          <w:i w:val="0"/>
          <w:iCs w:val="0"/>
          <w:sz w:val="24"/>
          <w:szCs w:val="20"/>
          <w:u w:val="single"/>
        </w:rPr>
        <w:t xml:space="preserve">Supplementary table </w:t>
      </w:r>
      <w:r w:rsidR="00364D21">
        <w:rPr>
          <w:rFonts w:ascii="Arial" w:hAnsi="Arial" w:cs="Arial"/>
          <w:i w:val="0"/>
          <w:iCs w:val="0"/>
          <w:sz w:val="24"/>
          <w:szCs w:val="20"/>
          <w:u w:val="single"/>
        </w:rPr>
        <w:t>5</w:t>
      </w:r>
      <w:r w:rsidRPr="00344C05">
        <w:rPr>
          <w:rFonts w:ascii="Arial" w:hAnsi="Arial" w:cs="Arial"/>
          <w:i w:val="0"/>
          <w:iCs w:val="0"/>
          <w:sz w:val="24"/>
          <w:szCs w:val="20"/>
          <w:u w:val="single"/>
        </w:rPr>
        <w:t>:</w:t>
      </w:r>
      <w:bookmarkEnd w:id="25"/>
      <w:r w:rsidRPr="00344C05">
        <w:rPr>
          <w:rFonts w:ascii="Arial" w:hAnsi="Arial" w:cs="Arial"/>
          <w:i w:val="0"/>
          <w:iCs w:val="0"/>
          <w:sz w:val="24"/>
          <w:szCs w:val="20"/>
          <w:u w:val="single"/>
        </w:rPr>
        <w:t xml:space="preserve"> </w:t>
      </w:r>
    </w:p>
    <w:p w14:paraId="6D48B56B" w14:textId="5BF828CE" w:rsidR="00344C05" w:rsidRDefault="00965903" w:rsidP="00823F35">
      <w:pPr>
        <w:pStyle w:val="Caption"/>
        <w:keepNext/>
        <w:rPr>
          <w:rFonts w:ascii="Arial" w:hAnsi="Arial" w:cs="Arial"/>
          <w:i w:val="0"/>
          <w:iCs w:val="0"/>
        </w:rPr>
      </w:pPr>
      <w:r>
        <w:rPr>
          <w:rFonts w:ascii="Arial" w:hAnsi="Arial" w:cs="Arial"/>
          <w:i w:val="0"/>
          <w:iCs w:val="0"/>
        </w:rPr>
        <w:t>Number</w:t>
      </w:r>
      <w:r w:rsidR="00344C05" w:rsidRPr="00344C05">
        <w:rPr>
          <w:rFonts w:ascii="Arial" w:hAnsi="Arial" w:cs="Arial"/>
          <w:i w:val="0"/>
          <w:iCs w:val="0"/>
        </w:rPr>
        <w:t xml:space="preserve"> (</w:t>
      </w:r>
      <w:r>
        <w:rPr>
          <w:rFonts w:ascii="Arial" w:hAnsi="Arial" w:cs="Arial"/>
          <w:i w:val="0"/>
          <w:iCs w:val="0"/>
        </w:rPr>
        <w:t>percentage</w:t>
      </w:r>
      <w:r w:rsidR="00344C05" w:rsidRPr="00344C05">
        <w:rPr>
          <w:rFonts w:ascii="Arial" w:hAnsi="Arial" w:cs="Arial"/>
          <w:i w:val="0"/>
          <w:iCs w:val="0"/>
        </w:rPr>
        <w:t>) of participants who experienced infections by type in intensive follow up period</w:t>
      </w:r>
    </w:p>
    <w:p w14:paraId="20676A6E" w14:textId="77777777" w:rsidR="006404DA" w:rsidRPr="00344C05" w:rsidRDefault="006404DA" w:rsidP="00E30556">
      <w:pPr>
        <w:adjustRightInd w:val="0"/>
        <w:snapToGrid w:val="0"/>
        <w:spacing w:line="240" w:lineRule="auto"/>
        <w:contextualSpacing/>
      </w:pPr>
    </w:p>
    <w:tbl>
      <w:tblPr>
        <w:tblStyle w:val="PlainTable4"/>
        <w:tblW w:w="14454" w:type="dxa"/>
        <w:tblBorders>
          <w:top w:val="single" w:sz="4" w:space="0" w:color="auto"/>
          <w:left w:val="single" w:sz="4" w:space="0" w:color="auto"/>
          <w:bottom w:val="single" w:sz="4" w:space="0" w:color="auto"/>
          <w:right w:val="single" w:sz="4" w:space="0" w:color="auto"/>
        </w:tblBorders>
        <w:tblLayout w:type="fixed"/>
        <w:tblLook w:val="0420" w:firstRow="1" w:lastRow="0" w:firstColumn="0" w:lastColumn="0" w:noHBand="0" w:noVBand="1"/>
      </w:tblPr>
      <w:tblGrid>
        <w:gridCol w:w="3539"/>
        <w:gridCol w:w="1701"/>
        <w:gridCol w:w="1418"/>
        <w:gridCol w:w="1559"/>
        <w:gridCol w:w="1559"/>
        <w:gridCol w:w="1559"/>
        <w:gridCol w:w="1560"/>
        <w:gridCol w:w="1559"/>
      </w:tblGrid>
      <w:tr w:rsidR="006404DA" w:rsidRPr="00913A5D" w14:paraId="73A3A1DB" w14:textId="77777777" w:rsidTr="00875A6B">
        <w:trPr>
          <w:cnfStyle w:val="100000000000" w:firstRow="1" w:lastRow="0" w:firstColumn="0" w:lastColumn="0" w:oddVBand="0" w:evenVBand="0" w:oddHBand="0" w:evenHBand="0" w:firstRowFirstColumn="0" w:firstRowLastColumn="0" w:lastRowFirstColumn="0" w:lastRowLastColumn="0"/>
          <w:trHeight w:val="20"/>
        </w:trPr>
        <w:tc>
          <w:tcPr>
            <w:tcW w:w="3539" w:type="dxa"/>
            <w:tcBorders>
              <w:top w:val="single" w:sz="4" w:space="0" w:color="auto"/>
              <w:bottom w:val="single" w:sz="4" w:space="0" w:color="auto"/>
            </w:tcBorders>
            <w:vAlign w:val="center"/>
          </w:tcPr>
          <w:p w14:paraId="3A6ACE5D" w14:textId="77777777" w:rsidR="006404DA" w:rsidRPr="00913A5D" w:rsidRDefault="006404DA" w:rsidP="00E30556">
            <w:pPr>
              <w:adjustRightInd w:val="0"/>
              <w:snapToGrid w:val="0"/>
              <w:ind w:left="100" w:right="100"/>
              <w:contextualSpacing/>
              <w:rPr>
                <w:rFonts w:ascii="Arial" w:eastAsia="Arial" w:hAnsi="Arial" w:cs="Arial"/>
                <w:color w:val="000000"/>
              </w:rPr>
            </w:pPr>
          </w:p>
        </w:tc>
        <w:tc>
          <w:tcPr>
            <w:tcW w:w="3119" w:type="dxa"/>
            <w:gridSpan w:val="2"/>
            <w:tcBorders>
              <w:top w:val="single" w:sz="4" w:space="0" w:color="auto"/>
              <w:bottom w:val="single" w:sz="4" w:space="0" w:color="auto"/>
            </w:tcBorders>
            <w:vAlign w:val="center"/>
          </w:tcPr>
          <w:p w14:paraId="2E7B8C72"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DSA+</w:t>
            </w:r>
          </w:p>
        </w:tc>
        <w:tc>
          <w:tcPr>
            <w:tcW w:w="3118" w:type="dxa"/>
            <w:gridSpan w:val="2"/>
            <w:tcBorders>
              <w:top w:val="single" w:sz="4" w:space="0" w:color="auto"/>
              <w:bottom w:val="single" w:sz="4" w:space="0" w:color="auto"/>
            </w:tcBorders>
            <w:vAlign w:val="center"/>
          </w:tcPr>
          <w:p w14:paraId="54C7AFE7"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Non-DSA+</w:t>
            </w:r>
          </w:p>
        </w:tc>
        <w:tc>
          <w:tcPr>
            <w:tcW w:w="3119" w:type="dxa"/>
            <w:gridSpan w:val="2"/>
            <w:tcBorders>
              <w:top w:val="single" w:sz="4" w:space="0" w:color="auto"/>
              <w:bottom w:val="single" w:sz="4" w:space="0" w:color="auto"/>
            </w:tcBorders>
            <w:vAlign w:val="center"/>
          </w:tcPr>
          <w:p w14:paraId="0BB41D7E"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No HLA Ab</w:t>
            </w:r>
          </w:p>
        </w:tc>
        <w:tc>
          <w:tcPr>
            <w:tcW w:w="1559" w:type="dxa"/>
            <w:tcBorders>
              <w:top w:val="single" w:sz="4" w:space="0" w:color="auto"/>
              <w:bottom w:val="single" w:sz="4" w:space="0" w:color="auto"/>
            </w:tcBorders>
            <w:vAlign w:val="center"/>
          </w:tcPr>
          <w:p w14:paraId="17DC25D2"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p>
        </w:tc>
      </w:tr>
      <w:tr w:rsidR="006404DA" w:rsidRPr="00913A5D" w14:paraId="11CEE598" w14:textId="77777777" w:rsidTr="00875A6B">
        <w:trPr>
          <w:cnfStyle w:val="000000100000" w:firstRow="0" w:lastRow="0" w:firstColumn="0" w:lastColumn="0" w:oddVBand="0" w:evenVBand="0" w:oddHBand="1" w:evenHBand="0" w:firstRowFirstColumn="0" w:firstRowLastColumn="0" w:lastRowFirstColumn="0" w:lastRowLastColumn="0"/>
          <w:trHeight w:val="20"/>
        </w:trPr>
        <w:tc>
          <w:tcPr>
            <w:tcW w:w="3539" w:type="dxa"/>
            <w:tcBorders>
              <w:top w:val="single" w:sz="4" w:space="0" w:color="auto"/>
              <w:bottom w:val="single" w:sz="4" w:space="0" w:color="auto"/>
            </w:tcBorders>
            <w:vAlign w:val="center"/>
            <w:hideMark/>
          </w:tcPr>
          <w:p w14:paraId="67855414" w14:textId="77777777" w:rsidR="006404DA" w:rsidRPr="00913A5D" w:rsidRDefault="006404DA" w:rsidP="00E30556">
            <w:pPr>
              <w:adjustRightInd w:val="0"/>
              <w:snapToGrid w:val="0"/>
              <w:ind w:left="100" w:right="100"/>
              <w:contextualSpacing/>
              <w:rPr>
                <w:rFonts w:ascii="Arial" w:hAnsi="Arial" w:cs="Arial"/>
              </w:rPr>
            </w:pPr>
            <w:r w:rsidRPr="00913A5D">
              <w:rPr>
                <w:rFonts w:ascii="Arial" w:eastAsia="Arial" w:hAnsi="Arial" w:cs="Arial"/>
                <w:color w:val="000000"/>
              </w:rPr>
              <w:t>Infections</w:t>
            </w:r>
          </w:p>
        </w:tc>
        <w:tc>
          <w:tcPr>
            <w:tcW w:w="1701" w:type="dxa"/>
            <w:tcBorders>
              <w:top w:val="single" w:sz="4" w:space="0" w:color="auto"/>
              <w:bottom w:val="single" w:sz="4" w:space="0" w:color="auto"/>
            </w:tcBorders>
            <w:vAlign w:val="center"/>
            <w:hideMark/>
          </w:tcPr>
          <w:p w14:paraId="00F7777C"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Blinded (S</w:t>
            </w:r>
            <w:r w:rsidRPr="00913A5D">
              <w:rPr>
                <w:rFonts w:ascii="Arial" w:eastAsia="Arial" w:hAnsi="Arial" w:cs="Arial"/>
                <w:color w:val="000000"/>
              </w:rPr>
              <w:t>C</w:t>
            </w:r>
            <w:r>
              <w:rPr>
                <w:rFonts w:ascii="Arial" w:eastAsia="Arial" w:hAnsi="Arial" w:cs="Arial"/>
                <w:color w:val="000000"/>
              </w:rPr>
              <w:t>)</w:t>
            </w:r>
          </w:p>
        </w:tc>
        <w:tc>
          <w:tcPr>
            <w:tcW w:w="1418" w:type="dxa"/>
            <w:tcBorders>
              <w:top w:val="single" w:sz="4" w:space="0" w:color="auto"/>
              <w:bottom w:val="single" w:sz="4" w:space="0" w:color="auto"/>
            </w:tcBorders>
            <w:vAlign w:val="center"/>
            <w:hideMark/>
          </w:tcPr>
          <w:p w14:paraId="30AF78F6"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Unblinded (BL</w:t>
            </w:r>
            <w:r w:rsidRPr="00913A5D">
              <w:rPr>
                <w:rFonts w:ascii="Arial" w:eastAsia="Arial" w:hAnsi="Arial" w:cs="Arial"/>
                <w:color w:val="000000"/>
              </w:rPr>
              <w:t>C</w:t>
            </w:r>
            <w:r>
              <w:rPr>
                <w:rFonts w:ascii="Arial" w:eastAsia="Arial" w:hAnsi="Arial" w:cs="Arial"/>
                <w:color w:val="000000"/>
              </w:rPr>
              <w:t>)</w:t>
            </w:r>
          </w:p>
        </w:tc>
        <w:tc>
          <w:tcPr>
            <w:tcW w:w="1559" w:type="dxa"/>
            <w:tcBorders>
              <w:top w:val="single" w:sz="4" w:space="0" w:color="auto"/>
              <w:bottom w:val="single" w:sz="4" w:space="0" w:color="auto"/>
            </w:tcBorders>
            <w:vAlign w:val="center"/>
            <w:hideMark/>
          </w:tcPr>
          <w:p w14:paraId="56C02F96"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Blinded (S</w:t>
            </w:r>
            <w:r w:rsidRPr="00913A5D">
              <w:rPr>
                <w:rFonts w:ascii="Arial" w:eastAsia="Arial" w:hAnsi="Arial" w:cs="Arial"/>
                <w:color w:val="000000"/>
              </w:rPr>
              <w:t>C</w:t>
            </w:r>
            <w:r>
              <w:rPr>
                <w:rFonts w:ascii="Arial" w:eastAsia="Arial" w:hAnsi="Arial" w:cs="Arial"/>
                <w:color w:val="000000"/>
              </w:rPr>
              <w:t>)</w:t>
            </w:r>
          </w:p>
        </w:tc>
        <w:tc>
          <w:tcPr>
            <w:tcW w:w="1559" w:type="dxa"/>
            <w:tcBorders>
              <w:top w:val="single" w:sz="4" w:space="0" w:color="auto"/>
              <w:bottom w:val="single" w:sz="4" w:space="0" w:color="auto"/>
            </w:tcBorders>
            <w:vAlign w:val="center"/>
            <w:hideMark/>
          </w:tcPr>
          <w:p w14:paraId="25EE7801"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Unblinded (BL</w:t>
            </w:r>
            <w:r w:rsidRPr="00913A5D">
              <w:rPr>
                <w:rFonts w:ascii="Arial" w:eastAsia="Arial" w:hAnsi="Arial" w:cs="Arial"/>
                <w:color w:val="000000"/>
              </w:rPr>
              <w:t>C</w:t>
            </w:r>
            <w:r>
              <w:rPr>
                <w:rFonts w:ascii="Arial" w:eastAsia="Arial" w:hAnsi="Arial" w:cs="Arial"/>
                <w:color w:val="000000"/>
              </w:rPr>
              <w:t>)</w:t>
            </w:r>
          </w:p>
        </w:tc>
        <w:tc>
          <w:tcPr>
            <w:tcW w:w="1559" w:type="dxa"/>
            <w:tcBorders>
              <w:top w:val="single" w:sz="4" w:space="0" w:color="auto"/>
              <w:bottom w:val="single" w:sz="4" w:space="0" w:color="auto"/>
            </w:tcBorders>
            <w:vAlign w:val="center"/>
            <w:hideMark/>
          </w:tcPr>
          <w:p w14:paraId="487E8CBD"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Blinded (SC)</w:t>
            </w:r>
          </w:p>
        </w:tc>
        <w:tc>
          <w:tcPr>
            <w:tcW w:w="1560" w:type="dxa"/>
            <w:tcBorders>
              <w:top w:val="single" w:sz="4" w:space="0" w:color="auto"/>
              <w:bottom w:val="single" w:sz="4" w:space="0" w:color="auto"/>
            </w:tcBorders>
            <w:vAlign w:val="center"/>
            <w:hideMark/>
          </w:tcPr>
          <w:p w14:paraId="39EA085A"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Unb</w:t>
            </w:r>
            <w:r w:rsidRPr="00913A5D">
              <w:rPr>
                <w:rFonts w:ascii="Arial" w:eastAsia="Arial" w:hAnsi="Arial" w:cs="Arial"/>
                <w:color w:val="000000"/>
              </w:rPr>
              <w:t>linded</w:t>
            </w:r>
            <w:r>
              <w:rPr>
                <w:rFonts w:ascii="Arial" w:eastAsia="Arial" w:hAnsi="Arial" w:cs="Arial"/>
                <w:color w:val="000000"/>
              </w:rPr>
              <w:t xml:space="preserve"> (BLC)</w:t>
            </w:r>
          </w:p>
        </w:tc>
        <w:tc>
          <w:tcPr>
            <w:tcW w:w="1559" w:type="dxa"/>
            <w:tcBorders>
              <w:top w:val="single" w:sz="4" w:space="0" w:color="auto"/>
              <w:bottom w:val="single" w:sz="4" w:space="0" w:color="auto"/>
            </w:tcBorders>
            <w:vAlign w:val="center"/>
            <w:hideMark/>
          </w:tcPr>
          <w:p w14:paraId="624F286E" w14:textId="77777777" w:rsidR="006404DA" w:rsidRPr="00913A5D" w:rsidRDefault="006404DA" w:rsidP="00E30556">
            <w:pPr>
              <w:adjustRightInd w:val="0"/>
              <w:snapToGrid w:val="0"/>
              <w:ind w:left="100" w:right="100"/>
              <w:contextualSpacing/>
              <w:jc w:val="center"/>
              <w:rPr>
                <w:rFonts w:ascii="Arial" w:hAnsi="Arial" w:cs="Arial"/>
              </w:rPr>
            </w:pPr>
            <w:r w:rsidRPr="00913A5D">
              <w:rPr>
                <w:rFonts w:ascii="Arial" w:eastAsia="Arial" w:hAnsi="Arial" w:cs="Arial"/>
                <w:color w:val="000000"/>
              </w:rPr>
              <w:t>Total</w:t>
            </w:r>
          </w:p>
        </w:tc>
      </w:tr>
      <w:tr w:rsidR="006404DA" w:rsidRPr="00913A5D" w14:paraId="408B7583" w14:textId="77777777" w:rsidTr="00875A6B">
        <w:trPr>
          <w:trHeight w:val="20"/>
        </w:trPr>
        <w:tc>
          <w:tcPr>
            <w:tcW w:w="3539" w:type="dxa"/>
            <w:tcBorders>
              <w:top w:val="single" w:sz="4" w:space="0" w:color="auto"/>
            </w:tcBorders>
            <w:vAlign w:val="center"/>
          </w:tcPr>
          <w:p w14:paraId="494AC5B2" w14:textId="77777777" w:rsidR="006404DA" w:rsidRPr="00913A5D" w:rsidRDefault="006404DA" w:rsidP="00E30556">
            <w:pPr>
              <w:adjustRightInd w:val="0"/>
              <w:snapToGrid w:val="0"/>
              <w:ind w:left="100" w:right="100"/>
              <w:contextualSpacing/>
              <w:rPr>
                <w:rFonts w:ascii="Arial" w:eastAsia="Arial" w:hAnsi="Arial" w:cs="Arial"/>
                <w:b/>
                <w:color w:val="000000"/>
              </w:rPr>
            </w:pPr>
            <w:r w:rsidRPr="00913A5D">
              <w:rPr>
                <w:rFonts w:ascii="Arial" w:eastAsia="Arial" w:hAnsi="Arial" w:cs="Arial"/>
                <w:b/>
                <w:color w:val="000000"/>
              </w:rPr>
              <w:t>All Infection types</w:t>
            </w:r>
          </w:p>
        </w:tc>
        <w:tc>
          <w:tcPr>
            <w:tcW w:w="1701" w:type="dxa"/>
            <w:tcBorders>
              <w:top w:val="single" w:sz="4" w:space="0" w:color="auto"/>
            </w:tcBorders>
            <w:vAlign w:val="center"/>
          </w:tcPr>
          <w:p w14:paraId="548F1075"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48 (</w:t>
            </w:r>
            <w:r w:rsidRPr="00913A5D">
              <w:rPr>
                <w:rFonts w:ascii="Arial" w:eastAsia="Arial" w:hAnsi="Arial" w:cs="Arial"/>
                <w:color w:val="000000"/>
              </w:rPr>
              <w:t>52%)</w:t>
            </w:r>
          </w:p>
        </w:tc>
        <w:tc>
          <w:tcPr>
            <w:tcW w:w="1418" w:type="dxa"/>
            <w:tcBorders>
              <w:top w:val="single" w:sz="4" w:space="0" w:color="auto"/>
            </w:tcBorders>
            <w:vAlign w:val="center"/>
          </w:tcPr>
          <w:p w14:paraId="0F774DB2"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65 (</w:t>
            </w:r>
            <w:r w:rsidRPr="00913A5D">
              <w:rPr>
                <w:rFonts w:ascii="Arial" w:eastAsia="Arial" w:hAnsi="Arial" w:cs="Arial"/>
                <w:color w:val="000000"/>
              </w:rPr>
              <w:t>61%)</w:t>
            </w:r>
          </w:p>
        </w:tc>
        <w:tc>
          <w:tcPr>
            <w:tcW w:w="1559" w:type="dxa"/>
            <w:tcBorders>
              <w:top w:val="single" w:sz="4" w:space="0" w:color="auto"/>
            </w:tcBorders>
            <w:vAlign w:val="center"/>
          </w:tcPr>
          <w:p w14:paraId="6EEC5C6F"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225 (</w:t>
            </w:r>
            <w:r w:rsidRPr="00913A5D">
              <w:rPr>
                <w:rFonts w:ascii="Arial" w:eastAsia="Arial" w:hAnsi="Arial" w:cs="Arial"/>
                <w:color w:val="000000"/>
              </w:rPr>
              <w:t>58%)</w:t>
            </w:r>
          </w:p>
        </w:tc>
        <w:tc>
          <w:tcPr>
            <w:tcW w:w="1559" w:type="dxa"/>
            <w:tcBorders>
              <w:top w:val="single" w:sz="4" w:space="0" w:color="auto"/>
            </w:tcBorders>
            <w:vAlign w:val="center"/>
          </w:tcPr>
          <w:p w14:paraId="7CA3060E"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260 (</w:t>
            </w:r>
            <w:r w:rsidRPr="00913A5D">
              <w:rPr>
                <w:rFonts w:ascii="Arial" w:eastAsia="Arial" w:hAnsi="Arial" w:cs="Arial"/>
                <w:color w:val="000000"/>
              </w:rPr>
              <w:t>61%)</w:t>
            </w:r>
          </w:p>
        </w:tc>
        <w:tc>
          <w:tcPr>
            <w:tcW w:w="1559" w:type="dxa"/>
            <w:tcBorders>
              <w:top w:val="single" w:sz="4" w:space="0" w:color="auto"/>
            </w:tcBorders>
            <w:vAlign w:val="center"/>
          </w:tcPr>
          <w:p w14:paraId="152C517B"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276 (</w:t>
            </w:r>
            <w:r w:rsidRPr="00913A5D">
              <w:rPr>
                <w:rFonts w:ascii="Arial" w:eastAsia="Arial" w:hAnsi="Arial" w:cs="Arial"/>
                <w:color w:val="000000"/>
              </w:rPr>
              <w:t>53%)</w:t>
            </w:r>
          </w:p>
        </w:tc>
        <w:tc>
          <w:tcPr>
            <w:tcW w:w="1560" w:type="dxa"/>
            <w:tcBorders>
              <w:top w:val="single" w:sz="4" w:space="0" w:color="auto"/>
            </w:tcBorders>
            <w:vAlign w:val="center"/>
          </w:tcPr>
          <w:p w14:paraId="603EA20A"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241 (</w:t>
            </w:r>
            <w:r w:rsidRPr="00913A5D">
              <w:rPr>
                <w:rFonts w:ascii="Arial" w:eastAsia="Arial" w:hAnsi="Arial" w:cs="Arial"/>
                <w:color w:val="000000"/>
              </w:rPr>
              <w:t>50%)</w:t>
            </w:r>
          </w:p>
        </w:tc>
        <w:tc>
          <w:tcPr>
            <w:tcW w:w="1559" w:type="dxa"/>
            <w:tcBorders>
              <w:top w:val="single" w:sz="4" w:space="0" w:color="auto"/>
            </w:tcBorders>
            <w:vAlign w:val="center"/>
          </w:tcPr>
          <w:p w14:paraId="5DDB48FA"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1115 (</w:t>
            </w:r>
            <w:r w:rsidRPr="00913A5D">
              <w:rPr>
                <w:rFonts w:ascii="Arial" w:eastAsia="Arial" w:hAnsi="Arial" w:cs="Arial"/>
                <w:color w:val="000000"/>
              </w:rPr>
              <w:t>55%)</w:t>
            </w:r>
          </w:p>
        </w:tc>
      </w:tr>
      <w:tr w:rsidR="006404DA" w:rsidRPr="00913A5D" w14:paraId="6ED5CAF8" w14:textId="77777777" w:rsidTr="00875A6B">
        <w:trPr>
          <w:cnfStyle w:val="000000100000" w:firstRow="0" w:lastRow="0" w:firstColumn="0" w:lastColumn="0" w:oddVBand="0" w:evenVBand="0" w:oddHBand="1" w:evenHBand="0" w:firstRowFirstColumn="0" w:firstRowLastColumn="0" w:lastRowFirstColumn="0" w:lastRowLastColumn="0"/>
          <w:trHeight w:val="20"/>
        </w:trPr>
        <w:tc>
          <w:tcPr>
            <w:tcW w:w="3539" w:type="dxa"/>
            <w:vAlign w:val="center"/>
          </w:tcPr>
          <w:p w14:paraId="41280280" w14:textId="77777777" w:rsidR="006404DA" w:rsidRPr="00913A5D" w:rsidRDefault="006404DA" w:rsidP="00E30556">
            <w:pPr>
              <w:adjustRightInd w:val="0"/>
              <w:snapToGrid w:val="0"/>
              <w:ind w:left="100" w:right="100"/>
              <w:contextualSpacing/>
              <w:rPr>
                <w:rFonts w:ascii="Arial" w:eastAsia="Arial" w:hAnsi="Arial" w:cs="Arial"/>
                <w:b/>
                <w:color w:val="000000"/>
              </w:rPr>
            </w:pPr>
            <w:r w:rsidRPr="00913A5D">
              <w:rPr>
                <w:rFonts w:ascii="Arial" w:eastAsia="Arial" w:hAnsi="Arial" w:cs="Arial"/>
                <w:b/>
                <w:color w:val="000000"/>
              </w:rPr>
              <w:t>All Infection types (confirmed</w:t>
            </w:r>
            <w:r>
              <w:rPr>
                <w:rFonts w:ascii="Arial" w:eastAsia="Arial" w:hAnsi="Arial" w:cs="Arial"/>
                <w:b/>
                <w:color w:val="000000"/>
              </w:rPr>
              <w:t xml:space="preserve"> by culture or PCR</w:t>
            </w:r>
            <w:r w:rsidRPr="00913A5D">
              <w:rPr>
                <w:rFonts w:ascii="Arial" w:eastAsia="Arial" w:hAnsi="Arial" w:cs="Arial"/>
                <w:b/>
                <w:color w:val="000000"/>
              </w:rPr>
              <w:t>)</w:t>
            </w:r>
          </w:p>
        </w:tc>
        <w:tc>
          <w:tcPr>
            <w:tcW w:w="1701" w:type="dxa"/>
            <w:vAlign w:val="center"/>
          </w:tcPr>
          <w:p w14:paraId="36F4AF29"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hAnsi="Arial" w:cs="Arial"/>
              </w:rPr>
              <w:t>21 (</w:t>
            </w:r>
            <w:r w:rsidRPr="00913A5D">
              <w:rPr>
                <w:rFonts w:ascii="Arial" w:hAnsi="Arial" w:cs="Arial"/>
              </w:rPr>
              <w:t>23%)</w:t>
            </w:r>
          </w:p>
        </w:tc>
        <w:tc>
          <w:tcPr>
            <w:tcW w:w="1418" w:type="dxa"/>
            <w:vAlign w:val="center"/>
          </w:tcPr>
          <w:p w14:paraId="63F07662"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hAnsi="Arial" w:cs="Arial"/>
              </w:rPr>
              <w:t>32 (</w:t>
            </w:r>
            <w:r w:rsidRPr="00913A5D">
              <w:rPr>
                <w:rFonts w:ascii="Arial" w:hAnsi="Arial" w:cs="Arial"/>
              </w:rPr>
              <w:t>30%)</w:t>
            </w:r>
          </w:p>
        </w:tc>
        <w:tc>
          <w:tcPr>
            <w:tcW w:w="1559" w:type="dxa"/>
            <w:vAlign w:val="center"/>
          </w:tcPr>
          <w:p w14:paraId="1AFA7A2D"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hAnsi="Arial" w:cs="Arial"/>
              </w:rPr>
              <w:t>95 (</w:t>
            </w:r>
            <w:r w:rsidRPr="00913A5D">
              <w:rPr>
                <w:rFonts w:ascii="Arial" w:hAnsi="Arial" w:cs="Arial"/>
              </w:rPr>
              <w:t>25%)</w:t>
            </w:r>
          </w:p>
        </w:tc>
        <w:tc>
          <w:tcPr>
            <w:tcW w:w="1559" w:type="dxa"/>
            <w:vAlign w:val="center"/>
          </w:tcPr>
          <w:p w14:paraId="162DCB65"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hAnsi="Arial" w:cs="Arial"/>
              </w:rPr>
              <w:t>109 (</w:t>
            </w:r>
            <w:r w:rsidRPr="00913A5D">
              <w:rPr>
                <w:rFonts w:ascii="Arial" w:hAnsi="Arial" w:cs="Arial"/>
              </w:rPr>
              <w:t>26%)</w:t>
            </w:r>
          </w:p>
        </w:tc>
        <w:tc>
          <w:tcPr>
            <w:tcW w:w="1559" w:type="dxa"/>
            <w:vAlign w:val="center"/>
          </w:tcPr>
          <w:p w14:paraId="75E09A42" w14:textId="01935748"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hAnsi="Arial" w:cs="Arial"/>
              </w:rPr>
              <w:t>11</w:t>
            </w:r>
            <w:r w:rsidR="00441E39">
              <w:rPr>
                <w:rFonts w:ascii="Arial" w:hAnsi="Arial" w:cs="Arial"/>
              </w:rPr>
              <w:t>5</w:t>
            </w:r>
            <w:r>
              <w:rPr>
                <w:rFonts w:ascii="Arial" w:hAnsi="Arial" w:cs="Arial"/>
              </w:rPr>
              <w:t xml:space="preserve"> (</w:t>
            </w:r>
            <w:r w:rsidRPr="00913A5D">
              <w:rPr>
                <w:rFonts w:ascii="Arial" w:hAnsi="Arial" w:cs="Arial"/>
              </w:rPr>
              <w:t>22%)</w:t>
            </w:r>
          </w:p>
        </w:tc>
        <w:tc>
          <w:tcPr>
            <w:tcW w:w="1560" w:type="dxa"/>
            <w:vAlign w:val="center"/>
          </w:tcPr>
          <w:p w14:paraId="448ADB80" w14:textId="5C39EF9E"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hAnsi="Arial" w:cs="Arial"/>
              </w:rPr>
              <w:t>10</w:t>
            </w:r>
            <w:r w:rsidR="00441E39">
              <w:rPr>
                <w:rFonts w:ascii="Arial" w:hAnsi="Arial" w:cs="Arial"/>
              </w:rPr>
              <w:t>7</w:t>
            </w:r>
            <w:r>
              <w:rPr>
                <w:rFonts w:ascii="Arial" w:hAnsi="Arial" w:cs="Arial"/>
              </w:rPr>
              <w:t xml:space="preserve"> (</w:t>
            </w:r>
            <w:r w:rsidRPr="00913A5D">
              <w:rPr>
                <w:rFonts w:ascii="Arial" w:hAnsi="Arial" w:cs="Arial"/>
              </w:rPr>
              <w:t>22%)</w:t>
            </w:r>
          </w:p>
        </w:tc>
        <w:tc>
          <w:tcPr>
            <w:tcW w:w="1559" w:type="dxa"/>
            <w:vAlign w:val="center"/>
          </w:tcPr>
          <w:p w14:paraId="1E138B5A" w14:textId="47787181"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hAnsi="Arial" w:cs="Arial"/>
              </w:rPr>
              <w:t>4</w:t>
            </w:r>
            <w:r w:rsidR="00441E39">
              <w:rPr>
                <w:rFonts w:ascii="Arial" w:hAnsi="Arial" w:cs="Arial"/>
              </w:rPr>
              <w:t>79</w:t>
            </w:r>
            <w:r>
              <w:rPr>
                <w:rFonts w:ascii="Arial" w:hAnsi="Arial" w:cs="Arial"/>
              </w:rPr>
              <w:t xml:space="preserve"> (</w:t>
            </w:r>
            <w:r w:rsidRPr="00913A5D">
              <w:rPr>
                <w:rFonts w:ascii="Arial" w:hAnsi="Arial" w:cs="Arial"/>
              </w:rPr>
              <w:t>24%)</w:t>
            </w:r>
          </w:p>
        </w:tc>
      </w:tr>
      <w:tr w:rsidR="006404DA" w:rsidRPr="00913A5D" w14:paraId="22F3FE76" w14:textId="77777777" w:rsidTr="00875A6B">
        <w:trPr>
          <w:trHeight w:val="20"/>
        </w:trPr>
        <w:tc>
          <w:tcPr>
            <w:tcW w:w="3539" w:type="dxa"/>
            <w:vAlign w:val="center"/>
            <w:hideMark/>
          </w:tcPr>
          <w:p w14:paraId="1AD86CAE" w14:textId="77777777" w:rsidR="006404DA" w:rsidRPr="00913A5D" w:rsidRDefault="006404DA" w:rsidP="00E30556">
            <w:pPr>
              <w:adjustRightInd w:val="0"/>
              <w:snapToGrid w:val="0"/>
              <w:ind w:left="100" w:right="100"/>
              <w:contextualSpacing/>
              <w:rPr>
                <w:rFonts w:ascii="Arial" w:eastAsia="Arial" w:hAnsi="Arial" w:cs="Arial"/>
                <w:b/>
                <w:color w:val="000000"/>
              </w:rPr>
            </w:pPr>
            <w:r w:rsidRPr="00913A5D">
              <w:rPr>
                <w:rFonts w:ascii="Arial" w:eastAsia="Arial" w:hAnsi="Arial" w:cs="Arial"/>
                <w:b/>
                <w:color w:val="000000"/>
              </w:rPr>
              <w:t>Viral</w:t>
            </w:r>
          </w:p>
        </w:tc>
        <w:tc>
          <w:tcPr>
            <w:tcW w:w="1701" w:type="dxa"/>
            <w:vAlign w:val="center"/>
          </w:tcPr>
          <w:p w14:paraId="7BCE07EE"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24 (</w:t>
            </w:r>
            <w:r w:rsidRPr="00913A5D">
              <w:rPr>
                <w:rFonts w:ascii="Arial" w:eastAsia="Arial" w:hAnsi="Arial" w:cs="Arial"/>
                <w:color w:val="000000"/>
              </w:rPr>
              <w:t>26%)</w:t>
            </w:r>
          </w:p>
        </w:tc>
        <w:tc>
          <w:tcPr>
            <w:tcW w:w="1418" w:type="dxa"/>
            <w:vAlign w:val="center"/>
          </w:tcPr>
          <w:p w14:paraId="2A13228F"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30 (</w:t>
            </w:r>
            <w:r w:rsidRPr="00913A5D">
              <w:rPr>
                <w:rFonts w:ascii="Arial" w:eastAsia="Arial" w:hAnsi="Arial" w:cs="Arial"/>
                <w:color w:val="000000"/>
              </w:rPr>
              <w:t>28%)</w:t>
            </w:r>
          </w:p>
        </w:tc>
        <w:tc>
          <w:tcPr>
            <w:tcW w:w="1559" w:type="dxa"/>
            <w:vAlign w:val="center"/>
          </w:tcPr>
          <w:p w14:paraId="3B218D69"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105 (</w:t>
            </w:r>
            <w:r w:rsidRPr="00913A5D">
              <w:rPr>
                <w:rFonts w:ascii="Arial" w:eastAsia="Arial" w:hAnsi="Arial" w:cs="Arial"/>
                <w:color w:val="000000"/>
              </w:rPr>
              <w:t>27%)</w:t>
            </w:r>
          </w:p>
        </w:tc>
        <w:tc>
          <w:tcPr>
            <w:tcW w:w="1559" w:type="dxa"/>
            <w:vAlign w:val="center"/>
          </w:tcPr>
          <w:p w14:paraId="113AB73C"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134 (</w:t>
            </w:r>
            <w:r w:rsidRPr="00913A5D">
              <w:rPr>
                <w:rFonts w:ascii="Arial" w:eastAsia="Arial" w:hAnsi="Arial" w:cs="Arial"/>
                <w:color w:val="000000"/>
              </w:rPr>
              <w:t>32%)</w:t>
            </w:r>
          </w:p>
        </w:tc>
        <w:tc>
          <w:tcPr>
            <w:tcW w:w="1559" w:type="dxa"/>
            <w:vAlign w:val="center"/>
          </w:tcPr>
          <w:p w14:paraId="14943438" w14:textId="2D6B3630"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12</w:t>
            </w:r>
            <w:r w:rsidR="00441E39">
              <w:rPr>
                <w:rFonts w:ascii="Arial" w:eastAsia="Arial" w:hAnsi="Arial" w:cs="Arial"/>
                <w:color w:val="000000"/>
              </w:rPr>
              <w:t>0</w:t>
            </w:r>
            <w:r>
              <w:rPr>
                <w:rFonts w:ascii="Arial" w:eastAsia="Arial" w:hAnsi="Arial" w:cs="Arial"/>
                <w:color w:val="000000"/>
              </w:rPr>
              <w:t xml:space="preserve"> (</w:t>
            </w:r>
            <w:r w:rsidRPr="00913A5D">
              <w:rPr>
                <w:rFonts w:ascii="Arial" w:eastAsia="Arial" w:hAnsi="Arial" w:cs="Arial"/>
                <w:color w:val="000000"/>
              </w:rPr>
              <w:t>2</w:t>
            </w:r>
            <w:r w:rsidR="00441E39">
              <w:rPr>
                <w:rFonts w:ascii="Arial" w:eastAsia="Arial" w:hAnsi="Arial" w:cs="Arial"/>
                <w:color w:val="000000"/>
              </w:rPr>
              <w:t>3</w:t>
            </w:r>
            <w:r w:rsidRPr="00913A5D">
              <w:rPr>
                <w:rFonts w:ascii="Arial" w:eastAsia="Arial" w:hAnsi="Arial" w:cs="Arial"/>
                <w:color w:val="000000"/>
              </w:rPr>
              <w:t>%)</w:t>
            </w:r>
          </w:p>
        </w:tc>
        <w:tc>
          <w:tcPr>
            <w:tcW w:w="1560" w:type="dxa"/>
            <w:vAlign w:val="center"/>
          </w:tcPr>
          <w:p w14:paraId="14A3FD65" w14:textId="69DC1D79"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9</w:t>
            </w:r>
            <w:r w:rsidR="00441E39">
              <w:rPr>
                <w:rFonts w:ascii="Arial" w:eastAsia="Arial" w:hAnsi="Arial" w:cs="Arial"/>
                <w:color w:val="000000"/>
              </w:rPr>
              <w:t>5</w:t>
            </w:r>
            <w:r>
              <w:rPr>
                <w:rFonts w:ascii="Arial" w:eastAsia="Arial" w:hAnsi="Arial" w:cs="Arial"/>
                <w:color w:val="000000"/>
              </w:rPr>
              <w:t xml:space="preserve"> (</w:t>
            </w:r>
            <w:r w:rsidRPr="00913A5D">
              <w:rPr>
                <w:rFonts w:ascii="Arial" w:eastAsia="Arial" w:hAnsi="Arial" w:cs="Arial"/>
                <w:color w:val="000000"/>
              </w:rPr>
              <w:t>20%)</w:t>
            </w:r>
          </w:p>
        </w:tc>
        <w:tc>
          <w:tcPr>
            <w:tcW w:w="1559" w:type="dxa"/>
            <w:vAlign w:val="center"/>
          </w:tcPr>
          <w:p w14:paraId="723CD63E"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512 (</w:t>
            </w:r>
            <w:r w:rsidRPr="00913A5D">
              <w:rPr>
                <w:rFonts w:ascii="Arial" w:eastAsia="Arial" w:hAnsi="Arial" w:cs="Arial"/>
                <w:color w:val="000000"/>
              </w:rPr>
              <w:t>25%)</w:t>
            </w:r>
          </w:p>
        </w:tc>
      </w:tr>
      <w:tr w:rsidR="006404DA" w:rsidRPr="00913A5D" w14:paraId="7A0C65F5" w14:textId="77777777" w:rsidTr="00875A6B">
        <w:trPr>
          <w:cnfStyle w:val="000000100000" w:firstRow="0" w:lastRow="0" w:firstColumn="0" w:lastColumn="0" w:oddVBand="0" w:evenVBand="0" w:oddHBand="1" w:evenHBand="0" w:firstRowFirstColumn="0" w:firstRowLastColumn="0" w:lastRowFirstColumn="0" w:lastRowLastColumn="0"/>
          <w:trHeight w:val="20"/>
        </w:trPr>
        <w:tc>
          <w:tcPr>
            <w:tcW w:w="3539" w:type="dxa"/>
            <w:vAlign w:val="center"/>
          </w:tcPr>
          <w:p w14:paraId="0575CB1D" w14:textId="77777777" w:rsidR="006404DA" w:rsidRPr="00913A5D" w:rsidRDefault="006404DA" w:rsidP="00E30556">
            <w:pPr>
              <w:adjustRightInd w:val="0"/>
              <w:snapToGrid w:val="0"/>
              <w:ind w:left="100" w:right="100"/>
              <w:contextualSpacing/>
              <w:rPr>
                <w:rFonts w:ascii="Arial" w:eastAsia="Arial" w:hAnsi="Arial" w:cs="Arial"/>
                <w:b/>
                <w:color w:val="000000"/>
              </w:rPr>
            </w:pPr>
            <w:r w:rsidRPr="00913A5D">
              <w:rPr>
                <w:rFonts w:ascii="Arial" w:eastAsia="Arial" w:hAnsi="Arial" w:cs="Arial"/>
                <w:b/>
                <w:color w:val="000000"/>
              </w:rPr>
              <w:t>Viral (confirmed)</w:t>
            </w:r>
          </w:p>
        </w:tc>
        <w:tc>
          <w:tcPr>
            <w:tcW w:w="1701" w:type="dxa"/>
            <w:vAlign w:val="center"/>
          </w:tcPr>
          <w:p w14:paraId="12FDCDA3"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4 (4.3%)</w:t>
            </w:r>
          </w:p>
        </w:tc>
        <w:tc>
          <w:tcPr>
            <w:tcW w:w="1418" w:type="dxa"/>
            <w:vAlign w:val="center"/>
          </w:tcPr>
          <w:p w14:paraId="2DC69F3D"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5 (4.7%)</w:t>
            </w:r>
          </w:p>
        </w:tc>
        <w:tc>
          <w:tcPr>
            <w:tcW w:w="1559" w:type="dxa"/>
            <w:vAlign w:val="center"/>
          </w:tcPr>
          <w:p w14:paraId="37D7A367"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19 (4.9%)</w:t>
            </w:r>
          </w:p>
        </w:tc>
        <w:tc>
          <w:tcPr>
            <w:tcW w:w="1559" w:type="dxa"/>
            <w:vAlign w:val="center"/>
          </w:tcPr>
          <w:p w14:paraId="66A481C1"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22 (5.2%)</w:t>
            </w:r>
          </w:p>
        </w:tc>
        <w:tc>
          <w:tcPr>
            <w:tcW w:w="1559" w:type="dxa"/>
            <w:vAlign w:val="center"/>
          </w:tcPr>
          <w:p w14:paraId="5012B310"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25 (4.8%)</w:t>
            </w:r>
          </w:p>
        </w:tc>
        <w:tc>
          <w:tcPr>
            <w:tcW w:w="1560" w:type="dxa"/>
            <w:vAlign w:val="center"/>
          </w:tcPr>
          <w:p w14:paraId="786C4081"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22 (4.5%)</w:t>
            </w:r>
          </w:p>
        </w:tc>
        <w:tc>
          <w:tcPr>
            <w:tcW w:w="1559" w:type="dxa"/>
            <w:vAlign w:val="center"/>
          </w:tcPr>
          <w:p w14:paraId="6BF390F1"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97 (4.8%)</w:t>
            </w:r>
          </w:p>
        </w:tc>
      </w:tr>
      <w:tr w:rsidR="006404DA" w:rsidRPr="00913A5D" w14:paraId="7A870530" w14:textId="77777777" w:rsidTr="00875A6B">
        <w:trPr>
          <w:trHeight w:val="20"/>
        </w:trPr>
        <w:tc>
          <w:tcPr>
            <w:tcW w:w="3539" w:type="dxa"/>
            <w:vAlign w:val="center"/>
            <w:hideMark/>
          </w:tcPr>
          <w:p w14:paraId="48B0644F" w14:textId="77777777" w:rsidR="006404DA" w:rsidRPr="00913A5D" w:rsidRDefault="006404DA" w:rsidP="00E30556">
            <w:pPr>
              <w:adjustRightInd w:val="0"/>
              <w:snapToGrid w:val="0"/>
              <w:ind w:left="100" w:right="100"/>
              <w:contextualSpacing/>
              <w:rPr>
                <w:rFonts w:ascii="Arial" w:eastAsia="Arial" w:hAnsi="Arial" w:cs="Arial"/>
                <w:color w:val="000000"/>
              </w:rPr>
            </w:pPr>
            <w:r w:rsidRPr="00913A5D">
              <w:rPr>
                <w:rFonts w:ascii="Arial" w:eastAsia="Arial" w:hAnsi="Arial" w:cs="Arial"/>
                <w:color w:val="000000"/>
              </w:rPr>
              <w:t>BK</w:t>
            </w:r>
          </w:p>
        </w:tc>
        <w:tc>
          <w:tcPr>
            <w:tcW w:w="1701" w:type="dxa"/>
            <w:vAlign w:val="center"/>
            <w:hideMark/>
          </w:tcPr>
          <w:p w14:paraId="320511BA"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0 (</w:t>
            </w:r>
            <w:r w:rsidRPr="00913A5D">
              <w:rPr>
                <w:rFonts w:ascii="Arial" w:eastAsia="Arial" w:hAnsi="Arial" w:cs="Arial"/>
                <w:color w:val="000000"/>
              </w:rPr>
              <w:t>0</w:t>
            </w:r>
            <w:r>
              <w:rPr>
                <w:rFonts w:ascii="Arial" w:eastAsia="Arial" w:hAnsi="Arial" w:cs="Arial"/>
                <w:color w:val="000000"/>
              </w:rPr>
              <w:t>.0</w:t>
            </w:r>
            <w:r w:rsidRPr="00913A5D">
              <w:rPr>
                <w:rFonts w:ascii="Arial" w:eastAsia="Arial" w:hAnsi="Arial" w:cs="Arial"/>
                <w:color w:val="000000"/>
              </w:rPr>
              <w:t>%)</w:t>
            </w:r>
          </w:p>
        </w:tc>
        <w:tc>
          <w:tcPr>
            <w:tcW w:w="1418" w:type="dxa"/>
            <w:vAlign w:val="center"/>
            <w:hideMark/>
          </w:tcPr>
          <w:p w14:paraId="0785DD0C"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0 (</w:t>
            </w:r>
            <w:r w:rsidRPr="00913A5D">
              <w:rPr>
                <w:rFonts w:ascii="Arial" w:eastAsia="Arial" w:hAnsi="Arial" w:cs="Arial"/>
                <w:color w:val="000000"/>
              </w:rPr>
              <w:t>0</w:t>
            </w:r>
            <w:r>
              <w:rPr>
                <w:rFonts w:ascii="Arial" w:eastAsia="Arial" w:hAnsi="Arial" w:cs="Arial"/>
                <w:color w:val="000000"/>
              </w:rPr>
              <w:t>.0</w:t>
            </w:r>
            <w:r w:rsidRPr="00913A5D">
              <w:rPr>
                <w:rFonts w:ascii="Arial" w:eastAsia="Arial" w:hAnsi="Arial" w:cs="Arial"/>
                <w:color w:val="000000"/>
              </w:rPr>
              <w:t>%)</w:t>
            </w:r>
          </w:p>
        </w:tc>
        <w:tc>
          <w:tcPr>
            <w:tcW w:w="1559" w:type="dxa"/>
            <w:vAlign w:val="center"/>
            <w:hideMark/>
          </w:tcPr>
          <w:p w14:paraId="357DCBFC" w14:textId="77777777" w:rsidR="006404DA" w:rsidRPr="004B392C"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 (0.3%)</w:t>
            </w:r>
          </w:p>
        </w:tc>
        <w:tc>
          <w:tcPr>
            <w:tcW w:w="1559" w:type="dxa"/>
            <w:vAlign w:val="center"/>
            <w:hideMark/>
          </w:tcPr>
          <w:p w14:paraId="360745FC"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3 (0.7%)</w:t>
            </w:r>
          </w:p>
        </w:tc>
        <w:tc>
          <w:tcPr>
            <w:tcW w:w="1559" w:type="dxa"/>
            <w:vAlign w:val="center"/>
            <w:hideMark/>
          </w:tcPr>
          <w:p w14:paraId="50149A4E"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6 (1.1%)</w:t>
            </w:r>
          </w:p>
        </w:tc>
        <w:tc>
          <w:tcPr>
            <w:tcW w:w="1560" w:type="dxa"/>
            <w:vAlign w:val="center"/>
            <w:hideMark/>
          </w:tcPr>
          <w:p w14:paraId="4170804C"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2 (0.4%)</w:t>
            </w:r>
          </w:p>
        </w:tc>
        <w:tc>
          <w:tcPr>
            <w:tcW w:w="1559" w:type="dxa"/>
            <w:vAlign w:val="center"/>
            <w:hideMark/>
          </w:tcPr>
          <w:p w14:paraId="13F6B4E9" w14:textId="77777777" w:rsidR="006404DA" w:rsidRPr="00913A5D" w:rsidRDefault="006404DA" w:rsidP="00E30556">
            <w:pPr>
              <w:adjustRightInd w:val="0"/>
              <w:snapToGrid w:val="0"/>
              <w:ind w:left="100" w:right="100"/>
              <w:contextualSpacing/>
              <w:jc w:val="center"/>
              <w:rPr>
                <w:rFonts w:ascii="Arial" w:hAnsi="Arial" w:cs="Arial"/>
              </w:rPr>
            </w:pPr>
            <w:r>
              <w:rPr>
                <w:rFonts w:ascii="Arial" w:eastAsia="Arial" w:hAnsi="Arial" w:cs="Arial"/>
                <w:color w:val="000000"/>
              </w:rPr>
              <w:t>12 (0.6%)</w:t>
            </w:r>
          </w:p>
        </w:tc>
      </w:tr>
      <w:tr w:rsidR="006404DA" w:rsidRPr="00913A5D" w14:paraId="50C60999" w14:textId="77777777" w:rsidTr="00875A6B">
        <w:trPr>
          <w:cnfStyle w:val="000000100000" w:firstRow="0" w:lastRow="0" w:firstColumn="0" w:lastColumn="0" w:oddVBand="0" w:evenVBand="0" w:oddHBand="1" w:evenHBand="0" w:firstRowFirstColumn="0" w:firstRowLastColumn="0" w:lastRowFirstColumn="0" w:lastRowLastColumn="0"/>
          <w:trHeight w:val="20"/>
        </w:trPr>
        <w:tc>
          <w:tcPr>
            <w:tcW w:w="3539" w:type="dxa"/>
            <w:vAlign w:val="center"/>
          </w:tcPr>
          <w:p w14:paraId="28DF0BA2" w14:textId="77777777" w:rsidR="006404DA" w:rsidRPr="00913A5D" w:rsidRDefault="006404DA" w:rsidP="00E30556">
            <w:pPr>
              <w:adjustRightInd w:val="0"/>
              <w:snapToGrid w:val="0"/>
              <w:ind w:left="100" w:right="100"/>
              <w:contextualSpacing/>
              <w:rPr>
                <w:rFonts w:ascii="Arial" w:eastAsia="Arial" w:hAnsi="Arial" w:cs="Arial"/>
                <w:color w:val="000000"/>
              </w:rPr>
            </w:pPr>
            <w:r w:rsidRPr="00913A5D">
              <w:rPr>
                <w:rFonts w:ascii="Arial" w:eastAsia="Arial" w:hAnsi="Arial" w:cs="Arial"/>
                <w:color w:val="000000"/>
              </w:rPr>
              <w:t>CMV</w:t>
            </w:r>
          </w:p>
        </w:tc>
        <w:tc>
          <w:tcPr>
            <w:tcW w:w="1701" w:type="dxa"/>
            <w:vAlign w:val="center"/>
          </w:tcPr>
          <w:p w14:paraId="0FCE0FCF"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2 (2.2%)</w:t>
            </w:r>
          </w:p>
        </w:tc>
        <w:tc>
          <w:tcPr>
            <w:tcW w:w="1418" w:type="dxa"/>
            <w:vAlign w:val="center"/>
          </w:tcPr>
          <w:p w14:paraId="6F413663"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3 (2.8%)</w:t>
            </w:r>
          </w:p>
        </w:tc>
        <w:tc>
          <w:tcPr>
            <w:tcW w:w="1559" w:type="dxa"/>
            <w:vAlign w:val="center"/>
          </w:tcPr>
          <w:p w14:paraId="33D06B07"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4 (1.0%)</w:t>
            </w:r>
          </w:p>
        </w:tc>
        <w:tc>
          <w:tcPr>
            <w:tcW w:w="1559" w:type="dxa"/>
            <w:vAlign w:val="center"/>
          </w:tcPr>
          <w:p w14:paraId="5DA6B725"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6 (1.4%)</w:t>
            </w:r>
          </w:p>
        </w:tc>
        <w:tc>
          <w:tcPr>
            <w:tcW w:w="1559" w:type="dxa"/>
            <w:vAlign w:val="center"/>
          </w:tcPr>
          <w:p w14:paraId="5FCCEAD8"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0 (0.0%)</w:t>
            </w:r>
          </w:p>
        </w:tc>
        <w:tc>
          <w:tcPr>
            <w:tcW w:w="1560" w:type="dxa"/>
            <w:vAlign w:val="center"/>
          </w:tcPr>
          <w:p w14:paraId="535A4998"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2 (0.4%)</w:t>
            </w:r>
          </w:p>
        </w:tc>
        <w:tc>
          <w:tcPr>
            <w:tcW w:w="1559" w:type="dxa"/>
            <w:vAlign w:val="center"/>
          </w:tcPr>
          <w:p w14:paraId="49C61FFD"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17 (0.8%)</w:t>
            </w:r>
          </w:p>
        </w:tc>
      </w:tr>
      <w:tr w:rsidR="006404DA" w:rsidRPr="00913A5D" w14:paraId="1FB1FA7E" w14:textId="77777777" w:rsidTr="00875A6B">
        <w:trPr>
          <w:trHeight w:val="20"/>
        </w:trPr>
        <w:tc>
          <w:tcPr>
            <w:tcW w:w="3539" w:type="dxa"/>
            <w:vAlign w:val="center"/>
          </w:tcPr>
          <w:p w14:paraId="586B0082" w14:textId="77777777" w:rsidR="006404DA" w:rsidRPr="00913A5D" w:rsidRDefault="006404DA" w:rsidP="00E30556">
            <w:pPr>
              <w:adjustRightInd w:val="0"/>
              <w:snapToGrid w:val="0"/>
              <w:ind w:left="100" w:right="100"/>
              <w:contextualSpacing/>
              <w:rPr>
                <w:rFonts w:ascii="Arial" w:eastAsia="Arial" w:hAnsi="Arial" w:cs="Arial"/>
                <w:color w:val="000000"/>
              </w:rPr>
            </w:pPr>
            <w:r w:rsidRPr="00913A5D">
              <w:rPr>
                <w:rFonts w:ascii="Arial" w:eastAsia="Arial" w:hAnsi="Arial" w:cs="Arial"/>
                <w:color w:val="000000"/>
              </w:rPr>
              <w:t>EBV</w:t>
            </w:r>
          </w:p>
        </w:tc>
        <w:tc>
          <w:tcPr>
            <w:tcW w:w="1701" w:type="dxa"/>
            <w:vAlign w:val="center"/>
          </w:tcPr>
          <w:p w14:paraId="1BFF5179"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 (1.1%)</w:t>
            </w:r>
          </w:p>
        </w:tc>
        <w:tc>
          <w:tcPr>
            <w:tcW w:w="1418" w:type="dxa"/>
            <w:vAlign w:val="center"/>
          </w:tcPr>
          <w:p w14:paraId="2CE5450F"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2 (1.9%)</w:t>
            </w:r>
          </w:p>
        </w:tc>
        <w:tc>
          <w:tcPr>
            <w:tcW w:w="1559" w:type="dxa"/>
            <w:vAlign w:val="center"/>
          </w:tcPr>
          <w:p w14:paraId="72970978"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4 (1.0%)</w:t>
            </w:r>
          </w:p>
        </w:tc>
        <w:tc>
          <w:tcPr>
            <w:tcW w:w="1559" w:type="dxa"/>
            <w:vAlign w:val="center"/>
          </w:tcPr>
          <w:p w14:paraId="27532334"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6 (1.4%)</w:t>
            </w:r>
          </w:p>
        </w:tc>
        <w:tc>
          <w:tcPr>
            <w:tcW w:w="1559" w:type="dxa"/>
            <w:vAlign w:val="center"/>
          </w:tcPr>
          <w:p w14:paraId="3B7A36DE"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5 (1.0%)</w:t>
            </w:r>
          </w:p>
        </w:tc>
        <w:tc>
          <w:tcPr>
            <w:tcW w:w="1560" w:type="dxa"/>
            <w:vAlign w:val="center"/>
          </w:tcPr>
          <w:p w14:paraId="5A97A63C"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4 (0.8%)</w:t>
            </w:r>
          </w:p>
        </w:tc>
        <w:tc>
          <w:tcPr>
            <w:tcW w:w="1559" w:type="dxa"/>
            <w:vAlign w:val="center"/>
          </w:tcPr>
          <w:p w14:paraId="06D11F7F"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22 (1.1%)</w:t>
            </w:r>
          </w:p>
        </w:tc>
      </w:tr>
      <w:tr w:rsidR="006404DA" w:rsidRPr="00913A5D" w14:paraId="46E13418" w14:textId="77777777" w:rsidTr="00875A6B">
        <w:trPr>
          <w:cnfStyle w:val="000000100000" w:firstRow="0" w:lastRow="0" w:firstColumn="0" w:lastColumn="0" w:oddVBand="0" w:evenVBand="0" w:oddHBand="1" w:evenHBand="0" w:firstRowFirstColumn="0" w:firstRowLastColumn="0" w:lastRowFirstColumn="0" w:lastRowLastColumn="0"/>
          <w:trHeight w:val="20"/>
        </w:trPr>
        <w:tc>
          <w:tcPr>
            <w:tcW w:w="3539" w:type="dxa"/>
            <w:vAlign w:val="center"/>
          </w:tcPr>
          <w:p w14:paraId="09E385D3" w14:textId="77777777" w:rsidR="006404DA" w:rsidRPr="00913A5D" w:rsidRDefault="006404DA" w:rsidP="00E30556">
            <w:pPr>
              <w:adjustRightInd w:val="0"/>
              <w:snapToGrid w:val="0"/>
              <w:ind w:left="100" w:right="100"/>
              <w:contextualSpacing/>
              <w:rPr>
                <w:rFonts w:ascii="Arial" w:eastAsia="Arial" w:hAnsi="Arial" w:cs="Arial"/>
                <w:color w:val="000000"/>
              </w:rPr>
            </w:pPr>
            <w:r w:rsidRPr="00913A5D">
              <w:rPr>
                <w:rFonts w:ascii="Arial" w:eastAsia="Arial" w:hAnsi="Arial" w:cs="Arial"/>
                <w:color w:val="000000"/>
              </w:rPr>
              <w:t>Shingles</w:t>
            </w:r>
          </w:p>
        </w:tc>
        <w:tc>
          <w:tcPr>
            <w:tcW w:w="1701" w:type="dxa"/>
            <w:vAlign w:val="center"/>
          </w:tcPr>
          <w:p w14:paraId="78919F27"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 (1.1%)</w:t>
            </w:r>
          </w:p>
        </w:tc>
        <w:tc>
          <w:tcPr>
            <w:tcW w:w="1418" w:type="dxa"/>
            <w:vAlign w:val="center"/>
          </w:tcPr>
          <w:p w14:paraId="0593A185"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 (0.9%)</w:t>
            </w:r>
          </w:p>
        </w:tc>
        <w:tc>
          <w:tcPr>
            <w:tcW w:w="1559" w:type="dxa"/>
            <w:vAlign w:val="center"/>
          </w:tcPr>
          <w:p w14:paraId="0BA812A8"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 (0.3%)</w:t>
            </w:r>
          </w:p>
        </w:tc>
        <w:tc>
          <w:tcPr>
            <w:tcW w:w="1559" w:type="dxa"/>
            <w:vAlign w:val="center"/>
          </w:tcPr>
          <w:p w14:paraId="49E0785E"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 (0.2%)</w:t>
            </w:r>
          </w:p>
        </w:tc>
        <w:tc>
          <w:tcPr>
            <w:tcW w:w="1559" w:type="dxa"/>
            <w:vAlign w:val="center"/>
          </w:tcPr>
          <w:p w14:paraId="437696F9"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5 (1.0%)</w:t>
            </w:r>
          </w:p>
        </w:tc>
        <w:tc>
          <w:tcPr>
            <w:tcW w:w="1560" w:type="dxa"/>
            <w:vAlign w:val="center"/>
          </w:tcPr>
          <w:p w14:paraId="378AACB8"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3 (0.6%)</w:t>
            </w:r>
          </w:p>
        </w:tc>
        <w:tc>
          <w:tcPr>
            <w:tcW w:w="1559" w:type="dxa"/>
            <w:vAlign w:val="center"/>
          </w:tcPr>
          <w:p w14:paraId="5E10D5A6"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12 (0.6%)</w:t>
            </w:r>
          </w:p>
        </w:tc>
      </w:tr>
      <w:tr w:rsidR="006404DA" w:rsidRPr="00913A5D" w14:paraId="5A66880D" w14:textId="77777777" w:rsidTr="00875A6B">
        <w:trPr>
          <w:trHeight w:val="20"/>
        </w:trPr>
        <w:tc>
          <w:tcPr>
            <w:tcW w:w="3539" w:type="dxa"/>
            <w:vAlign w:val="center"/>
          </w:tcPr>
          <w:p w14:paraId="4898610C" w14:textId="77777777" w:rsidR="006404DA" w:rsidRPr="00913A5D" w:rsidRDefault="006404DA" w:rsidP="00E30556">
            <w:pPr>
              <w:adjustRightInd w:val="0"/>
              <w:snapToGrid w:val="0"/>
              <w:ind w:left="100" w:right="100"/>
              <w:contextualSpacing/>
              <w:rPr>
                <w:rFonts w:ascii="Arial" w:eastAsia="Arial" w:hAnsi="Arial" w:cs="Arial"/>
                <w:b/>
                <w:color w:val="000000"/>
              </w:rPr>
            </w:pPr>
            <w:r w:rsidRPr="00913A5D">
              <w:rPr>
                <w:rFonts w:ascii="Arial" w:eastAsia="Arial" w:hAnsi="Arial" w:cs="Arial"/>
                <w:b/>
                <w:color w:val="000000"/>
              </w:rPr>
              <w:t>Bacterial</w:t>
            </w:r>
          </w:p>
        </w:tc>
        <w:tc>
          <w:tcPr>
            <w:tcW w:w="1701" w:type="dxa"/>
            <w:vAlign w:val="center"/>
          </w:tcPr>
          <w:p w14:paraId="18CFEB85"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34 (</w:t>
            </w:r>
            <w:r w:rsidRPr="00913A5D">
              <w:rPr>
                <w:rFonts w:ascii="Arial" w:eastAsia="Arial" w:hAnsi="Arial" w:cs="Arial"/>
                <w:color w:val="000000"/>
              </w:rPr>
              <w:t>37%)</w:t>
            </w:r>
          </w:p>
        </w:tc>
        <w:tc>
          <w:tcPr>
            <w:tcW w:w="1418" w:type="dxa"/>
            <w:vAlign w:val="center"/>
          </w:tcPr>
          <w:p w14:paraId="7B8AFED7"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46 (</w:t>
            </w:r>
            <w:r w:rsidRPr="00913A5D">
              <w:rPr>
                <w:rFonts w:ascii="Arial" w:eastAsia="Arial" w:hAnsi="Arial" w:cs="Arial"/>
                <w:color w:val="000000"/>
              </w:rPr>
              <w:t>43%)</w:t>
            </w:r>
          </w:p>
        </w:tc>
        <w:tc>
          <w:tcPr>
            <w:tcW w:w="1559" w:type="dxa"/>
            <w:vAlign w:val="center"/>
          </w:tcPr>
          <w:p w14:paraId="1E5F80C8"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157 (</w:t>
            </w:r>
            <w:r w:rsidRPr="00913A5D">
              <w:rPr>
                <w:rFonts w:ascii="Arial" w:eastAsia="Arial" w:hAnsi="Arial" w:cs="Arial"/>
                <w:color w:val="000000"/>
              </w:rPr>
              <w:t>41%)</w:t>
            </w:r>
          </w:p>
        </w:tc>
        <w:tc>
          <w:tcPr>
            <w:tcW w:w="1559" w:type="dxa"/>
            <w:vAlign w:val="center"/>
          </w:tcPr>
          <w:p w14:paraId="50DC4A1A"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183 (</w:t>
            </w:r>
            <w:r w:rsidRPr="00913A5D">
              <w:rPr>
                <w:rFonts w:ascii="Arial" w:eastAsia="Arial" w:hAnsi="Arial" w:cs="Arial"/>
                <w:color w:val="000000"/>
              </w:rPr>
              <w:t>43%)</w:t>
            </w:r>
          </w:p>
        </w:tc>
        <w:tc>
          <w:tcPr>
            <w:tcW w:w="1559" w:type="dxa"/>
            <w:vAlign w:val="center"/>
          </w:tcPr>
          <w:p w14:paraId="2E13B24B"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197 (</w:t>
            </w:r>
            <w:r w:rsidRPr="00913A5D">
              <w:rPr>
                <w:rFonts w:ascii="Arial" w:eastAsia="Arial" w:hAnsi="Arial" w:cs="Arial"/>
                <w:color w:val="000000"/>
              </w:rPr>
              <w:t>38%)</w:t>
            </w:r>
          </w:p>
        </w:tc>
        <w:tc>
          <w:tcPr>
            <w:tcW w:w="1560" w:type="dxa"/>
            <w:vAlign w:val="center"/>
          </w:tcPr>
          <w:p w14:paraId="44ABC1D6"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173 (</w:t>
            </w:r>
            <w:r w:rsidRPr="00913A5D">
              <w:rPr>
                <w:rFonts w:ascii="Arial" w:eastAsia="Arial" w:hAnsi="Arial" w:cs="Arial"/>
                <w:color w:val="000000"/>
              </w:rPr>
              <w:t>36%)</w:t>
            </w:r>
          </w:p>
        </w:tc>
        <w:tc>
          <w:tcPr>
            <w:tcW w:w="1559" w:type="dxa"/>
            <w:vAlign w:val="center"/>
          </w:tcPr>
          <w:p w14:paraId="0C37F960"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790 (</w:t>
            </w:r>
            <w:r w:rsidRPr="00913A5D">
              <w:rPr>
                <w:rFonts w:ascii="Arial" w:eastAsia="Arial" w:hAnsi="Arial" w:cs="Arial"/>
                <w:color w:val="000000"/>
              </w:rPr>
              <w:t>39%)</w:t>
            </w:r>
          </w:p>
        </w:tc>
      </w:tr>
      <w:tr w:rsidR="006404DA" w:rsidRPr="00913A5D" w14:paraId="03CB1499" w14:textId="77777777" w:rsidTr="00875A6B">
        <w:trPr>
          <w:cnfStyle w:val="000000100000" w:firstRow="0" w:lastRow="0" w:firstColumn="0" w:lastColumn="0" w:oddVBand="0" w:evenVBand="0" w:oddHBand="1" w:evenHBand="0" w:firstRowFirstColumn="0" w:firstRowLastColumn="0" w:lastRowFirstColumn="0" w:lastRowLastColumn="0"/>
          <w:trHeight w:val="20"/>
        </w:trPr>
        <w:tc>
          <w:tcPr>
            <w:tcW w:w="3539" w:type="dxa"/>
            <w:vAlign w:val="center"/>
          </w:tcPr>
          <w:p w14:paraId="2A7E530F" w14:textId="77777777" w:rsidR="006404DA" w:rsidRPr="00913A5D" w:rsidRDefault="006404DA" w:rsidP="00E30556">
            <w:pPr>
              <w:adjustRightInd w:val="0"/>
              <w:snapToGrid w:val="0"/>
              <w:ind w:left="100" w:right="100"/>
              <w:contextualSpacing/>
              <w:rPr>
                <w:rFonts w:ascii="Arial" w:eastAsia="Arial" w:hAnsi="Arial" w:cs="Arial"/>
                <w:b/>
                <w:color w:val="000000"/>
              </w:rPr>
            </w:pPr>
            <w:r w:rsidRPr="00913A5D">
              <w:rPr>
                <w:rFonts w:ascii="Arial" w:eastAsia="Arial" w:hAnsi="Arial" w:cs="Arial"/>
                <w:b/>
                <w:color w:val="000000"/>
              </w:rPr>
              <w:t>Bacterial (confirmed</w:t>
            </w:r>
            <w:r>
              <w:rPr>
                <w:rFonts w:ascii="Arial" w:eastAsia="Arial" w:hAnsi="Arial" w:cs="Arial"/>
                <w:b/>
                <w:color w:val="000000"/>
              </w:rPr>
              <w:t xml:space="preserve"> by culture or PCR</w:t>
            </w:r>
            <w:r w:rsidRPr="00913A5D">
              <w:rPr>
                <w:rFonts w:ascii="Arial" w:eastAsia="Arial" w:hAnsi="Arial" w:cs="Arial"/>
                <w:b/>
                <w:color w:val="000000"/>
              </w:rPr>
              <w:t>)</w:t>
            </w:r>
          </w:p>
        </w:tc>
        <w:tc>
          <w:tcPr>
            <w:tcW w:w="1701" w:type="dxa"/>
            <w:vAlign w:val="center"/>
          </w:tcPr>
          <w:p w14:paraId="4B453559"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hAnsi="Arial" w:cs="Arial"/>
              </w:rPr>
              <w:t>19 (</w:t>
            </w:r>
            <w:r w:rsidRPr="00913A5D">
              <w:rPr>
                <w:rFonts w:ascii="Arial" w:hAnsi="Arial" w:cs="Arial"/>
              </w:rPr>
              <w:t>21%)</w:t>
            </w:r>
          </w:p>
        </w:tc>
        <w:tc>
          <w:tcPr>
            <w:tcW w:w="1418" w:type="dxa"/>
            <w:vAlign w:val="center"/>
          </w:tcPr>
          <w:p w14:paraId="391C7B70"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hAnsi="Arial" w:cs="Arial"/>
              </w:rPr>
              <w:t>31 (</w:t>
            </w:r>
            <w:r w:rsidRPr="00913A5D">
              <w:rPr>
                <w:rFonts w:ascii="Arial" w:hAnsi="Arial" w:cs="Arial"/>
              </w:rPr>
              <w:t>29%)</w:t>
            </w:r>
          </w:p>
        </w:tc>
        <w:tc>
          <w:tcPr>
            <w:tcW w:w="1559" w:type="dxa"/>
            <w:vAlign w:val="center"/>
          </w:tcPr>
          <w:p w14:paraId="14B844F1"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hAnsi="Arial" w:cs="Arial"/>
              </w:rPr>
              <w:t>81 (</w:t>
            </w:r>
            <w:r w:rsidRPr="00913A5D">
              <w:rPr>
                <w:rFonts w:ascii="Arial" w:hAnsi="Arial" w:cs="Arial"/>
              </w:rPr>
              <w:t>21%)</w:t>
            </w:r>
          </w:p>
        </w:tc>
        <w:tc>
          <w:tcPr>
            <w:tcW w:w="1559" w:type="dxa"/>
            <w:vAlign w:val="center"/>
          </w:tcPr>
          <w:p w14:paraId="7C398F70"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hAnsi="Arial" w:cs="Arial"/>
              </w:rPr>
              <w:t>93 (</w:t>
            </w:r>
            <w:r w:rsidRPr="00913A5D">
              <w:rPr>
                <w:rFonts w:ascii="Arial" w:hAnsi="Arial" w:cs="Arial"/>
              </w:rPr>
              <w:t>22%)</w:t>
            </w:r>
          </w:p>
        </w:tc>
        <w:tc>
          <w:tcPr>
            <w:tcW w:w="1559" w:type="dxa"/>
            <w:vAlign w:val="center"/>
          </w:tcPr>
          <w:p w14:paraId="4740BD3D" w14:textId="0DA4C744"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hAnsi="Arial" w:cs="Arial"/>
              </w:rPr>
              <w:t>9</w:t>
            </w:r>
            <w:r w:rsidR="00441E39">
              <w:rPr>
                <w:rFonts w:ascii="Arial" w:hAnsi="Arial" w:cs="Arial"/>
              </w:rPr>
              <w:t>6</w:t>
            </w:r>
            <w:r>
              <w:rPr>
                <w:rFonts w:ascii="Arial" w:hAnsi="Arial" w:cs="Arial"/>
              </w:rPr>
              <w:t xml:space="preserve"> (</w:t>
            </w:r>
            <w:r w:rsidRPr="00913A5D">
              <w:rPr>
                <w:rFonts w:ascii="Arial" w:hAnsi="Arial" w:cs="Arial"/>
              </w:rPr>
              <w:t>1</w:t>
            </w:r>
            <w:r w:rsidR="00441E39">
              <w:rPr>
                <w:rFonts w:ascii="Arial" w:hAnsi="Arial" w:cs="Arial"/>
              </w:rPr>
              <w:t>8</w:t>
            </w:r>
            <w:r w:rsidRPr="00913A5D">
              <w:rPr>
                <w:rFonts w:ascii="Arial" w:hAnsi="Arial" w:cs="Arial"/>
              </w:rPr>
              <w:t>%)</w:t>
            </w:r>
          </w:p>
        </w:tc>
        <w:tc>
          <w:tcPr>
            <w:tcW w:w="1560" w:type="dxa"/>
            <w:vAlign w:val="center"/>
          </w:tcPr>
          <w:p w14:paraId="19A8A940" w14:textId="6CE9DDB8"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hAnsi="Arial" w:cs="Arial"/>
              </w:rPr>
              <w:t>9</w:t>
            </w:r>
            <w:r w:rsidR="00441E39">
              <w:rPr>
                <w:rFonts w:ascii="Arial" w:hAnsi="Arial" w:cs="Arial"/>
              </w:rPr>
              <w:t>0</w:t>
            </w:r>
            <w:r>
              <w:rPr>
                <w:rFonts w:ascii="Arial" w:hAnsi="Arial" w:cs="Arial"/>
              </w:rPr>
              <w:t xml:space="preserve"> (</w:t>
            </w:r>
            <w:r w:rsidRPr="00913A5D">
              <w:rPr>
                <w:rFonts w:ascii="Arial" w:hAnsi="Arial" w:cs="Arial"/>
              </w:rPr>
              <w:t>19%)</w:t>
            </w:r>
          </w:p>
        </w:tc>
        <w:tc>
          <w:tcPr>
            <w:tcW w:w="1559" w:type="dxa"/>
            <w:vAlign w:val="center"/>
          </w:tcPr>
          <w:p w14:paraId="7671B8CA"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hAnsi="Arial" w:cs="Arial"/>
              </w:rPr>
              <w:t>412 (</w:t>
            </w:r>
            <w:r w:rsidRPr="00913A5D">
              <w:rPr>
                <w:rFonts w:ascii="Arial" w:hAnsi="Arial" w:cs="Arial"/>
              </w:rPr>
              <w:t>20%)</w:t>
            </w:r>
          </w:p>
        </w:tc>
      </w:tr>
      <w:tr w:rsidR="006404DA" w:rsidRPr="00913A5D" w14:paraId="4723E3AB" w14:textId="77777777" w:rsidTr="00875A6B">
        <w:trPr>
          <w:trHeight w:val="20"/>
        </w:trPr>
        <w:tc>
          <w:tcPr>
            <w:tcW w:w="3539" w:type="dxa"/>
            <w:vAlign w:val="center"/>
          </w:tcPr>
          <w:p w14:paraId="20E1E4C3" w14:textId="77777777" w:rsidR="006404DA" w:rsidRPr="00913A5D" w:rsidRDefault="006404DA" w:rsidP="00E30556">
            <w:pPr>
              <w:adjustRightInd w:val="0"/>
              <w:snapToGrid w:val="0"/>
              <w:ind w:left="100" w:right="100"/>
              <w:contextualSpacing/>
              <w:rPr>
                <w:rFonts w:ascii="Arial" w:eastAsia="Arial" w:hAnsi="Arial" w:cs="Arial"/>
                <w:color w:val="000000"/>
              </w:rPr>
            </w:pPr>
            <w:r w:rsidRPr="00913A5D">
              <w:rPr>
                <w:rFonts w:ascii="Arial" w:eastAsia="Arial" w:hAnsi="Arial" w:cs="Arial"/>
                <w:color w:val="000000"/>
              </w:rPr>
              <w:t>UTI</w:t>
            </w:r>
          </w:p>
        </w:tc>
        <w:tc>
          <w:tcPr>
            <w:tcW w:w="1701" w:type="dxa"/>
            <w:vAlign w:val="center"/>
          </w:tcPr>
          <w:p w14:paraId="1511C2A4"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12 (</w:t>
            </w:r>
            <w:r w:rsidRPr="00913A5D">
              <w:rPr>
                <w:rFonts w:ascii="Arial" w:eastAsia="Arial" w:hAnsi="Arial" w:cs="Arial"/>
                <w:color w:val="000000"/>
              </w:rPr>
              <w:t>13%)</w:t>
            </w:r>
          </w:p>
        </w:tc>
        <w:tc>
          <w:tcPr>
            <w:tcW w:w="1418" w:type="dxa"/>
            <w:vAlign w:val="center"/>
          </w:tcPr>
          <w:p w14:paraId="6564D116"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19 (</w:t>
            </w:r>
            <w:r w:rsidRPr="00913A5D">
              <w:rPr>
                <w:rFonts w:ascii="Arial" w:eastAsia="Arial" w:hAnsi="Arial" w:cs="Arial"/>
                <w:color w:val="000000"/>
              </w:rPr>
              <w:t>18%)</w:t>
            </w:r>
          </w:p>
        </w:tc>
        <w:tc>
          <w:tcPr>
            <w:tcW w:w="1559" w:type="dxa"/>
            <w:vAlign w:val="center"/>
          </w:tcPr>
          <w:p w14:paraId="67B62C14"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64 (</w:t>
            </w:r>
            <w:r w:rsidRPr="00913A5D">
              <w:rPr>
                <w:rFonts w:ascii="Arial" w:eastAsia="Arial" w:hAnsi="Arial" w:cs="Arial"/>
                <w:color w:val="000000"/>
              </w:rPr>
              <w:t>17%)</w:t>
            </w:r>
          </w:p>
        </w:tc>
        <w:tc>
          <w:tcPr>
            <w:tcW w:w="1559" w:type="dxa"/>
            <w:vAlign w:val="center"/>
          </w:tcPr>
          <w:p w14:paraId="52C5FB78"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66 (</w:t>
            </w:r>
            <w:r w:rsidRPr="00913A5D">
              <w:rPr>
                <w:rFonts w:ascii="Arial" w:eastAsia="Arial" w:hAnsi="Arial" w:cs="Arial"/>
                <w:color w:val="000000"/>
              </w:rPr>
              <w:t>16%)</w:t>
            </w:r>
          </w:p>
        </w:tc>
        <w:tc>
          <w:tcPr>
            <w:tcW w:w="1559" w:type="dxa"/>
            <w:vAlign w:val="center"/>
          </w:tcPr>
          <w:p w14:paraId="104CFC45"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65 (</w:t>
            </w:r>
            <w:r w:rsidRPr="00913A5D">
              <w:rPr>
                <w:rFonts w:ascii="Arial" w:eastAsia="Arial" w:hAnsi="Arial" w:cs="Arial"/>
                <w:color w:val="000000"/>
              </w:rPr>
              <w:t>12%)</w:t>
            </w:r>
          </w:p>
        </w:tc>
        <w:tc>
          <w:tcPr>
            <w:tcW w:w="1560" w:type="dxa"/>
            <w:vAlign w:val="center"/>
          </w:tcPr>
          <w:p w14:paraId="74769617" w14:textId="209E8ADC" w:rsidR="006404DA" w:rsidRPr="00913A5D" w:rsidRDefault="00441E39"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59</w:t>
            </w:r>
            <w:r w:rsidR="006404DA">
              <w:rPr>
                <w:rFonts w:ascii="Arial" w:eastAsia="Arial" w:hAnsi="Arial" w:cs="Arial"/>
                <w:color w:val="000000"/>
              </w:rPr>
              <w:t xml:space="preserve"> (</w:t>
            </w:r>
            <w:r w:rsidR="006404DA" w:rsidRPr="00913A5D">
              <w:rPr>
                <w:rFonts w:ascii="Arial" w:eastAsia="Arial" w:hAnsi="Arial" w:cs="Arial"/>
                <w:color w:val="000000"/>
              </w:rPr>
              <w:t>12%)</w:t>
            </w:r>
          </w:p>
        </w:tc>
        <w:tc>
          <w:tcPr>
            <w:tcW w:w="1559" w:type="dxa"/>
            <w:vAlign w:val="center"/>
          </w:tcPr>
          <w:p w14:paraId="0468E4F3"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286 (</w:t>
            </w:r>
            <w:r w:rsidRPr="00913A5D">
              <w:rPr>
                <w:rFonts w:ascii="Arial" w:eastAsia="Arial" w:hAnsi="Arial" w:cs="Arial"/>
                <w:color w:val="000000"/>
              </w:rPr>
              <w:t>14%)</w:t>
            </w:r>
          </w:p>
        </w:tc>
      </w:tr>
      <w:tr w:rsidR="006404DA" w:rsidRPr="00913A5D" w14:paraId="206F6F05" w14:textId="77777777" w:rsidTr="00875A6B">
        <w:trPr>
          <w:cnfStyle w:val="000000100000" w:firstRow="0" w:lastRow="0" w:firstColumn="0" w:lastColumn="0" w:oddVBand="0" w:evenVBand="0" w:oddHBand="1" w:evenHBand="0" w:firstRowFirstColumn="0" w:firstRowLastColumn="0" w:lastRowFirstColumn="0" w:lastRowLastColumn="0"/>
          <w:trHeight w:val="20"/>
        </w:trPr>
        <w:tc>
          <w:tcPr>
            <w:tcW w:w="3539" w:type="dxa"/>
            <w:vAlign w:val="center"/>
          </w:tcPr>
          <w:p w14:paraId="46E1E319" w14:textId="77777777" w:rsidR="006404DA" w:rsidRPr="00913A5D" w:rsidRDefault="006404DA" w:rsidP="00E30556">
            <w:pPr>
              <w:adjustRightInd w:val="0"/>
              <w:snapToGrid w:val="0"/>
              <w:ind w:left="100" w:right="100"/>
              <w:contextualSpacing/>
              <w:rPr>
                <w:rFonts w:ascii="Arial" w:eastAsia="Arial" w:hAnsi="Arial" w:cs="Arial"/>
                <w:color w:val="000000"/>
              </w:rPr>
            </w:pPr>
            <w:r w:rsidRPr="00913A5D">
              <w:rPr>
                <w:rFonts w:ascii="Arial" w:eastAsia="Arial" w:hAnsi="Arial" w:cs="Arial"/>
                <w:color w:val="000000"/>
              </w:rPr>
              <w:t>Pneumonia</w:t>
            </w:r>
          </w:p>
        </w:tc>
        <w:tc>
          <w:tcPr>
            <w:tcW w:w="1701" w:type="dxa"/>
            <w:vAlign w:val="center"/>
          </w:tcPr>
          <w:p w14:paraId="62D216F6"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0 (0.0%)</w:t>
            </w:r>
          </w:p>
        </w:tc>
        <w:tc>
          <w:tcPr>
            <w:tcW w:w="1418" w:type="dxa"/>
            <w:vAlign w:val="center"/>
          </w:tcPr>
          <w:p w14:paraId="30C7D640"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4 (3.8%)</w:t>
            </w:r>
          </w:p>
        </w:tc>
        <w:tc>
          <w:tcPr>
            <w:tcW w:w="1559" w:type="dxa"/>
            <w:vAlign w:val="center"/>
          </w:tcPr>
          <w:p w14:paraId="7D732AE4"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7 (1.8%)</w:t>
            </w:r>
          </w:p>
        </w:tc>
        <w:tc>
          <w:tcPr>
            <w:tcW w:w="1559" w:type="dxa"/>
            <w:vAlign w:val="center"/>
          </w:tcPr>
          <w:p w14:paraId="46415E45"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6 (1.4%)</w:t>
            </w:r>
          </w:p>
        </w:tc>
        <w:tc>
          <w:tcPr>
            <w:tcW w:w="1559" w:type="dxa"/>
            <w:vAlign w:val="center"/>
          </w:tcPr>
          <w:p w14:paraId="54CA5734"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12 (2.3%)</w:t>
            </w:r>
          </w:p>
        </w:tc>
        <w:tc>
          <w:tcPr>
            <w:tcW w:w="1560" w:type="dxa"/>
            <w:vAlign w:val="center"/>
          </w:tcPr>
          <w:p w14:paraId="7180536F"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10 (2.1%)</w:t>
            </w:r>
          </w:p>
        </w:tc>
        <w:tc>
          <w:tcPr>
            <w:tcW w:w="1559" w:type="dxa"/>
            <w:vAlign w:val="center"/>
          </w:tcPr>
          <w:p w14:paraId="630DB897"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39 (1.9%)</w:t>
            </w:r>
          </w:p>
        </w:tc>
      </w:tr>
      <w:tr w:rsidR="006404DA" w:rsidRPr="00913A5D" w14:paraId="08C0545C" w14:textId="77777777" w:rsidTr="00875A6B">
        <w:trPr>
          <w:trHeight w:val="20"/>
        </w:trPr>
        <w:tc>
          <w:tcPr>
            <w:tcW w:w="3539" w:type="dxa"/>
            <w:vAlign w:val="center"/>
          </w:tcPr>
          <w:p w14:paraId="6E02D773" w14:textId="77777777" w:rsidR="006404DA" w:rsidRPr="00913A5D" w:rsidRDefault="006404DA" w:rsidP="00E30556">
            <w:pPr>
              <w:adjustRightInd w:val="0"/>
              <w:snapToGrid w:val="0"/>
              <w:ind w:left="100" w:right="100"/>
              <w:contextualSpacing/>
              <w:rPr>
                <w:rFonts w:ascii="Arial" w:eastAsia="Arial" w:hAnsi="Arial" w:cs="Arial"/>
                <w:color w:val="000000"/>
              </w:rPr>
            </w:pPr>
            <w:r w:rsidRPr="00913A5D">
              <w:rPr>
                <w:rFonts w:ascii="Arial" w:eastAsia="Arial" w:hAnsi="Arial" w:cs="Arial"/>
                <w:color w:val="000000"/>
              </w:rPr>
              <w:t>TB</w:t>
            </w:r>
          </w:p>
        </w:tc>
        <w:tc>
          <w:tcPr>
            <w:tcW w:w="1701" w:type="dxa"/>
            <w:vAlign w:val="center"/>
          </w:tcPr>
          <w:p w14:paraId="7E103F4D"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0 (0.0%)</w:t>
            </w:r>
          </w:p>
        </w:tc>
        <w:tc>
          <w:tcPr>
            <w:tcW w:w="1418" w:type="dxa"/>
            <w:vAlign w:val="center"/>
          </w:tcPr>
          <w:p w14:paraId="505955CC"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 (0.9%)</w:t>
            </w:r>
          </w:p>
        </w:tc>
        <w:tc>
          <w:tcPr>
            <w:tcW w:w="1559" w:type="dxa"/>
            <w:vAlign w:val="center"/>
          </w:tcPr>
          <w:p w14:paraId="0E3D5173"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 (0.3%)</w:t>
            </w:r>
          </w:p>
        </w:tc>
        <w:tc>
          <w:tcPr>
            <w:tcW w:w="1559" w:type="dxa"/>
            <w:vAlign w:val="center"/>
          </w:tcPr>
          <w:p w14:paraId="616A5030"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0 (0.0%)</w:t>
            </w:r>
          </w:p>
        </w:tc>
        <w:tc>
          <w:tcPr>
            <w:tcW w:w="1559" w:type="dxa"/>
            <w:vAlign w:val="center"/>
          </w:tcPr>
          <w:p w14:paraId="4693301B"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 (0.2%)</w:t>
            </w:r>
          </w:p>
        </w:tc>
        <w:tc>
          <w:tcPr>
            <w:tcW w:w="1560" w:type="dxa"/>
            <w:vAlign w:val="center"/>
          </w:tcPr>
          <w:p w14:paraId="17A96084"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 (0.2%)</w:t>
            </w:r>
          </w:p>
        </w:tc>
        <w:tc>
          <w:tcPr>
            <w:tcW w:w="1559" w:type="dxa"/>
            <w:vAlign w:val="center"/>
          </w:tcPr>
          <w:p w14:paraId="57E86039"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4 (0.2%)</w:t>
            </w:r>
          </w:p>
        </w:tc>
      </w:tr>
      <w:tr w:rsidR="006404DA" w:rsidRPr="00913A5D" w14:paraId="5D746367" w14:textId="77777777" w:rsidTr="00875A6B">
        <w:trPr>
          <w:cnfStyle w:val="000000100000" w:firstRow="0" w:lastRow="0" w:firstColumn="0" w:lastColumn="0" w:oddVBand="0" w:evenVBand="0" w:oddHBand="1" w:evenHBand="0" w:firstRowFirstColumn="0" w:firstRowLastColumn="0" w:lastRowFirstColumn="0" w:lastRowLastColumn="0"/>
          <w:trHeight w:val="20"/>
        </w:trPr>
        <w:tc>
          <w:tcPr>
            <w:tcW w:w="3539" w:type="dxa"/>
            <w:vAlign w:val="center"/>
          </w:tcPr>
          <w:p w14:paraId="5571053E" w14:textId="77777777" w:rsidR="006404DA" w:rsidRPr="00913A5D" w:rsidRDefault="006404DA" w:rsidP="00E30556">
            <w:pPr>
              <w:adjustRightInd w:val="0"/>
              <w:snapToGrid w:val="0"/>
              <w:ind w:left="100" w:right="100"/>
              <w:contextualSpacing/>
              <w:rPr>
                <w:rFonts w:ascii="Arial" w:eastAsia="Arial" w:hAnsi="Arial" w:cs="Arial"/>
                <w:b/>
                <w:color w:val="000000"/>
              </w:rPr>
            </w:pPr>
            <w:r w:rsidRPr="00913A5D">
              <w:rPr>
                <w:rFonts w:ascii="Arial" w:eastAsia="Arial" w:hAnsi="Arial" w:cs="Arial"/>
                <w:b/>
                <w:color w:val="000000"/>
              </w:rPr>
              <w:t>Fungal</w:t>
            </w:r>
          </w:p>
        </w:tc>
        <w:tc>
          <w:tcPr>
            <w:tcW w:w="1701" w:type="dxa"/>
            <w:vAlign w:val="center"/>
          </w:tcPr>
          <w:p w14:paraId="6BE301B9"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4 (4.3%)</w:t>
            </w:r>
          </w:p>
        </w:tc>
        <w:tc>
          <w:tcPr>
            <w:tcW w:w="1418" w:type="dxa"/>
            <w:vAlign w:val="center"/>
          </w:tcPr>
          <w:p w14:paraId="7EC60D1D"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6 (5.7%)</w:t>
            </w:r>
          </w:p>
        </w:tc>
        <w:tc>
          <w:tcPr>
            <w:tcW w:w="1559" w:type="dxa"/>
            <w:vAlign w:val="center"/>
          </w:tcPr>
          <w:p w14:paraId="0EF21BEE"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23 (5.9%)</w:t>
            </w:r>
          </w:p>
        </w:tc>
        <w:tc>
          <w:tcPr>
            <w:tcW w:w="1559" w:type="dxa"/>
            <w:vAlign w:val="center"/>
          </w:tcPr>
          <w:p w14:paraId="79263FD1"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15 (3.5%)</w:t>
            </w:r>
          </w:p>
        </w:tc>
        <w:tc>
          <w:tcPr>
            <w:tcW w:w="1559" w:type="dxa"/>
            <w:vAlign w:val="center"/>
          </w:tcPr>
          <w:p w14:paraId="4B6B2445"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18 (3.4%)</w:t>
            </w:r>
          </w:p>
        </w:tc>
        <w:tc>
          <w:tcPr>
            <w:tcW w:w="1560" w:type="dxa"/>
            <w:vAlign w:val="center"/>
          </w:tcPr>
          <w:p w14:paraId="685B41E8"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17 (3.5%)</w:t>
            </w:r>
          </w:p>
        </w:tc>
        <w:tc>
          <w:tcPr>
            <w:tcW w:w="1559" w:type="dxa"/>
            <w:vAlign w:val="center"/>
          </w:tcPr>
          <w:p w14:paraId="0FFC4F21"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83 (4.1%)</w:t>
            </w:r>
          </w:p>
        </w:tc>
      </w:tr>
      <w:tr w:rsidR="006404DA" w:rsidRPr="00913A5D" w14:paraId="755F5DA7" w14:textId="77777777" w:rsidTr="00875A6B">
        <w:trPr>
          <w:trHeight w:val="20"/>
        </w:trPr>
        <w:tc>
          <w:tcPr>
            <w:tcW w:w="3539" w:type="dxa"/>
            <w:vAlign w:val="center"/>
          </w:tcPr>
          <w:p w14:paraId="55164C05" w14:textId="77777777" w:rsidR="006404DA" w:rsidRPr="00913A5D" w:rsidRDefault="006404DA" w:rsidP="00E30556">
            <w:pPr>
              <w:adjustRightInd w:val="0"/>
              <w:snapToGrid w:val="0"/>
              <w:ind w:left="100" w:right="100"/>
              <w:contextualSpacing/>
              <w:rPr>
                <w:rFonts w:ascii="Arial" w:eastAsia="Arial" w:hAnsi="Arial" w:cs="Arial"/>
                <w:b/>
                <w:color w:val="000000"/>
              </w:rPr>
            </w:pPr>
            <w:r w:rsidRPr="00913A5D">
              <w:rPr>
                <w:rFonts w:ascii="Arial" w:eastAsia="Arial" w:hAnsi="Arial" w:cs="Arial"/>
                <w:b/>
                <w:color w:val="000000"/>
              </w:rPr>
              <w:t>Fungal</w:t>
            </w:r>
            <w:r>
              <w:rPr>
                <w:rFonts w:ascii="Arial" w:eastAsia="Arial" w:hAnsi="Arial" w:cs="Arial"/>
                <w:b/>
                <w:color w:val="000000"/>
              </w:rPr>
              <w:t xml:space="preserve"> </w:t>
            </w:r>
            <w:r w:rsidRPr="00913A5D">
              <w:rPr>
                <w:rFonts w:ascii="Arial" w:eastAsia="Arial" w:hAnsi="Arial" w:cs="Arial"/>
                <w:b/>
                <w:color w:val="000000"/>
              </w:rPr>
              <w:t>(confirmed</w:t>
            </w:r>
            <w:r>
              <w:rPr>
                <w:rFonts w:ascii="Arial" w:eastAsia="Arial" w:hAnsi="Arial" w:cs="Arial"/>
                <w:b/>
                <w:color w:val="000000"/>
              </w:rPr>
              <w:t xml:space="preserve"> by culture or PCR</w:t>
            </w:r>
            <w:r w:rsidRPr="00913A5D">
              <w:rPr>
                <w:rFonts w:ascii="Arial" w:eastAsia="Arial" w:hAnsi="Arial" w:cs="Arial"/>
                <w:b/>
                <w:color w:val="000000"/>
              </w:rPr>
              <w:t>)</w:t>
            </w:r>
          </w:p>
        </w:tc>
        <w:tc>
          <w:tcPr>
            <w:tcW w:w="1701" w:type="dxa"/>
            <w:vAlign w:val="center"/>
          </w:tcPr>
          <w:p w14:paraId="536F4158"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0 (0.0%)</w:t>
            </w:r>
          </w:p>
        </w:tc>
        <w:tc>
          <w:tcPr>
            <w:tcW w:w="1418" w:type="dxa"/>
            <w:vAlign w:val="center"/>
          </w:tcPr>
          <w:p w14:paraId="6E2AAB87"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3 (2.8%)</w:t>
            </w:r>
          </w:p>
        </w:tc>
        <w:tc>
          <w:tcPr>
            <w:tcW w:w="1559" w:type="dxa"/>
            <w:vAlign w:val="center"/>
          </w:tcPr>
          <w:p w14:paraId="76033CB8"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4 (1.0%)</w:t>
            </w:r>
          </w:p>
        </w:tc>
        <w:tc>
          <w:tcPr>
            <w:tcW w:w="1559" w:type="dxa"/>
            <w:vAlign w:val="center"/>
          </w:tcPr>
          <w:p w14:paraId="753D6796"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6 (1.4%)</w:t>
            </w:r>
          </w:p>
        </w:tc>
        <w:tc>
          <w:tcPr>
            <w:tcW w:w="1559" w:type="dxa"/>
            <w:vAlign w:val="center"/>
          </w:tcPr>
          <w:p w14:paraId="4FBBD25D"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5 (1.0%)</w:t>
            </w:r>
          </w:p>
        </w:tc>
        <w:tc>
          <w:tcPr>
            <w:tcW w:w="1560" w:type="dxa"/>
            <w:vAlign w:val="center"/>
          </w:tcPr>
          <w:p w14:paraId="738210C6"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4 (0.8%)</w:t>
            </w:r>
          </w:p>
        </w:tc>
        <w:tc>
          <w:tcPr>
            <w:tcW w:w="1559" w:type="dxa"/>
            <w:vAlign w:val="center"/>
          </w:tcPr>
          <w:p w14:paraId="5FCA77B6"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22 (1.1%)</w:t>
            </w:r>
          </w:p>
        </w:tc>
      </w:tr>
      <w:tr w:rsidR="006404DA" w:rsidRPr="00913A5D" w14:paraId="6A041101" w14:textId="77777777" w:rsidTr="00875A6B">
        <w:trPr>
          <w:cnfStyle w:val="000000100000" w:firstRow="0" w:lastRow="0" w:firstColumn="0" w:lastColumn="0" w:oddVBand="0" w:evenVBand="0" w:oddHBand="1" w:evenHBand="0" w:firstRowFirstColumn="0" w:firstRowLastColumn="0" w:lastRowFirstColumn="0" w:lastRowLastColumn="0"/>
          <w:trHeight w:val="20"/>
        </w:trPr>
        <w:tc>
          <w:tcPr>
            <w:tcW w:w="3539" w:type="dxa"/>
            <w:vAlign w:val="center"/>
          </w:tcPr>
          <w:p w14:paraId="6698B605" w14:textId="77777777" w:rsidR="006404DA" w:rsidRPr="0077618D" w:rsidRDefault="006404DA" w:rsidP="00E30556">
            <w:pPr>
              <w:adjustRightInd w:val="0"/>
              <w:snapToGrid w:val="0"/>
              <w:ind w:left="100" w:right="100"/>
              <w:contextualSpacing/>
              <w:rPr>
                <w:rFonts w:ascii="Arial" w:eastAsia="Arial" w:hAnsi="Arial" w:cs="Arial"/>
                <w:color w:val="000000"/>
              </w:rPr>
            </w:pPr>
            <w:r w:rsidRPr="0077618D">
              <w:rPr>
                <w:rFonts w:ascii="Arial" w:eastAsia="Arial" w:hAnsi="Arial" w:cs="Arial"/>
                <w:color w:val="000000"/>
              </w:rPr>
              <w:t>Pneumocystis jirovecii</w:t>
            </w:r>
          </w:p>
        </w:tc>
        <w:tc>
          <w:tcPr>
            <w:tcW w:w="1701" w:type="dxa"/>
            <w:vAlign w:val="center"/>
          </w:tcPr>
          <w:p w14:paraId="0B8BBC74"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0 (0.0%)</w:t>
            </w:r>
          </w:p>
        </w:tc>
        <w:tc>
          <w:tcPr>
            <w:tcW w:w="1418" w:type="dxa"/>
            <w:vAlign w:val="center"/>
          </w:tcPr>
          <w:p w14:paraId="0AC9716E"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0 (0.0%)</w:t>
            </w:r>
          </w:p>
        </w:tc>
        <w:tc>
          <w:tcPr>
            <w:tcW w:w="1559" w:type="dxa"/>
            <w:vAlign w:val="center"/>
          </w:tcPr>
          <w:p w14:paraId="6D1140C8"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 (0.3%)</w:t>
            </w:r>
          </w:p>
        </w:tc>
        <w:tc>
          <w:tcPr>
            <w:tcW w:w="1559" w:type="dxa"/>
            <w:vAlign w:val="center"/>
          </w:tcPr>
          <w:p w14:paraId="49EF1EDC"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1 (0.2%)</w:t>
            </w:r>
          </w:p>
        </w:tc>
        <w:tc>
          <w:tcPr>
            <w:tcW w:w="1559" w:type="dxa"/>
            <w:vAlign w:val="center"/>
          </w:tcPr>
          <w:p w14:paraId="757FAE78"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0 (0.0%)</w:t>
            </w:r>
          </w:p>
        </w:tc>
        <w:tc>
          <w:tcPr>
            <w:tcW w:w="1560" w:type="dxa"/>
            <w:vAlign w:val="center"/>
          </w:tcPr>
          <w:p w14:paraId="3E55158C"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2 (0.4%)</w:t>
            </w:r>
          </w:p>
        </w:tc>
        <w:tc>
          <w:tcPr>
            <w:tcW w:w="1559" w:type="dxa"/>
            <w:vAlign w:val="center"/>
          </w:tcPr>
          <w:p w14:paraId="612881AF" w14:textId="77777777" w:rsidR="006404DA" w:rsidRPr="00913A5D" w:rsidRDefault="006404DA" w:rsidP="00E30556">
            <w:pPr>
              <w:adjustRightInd w:val="0"/>
              <w:snapToGrid w:val="0"/>
              <w:ind w:left="100" w:right="100"/>
              <w:contextualSpacing/>
              <w:jc w:val="center"/>
              <w:rPr>
                <w:rFonts w:ascii="Arial" w:eastAsia="Arial" w:hAnsi="Arial" w:cs="Arial"/>
                <w:color w:val="000000"/>
              </w:rPr>
            </w:pPr>
            <w:r>
              <w:rPr>
                <w:rFonts w:ascii="Arial" w:eastAsia="Arial" w:hAnsi="Arial" w:cs="Arial"/>
                <w:color w:val="000000"/>
              </w:rPr>
              <w:t>4 (0.2%)</w:t>
            </w:r>
          </w:p>
        </w:tc>
      </w:tr>
    </w:tbl>
    <w:p w14:paraId="390D4BEC" w14:textId="77777777" w:rsidR="006404DA" w:rsidRDefault="006404DA" w:rsidP="00E30556">
      <w:pPr>
        <w:pStyle w:val="BodyText"/>
        <w:snapToGrid w:val="0"/>
        <w:contextualSpacing/>
      </w:pPr>
    </w:p>
    <w:p w14:paraId="6090DDAF" w14:textId="309564E2" w:rsidR="00E268AF" w:rsidRDefault="00E268AF" w:rsidP="00E30556">
      <w:pPr>
        <w:adjustRightInd w:val="0"/>
        <w:snapToGrid w:val="0"/>
        <w:spacing w:line="240" w:lineRule="auto"/>
        <w:contextualSpacing/>
      </w:pPr>
    </w:p>
    <w:p w14:paraId="6E4BF190" w14:textId="1E814B5A" w:rsidR="00BE4AEC" w:rsidRDefault="00BE4AEC">
      <w:r>
        <w:br w:type="page"/>
      </w:r>
    </w:p>
    <w:p w14:paraId="7A8D7C39" w14:textId="23FFE9CB" w:rsidR="00823F35" w:rsidRDefault="00CC34C3" w:rsidP="00E30556">
      <w:pPr>
        <w:pStyle w:val="Caption"/>
        <w:keepNext/>
        <w:adjustRightInd w:val="0"/>
        <w:snapToGrid w:val="0"/>
        <w:contextualSpacing/>
        <w:outlineLvl w:val="2"/>
        <w:rPr>
          <w:rFonts w:ascii="Arial" w:hAnsi="Arial" w:cs="Arial"/>
          <w:i w:val="0"/>
          <w:iCs w:val="0"/>
          <w:sz w:val="24"/>
          <w:szCs w:val="20"/>
          <w:u w:val="single"/>
        </w:rPr>
      </w:pPr>
      <w:bookmarkStart w:id="26" w:name="_Toc121909733"/>
      <w:r w:rsidRPr="00CC34C3">
        <w:rPr>
          <w:rFonts w:ascii="Arial" w:hAnsi="Arial" w:cs="Arial"/>
          <w:i w:val="0"/>
          <w:iCs w:val="0"/>
          <w:sz w:val="24"/>
          <w:szCs w:val="20"/>
          <w:u w:val="single"/>
        </w:rPr>
        <w:lastRenderedPageBreak/>
        <w:t xml:space="preserve">Supplementary table </w:t>
      </w:r>
      <w:r w:rsidR="00364D21">
        <w:rPr>
          <w:rFonts w:ascii="Arial" w:hAnsi="Arial" w:cs="Arial"/>
          <w:i w:val="0"/>
          <w:iCs w:val="0"/>
          <w:sz w:val="24"/>
          <w:szCs w:val="20"/>
          <w:u w:val="single"/>
        </w:rPr>
        <w:t>6</w:t>
      </w:r>
      <w:r w:rsidRPr="00CC34C3">
        <w:rPr>
          <w:rFonts w:ascii="Arial" w:hAnsi="Arial" w:cs="Arial"/>
          <w:i w:val="0"/>
          <w:iCs w:val="0"/>
          <w:sz w:val="24"/>
          <w:szCs w:val="20"/>
          <w:u w:val="single"/>
        </w:rPr>
        <w:t>:</w:t>
      </w:r>
      <w:bookmarkEnd w:id="26"/>
    </w:p>
    <w:p w14:paraId="448778B7" w14:textId="1D63458B" w:rsidR="00CC34C3" w:rsidRPr="00CC34C3" w:rsidRDefault="00CC34C3" w:rsidP="00E30556">
      <w:pPr>
        <w:pStyle w:val="Caption"/>
        <w:keepNext/>
        <w:adjustRightInd w:val="0"/>
        <w:snapToGrid w:val="0"/>
        <w:contextualSpacing/>
        <w:rPr>
          <w:rFonts w:ascii="Arial" w:hAnsi="Arial" w:cs="Arial"/>
          <w:i w:val="0"/>
          <w:iCs w:val="0"/>
        </w:rPr>
      </w:pPr>
      <w:r w:rsidRPr="00CC34C3">
        <w:rPr>
          <w:rFonts w:ascii="Arial" w:hAnsi="Arial" w:cs="Arial"/>
          <w:i w:val="0"/>
          <w:iCs w:val="0"/>
        </w:rPr>
        <w:t xml:space="preserve">Percentage (number) of participants who experienced </w:t>
      </w:r>
      <w:r w:rsidR="00441E39">
        <w:rPr>
          <w:rFonts w:ascii="Arial" w:hAnsi="Arial" w:cs="Arial"/>
          <w:i w:val="0"/>
          <w:iCs w:val="0"/>
        </w:rPr>
        <w:t>biopsy-proven</w:t>
      </w:r>
      <w:r w:rsidR="00DA36FE">
        <w:rPr>
          <w:rFonts w:ascii="Arial" w:hAnsi="Arial" w:cs="Arial"/>
          <w:i w:val="0"/>
          <w:iCs w:val="0"/>
        </w:rPr>
        <w:t xml:space="preserve"> </w:t>
      </w:r>
      <w:r w:rsidRPr="00CC34C3">
        <w:rPr>
          <w:rFonts w:ascii="Arial" w:hAnsi="Arial" w:cs="Arial"/>
          <w:i w:val="0"/>
          <w:iCs w:val="0"/>
        </w:rPr>
        <w:t xml:space="preserve">malignancies by </w:t>
      </w:r>
      <w:r w:rsidR="00BC4EE1">
        <w:rPr>
          <w:rFonts w:ascii="Arial" w:hAnsi="Arial" w:cs="Arial"/>
          <w:i w:val="0"/>
          <w:iCs w:val="0"/>
        </w:rPr>
        <w:t>s</w:t>
      </w:r>
      <w:r w:rsidRPr="00CC34C3">
        <w:rPr>
          <w:rFonts w:ascii="Arial" w:hAnsi="Arial" w:cs="Arial"/>
          <w:i w:val="0"/>
          <w:iCs w:val="0"/>
        </w:rPr>
        <w:t>ite of malignancy and group</w:t>
      </w:r>
    </w:p>
    <w:tbl>
      <w:tblPr>
        <w:tblStyle w:val="PlainTable4"/>
        <w:tblpPr w:leftFromText="180" w:rightFromText="180" w:vertAnchor="text" w:horzAnchor="margin" w:tblpXSpec="center" w:tblpY="252"/>
        <w:tblW w:w="13887" w:type="dxa"/>
        <w:tblBorders>
          <w:top w:val="single" w:sz="4" w:space="0" w:color="auto"/>
          <w:left w:val="single" w:sz="4" w:space="0" w:color="auto"/>
          <w:bottom w:val="single" w:sz="4" w:space="0" w:color="auto"/>
          <w:right w:val="single" w:sz="4" w:space="0" w:color="auto"/>
        </w:tblBorders>
        <w:tblLayout w:type="fixed"/>
        <w:tblLook w:val="0420" w:firstRow="1" w:lastRow="0" w:firstColumn="0" w:lastColumn="0" w:noHBand="0" w:noVBand="1"/>
      </w:tblPr>
      <w:tblGrid>
        <w:gridCol w:w="1980"/>
        <w:gridCol w:w="1843"/>
        <w:gridCol w:w="1417"/>
        <w:gridCol w:w="1843"/>
        <w:gridCol w:w="1701"/>
        <w:gridCol w:w="1701"/>
        <w:gridCol w:w="1984"/>
        <w:gridCol w:w="1418"/>
      </w:tblGrid>
      <w:tr w:rsidR="00BC4EE1" w:rsidRPr="00854974" w14:paraId="2CECCFBE" w14:textId="77777777" w:rsidTr="00875A6B">
        <w:trPr>
          <w:cnfStyle w:val="100000000000" w:firstRow="1" w:lastRow="0" w:firstColumn="0" w:lastColumn="0" w:oddVBand="0" w:evenVBand="0" w:oddHBand="0" w:evenHBand="0" w:firstRowFirstColumn="0" w:firstRowLastColumn="0" w:lastRowFirstColumn="0" w:lastRowLastColumn="0"/>
        </w:trPr>
        <w:tc>
          <w:tcPr>
            <w:tcW w:w="1980" w:type="dxa"/>
            <w:tcBorders>
              <w:top w:val="single" w:sz="4" w:space="0" w:color="auto"/>
              <w:bottom w:val="single" w:sz="4" w:space="0" w:color="auto"/>
            </w:tcBorders>
          </w:tcPr>
          <w:p w14:paraId="764BAABB" w14:textId="77777777" w:rsidR="00BC4EE1" w:rsidRPr="00854974" w:rsidRDefault="00BC4EE1" w:rsidP="00E30556">
            <w:pPr>
              <w:adjustRightInd w:val="0"/>
              <w:snapToGrid w:val="0"/>
              <w:spacing w:before="100" w:after="100"/>
              <w:ind w:left="100" w:right="100"/>
              <w:contextualSpacing/>
              <w:rPr>
                <w:rFonts w:ascii="Arial" w:eastAsia="Times New Roman" w:hAnsi="Arial" w:cs="Arial"/>
                <w:color w:val="000000"/>
                <w:lang w:eastAsia="en-GB"/>
              </w:rPr>
            </w:pPr>
          </w:p>
        </w:tc>
        <w:tc>
          <w:tcPr>
            <w:tcW w:w="3260" w:type="dxa"/>
            <w:gridSpan w:val="2"/>
            <w:tcBorders>
              <w:top w:val="single" w:sz="4" w:space="0" w:color="auto"/>
              <w:bottom w:val="single" w:sz="4" w:space="0" w:color="auto"/>
            </w:tcBorders>
          </w:tcPr>
          <w:p w14:paraId="24BC0D65" w14:textId="2AA314D0" w:rsidR="00BC4EE1" w:rsidRPr="00854974" w:rsidRDefault="00BC4EE1"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DSA+</w:t>
            </w:r>
          </w:p>
        </w:tc>
        <w:tc>
          <w:tcPr>
            <w:tcW w:w="3544" w:type="dxa"/>
            <w:gridSpan w:val="2"/>
            <w:tcBorders>
              <w:top w:val="single" w:sz="4" w:space="0" w:color="auto"/>
              <w:bottom w:val="single" w:sz="4" w:space="0" w:color="auto"/>
            </w:tcBorders>
          </w:tcPr>
          <w:p w14:paraId="7B211D84" w14:textId="26F0BD78" w:rsidR="00BC4EE1" w:rsidRPr="00854974" w:rsidRDefault="00BC4EE1"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Non-DSA+</w:t>
            </w:r>
          </w:p>
        </w:tc>
        <w:tc>
          <w:tcPr>
            <w:tcW w:w="3685" w:type="dxa"/>
            <w:gridSpan w:val="2"/>
            <w:tcBorders>
              <w:top w:val="single" w:sz="4" w:space="0" w:color="auto"/>
              <w:bottom w:val="single" w:sz="4" w:space="0" w:color="auto"/>
            </w:tcBorders>
          </w:tcPr>
          <w:p w14:paraId="151A2875" w14:textId="5306E555" w:rsidR="00BC4EE1" w:rsidRPr="00854974" w:rsidRDefault="00BC4EE1"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No HLA Ab</w:t>
            </w:r>
          </w:p>
        </w:tc>
        <w:tc>
          <w:tcPr>
            <w:tcW w:w="1418" w:type="dxa"/>
            <w:tcBorders>
              <w:top w:val="single" w:sz="4" w:space="0" w:color="auto"/>
              <w:bottom w:val="single" w:sz="4" w:space="0" w:color="auto"/>
            </w:tcBorders>
          </w:tcPr>
          <w:p w14:paraId="278ED0CB" w14:textId="77777777" w:rsidR="00BC4EE1" w:rsidRPr="00854974" w:rsidRDefault="00BC4EE1" w:rsidP="00E30556">
            <w:pPr>
              <w:adjustRightInd w:val="0"/>
              <w:snapToGrid w:val="0"/>
              <w:spacing w:before="100" w:after="100"/>
              <w:ind w:left="100" w:right="100"/>
              <w:contextualSpacing/>
              <w:jc w:val="center"/>
              <w:rPr>
                <w:rFonts w:ascii="Arial" w:eastAsia="Arial" w:hAnsi="Arial" w:cs="Arial"/>
                <w:color w:val="000000"/>
              </w:rPr>
            </w:pPr>
          </w:p>
        </w:tc>
      </w:tr>
      <w:tr w:rsidR="00CC34C3" w:rsidRPr="00854974" w14:paraId="6ED24527" w14:textId="77777777" w:rsidTr="00875A6B">
        <w:trPr>
          <w:cnfStyle w:val="000000100000" w:firstRow="0" w:lastRow="0" w:firstColumn="0" w:lastColumn="0" w:oddVBand="0" w:evenVBand="0" w:oddHBand="1" w:evenHBand="0" w:firstRowFirstColumn="0" w:firstRowLastColumn="0" w:lastRowFirstColumn="0" w:lastRowLastColumn="0"/>
        </w:trPr>
        <w:tc>
          <w:tcPr>
            <w:tcW w:w="1980" w:type="dxa"/>
            <w:tcBorders>
              <w:top w:val="single" w:sz="4" w:space="0" w:color="auto"/>
              <w:bottom w:val="single" w:sz="4" w:space="0" w:color="auto"/>
            </w:tcBorders>
          </w:tcPr>
          <w:p w14:paraId="1C2EEC7C" w14:textId="77777777" w:rsidR="00CC34C3" w:rsidRPr="00854974" w:rsidRDefault="00CC34C3" w:rsidP="00E30556">
            <w:pPr>
              <w:adjustRightInd w:val="0"/>
              <w:snapToGrid w:val="0"/>
              <w:spacing w:before="100" w:after="100"/>
              <w:ind w:left="100" w:right="100"/>
              <w:contextualSpacing/>
              <w:rPr>
                <w:rFonts w:ascii="Arial" w:eastAsia="Arial" w:hAnsi="Arial" w:cs="Arial"/>
                <w:color w:val="000000"/>
              </w:rPr>
            </w:pPr>
            <w:r w:rsidRPr="00854974">
              <w:rPr>
                <w:rFonts w:ascii="Arial" w:eastAsia="Times New Roman" w:hAnsi="Arial" w:cs="Arial"/>
                <w:color w:val="000000"/>
                <w:lang w:eastAsia="en-GB"/>
              </w:rPr>
              <w:t>Site of malignancy</w:t>
            </w:r>
          </w:p>
        </w:tc>
        <w:tc>
          <w:tcPr>
            <w:tcW w:w="1843" w:type="dxa"/>
            <w:tcBorders>
              <w:top w:val="single" w:sz="4" w:space="0" w:color="auto"/>
              <w:bottom w:val="single" w:sz="4" w:space="0" w:color="auto"/>
            </w:tcBorders>
          </w:tcPr>
          <w:p w14:paraId="4F330905" w14:textId="4EF86C77" w:rsidR="00CC34C3" w:rsidRPr="00854974" w:rsidRDefault="00BC4EE1"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Blinded (</w:t>
            </w:r>
            <w:r w:rsidR="00CC34C3" w:rsidRPr="00854974">
              <w:rPr>
                <w:rFonts w:ascii="Arial" w:eastAsia="Arial" w:hAnsi="Arial" w:cs="Arial"/>
                <w:color w:val="000000"/>
              </w:rPr>
              <w:t>SC</w:t>
            </w:r>
            <w:r>
              <w:rPr>
                <w:rFonts w:ascii="Arial" w:eastAsia="Arial" w:hAnsi="Arial" w:cs="Arial"/>
                <w:color w:val="000000"/>
              </w:rPr>
              <w:t>)</w:t>
            </w:r>
          </w:p>
        </w:tc>
        <w:tc>
          <w:tcPr>
            <w:tcW w:w="1417" w:type="dxa"/>
            <w:tcBorders>
              <w:top w:val="single" w:sz="4" w:space="0" w:color="auto"/>
              <w:bottom w:val="single" w:sz="4" w:space="0" w:color="auto"/>
            </w:tcBorders>
          </w:tcPr>
          <w:p w14:paraId="73EDD297" w14:textId="10EABF6B" w:rsidR="00CC34C3" w:rsidRPr="00854974" w:rsidRDefault="00BC4EE1"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Unblinded (</w:t>
            </w:r>
            <w:r w:rsidR="00CC34C3" w:rsidRPr="00854974">
              <w:rPr>
                <w:rFonts w:ascii="Arial" w:eastAsia="Arial" w:hAnsi="Arial" w:cs="Arial"/>
                <w:color w:val="000000"/>
              </w:rPr>
              <w:t>BLC</w:t>
            </w:r>
            <w:r>
              <w:rPr>
                <w:rFonts w:ascii="Arial" w:eastAsia="Arial" w:hAnsi="Arial" w:cs="Arial"/>
                <w:color w:val="000000"/>
              </w:rPr>
              <w:t>)</w:t>
            </w:r>
          </w:p>
        </w:tc>
        <w:tc>
          <w:tcPr>
            <w:tcW w:w="1843" w:type="dxa"/>
            <w:tcBorders>
              <w:top w:val="single" w:sz="4" w:space="0" w:color="auto"/>
              <w:bottom w:val="single" w:sz="4" w:space="0" w:color="auto"/>
            </w:tcBorders>
          </w:tcPr>
          <w:p w14:paraId="05B4D987" w14:textId="480434CB" w:rsidR="00CC34C3" w:rsidRPr="00854974" w:rsidRDefault="00BC4EE1"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Blinded (</w:t>
            </w:r>
            <w:r w:rsidRPr="00854974">
              <w:rPr>
                <w:rFonts w:ascii="Arial" w:eastAsia="Arial" w:hAnsi="Arial" w:cs="Arial"/>
                <w:color w:val="000000"/>
              </w:rPr>
              <w:t>SC</w:t>
            </w:r>
            <w:r>
              <w:rPr>
                <w:rFonts w:ascii="Arial" w:eastAsia="Arial" w:hAnsi="Arial" w:cs="Arial"/>
                <w:color w:val="000000"/>
              </w:rPr>
              <w:t>)</w:t>
            </w:r>
          </w:p>
        </w:tc>
        <w:tc>
          <w:tcPr>
            <w:tcW w:w="1701" w:type="dxa"/>
            <w:tcBorders>
              <w:top w:val="single" w:sz="4" w:space="0" w:color="auto"/>
              <w:bottom w:val="single" w:sz="4" w:space="0" w:color="auto"/>
            </w:tcBorders>
          </w:tcPr>
          <w:p w14:paraId="0609CE76" w14:textId="286E8801" w:rsidR="00CC34C3" w:rsidRPr="00854974" w:rsidRDefault="00BC4EE1"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Unblinded (</w:t>
            </w:r>
            <w:r w:rsidRPr="00854974">
              <w:rPr>
                <w:rFonts w:ascii="Arial" w:eastAsia="Arial" w:hAnsi="Arial" w:cs="Arial"/>
                <w:color w:val="000000"/>
              </w:rPr>
              <w:t>BLC</w:t>
            </w:r>
            <w:r>
              <w:rPr>
                <w:rFonts w:ascii="Arial" w:eastAsia="Arial" w:hAnsi="Arial" w:cs="Arial"/>
                <w:color w:val="000000"/>
              </w:rPr>
              <w:t>)</w:t>
            </w:r>
          </w:p>
        </w:tc>
        <w:tc>
          <w:tcPr>
            <w:tcW w:w="1701" w:type="dxa"/>
            <w:tcBorders>
              <w:top w:val="single" w:sz="4" w:space="0" w:color="auto"/>
              <w:bottom w:val="single" w:sz="4" w:space="0" w:color="auto"/>
            </w:tcBorders>
          </w:tcPr>
          <w:p w14:paraId="4142441B" w14:textId="59EF3876" w:rsidR="00CC34C3" w:rsidRPr="00854974" w:rsidRDefault="00BC4EE1"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Blinded (</w:t>
            </w:r>
            <w:r w:rsidRPr="00854974">
              <w:rPr>
                <w:rFonts w:ascii="Arial" w:eastAsia="Arial" w:hAnsi="Arial" w:cs="Arial"/>
                <w:color w:val="000000"/>
              </w:rPr>
              <w:t>SC</w:t>
            </w:r>
            <w:r>
              <w:rPr>
                <w:rFonts w:ascii="Arial" w:eastAsia="Arial" w:hAnsi="Arial" w:cs="Arial"/>
                <w:color w:val="000000"/>
              </w:rPr>
              <w:t>)</w:t>
            </w:r>
          </w:p>
        </w:tc>
        <w:tc>
          <w:tcPr>
            <w:tcW w:w="1984" w:type="dxa"/>
            <w:tcBorders>
              <w:top w:val="single" w:sz="4" w:space="0" w:color="auto"/>
              <w:bottom w:val="single" w:sz="4" w:space="0" w:color="auto"/>
            </w:tcBorders>
            <w:hideMark/>
          </w:tcPr>
          <w:p w14:paraId="263BA557" w14:textId="2CE4B13D" w:rsidR="00CC34C3" w:rsidRPr="00854974" w:rsidRDefault="00BC4EE1" w:rsidP="00E30556">
            <w:pPr>
              <w:adjustRightInd w:val="0"/>
              <w:snapToGrid w:val="0"/>
              <w:spacing w:before="100" w:after="100"/>
              <w:ind w:left="100" w:right="100"/>
              <w:contextualSpacing/>
              <w:jc w:val="center"/>
            </w:pPr>
            <w:r>
              <w:rPr>
                <w:rFonts w:ascii="Arial" w:eastAsia="Arial" w:hAnsi="Arial" w:cs="Arial"/>
                <w:color w:val="000000"/>
              </w:rPr>
              <w:t>Unblinded (</w:t>
            </w:r>
            <w:r w:rsidRPr="00854974">
              <w:rPr>
                <w:rFonts w:ascii="Arial" w:eastAsia="Arial" w:hAnsi="Arial" w:cs="Arial"/>
                <w:color w:val="000000"/>
              </w:rPr>
              <w:t>BLC</w:t>
            </w:r>
            <w:r>
              <w:rPr>
                <w:rFonts w:ascii="Arial" w:eastAsia="Arial" w:hAnsi="Arial" w:cs="Arial"/>
                <w:color w:val="000000"/>
              </w:rPr>
              <w:t>)</w:t>
            </w:r>
          </w:p>
        </w:tc>
        <w:tc>
          <w:tcPr>
            <w:tcW w:w="1418" w:type="dxa"/>
            <w:tcBorders>
              <w:top w:val="single" w:sz="4" w:space="0" w:color="auto"/>
              <w:bottom w:val="single" w:sz="4" w:space="0" w:color="auto"/>
            </w:tcBorders>
            <w:hideMark/>
          </w:tcPr>
          <w:p w14:paraId="5942B2CD" w14:textId="77777777" w:rsidR="00CC34C3" w:rsidRPr="00854974" w:rsidRDefault="00CC34C3" w:rsidP="00E30556">
            <w:pPr>
              <w:adjustRightInd w:val="0"/>
              <w:snapToGrid w:val="0"/>
              <w:spacing w:before="100" w:after="100"/>
              <w:ind w:left="100" w:right="100"/>
              <w:contextualSpacing/>
              <w:jc w:val="center"/>
            </w:pPr>
            <w:r w:rsidRPr="00854974">
              <w:rPr>
                <w:rFonts w:ascii="Arial" w:eastAsia="Arial" w:hAnsi="Arial" w:cs="Arial"/>
                <w:color w:val="000000"/>
              </w:rPr>
              <w:t>Total</w:t>
            </w:r>
          </w:p>
        </w:tc>
      </w:tr>
      <w:tr w:rsidR="00F0590B" w14:paraId="60C06DCB" w14:textId="77777777" w:rsidTr="00875A6B">
        <w:tc>
          <w:tcPr>
            <w:tcW w:w="1980" w:type="dxa"/>
            <w:tcBorders>
              <w:top w:val="single" w:sz="4" w:space="0" w:color="auto"/>
            </w:tcBorders>
          </w:tcPr>
          <w:p w14:paraId="13B3CB7A" w14:textId="77777777" w:rsidR="00F0590B" w:rsidRDefault="00F0590B" w:rsidP="00E30556">
            <w:pPr>
              <w:adjustRightInd w:val="0"/>
              <w:snapToGrid w:val="0"/>
              <w:spacing w:before="100" w:after="100"/>
              <w:ind w:left="100" w:right="100"/>
              <w:contextualSpacing/>
              <w:rPr>
                <w:rFonts w:ascii="Arial" w:eastAsia="Arial" w:hAnsi="Arial" w:cs="Arial"/>
                <w:color w:val="000000"/>
              </w:rPr>
            </w:pPr>
            <w:r w:rsidRPr="00084D84">
              <w:rPr>
                <w:rFonts w:ascii="Arial" w:eastAsia="Arial" w:hAnsi="Arial" w:cs="Arial"/>
                <w:color w:val="000000"/>
              </w:rPr>
              <w:t>Skin</w:t>
            </w:r>
          </w:p>
        </w:tc>
        <w:tc>
          <w:tcPr>
            <w:tcW w:w="1843" w:type="dxa"/>
            <w:tcBorders>
              <w:top w:val="single" w:sz="4" w:space="0" w:color="auto"/>
            </w:tcBorders>
          </w:tcPr>
          <w:p w14:paraId="7391C6C8" w14:textId="22602FCA"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3 (3.3%)</w:t>
            </w:r>
          </w:p>
        </w:tc>
        <w:tc>
          <w:tcPr>
            <w:tcW w:w="1417" w:type="dxa"/>
            <w:tcBorders>
              <w:top w:val="single" w:sz="4" w:space="0" w:color="auto"/>
            </w:tcBorders>
          </w:tcPr>
          <w:p w14:paraId="3A83E117" w14:textId="6D39186D"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6 (5.7%)</w:t>
            </w:r>
          </w:p>
        </w:tc>
        <w:tc>
          <w:tcPr>
            <w:tcW w:w="1843" w:type="dxa"/>
            <w:tcBorders>
              <w:top w:val="single" w:sz="4" w:space="0" w:color="auto"/>
            </w:tcBorders>
          </w:tcPr>
          <w:p w14:paraId="705F01B3" w14:textId="1D768065"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23 (5.9%)</w:t>
            </w:r>
          </w:p>
        </w:tc>
        <w:tc>
          <w:tcPr>
            <w:tcW w:w="1701" w:type="dxa"/>
            <w:tcBorders>
              <w:top w:val="single" w:sz="4" w:space="0" w:color="auto"/>
            </w:tcBorders>
          </w:tcPr>
          <w:p w14:paraId="07D121C6" w14:textId="377DFEC4"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23 (5.4%)</w:t>
            </w:r>
          </w:p>
        </w:tc>
        <w:tc>
          <w:tcPr>
            <w:tcW w:w="1701" w:type="dxa"/>
            <w:tcBorders>
              <w:top w:val="single" w:sz="4" w:space="0" w:color="auto"/>
            </w:tcBorders>
          </w:tcPr>
          <w:p w14:paraId="7D095236" w14:textId="52512894"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24 (4.6%)</w:t>
            </w:r>
          </w:p>
        </w:tc>
        <w:tc>
          <w:tcPr>
            <w:tcW w:w="1984" w:type="dxa"/>
            <w:tcBorders>
              <w:top w:val="single" w:sz="4" w:space="0" w:color="auto"/>
            </w:tcBorders>
            <w:hideMark/>
          </w:tcPr>
          <w:p w14:paraId="69A3E50A" w14:textId="0EDFF6B5"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15 (3.1%)</w:t>
            </w:r>
          </w:p>
        </w:tc>
        <w:tc>
          <w:tcPr>
            <w:tcW w:w="1418" w:type="dxa"/>
            <w:tcBorders>
              <w:top w:val="single" w:sz="4" w:space="0" w:color="auto"/>
            </w:tcBorders>
            <w:hideMark/>
          </w:tcPr>
          <w:p w14:paraId="4F96A18D" w14:textId="72FC2E9A"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94 (4.7%)</w:t>
            </w:r>
          </w:p>
        </w:tc>
      </w:tr>
      <w:tr w:rsidR="00F0590B" w14:paraId="4772075B" w14:textId="77777777" w:rsidTr="00875A6B">
        <w:trPr>
          <w:cnfStyle w:val="000000100000" w:firstRow="0" w:lastRow="0" w:firstColumn="0" w:lastColumn="0" w:oddVBand="0" w:evenVBand="0" w:oddHBand="1" w:evenHBand="0" w:firstRowFirstColumn="0" w:firstRowLastColumn="0" w:lastRowFirstColumn="0" w:lastRowLastColumn="0"/>
        </w:trPr>
        <w:tc>
          <w:tcPr>
            <w:tcW w:w="1980" w:type="dxa"/>
          </w:tcPr>
          <w:p w14:paraId="51410134" w14:textId="77777777" w:rsidR="00F0590B" w:rsidRDefault="00F0590B" w:rsidP="00E30556">
            <w:pPr>
              <w:adjustRightInd w:val="0"/>
              <w:snapToGrid w:val="0"/>
              <w:spacing w:before="100" w:after="100"/>
              <w:ind w:left="100" w:right="100"/>
              <w:contextualSpacing/>
              <w:rPr>
                <w:rFonts w:ascii="Arial" w:eastAsia="Arial" w:hAnsi="Arial" w:cs="Arial"/>
                <w:color w:val="000000"/>
              </w:rPr>
            </w:pPr>
            <w:r w:rsidRPr="00084D84">
              <w:rPr>
                <w:rFonts w:ascii="Arial" w:eastAsia="Arial" w:hAnsi="Arial" w:cs="Arial"/>
                <w:color w:val="000000"/>
              </w:rPr>
              <w:t>Lymph node</w:t>
            </w:r>
          </w:p>
        </w:tc>
        <w:tc>
          <w:tcPr>
            <w:tcW w:w="1843" w:type="dxa"/>
          </w:tcPr>
          <w:p w14:paraId="45D7F66A" w14:textId="18B77597"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084D84">
              <w:rPr>
                <w:rFonts w:ascii="Arial" w:eastAsia="Times New Roman" w:hAnsi="Arial" w:cs="Arial"/>
                <w:color w:val="000000"/>
                <w:lang w:eastAsia="en-GB"/>
              </w:rPr>
              <w:t>0 (0.0%)</w:t>
            </w:r>
          </w:p>
        </w:tc>
        <w:tc>
          <w:tcPr>
            <w:tcW w:w="1417" w:type="dxa"/>
          </w:tcPr>
          <w:p w14:paraId="09152823" w14:textId="5CA46F17"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1 (0.9%)</w:t>
            </w:r>
          </w:p>
        </w:tc>
        <w:tc>
          <w:tcPr>
            <w:tcW w:w="1843" w:type="dxa"/>
          </w:tcPr>
          <w:p w14:paraId="0BB18236" w14:textId="4F7B7127"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4 (1.0%)</w:t>
            </w:r>
          </w:p>
        </w:tc>
        <w:tc>
          <w:tcPr>
            <w:tcW w:w="1701" w:type="dxa"/>
          </w:tcPr>
          <w:p w14:paraId="33DD0DA3" w14:textId="14037A37"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Times New Roman" w:hAnsi="Arial" w:cs="Arial"/>
                <w:color w:val="000000"/>
                <w:lang w:eastAsia="en-GB"/>
              </w:rPr>
              <w:t>2</w:t>
            </w:r>
            <w:r w:rsidRPr="00084D84">
              <w:rPr>
                <w:rFonts w:ascii="Arial" w:eastAsia="Times New Roman" w:hAnsi="Arial" w:cs="Arial"/>
                <w:color w:val="000000"/>
                <w:lang w:eastAsia="en-GB"/>
              </w:rPr>
              <w:t xml:space="preserve"> (0.</w:t>
            </w:r>
            <w:r>
              <w:rPr>
                <w:rFonts w:ascii="Arial" w:eastAsia="Times New Roman" w:hAnsi="Arial" w:cs="Arial"/>
                <w:color w:val="000000"/>
                <w:lang w:eastAsia="en-GB"/>
              </w:rPr>
              <w:t>5</w:t>
            </w:r>
            <w:r w:rsidRPr="00084D84">
              <w:rPr>
                <w:rFonts w:ascii="Arial" w:eastAsia="Times New Roman" w:hAnsi="Arial" w:cs="Arial"/>
                <w:color w:val="000000"/>
                <w:lang w:eastAsia="en-GB"/>
              </w:rPr>
              <w:t>%)</w:t>
            </w:r>
          </w:p>
        </w:tc>
        <w:tc>
          <w:tcPr>
            <w:tcW w:w="1701" w:type="dxa"/>
          </w:tcPr>
          <w:p w14:paraId="4260ECA6" w14:textId="5DD37413"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1 (0.2%)</w:t>
            </w:r>
          </w:p>
        </w:tc>
        <w:tc>
          <w:tcPr>
            <w:tcW w:w="1984" w:type="dxa"/>
            <w:hideMark/>
          </w:tcPr>
          <w:p w14:paraId="1B636C41" w14:textId="1CA77283"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2 (0.4%)</w:t>
            </w:r>
          </w:p>
        </w:tc>
        <w:tc>
          <w:tcPr>
            <w:tcW w:w="1418" w:type="dxa"/>
            <w:hideMark/>
          </w:tcPr>
          <w:p w14:paraId="503CCC2F" w14:textId="6EEF2245"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10 (0.5%)</w:t>
            </w:r>
          </w:p>
        </w:tc>
      </w:tr>
      <w:tr w:rsidR="00F0590B" w14:paraId="1BCD27FA" w14:textId="77777777" w:rsidTr="00875A6B">
        <w:tc>
          <w:tcPr>
            <w:tcW w:w="1980" w:type="dxa"/>
          </w:tcPr>
          <w:p w14:paraId="7C91178E" w14:textId="77777777" w:rsidR="00F0590B" w:rsidRDefault="00F0590B" w:rsidP="00E30556">
            <w:pPr>
              <w:adjustRightInd w:val="0"/>
              <w:snapToGrid w:val="0"/>
              <w:spacing w:before="100" w:after="100"/>
              <w:ind w:left="100" w:right="100"/>
              <w:contextualSpacing/>
              <w:rPr>
                <w:rFonts w:ascii="Arial" w:eastAsia="Arial" w:hAnsi="Arial" w:cs="Arial"/>
                <w:color w:val="000000"/>
              </w:rPr>
            </w:pPr>
            <w:r w:rsidRPr="00084D84">
              <w:rPr>
                <w:rFonts w:ascii="Arial" w:eastAsia="Arial" w:hAnsi="Arial" w:cs="Arial"/>
                <w:color w:val="000000"/>
              </w:rPr>
              <w:t>Lung</w:t>
            </w:r>
          </w:p>
        </w:tc>
        <w:tc>
          <w:tcPr>
            <w:tcW w:w="1843" w:type="dxa"/>
          </w:tcPr>
          <w:p w14:paraId="65419932" w14:textId="6891CCD9"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1 (1.1%)</w:t>
            </w:r>
          </w:p>
        </w:tc>
        <w:tc>
          <w:tcPr>
            <w:tcW w:w="1417" w:type="dxa"/>
          </w:tcPr>
          <w:p w14:paraId="209F01AF" w14:textId="2E73478E"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7842F4">
              <w:rPr>
                <w:rFonts w:ascii="Arial" w:eastAsia="Times New Roman" w:hAnsi="Arial" w:cs="Arial"/>
                <w:color w:val="000000"/>
                <w:lang w:eastAsia="en-GB"/>
              </w:rPr>
              <w:t>0 (0.0%)</w:t>
            </w:r>
          </w:p>
        </w:tc>
        <w:tc>
          <w:tcPr>
            <w:tcW w:w="1843" w:type="dxa"/>
          </w:tcPr>
          <w:p w14:paraId="0F106D58" w14:textId="126B5963"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Times New Roman" w:hAnsi="Arial" w:cs="Arial"/>
                <w:color w:val="000000"/>
                <w:lang w:eastAsia="en-GB"/>
              </w:rPr>
              <w:t>0</w:t>
            </w:r>
            <w:r w:rsidRPr="00346013">
              <w:rPr>
                <w:rFonts w:ascii="Arial" w:eastAsia="Times New Roman" w:hAnsi="Arial" w:cs="Arial"/>
                <w:color w:val="000000"/>
                <w:lang w:eastAsia="en-GB"/>
              </w:rPr>
              <w:t xml:space="preserve"> (0.</w:t>
            </w:r>
            <w:r>
              <w:rPr>
                <w:rFonts w:ascii="Arial" w:eastAsia="Times New Roman" w:hAnsi="Arial" w:cs="Arial"/>
                <w:color w:val="000000"/>
                <w:lang w:eastAsia="en-GB"/>
              </w:rPr>
              <w:t>0</w:t>
            </w:r>
            <w:r w:rsidRPr="00346013">
              <w:rPr>
                <w:rFonts w:ascii="Arial" w:eastAsia="Times New Roman" w:hAnsi="Arial" w:cs="Arial"/>
                <w:color w:val="000000"/>
                <w:lang w:eastAsia="en-GB"/>
              </w:rPr>
              <w:t>%)</w:t>
            </w:r>
          </w:p>
        </w:tc>
        <w:tc>
          <w:tcPr>
            <w:tcW w:w="1701" w:type="dxa"/>
          </w:tcPr>
          <w:p w14:paraId="043F897C" w14:textId="2A806F0F"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1 (0.2%)</w:t>
            </w:r>
          </w:p>
        </w:tc>
        <w:tc>
          <w:tcPr>
            <w:tcW w:w="1701" w:type="dxa"/>
          </w:tcPr>
          <w:p w14:paraId="148A1C96" w14:textId="2B3A30EA"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0 (0.0%)</w:t>
            </w:r>
          </w:p>
        </w:tc>
        <w:tc>
          <w:tcPr>
            <w:tcW w:w="1984" w:type="dxa"/>
            <w:hideMark/>
          </w:tcPr>
          <w:p w14:paraId="1177655C" w14:textId="4D7CB37F"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2 (0.4%)</w:t>
            </w:r>
          </w:p>
        </w:tc>
        <w:tc>
          <w:tcPr>
            <w:tcW w:w="1418" w:type="dxa"/>
            <w:hideMark/>
          </w:tcPr>
          <w:p w14:paraId="2C783D1C" w14:textId="25EEC87A"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4 (0.2%)</w:t>
            </w:r>
          </w:p>
        </w:tc>
      </w:tr>
      <w:tr w:rsidR="00F0590B" w14:paraId="6DC7047E" w14:textId="77777777" w:rsidTr="00875A6B">
        <w:trPr>
          <w:cnfStyle w:val="000000100000" w:firstRow="0" w:lastRow="0" w:firstColumn="0" w:lastColumn="0" w:oddVBand="0" w:evenVBand="0" w:oddHBand="1" w:evenHBand="0" w:firstRowFirstColumn="0" w:firstRowLastColumn="0" w:lastRowFirstColumn="0" w:lastRowLastColumn="0"/>
        </w:trPr>
        <w:tc>
          <w:tcPr>
            <w:tcW w:w="1980" w:type="dxa"/>
          </w:tcPr>
          <w:p w14:paraId="28835C44" w14:textId="77777777" w:rsidR="00F0590B" w:rsidRDefault="00F0590B" w:rsidP="00E30556">
            <w:pPr>
              <w:adjustRightInd w:val="0"/>
              <w:snapToGrid w:val="0"/>
              <w:spacing w:before="100" w:after="100"/>
              <w:ind w:left="100" w:right="100"/>
              <w:contextualSpacing/>
              <w:rPr>
                <w:rFonts w:ascii="Arial" w:eastAsia="Arial" w:hAnsi="Arial" w:cs="Arial"/>
                <w:color w:val="000000"/>
              </w:rPr>
            </w:pPr>
            <w:r w:rsidRPr="00084D84">
              <w:rPr>
                <w:rFonts w:ascii="Arial" w:eastAsia="Arial" w:hAnsi="Arial" w:cs="Arial"/>
                <w:color w:val="000000"/>
              </w:rPr>
              <w:t>Liver</w:t>
            </w:r>
          </w:p>
        </w:tc>
        <w:tc>
          <w:tcPr>
            <w:tcW w:w="1843" w:type="dxa"/>
          </w:tcPr>
          <w:p w14:paraId="52776A41" w14:textId="5AB4850E"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3604CF">
              <w:rPr>
                <w:rFonts w:ascii="Arial" w:eastAsia="Times New Roman" w:hAnsi="Arial" w:cs="Arial"/>
                <w:color w:val="000000"/>
                <w:lang w:eastAsia="en-GB"/>
              </w:rPr>
              <w:t>0 (0.0%)</w:t>
            </w:r>
          </w:p>
        </w:tc>
        <w:tc>
          <w:tcPr>
            <w:tcW w:w="1417" w:type="dxa"/>
          </w:tcPr>
          <w:p w14:paraId="4A341961" w14:textId="602170A6"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7842F4">
              <w:rPr>
                <w:rFonts w:ascii="Arial" w:eastAsia="Times New Roman" w:hAnsi="Arial" w:cs="Arial"/>
                <w:color w:val="000000"/>
                <w:lang w:eastAsia="en-GB"/>
              </w:rPr>
              <w:t>0 (0.0%)</w:t>
            </w:r>
          </w:p>
        </w:tc>
        <w:tc>
          <w:tcPr>
            <w:tcW w:w="1843" w:type="dxa"/>
          </w:tcPr>
          <w:p w14:paraId="4BBE68F1" w14:textId="4C8A5125"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346013">
              <w:rPr>
                <w:rFonts w:ascii="Arial" w:eastAsia="Times New Roman" w:hAnsi="Arial" w:cs="Arial"/>
                <w:color w:val="000000"/>
                <w:lang w:eastAsia="en-GB"/>
              </w:rPr>
              <w:t>0 (0.0%)</w:t>
            </w:r>
          </w:p>
        </w:tc>
        <w:tc>
          <w:tcPr>
            <w:tcW w:w="1701" w:type="dxa"/>
          </w:tcPr>
          <w:p w14:paraId="62CCC30F" w14:textId="5369CBF6"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0 (0.0%)</w:t>
            </w:r>
          </w:p>
        </w:tc>
        <w:tc>
          <w:tcPr>
            <w:tcW w:w="1701" w:type="dxa"/>
          </w:tcPr>
          <w:p w14:paraId="64640AA9" w14:textId="6E28FF4C"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B95355">
              <w:rPr>
                <w:rFonts w:ascii="Arial" w:eastAsia="Times New Roman" w:hAnsi="Arial" w:cs="Arial"/>
                <w:color w:val="000000"/>
                <w:lang w:eastAsia="en-GB"/>
              </w:rPr>
              <w:t>0 (0.0%)</w:t>
            </w:r>
          </w:p>
        </w:tc>
        <w:tc>
          <w:tcPr>
            <w:tcW w:w="1984" w:type="dxa"/>
            <w:hideMark/>
          </w:tcPr>
          <w:p w14:paraId="6CF9EB08" w14:textId="1583676F" w:rsidR="00F0590B" w:rsidRDefault="00F0590B" w:rsidP="00E30556">
            <w:pPr>
              <w:adjustRightInd w:val="0"/>
              <w:snapToGrid w:val="0"/>
              <w:spacing w:before="100" w:after="100"/>
              <w:ind w:left="100" w:right="100"/>
              <w:contextualSpacing/>
              <w:jc w:val="center"/>
            </w:pPr>
            <w:r w:rsidRPr="003E3AA3">
              <w:rPr>
                <w:rFonts w:ascii="Arial" w:eastAsia="Times New Roman" w:hAnsi="Arial" w:cs="Arial"/>
                <w:color w:val="000000"/>
                <w:lang w:eastAsia="en-GB"/>
              </w:rPr>
              <w:t>0 (0.0%)</w:t>
            </w:r>
          </w:p>
        </w:tc>
        <w:tc>
          <w:tcPr>
            <w:tcW w:w="1418" w:type="dxa"/>
            <w:hideMark/>
          </w:tcPr>
          <w:p w14:paraId="4ABA727D" w14:textId="0F5AADA4"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0 (0.0%)</w:t>
            </w:r>
          </w:p>
        </w:tc>
      </w:tr>
      <w:tr w:rsidR="00F0590B" w14:paraId="65B0E034" w14:textId="77777777" w:rsidTr="00875A6B">
        <w:tc>
          <w:tcPr>
            <w:tcW w:w="1980" w:type="dxa"/>
          </w:tcPr>
          <w:p w14:paraId="070442DF" w14:textId="77777777" w:rsidR="00F0590B" w:rsidRDefault="00F0590B" w:rsidP="00E30556">
            <w:pPr>
              <w:adjustRightInd w:val="0"/>
              <w:snapToGrid w:val="0"/>
              <w:spacing w:before="100" w:after="100"/>
              <w:ind w:left="100" w:right="100"/>
              <w:contextualSpacing/>
              <w:rPr>
                <w:rFonts w:ascii="Arial" w:eastAsia="Arial" w:hAnsi="Arial" w:cs="Arial"/>
                <w:color w:val="000000"/>
              </w:rPr>
            </w:pPr>
            <w:r w:rsidRPr="00084D84">
              <w:rPr>
                <w:rFonts w:ascii="Arial" w:eastAsia="Arial" w:hAnsi="Arial" w:cs="Arial"/>
                <w:color w:val="000000"/>
              </w:rPr>
              <w:t>Breast</w:t>
            </w:r>
          </w:p>
        </w:tc>
        <w:tc>
          <w:tcPr>
            <w:tcW w:w="1843" w:type="dxa"/>
          </w:tcPr>
          <w:p w14:paraId="49862A78" w14:textId="126D9201"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3604CF">
              <w:rPr>
                <w:rFonts w:ascii="Arial" w:eastAsia="Times New Roman" w:hAnsi="Arial" w:cs="Arial"/>
                <w:color w:val="000000"/>
                <w:lang w:eastAsia="en-GB"/>
              </w:rPr>
              <w:t>0 (0.0%)</w:t>
            </w:r>
          </w:p>
        </w:tc>
        <w:tc>
          <w:tcPr>
            <w:tcW w:w="1417" w:type="dxa"/>
          </w:tcPr>
          <w:p w14:paraId="3B18260B" w14:textId="21E54085"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7842F4">
              <w:rPr>
                <w:rFonts w:ascii="Arial" w:eastAsia="Times New Roman" w:hAnsi="Arial" w:cs="Arial"/>
                <w:color w:val="000000"/>
                <w:lang w:eastAsia="en-GB"/>
              </w:rPr>
              <w:t>0 (0.0%)</w:t>
            </w:r>
          </w:p>
        </w:tc>
        <w:tc>
          <w:tcPr>
            <w:tcW w:w="1843" w:type="dxa"/>
          </w:tcPr>
          <w:p w14:paraId="287855C7" w14:textId="6F9D4734"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0 (0.0%)</w:t>
            </w:r>
          </w:p>
        </w:tc>
        <w:tc>
          <w:tcPr>
            <w:tcW w:w="1701" w:type="dxa"/>
          </w:tcPr>
          <w:p w14:paraId="2B7F8EB5" w14:textId="3D830CAD"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1 (0.2%)</w:t>
            </w:r>
          </w:p>
        </w:tc>
        <w:tc>
          <w:tcPr>
            <w:tcW w:w="1701" w:type="dxa"/>
          </w:tcPr>
          <w:p w14:paraId="5792804E" w14:textId="3AD17B0E"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B95355">
              <w:rPr>
                <w:rFonts w:ascii="Arial" w:eastAsia="Times New Roman" w:hAnsi="Arial" w:cs="Arial"/>
                <w:color w:val="000000"/>
                <w:lang w:eastAsia="en-GB"/>
              </w:rPr>
              <w:t>0 (0.0%)</w:t>
            </w:r>
          </w:p>
        </w:tc>
        <w:tc>
          <w:tcPr>
            <w:tcW w:w="1984" w:type="dxa"/>
            <w:hideMark/>
          </w:tcPr>
          <w:p w14:paraId="2A512646" w14:textId="443182FE" w:rsidR="00F0590B" w:rsidRDefault="00F0590B" w:rsidP="00E30556">
            <w:pPr>
              <w:adjustRightInd w:val="0"/>
              <w:snapToGrid w:val="0"/>
              <w:spacing w:before="100" w:after="100"/>
              <w:ind w:left="100" w:right="100"/>
              <w:contextualSpacing/>
              <w:jc w:val="center"/>
            </w:pPr>
            <w:r w:rsidRPr="003E3AA3">
              <w:rPr>
                <w:rFonts w:ascii="Arial" w:eastAsia="Times New Roman" w:hAnsi="Arial" w:cs="Arial"/>
                <w:color w:val="000000"/>
                <w:lang w:eastAsia="en-GB"/>
              </w:rPr>
              <w:t>0 (0.0%)</w:t>
            </w:r>
          </w:p>
        </w:tc>
        <w:tc>
          <w:tcPr>
            <w:tcW w:w="1418" w:type="dxa"/>
            <w:hideMark/>
          </w:tcPr>
          <w:p w14:paraId="06362187" w14:textId="2078C5F8"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1 (0.1%)</w:t>
            </w:r>
          </w:p>
        </w:tc>
      </w:tr>
      <w:tr w:rsidR="00F0590B" w14:paraId="1A29B0D5" w14:textId="77777777" w:rsidTr="00875A6B">
        <w:trPr>
          <w:cnfStyle w:val="000000100000" w:firstRow="0" w:lastRow="0" w:firstColumn="0" w:lastColumn="0" w:oddVBand="0" w:evenVBand="0" w:oddHBand="1" w:evenHBand="0" w:firstRowFirstColumn="0" w:firstRowLastColumn="0" w:lastRowFirstColumn="0" w:lastRowLastColumn="0"/>
        </w:trPr>
        <w:tc>
          <w:tcPr>
            <w:tcW w:w="1980" w:type="dxa"/>
          </w:tcPr>
          <w:p w14:paraId="4D961284" w14:textId="77777777" w:rsidR="00F0590B" w:rsidRDefault="00F0590B" w:rsidP="00E30556">
            <w:pPr>
              <w:adjustRightInd w:val="0"/>
              <w:snapToGrid w:val="0"/>
              <w:spacing w:before="100" w:after="100"/>
              <w:ind w:left="100" w:right="100"/>
              <w:contextualSpacing/>
              <w:rPr>
                <w:rFonts w:ascii="Arial" w:eastAsia="Arial" w:hAnsi="Arial" w:cs="Arial"/>
                <w:color w:val="000000"/>
              </w:rPr>
            </w:pPr>
            <w:r w:rsidRPr="00084D84">
              <w:rPr>
                <w:rFonts w:ascii="Arial" w:eastAsia="Arial" w:hAnsi="Arial" w:cs="Arial"/>
                <w:color w:val="000000"/>
              </w:rPr>
              <w:t>Prostate</w:t>
            </w:r>
          </w:p>
        </w:tc>
        <w:tc>
          <w:tcPr>
            <w:tcW w:w="1843" w:type="dxa"/>
          </w:tcPr>
          <w:p w14:paraId="115133D0" w14:textId="08CFCC01"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3604CF">
              <w:rPr>
                <w:rFonts w:ascii="Arial" w:eastAsia="Times New Roman" w:hAnsi="Arial" w:cs="Arial"/>
                <w:color w:val="000000"/>
                <w:lang w:eastAsia="en-GB"/>
              </w:rPr>
              <w:t>0 (0.0%)</w:t>
            </w:r>
          </w:p>
        </w:tc>
        <w:tc>
          <w:tcPr>
            <w:tcW w:w="1417" w:type="dxa"/>
          </w:tcPr>
          <w:p w14:paraId="733D6E94" w14:textId="60A00177"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7842F4">
              <w:rPr>
                <w:rFonts w:ascii="Arial" w:eastAsia="Times New Roman" w:hAnsi="Arial" w:cs="Arial"/>
                <w:color w:val="000000"/>
                <w:lang w:eastAsia="en-GB"/>
              </w:rPr>
              <w:t>0 (0.0%)</w:t>
            </w:r>
          </w:p>
        </w:tc>
        <w:tc>
          <w:tcPr>
            <w:tcW w:w="1843" w:type="dxa"/>
          </w:tcPr>
          <w:p w14:paraId="16C81090" w14:textId="42028F66"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3 (0.8%)</w:t>
            </w:r>
          </w:p>
        </w:tc>
        <w:tc>
          <w:tcPr>
            <w:tcW w:w="1701" w:type="dxa"/>
          </w:tcPr>
          <w:p w14:paraId="14303444" w14:textId="0A2B4251"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084D84">
              <w:rPr>
                <w:rFonts w:ascii="Arial" w:eastAsia="Times New Roman" w:hAnsi="Arial" w:cs="Arial"/>
                <w:color w:val="000000"/>
                <w:lang w:eastAsia="en-GB"/>
              </w:rPr>
              <w:t>0 (0.0%)</w:t>
            </w:r>
          </w:p>
        </w:tc>
        <w:tc>
          <w:tcPr>
            <w:tcW w:w="1701" w:type="dxa"/>
          </w:tcPr>
          <w:p w14:paraId="1851C0EA" w14:textId="4AF5133F"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3 (0.6%)</w:t>
            </w:r>
          </w:p>
        </w:tc>
        <w:tc>
          <w:tcPr>
            <w:tcW w:w="1984" w:type="dxa"/>
            <w:hideMark/>
          </w:tcPr>
          <w:p w14:paraId="13628AEE" w14:textId="3982294B" w:rsidR="00F0590B" w:rsidRDefault="00F0590B" w:rsidP="00E30556">
            <w:pPr>
              <w:adjustRightInd w:val="0"/>
              <w:snapToGrid w:val="0"/>
              <w:spacing w:before="100" w:after="100"/>
              <w:ind w:left="100" w:right="100"/>
              <w:contextualSpacing/>
              <w:jc w:val="center"/>
            </w:pPr>
            <w:r w:rsidRPr="003E3AA3">
              <w:rPr>
                <w:rFonts w:ascii="Arial" w:eastAsia="Times New Roman" w:hAnsi="Arial" w:cs="Arial"/>
                <w:color w:val="000000"/>
                <w:lang w:eastAsia="en-GB"/>
              </w:rPr>
              <w:t>0 (0.0%)</w:t>
            </w:r>
          </w:p>
        </w:tc>
        <w:tc>
          <w:tcPr>
            <w:tcW w:w="1418" w:type="dxa"/>
            <w:hideMark/>
          </w:tcPr>
          <w:p w14:paraId="46788F99" w14:textId="5A504514"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6 (0.3%)</w:t>
            </w:r>
          </w:p>
        </w:tc>
      </w:tr>
      <w:tr w:rsidR="00F0590B" w14:paraId="2CEC4A06" w14:textId="77777777" w:rsidTr="00875A6B">
        <w:tc>
          <w:tcPr>
            <w:tcW w:w="1980" w:type="dxa"/>
          </w:tcPr>
          <w:p w14:paraId="4C71A376" w14:textId="77777777" w:rsidR="00F0590B" w:rsidRDefault="00F0590B" w:rsidP="00E30556">
            <w:pPr>
              <w:adjustRightInd w:val="0"/>
              <w:snapToGrid w:val="0"/>
              <w:spacing w:before="100" w:after="100"/>
              <w:ind w:left="100" w:right="100"/>
              <w:contextualSpacing/>
              <w:rPr>
                <w:rFonts w:ascii="Arial" w:eastAsia="Arial" w:hAnsi="Arial" w:cs="Arial"/>
                <w:color w:val="000000"/>
              </w:rPr>
            </w:pPr>
            <w:r w:rsidRPr="00084D84">
              <w:rPr>
                <w:rFonts w:ascii="Arial" w:eastAsia="Arial" w:hAnsi="Arial" w:cs="Arial"/>
                <w:color w:val="000000"/>
              </w:rPr>
              <w:t>Stomach</w:t>
            </w:r>
          </w:p>
        </w:tc>
        <w:tc>
          <w:tcPr>
            <w:tcW w:w="1843" w:type="dxa"/>
          </w:tcPr>
          <w:p w14:paraId="3E98B5AB" w14:textId="7560ED0A"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3604CF">
              <w:rPr>
                <w:rFonts w:ascii="Arial" w:eastAsia="Times New Roman" w:hAnsi="Arial" w:cs="Arial"/>
                <w:color w:val="000000"/>
                <w:lang w:eastAsia="en-GB"/>
              </w:rPr>
              <w:t>0 (0.0%)</w:t>
            </w:r>
          </w:p>
        </w:tc>
        <w:tc>
          <w:tcPr>
            <w:tcW w:w="1417" w:type="dxa"/>
          </w:tcPr>
          <w:p w14:paraId="037E25C2" w14:textId="21E81549"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7842F4">
              <w:rPr>
                <w:rFonts w:ascii="Arial" w:eastAsia="Times New Roman" w:hAnsi="Arial" w:cs="Arial"/>
                <w:color w:val="000000"/>
                <w:lang w:eastAsia="en-GB"/>
              </w:rPr>
              <w:t>0 (0.0%)</w:t>
            </w:r>
          </w:p>
        </w:tc>
        <w:tc>
          <w:tcPr>
            <w:tcW w:w="1843" w:type="dxa"/>
          </w:tcPr>
          <w:p w14:paraId="197B45A4" w14:textId="16C8DB68"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CC51DA">
              <w:rPr>
                <w:rFonts w:ascii="Arial" w:eastAsia="Times New Roman" w:hAnsi="Arial" w:cs="Arial"/>
                <w:color w:val="000000"/>
                <w:lang w:eastAsia="en-GB"/>
              </w:rPr>
              <w:t>0 (0.0%)</w:t>
            </w:r>
          </w:p>
        </w:tc>
        <w:tc>
          <w:tcPr>
            <w:tcW w:w="1701" w:type="dxa"/>
          </w:tcPr>
          <w:p w14:paraId="292B66F7" w14:textId="3AF1FE00"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1 (0.2%)</w:t>
            </w:r>
          </w:p>
        </w:tc>
        <w:tc>
          <w:tcPr>
            <w:tcW w:w="1701" w:type="dxa"/>
          </w:tcPr>
          <w:p w14:paraId="0119E907" w14:textId="4985ED6C"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084D84">
              <w:rPr>
                <w:rFonts w:ascii="Arial" w:eastAsia="Times New Roman" w:hAnsi="Arial" w:cs="Arial"/>
                <w:color w:val="000000"/>
                <w:lang w:eastAsia="en-GB"/>
              </w:rPr>
              <w:t>0 (0.0%)</w:t>
            </w:r>
          </w:p>
        </w:tc>
        <w:tc>
          <w:tcPr>
            <w:tcW w:w="1984" w:type="dxa"/>
            <w:hideMark/>
          </w:tcPr>
          <w:p w14:paraId="5A0D561B" w14:textId="341A21A8"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2 (0.4%)</w:t>
            </w:r>
          </w:p>
        </w:tc>
        <w:tc>
          <w:tcPr>
            <w:tcW w:w="1418" w:type="dxa"/>
            <w:hideMark/>
          </w:tcPr>
          <w:p w14:paraId="4CAD3C3A" w14:textId="6EAC54B7"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3 (0.1%)</w:t>
            </w:r>
          </w:p>
        </w:tc>
      </w:tr>
      <w:tr w:rsidR="00F0590B" w14:paraId="20497AD5" w14:textId="77777777" w:rsidTr="00875A6B">
        <w:trPr>
          <w:cnfStyle w:val="000000100000" w:firstRow="0" w:lastRow="0" w:firstColumn="0" w:lastColumn="0" w:oddVBand="0" w:evenVBand="0" w:oddHBand="1" w:evenHBand="0" w:firstRowFirstColumn="0" w:firstRowLastColumn="0" w:lastRowFirstColumn="0" w:lastRowLastColumn="0"/>
        </w:trPr>
        <w:tc>
          <w:tcPr>
            <w:tcW w:w="1980" w:type="dxa"/>
          </w:tcPr>
          <w:p w14:paraId="7FE0908F" w14:textId="77777777" w:rsidR="00F0590B" w:rsidRDefault="00F0590B" w:rsidP="00E30556">
            <w:pPr>
              <w:adjustRightInd w:val="0"/>
              <w:snapToGrid w:val="0"/>
              <w:spacing w:before="100" w:after="100"/>
              <w:ind w:left="100" w:right="100"/>
              <w:contextualSpacing/>
              <w:rPr>
                <w:rFonts w:ascii="Arial" w:eastAsia="Arial" w:hAnsi="Arial" w:cs="Arial"/>
                <w:color w:val="000000"/>
              </w:rPr>
            </w:pPr>
            <w:r w:rsidRPr="00084D84">
              <w:rPr>
                <w:rFonts w:ascii="Arial" w:eastAsia="Arial" w:hAnsi="Arial" w:cs="Arial"/>
                <w:color w:val="000000"/>
              </w:rPr>
              <w:t>Colon</w:t>
            </w:r>
          </w:p>
        </w:tc>
        <w:tc>
          <w:tcPr>
            <w:tcW w:w="1843" w:type="dxa"/>
          </w:tcPr>
          <w:p w14:paraId="6516A99F" w14:textId="43500569"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Times New Roman" w:hAnsi="Arial" w:cs="Arial"/>
                <w:color w:val="000000"/>
                <w:lang w:eastAsia="en-GB"/>
              </w:rPr>
              <w:t>1</w:t>
            </w:r>
            <w:r w:rsidRPr="003604CF">
              <w:rPr>
                <w:rFonts w:ascii="Arial" w:eastAsia="Times New Roman" w:hAnsi="Arial" w:cs="Arial"/>
                <w:color w:val="000000"/>
                <w:lang w:eastAsia="en-GB"/>
              </w:rPr>
              <w:t xml:space="preserve"> (</w:t>
            </w:r>
            <w:r>
              <w:rPr>
                <w:rFonts w:ascii="Arial" w:eastAsia="Times New Roman" w:hAnsi="Arial" w:cs="Arial"/>
                <w:color w:val="000000"/>
                <w:lang w:eastAsia="en-GB"/>
              </w:rPr>
              <w:t>1</w:t>
            </w:r>
            <w:r w:rsidRPr="003604CF">
              <w:rPr>
                <w:rFonts w:ascii="Arial" w:eastAsia="Times New Roman" w:hAnsi="Arial" w:cs="Arial"/>
                <w:color w:val="000000"/>
                <w:lang w:eastAsia="en-GB"/>
              </w:rPr>
              <w:t>.</w:t>
            </w:r>
            <w:r>
              <w:rPr>
                <w:rFonts w:ascii="Arial" w:eastAsia="Times New Roman" w:hAnsi="Arial" w:cs="Arial"/>
                <w:color w:val="000000"/>
                <w:lang w:eastAsia="en-GB"/>
              </w:rPr>
              <w:t>1</w:t>
            </w:r>
            <w:r w:rsidRPr="003604CF">
              <w:rPr>
                <w:rFonts w:ascii="Arial" w:eastAsia="Times New Roman" w:hAnsi="Arial" w:cs="Arial"/>
                <w:color w:val="000000"/>
                <w:lang w:eastAsia="en-GB"/>
              </w:rPr>
              <w:t>%)</w:t>
            </w:r>
          </w:p>
        </w:tc>
        <w:tc>
          <w:tcPr>
            <w:tcW w:w="1417" w:type="dxa"/>
          </w:tcPr>
          <w:p w14:paraId="3176135A" w14:textId="589FA118"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7842F4">
              <w:rPr>
                <w:rFonts w:ascii="Arial" w:eastAsia="Times New Roman" w:hAnsi="Arial" w:cs="Arial"/>
                <w:color w:val="000000"/>
                <w:lang w:eastAsia="en-GB"/>
              </w:rPr>
              <w:t>0 (0.0%)</w:t>
            </w:r>
          </w:p>
        </w:tc>
        <w:tc>
          <w:tcPr>
            <w:tcW w:w="1843" w:type="dxa"/>
          </w:tcPr>
          <w:p w14:paraId="19D12E54" w14:textId="6E1A9F8D"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Times New Roman" w:hAnsi="Arial" w:cs="Arial"/>
                <w:color w:val="000000"/>
                <w:lang w:eastAsia="en-GB"/>
              </w:rPr>
              <w:t>1</w:t>
            </w:r>
            <w:r w:rsidRPr="00CC51DA">
              <w:rPr>
                <w:rFonts w:ascii="Arial" w:eastAsia="Times New Roman" w:hAnsi="Arial" w:cs="Arial"/>
                <w:color w:val="000000"/>
                <w:lang w:eastAsia="en-GB"/>
              </w:rPr>
              <w:t xml:space="preserve"> (0.</w:t>
            </w:r>
            <w:r>
              <w:rPr>
                <w:rFonts w:ascii="Arial" w:eastAsia="Times New Roman" w:hAnsi="Arial" w:cs="Arial"/>
                <w:color w:val="000000"/>
                <w:lang w:eastAsia="en-GB"/>
              </w:rPr>
              <w:t>2</w:t>
            </w:r>
            <w:r w:rsidRPr="00CC51DA">
              <w:rPr>
                <w:rFonts w:ascii="Arial" w:eastAsia="Times New Roman" w:hAnsi="Arial" w:cs="Arial"/>
                <w:color w:val="000000"/>
                <w:lang w:eastAsia="en-GB"/>
              </w:rPr>
              <w:t>%)</w:t>
            </w:r>
          </w:p>
        </w:tc>
        <w:tc>
          <w:tcPr>
            <w:tcW w:w="1701" w:type="dxa"/>
          </w:tcPr>
          <w:p w14:paraId="08EAFCB3" w14:textId="412C0CEF"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084D84">
              <w:rPr>
                <w:rFonts w:ascii="Arial" w:eastAsia="Times New Roman" w:hAnsi="Arial" w:cs="Arial"/>
                <w:color w:val="000000"/>
                <w:lang w:eastAsia="en-GB"/>
              </w:rPr>
              <w:t>0 (0.0%)</w:t>
            </w:r>
          </w:p>
        </w:tc>
        <w:tc>
          <w:tcPr>
            <w:tcW w:w="1701" w:type="dxa"/>
          </w:tcPr>
          <w:p w14:paraId="39ED0AA3" w14:textId="583CA80B"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3 (0.6%)</w:t>
            </w:r>
          </w:p>
        </w:tc>
        <w:tc>
          <w:tcPr>
            <w:tcW w:w="1984" w:type="dxa"/>
            <w:hideMark/>
          </w:tcPr>
          <w:p w14:paraId="55BDDE1D" w14:textId="7EADC601" w:rsidR="00F0590B" w:rsidRDefault="00F0590B" w:rsidP="00E30556">
            <w:pPr>
              <w:adjustRightInd w:val="0"/>
              <w:snapToGrid w:val="0"/>
              <w:spacing w:before="100" w:after="100"/>
              <w:ind w:left="100" w:right="100"/>
              <w:contextualSpacing/>
              <w:jc w:val="center"/>
            </w:pPr>
            <w:r w:rsidRPr="00863CFA">
              <w:rPr>
                <w:rFonts w:ascii="Arial" w:eastAsia="Times New Roman" w:hAnsi="Arial" w:cs="Arial"/>
                <w:color w:val="000000"/>
                <w:lang w:eastAsia="en-GB"/>
              </w:rPr>
              <w:t>0 (0.0%)</w:t>
            </w:r>
          </w:p>
        </w:tc>
        <w:tc>
          <w:tcPr>
            <w:tcW w:w="1418" w:type="dxa"/>
            <w:hideMark/>
          </w:tcPr>
          <w:p w14:paraId="6FFEE2A3" w14:textId="5E34701C"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5 (0.3%)</w:t>
            </w:r>
          </w:p>
        </w:tc>
      </w:tr>
      <w:tr w:rsidR="00F0590B" w14:paraId="3BF185A2" w14:textId="77777777" w:rsidTr="00875A6B">
        <w:tc>
          <w:tcPr>
            <w:tcW w:w="1980" w:type="dxa"/>
          </w:tcPr>
          <w:p w14:paraId="3DF9FB58" w14:textId="77777777" w:rsidR="00F0590B" w:rsidRDefault="00F0590B" w:rsidP="00E30556">
            <w:pPr>
              <w:adjustRightInd w:val="0"/>
              <w:snapToGrid w:val="0"/>
              <w:spacing w:before="100" w:after="100"/>
              <w:ind w:left="100" w:right="100"/>
              <w:contextualSpacing/>
              <w:rPr>
                <w:rFonts w:ascii="Arial" w:eastAsia="Arial" w:hAnsi="Arial" w:cs="Arial"/>
                <w:color w:val="000000"/>
              </w:rPr>
            </w:pPr>
            <w:r w:rsidRPr="00084D84">
              <w:rPr>
                <w:rFonts w:ascii="Arial" w:eastAsia="Arial" w:hAnsi="Arial" w:cs="Arial"/>
                <w:color w:val="000000"/>
              </w:rPr>
              <w:t>Cervical/vaginal</w:t>
            </w:r>
          </w:p>
        </w:tc>
        <w:tc>
          <w:tcPr>
            <w:tcW w:w="1843" w:type="dxa"/>
          </w:tcPr>
          <w:p w14:paraId="3A2C4120" w14:textId="36108EB2"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3604CF">
              <w:rPr>
                <w:rFonts w:ascii="Arial" w:eastAsia="Times New Roman" w:hAnsi="Arial" w:cs="Arial"/>
                <w:color w:val="000000"/>
                <w:lang w:eastAsia="en-GB"/>
              </w:rPr>
              <w:t>0 (0.0%)</w:t>
            </w:r>
          </w:p>
        </w:tc>
        <w:tc>
          <w:tcPr>
            <w:tcW w:w="1417" w:type="dxa"/>
          </w:tcPr>
          <w:p w14:paraId="4ECB4084" w14:textId="700242E6"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7842F4">
              <w:rPr>
                <w:rFonts w:ascii="Arial" w:eastAsia="Times New Roman" w:hAnsi="Arial" w:cs="Arial"/>
                <w:color w:val="000000"/>
                <w:lang w:eastAsia="en-GB"/>
              </w:rPr>
              <w:t>0 (0.0%)</w:t>
            </w:r>
          </w:p>
        </w:tc>
        <w:tc>
          <w:tcPr>
            <w:tcW w:w="1843" w:type="dxa"/>
          </w:tcPr>
          <w:p w14:paraId="6676E443" w14:textId="6283665C"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1 (0.3%)</w:t>
            </w:r>
          </w:p>
        </w:tc>
        <w:tc>
          <w:tcPr>
            <w:tcW w:w="1701" w:type="dxa"/>
          </w:tcPr>
          <w:p w14:paraId="7A1FD626" w14:textId="5E46BF50"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1 (0.2%)</w:t>
            </w:r>
          </w:p>
        </w:tc>
        <w:tc>
          <w:tcPr>
            <w:tcW w:w="1701" w:type="dxa"/>
          </w:tcPr>
          <w:p w14:paraId="32675AA7" w14:textId="6423891D"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3E087B">
              <w:rPr>
                <w:rFonts w:ascii="Arial" w:eastAsia="Times New Roman" w:hAnsi="Arial" w:cs="Arial"/>
                <w:color w:val="000000"/>
                <w:lang w:eastAsia="en-GB"/>
              </w:rPr>
              <w:t>0 (0.0%)</w:t>
            </w:r>
          </w:p>
        </w:tc>
        <w:tc>
          <w:tcPr>
            <w:tcW w:w="1984" w:type="dxa"/>
            <w:hideMark/>
          </w:tcPr>
          <w:p w14:paraId="420D9368" w14:textId="151EDE05" w:rsidR="00F0590B" w:rsidRDefault="00F0590B" w:rsidP="00E30556">
            <w:pPr>
              <w:adjustRightInd w:val="0"/>
              <w:snapToGrid w:val="0"/>
              <w:spacing w:before="100" w:after="100"/>
              <w:ind w:left="100" w:right="100"/>
              <w:contextualSpacing/>
              <w:jc w:val="center"/>
            </w:pPr>
            <w:r w:rsidRPr="00863CFA">
              <w:rPr>
                <w:rFonts w:ascii="Arial" w:eastAsia="Times New Roman" w:hAnsi="Arial" w:cs="Arial"/>
                <w:color w:val="000000"/>
                <w:lang w:eastAsia="en-GB"/>
              </w:rPr>
              <w:t>0 (0.0%)</w:t>
            </w:r>
          </w:p>
        </w:tc>
        <w:tc>
          <w:tcPr>
            <w:tcW w:w="1418" w:type="dxa"/>
            <w:hideMark/>
          </w:tcPr>
          <w:p w14:paraId="1DDCD559" w14:textId="6E4C0E22"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2 (0.1%)</w:t>
            </w:r>
          </w:p>
        </w:tc>
      </w:tr>
      <w:tr w:rsidR="00F0590B" w14:paraId="3F902D51" w14:textId="77777777" w:rsidTr="00875A6B">
        <w:trPr>
          <w:cnfStyle w:val="000000100000" w:firstRow="0" w:lastRow="0" w:firstColumn="0" w:lastColumn="0" w:oddVBand="0" w:evenVBand="0" w:oddHBand="1" w:evenHBand="0" w:firstRowFirstColumn="0" w:firstRowLastColumn="0" w:lastRowFirstColumn="0" w:lastRowLastColumn="0"/>
        </w:trPr>
        <w:tc>
          <w:tcPr>
            <w:tcW w:w="1980" w:type="dxa"/>
          </w:tcPr>
          <w:p w14:paraId="3BA06A93" w14:textId="77777777" w:rsidR="00F0590B" w:rsidRDefault="00F0590B" w:rsidP="00E30556">
            <w:pPr>
              <w:adjustRightInd w:val="0"/>
              <w:snapToGrid w:val="0"/>
              <w:spacing w:before="100" w:after="100"/>
              <w:ind w:left="100" w:right="100"/>
              <w:contextualSpacing/>
              <w:rPr>
                <w:rFonts w:ascii="Arial" w:eastAsia="Arial" w:hAnsi="Arial" w:cs="Arial"/>
                <w:color w:val="000000"/>
              </w:rPr>
            </w:pPr>
            <w:r w:rsidRPr="00084D84">
              <w:rPr>
                <w:rFonts w:ascii="Arial" w:eastAsia="Arial" w:hAnsi="Arial" w:cs="Arial"/>
                <w:color w:val="000000"/>
              </w:rPr>
              <w:t>Bladder</w:t>
            </w:r>
          </w:p>
        </w:tc>
        <w:tc>
          <w:tcPr>
            <w:tcW w:w="1843" w:type="dxa"/>
          </w:tcPr>
          <w:p w14:paraId="14255143" w14:textId="4F4C9232"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3604CF">
              <w:rPr>
                <w:rFonts w:ascii="Arial" w:eastAsia="Times New Roman" w:hAnsi="Arial" w:cs="Arial"/>
                <w:color w:val="000000"/>
                <w:lang w:eastAsia="en-GB"/>
              </w:rPr>
              <w:t>0 (0.0%)</w:t>
            </w:r>
          </w:p>
        </w:tc>
        <w:tc>
          <w:tcPr>
            <w:tcW w:w="1417" w:type="dxa"/>
          </w:tcPr>
          <w:p w14:paraId="76AB323B" w14:textId="30D9817C"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7842F4">
              <w:rPr>
                <w:rFonts w:ascii="Arial" w:eastAsia="Times New Roman" w:hAnsi="Arial" w:cs="Arial"/>
                <w:color w:val="000000"/>
                <w:lang w:eastAsia="en-GB"/>
              </w:rPr>
              <w:t>0 (0.0%)</w:t>
            </w:r>
          </w:p>
        </w:tc>
        <w:tc>
          <w:tcPr>
            <w:tcW w:w="1843" w:type="dxa"/>
          </w:tcPr>
          <w:p w14:paraId="20B2F8CC" w14:textId="49900793"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1 (0.3%)</w:t>
            </w:r>
          </w:p>
        </w:tc>
        <w:tc>
          <w:tcPr>
            <w:tcW w:w="1701" w:type="dxa"/>
          </w:tcPr>
          <w:p w14:paraId="0CFF6B3A" w14:textId="73BBDFF4"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1 (0.2%)</w:t>
            </w:r>
          </w:p>
        </w:tc>
        <w:tc>
          <w:tcPr>
            <w:tcW w:w="1701" w:type="dxa"/>
          </w:tcPr>
          <w:p w14:paraId="3DC13DA1" w14:textId="4771FCB8"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3E087B">
              <w:rPr>
                <w:rFonts w:ascii="Arial" w:eastAsia="Times New Roman" w:hAnsi="Arial" w:cs="Arial"/>
                <w:color w:val="000000"/>
                <w:lang w:eastAsia="en-GB"/>
              </w:rPr>
              <w:t>0 (0.0%)</w:t>
            </w:r>
          </w:p>
        </w:tc>
        <w:tc>
          <w:tcPr>
            <w:tcW w:w="1984" w:type="dxa"/>
            <w:hideMark/>
          </w:tcPr>
          <w:p w14:paraId="39660DC0" w14:textId="3E436DE8"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0 (0.0%)</w:t>
            </w:r>
          </w:p>
        </w:tc>
        <w:tc>
          <w:tcPr>
            <w:tcW w:w="1418" w:type="dxa"/>
            <w:hideMark/>
          </w:tcPr>
          <w:p w14:paraId="1B2A4470" w14:textId="0BC26059"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2 (0.1%)</w:t>
            </w:r>
          </w:p>
        </w:tc>
      </w:tr>
      <w:tr w:rsidR="00F0590B" w14:paraId="0CCC6F1F" w14:textId="77777777" w:rsidTr="00875A6B">
        <w:tc>
          <w:tcPr>
            <w:tcW w:w="1980" w:type="dxa"/>
          </w:tcPr>
          <w:p w14:paraId="192751D9" w14:textId="77777777" w:rsidR="00F0590B" w:rsidRDefault="00F0590B" w:rsidP="00E30556">
            <w:pPr>
              <w:adjustRightInd w:val="0"/>
              <w:snapToGrid w:val="0"/>
              <w:spacing w:before="100" w:after="100"/>
              <w:ind w:left="100" w:right="100"/>
              <w:contextualSpacing/>
              <w:rPr>
                <w:rFonts w:ascii="Arial" w:eastAsia="Arial" w:hAnsi="Arial" w:cs="Arial"/>
                <w:color w:val="000000"/>
              </w:rPr>
            </w:pPr>
            <w:r w:rsidRPr="00084D84">
              <w:rPr>
                <w:rFonts w:ascii="Arial" w:eastAsia="Arial" w:hAnsi="Arial" w:cs="Arial"/>
                <w:color w:val="000000"/>
              </w:rPr>
              <w:t>Blood</w:t>
            </w:r>
          </w:p>
        </w:tc>
        <w:tc>
          <w:tcPr>
            <w:tcW w:w="1843" w:type="dxa"/>
          </w:tcPr>
          <w:p w14:paraId="147BA802" w14:textId="2FA222C8"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3604CF">
              <w:rPr>
                <w:rFonts w:ascii="Arial" w:eastAsia="Times New Roman" w:hAnsi="Arial" w:cs="Arial"/>
                <w:color w:val="000000"/>
                <w:lang w:eastAsia="en-GB"/>
              </w:rPr>
              <w:t>0 (0.0%)</w:t>
            </w:r>
          </w:p>
        </w:tc>
        <w:tc>
          <w:tcPr>
            <w:tcW w:w="1417" w:type="dxa"/>
          </w:tcPr>
          <w:p w14:paraId="66E914B7" w14:textId="4D1B4BFB"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Times New Roman" w:hAnsi="Arial" w:cs="Arial"/>
                <w:color w:val="000000"/>
                <w:lang w:eastAsia="en-GB"/>
              </w:rPr>
              <w:t>1</w:t>
            </w:r>
            <w:r w:rsidRPr="007842F4">
              <w:rPr>
                <w:rFonts w:ascii="Arial" w:eastAsia="Times New Roman" w:hAnsi="Arial" w:cs="Arial"/>
                <w:color w:val="000000"/>
                <w:lang w:eastAsia="en-GB"/>
              </w:rPr>
              <w:t xml:space="preserve"> (0.</w:t>
            </w:r>
            <w:r>
              <w:rPr>
                <w:rFonts w:ascii="Arial" w:eastAsia="Times New Roman" w:hAnsi="Arial" w:cs="Arial"/>
                <w:color w:val="000000"/>
                <w:lang w:eastAsia="en-GB"/>
              </w:rPr>
              <w:t>9</w:t>
            </w:r>
            <w:r w:rsidRPr="007842F4">
              <w:rPr>
                <w:rFonts w:ascii="Arial" w:eastAsia="Times New Roman" w:hAnsi="Arial" w:cs="Arial"/>
                <w:color w:val="000000"/>
                <w:lang w:eastAsia="en-GB"/>
              </w:rPr>
              <w:t>%)</w:t>
            </w:r>
          </w:p>
        </w:tc>
        <w:tc>
          <w:tcPr>
            <w:tcW w:w="1843" w:type="dxa"/>
          </w:tcPr>
          <w:p w14:paraId="16CC8EF8" w14:textId="1EDCE13C"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0 (0.0%)</w:t>
            </w:r>
          </w:p>
        </w:tc>
        <w:tc>
          <w:tcPr>
            <w:tcW w:w="1701" w:type="dxa"/>
          </w:tcPr>
          <w:p w14:paraId="40957571" w14:textId="5951E7DF"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1 (0.2%)</w:t>
            </w:r>
          </w:p>
        </w:tc>
        <w:tc>
          <w:tcPr>
            <w:tcW w:w="1701" w:type="dxa"/>
          </w:tcPr>
          <w:p w14:paraId="40C7567A" w14:textId="4F03E0CB"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3E087B">
              <w:rPr>
                <w:rFonts w:ascii="Arial" w:eastAsia="Times New Roman" w:hAnsi="Arial" w:cs="Arial"/>
                <w:color w:val="000000"/>
                <w:lang w:eastAsia="en-GB"/>
              </w:rPr>
              <w:t>0 (0.0%)</w:t>
            </w:r>
          </w:p>
        </w:tc>
        <w:tc>
          <w:tcPr>
            <w:tcW w:w="1984" w:type="dxa"/>
            <w:hideMark/>
          </w:tcPr>
          <w:p w14:paraId="3A4D6BC6" w14:textId="6BDD84AA"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0 (0.0%)</w:t>
            </w:r>
          </w:p>
        </w:tc>
        <w:tc>
          <w:tcPr>
            <w:tcW w:w="1418" w:type="dxa"/>
            <w:hideMark/>
          </w:tcPr>
          <w:p w14:paraId="472C6285" w14:textId="61047BD8"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2 (0.1%)</w:t>
            </w:r>
          </w:p>
        </w:tc>
      </w:tr>
      <w:tr w:rsidR="00F0590B" w14:paraId="41733074" w14:textId="77777777" w:rsidTr="00875A6B">
        <w:trPr>
          <w:cnfStyle w:val="000000100000" w:firstRow="0" w:lastRow="0" w:firstColumn="0" w:lastColumn="0" w:oddVBand="0" w:evenVBand="0" w:oddHBand="1" w:evenHBand="0" w:firstRowFirstColumn="0" w:firstRowLastColumn="0" w:lastRowFirstColumn="0" w:lastRowLastColumn="0"/>
        </w:trPr>
        <w:tc>
          <w:tcPr>
            <w:tcW w:w="1980" w:type="dxa"/>
          </w:tcPr>
          <w:p w14:paraId="19CFB3D5" w14:textId="77777777" w:rsidR="00F0590B" w:rsidRDefault="00F0590B" w:rsidP="00E30556">
            <w:pPr>
              <w:adjustRightInd w:val="0"/>
              <w:snapToGrid w:val="0"/>
              <w:spacing w:before="100" w:after="100"/>
              <w:ind w:left="100" w:right="100"/>
              <w:contextualSpacing/>
              <w:rPr>
                <w:rFonts w:ascii="Arial" w:eastAsia="Arial" w:hAnsi="Arial" w:cs="Arial"/>
                <w:color w:val="000000"/>
              </w:rPr>
            </w:pPr>
            <w:r w:rsidRPr="00084D84">
              <w:rPr>
                <w:rFonts w:ascii="Arial" w:eastAsia="Arial" w:hAnsi="Arial" w:cs="Arial"/>
                <w:color w:val="000000"/>
              </w:rPr>
              <w:t>Kidney</w:t>
            </w:r>
          </w:p>
        </w:tc>
        <w:tc>
          <w:tcPr>
            <w:tcW w:w="1843" w:type="dxa"/>
          </w:tcPr>
          <w:p w14:paraId="5032B55D" w14:textId="71F5AA30"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3604CF">
              <w:rPr>
                <w:rFonts w:ascii="Arial" w:eastAsia="Times New Roman" w:hAnsi="Arial" w:cs="Arial"/>
                <w:color w:val="000000"/>
                <w:lang w:eastAsia="en-GB"/>
              </w:rPr>
              <w:t>0 (0.0%)</w:t>
            </w:r>
          </w:p>
        </w:tc>
        <w:tc>
          <w:tcPr>
            <w:tcW w:w="1417" w:type="dxa"/>
          </w:tcPr>
          <w:p w14:paraId="44649976" w14:textId="1B79B68B"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B8055C">
              <w:rPr>
                <w:rFonts w:ascii="Arial" w:eastAsia="Times New Roman" w:hAnsi="Arial" w:cs="Arial"/>
                <w:color w:val="000000"/>
                <w:lang w:eastAsia="en-GB"/>
              </w:rPr>
              <w:t>0 (0.0%)</w:t>
            </w:r>
          </w:p>
        </w:tc>
        <w:tc>
          <w:tcPr>
            <w:tcW w:w="1843" w:type="dxa"/>
          </w:tcPr>
          <w:p w14:paraId="62601430" w14:textId="29048B5F"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B8055C">
              <w:rPr>
                <w:rFonts w:ascii="Arial" w:eastAsia="Times New Roman" w:hAnsi="Arial" w:cs="Arial"/>
                <w:color w:val="000000"/>
                <w:lang w:eastAsia="en-GB"/>
              </w:rPr>
              <w:t>0 (0.0%)</w:t>
            </w:r>
          </w:p>
        </w:tc>
        <w:tc>
          <w:tcPr>
            <w:tcW w:w="1701" w:type="dxa"/>
          </w:tcPr>
          <w:p w14:paraId="1AF36ADA" w14:textId="3AC4CDA1"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B8055C">
              <w:rPr>
                <w:rFonts w:ascii="Arial" w:eastAsia="Times New Roman" w:hAnsi="Arial" w:cs="Arial"/>
                <w:color w:val="000000"/>
                <w:lang w:eastAsia="en-GB"/>
              </w:rPr>
              <w:t>0 (0.0%)</w:t>
            </w:r>
          </w:p>
        </w:tc>
        <w:tc>
          <w:tcPr>
            <w:tcW w:w="1701" w:type="dxa"/>
          </w:tcPr>
          <w:p w14:paraId="0756F8E0" w14:textId="583A26E9"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1 (0.2%)</w:t>
            </w:r>
          </w:p>
        </w:tc>
        <w:tc>
          <w:tcPr>
            <w:tcW w:w="1984" w:type="dxa"/>
            <w:hideMark/>
          </w:tcPr>
          <w:p w14:paraId="2E966E63" w14:textId="20EE2938"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1 (0.2%)</w:t>
            </w:r>
          </w:p>
        </w:tc>
        <w:tc>
          <w:tcPr>
            <w:tcW w:w="1418" w:type="dxa"/>
            <w:hideMark/>
          </w:tcPr>
          <w:p w14:paraId="5C158A9A" w14:textId="5DDE23C8"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2 (0.1%)</w:t>
            </w:r>
          </w:p>
        </w:tc>
      </w:tr>
      <w:tr w:rsidR="00F0590B" w14:paraId="2409350A" w14:textId="77777777" w:rsidTr="00875A6B">
        <w:tc>
          <w:tcPr>
            <w:tcW w:w="1980" w:type="dxa"/>
          </w:tcPr>
          <w:p w14:paraId="7B16AB4D" w14:textId="7A1070E2" w:rsidR="00F0590B" w:rsidRDefault="00F0590B" w:rsidP="00E30556">
            <w:pPr>
              <w:adjustRightInd w:val="0"/>
              <w:snapToGrid w:val="0"/>
              <w:spacing w:before="100" w:after="100"/>
              <w:ind w:left="100" w:right="100"/>
              <w:contextualSpacing/>
              <w:rPr>
                <w:rFonts w:ascii="Arial" w:eastAsia="Arial" w:hAnsi="Arial" w:cs="Arial"/>
                <w:color w:val="000000"/>
              </w:rPr>
            </w:pPr>
            <w:r w:rsidRPr="00084D84">
              <w:rPr>
                <w:rFonts w:ascii="Arial" w:eastAsia="Arial" w:hAnsi="Arial" w:cs="Arial"/>
                <w:color w:val="000000"/>
              </w:rPr>
              <w:t>Tongue</w:t>
            </w:r>
            <w:r w:rsidR="00875A6B">
              <w:rPr>
                <w:rFonts w:ascii="Arial" w:eastAsia="Arial" w:hAnsi="Arial" w:cs="Arial"/>
                <w:color w:val="000000"/>
              </w:rPr>
              <w:t xml:space="preserve"> </w:t>
            </w:r>
            <w:r>
              <w:rPr>
                <w:rFonts w:ascii="Arial" w:eastAsia="Arial" w:hAnsi="Arial" w:cs="Arial"/>
                <w:color w:val="000000"/>
              </w:rPr>
              <w:t>/</w:t>
            </w:r>
            <w:r w:rsidRPr="00084D84">
              <w:rPr>
                <w:rFonts w:ascii="Arial" w:eastAsia="Arial" w:hAnsi="Arial" w:cs="Arial"/>
                <w:color w:val="000000"/>
              </w:rPr>
              <w:t>throat</w:t>
            </w:r>
            <w:r w:rsidR="00875A6B">
              <w:rPr>
                <w:rFonts w:ascii="Arial" w:eastAsia="Arial" w:hAnsi="Arial" w:cs="Arial"/>
                <w:color w:val="000000"/>
              </w:rPr>
              <w:t xml:space="preserve"> </w:t>
            </w:r>
            <w:r w:rsidRPr="00084D84">
              <w:rPr>
                <w:rFonts w:ascii="Arial" w:eastAsia="Arial" w:hAnsi="Arial" w:cs="Arial"/>
                <w:color w:val="000000"/>
              </w:rPr>
              <w:t>/larynx</w:t>
            </w:r>
          </w:p>
        </w:tc>
        <w:tc>
          <w:tcPr>
            <w:tcW w:w="1843" w:type="dxa"/>
          </w:tcPr>
          <w:p w14:paraId="2FB6AF05" w14:textId="26E68A1E"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1 (1.1%)</w:t>
            </w:r>
          </w:p>
        </w:tc>
        <w:tc>
          <w:tcPr>
            <w:tcW w:w="1417" w:type="dxa"/>
          </w:tcPr>
          <w:p w14:paraId="0E652B03" w14:textId="37454386"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Times New Roman" w:hAnsi="Arial" w:cs="Arial"/>
                <w:color w:val="000000"/>
                <w:lang w:eastAsia="en-GB"/>
              </w:rPr>
              <w:t>1</w:t>
            </w:r>
            <w:r w:rsidRPr="00084D84">
              <w:rPr>
                <w:rFonts w:ascii="Arial" w:eastAsia="Times New Roman" w:hAnsi="Arial" w:cs="Arial"/>
                <w:color w:val="000000"/>
                <w:lang w:eastAsia="en-GB"/>
              </w:rPr>
              <w:t xml:space="preserve"> (0.</w:t>
            </w:r>
            <w:r>
              <w:rPr>
                <w:rFonts w:ascii="Arial" w:eastAsia="Times New Roman" w:hAnsi="Arial" w:cs="Arial"/>
                <w:color w:val="000000"/>
                <w:lang w:eastAsia="en-GB"/>
              </w:rPr>
              <w:t>9</w:t>
            </w:r>
            <w:r w:rsidRPr="00084D84">
              <w:rPr>
                <w:rFonts w:ascii="Arial" w:eastAsia="Times New Roman" w:hAnsi="Arial" w:cs="Arial"/>
                <w:color w:val="000000"/>
                <w:lang w:eastAsia="en-GB"/>
              </w:rPr>
              <w:t>%)</w:t>
            </w:r>
          </w:p>
        </w:tc>
        <w:tc>
          <w:tcPr>
            <w:tcW w:w="1843" w:type="dxa"/>
          </w:tcPr>
          <w:p w14:paraId="5A2FBD8C" w14:textId="5DF3549C"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3 (0.8%)</w:t>
            </w:r>
          </w:p>
        </w:tc>
        <w:tc>
          <w:tcPr>
            <w:tcW w:w="1701" w:type="dxa"/>
          </w:tcPr>
          <w:p w14:paraId="74878B2F" w14:textId="6CF67942"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2 (0.5%)</w:t>
            </w:r>
          </w:p>
        </w:tc>
        <w:tc>
          <w:tcPr>
            <w:tcW w:w="1701" w:type="dxa"/>
          </w:tcPr>
          <w:p w14:paraId="0EF3766D" w14:textId="24054C3C" w:rsidR="00F0590B" w:rsidRDefault="00F0590B" w:rsidP="00E30556">
            <w:pPr>
              <w:adjustRightInd w:val="0"/>
              <w:snapToGrid w:val="0"/>
              <w:spacing w:before="100" w:after="100"/>
              <w:ind w:left="100" w:right="100"/>
              <w:contextualSpacing/>
              <w:jc w:val="center"/>
              <w:rPr>
                <w:rFonts w:ascii="Arial" w:eastAsia="Arial" w:hAnsi="Arial" w:cs="Arial"/>
                <w:color w:val="000000"/>
              </w:rPr>
            </w:pPr>
            <w:r w:rsidRPr="00E21C33">
              <w:rPr>
                <w:rFonts w:ascii="Arial" w:eastAsia="Times New Roman" w:hAnsi="Arial" w:cs="Arial"/>
                <w:color w:val="000000"/>
                <w:lang w:eastAsia="en-GB"/>
              </w:rPr>
              <w:t>0 (0.0%)</w:t>
            </w:r>
          </w:p>
        </w:tc>
        <w:tc>
          <w:tcPr>
            <w:tcW w:w="1984" w:type="dxa"/>
            <w:hideMark/>
          </w:tcPr>
          <w:p w14:paraId="2D12D9E3" w14:textId="1431F22D" w:rsidR="00F0590B" w:rsidRDefault="00F0590B" w:rsidP="00E30556">
            <w:pPr>
              <w:adjustRightInd w:val="0"/>
              <w:snapToGrid w:val="0"/>
              <w:spacing w:before="100" w:after="100"/>
              <w:ind w:left="100" w:right="100"/>
              <w:contextualSpacing/>
              <w:jc w:val="center"/>
            </w:pPr>
            <w:r w:rsidRPr="00E21C33">
              <w:rPr>
                <w:rFonts w:ascii="Arial" w:eastAsia="Times New Roman" w:hAnsi="Arial" w:cs="Arial"/>
                <w:color w:val="000000"/>
                <w:lang w:eastAsia="en-GB"/>
              </w:rPr>
              <w:t>0 (0.0%)</w:t>
            </w:r>
          </w:p>
        </w:tc>
        <w:tc>
          <w:tcPr>
            <w:tcW w:w="1418" w:type="dxa"/>
            <w:hideMark/>
          </w:tcPr>
          <w:p w14:paraId="473DAC56" w14:textId="1E02F265" w:rsidR="00F0590B" w:rsidRDefault="00F0590B" w:rsidP="00E30556">
            <w:pPr>
              <w:adjustRightInd w:val="0"/>
              <w:snapToGrid w:val="0"/>
              <w:spacing w:before="100" w:after="100"/>
              <w:ind w:left="100" w:right="100"/>
              <w:contextualSpacing/>
              <w:jc w:val="center"/>
            </w:pPr>
            <w:r>
              <w:rPr>
                <w:rFonts w:ascii="Arial" w:eastAsia="Arial" w:hAnsi="Arial" w:cs="Arial"/>
                <w:color w:val="000000"/>
              </w:rPr>
              <w:t>7 (0.4%)</w:t>
            </w:r>
          </w:p>
        </w:tc>
      </w:tr>
      <w:tr w:rsidR="00B15D34" w14:paraId="08E2D388" w14:textId="77777777" w:rsidTr="00875A6B">
        <w:trPr>
          <w:cnfStyle w:val="000000100000" w:firstRow="0" w:lastRow="0" w:firstColumn="0" w:lastColumn="0" w:oddVBand="0" w:evenVBand="0" w:oddHBand="1" w:evenHBand="0" w:firstRowFirstColumn="0" w:firstRowLastColumn="0" w:lastRowFirstColumn="0" w:lastRowLastColumn="0"/>
        </w:trPr>
        <w:tc>
          <w:tcPr>
            <w:tcW w:w="1980" w:type="dxa"/>
          </w:tcPr>
          <w:p w14:paraId="1044734A" w14:textId="77777777" w:rsidR="00B15D34" w:rsidRDefault="00B15D34" w:rsidP="00E30556">
            <w:pPr>
              <w:adjustRightInd w:val="0"/>
              <w:snapToGrid w:val="0"/>
              <w:spacing w:before="100" w:after="100"/>
              <w:ind w:left="100" w:right="100"/>
              <w:contextualSpacing/>
              <w:rPr>
                <w:rFonts w:ascii="Arial" w:eastAsia="Arial" w:hAnsi="Arial" w:cs="Arial"/>
                <w:color w:val="000000"/>
              </w:rPr>
            </w:pPr>
            <w:r w:rsidRPr="00084D84">
              <w:rPr>
                <w:rFonts w:ascii="Arial" w:eastAsia="Arial" w:hAnsi="Arial" w:cs="Arial"/>
                <w:color w:val="000000"/>
              </w:rPr>
              <w:t xml:space="preserve">Other </w:t>
            </w:r>
          </w:p>
        </w:tc>
        <w:tc>
          <w:tcPr>
            <w:tcW w:w="1843" w:type="dxa"/>
          </w:tcPr>
          <w:p w14:paraId="2D078945" w14:textId="73BDBBBC" w:rsidR="00B15D34" w:rsidRDefault="00B15D34" w:rsidP="00E30556">
            <w:pPr>
              <w:adjustRightInd w:val="0"/>
              <w:snapToGrid w:val="0"/>
              <w:spacing w:before="100" w:after="100"/>
              <w:ind w:left="100" w:right="100"/>
              <w:contextualSpacing/>
              <w:jc w:val="center"/>
              <w:rPr>
                <w:rFonts w:ascii="Arial" w:eastAsia="Arial" w:hAnsi="Arial" w:cs="Arial"/>
                <w:color w:val="000000"/>
              </w:rPr>
            </w:pPr>
            <w:r w:rsidRPr="00522203">
              <w:rPr>
                <w:rFonts w:ascii="Arial" w:eastAsia="Times New Roman" w:hAnsi="Arial" w:cs="Arial"/>
                <w:color w:val="000000"/>
                <w:lang w:eastAsia="en-GB"/>
              </w:rPr>
              <w:t>0 (0.0%)</w:t>
            </w:r>
          </w:p>
        </w:tc>
        <w:tc>
          <w:tcPr>
            <w:tcW w:w="1417" w:type="dxa"/>
          </w:tcPr>
          <w:p w14:paraId="1529D610" w14:textId="0E6751FF" w:rsidR="00B15D34" w:rsidRDefault="00B15D34" w:rsidP="00E30556">
            <w:pPr>
              <w:adjustRightInd w:val="0"/>
              <w:snapToGrid w:val="0"/>
              <w:spacing w:before="100" w:after="100"/>
              <w:ind w:left="100" w:right="100"/>
              <w:contextualSpacing/>
              <w:jc w:val="center"/>
              <w:rPr>
                <w:rFonts w:ascii="Arial" w:eastAsia="Arial" w:hAnsi="Arial" w:cs="Arial"/>
                <w:color w:val="000000"/>
              </w:rPr>
            </w:pPr>
            <w:r w:rsidRPr="00783B46">
              <w:rPr>
                <w:rFonts w:ascii="Arial" w:eastAsia="Times New Roman" w:hAnsi="Arial" w:cs="Arial"/>
                <w:color w:val="000000"/>
                <w:lang w:eastAsia="en-GB"/>
              </w:rPr>
              <w:t>0 (0.0%)</w:t>
            </w:r>
          </w:p>
        </w:tc>
        <w:tc>
          <w:tcPr>
            <w:tcW w:w="1843" w:type="dxa"/>
          </w:tcPr>
          <w:p w14:paraId="0105EDEC" w14:textId="0F492FF2" w:rsidR="00B15D34" w:rsidRDefault="00B15D34" w:rsidP="00E30556">
            <w:pPr>
              <w:adjustRightInd w:val="0"/>
              <w:snapToGrid w:val="0"/>
              <w:spacing w:before="100" w:after="100"/>
              <w:ind w:left="100" w:right="100"/>
              <w:contextualSpacing/>
              <w:jc w:val="center"/>
              <w:rPr>
                <w:rFonts w:ascii="Arial" w:eastAsia="Arial" w:hAnsi="Arial" w:cs="Arial"/>
                <w:color w:val="000000"/>
              </w:rPr>
            </w:pPr>
            <w:r w:rsidRPr="00783B46">
              <w:rPr>
                <w:rFonts w:ascii="Arial" w:eastAsia="Times New Roman" w:hAnsi="Arial" w:cs="Arial"/>
                <w:color w:val="000000"/>
                <w:lang w:eastAsia="en-GB"/>
              </w:rPr>
              <w:t>0 (0.0%)</w:t>
            </w:r>
          </w:p>
        </w:tc>
        <w:tc>
          <w:tcPr>
            <w:tcW w:w="1701" w:type="dxa"/>
          </w:tcPr>
          <w:p w14:paraId="5B851C7F" w14:textId="592B9656" w:rsidR="00B15D34" w:rsidRDefault="00B15D34"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2 (0.5%)</w:t>
            </w:r>
          </w:p>
        </w:tc>
        <w:tc>
          <w:tcPr>
            <w:tcW w:w="1701" w:type="dxa"/>
          </w:tcPr>
          <w:p w14:paraId="1CA322F6" w14:textId="61E1359E" w:rsidR="00B15D34" w:rsidRDefault="00B15D34"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3 (0.6%)</w:t>
            </w:r>
          </w:p>
        </w:tc>
        <w:tc>
          <w:tcPr>
            <w:tcW w:w="1984" w:type="dxa"/>
          </w:tcPr>
          <w:p w14:paraId="3980E8BF" w14:textId="0D1C150B" w:rsidR="00B15D34" w:rsidRDefault="00B15D34"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2 (0.4%)</w:t>
            </w:r>
          </w:p>
        </w:tc>
        <w:tc>
          <w:tcPr>
            <w:tcW w:w="1418" w:type="dxa"/>
          </w:tcPr>
          <w:p w14:paraId="216DB5C4" w14:textId="40471A94" w:rsidR="00B15D34" w:rsidRDefault="00B15D34" w:rsidP="00E30556">
            <w:pPr>
              <w:adjustRightInd w:val="0"/>
              <w:snapToGrid w:val="0"/>
              <w:spacing w:before="100" w:after="100"/>
              <w:ind w:left="100" w:right="100"/>
              <w:contextualSpacing/>
              <w:jc w:val="center"/>
              <w:rPr>
                <w:rFonts w:ascii="Arial" w:eastAsia="Arial" w:hAnsi="Arial" w:cs="Arial"/>
                <w:color w:val="000000"/>
              </w:rPr>
            </w:pPr>
            <w:r>
              <w:rPr>
                <w:rFonts w:ascii="Arial" w:eastAsia="Arial" w:hAnsi="Arial" w:cs="Arial"/>
                <w:color w:val="000000"/>
              </w:rPr>
              <w:t>7 (0.4%)</w:t>
            </w:r>
          </w:p>
        </w:tc>
      </w:tr>
      <w:tr w:rsidR="00B15D34" w14:paraId="48EF645F" w14:textId="77777777" w:rsidTr="00875A6B">
        <w:tc>
          <w:tcPr>
            <w:tcW w:w="1980" w:type="dxa"/>
          </w:tcPr>
          <w:p w14:paraId="00D9CC25" w14:textId="5531826B" w:rsidR="00B15D34" w:rsidRPr="00084D84" w:rsidRDefault="00B15D34" w:rsidP="00E30556">
            <w:pPr>
              <w:adjustRightInd w:val="0"/>
              <w:snapToGrid w:val="0"/>
              <w:spacing w:before="100" w:after="100"/>
              <w:ind w:left="100" w:right="100"/>
              <w:contextualSpacing/>
              <w:rPr>
                <w:rFonts w:ascii="Arial" w:eastAsia="Arial" w:hAnsi="Arial" w:cs="Arial"/>
                <w:b/>
                <w:bCs/>
                <w:color w:val="000000"/>
              </w:rPr>
            </w:pPr>
            <w:r w:rsidRPr="00084D84">
              <w:rPr>
                <w:rFonts w:ascii="Arial" w:eastAsia="Arial" w:hAnsi="Arial" w:cs="Arial"/>
                <w:b/>
                <w:bCs/>
                <w:color w:val="000000"/>
              </w:rPr>
              <w:t>Total</w:t>
            </w:r>
            <w:r w:rsidR="00690A00" w:rsidRPr="00690A00">
              <w:rPr>
                <w:rFonts w:ascii="Arial" w:eastAsia="Arial" w:hAnsi="Arial" w:cs="Arial"/>
                <w:b/>
                <w:bCs/>
                <w:color w:val="000000"/>
                <w:vertAlign w:val="superscript"/>
              </w:rPr>
              <w:t>1</w:t>
            </w:r>
          </w:p>
        </w:tc>
        <w:tc>
          <w:tcPr>
            <w:tcW w:w="1843" w:type="dxa"/>
          </w:tcPr>
          <w:p w14:paraId="3E7962B6" w14:textId="082BE71E" w:rsidR="00B15D34" w:rsidRDefault="00B15D34" w:rsidP="00E30556">
            <w:pPr>
              <w:adjustRightInd w:val="0"/>
              <w:snapToGrid w:val="0"/>
              <w:spacing w:before="100" w:after="100"/>
              <w:ind w:left="100" w:right="100"/>
              <w:contextualSpacing/>
              <w:jc w:val="center"/>
              <w:rPr>
                <w:rFonts w:ascii="Arial" w:eastAsia="Arial" w:hAnsi="Arial" w:cs="Arial"/>
                <w:color w:val="000000"/>
              </w:rPr>
            </w:pPr>
            <w:r w:rsidRPr="00084D84">
              <w:rPr>
                <w:rFonts w:ascii="Arial" w:eastAsia="Times New Roman" w:hAnsi="Arial" w:cs="Arial"/>
                <w:color w:val="000000"/>
                <w:lang w:eastAsia="en-GB"/>
              </w:rPr>
              <w:t>6 (</w:t>
            </w:r>
            <w:r>
              <w:rPr>
                <w:rFonts w:ascii="Arial" w:eastAsia="Times New Roman" w:hAnsi="Arial" w:cs="Arial"/>
                <w:color w:val="000000"/>
              </w:rPr>
              <w:t>6.5</w:t>
            </w:r>
            <w:r w:rsidRPr="00084D84">
              <w:rPr>
                <w:rFonts w:ascii="Arial" w:eastAsia="Times New Roman" w:hAnsi="Arial" w:cs="Arial"/>
                <w:color w:val="000000"/>
                <w:lang w:eastAsia="en-GB"/>
              </w:rPr>
              <w:t>%)</w:t>
            </w:r>
          </w:p>
        </w:tc>
        <w:tc>
          <w:tcPr>
            <w:tcW w:w="1417" w:type="dxa"/>
          </w:tcPr>
          <w:p w14:paraId="51CCAD98" w14:textId="2DAF732D" w:rsidR="00B15D34" w:rsidRDefault="00B15D34" w:rsidP="00E30556">
            <w:pPr>
              <w:adjustRightInd w:val="0"/>
              <w:snapToGrid w:val="0"/>
              <w:spacing w:before="100" w:after="100"/>
              <w:ind w:left="100" w:right="100"/>
              <w:contextualSpacing/>
              <w:jc w:val="center"/>
              <w:rPr>
                <w:rFonts w:ascii="Arial" w:eastAsia="Arial" w:hAnsi="Arial" w:cs="Arial"/>
                <w:color w:val="000000"/>
              </w:rPr>
            </w:pPr>
            <w:r>
              <w:rPr>
                <w:rFonts w:ascii="Arial" w:eastAsia="Times New Roman" w:hAnsi="Arial" w:cs="Arial"/>
                <w:color w:val="000000"/>
                <w:lang w:eastAsia="en-GB"/>
              </w:rPr>
              <w:t>10</w:t>
            </w:r>
            <w:r w:rsidRPr="00084D84">
              <w:rPr>
                <w:rFonts w:ascii="Arial" w:eastAsia="Times New Roman" w:hAnsi="Arial" w:cs="Arial"/>
                <w:color w:val="000000"/>
                <w:lang w:eastAsia="en-GB"/>
              </w:rPr>
              <w:t xml:space="preserve"> (</w:t>
            </w:r>
            <w:r>
              <w:rPr>
                <w:rFonts w:ascii="Arial" w:eastAsia="Times New Roman" w:hAnsi="Arial" w:cs="Arial"/>
                <w:color w:val="000000"/>
              </w:rPr>
              <w:t>9.4</w:t>
            </w:r>
            <w:r w:rsidRPr="00084D84">
              <w:rPr>
                <w:rFonts w:ascii="Arial" w:eastAsia="Times New Roman" w:hAnsi="Arial" w:cs="Arial"/>
                <w:color w:val="000000"/>
                <w:lang w:eastAsia="en-GB"/>
              </w:rPr>
              <w:t>%)</w:t>
            </w:r>
          </w:p>
        </w:tc>
        <w:tc>
          <w:tcPr>
            <w:tcW w:w="1843" w:type="dxa"/>
          </w:tcPr>
          <w:p w14:paraId="342C7E7B" w14:textId="0B582DF9" w:rsidR="00B15D34" w:rsidRDefault="00B15D34" w:rsidP="00E30556">
            <w:pPr>
              <w:adjustRightInd w:val="0"/>
              <w:snapToGrid w:val="0"/>
              <w:spacing w:before="100" w:after="100"/>
              <w:ind w:left="100" w:right="100"/>
              <w:contextualSpacing/>
              <w:jc w:val="center"/>
              <w:rPr>
                <w:rFonts w:ascii="Arial" w:eastAsia="Arial" w:hAnsi="Arial" w:cs="Arial"/>
                <w:color w:val="000000"/>
              </w:rPr>
            </w:pPr>
            <w:r>
              <w:rPr>
                <w:rFonts w:ascii="Arial" w:eastAsia="Times New Roman" w:hAnsi="Arial" w:cs="Arial"/>
                <w:color w:val="000000"/>
                <w:lang w:eastAsia="en-GB"/>
              </w:rPr>
              <w:t>35</w:t>
            </w:r>
            <w:r w:rsidRPr="00084D84">
              <w:rPr>
                <w:rFonts w:ascii="Arial" w:eastAsia="Times New Roman" w:hAnsi="Arial" w:cs="Arial"/>
                <w:color w:val="000000"/>
                <w:lang w:eastAsia="en-GB"/>
              </w:rPr>
              <w:t xml:space="preserve"> (</w:t>
            </w:r>
            <w:r>
              <w:rPr>
                <w:rFonts w:ascii="Arial" w:eastAsia="Times New Roman" w:hAnsi="Arial" w:cs="Arial"/>
                <w:color w:val="000000"/>
              </w:rPr>
              <w:t>9.0</w:t>
            </w:r>
            <w:r w:rsidRPr="00084D84">
              <w:rPr>
                <w:rFonts w:ascii="Arial" w:eastAsia="Times New Roman" w:hAnsi="Arial" w:cs="Arial"/>
                <w:color w:val="000000"/>
                <w:lang w:eastAsia="en-GB"/>
              </w:rPr>
              <w:t>%)</w:t>
            </w:r>
          </w:p>
        </w:tc>
        <w:tc>
          <w:tcPr>
            <w:tcW w:w="1701" w:type="dxa"/>
          </w:tcPr>
          <w:p w14:paraId="29FCFB7E" w14:textId="7F055A30" w:rsidR="00B15D34" w:rsidRDefault="00B15D34" w:rsidP="00E30556">
            <w:pPr>
              <w:adjustRightInd w:val="0"/>
              <w:snapToGrid w:val="0"/>
              <w:spacing w:before="100" w:after="100"/>
              <w:ind w:left="100" w:right="100"/>
              <w:contextualSpacing/>
              <w:jc w:val="center"/>
              <w:rPr>
                <w:rFonts w:ascii="Arial" w:eastAsia="Arial" w:hAnsi="Arial" w:cs="Arial"/>
                <w:color w:val="000000"/>
              </w:rPr>
            </w:pPr>
            <w:r>
              <w:rPr>
                <w:rFonts w:ascii="Arial" w:eastAsia="Times New Roman" w:hAnsi="Arial" w:cs="Arial"/>
                <w:color w:val="000000"/>
                <w:lang w:eastAsia="en-GB"/>
              </w:rPr>
              <w:t>38</w:t>
            </w:r>
            <w:r w:rsidRPr="00084D84">
              <w:rPr>
                <w:rFonts w:ascii="Arial" w:eastAsia="Times New Roman" w:hAnsi="Arial" w:cs="Arial"/>
                <w:color w:val="000000"/>
                <w:lang w:eastAsia="en-GB"/>
              </w:rPr>
              <w:t xml:space="preserve"> (</w:t>
            </w:r>
            <w:r>
              <w:rPr>
                <w:rFonts w:ascii="Arial" w:eastAsia="Times New Roman" w:hAnsi="Arial" w:cs="Arial"/>
                <w:color w:val="000000"/>
              </w:rPr>
              <w:t>9.0</w:t>
            </w:r>
            <w:r w:rsidRPr="00084D84">
              <w:rPr>
                <w:rFonts w:ascii="Arial" w:eastAsia="Times New Roman" w:hAnsi="Arial" w:cs="Arial"/>
                <w:color w:val="000000"/>
                <w:lang w:eastAsia="en-GB"/>
              </w:rPr>
              <w:t>%)</w:t>
            </w:r>
          </w:p>
        </w:tc>
        <w:tc>
          <w:tcPr>
            <w:tcW w:w="1701" w:type="dxa"/>
          </w:tcPr>
          <w:p w14:paraId="6948DD33" w14:textId="461BF441" w:rsidR="00B15D34" w:rsidRDefault="00B15D34" w:rsidP="00E30556">
            <w:pPr>
              <w:adjustRightInd w:val="0"/>
              <w:snapToGrid w:val="0"/>
              <w:spacing w:before="100" w:after="100"/>
              <w:ind w:left="100" w:right="100"/>
              <w:contextualSpacing/>
              <w:jc w:val="center"/>
              <w:rPr>
                <w:rFonts w:ascii="Arial" w:eastAsia="Arial" w:hAnsi="Arial" w:cs="Arial"/>
                <w:color w:val="000000"/>
              </w:rPr>
            </w:pPr>
            <w:r>
              <w:rPr>
                <w:rFonts w:ascii="Arial" w:eastAsia="Times New Roman" w:hAnsi="Arial" w:cs="Arial"/>
                <w:color w:val="000000"/>
                <w:lang w:eastAsia="en-GB"/>
              </w:rPr>
              <w:t xml:space="preserve">36 </w:t>
            </w:r>
            <w:r w:rsidRPr="00084D84">
              <w:rPr>
                <w:rFonts w:ascii="Arial" w:eastAsia="Times New Roman" w:hAnsi="Arial" w:cs="Arial"/>
                <w:color w:val="000000"/>
                <w:lang w:eastAsia="en-GB"/>
              </w:rPr>
              <w:t>(</w:t>
            </w:r>
            <w:r>
              <w:rPr>
                <w:rFonts w:ascii="Arial" w:eastAsia="Times New Roman" w:hAnsi="Arial" w:cs="Arial"/>
                <w:color w:val="000000"/>
              </w:rPr>
              <w:t>6.9</w:t>
            </w:r>
            <w:r w:rsidRPr="00084D84">
              <w:rPr>
                <w:rFonts w:ascii="Arial" w:eastAsia="Times New Roman" w:hAnsi="Arial" w:cs="Arial"/>
                <w:color w:val="000000"/>
                <w:lang w:eastAsia="en-GB"/>
              </w:rPr>
              <w:t>%)</w:t>
            </w:r>
          </w:p>
        </w:tc>
        <w:tc>
          <w:tcPr>
            <w:tcW w:w="1984" w:type="dxa"/>
          </w:tcPr>
          <w:p w14:paraId="2B5AD1DC" w14:textId="056F5E5D" w:rsidR="00B15D34" w:rsidRDefault="00B15D34" w:rsidP="00E30556">
            <w:pPr>
              <w:adjustRightInd w:val="0"/>
              <w:snapToGrid w:val="0"/>
              <w:spacing w:before="100" w:after="100"/>
              <w:ind w:left="100" w:right="100"/>
              <w:contextualSpacing/>
              <w:jc w:val="center"/>
              <w:rPr>
                <w:rFonts w:ascii="Arial" w:eastAsia="Arial" w:hAnsi="Arial" w:cs="Arial"/>
                <w:color w:val="000000"/>
              </w:rPr>
            </w:pPr>
            <w:r w:rsidRPr="00084D84">
              <w:rPr>
                <w:rFonts w:ascii="Arial" w:eastAsia="Times New Roman" w:hAnsi="Arial" w:cs="Arial"/>
                <w:color w:val="000000"/>
                <w:lang w:eastAsia="en-GB"/>
              </w:rPr>
              <w:t>2</w:t>
            </w:r>
            <w:r>
              <w:rPr>
                <w:rFonts w:ascii="Arial" w:eastAsia="Times New Roman" w:hAnsi="Arial" w:cs="Arial"/>
                <w:color w:val="000000"/>
                <w:lang w:eastAsia="en-GB"/>
              </w:rPr>
              <w:t>5</w:t>
            </w:r>
            <w:r w:rsidRPr="00084D84">
              <w:rPr>
                <w:rFonts w:ascii="Arial" w:eastAsia="Times New Roman" w:hAnsi="Arial" w:cs="Arial"/>
                <w:color w:val="000000"/>
                <w:lang w:eastAsia="en-GB"/>
              </w:rPr>
              <w:t xml:space="preserve"> (</w:t>
            </w:r>
            <w:r>
              <w:rPr>
                <w:rFonts w:ascii="Arial" w:eastAsia="Times New Roman" w:hAnsi="Arial" w:cs="Arial"/>
                <w:color w:val="000000"/>
              </w:rPr>
              <w:t>5.2</w:t>
            </w:r>
            <w:r w:rsidRPr="00084D84">
              <w:rPr>
                <w:rFonts w:ascii="Arial" w:eastAsia="Times New Roman" w:hAnsi="Arial" w:cs="Arial"/>
                <w:color w:val="000000"/>
                <w:lang w:eastAsia="en-GB"/>
              </w:rPr>
              <w:t>%)</w:t>
            </w:r>
          </w:p>
        </w:tc>
        <w:tc>
          <w:tcPr>
            <w:tcW w:w="1418" w:type="dxa"/>
          </w:tcPr>
          <w:p w14:paraId="5631A0B7" w14:textId="060C49AE" w:rsidR="00B15D34" w:rsidRDefault="00B15D34" w:rsidP="00E30556">
            <w:pPr>
              <w:adjustRightInd w:val="0"/>
              <w:snapToGrid w:val="0"/>
              <w:spacing w:before="100" w:after="100"/>
              <w:ind w:left="100" w:right="100"/>
              <w:contextualSpacing/>
              <w:jc w:val="center"/>
              <w:rPr>
                <w:rFonts w:ascii="Arial" w:eastAsia="Arial" w:hAnsi="Arial" w:cs="Arial"/>
                <w:color w:val="000000"/>
              </w:rPr>
            </w:pPr>
            <w:r w:rsidRPr="00084D84">
              <w:rPr>
                <w:rFonts w:ascii="Arial" w:eastAsia="Times New Roman" w:hAnsi="Arial" w:cs="Arial"/>
                <w:color w:val="000000"/>
                <w:lang w:eastAsia="en-GB"/>
              </w:rPr>
              <w:t>1</w:t>
            </w:r>
            <w:r>
              <w:rPr>
                <w:rFonts w:ascii="Arial" w:eastAsia="Times New Roman" w:hAnsi="Arial" w:cs="Arial"/>
                <w:color w:val="000000"/>
                <w:lang w:eastAsia="en-GB"/>
              </w:rPr>
              <w:t>50</w:t>
            </w:r>
            <w:r w:rsidRPr="00084D84">
              <w:rPr>
                <w:rFonts w:ascii="Arial" w:eastAsia="Times New Roman" w:hAnsi="Arial" w:cs="Arial"/>
                <w:color w:val="000000"/>
                <w:lang w:eastAsia="en-GB"/>
              </w:rPr>
              <w:t xml:space="preserve"> (</w:t>
            </w:r>
            <w:r>
              <w:rPr>
                <w:rFonts w:ascii="Arial" w:eastAsia="Times New Roman" w:hAnsi="Arial" w:cs="Arial"/>
                <w:color w:val="000000"/>
                <w:lang w:eastAsia="en-GB"/>
              </w:rPr>
              <w:t>7.4</w:t>
            </w:r>
            <w:r w:rsidRPr="00084D84">
              <w:rPr>
                <w:rFonts w:ascii="Arial" w:eastAsia="Times New Roman" w:hAnsi="Arial" w:cs="Arial"/>
                <w:color w:val="000000"/>
                <w:lang w:eastAsia="en-GB"/>
              </w:rPr>
              <w:t>%)</w:t>
            </w:r>
          </w:p>
        </w:tc>
      </w:tr>
    </w:tbl>
    <w:p w14:paraId="22EA6CD3" w14:textId="43205F34" w:rsidR="00CC34C3" w:rsidRPr="00850414" w:rsidRDefault="00690A00" w:rsidP="00E30556">
      <w:pPr>
        <w:adjustRightInd w:val="0"/>
        <w:snapToGrid w:val="0"/>
        <w:spacing w:line="240" w:lineRule="auto"/>
        <w:contextualSpacing/>
      </w:pPr>
      <w:r w:rsidRPr="004B408A">
        <w:rPr>
          <w:vertAlign w:val="superscript"/>
        </w:rPr>
        <w:t>1</w:t>
      </w:r>
      <w:r w:rsidR="004B408A" w:rsidRPr="004B408A">
        <w:t>Total numbers do not add up to sum of columns exactly as for a couple of participants, separate biopsy proven malignancies were reported at different sites over the course of the trial</w:t>
      </w:r>
    </w:p>
    <w:p w14:paraId="40B5042C" w14:textId="28556AE4" w:rsidR="00CC34C3" w:rsidRDefault="00CC34C3" w:rsidP="00E30556">
      <w:pPr>
        <w:adjustRightInd w:val="0"/>
        <w:snapToGrid w:val="0"/>
        <w:spacing w:line="240" w:lineRule="auto"/>
        <w:contextualSpacing/>
      </w:pPr>
      <w:r>
        <w:t>Percentages are percentages of participants who experienced that type/site of malignancy out of all randomised participants in that group.</w:t>
      </w:r>
      <w:r>
        <w:br w:type="page"/>
      </w:r>
    </w:p>
    <w:p w14:paraId="54890CC1" w14:textId="12630D09" w:rsidR="00823F35" w:rsidRDefault="004B2817" w:rsidP="00505F1C">
      <w:pPr>
        <w:pStyle w:val="Heading3"/>
        <w:rPr>
          <w:rFonts w:ascii="Arial" w:hAnsi="Arial" w:cs="Arial"/>
          <w:u w:val="single"/>
        </w:rPr>
      </w:pPr>
      <w:bookmarkStart w:id="27" w:name="_Toc121909734"/>
      <w:r w:rsidRPr="004B2817">
        <w:rPr>
          <w:rFonts w:ascii="Arial" w:hAnsi="Arial" w:cs="Arial"/>
          <w:u w:val="single"/>
        </w:rPr>
        <w:lastRenderedPageBreak/>
        <w:t xml:space="preserve">Supplementary Table </w:t>
      </w:r>
      <w:r w:rsidR="00364D21">
        <w:rPr>
          <w:rFonts w:ascii="Arial" w:hAnsi="Arial" w:cs="Arial"/>
          <w:u w:val="single"/>
        </w:rPr>
        <w:t>7</w:t>
      </w:r>
      <w:r w:rsidRPr="004B2817">
        <w:rPr>
          <w:rFonts w:ascii="Arial" w:hAnsi="Arial" w:cs="Arial"/>
          <w:u w:val="single"/>
        </w:rPr>
        <w:t>:</w:t>
      </w:r>
      <w:bookmarkEnd w:id="27"/>
      <w:r w:rsidRPr="004B2817">
        <w:rPr>
          <w:rFonts w:ascii="Arial" w:hAnsi="Arial" w:cs="Arial"/>
          <w:u w:val="single"/>
        </w:rPr>
        <w:t xml:space="preserve"> </w:t>
      </w:r>
    </w:p>
    <w:p w14:paraId="5621B577" w14:textId="20E38C46" w:rsidR="004B2817" w:rsidRPr="004B2817" w:rsidRDefault="004B2817" w:rsidP="00823F35">
      <w:pPr>
        <w:rPr>
          <w:rFonts w:ascii="Arial" w:hAnsi="Arial" w:cs="Arial"/>
        </w:rPr>
      </w:pPr>
      <w:r w:rsidRPr="004B2817">
        <w:rPr>
          <w:rFonts w:ascii="Arial" w:hAnsi="Arial" w:cs="Arial"/>
        </w:rPr>
        <w:t>Number (%) of participants who experienced an adverse event within each body system code and group</w:t>
      </w:r>
    </w:p>
    <w:p w14:paraId="7271F3ED" w14:textId="77777777" w:rsidR="002A7DB0" w:rsidRPr="004B2817" w:rsidRDefault="002A7DB0" w:rsidP="00E30556">
      <w:pPr>
        <w:adjustRightInd w:val="0"/>
        <w:snapToGrid w:val="0"/>
        <w:spacing w:line="240" w:lineRule="auto"/>
        <w:contextualSpacing/>
        <w:rPr>
          <w:rFonts w:ascii="Arial" w:hAnsi="Arial" w:cs="Arial"/>
        </w:rPr>
      </w:pPr>
    </w:p>
    <w:tbl>
      <w:tblPr>
        <w:tblStyle w:val="GridTable2-Accent1"/>
        <w:tblW w:w="0" w:type="auto"/>
        <w:shd w:val="clear" w:color="auto" w:fill="FFFFFF" w:themeFill="background1"/>
        <w:tblLook w:val="04A0" w:firstRow="1" w:lastRow="0" w:firstColumn="1" w:lastColumn="0" w:noHBand="0" w:noVBand="1"/>
      </w:tblPr>
      <w:tblGrid>
        <w:gridCol w:w="2351"/>
        <w:gridCol w:w="1350"/>
        <w:gridCol w:w="1695"/>
        <w:gridCol w:w="1350"/>
        <w:gridCol w:w="1695"/>
        <w:gridCol w:w="1350"/>
        <w:gridCol w:w="1695"/>
        <w:gridCol w:w="1195"/>
      </w:tblGrid>
      <w:tr w:rsidR="002A7DB0" w:rsidRPr="007D08E8" w14:paraId="22141C74" w14:textId="77777777" w:rsidTr="002A7EF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D0CECE" w:themeFill="background2" w:themeFillShade="E6"/>
            <w:vAlign w:val="center"/>
          </w:tcPr>
          <w:p w14:paraId="18A7D019" w14:textId="77777777" w:rsidR="002A7DB0" w:rsidRPr="007D08E8" w:rsidRDefault="002A7DB0" w:rsidP="00E30556">
            <w:pPr>
              <w:adjustRightInd w:val="0"/>
              <w:snapToGrid w:val="0"/>
              <w:spacing w:after="160"/>
              <w:contextualSpacing/>
              <w:jc w:val="center"/>
              <w:rPr>
                <w:rFonts w:ascii="Arial" w:hAnsi="Arial" w:cs="Arial"/>
                <w:sz w:val="20"/>
                <w:szCs w:val="20"/>
              </w:rPr>
            </w:pPr>
          </w:p>
        </w:tc>
        <w:tc>
          <w:tcPr>
            <w:tcW w:w="0" w:type="auto"/>
            <w:gridSpan w:val="2"/>
            <w:tcBorders>
              <w:top w:val="single" w:sz="4" w:space="0" w:color="auto"/>
              <w:bottom w:val="single" w:sz="4" w:space="0" w:color="auto"/>
            </w:tcBorders>
            <w:shd w:val="clear" w:color="auto" w:fill="D0CECE" w:themeFill="background2" w:themeFillShade="E6"/>
            <w:vAlign w:val="center"/>
          </w:tcPr>
          <w:p w14:paraId="78E71270" w14:textId="77777777" w:rsidR="002A7DB0" w:rsidRPr="007D08E8" w:rsidRDefault="002A7DB0" w:rsidP="00E30556">
            <w:pPr>
              <w:adjustRightInd w:val="0"/>
              <w:snapToGrid w:val="0"/>
              <w:spacing w:after="1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DSA+</w:t>
            </w:r>
          </w:p>
        </w:tc>
        <w:tc>
          <w:tcPr>
            <w:tcW w:w="0" w:type="auto"/>
            <w:gridSpan w:val="2"/>
            <w:tcBorders>
              <w:top w:val="single" w:sz="4" w:space="0" w:color="auto"/>
              <w:bottom w:val="single" w:sz="4" w:space="0" w:color="auto"/>
            </w:tcBorders>
            <w:shd w:val="clear" w:color="auto" w:fill="D0CECE" w:themeFill="background2" w:themeFillShade="E6"/>
            <w:vAlign w:val="center"/>
          </w:tcPr>
          <w:p w14:paraId="53BB5E34" w14:textId="77777777" w:rsidR="002A7DB0" w:rsidRPr="007D08E8" w:rsidRDefault="002A7DB0" w:rsidP="00E30556">
            <w:pPr>
              <w:adjustRightInd w:val="0"/>
              <w:snapToGrid w:val="0"/>
              <w:spacing w:after="1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Non-DSA+</w:t>
            </w:r>
          </w:p>
        </w:tc>
        <w:tc>
          <w:tcPr>
            <w:tcW w:w="0" w:type="auto"/>
            <w:gridSpan w:val="2"/>
            <w:tcBorders>
              <w:top w:val="single" w:sz="4" w:space="0" w:color="auto"/>
              <w:bottom w:val="single" w:sz="4" w:space="0" w:color="auto"/>
            </w:tcBorders>
            <w:shd w:val="clear" w:color="auto" w:fill="D0CECE" w:themeFill="background2" w:themeFillShade="E6"/>
            <w:vAlign w:val="center"/>
          </w:tcPr>
          <w:p w14:paraId="5619D31F" w14:textId="77777777" w:rsidR="002A7DB0" w:rsidRPr="007D08E8" w:rsidRDefault="002A7DB0" w:rsidP="00E30556">
            <w:pPr>
              <w:adjustRightInd w:val="0"/>
              <w:snapToGrid w:val="0"/>
              <w:spacing w:after="1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No HLA Ab</w:t>
            </w:r>
          </w:p>
        </w:tc>
        <w:tc>
          <w:tcPr>
            <w:tcW w:w="0" w:type="auto"/>
            <w:tcBorders>
              <w:top w:val="single" w:sz="4" w:space="0" w:color="auto"/>
              <w:bottom w:val="single" w:sz="4" w:space="0" w:color="auto"/>
              <w:right w:val="single" w:sz="4" w:space="0" w:color="auto"/>
            </w:tcBorders>
            <w:shd w:val="clear" w:color="auto" w:fill="D0CECE" w:themeFill="background2" w:themeFillShade="E6"/>
            <w:vAlign w:val="center"/>
          </w:tcPr>
          <w:p w14:paraId="37C52B1F" w14:textId="77777777" w:rsidR="002A7DB0" w:rsidRPr="007D08E8" w:rsidRDefault="002A7DB0" w:rsidP="00E30556">
            <w:pPr>
              <w:adjustRightInd w:val="0"/>
              <w:snapToGrid w:val="0"/>
              <w:spacing w:after="1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2A7DB0" w:rsidRPr="007D08E8" w14:paraId="7E33931F" w14:textId="77777777" w:rsidTr="002A7E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D0CECE" w:themeFill="background2" w:themeFillShade="E6"/>
            <w:vAlign w:val="center"/>
            <w:hideMark/>
          </w:tcPr>
          <w:p w14:paraId="78945FF6"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Body system</w:t>
            </w:r>
          </w:p>
        </w:tc>
        <w:tc>
          <w:tcPr>
            <w:tcW w:w="0" w:type="auto"/>
            <w:tcBorders>
              <w:top w:val="single" w:sz="4" w:space="0" w:color="auto"/>
              <w:bottom w:val="single" w:sz="4" w:space="0" w:color="auto"/>
            </w:tcBorders>
            <w:shd w:val="clear" w:color="auto" w:fill="D0CECE" w:themeFill="background2" w:themeFillShade="E6"/>
            <w:hideMark/>
          </w:tcPr>
          <w:p w14:paraId="6F3247B1"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eastAsia="Arial" w:hAnsi="Arial" w:cs="Arial"/>
                <w:color w:val="000000"/>
                <w:sz w:val="20"/>
                <w:szCs w:val="20"/>
              </w:rPr>
              <w:t>Blinded (SC)</w:t>
            </w:r>
          </w:p>
        </w:tc>
        <w:tc>
          <w:tcPr>
            <w:tcW w:w="0" w:type="auto"/>
            <w:tcBorders>
              <w:top w:val="single" w:sz="4" w:space="0" w:color="auto"/>
              <w:bottom w:val="single" w:sz="4" w:space="0" w:color="auto"/>
            </w:tcBorders>
            <w:shd w:val="clear" w:color="auto" w:fill="D0CECE" w:themeFill="background2" w:themeFillShade="E6"/>
            <w:hideMark/>
          </w:tcPr>
          <w:p w14:paraId="76F53DB8"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eastAsia="Arial" w:hAnsi="Arial" w:cs="Arial"/>
                <w:color w:val="000000"/>
                <w:sz w:val="20"/>
                <w:szCs w:val="20"/>
              </w:rPr>
              <w:t>Unblinded (BLC)</w:t>
            </w:r>
          </w:p>
        </w:tc>
        <w:tc>
          <w:tcPr>
            <w:tcW w:w="0" w:type="auto"/>
            <w:tcBorders>
              <w:top w:val="single" w:sz="4" w:space="0" w:color="auto"/>
              <w:bottom w:val="single" w:sz="4" w:space="0" w:color="auto"/>
            </w:tcBorders>
            <w:shd w:val="clear" w:color="auto" w:fill="D0CECE" w:themeFill="background2" w:themeFillShade="E6"/>
            <w:hideMark/>
          </w:tcPr>
          <w:p w14:paraId="394DB5C1"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eastAsia="Arial" w:hAnsi="Arial" w:cs="Arial"/>
                <w:color w:val="000000"/>
                <w:sz w:val="20"/>
                <w:szCs w:val="20"/>
              </w:rPr>
              <w:t>Blinded (SC)</w:t>
            </w:r>
          </w:p>
        </w:tc>
        <w:tc>
          <w:tcPr>
            <w:tcW w:w="0" w:type="auto"/>
            <w:tcBorders>
              <w:top w:val="single" w:sz="4" w:space="0" w:color="auto"/>
              <w:bottom w:val="single" w:sz="4" w:space="0" w:color="auto"/>
            </w:tcBorders>
            <w:shd w:val="clear" w:color="auto" w:fill="D0CECE" w:themeFill="background2" w:themeFillShade="E6"/>
            <w:hideMark/>
          </w:tcPr>
          <w:p w14:paraId="754274F7"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eastAsia="Arial" w:hAnsi="Arial" w:cs="Arial"/>
                <w:color w:val="000000"/>
                <w:sz w:val="20"/>
                <w:szCs w:val="20"/>
              </w:rPr>
              <w:t>Unblinded (BLC)</w:t>
            </w:r>
          </w:p>
        </w:tc>
        <w:tc>
          <w:tcPr>
            <w:tcW w:w="0" w:type="auto"/>
            <w:tcBorders>
              <w:top w:val="single" w:sz="4" w:space="0" w:color="auto"/>
              <w:bottom w:val="single" w:sz="4" w:space="0" w:color="auto"/>
            </w:tcBorders>
            <w:shd w:val="clear" w:color="auto" w:fill="D0CECE" w:themeFill="background2" w:themeFillShade="E6"/>
            <w:hideMark/>
          </w:tcPr>
          <w:p w14:paraId="118E2F5B"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eastAsia="Arial" w:hAnsi="Arial" w:cs="Arial"/>
                <w:color w:val="000000"/>
                <w:sz w:val="20"/>
                <w:szCs w:val="20"/>
              </w:rPr>
              <w:t>Blinded (SC)</w:t>
            </w:r>
          </w:p>
        </w:tc>
        <w:tc>
          <w:tcPr>
            <w:tcW w:w="0" w:type="auto"/>
            <w:tcBorders>
              <w:top w:val="single" w:sz="4" w:space="0" w:color="auto"/>
              <w:bottom w:val="single" w:sz="4" w:space="0" w:color="auto"/>
            </w:tcBorders>
            <w:shd w:val="clear" w:color="auto" w:fill="D0CECE" w:themeFill="background2" w:themeFillShade="E6"/>
            <w:hideMark/>
          </w:tcPr>
          <w:p w14:paraId="16BB60D8"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eastAsia="Arial" w:hAnsi="Arial" w:cs="Arial"/>
                <w:color w:val="000000"/>
                <w:sz w:val="20"/>
                <w:szCs w:val="20"/>
              </w:rPr>
              <w:t>Unblinded (BLC)</w:t>
            </w:r>
          </w:p>
        </w:tc>
        <w:tc>
          <w:tcPr>
            <w:tcW w:w="0" w:type="auto"/>
            <w:tcBorders>
              <w:top w:val="single" w:sz="4" w:space="0" w:color="auto"/>
              <w:bottom w:val="single" w:sz="4" w:space="0" w:color="auto"/>
              <w:right w:val="single" w:sz="4" w:space="0" w:color="auto"/>
            </w:tcBorders>
            <w:shd w:val="clear" w:color="auto" w:fill="D0CECE" w:themeFill="background2" w:themeFillShade="E6"/>
            <w:vAlign w:val="center"/>
            <w:hideMark/>
          </w:tcPr>
          <w:p w14:paraId="2D7F0D72"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Total</w:t>
            </w:r>
          </w:p>
        </w:tc>
      </w:tr>
      <w:tr w:rsidR="002A7DB0" w:rsidRPr="007D08E8" w14:paraId="5DA9D66C" w14:textId="77777777" w:rsidTr="002A7EFC">
        <w:trPr>
          <w:trHeight w:val="29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nil"/>
            </w:tcBorders>
            <w:shd w:val="clear" w:color="auto" w:fill="E7E6E6" w:themeFill="background2"/>
            <w:vAlign w:val="center"/>
            <w:hideMark/>
          </w:tcPr>
          <w:p w14:paraId="1B9FFBC2"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Allergies</w:t>
            </w:r>
          </w:p>
        </w:tc>
        <w:tc>
          <w:tcPr>
            <w:tcW w:w="0" w:type="auto"/>
            <w:tcBorders>
              <w:top w:val="single" w:sz="4" w:space="0" w:color="auto"/>
              <w:left w:val="nil"/>
              <w:bottom w:val="nil"/>
              <w:right w:val="nil"/>
            </w:tcBorders>
            <w:shd w:val="clear" w:color="auto" w:fill="E7E6E6" w:themeFill="background2"/>
            <w:vAlign w:val="center"/>
            <w:hideMark/>
          </w:tcPr>
          <w:p w14:paraId="6389FFBD"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 (1.1%)</w:t>
            </w:r>
          </w:p>
        </w:tc>
        <w:tc>
          <w:tcPr>
            <w:tcW w:w="0" w:type="auto"/>
            <w:tcBorders>
              <w:top w:val="single" w:sz="4" w:space="0" w:color="auto"/>
              <w:left w:val="nil"/>
              <w:bottom w:val="nil"/>
              <w:right w:val="nil"/>
            </w:tcBorders>
            <w:shd w:val="clear" w:color="auto" w:fill="E7E6E6" w:themeFill="background2"/>
            <w:vAlign w:val="center"/>
            <w:hideMark/>
          </w:tcPr>
          <w:p w14:paraId="4024F3B1"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0 (0.0%)</w:t>
            </w:r>
          </w:p>
        </w:tc>
        <w:tc>
          <w:tcPr>
            <w:tcW w:w="0" w:type="auto"/>
            <w:tcBorders>
              <w:top w:val="single" w:sz="4" w:space="0" w:color="auto"/>
              <w:left w:val="nil"/>
              <w:bottom w:val="nil"/>
              <w:right w:val="nil"/>
            </w:tcBorders>
            <w:shd w:val="clear" w:color="auto" w:fill="E7E6E6" w:themeFill="background2"/>
            <w:vAlign w:val="center"/>
            <w:hideMark/>
          </w:tcPr>
          <w:p w14:paraId="64A594B5"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8 (2.0%)</w:t>
            </w:r>
          </w:p>
        </w:tc>
        <w:tc>
          <w:tcPr>
            <w:tcW w:w="0" w:type="auto"/>
            <w:tcBorders>
              <w:top w:val="single" w:sz="4" w:space="0" w:color="auto"/>
              <w:left w:val="nil"/>
              <w:bottom w:val="nil"/>
              <w:right w:val="nil"/>
            </w:tcBorders>
            <w:shd w:val="clear" w:color="auto" w:fill="E7E6E6" w:themeFill="background2"/>
            <w:vAlign w:val="center"/>
            <w:hideMark/>
          </w:tcPr>
          <w:p w14:paraId="3F46C191"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4 (0.9%)</w:t>
            </w:r>
          </w:p>
        </w:tc>
        <w:tc>
          <w:tcPr>
            <w:tcW w:w="0" w:type="auto"/>
            <w:tcBorders>
              <w:top w:val="single" w:sz="4" w:space="0" w:color="auto"/>
              <w:left w:val="nil"/>
              <w:bottom w:val="nil"/>
              <w:right w:val="nil"/>
            </w:tcBorders>
            <w:shd w:val="clear" w:color="auto" w:fill="E7E6E6" w:themeFill="background2"/>
            <w:vAlign w:val="center"/>
            <w:hideMark/>
          </w:tcPr>
          <w:p w14:paraId="187C9B0A"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3 (0.6%)</w:t>
            </w:r>
          </w:p>
        </w:tc>
        <w:tc>
          <w:tcPr>
            <w:tcW w:w="0" w:type="auto"/>
            <w:tcBorders>
              <w:top w:val="single" w:sz="4" w:space="0" w:color="auto"/>
              <w:left w:val="nil"/>
              <w:bottom w:val="nil"/>
              <w:right w:val="nil"/>
            </w:tcBorders>
            <w:shd w:val="clear" w:color="auto" w:fill="E7E6E6" w:themeFill="background2"/>
            <w:vAlign w:val="center"/>
            <w:hideMark/>
          </w:tcPr>
          <w:p w14:paraId="7F548D6B"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 (0.2%)</w:t>
            </w:r>
          </w:p>
        </w:tc>
        <w:tc>
          <w:tcPr>
            <w:tcW w:w="0" w:type="auto"/>
            <w:tcBorders>
              <w:top w:val="single" w:sz="4" w:space="0" w:color="auto"/>
              <w:left w:val="nil"/>
              <w:bottom w:val="nil"/>
              <w:right w:val="single" w:sz="4" w:space="0" w:color="auto"/>
            </w:tcBorders>
            <w:shd w:val="clear" w:color="auto" w:fill="E7E6E6" w:themeFill="background2"/>
            <w:vAlign w:val="center"/>
            <w:hideMark/>
          </w:tcPr>
          <w:p w14:paraId="69C24A50"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17 (0.8%)</w:t>
            </w:r>
          </w:p>
        </w:tc>
      </w:tr>
      <w:tr w:rsidR="002A7DB0" w:rsidRPr="007D08E8" w14:paraId="5C82E2AB" w14:textId="77777777" w:rsidTr="002A7EF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nil"/>
            </w:tcBorders>
            <w:shd w:val="clear" w:color="auto" w:fill="FFFFFF" w:themeFill="background1"/>
            <w:vAlign w:val="center"/>
            <w:hideMark/>
          </w:tcPr>
          <w:p w14:paraId="5793D4A2"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Cardiovascular</w:t>
            </w:r>
          </w:p>
        </w:tc>
        <w:tc>
          <w:tcPr>
            <w:tcW w:w="0" w:type="auto"/>
            <w:tcBorders>
              <w:top w:val="nil"/>
              <w:left w:val="nil"/>
              <w:bottom w:val="nil"/>
              <w:right w:val="nil"/>
            </w:tcBorders>
            <w:shd w:val="clear" w:color="auto" w:fill="FFFFFF" w:themeFill="background1"/>
            <w:vAlign w:val="center"/>
            <w:hideMark/>
          </w:tcPr>
          <w:p w14:paraId="5D513E2A"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4 (4.3%)</w:t>
            </w:r>
          </w:p>
        </w:tc>
        <w:tc>
          <w:tcPr>
            <w:tcW w:w="0" w:type="auto"/>
            <w:tcBorders>
              <w:top w:val="nil"/>
              <w:left w:val="nil"/>
              <w:bottom w:val="nil"/>
              <w:right w:val="nil"/>
            </w:tcBorders>
            <w:shd w:val="clear" w:color="auto" w:fill="FFFFFF" w:themeFill="background1"/>
            <w:vAlign w:val="center"/>
            <w:hideMark/>
          </w:tcPr>
          <w:p w14:paraId="10CAC001"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15 (14%)</w:t>
            </w:r>
          </w:p>
        </w:tc>
        <w:tc>
          <w:tcPr>
            <w:tcW w:w="0" w:type="auto"/>
            <w:tcBorders>
              <w:top w:val="nil"/>
              <w:left w:val="nil"/>
              <w:bottom w:val="nil"/>
              <w:right w:val="nil"/>
            </w:tcBorders>
            <w:shd w:val="clear" w:color="auto" w:fill="FFFFFF" w:themeFill="background1"/>
            <w:vAlign w:val="center"/>
            <w:hideMark/>
          </w:tcPr>
          <w:p w14:paraId="4D34ABAC"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60 (15%)</w:t>
            </w:r>
          </w:p>
        </w:tc>
        <w:tc>
          <w:tcPr>
            <w:tcW w:w="0" w:type="auto"/>
            <w:tcBorders>
              <w:top w:val="nil"/>
              <w:left w:val="nil"/>
              <w:bottom w:val="nil"/>
              <w:right w:val="nil"/>
            </w:tcBorders>
            <w:shd w:val="clear" w:color="auto" w:fill="FFFFFF" w:themeFill="background1"/>
            <w:vAlign w:val="center"/>
            <w:hideMark/>
          </w:tcPr>
          <w:p w14:paraId="78AABFFF"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80 (19%)</w:t>
            </w:r>
          </w:p>
        </w:tc>
        <w:tc>
          <w:tcPr>
            <w:tcW w:w="0" w:type="auto"/>
            <w:tcBorders>
              <w:top w:val="nil"/>
              <w:left w:val="nil"/>
              <w:bottom w:val="nil"/>
              <w:right w:val="nil"/>
            </w:tcBorders>
            <w:shd w:val="clear" w:color="auto" w:fill="FFFFFF" w:themeFill="background1"/>
            <w:vAlign w:val="center"/>
            <w:hideMark/>
          </w:tcPr>
          <w:p w14:paraId="499483A9"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66 (13%)</w:t>
            </w:r>
          </w:p>
        </w:tc>
        <w:tc>
          <w:tcPr>
            <w:tcW w:w="0" w:type="auto"/>
            <w:tcBorders>
              <w:top w:val="nil"/>
              <w:left w:val="nil"/>
              <w:bottom w:val="nil"/>
              <w:right w:val="nil"/>
            </w:tcBorders>
            <w:shd w:val="clear" w:color="auto" w:fill="FFFFFF" w:themeFill="background1"/>
            <w:vAlign w:val="center"/>
            <w:hideMark/>
          </w:tcPr>
          <w:p w14:paraId="618BC522"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57 (12%)</w:t>
            </w:r>
          </w:p>
        </w:tc>
        <w:tc>
          <w:tcPr>
            <w:tcW w:w="0" w:type="auto"/>
            <w:tcBorders>
              <w:top w:val="nil"/>
              <w:left w:val="nil"/>
              <w:bottom w:val="nil"/>
              <w:right w:val="single" w:sz="4" w:space="0" w:color="auto"/>
            </w:tcBorders>
            <w:shd w:val="clear" w:color="auto" w:fill="FFFFFF" w:themeFill="background1"/>
            <w:vAlign w:val="center"/>
            <w:hideMark/>
          </w:tcPr>
          <w:p w14:paraId="4A1681EB"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282 (14%)</w:t>
            </w:r>
          </w:p>
        </w:tc>
      </w:tr>
      <w:tr w:rsidR="002A7DB0" w:rsidRPr="007D08E8" w14:paraId="7015B3E7" w14:textId="77777777" w:rsidTr="002A7EFC">
        <w:trPr>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nil"/>
            </w:tcBorders>
            <w:shd w:val="clear" w:color="auto" w:fill="E7E6E6" w:themeFill="background2"/>
            <w:vAlign w:val="center"/>
            <w:hideMark/>
          </w:tcPr>
          <w:p w14:paraId="243EB335"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Dermatological</w:t>
            </w:r>
          </w:p>
        </w:tc>
        <w:tc>
          <w:tcPr>
            <w:tcW w:w="0" w:type="auto"/>
            <w:tcBorders>
              <w:top w:val="nil"/>
              <w:left w:val="nil"/>
              <w:bottom w:val="nil"/>
              <w:right w:val="nil"/>
            </w:tcBorders>
            <w:shd w:val="clear" w:color="auto" w:fill="E7E6E6" w:themeFill="background2"/>
            <w:vAlign w:val="center"/>
            <w:hideMark/>
          </w:tcPr>
          <w:p w14:paraId="146DC01D"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24 (26%)</w:t>
            </w:r>
          </w:p>
        </w:tc>
        <w:tc>
          <w:tcPr>
            <w:tcW w:w="0" w:type="auto"/>
            <w:tcBorders>
              <w:top w:val="nil"/>
              <w:left w:val="nil"/>
              <w:bottom w:val="nil"/>
              <w:right w:val="nil"/>
            </w:tcBorders>
            <w:shd w:val="clear" w:color="auto" w:fill="E7E6E6" w:themeFill="background2"/>
            <w:vAlign w:val="center"/>
            <w:hideMark/>
          </w:tcPr>
          <w:p w14:paraId="516FD36E"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27 (26%)</w:t>
            </w:r>
          </w:p>
        </w:tc>
        <w:tc>
          <w:tcPr>
            <w:tcW w:w="0" w:type="auto"/>
            <w:tcBorders>
              <w:top w:val="nil"/>
              <w:left w:val="nil"/>
              <w:bottom w:val="nil"/>
              <w:right w:val="nil"/>
            </w:tcBorders>
            <w:shd w:val="clear" w:color="auto" w:fill="E7E6E6" w:themeFill="background2"/>
            <w:vAlign w:val="center"/>
            <w:hideMark/>
          </w:tcPr>
          <w:p w14:paraId="4A0EF3F5"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99 (25%)</w:t>
            </w:r>
          </w:p>
        </w:tc>
        <w:tc>
          <w:tcPr>
            <w:tcW w:w="0" w:type="auto"/>
            <w:tcBorders>
              <w:top w:val="nil"/>
              <w:left w:val="nil"/>
              <w:bottom w:val="nil"/>
              <w:right w:val="nil"/>
            </w:tcBorders>
            <w:shd w:val="clear" w:color="auto" w:fill="E7E6E6" w:themeFill="background2"/>
            <w:vAlign w:val="center"/>
            <w:hideMark/>
          </w:tcPr>
          <w:p w14:paraId="3AB1E568"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113 (27%)</w:t>
            </w:r>
          </w:p>
        </w:tc>
        <w:tc>
          <w:tcPr>
            <w:tcW w:w="0" w:type="auto"/>
            <w:tcBorders>
              <w:top w:val="nil"/>
              <w:left w:val="nil"/>
              <w:bottom w:val="nil"/>
              <w:right w:val="nil"/>
            </w:tcBorders>
            <w:shd w:val="clear" w:color="auto" w:fill="E7E6E6" w:themeFill="background2"/>
            <w:vAlign w:val="center"/>
            <w:hideMark/>
          </w:tcPr>
          <w:p w14:paraId="55BA93BB"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101 (19%)</w:t>
            </w:r>
          </w:p>
        </w:tc>
        <w:tc>
          <w:tcPr>
            <w:tcW w:w="0" w:type="auto"/>
            <w:tcBorders>
              <w:top w:val="nil"/>
              <w:left w:val="nil"/>
              <w:bottom w:val="nil"/>
              <w:right w:val="nil"/>
            </w:tcBorders>
            <w:shd w:val="clear" w:color="auto" w:fill="E7E6E6" w:themeFill="background2"/>
            <w:vAlign w:val="center"/>
            <w:hideMark/>
          </w:tcPr>
          <w:p w14:paraId="71C25BAD"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76 (15%)</w:t>
            </w:r>
          </w:p>
        </w:tc>
        <w:tc>
          <w:tcPr>
            <w:tcW w:w="0" w:type="auto"/>
            <w:tcBorders>
              <w:top w:val="nil"/>
              <w:left w:val="nil"/>
              <w:bottom w:val="nil"/>
              <w:right w:val="single" w:sz="4" w:space="0" w:color="auto"/>
            </w:tcBorders>
            <w:shd w:val="clear" w:color="auto" w:fill="E7E6E6" w:themeFill="background2"/>
            <w:vAlign w:val="center"/>
            <w:hideMark/>
          </w:tcPr>
          <w:p w14:paraId="4843E785"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440 (22%)</w:t>
            </w:r>
          </w:p>
        </w:tc>
      </w:tr>
      <w:tr w:rsidR="002A7DB0" w:rsidRPr="007D08E8" w14:paraId="2A64A2F7" w14:textId="77777777" w:rsidTr="002A7EF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nil"/>
            </w:tcBorders>
            <w:shd w:val="clear" w:color="auto" w:fill="FFFFFF" w:themeFill="background1"/>
            <w:vAlign w:val="center"/>
            <w:hideMark/>
          </w:tcPr>
          <w:p w14:paraId="0BA395EA"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Endocrine</w:t>
            </w:r>
          </w:p>
        </w:tc>
        <w:tc>
          <w:tcPr>
            <w:tcW w:w="0" w:type="auto"/>
            <w:tcBorders>
              <w:top w:val="nil"/>
              <w:left w:val="nil"/>
              <w:bottom w:val="nil"/>
              <w:right w:val="nil"/>
            </w:tcBorders>
            <w:shd w:val="clear" w:color="auto" w:fill="FFFFFF" w:themeFill="background1"/>
            <w:vAlign w:val="center"/>
            <w:hideMark/>
          </w:tcPr>
          <w:p w14:paraId="1DBAE230"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6 (6.5%)</w:t>
            </w:r>
          </w:p>
        </w:tc>
        <w:tc>
          <w:tcPr>
            <w:tcW w:w="0" w:type="auto"/>
            <w:tcBorders>
              <w:top w:val="nil"/>
              <w:left w:val="nil"/>
              <w:bottom w:val="nil"/>
              <w:right w:val="nil"/>
            </w:tcBorders>
            <w:shd w:val="clear" w:color="auto" w:fill="FFFFFF" w:themeFill="background1"/>
            <w:vAlign w:val="center"/>
            <w:hideMark/>
          </w:tcPr>
          <w:p w14:paraId="25841D69"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7 (6.6%)</w:t>
            </w:r>
          </w:p>
        </w:tc>
        <w:tc>
          <w:tcPr>
            <w:tcW w:w="0" w:type="auto"/>
            <w:tcBorders>
              <w:top w:val="nil"/>
              <w:left w:val="nil"/>
              <w:bottom w:val="nil"/>
              <w:right w:val="nil"/>
            </w:tcBorders>
            <w:shd w:val="clear" w:color="auto" w:fill="FFFFFF" w:themeFill="background1"/>
            <w:vAlign w:val="center"/>
            <w:hideMark/>
          </w:tcPr>
          <w:p w14:paraId="5869140B"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28 (7.2%)</w:t>
            </w:r>
          </w:p>
        </w:tc>
        <w:tc>
          <w:tcPr>
            <w:tcW w:w="0" w:type="auto"/>
            <w:tcBorders>
              <w:top w:val="nil"/>
              <w:left w:val="nil"/>
              <w:bottom w:val="nil"/>
              <w:right w:val="nil"/>
            </w:tcBorders>
            <w:shd w:val="clear" w:color="auto" w:fill="FFFFFF" w:themeFill="background1"/>
            <w:vAlign w:val="center"/>
            <w:hideMark/>
          </w:tcPr>
          <w:p w14:paraId="5232CE19"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26 (6.1%)</w:t>
            </w:r>
          </w:p>
        </w:tc>
        <w:tc>
          <w:tcPr>
            <w:tcW w:w="0" w:type="auto"/>
            <w:tcBorders>
              <w:top w:val="nil"/>
              <w:left w:val="nil"/>
              <w:bottom w:val="nil"/>
              <w:right w:val="nil"/>
            </w:tcBorders>
            <w:shd w:val="clear" w:color="auto" w:fill="FFFFFF" w:themeFill="background1"/>
            <w:vAlign w:val="center"/>
            <w:hideMark/>
          </w:tcPr>
          <w:p w14:paraId="021988B3"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29 (5.5%)</w:t>
            </w:r>
          </w:p>
        </w:tc>
        <w:tc>
          <w:tcPr>
            <w:tcW w:w="0" w:type="auto"/>
            <w:tcBorders>
              <w:top w:val="nil"/>
              <w:left w:val="nil"/>
              <w:bottom w:val="nil"/>
              <w:right w:val="nil"/>
            </w:tcBorders>
            <w:shd w:val="clear" w:color="auto" w:fill="FFFFFF" w:themeFill="background1"/>
            <w:vAlign w:val="center"/>
            <w:hideMark/>
          </w:tcPr>
          <w:p w14:paraId="289DF8EB"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21 (4.2%)</w:t>
            </w:r>
          </w:p>
        </w:tc>
        <w:tc>
          <w:tcPr>
            <w:tcW w:w="0" w:type="auto"/>
            <w:tcBorders>
              <w:top w:val="nil"/>
              <w:left w:val="nil"/>
              <w:bottom w:val="nil"/>
              <w:right w:val="single" w:sz="4" w:space="0" w:color="auto"/>
            </w:tcBorders>
            <w:shd w:val="clear" w:color="auto" w:fill="FFFFFF" w:themeFill="background1"/>
            <w:vAlign w:val="center"/>
            <w:hideMark/>
          </w:tcPr>
          <w:p w14:paraId="4F632A90"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117 (5.7%)</w:t>
            </w:r>
          </w:p>
        </w:tc>
      </w:tr>
      <w:tr w:rsidR="002A7DB0" w:rsidRPr="007D08E8" w14:paraId="5F10FC67" w14:textId="77777777" w:rsidTr="002A7EFC">
        <w:trPr>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nil"/>
            </w:tcBorders>
            <w:shd w:val="clear" w:color="auto" w:fill="E7E6E6" w:themeFill="background2"/>
            <w:vAlign w:val="center"/>
            <w:hideMark/>
          </w:tcPr>
          <w:p w14:paraId="71CCB099"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Eyes, ear, nose, throat</w:t>
            </w:r>
          </w:p>
        </w:tc>
        <w:tc>
          <w:tcPr>
            <w:tcW w:w="0" w:type="auto"/>
            <w:tcBorders>
              <w:top w:val="nil"/>
              <w:left w:val="nil"/>
              <w:bottom w:val="nil"/>
              <w:right w:val="nil"/>
            </w:tcBorders>
            <w:shd w:val="clear" w:color="auto" w:fill="E7E6E6" w:themeFill="background2"/>
            <w:vAlign w:val="center"/>
            <w:hideMark/>
          </w:tcPr>
          <w:p w14:paraId="549FD9BD"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19 (21%)</w:t>
            </w:r>
          </w:p>
        </w:tc>
        <w:tc>
          <w:tcPr>
            <w:tcW w:w="0" w:type="auto"/>
            <w:tcBorders>
              <w:top w:val="nil"/>
              <w:left w:val="nil"/>
              <w:bottom w:val="nil"/>
              <w:right w:val="nil"/>
            </w:tcBorders>
            <w:shd w:val="clear" w:color="auto" w:fill="E7E6E6" w:themeFill="background2"/>
            <w:vAlign w:val="center"/>
            <w:hideMark/>
          </w:tcPr>
          <w:p w14:paraId="137100C1"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24 (23%)</w:t>
            </w:r>
          </w:p>
        </w:tc>
        <w:tc>
          <w:tcPr>
            <w:tcW w:w="0" w:type="auto"/>
            <w:tcBorders>
              <w:top w:val="nil"/>
              <w:left w:val="nil"/>
              <w:bottom w:val="nil"/>
              <w:right w:val="nil"/>
            </w:tcBorders>
            <w:shd w:val="clear" w:color="auto" w:fill="E7E6E6" w:themeFill="background2"/>
            <w:vAlign w:val="center"/>
            <w:hideMark/>
          </w:tcPr>
          <w:p w14:paraId="71369E76"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76 (19%)</w:t>
            </w:r>
          </w:p>
        </w:tc>
        <w:tc>
          <w:tcPr>
            <w:tcW w:w="0" w:type="auto"/>
            <w:tcBorders>
              <w:top w:val="nil"/>
              <w:left w:val="nil"/>
              <w:bottom w:val="nil"/>
              <w:right w:val="nil"/>
            </w:tcBorders>
            <w:shd w:val="clear" w:color="auto" w:fill="E7E6E6" w:themeFill="background2"/>
            <w:vAlign w:val="center"/>
            <w:hideMark/>
          </w:tcPr>
          <w:p w14:paraId="576A1777"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89 (21%)</w:t>
            </w:r>
          </w:p>
        </w:tc>
        <w:tc>
          <w:tcPr>
            <w:tcW w:w="0" w:type="auto"/>
            <w:tcBorders>
              <w:top w:val="nil"/>
              <w:left w:val="nil"/>
              <w:bottom w:val="nil"/>
              <w:right w:val="nil"/>
            </w:tcBorders>
            <w:shd w:val="clear" w:color="auto" w:fill="E7E6E6" w:themeFill="background2"/>
            <w:vAlign w:val="center"/>
            <w:hideMark/>
          </w:tcPr>
          <w:p w14:paraId="1C132126"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82 (16%)</w:t>
            </w:r>
          </w:p>
        </w:tc>
        <w:tc>
          <w:tcPr>
            <w:tcW w:w="0" w:type="auto"/>
            <w:tcBorders>
              <w:top w:val="nil"/>
              <w:left w:val="nil"/>
              <w:bottom w:val="nil"/>
              <w:right w:val="nil"/>
            </w:tcBorders>
            <w:shd w:val="clear" w:color="auto" w:fill="E7E6E6" w:themeFill="background2"/>
            <w:vAlign w:val="center"/>
            <w:hideMark/>
          </w:tcPr>
          <w:p w14:paraId="24EB7E61"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59 (12%)</w:t>
            </w:r>
          </w:p>
        </w:tc>
        <w:tc>
          <w:tcPr>
            <w:tcW w:w="0" w:type="auto"/>
            <w:tcBorders>
              <w:top w:val="nil"/>
              <w:left w:val="nil"/>
              <w:bottom w:val="nil"/>
              <w:right w:val="single" w:sz="4" w:space="0" w:color="auto"/>
            </w:tcBorders>
            <w:shd w:val="clear" w:color="auto" w:fill="E7E6E6" w:themeFill="background2"/>
            <w:vAlign w:val="center"/>
            <w:hideMark/>
          </w:tcPr>
          <w:p w14:paraId="795C2554"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349 (17%)</w:t>
            </w:r>
          </w:p>
        </w:tc>
      </w:tr>
      <w:tr w:rsidR="002A7DB0" w:rsidRPr="007D08E8" w14:paraId="2646BDBC" w14:textId="77777777" w:rsidTr="002A7EF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nil"/>
            </w:tcBorders>
            <w:shd w:val="clear" w:color="auto" w:fill="FFFFFF" w:themeFill="background1"/>
            <w:vAlign w:val="center"/>
            <w:hideMark/>
          </w:tcPr>
          <w:p w14:paraId="29AFE30C"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Gastro-intestinal</w:t>
            </w:r>
          </w:p>
        </w:tc>
        <w:tc>
          <w:tcPr>
            <w:tcW w:w="0" w:type="auto"/>
            <w:tcBorders>
              <w:top w:val="nil"/>
              <w:left w:val="nil"/>
              <w:bottom w:val="nil"/>
              <w:right w:val="nil"/>
            </w:tcBorders>
            <w:shd w:val="clear" w:color="auto" w:fill="FFFFFF" w:themeFill="background1"/>
            <w:vAlign w:val="center"/>
            <w:hideMark/>
          </w:tcPr>
          <w:p w14:paraId="5BA5FEDA"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29 (32%)</w:t>
            </w:r>
          </w:p>
        </w:tc>
        <w:tc>
          <w:tcPr>
            <w:tcW w:w="0" w:type="auto"/>
            <w:tcBorders>
              <w:top w:val="nil"/>
              <w:left w:val="nil"/>
              <w:bottom w:val="nil"/>
              <w:right w:val="nil"/>
            </w:tcBorders>
            <w:shd w:val="clear" w:color="auto" w:fill="FFFFFF" w:themeFill="background1"/>
            <w:vAlign w:val="center"/>
            <w:hideMark/>
          </w:tcPr>
          <w:p w14:paraId="0A2ED394"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32 (30%)</w:t>
            </w:r>
          </w:p>
        </w:tc>
        <w:tc>
          <w:tcPr>
            <w:tcW w:w="0" w:type="auto"/>
            <w:tcBorders>
              <w:top w:val="nil"/>
              <w:left w:val="nil"/>
              <w:bottom w:val="nil"/>
              <w:right w:val="nil"/>
            </w:tcBorders>
            <w:shd w:val="clear" w:color="auto" w:fill="FFFFFF" w:themeFill="background1"/>
            <w:vAlign w:val="center"/>
            <w:hideMark/>
          </w:tcPr>
          <w:p w14:paraId="41779B33"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94 (24%)</w:t>
            </w:r>
          </w:p>
        </w:tc>
        <w:tc>
          <w:tcPr>
            <w:tcW w:w="0" w:type="auto"/>
            <w:tcBorders>
              <w:top w:val="nil"/>
              <w:left w:val="nil"/>
              <w:bottom w:val="nil"/>
              <w:right w:val="nil"/>
            </w:tcBorders>
            <w:shd w:val="clear" w:color="auto" w:fill="FFFFFF" w:themeFill="background1"/>
            <w:vAlign w:val="center"/>
            <w:hideMark/>
          </w:tcPr>
          <w:p w14:paraId="2489C37A"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128 (30%)</w:t>
            </w:r>
          </w:p>
        </w:tc>
        <w:tc>
          <w:tcPr>
            <w:tcW w:w="0" w:type="auto"/>
            <w:tcBorders>
              <w:top w:val="nil"/>
              <w:left w:val="nil"/>
              <w:bottom w:val="nil"/>
              <w:right w:val="nil"/>
            </w:tcBorders>
            <w:shd w:val="clear" w:color="auto" w:fill="FFFFFF" w:themeFill="background1"/>
            <w:vAlign w:val="center"/>
            <w:hideMark/>
          </w:tcPr>
          <w:p w14:paraId="541CF1E4"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116 (22%)</w:t>
            </w:r>
          </w:p>
        </w:tc>
        <w:tc>
          <w:tcPr>
            <w:tcW w:w="0" w:type="auto"/>
            <w:tcBorders>
              <w:top w:val="nil"/>
              <w:left w:val="nil"/>
              <w:bottom w:val="nil"/>
              <w:right w:val="nil"/>
            </w:tcBorders>
            <w:shd w:val="clear" w:color="auto" w:fill="FFFFFF" w:themeFill="background1"/>
            <w:vAlign w:val="center"/>
            <w:hideMark/>
          </w:tcPr>
          <w:p w14:paraId="7578981C"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105 (21%)</w:t>
            </w:r>
          </w:p>
        </w:tc>
        <w:tc>
          <w:tcPr>
            <w:tcW w:w="0" w:type="auto"/>
            <w:tcBorders>
              <w:top w:val="nil"/>
              <w:left w:val="nil"/>
              <w:bottom w:val="nil"/>
              <w:right w:val="single" w:sz="4" w:space="0" w:color="auto"/>
            </w:tcBorders>
            <w:shd w:val="clear" w:color="auto" w:fill="FFFFFF" w:themeFill="background1"/>
            <w:vAlign w:val="center"/>
            <w:hideMark/>
          </w:tcPr>
          <w:p w14:paraId="2E7053AC"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504 (25%)</w:t>
            </w:r>
          </w:p>
        </w:tc>
      </w:tr>
      <w:tr w:rsidR="002A7DB0" w:rsidRPr="007D08E8" w14:paraId="5393EFA1" w14:textId="77777777" w:rsidTr="002A7EFC">
        <w:trPr>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nil"/>
            </w:tcBorders>
            <w:shd w:val="clear" w:color="auto" w:fill="E7E6E6" w:themeFill="background2"/>
            <w:vAlign w:val="center"/>
            <w:hideMark/>
          </w:tcPr>
          <w:p w14:paraId="02E99D62"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Genito-urinary/renal</w:t>
            </w:r>
          </w:p>
        </w:tc>
        <w:tc>
          <w:tcPr>
            <w:tcW w:w="0" w:type="auto"/>
            <w:tcBorders>
              <w:top w:val="nil"/>
              <w:left w:val="nil"/>
              <w:bottom w:val="nil"/>
              <w:right w:val="nil"/>
            </w:tcBorders>
            <w:shd w:val="clear" w:color="auto" w:fill="E7E6E6" w:themeFill="background2"/>
            <w:vAlign w:val="center"/>
            <w:hideMark/>
          </w:tcPr>
          <w:p w14:paraId="57476209"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30 (33%)</w:t>
            </w:r>
          </w:p>
        </w:tc>
        <w:tc>
          <w:tcPr>
            <w:tcW w:w="0" w:type="auto"/>
            <w:tcBorders>
              <w:top w:val="nil"/>
              <w:left w:val="nil"/>
              <w:bottom w:val="nil"/>
              <w:right w:val="nil"/>
            </w:tcBorders>
            <w:shd w:val="clear" w:color="auto" w:fill="E7E6E6" w:themeFill="background2"/>
            <w:vAlign w:val="center"/>
            <w:hideMark/>
          </w:tcPr>
          <w:p w14:paraId="6888DE44"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46 (43%)</w:t>
            </w:r>
          </w:p>
        </w:tc>
        <w:tc>
          <w:tcPr>
            <w:tcW w:w="0" w:type="auto"/>
            <w:tcBorders>
              <w:top w:val="nil"/>
              <w:left w:val="nil"/>
              <w:bottom w:val="nil"/>
              <w:right w:val="nil"/>
            </w:tcBorders>
            <w:shd w:val="clear" w:color="auto" w:fill="E7E6E6" w:themeFill="background2"/>
            <w:vAlign w:val="center"/>
            <w:hideMark/>
          </w:tcPr>
          <w:p w14:paraId="65C3D63B"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141 (36%)</w:t>
            </w:r>
          </w:p>
        </w:tc>
        <w:tc>
          <w:tcPr>
            <w:tcW w:w="0" w:type="auto"/>
            <w:tcBorders>
              <w:top w:val="nil"/>
              <w:left w:val="nil"/>
              <w:bottom w:val="nil"/>
              <w:right w:val="nil"/>
            </w:tcBorders>
            <w:shd w:val="clear" w:color="auto" w:fill="E7E6E6" w:themeFill="background2"/>
            <w:vAlign w:val="center"/>
            <w:hideMark/>
          </w:tcPr>
          <w:p w14:paraId="24FE751E"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163 (38%)</w:t>
            </w:r>
          </w:p>
        </w:tc>
        <w:tc>
          <w:tcPr>
            <w:tcW w:w="0" w:type="auto"/>
            <w:tcBorders>
              <w:top w:val="nil"/>
              <w:left w:val="nil"/>
              <w:bottom w:val="nil"/>
              <w:right w:val="nil"/>
            </w:tcBorders>
            <w:shd w:val="clear" w:color="auto" w:fill="E7E6E6" w:themeFill="background2"/>
            <w:vAlign w:val="center"/>
            <w:hideMark/>
          </w:tcPr>
          <w:p w14:paraId="50DFD803"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163 (31%)</w:t>
            </w:r>
          </w:p>
        </w:tc>
        <w:tc>
          <w:tcPr>
            <w:tcW w:w="0" w:type="auto"/>
            <w:tcBorders>
              <w:top w:val="nil"/>
              <w:left w:val="nil"/>
              <w:bottom w:val="nil"/>
              <w:right w:val="nil"/>
            </w:tcBorders>
            <w:shd w:val="clear" w:color="auto" w:fill="E7E6E6" w:themeFill="background2"/>
            <w:vAlign w:val="center"/>
            <w:hideMark/>
          </w:tcPr>
          <w:p w14:paraId="366EDC4F"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130 (26%)</w:t>
            </w:r>
          </w:p>
        </w:tc>
        <w:tc>
          <w:tcPr>
            <w:tcW w:w="0" w:type="auto"/>
            <w:tcBorders>
              <w:top w:val="nil"/>
              <w:left w:val="nil"/>
              <w:bottom w:val="nil"/>
              <w:right w:val="single" w:sz="4" w:space="0" w:color="auto"/>
            </w:tcBorders>
            <w:shd w:val="clear" w:color="auto" w:fill="E7E6E6" w:themeFill="background2"/>
            <w:vAlign w:val="center"/>
            <w:hideMark/>
          </w:tcPr>
          <w:p w14:paraId="560687C8"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673 (33%)</w:t>
            </w:r>
          </w:p>
        </w:tc>
      </w:tr>
      <w:tr w:rsidR="002A7DB0" w:rsidRPr="007D08E8" w14:paraId="05F8A8FD" w14:textId="77777777" w:rsidTr="002A7EF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nil"/>
            </w:tcBorders>
            <w:shd w:val="clear" w:color="auto" w:fill="FFFFFF" w:themeFill="background1"/>
            <w:vAlign w:val="center"/>
            <w:hideMark/>
          </w:tcPr>
          <w:p w14:paraId="6D5CC382"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Haematological</w:t>
            </w:r>
          </w:p>
        </w:tc>
        <w:tc>
          <w:tcPr>
            <w:tcW w:w="0" w:type="auto"/>
            <w:tcBorders>
              <w:top w:val="nil"/>
              <w:left w:val="nil"/>
              <w:bottom w:val="nil"/>
              <w:right w:val="nil"/>
            </w:tcBorders>
            <w:shd w:val="clear" w:color="auto" w:fill="FFFFFF" w:themeFill="background1"/>
            <w:vAlign w:val="center"/>
            <w:hideMark/>
          </w:tcPr>
          <w:p w14:paraId="1AC55222"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7 (7.6%)</w:t>
            </w:r>
          </w:p>
        </w:tc>
        <w:tc>
          <w:tcPr>
            <w:tcW w:w="0" w:type="auto"/>
            <w:tcBorders>
              <w:top w:val="nil"/>
              <w:left w:val="nil"/>
              <w:bottom w:val="nil"/>
              <w:right w:val="nil"/>
            </w:tcBorders>
            <w:shd w:val="clear" w:color="auto" w:fill="FFFFFF" w:themeFill="background1"/>
            <w:vAlign w:val="center"/>
            <w:hideMark/>
          </w:tcPr>
          <w:p w14:paraId="1EEC983A"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7 (6.6%)</w:t>
            </w:r>
          </w:p>
        </w:tc>
        <w:tc>
          <w:tcPr>
            <w:tcW w:w="0" w:type="auto"/>
            <w:tcBorders>
              <w:top w:val="nil"/>
              <w:left w:val="nil"/>
              <w:bottom w:val="nil"/>
              <w:right w:val="nil"/>
            </w:tcBorders>
            <w:shd w:val="clear" w:color="auto" w:fill="FFFFFF" w:themeFill="background1"/>
            <w:vAlign w:val="center"/>
            <w:hideMark/>
          </w:tcPr>
          <w:p w14:paraId="7598B38C"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25 (6.4%)</w:t>
            </w:r>
          </w:p>
        </w:tc>
        <w:tc>
          <w:tcPr>
            <w:tcW w:w="0" w:type="auto"/>
            <w:tcBorders>
              <w:top w:val="nil"/>
              <w:left w:val="nil"/>
              <w:bottom w:val="nil"/>
              <w:right w:val="nil"/>
            </w:tcBorders>
            <w:shd w:val="clear" w:color="auto" w:fill="FFFFFF" w:themeFill="background1"/>
            <w:vAlign w:val="center"/>
            <w:hideMark/>
          </w:tcPr>
          <w:p w14:paraId="7E2CF0D3"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29 (6.8%)</w:t>
            </w:r>
          </w:p>
        </w:tc>
        <w:tc>
          <w:tcPr>
            <w:tcW w:w="0" w:type="auto"/>
            <w:tcBorders>
              <w:top w:val="nil"/>
              <w:left w:val="nil"/>
              <w:bottom w:val="nil"/>
              <w:right w:val="nil"/>
            </w:tcBorders>
            <w:shd w:val="clear" w:color="auto" w:fill="FFFFFF" w:themeFill="background1"/>
            <w:vAlign w:val="center"/>
            <w:hideMark/>
          </w:tcPr>
          <w:p w14:paraId="1D1FCF4F"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35 (6.7%)</w:t>
            </w:r>
          </w:p>
        </w:tc>
        <w:tc>
          <w:tcPr>
            <w:tcW w:w="0" w:type="auto"/>
            <w:tcBorders>
              <w:top w:val="nil"/>
              <w:left w:val="nil"/>
              <w:bottom w:val="nil"/>
              <w:right w:val="nil"/>
            </w:tcBorders>
            <w:shd w:val="clear" w:color="auto" w:fill="FFFFFF" w:themeFill="background1"/>
            <w:vAlign w:val="center"/>
            <w:hideMark/>
          </w:tcPr>
          <w:p w14:paraId="6860B887"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26 (5.3%)</w:t>
            </w:r>
          </w:p>
        </w:tc>
        <w:tc>
          <w:tcPr>
            <w:tcW w:w="0" w:type="auto"/>
            <w:tcBorders>
              <w:top w:val="nil"/>
              <w:left w:val="nil"/>
              <w:bottom w:val="nil"/>
              <w:right w:val="single" w:sz="4" w:space="0" w:color="auto"/>
            </w:tcBorders>
            <w:shd w:val="clear" w:color="auto" w:fill="FFFFFF" w:themeFill="background1"/>
            <w:vAlign w:val="center"/>
            <w:hideMark/>
          </w:tcPr>
          <w:p w14:paraId="61940109"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129 (6.3%)</w:t>
            </w:r>
          </w:p>
        </w:tc>
      </w:tr>
      <w:tr w:rsidR="002A7DB0" w:rsidRPr="007D08E8" w14:paraId="25D2AE96" w14:textId="77777777" w:rsidTr="002A7EFC">
        <w:trPr>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nil"/>
            </w:tcBorders>
            <w:shd w:val="clear" w:color="auto" w:fill="E7E6E6" w:themeFill="background2"/>
            <w:vAlign w:val="center"/>
            <w:hideMark/>
          </w:tcPr>
          <w:p w14:paraId="2F77A8E9"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Hepatic</w:t>
            </w:r>
          </w:p>
        </w:tc>
        <w:tc>
          <w:tcPr>
            <w:tcW w:w="0" w:type="auto"/>
            <w:tcBorders>
              <w:top w:val="nil"/>
              <w:left w:val="nil"/>
              <w:bottom w:val="nil"/>
              <w:right w:val="nil"/>
            </w:tcBorders>
            <w:shd w:val="clear" w:color="auto" w:fill="E7E6E6" w:themeFill="background2"/>
            <w:vAlign w:val="center"/>
            <w:hideMark/>
          </w:tcPr>
          <w:p w14:paraId="1C97B290"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2 (2.2%)</w:t>
            </w:r>
          </w:p>
        </w:tc>
        <w:tc>
          <w:tcPr>
            <w:tcW w:w="0" w:type="auto"/>
            <w:tcBorders>
              <w:top w:val="nil"/>
              <w:left w:val="nil"/>
              <w:bottom w:val="nil"/>
              <w:right w:val="nil"/>
            </w:tcBorders>
            <w:shd w:val="clear" w:color="auto" w:fill="E7E6E6" w:themeFill="background2"/>
            <w:vAlign w:val="center"/>
            <w:hideMark/>
          </w:tcPr>
          <w:p w14:paraId="02A9EF78"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2 (1.9%)</w:t>
            </w:r>
          </w:p>
        </w:tc>
        <w:tc>
          <w:tcPr>
            <w:tcW w:w="0" w:type="auto"/>
            <w:tcBorders>
              <w:top w:val="nil"/>
              <w:left w:val="nil"/>
              <w:bottom w:val="nil"/>
              <w:right w:val="nil"/>
            </w:tcBorders>
            <w:shd w:val="clear" w:color="auto" w:fill="E7E6E6" w:themeFill="background2"/>
            <w:vAlign w:val="center"/>
            <w:hideMark/>
          </w:tcPr>
          <w:p w14:paraId="4C548810"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2 (0.5%)</w:t>
            </w:r>
          </w:p>
        </w:tc>
        <w:tc>
          <w:tcPr>
            <w:tcW w:w="0" w:type="auto"/>
            <w:tcBorders>
              <w:top w:val="nil"/>
              <w:left w:val="nil"/>
              <w:bottom w:val="nil"/>
              <w:right w:val="nil"/>
            </w:tcBorders>
            <w:shd w:val="clear" w:color="auto" w:fill="E7E6E6" w:themeFill="background2"/>
            <w:vAlign w:val="center"/>
            <w:hideMark/>
          </w:tcPr>
          <w:p w14:paraId="61F4B3DE"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9 (2.1%)</w:t>
            </w:r>
          </w:p>
        </w:tc>
        <w:tc>
          <w:tcPr>
            <w:tcW w:w="0" w:type="auto"/>
            <w:tcBorders>
              <w:top w:val="nil"/>
              <w:left w:val="nil"/>
              <w:bottom w:val="nil"/>
              <w:right w:val="nil"/>
            </w:tcBorders>
            <w:shd w:val="clear" w:color="auto" w:fill="E7E6E6" w:themeFill="background2"/>
            <w:vAlign w:val="center"/>
            <w:hideMark/>
          </w:tcPr>
          <w:p w14:paraId="03A52544"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4 (0.8%)</w:t>
            </w:r>
          </w:p>
        </w:tc>
        <w:tc>
          <w:tcPr>
            <w:tcW w:w="0" w:type="auto"/>
            <w:tcBorders>
              <w:top w:val="nil"/>
              <w:left w:val="nil"/>
              <w:bottom w:val="nil"/>
              <w:right w:val="nil"/>
            </w:tcBorders>
            <w:shd w:val="clear" w:color="auto" w:fill="E7E6E6" w:themeFill="background2"/>
            <w:vAlign w:val="center"/>
            <w:hideMark/>
          </w:tcPr>
          <w:p w14:paraId="71935E78"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6 (1.2%)</w:t>
            </w:r>
          </w:p>
        </w:tc>
        <w:tc>
          <w:tcPr>
            <w:tcW w:w="0" w:type="auto"/>
            <w:tcBorders>
              <w:top w:val="nil"/>
              <w:left w:val="nil"/>
              <w:bottom w:val="nil"/>
              <w:right w:val="single" w:sz="4" w:space="0" w:color="auto"/>
            </w:tcBorders>
            <w:shd w:val="clear" w:color="auto" w:fill="E7E6E6" w:themeFill="background2"/>
            <w:vAlign w:val="center"/>
            <w:hideMark/>
          </w:tcPr>
          <w:p w14:paraId="3D9C0759"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25 (1.2%)</w:t>
            </w:r>
          </w:p>
        </w:tc>
      </w:tr>
      <w:tr w:rsidR="002A7DB0" w:rsidRPr="007D08E8" w14:paraId="74CBA94A" w14:textId="77777777" w:rsidTr="002A7EF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nil"/>
            </w:tcBorders>
            <w:shd w:val="clear" w:color="auto" w:fill="FFFFFF" w:themeFill="background1"/>
            <w:vAlign w:val="center"/>
            <w:hideMark/>
          </w:tcPr>
          <w:p w14:paraId="1E806E63"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Immunological</w:t>
            </w:r>
          </w:p>
        </w:tc>
        <w:tc>
          <w:tcPr>
            <w:tcW w:w="0" w:type="auto"/>
            <w:tcBorders>
              <w:top w:val="nil"/>
              <w:left w:val="nil"/>
              <w:bottom w:val="nil"/>
              <w:right w:val="nil"/>
            </w:tcBorders>
            <w:shd w:val="clear" w:color="auto" w:fill="FFFFFF" w:themeFill="background1"/>
            <w:vAlign w:val="center"/>
            <w:hideMark/>
          </w:tcPr>
          <w:p w14:paraId="401780CA"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3 (3.3%)</w:t>
            </w:r>
          </w:p>
        </w:tc>
        <w:tc>
          <w:tcPr>
            <w:tcW w:w="0" w:type="auto"/>
            <w:tcBorders>
              <w:top w:val="nil"/>
              <w:left w:val="nil"/>
              <w:bottom w:val="nil"/>
              <w:right w:val="nil"/>
            </w:tcBorders>
            <w:shd w:val="clear" w:color="auto" w:fill="FFFFFF" w:themeFill="background1"/>
            <w:vAlign w:val="center"/>
            <w:hideMark/>
          </w:tcPr>
          <w:p w14:paraId="60B4A165"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 (0.9%)</w:t>
            </w:r>
          </w:p>
        </w:tc>
        <w:tc>
          <w:tcPr>
            <w:tcW w:w="0" w:type="auto"/>
            <w:tcBorders>
              <w:top w:val="nil"/>
              <w:left w:val="nil"/>
              <w:bottom w:val="nil"/>
              <w:right w:val="nil"/>
            </w:tcBorders>
            <w:shd w:val="clear" w:color="auto" w:fill="FFFFFF" w:themeFill="background1"/>
            <w:vAlign w:val="center"/>
            <w:hideMark/>
          </w:tcPr>
          <w:p w14:paraId="0CA07BA2"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13 (3.3%)</w:t>
            </w:r>
          </w:p>
        </w:tc>
        <w:tc>
          <w:tcPr>
            <w:tcW w:w="0" w:type="auto"/>
            <w:tcBorders>
              <w:top w:val="nil"/>
              <w:left w:val="nil"/>
              <w:bottom w:val="nil"/>
              <w:right w:val="nil"/>
            </w:tcBorders>
            <w:shd w:val="clear" w:color="auto" w:fill="FFFFFF" w:themeFill="background1"/>
            <w:vAlign w:val="center"/>
            <w:hideMark/>
          </w:tcPr>
          <w:p w14:paraId="03B3A476"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7 (1.6%)</w:t>
            </w:r>
          </w:p>
        </w:tc>
        <w:tc>
          <w:tcPr>
            <w:tcW w:w="0" w:type="auto"/>
            <w:tcBorders>
              <w:top w:val="nil"/>
              <w:left w:val="nil"/>
              <w:bottom w:val="nil"/>
              <w:right w:val="nil"/>
            </w:tcBorders>
            <w:shd w:val="clear" w:color="auto" w:fill="FFFFFF" w:themeFill="background1"/>
            <w:vAlign w:val="center"/>
            <w:hideMark/>
          </w:tcPr>
          <w:p w14:paraId="1DB8F599"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9 (1.7%)</w:t>
            </w:r>
          </w:p>
        </w:tc>
        <w:tc>
          <w:tcPr>
            <w:tcW w:w="0" w:type="auto"/>
            <w:tcBorders>
              <w:top w:val="nil"/>
              <w:left w:val="nil"/>
              <w:bottom w:val="nil"/>
              <w:right w:val="nil"/>
            </w:tcBorders>
            <w:shd w:val="clear" w:color="auto" w:fill="FFFFFF" w:themeFill="background1"/>
            <w:vAlign w:val="center"/>
            <w:hideMark/>
          </w:tcPr>
          <w:p w14:paraId="5BB2A0EF"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4 (0.8%)</w:t>
            </w:r>
          </w:p>
        </w:tc>
        <w:tc>
          <w:tcPr>
            <w:tcW w:w="0" w:type="auto"/>
            <w:tcBorders>
              <w:top w:val="nil"/>
              <w:left w:val="nil"/>
              <w:bottom w:val="nil"/>
              <w:right w:val="single" w:sz="4" w:space="0" w:color="auto"/>
            </w:tcBorders>
            <w:shd w:val="clear" w:color="auto" w:fill="FFFFFF" w:themeFill="background1"/>
            <w:vAlign w:val="center"/>
            <w:hideMark/>
          </w:tcPr>
          <w:p w14:paraId="6ED4CD0F"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37 (1.8%)</w:t>
            </w:r>
          </w:p>
        </w:tc>
      </w:tr>
      <w:tr w:rsidR="002A7DB0" w:rsidRPr="007D08E8" w14:paraId="0B6E6149" w14:textId="77777777" w:rsidTr="002A7EFC">
        <w:trPr>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nil"/>
            </w:tcBorders>
            <w:shd w:val="clear" w:color="auto" w:fill="E7E6E6" w:themeFill="background2"/>
            <w:vAlign w:val="center"/>
            <w:hideMark/>
          </w:tcPr>
          <w:p w14:paraId="442A6B00"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Musculo-skeletal</w:t>
            </w:r>
          </w:p>
        </w:tc>
        <w:tc>
          <w:tcPr>
            <w:tcW w:w="0" w:type="auto"/>
            <w:tcBorders>
              <w:top w:val="nil"/>
              <w:left w:val="nil"/>
              <w:bottom w:val="nil"/>
              <w:right w:val="nil"/>
            </w:tcBorders>
            <w:shd w:val="clear" w:color="auto" w:fill="E7E6E6" w:themeFill="background2"/>
            <w:vAlign w:val="center"/>
            <w:hideMark/>
          </w:tcPr>
          <w:p w14:paraId="2A57C73A"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26 (28%)</w:t>
            </w:r>
          </w:p>
        </w:tc>
        <w:tc>
          <w:tcPr>
            <w:tcW w:w="0" w:type="auto"/>
            <w:tcBorders>
              <w:top w:val="nil"/>
              <w:left w:val="nil"/>
              <w:bottom w:val="nil"/>
              <w:right w:val="nil"/>
            </w:tcBorders>
            <w:shd w:val="clear" w:color="auto" w:fill="E7E6E6" w:themeFill="background2"/>
            <w:vAlign w:val="center"/>
            <w:hideMark/>
          </w:tcPr>
          <w:p w14:paraId="0482C8F3"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32 (30%)</w:t>
            </w:r>
          </w:p>
        </w:tc>
        <w:tc>
          <w:tcPr>
            <w:tcW w:w="0" w:type="auto"/>
            <w:tcBorders>
              <w:top w:val="nil"/>
              <w:left w:val="nil"/>
              <w:bottom w:val="nil"/>
              <w:right w:val="nil"/>
            </w:tcBorders>
            <w:shd w:val="clear" w:color="auto" w:fill="E7E6E6" w:themeFill="background2"/>
            <w:vAlign w:val="center"/>
            <w:hideMark/>
          </w:tcPr>
          <w:p w14:paraId="2863D3B1"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103 (26%)</w:t>
            </w:r>
          </w:p>
        </w:tc>
        <w:tc>
          <w:tcPr>
            <w:tcW w:w="0" w:type="auto"/>
            <w:tcBorders>
              <w:top w:val="nil"/>
              <w:left w:val="nil"/>
              <w:bottom w:val="nil"/>
              <w:right w:val="nil"/>
            </w:tcBorders>
            <w:shd w:val="clear" w:color="auto" w:fill="E7E6E6" w:themeFill="background2"/>
            <w:vAlign w:val="center"/>
            <w:hideMark/>
          </w:tcPr>
          <w:p w14:paraId="18BCF6BC"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121 (28%)</w:t>
            </w:r>
          </w:p>
        </w:tc>
        <w:tc>
          <w:tcPr>
            <w:tcW w:w="0" w:type="auto"/>
            <w:tcBorders>
              <w:top w:val="nil"/>
              <w:left w:val="nil"/>
              <w:bottom w:val="nil"/>
              <w:right w:val="nil"/>
            </w:tcBorders>
            <w:shd w:val="clear" w:color="auto" w:fill="E7E6E6" w:themeFill="background2"/>
            <w:vAlign w:val="center"/>
            <w:hideMark/>
          </w:tcPr>
          <w:p w14:paraId="24523E13"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134 (26%)</w:t>
            </w:r>
          </w:p>
        </w:tc>
        <w:tc>
          <w:tcPr>
            <w:tcW w:w="0" w:type="auto"/>
            <w:tcBorders>
              <w:top w:val="nil"/>
              <w:left w:val="nil"/>
              <w:bottom w:val="nil"/>
              <w:right w:val="nil"/>
            </w:tcBorders>
            <w:shd w:val="clear" w:color="auto" w:fill="E7E6E6" w:themeFill="background2"/>
            <w:vAlign w:val="center"/>
            <w:hideMark/>
          </w:tcPr>
          <w:p w14:paraId="02242617"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106 (21%)</w:t>
            </w:r>
          </w:p>
        </w:tc>
        <w:tc>
          <w:tcPr>
            <w:tcW w:w="0" w:type="auto"/>
            <w:tcBorders>
              <w:top w:val="nil"/>
              <w:left w:val="nil"/>
              <w:bottom w:val="nil"/>
              <w:right w:val="single" w:sz="4" w:space="0" w:color="auto"/>
            </w:tcBorders>
            <w:shd w:val="clear" w:color="auto" w:fill="E7E6E6" w:themeFill="background2"/>
            <w:vAlign w:val="center"/>
            <w:hideMark/>
          </w:tcPr>
          <w:p w14:paraId="3FD5E2E6"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522 (26%)</w:t>
            </w:r>
          </w:p>
        </w:tc>
      </w:tr>
      <w:tr w:rsidR="002A7DB0" w:rsidRPr="007D08E8" w14:paraId="3C41870B" w14:textId="77777777" w:rsidTr="002A7EF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nil"/>
            </w:tcBorders>
            <w:shd w:val="clear" w:color="auto" w:fill="FFFFFF" w:themeFill="background1"/>
            <w:vAlign w:val="center"/>
            <w:hideMark/>
          </w:tcPr>
          <w:p w14:paraId="2496DBD4"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Neoplasia</w:t>
            </w:r>
          </w:p>
        </w:tc>
        <w:tc>
          <w:tcPr>
            <w:tcW w:w="0" w:type="auto"/>
            <w:tcBorders>
              <w:top w:val="nil"/>
              <w:left w:val="nil"/>
              <w:bottom w:val="nil"/>
              <w:right w:val="nil"/>
            </w:tcBorders>
            <w:shd w:val="clear" w:color="auto" w:fill="FFFFFF" w:themeFill="background1"/>
            <w:vAlign w:val="center"/>
            <w:hideMark/>
          </w:tcPr>
          <w:p w14:paraId="4A7C113B"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2 (2.2%)</w:t>
            </w:r>
          </w:p>
        </w:tc>
        <w:tc>
          <w:tcPr>
            <w:tcW w:w="0" w:type="auto"/>
            <w:tcBorders>
              <w:top w:val="nil"/>
              <w:left w:val="nil"/>
              <w:bottom w:val="nil"/>
              <w:right w:val="nil"/>
            </w:tcBorders>
            <w:shd w:val="clear" w:color="auto" w:fill="FFFFFF" w:themeFill="background1"/>
            <w:vAlign w:val="center"/>
            <w:hideMark/>
          </w:tcPr>
          <w:p w14:paraId="14ADEDA3"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 (0.9%)</w:t>
            </w:r>
          </w:p>
        </w:tc>
        <w:tc>
          <w:tcPr>
            <w:tcW w:w="0" w:type="auto"/>
            <w:tcBorders>
              <w:top w:val="nil"/>
              <w:left w:val="nil"/>
              <w:bottom w:val="nil"/>
              <w:right w:val="nil"/>
            </w:tcBorders>
            <w:shd w:val="clear" w:color="auto" w:fill="FFFFFF" w:themeFill="background1"/>
            <w:vAlign w:val="center"/>
            <w:hideMark/>
          </w:tcPr>
          <w:p w14:paraId="6F823A96"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16 (4.1%)</w:t>
            </w:r>
          </w:p>
        </w:tc>
        <w:tc>
          <w:tcPr>
            <w:tcW w:w="0" w:type="auto"/>
            <w:tcBorders>
              <w:top w:val="nil"/>
              <w:left w:val="nil"/>
              <w:bottom w:val="nil"/>
              <w:right w:val="nil"/>
            </w:tcBorders>
            <w:shd w:val="clear" w:color="auto" w:fill="FFFFFF" w:themeFill="background1"/>
            <w:vAlign w:val="center"/>
            <w:hideMark/>
          </w:tcPr>
          <w:p w14:paraId="720E8B6B"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17 (4.0%)</w:t>
            </w:r>
          </w:p>
        </w:tc>
        <w:tc>
          <w:tcPr>
            <w:tcW w:w="0" w:type="auto"/>
            <w:tcBorders>
              <w:top w:val="nil"/>
              <w:left w:val="nil"/>
              <w:bottom w:val="nil"/>
              <w:right w:val="nil"/>
            </w:tcBorders>
            <w:shd w:val="clear" w:color="auto" w:fill="FFFFFF" w:themeFill="background1"/>
            <w:vAlign w:val="center"/>
            <w:hideMark/>
          </w:tcPr>
          <w:p w14:paraId="33077CAF"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9 (1.7%)</w:t>
            </w:r>
          </w:p>
        </w:tc>
        <w:tc>
          <w:tcPr>
            <w:tcW w:w="0" w:type="auto"/>
            <w:tcBorders>
              <w:top w:val="nil"/>
              <w:left w:val="nil"/>
              <w:bottom w:val="nil"/>
              <w:right w:val="nil"/>
            </w:tcBorders>
            <w:shd w:val="clear" w:color="auto" w:fill="FFFFFF" w:themeFill="background1"/>
            <w:vAlign w:val="center"/>
            <w:hideMark/>
          </w:tcPr>
          <w:p w14:paraId="4147264F"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9 (1.8%)</w:t>
            </w:r>
          </w:p>
        </w:tc>
        <w:tc>
          <w:tcPr>
            <w:tcW w:w="0" w:type="auto"/>
            <w:tcBorders>
              <w:top w:val="nil"/>
              <w:left w:val="nil"/>
              <w:bottom w:val="nil"/>
              <w:right w:val="single" w:sz="4" w:space="0" w:color="auto"/>
            </w:tcBorders>
            <w:shd w:val="clear" w:color="auto" w:fill="FFFFFF" w:themeFill="background1"/>
            <w:vAlign w:val="center"/>
            <w:hideMark/>
          </w:tcPr>
          <w:p w14:paraId="61956B48"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54 (2.7%)</w:t>
            </w:r>
          </w:p>
        </w:tc>
      </w:tr>
      <w:tr w:rsidR="002A7DB0" w:rsidRPr="007D08E8" w14:paraId="48415AAC" w14:textId="77777777" w:rsidTr="002A7EFC">
        <w:trPr>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nil"/>
            </w:tcBorders>
            <w:shd w:val="clear" w:color="auto" w:fill="E7E6E6" w:themeFill="background2"/>
            <w:vAlign w:val="center"/>
            <w:hideMark/>
          </w:tcPr>
          <w:p w14:paraId="38E67B53"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Neurological</w:t>
            </w:r>
          </w:p>
        </w:tc>
        <w:tc>
          <w:tcPr>
            <w:tcW w:w="0" w:type="auto"/>
            <w:tcBorders>
              <w:top w:val="nil"/>
              <w:left w:val="nil"/>
              <w:bottom w:val="nil"/>
              <w:right w:val="nil"/>
            </w:tcBorders>
            <w:shd w:val="clear" w:color="auto" w:fill="E7E6E6" w:themeFill="background2"/>
            <w:vAlign w:val="center"/>
            <w:hideMark/>
          </w:tcPr>
          <w:p w14:paraId="7D16002E"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12 (13%)</w:t>
            </w:r>
          </w:p>
        </w:tc>
        <w:tc>
          <w:tcPr>
            <w:tcW w:w="0" w:type="auto"/>
            <w:tcBorders>
              <w:top w:val="nil"/>
              <w:left w:val="nil"/>
              <w:bottom w:val="nil"/>
              <w:right w:val="nil"/>
            </w:tcBorders>
            <w:shd w:val="clear" w:color="auto" w:fill="E7E6E6" w:themeFill="background2"/>
            <w:vAlign w:val="center"/>
            <w:hideMark/>
          </w:tcPr>
          <w:p w14:paraId="5011ED88"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10 (9.4%)</w:t>
            </w:r>
          </w:p>
        </w:tc>
        <w:tc>
          <w:tcPr>
            <w:tcW w:w="0" w:type="auto"/>
            <w:tcBorders>
              <w:top w:val="nil"/>
              <w:left w:val="nil"/>
              <w:bottom w:val="nil"/>
              <w:right w:val="nil"/>
            </w:tcBorders>
            <w:shd w:val="clear" w:color="auto" w:fill="E7E6E6" w:themeFill="background2"/>
            <w:vAlign w:val="center"/>
            <w:hideMark/>
          </w:tcPr>
          <w:p w14:paraId="5AD247F5"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29 (7.4%)</w:t>
            </w:r>
          </w:p>
        </w:tc>
        <w:tc>
          <w:tcPr>
            <w:tcW w:w="0" w:type="auto"/>
            <w:tcBorders>
              <w:top w:val="nil"/>
              <w:left w:val="nil"/>
              <w:bottom w:val="nil"/>
              <w:right w:val="nil"/>
            </w:tcBorders>
            <w:shd w:val="clear" w:color="auto" w:fill="E7E6E6" w:themeFill="background2"/>
            <w:vAlign w:val="center"/>
            <w:hideMark/>
          </w:tcPr>
          <w:p w14:paraId="501F5BC4"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43 (10%)</w:t>
            </w:r>
          </w:p>
        </w:tc>
        <w:tc>
          <w:tcPr>
            <w:tcW w:w="0" w:type="auto"/>
            <w:tcBorders>
              <w:top w:val="nil"/>
              <w:left w:val="nil"/>
              <w:bottom w:val="nil"/>
              <w:right w:val="nil"/>
            </w:tcBorders>
            <w:shd w:val="clear" w:color="auto" w:fill="E7E6E6" w:themeFill="background2"/>
            <w:vAlign w:val="center"/>
            <w:hideMark/>
          </w:tcPr>
          <w:p w14:paraId="5E105F45"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31 (5.9%)</w:t>
            </w:r>
          </w:p>
        </w:tc>
        <w:tc>
          <w:tcPr>
            <w:tcW w:w="0" w:type="auto"/>
            <w:tcBorders>
              <w:top w:val="nil"/>
              <w:left w:val="nil"/>
              <w:bottom w:val="nil"/>
              <w:right w:val="nil"/>
            </w:tcBorders>
            <w:shd w:val="clear" w:color="auto" w:fill="E7E6E6" w:themeFill="background2"/>
            <w:vAlign w:val="center"/>
            <w:hideMark/>
          </w:tcPr>
          <w:p w14:paraId="3523B794"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30 (6.1%)</w:t>
            </w:r>
          </w:p>
        </w:tc>
        <w:tc>
          <w:tcPr>
            <w:tcW w:w="0" w:type="auto"/>
            <w:tcBorders>
              <w:top w:val="nil"/>
              <w:left w:val="nil"/>
              <w:bottom w:val="nil"/>
              <w:right w:val="single" w:sz="4" w:space="0" w:color="auto"/>
            </w:tcBorders>
            <w:shd w:val="clear" w:color="auto" w:fill="E7E6E6" w:themeFill="background2"/>
            <w:vAlign w:val="center"/>
            <w:hideMark/>
          </w:tcPr>
          <w:p w14:paraId="3646769E"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155 (7.6%)</w:t>
            </w:r>
          </w:p>
        </w:tc>
      </w:tr>
      <w:tr w:rsidR="002A7DB0" w:rsidRPr="007D08E8" w14:paraId="66785C6D" w14:textId="77777777" w:rsidTr="002A7EF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nil"/>
            </w:tcBorders>
            <w:shd w:val="clear" w:color="auto" w:fill="FFFFFF" w:themeFill="background1"/>
            <w:vAlign w:val="center"/>
            <w:hideMark/>
          </w:tcPr>
          <w:p w14:paraId="0E405912"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Psychological</w:t>
            </w:r>
          </w:p>
        </w:tc>
        <w:tc>
          <w:tcPr>
            <w:tcW w:w="0" w:type="auto"/>
            <w:tcBorders>
              <w:top w:val="nil"/>
              <w:left w:val="nil"/>
              <w:bottom w:val="nil"/>
              <w:right w:val="nil"/>
            </w:tcBorders>
            <w:shd w:val="clear" w:color="auto" w:fill="FFFFFF" w:themeFill="background1"/>
            <w:vAlign w:val="center"/>
            <w:hideMark/>
          </w:tcPr>
          <w:p w14:paraId="55A5C02F"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2 (2.2%)</w:t>
            </w:r>
          </w:p>
        </w:tc>
        <w:tc>
          <w:tcPr>
            <w:tcW w:w="0" w:type="auto"/>
            <w:tcBorders>
              <w:top w:val="nil"/>
              <w:left w:val="nil"/>
              <w:bottom w:val="nil"/>
              <w:right w:val="nil"/>
            </w:tcBorders>
            <w:shd w:val="clear" w:color="auto" w:fill="FFFFFF" w:themeFill="background1"/>
            <w:vAlign w:val="center"/>
            <w:hideMark/>
          </w:tcPr>
          <w:p w14:paraId="52CAB133"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3 (2.8%)</w:t>
            </w:r>
          </w:p>
        </w:tc>
        <w:tc>
          <w:tcPr>
            <w:tcW w:w="0" w:type="auto"/>
            <w:tcBorders>
              <w:top w:val="nil"/>
              <w:left w:val="nil"/>
              <w:bottom w:val="nil"/>
              <w:right w:val="nil"/>
            </w:tcBorders>
            <w:shd w:val="clear" w:color="auto" w:fill="FFFFFF" w:themeFill="background1"/>
            <w:vAlign w:val="center"/>
            <w:hideMark/>
          </w:tcPr>
          <w:p w14:paraId="44FCE178"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10 (2.6%)</w:t>
            </w:r>
          </w:p>
        </w:tc>
        <w:tc>
          <w:tcPr>
            <w:tcW w:w="0" w:type="auto"/>
            <w:tcBorders>
              <w:top w:val="nil"/>
              <w:left w:val="nil"/>
              <w:bottom w:val="nil"/>
              <w:right w:val="nil"/>
            </w:tcBorders>
            <w:shd w:val="clear" w:color="auto" w:fill="FFFFFF" w:themeFill="background1"/>
            <w:vAlign w:val="center"/>
            <w:hideMark/>
          </w:tcPr>
          <w:p w14:paraId="3462A0AC"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18 (4.2%)</w:t>
            </w:r>
          </w:p>
        </w:tc>
        <w:tc>
          <w:tcPr>
            <w:tcW w:w="0" w:type="auto"/>
            <w:tcBorders>
              <w:top w:val="nil"/>
              <w:left w:val="nil"/>
              <w:bottom w:val="nil"/>
              <w:right w:val="nil"/>
            </w:tcBorders>
            <w:shd w:val="clear" w:color="auto" w:fill="FFFFFF" w:themeFill="background1"/>
            <w:vAlign w:val="center"/>
            <w:hideMark/>
          </w:tcPr>
          <w:p w14:paraId="46BAA56D"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23 (4.4%)</w:t>
            </w:r>
          </w:p>
        </w:tc>
        <w:tc>
          <w:tcPr>
            <w:tcW w:w="0" w:type="auto"/>
            <w:tcBorders>
              <w:top w:val="nil"/>
              <w:left w:val="nil"/>
              <w:bottom w:val="nil"/>
              <w:right w:val="nil"/>
            </w:tcBorders>
            <w:shd w:val="clear" w:color="auto" w:fill="FFFFFF" w:themeFill="background1"/>
            <w:vAlign w:val="center"/>
            <w:hideMark/>
          </w:tcPr>
          <w:p w14:paraId="01691042"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11 (2.2%)</w:t>
            </w:r>
          </w:p>
        </w:tc>
        <w:tc>
          <w:tcPr>
            <w:tcW w:w="0" w:type="auto"/>
            <w:tcBorders>
              <w:top w:val="nil"/>
              <w:left w:val="nil"/>
              <w:bottom w:val="nil"/>
              <w:right w:val="single" w:sz="4" w:space="0" w:color="auto"/>
            </w:tcBorders>
            <w:shd w:val="clear" w:color="auto" w:fill="FFFFFF" w:themeFill="background1"/>
            <w:vAlign w:val="center"/>
            <w:hideMark/>
          </w:tcPr>
          <w:p w14:paraId="36A1564B"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67 (3.3%)</w:t>
            </w:r>
          </w:p>
        </w:tc>
      </w:tr>
      <w:tr w:rsidR="002A7DB0" w:rsidRPr="007D08E8" w14:paraId="54CCDE47" w14:textId="77777777" w:rsidTr="002A7EFC">
        <w:trPr>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nil"/>
            </w:tcBorders>
            <w:shd w:val="clear" w:color="auto" w:fill="E7E6E6" w:themeFill="background2"/>
            <w:vAlign w:val="center"/>
            <w:hideMark/>
          </w:tcPr>
          <w:p w14:paraId="327EBD75"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Respiratory</w:t>
            </w:r>
          </w:p>
        </w:tc>
        <w:tc>
          <w:tcPr>
            <w:tcW w:w="0" w:type="auto"/>
            <w:tcBorders>
              <w:top w:val="nil"/>
              <w:left w:val="nil"/>
              <w:bottom w:val="nil"/>
              <w:right w:val="nil"/>
            </w:tcBorders>
            <w:shd w:val="clear" w:color="auto" w:fill="E7E6E6" w:themeFill="background2"/>
            <w:vAlign w:val="center"/>
            <w:hideMark/>
          </w:tcPr>
          <w:p w14:paraId="4336EEA5"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37 (40%)</w:t>
            </w:r>
          </w:p>
        </w:tc>
        <w:tc>
          <w:tcPr>
            <w:tcW w:w="0" w:type="auto"/>
            <w:tcBorders>
              <w:top w:val="nil"/>
              <w:left w:val="nil"/>
              <w:bottom w:val="nil"/>
              <w:right w:val="nil"/>
            </w:tcBorders>
            <w:shd w:val="clear" w:color="auto" w:fill="E7E6E6" w:themeFill="background2"/>
            <w:vAlign w:val="center"/>
            <w:hideMark/>
          </w:tcPr>
          <w:p w14:paraId="2D6E122D"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46 (43%)</w:t>
            </w:r>
          </w:p>
        </w:tc>
        <w:tc>
          <w:tcPr>
            <w:tcW w:w="0" w:type="auto"/>
            <w:tcBorders>
              <w:top w:val="nil"/>
              <w:left w:val="nil"/>
              <w:bottom w:val="nil"/>
              <w:right w:val="nil"/>
            </w:tcBorders>
            <w:shd w:val="clear" w:color="auto" w:fill="E7E6E6" w:themeFill="background2"/>
            <w:vAlign w:val="center"/>
            <w:hideMark/>
          </w:tcPr>
          <w:p w14:paraId="72BC00D7"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127 (33%)</w:t>
            </w:r>
          </w:p>
        </w:tc>
        <w:tc>
          <w:tcPr>
            <w:tcW w:w="0" w:type="auto"/>
            <w:tcBorders>
              <w:top w:val="nil"/>
              <w:left w:val="nil"/>
              <w:bottom w:val="nil"/>
              <w:right w:val="nil"/>
            </w:tcBorders>
            <w:shd w:val="clear" w:color="auto" w:fill="E7E6E6" w:themeFill="background2"/>
            <w:vAlign w:val="center"/>
            <w:hideMark/>
          </w:tcPr>
          <w:p w14:paraId="317936A9"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176 (41%)</w:t>
            </w:r>
          </w:p>
        </w:tc>
        <w:tc>
          <w:tcPr>
            <w:tcW w:w="0" w:type="auto"/>
            <w:tcBorders>
              <w:top w:val="nil"/>
              <w:left w:val="nil"/>
              <w:bottom w:val="nil"/>
              <w:right w:val="nil"/>
            </w:tcBorders>
            <w:shd w:val="clear" w:color="auto" w:fill="E7E6E6" w:themeFill="background2"/>
            <w:vAlign w:val="center"/>
            <w:hideMark/>
          </w:tcPr>
          <w:p w14:paraId="1232C34B"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177 (34%)</w:t>
            </w:r>
          </w:p>
        </w:tc>
        <w:tc>
          <w:tcPr>
            <w:tcW w:w="0" w:type="auto"/>
            <w:tcBorders>
              <w:top w:val="nil"/>
              <w:left w:val="nil"/>
              <w:bottom w:val="nil"/>
              <w:right w:val="nil"/>
            </w:tcBorders>
            <w:shd w:val="clear" w:color="auto" w:fill="E7E6E6" w:themeFill="background2"/>
            <w:vAlign w:val="center"/>
            <w:hideMark/>
          </w:tcPr>
          <w:p w14:paraId="407ADC2D"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149 (30%)</w:t>
            </w:r>
          </w:p>
        </w:tc>
        <w:tc>
          <w:tcPr>
            <w:tcW w:w="0" w:type="auto"/>
            <w:tcBorders>
              <w:top w:val="nil"/>
              <w:left w:val="nil"/>
              <w:bottom w:val="nil"/>
              <w:right w:val="single" w:sz="4" w:space="0" w:color="auto"/>
            </w:tcBorders>
            <w:shd w:val="clear" w:color="auto" w:fill="E7E6E6" w:themeFill="background2"/>
            <w:vAlign w:val="center"/>
            <w:hideMark/>
          </w:tcPr>
          <w:p w14:paraId="445D9293" w14:textId="77777777" w:rsidR="002A7DB0" w:rsidRPr="007D08E8" w:rsidRDefault="002A7DB0" w:rsidP="00E30556">
            <w:pPr>
              <w:adjustRightInd w:val="0"/>
              <w:snapToGrid w:val="0"/>
              <w:spacing w:after="16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08E8">
              <w:rPr>
                <w:rFonts w:ascii="Arial" w:hAnsi="Arial" w:cs="Arial"/>
                <w:sz w:val="20"/>
                <w:szCs w:val="20"/>
              </w:rPr>
              <w:t>712 (35%)</w:t>
            </w:r>
          </w:p>
        </w:tc>
      </w:tr>
      <w:tr w:rsidR="002A7DB0" w:rsidRPr="007D08E8" w14:paraId="5E7AD3B4" w14:textId="77777777" w:rsidTr="002A7EF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nil"/>
            </w:tcBorders>
            <w:shd w:val="clear" w:color="auto" w:fill="FFFFFF" w:themeFill="background1"/>
            <w:vAlign w:val="center"/>
          </w:tcPr>
          <w:p w14:paraId="52783191" w14:textId="77777777" w:rsidR="002A7DB0" w:rsidRPr="007D08E8" w:rsidRDefault="002A7DB0" w:rsidP="00E30556">
            <w:pPr>
              <w:adjustRightInd w:val="0"/>
              <w:snapToGrid w:val="0"/>
              <w:spacing w:after="160"/>
              <w:contextualSpacing/>
              <w:rPr>
                <w:rFonts w:ascii="Arial" w:hAnsi="Arial" w:cs="Arial"/>
                <w:sz w:val="20"/>
                <w:szCs w:val="20"/>
              </w:rPr>
            </w:pPr>
            <w:r w:rsidRPr="007D08E8">
              <w:rPr>
                <w:rFonts w:ascii="Arial" w:hAnsi="Arial" w:cs="Arial"/>
                <w:sz w:val="20"/>
                <w:szCs w:val="20"/>
              </w:rPr>
              <w:t>Other</w:t>
            </w:r>
          </w:p>
        </w:tc>
        <w:tc>
          <w:tcPr>
            <w:tcW w:w="0" w:type="auto"/>
            <w:tcBorders>
              <w:top w:val="nil"/>
              <w:left w:val="nil"/>
              <w:bottom w:val="single" w:sz="4" w:space="0" w:color="auto"/>
              <w:right w:val="nil"/>
            </w:tcBorders>
            <w:shd w:val="clear" w:color="auto" w:fill="FFFFFF" w:themeFill="background1"/>
            <w:vAlign w:val="center"/>
          </w:tcPr>
          <w:p w14:paraId="68127777"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34 (37%)</w:t>
            </w:r>
          </w:p>
        </w:tc>
        <w:tc>
          <w:tcPr>
            <w:tcW w:w="0" w:type="auto"/>
            <w:tcBorders>
              <w:top w:val="nil"/>
              <w:left w:val="nil"/>
              <w:bottom w:val="single" w:sz="4" w:space="0" w:color="auto"/>
              <w:right w:val="nil"/>
            </w:tcBorders>
            <w:shd w:val="clear" w:color="auto" w:fill="FFFFFF" w:themeFill="background1"/>
            <w:vAlign w:val="center"/>
          </w:tcPr>
          <w:p w14:paraId="277E10BC"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35 (33%)</w:t>
            </w:r>
          </w:p>
        </w:tc>
        <w:tc>
          <w:tcPr>
            <w:tcW w:w="0" w:type="auto"/>
            <w:tcBorders>
              <w:top w:val="nil"/>
              <w:left w:val="nil"/>
              <w:bottom w:val="single" w:sz="4" w:space="0" w:color="auto"/>
              <w:right w:val="nil"/>
            </w:tcBorders>
            <w:shd w:val="clear" w:color="auto" w:fill="FFFFFF" w:themeFill="background1"/>
            <w:vAlign w:val="center"/>
          </w:tcPr>
          <w:p w14:paraId="2A54C37B"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116 (30%)</w:t>
            </w:r>
          </w:p>
        </w:tc>
        <w:tc>
          <w:tcPr>
            <w:tcW w:w="0" w:type="auto"/>
            <w:tcBorders>
              <w:top w:val="nil"/>
              <w:left w:val="nil"/>
              <w:bottom w:val="single" w:sz="4" w:space="0" w:color="auto"/>
              <w:right w:val="nil"/>
            </w:tcBorders>
            <w:shd w:val="clear" w:color="auto" w:fill="FFFFFF" w:themeFill="background1"/>
            <w:vAlign w:val="center"/>
          </w:tcPr>
          <w:p w14:paraId="10DC0E98"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157 (37%)</w:t>
            </w:r>
          </w:p>
        </w:tc>
        <w:tc>
          <w:tcPr>
            <w:tcW w:w="0" w:type="auto"/>
            <w:tcBorders>
              <w:top w:val="nil"/>
              <w:left w:val="nil"/>
              <w:bottom w:val="single" w:sz="4" w:space="0" w:color="auto"/>
              <w:right w:val="nil"/>
            </w:tcBorders>
            <w:shd w:val="clear" w:color="auto" w:fill="FFFFFF" w:themeFill="background1"/>
            <w:vAlign w:val="center"/>
          </w:tcPr>
          <w:p w14:paraId="65288694"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150 (29%)</w:t>
            </w:r>
          </w:p>
        </w:tc>
        <w:tc>
          <w:tcPr>
            <w:tcW w:w="0" w:type="auto"/>
            <w:tcBorders>
              <w:top w:val="nil"/>
              <w:left w:val="nil"/>
              <w:bottom w:val="single" w:sz="4" w:space="0" w:color="auto"/>
              <w:right w:val="nil"/>
            </w:tcBorders>
            <w:shd w:val="clear" w:color="auto" w:fill="FFFFFF" w:themeFill="background1"/>
            <w:vAlign w:val="center"/>
          </w:tcPr>
          <w:p w14:paraId="5EBFBFCB"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118 (24%)</w:t>
            </w:r>
          </w:p>
        </w:tc>
        <w:tc>
          <w:tcPr>
            <w:tcW w:w="0" w:type="auto"/>
            <w:tcBorders>
              <w:top w:val="nil"/>
              <w:left w:val="nil"/>
              <w:bottom w:val="single" w:sz="4" w:space="0" w:color="auto"/>
              <w:right w:val="single" w:sz="4" w:space="0" w:color="auto"/>
            </w:tcBorders>
            <w:shd w:val="clear" w:color="auto" w:fill="FFFFFF" w:themeFill="background1"/>
            <w:vAlign w:val="center"/>
          </w:tcPr>
          <w:p w14:paraId="7D2DBB64" w14:textId="77777777" w:rsidR="002A7DB0" w:rsidRPr="007D08E8" w:rsidRDefault="002A7DB0" w:rsidP="00E30556">
            <w:pPr>
              <w:adjustRightInd w:val="0"/>
              <w:snapToGrid w:val="0"/>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08E8">
              <w:rPr>
                <w:rFonts w:ascii="Arial" w:hAnsi="Arial" w:cs="Arial"/>
                <w:sz w:val="20"/>
                <w:szCs w:val="20"/>
              </w:rPr>
              <w:t>610 (30%)</w:t>
            </w:r>
          </w:p>
        </w:tc>
      </w:tr>
    </w:tbl>
    <w:p w14:paraId="29187B48" w14:textId="595AE2DD" w:rsidR="002A7DB0" w:rsidRDefault="002A7DB0" w:rsidP="00E30556">
      <w:pPr>
        <w:adjustRightInd w:val="0"/>
        <w:snapToGrid w:val="0"/>
        <w:spacing w:line="240" w:lineRule="auto"/>
        <w:contextualSpacing/>
      </w:pPr>
      <w:r w:rsidRPr="004B2817">
        <w:t>Percentages use number of randomised recruits in each group as denominator</w:t>
      </w:r>
    </w:p>
    <w:p w14:paraId="0EBE11D4" w14:textId="0969D838" w:rsidR="002D4AF2" w:rsidRDefault="002D4AF2" w:rsidP="00E30556">
      <w:pPr>
        <w:adjustRightInd w:val="0"/>
        <w:snapToGrid w:val="0"/>
        <w:spacing w:line="240" w:lineRule="auto"/>
        <w:contextualSpacing/>
      </w:pPr>
    </w:p>
    <w:p w14:paraId="45796639" w14:textId="77777777" w:rsidR="00E07691" w:rsidRDefault="00E07691">
      <w:pPr>
        <w:rPr>
          <w:rFonts w:ascii="Arial" w:hAnsi="Arial" w:cs="Arial"/>
        </w:rPr>
        <w:sectPr w:rsidR="00E07691" w:rsidSect="00E268AF">
          <w:pgSz w:w="16838" w:h="11906" w:orient="landscape"/>
          <w:pgMar w:top="1134" w:right="1134" w:bottom="1134" w:left="1134" w:header="709" w:footer="709" w:gutter="0"/>
          <w:cols w:space="708"/>
          <w:docGrid w:linePitch="360"/>
        </w:sectPr>
      </w:pPr>
      <w:r>
        <w:rPr>
          <w:rFonts w:ascii="Arial" w:hAnsi="Arial" w:cs="Arial"/>
        </w:rPr>
        <w:br w:type="page"/>
      </w:r>
    </w:p>
    <w:p w14:paraId="103B872F" w14:textId="541854F4" w:rsidR="00E07691" w:rsidRDefault="00E07691">
      <w:pPr>
        <w:rPr>
          <w:rFonts w:ascii="Arial" w:hAnsi="Arial" w:cs="Arial"/>
        </w:rPr>
      </w:pPr>
    </w:p>
    <w:p w14:paraId="3524BD08" w14:textId="77777777" w:rsidR="00E07691" w:rsidRDefault="00E07691" w:rsidP="00E07691">
      <w:pPr>
        <w:pStyle w:val="Heading3"/>
        <w:rPr>
          <w:rFonts w:ascii="Arial" w:hAnsi="Arial" w:cs="Arial"/>
          <w:u w:val="single"/>
        </w:rPr>
      </w:pPr>
      <w:bookmarkStart w:id="28" w:name="_Toc121909735"/>
      <w:r w:rsidRPr="004B2817">
        <w:rPr>
          <w:rFonts w:ascii="Arial" w:hAnsi="Arial" w:cs="Arial"/>
          <w:u w:val="single"/>
        </w:rPr>
        <w:t xml:space="preserve">Supplementary Table </w:t>
      </w:r>
      <w:r>
        <w:rPr>
          <w:rFonts w:ascii="Arial" w:hAnsi="Arial" w:cs="Arial"/>
          <w:u w:val="single"/>
        </w:rPr>
        <w:t>8</w:t>
      </w:r>
      <w:r w:rsidRPr="004B2817">
        <w:rPr>
          <w:rFonts w:ascii="Arial" w:hAnsi="Arial" w:cs="Arial"/>
          <w:u w:val="single"/>
        </w:rPr>
        <w:t>:</w:t>
      </w:r>
      <w:bookmarkEnd w:id="28"/>
      <w:r w:rsidRPr="004B2817">
        <w:rPr>
          <w:rFonts w:ascii="Arial" w:hAnsi="Arial" w:cs="Arial"/>
          <w:u w:val="single"/>
        </w:rPr>
        <w:t xml:space="preserve"> </w:t>
      </w:r>
    </w:p>
    <w:p w14:paraId="5D74A3FC" w14:textId="77777777" w:rsidR="00E07691" w:rsidRPr="00CB574D" w:rsidRDefault="00E07691" w:rsidP="00E07691">
      <w:pPr>
        <w:rPr>
          <w:rFonts w:ascii="Arial" w:hAnsi="Arial" w:cs="Arial"/>
        </w:rPr>
      </w:pPr>
      <w:r w:rsidRPr="00CB574D">
        <w:rPr>
          <w:rFonts w:ascii="Arial" w:hAnsi="Arial" w:cs="Arial"/>
        </w:rPr>
        <w:t>Adjusted risk differences for secondary outcomes</w:t>
      </w:r>
    </w:p>
    <w:p w14:paraId="5EC3F0B5" w14:textId="77777777" w:rsidR="00E07691" w:rsidRPr="00CB574D" w:rsidRDefault="00E07691" w:rsidP="00E07691">
      <w:pPr>
        <w:rPr>
          <w:rFonts w:ascii="Arial" w:hAnsi="Arial" w:cs="Arial"/>
          <w:u w:val="single"/>
        </w:rPr>
      </w:pPr>
    </w:p>
    <w:p w14:paraId="1DF63AC1" w14:textId="5C066C4A" w:rsidR="00E07691" w:rsidRPr="004A43CA" w:rsidRDefault="00E07691" w:rsidP="00E07691">
      <w:pPr>
        <w:rPr>
          <w:rFonts w:ascii="Arial" w:hAnsi="Arial" w:cs="Arial"/>
        </w:rPr>
      </w:pPr>
      <w:r w:rsidRPr="004A43CA">
        <w:rPr>
          <w:rFonts w:ascii="Arial" w:hAnsi="Arial" w:cs="Arial"/>
        </w:rPr>
        <w:t>Negative risk differences represent a lower risk of the event in the unblinded BLC group compared to the blinded SC group (and positive risk differences a higher risk).</w:t>
      </w:r>
      <w:r w:rsidR="004A43CA">
        <w:rPr>
          <w:rFonts w:ascii="Arial" w:hAnsi="Arial" w:cs="Arial"/>
        </w:rPr>
        <w:t xml:space="preserve"> </w:t>
      </w:r>
      <w:r w:rsidRPr="004A43CA">
        <w:rPr>
          <w:rFonts w:ascii="Arial" w:hAnsi="Arial" w:cs="Arial"/>
        </w:rPr>
        <w:t>P-values remain unchanged and are not presented here; see Table 5 in main paper for results.</w:t>
      </w:r>
    </w:p>
    <w:p w14:paraId="0A38C047" w14:textId="77777777" w:rsidR="00E07691" w:rsidRDefault="00E07691" w:rsidP="00E07691">
      <w:pPr>
        <w:rPr>
          <w:rFonts w:ascii="Arial" w:hAnsi="Arial" w:cs="Arial"/>
          <w:sz w:val="24"/>
          <w:szCs w:val="24"/>
          <w:u w:val="single"/>
        </w:rPr>
      </w:pPr>
    </w:p>
    <w:tbl>
      <w:tblPr>
        <w:tblpPr w:leftFromText="180" w:rightFromText="180" w:vertAnchor="text" w:tblpXSpec="center" w:tblpY="1"/>
        <w:tblOverlap w:val="neve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3198"/>
        <w:gridCol w:w="3297"/>
        <w:gridCol w:w="2147"/>
      </w:tblGrid>
      <w:tr w:rsidR="00E07691" w:rsidRPr="00960D21" w14:paraId="0195F04D" w14:textId="77777777" w:rsidTr="00D07853">
        <w:trPr>
          <w:cantSplit/>
        </w:trPr>
        <w:tc>
          <w:tcPr>
            <w:tcW w:w="0" w:type="auto"/>
            <w:shd w:val="clear" w:color="auto" w:fill="4472C4" w:themeFill="accent1"/>
            <w:tcMar>
              <w:top w:w="0" w:type="dxa"/>
              <w:left w:w="0" w:type="dxa"/>
              <w:bottom w:w="0" w:type="dxa"/>
              <w:right w:w="0" w:type="dxa"/>
            </w:tcMar>
            <w:vAlign w:val="center"/>
          </w:tcPr>
          <w:p w14:paraId="3E35262E" w14:textId="77777777" w:rsidR="00E07691" w:rsidRPr="00960D21" w:rsidRDefault="00E07691" w:rsidP="00D07853">
            <w:pPr>
              <w:adjustRightInd w:val="0"/>
              <w:snapToGrid w:val="0"/>
              <w:spacing w:line="360" w:lineRule="auto"/>
              <w:contextualSpacing/>
              <w:rPr>
                <w:rFonts w:ascii="Arial" w:hAnsi="Arial" w:cs="Arial"/>
                <w:color w:val="FFFFFF" w:themeColor="background1"/>
              </w:rPr>
            </w:pPr>
            <w:r w:rsidRPr="00960D21">
              <w:rPr>
                <w:rFonts w:ascii="Arial" w:hAnsi="Arial" w:cs="Arial"/>
                <w:b/>
                <w:color w:val="FFFFFF" w:themeColor="background1"/>
                <w:lang w:val="en-US"/>
              </w:rPr>
              <w:t>Group</w:t>
            </w:r>
            <w:r w:rsidRPr="00960D21">
              <w:rPr>
                <w:rFonts w:ascii="Arial" w:hAnsi="Arial" w:cs="Arial"/>
                <w:b/>
                <w:color w:val="FFFFFF" w:themeColor="background1"/>
              </w:rPr>
              <w:t>/Comparison</w:t>
            </w:r>
          </w:p>
        </w:tc>
        <w:tc>
          <w:tcPr>
            <w:tcW w:w="0" w:type="auto"/>
            <w:shd w:val="clear" w:color="auto" w:fill="4472C4" w:themeFill="accent1"/>
            <w:tcMar>
              <w:top w:w="0" w:type="dxa"/>
              <w:left w:w="0" w:type="dxa"/>
              <w:bottom w:w="0" w:type="dxa"/>
              <w:right w:w="0" w:type="dxa"/>
            </w:tcMar>
            <w:vAlign w:val="center"/>
          </w:tcPr>
          <w:p w14:paraId="18068A01" w14:textId="77777777" w:rsidR="00E07691" w:rsidRPr="00117457" w:rsidRDefault="00E07691" w:rsidP="00D07853">
            <w:pPr>
              <w:adjustRightInd w:val="0"/>
              <w:snapToGrid w:val="0"/>
              <w:spacing w:line="360" w:lineRule="auto"/>
              <w:contextualSpacing/>
              <w:jc w:val="center"/>
              <w:rPr>
                <w:rFonts w:ascii="Arial" w:hAnsi="Arial" w:cs="Arial"/>
                <w:color w:val="FFFFFF" w:themeColor="background1"/>
                <w:lang w:val="en-US"/>
              </w:rPr>
            </w:pPr>
            <w:r>
              <w:rPr>
                <w:rFonts w:ascii="Arial" w:hAnsi="Arial" w:cs="Arial"/>
                <w:lang w:val="en-US"/>
              </w:rPr>
              <w:t xml:space="preserve">(Adjusted) </w:t>
            </w:r>
            <w:r w:rsidRPr="00D07853">
              <w:rPr>
                <w:rFonts w:ascii="Arial" w:hAnsi="Arial" w:cs="Arial"/>
                <w:lang w:val="en-US"/>
              </w:rPr>
              <w:t>Risk difference</w:t>
            </w:r>
            <w:r w:rsidRPr="00D07853">
              <w:rPr>
                <w:rFonts w:ascii="Arial" w:hAnsi="Arial" w:cs="Arial"/>
                <w:vertAlign w:val="superscript"/>
                <w:lang w:val="en-US"/>
              </w:rPr>
              <w:t>1</w:t>
            </w:r>
          </w:p>
        </w:tc>
        <w:tc>
          <w:tcPr>
            <w:tcW w:w="2147" w:type="dxa"/>
            <w:shd w:val="clear" w:color="auto" w:fill="4472C4" w:themeFill="accent1"/>
            <w:vAlign w:val="center"/>
          </w:tcPr>
          <w:p w14:paraId="4DE9134B" w14:textId="77777777" w:rsidR="00E07691" w:rsidRPr="00960D21" w:rsidRDefault="00E07691" w:rsidP="00D07853">
            <w:pPr>
              <w:adjustRightInd w:val="0"/>
              <w:snapToGrid w:val="0"/>
              <w:spacing w:line="360" w:lineRule="auto"/>
              <w:contextualSpacing/>
              <w:jc w:val="center"/>
              <w:rPr>
                <w:rFonts w:ascii="Arial" w:hAnsi="Arial" w:cs="Arial"/>
                <w:b/>
                <w:color w:val="FFFFFF" w:themeColor="background1"/>
                <w:lang w:val="en-US"/>
              </w:rPr>
            </w:pPr>
            <w:r w:rsidRPr="00960D21">
              <w:rPr>
                <w:rFonts w:ascii="Arial" w:hAnsi="Arial" w:cs="Arial"/>
                <w:b/>
                <w:color w:val="FFFFFF" w:themeColor="background1"/>
                <w:lang w:val="en-US"/>
              </w:rPr>
              <w:t>95% CI</w:t>
            </w:r>
          </w:p>
        </w:tc>
      </w:tr>
      <w:tr w:rsidR="00E07691" w:rsidRPr="00960D21" w14:paraId="60E658B7" w14:textId="77777777" w:rsidTr="00D07853">
        <w:trPr>
          <w:cantSplit/>
        </w:trPr>
        <w:tc>
          <w:tcPr>
            <w:tcW w:w="0" w:type="auto"/>
            <w:shd w:val="clear" w:color="auto" w:fill="D9D9D9" w:themeFill="background1" w:themeFillShade="D9"/>
            <w:tcMar>
              <w:top w:w="0" w:type="dxa"/>
              <w:left w:w="0" w:type="dxa"/>
              <w:bottom w:w="0" w:type="dxa"/>
              <w:right w:w="0" w:type="dxa"/>
            </w:tcMar>
            <w:vAlign w:val="center"/>
          </w:tcPr>
          <w:p w14:paraId="70307B75" w14:textId="77777777" w:rsidR="00E07691" w:rsidRPr="00960D21" w:rsidRDefault="00E07691" w:rsidP="00D07853">
            <w:pPr>
              <w:adjustRightInd w:val="0"/>
              <w:snapToGrid w:val="0"/>
              <w:spacing w:line="360" w:lineRule="auto"/>
              <w:contextualSpacing/>
              <w:rPr>
                <w:rFonts w:ascii="Arial" w:hAnsi="Arial" w:cs="Arial"/>
                <w:b/>
                <w:bCs/>
                <w:lang w:val="en-US"/>
              </w:rPr>
            </w:pPr>
            <w:r w:rsidRPr="00960D21">
              <w:rPr>
                <w:rFonts w:ascii="Arial" w:hAnsi="Arial" w:cs="Arial"/>
                <w:b/>
                <w:bCs/>
              </w:rPr>
              <w:t>Biopsy Proven rejection</w:t>
            </w:r>
          </w:p>
        </w:tc>
        <w:tc>
          <w:tcPr>
            <w:tcW w:w="0" w:type="auto"/>
            <w:shd w:val="clear" w:color="auto" w:fill="D9D9D9" w:themeFill="background1" w:themeFillShade="D9"/>
            <w:tcMar>
              <w:top w:w="0" w:type="dxa"/>
              <w:left w:w="0" w:type="dxa"/>
              <w:bottom w:w="0" w:type="dxa"/>
              <w:right w:w="0" w:type="dxa"/>
            </w:tcMar>
            <w:vAlign w:val="center"/>
          </w:tcPr>
          <w:p w14:paraId="0EFD2E45" w14:textId="77777777" w:rsidR="00E07691" w:rsidRPr="00960D21" w:rsidRDefault="00E07691" w:rsidP="00D07853">
            <w:pPr>
              <w:adjustRightInd w:val="0"/>
              <w:snapToGrid w:val="0"/>
              <w:spacing w:line="360" w:lineRule="auto"/>
              <w:contextualSpacing/>
              <w:jc w:val="center"/>
              <w:rPr>
                <w:rFonts w:ascii="Arial" w:hAnsi="Arial" w:cs="Arial"/>
                <w:lang w:val="en-US"/>
              </w:rPr>
            </w:pPr>
          </w:p>
        </w:tc>
        <w:tc>
          <w:tcPr>
            <w:tcW w:w="2147" w:type="dxa"/>
            <w:shd w:val="clear" w:color="auto" w:fill="D9D9D9" w:themeFill="background1" w:themeFillShade="D9"/>
            <w:vAlign w:val="center"/>
          </w:tcPr>
          <w:p w14:paraId="21E4C856" w14:textId="77777777" w:rsidR="00E07691" w:rsidRPr="00960D21" w:rsidRDefault="00E07691" w:rsidP="00D07853">
            <w:pPr>
              <w:adjustRightInd w:val="0"/>
              <w:snapToGrid w:val="0"/>
              <w:spacing w:line="360" w:lineRule="auto"/>
              <w:contextualSpacing/>
              <w:jc w:val="center"/>
              <w:rPr>
                <w:rFonts w:ascii="Arial" w:hAnsi="Arial" w:cs="Arial"/>
                <w:lang w:val="en-US"/>
              </w:rPr>
            </w:pPr>
          </w:p>
        </w:tc>
      </w:tr>
      <w:tr w:rsidR="00E07691" w:rsidRPr="00960D21" w14:paraId="4E8D77F5" w14:textId="77777777" w:rsidTr="00D07853">
        <w:trPr>
          <w:cantSplit/>
        </w:trPr>
        <w:tc>
          <w:tcPr>
            <w:tcW w:w="0" w:type="auto"/>
            <w:shd w:val="clear" w:color="auto" w:fill="auto"/>
            <w:tcMar>
              <w:top w:w="0" w:type="dxa"/>
              <w:left w:w="0" w:type="dxa"/>
              <w:bottom w:w="0" w:type="dxa"/>
              <w:right w:w="0" w:type="dxa"/>
            </w:tcMar>
            <w:vAlign w:val="center"/>
          </w:tcPr>
          <w:p w14:paraId="7FE65DA3" w14:textId="77777777" w:rsidR="00E07691" w:rsidRPr="00960D21" w:rsidRDefault="00E07691" w:rsidP="00D07853">
            <w:pPr>
              <w:adjustRightInd w:val="0"/>
              <w:snapToGrid w:val="0"/>
              <w:spacing w:line="360" w:lineRule="auto"/>
              <w:contextualSpacing/>
              <w:rPr>
                <w:rFonts w:ascii="Arial" w:hAnsi="Arial" w:cs="Arial"/>
              </w:rPr>
            </w:pPr>
            <w:r w:rsidRPr="00960D21">
              <w:rPr>
                <w:rFonts w:ascii="Arial" w:hAnsi="Arial" w:cs="Arial"/>
              </w:rPr>
              <w:t>DSA (N=1</w:t>
            </w:r>
            <w:r>
              <w:rPr>
                <w:rFonts w:ascii="Arial" w:hAnsi="Arial" w:cs="Arial"/>
              </w:rPr>
              <w:t>98</w:t>
            </w:r>
            <w:r w:rsidRPr="00960D21">
              <w:rPr>
                <w:rFonts w:ascii="Arial" w:hAnsi="Arial" w:cs="Arial"/>
              </w:rPr>
              <w:t>)</w:t>
            </w:r>
          </w:p>
        </w:tc>
        <w:tc>
          <w:tcPr>
            <w:tcW w:w="0" w:type="auto"/>
            <w:shd w:val="clear" w:color="auto" w:fill="auto"/>
            <w:tcMar>
              <w:top w:w="0" w:type="dxa"/>
              <w:left w:w="0" w:type="dxa"/>
              <w:bottom w:w="0" w:type="dxa"/>
              <w:right w:w="0" w:type="dxa"/>
            </w:tcMar>
            <w:vAlign w:val="center"/>
          </w:tcPr>
          <w:p w14:paraId="43A32B67"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eastAsia="Arial" w:hAnsi="Arial" w:cs="Arial"/>
              </w:rPr>
              <w:t>-5.7%</w:t>
            </w:r>
          </w:p>
        </w:tc>
        <w:tc>
          <w:tcPr>
            <w:tcW w:w="2147" w:type="dxa"/>
            <w:shd w:val="clear" w:color="auto" w:fill="auto"/>
            <w:vAlign w:val="center"/>
          </w:tcPr>
          <w:p w14:paraId="65C4EB8D"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hAnsi="Arial" w:cs="Arial"/>
                <w:lang w:val="en-US"/>
              </w:rPr>
              <w:t>-12.4% to 0.9%</w:t>
            </w:r>
          </w:p>
        </w:tc>
      </w:tr>
      <w:tr w:rsidR="00E07691" w:rsidRPr="00960D21" w14:paraId="3FA6F1FD" w14:textId="77777777" w:rsidTr="00D07853">
        <w:trPr>
          <w:cantSplit/>
        </w:trPr>
        <w:tc>
          <w:tcPr>
            <w:tcW w:w="0" w:type="auto"/>
            <w:shd w:val="clear" w:color="auto" w:fill="auto"/>
            <w:tcMar>
              <w:top w:w="0" w:type="dxa"/>
              <w:left w:w="0" w:type="dxa"/>
              <w:bottom w:w="0" w:type="dxa"/>
              <w:right w:w="0" w:type="dxa"/>
            </w:tcMar>
            <w:vAlign w:val="center"/>
          </w:tcPr>
          <w:p w14:paraId="243FD5E3" w14:textId="77777777" w:rsidR="00E07691" w:rsidRPr="00960D21" w:rsidRDefault="00E07691" w:rsidP="00D07853">
            <w:pPr>
              <w:adjustRightInd w:val="0"/>
              <w:snapToGrid w:val="0"/>
              <w:spacing w:line="360" w:lineRule="auto"/>
              <w:contextualSpacing/>
              <w:rPr>
                <w:rFonts w:ascii="Arial" w:hAnsi="Arial" w:cs="Arial"/>
              </w:rPr>
            </w:pPr>
            <w:r w:rsidRPr="00960D21">
              <w:rPr>
                <w:rFonts w:ascii="Arial" w:hAnsi="Arial" w:cs="Arial"/>
              </w:rPr>
              <w:t>Non-DSA (N=</w:t>
            </w:r>
            <w:r>
              <w:rPr>
                <w:rFonts w:ascii="Arial" w:hAnsi="Arial" w:cs="Arial"/>
              </w:rPr>
              <w:t>818</w:t>
            </w:r>
            <w:r w:rsidRPr="00960D21">
              <w:rPr>
                <w:rFonts w:ascii="Arial" w:hAnsi="Arial" w:cs="Arial"/>
              </w:rPr>
              <w:t>)</w:t>
            </w:r>
          </w:p>
        </w:tc>
        <w:tc>
          <w:tcPr>
            <w:tcW w:w="0" w:type="auto"/>
            <w:shd w:val="clear" w:color="auto" w:fill="auto"/>
            <w:tcMar>
              <w:top w:w="0" w:type="dxa"/>
              <w:left w:w="0" w:type="dxa"/>
              <w:bottom w:w="0" w:type="dxa"/>
              <w:right w:w="0" w:type="dxa"/>
            </w:tcMar>
            <w:vAlign w:val="center"/>
          </w:tcPr>
          <w:p w14:paraId="3FFD1DD0"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eastAsia="Arial" w:hAnsi="Arial" w:cs="Arial"/>
              </w:rPr>
              <w:t>-0.9%</w:t>
            </w:r>
          </w:p>
        </w:tc>
        <w:tc>
          <w:tcPr>
            <w:tcW w:w="2147" w:type="dxa"/>
            <w:shd w:val="clear" w:color="auto" w:fill="auto"/>
            <w:vAlign w:val="center"/>
          </w:tcPr>
          <w:p w14:paraId="6C6D7ED0"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hAnsi="Arial" w:cs="Arial"/>
                <w:lang w:val="en-US"/>
              </w:rPr>
              <w:t>-2.6% to 0.9%</w:t>
            </w:r>
          </w:p>
        </w:tc>
      </w:tr>
      <w:tr w:rsidR="00E07691" w:rsidRPr="00960D21" w14:paraId="57E0C93A" w14:textId="77777777" w:rsidTr="00D07853">
        <w:trPr>
          <w:cantSplit/>
        </w:trPr>
        <w:tc>
          <w:tcPr>
            <w:tcW w:w="0" w:type="auto"/>
            <w:shd w:val="clear" w:color="auto" w:fill="auto"/>
            <w:tcMar>
              <w:top w:w="0" w:type="dxa"/>
              <w:left w:w="0" w:type="dxa"/>
              <w:bottom w:w="0" w:type="dxa"/>
              <w:right w:w="0" w:type="dxa"/>
            </w:tcMar>
            <w:vAlign w:val="center"/>
          </w:tcPr>
          <w:p w14:paraId="029E5DA4" w14:textId="77777777" w:rsidR="00E07691" w:rsidRPr="00960D21" w:rsidRDefault="00E07691" w:rsidP="00D07853">
            <w:pPr>
              <w:adjustRightInd w:val="0"/>
              <w:snapToGrid w:val="0"/>
              <w:spacing w:line="360" w:lineRule="auto"/>
              <w:contextualSpacing/>
              <w:rPr>
                <w:rFonts w:ascii="Arial" w:hAnsi="Arial" w:cs="Arial"/>
              </w:rPr>
            </w:pPr>
            <w:r w:rsidRPr="00960D21">
              <w:rPr>
                <w:rFonts w:ascii="Arial" w:hAnsi="Arial" w:cs="Arial"/>
              </w:rPr>
              <w:t xml:space="preserve">All </w:t>
            </w:r>
            <w:r w:rsidRPr="00960D21">
              <w:rPr>
                <w:rFonts w:ascii="Arial" w:hAnsi="Arial" w:cs="Arial"/>
                <w:lang w:val="en-US"/>
              </w:rPr>
              <w:t>participants</w:t>
            </w:r>
            <w:r w:rsidRPr="00960D21">
              <w:rPr>
                <w:rFonts w:ascii="Arial" w:hAnsi="Arial" w:cs="Arial"/>
              </w:rPr>
              <w:t xml:space="preserve"> (N=2035)</w:t>
            </w:r>
          </w:p>
        </w:tc>
        <w:tc>
          <w:tcPr>
            <w:tcW w:w="0" w:type="auto"/>
            <w:shd w:val="clear" w:color="auto" w:fill="auto"/>
            <w:tcMar>
              <w:top w:w="0" w:type="dxa"/>
              <w:left w:w="0" w:type="dxa"/>
              <w:bottom w:w="0" w:type="dxa"/>
              <w:right w:w="0" w:type="dxa"/>
            </w:tcMar>
            <w:vAlign w:val="center"/>
          </w:tcPr>
          <w:p w14:paraId="107B112E"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eastAsia="Arial" w:hAnsi="Arial" w:cs="Arial"/>
              </w:rPr>
              <w:t>-1.4%</w:t>
            </w:r>
          </w:p>
        </w:tc>
        <w:tc>
          <w:tcPr>
            <w:tcW w:w="2147" w:type="dxa"/>
            <w:shd w:val="clear" w:color="auto" w:fill="auto"/>
            <w:vAlign w:val="center"/>
          </w:tcPr>
          <w:p w14:paraId="5C4ED8D2"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hAnsi="Arial" w:cs="Arial"/>
                <w:lang w:val="en-US"/>
              </w:rPr>
              <w:t>-2.6% to -0.2%</w:t>
            </w:r>
          </w:p>
        </w:tc>
      </w:tr>
      <w:tr w:rsidR="00E07691" w:rsidRPr="00960D21" w14:paraId="6D428235" w14:textId="77777777" w:rsidTr="00D07853">
        <w:trPr>
          <w:cantSplit/>
        </w:trPr>
        <w:tc>
          <w:tcPr>
            <w:tcW w:w="0" w:type="auto"/>
            <w:shd w:val="clear" w:color="auto" w:fill="D9D9D9" w:themeFill="background1" w:themeFillShade="D9"/>
            <w:tcMar>
              <w:top w:w="0" w:type="dxa"/>
              <w:left w:w="0" w:type="dxa"/>
              <w:bottom w:w="0" w:type="dxa"/>
              <w:right w:w="0" w:type="dxa"/>
            </w:tcMar>
            <w:vAlign w:val="center"/>
          </w:tcPr>
          <w:p w14:paraId="6594A736" w14:textId="77777777" w:rsidR="00E07691" w:rsidRPr="00960D21" w:rsidRDefault="00E07691" w:rsidP="00D07853">
            <w:pPr>
              <w:adjustRightInd w:val="0"/>
              <w:snapToGrid w:val="0"/>
              <w:spacing w:line="360" w:lineRule="auto"/>
              <w:contextualSpacing/>
              <w:rPr>
                <w:rFonts w:ascii="Arial" w:hAnsi="Arial" w:cs="Arial"/>
                <w:b/>
                <w:bCs/>
              </w:rPr>
            </w:pPr>
            <w:r w:rsidRPr="00960D21">
              <w:rPr>
                <w:rFonts w:ascii="Arial" w:hAnsi="Arial" w:cs="Arial"/>
                <w:b/>
                <w:bCs/>
                <w:lang w:val="en-US"/>
              </w:rPr>
              <w:t>Confirmed infection</w:t>
            </w:r>
          </w:p>
        </w:tc>
        <w:tc>
          <w:tcPr>
            <w:tcW w:w="0" w:type="auto"/>
            <w:shd w:val="clear" w:color="auto" w:fill="D9D9D9" w:themeFill="background1" w:themeFillShade="D9"/>
            <w:tcMar>
              <w:top w:w="0" w:type="dxa"/>
              <w:left w:w="0" w:type="dxa"/>
              <w:bottom w:w="0" w:type="dxa"/>
              <w:right w:w="0" w:type="dxa"/>
            </w:tcMar>
            <w:vAlign w:val="center"/>
          </w:tcPr>
          <w:p w14:paraId="12DFA719" w14:textId="77777777" w:rsidR="00E07691" w:rsidRPr="00960D21" w:rsidRDefault="00E07691" w:rsidP="00D07853">
            <w:pPr>
              <w:adjustRightInd w:val="0"/>
              <w:snapToGrid w:val="0"/>
              <w:spacing w:line="360" w:lineRule="auto"/>
              <w:contextualSpacing/>
              <w:jc w:val="center"/>
              <w:rPr>
                <w:rFonts w:ascii="Arial" w:hAnsi="Arial" w:cs="Arial"/>
                <w:lang w:val="en-US"/>
              </w:rPr>
            </w:pPr>
          </w:p>
        </w:tc>
        <w:tc>
          <w:tcPr>
            <w:tcW w:w="2147" w:type="dxa"/>
            <w:shd w:val="clear" w:color="auto" w:fill="D9D9D9" w:themeFill="background1" w:themeFillShade="D9"/>
            <w:vAlign w:val="center"/>
          </w:tcPr>
          <w:p w14:paraId="291A33D0" w14:textId="77777777" w:rsidR="00E07691" w:rsidRPr="00960D21" w:rsidRDefault="00E07691" w:rsidP="00D07853">
            <w:pPr>
              <w:adjustRightInd w:val="0"/>
              <w:snapToGrid w:val="0"/>
              <w:spacing w:line="360" w:lineRule="auto"/>
              <w:contextualSpacing/>
              <w:jc w:val="center"/>
              <w:rPr>
                <w:rFonts w:ascii="Arial" w:hAnsi="Arial" w:cs="Arial"/>
                <w:lang w:val="en-US"/>
              </w:rPr>
            </w:pPr>
          </w:p>
        </w:tc>
      </w:tr>
      <w:tr w:rsidR="00E07691" w:rsidRPr="00960D21" w14:paraId="59A0C989" w14:textId="77777777" w:rsidTr="00D07853">
        <w:trPr>
          <w:cantSplit/>
        </w:trPr>
        <w:tc>
          <w:tcPr>
            <w:tcW w:w="0" w:type="auto"/>
            <w:shd w:val="clear" w:color="auto" w:fill="auto"/>
            <w:tcMar>
              <w:top w:w="0" w:type="dxa"/>
              <w:left w:w="0" w:type="dxa"/>
              <w:bottom w:w="0" w:type="dxa"/>
              <w:right w:w="0" w:type="dxa"/>
            </w:tcMar>
            <w:vAlign w:val="center"/>
          </w:tcPr>
          <w:p w14:paraId="2B8A2EAE" w14:textId="77777777" w:rsidR="00E07691" w:rsidRPr="00960D21" w:rsidRDefault="00E07691" w:rsidP="00D07853">
            <w:pPr>
              <w:adjustRightInd w:val="0"/>
              <w:snapToGrid w:val="0"/>
              <w:spacing w:line="360" w:lineRule="auto"/>
              <w:contextualSpacing/>
              <w:rPr>
                <w:rFonts w:ascii="Arial" w:hAnsi="Arial" w:cs="Arial"/>
              </w:rPr>
            </w:pPr>
            <w:r w:rsidRPr="00960D21">
              <w:rPr>
                <w:rFonts w:ascii="Arial" w:hAnsi="Arial" w:cs="Arial"/>
              </w:rPr>
              <w:t>DSA (N=197)</w:t>
            </w:r>
          </w:p>
        </w:tc>
        <w:tc>
          <w:tcPr>
            <w:tcW w:w="0" w:type="auto"/>
            <w:shd w:val="clear" w:color="auto" w:fill="auto"/>
            <w:tcMar>
              <w:top w:w="0" w:type="dxa"/>
              <w:left w:w="0" w:type="dxa"/>
              <w:bottom w:w="0" w:type="dxa"/>
              <w:right w:w="0" w:type="dxa"/>
            </w:tcMar>
            <w:vAlign w:val="center"/>
          </w:tcPr>
          <w:p w14:paraId="6F2D93C3"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eastAsia="Arial" w:hAnsi="Arial" w:cs="Arial"/>
              </w:rPr>
              <w:t>10.2%</w:t>
            </w:r>
          </w:p>
        </w:tc>
        <w:tc>
          <w:tcPr>
            <w:tcW w:w="2147" w:type="dxa"/>
            <w:shd w:val="clear" w:color="auto" w:fill="auto"/>
            <w:vAlign w:val="center"/>
          </w:tcPr>
          <w:p w14:paraId="428A95C7"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hAnsi="Arial" w:cs="Arial"/>
                <w:lang w:val="en-US"/>
              </w:rPr>
              <w:t>-1.8% to 22.2%</w:t>
            </w:r>
          </w:p>
        </w:tc>
      </w:tr>
      <w:tr w:rsidR="00E07691" w:rsidRPr="00960D21" w14:paraId="263C13BF" w14:textId="77777777" w:rsidTr="00D07853">
        <w:trPr>
          <w:cantSplit/>
        </w:trPr>
        <w:tc>
          <w:tcPr>
            <w:tcW w:w="0" w:type="auto"/>
            <w:shd w:val="clear" w:color="auto" w:fill="auto"/>
            <w:tcMar>
              <w:top w:w="0" w:type="dxa"/>
              <w:left w:w="0" w:type="dxa"/>
              <w:bottom w:w="0" w:type="dxa"/>
              <w:right w:w="0" w:type="dxa"/>
            </w:tcMar>
            <w:vAlign w:val="center"/>
          </w:tcPr>
          <w:p w14:paraId="0860693C" w14:textId="77777777" w:rsidR="00E07691" w:rsidRPr="00960D21" w:rsidRDefault="00E07691" w:rsidP="00D07853">
            <w:pPr>
              <w:adjustRightInd w:val="0"/>
              <w:snapToGrid w:val="0"/>
              <w:spacing w:line="360" w:lineRule="auto"/>
              <w:contextualSpacing/>
              <w:rPr>
                <w:rFonts w:ascii="Arial" w:hAnsi="Arial" w:cs="Arial"/>
              </w:rPr>
            </w:pPr>
            <w:r w:rsidRPr="00960D21">
              <w:rPr>
                <w:rFonts w:ascii="Arial" w:hAnsi="Arial" w:cs="Arial"/>
              </w:rPr>
              <w:t>Non-DSA (N=809)</w:t>
            </w:r>
          </w:p>
        </w:tc>
        <w:tc>
          <w:tcPr>
            <w:tcW w:w="0" w:type="auto"/>
            <w:shd w:val="clear" w:color="auto" w:fill="auto"/>
            <w:tcMar>
              <w:top w:w="0" w:type="dxa"/>
              <w:left w:w="0" w:type="dxa"/>
              <w:bottom w:w="0" w:type="dxa"/>
              <w:right w:w="0" w:type="dxa"/>
            </w:tcMar>
            <w:vAlign w:val="center"/>
          </w:tcPr>
          <w:p w14:paraId="75B1DBD0"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eastAsia="Arial" w:hAnsi="Arial" w:cs="Arial"/>
              </w:rPr>
              <w:t>1.5%</w:t>
            </w:r>
          </w:p>
        </w:tc>
        <w:tc>
          <w:tcPr>
            <w:tcW w:w="2147" w:type="dxa"/>
            <w:shd w:val="clear" w:color="auto" w:fill="auto"/>
            <w:vAlign w:val="center"/>
          </w:tcPr>
          <w:p w14:paraId="434AC388"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hAnsi="Arial" w:cs="Arial"/>
                <w:lang w:val="en-US"/>
              </w:rPr>
              <w:t>-4.4% to 7.4%</w:t>
            </w:r>
          </w:p>
        </w:tc>
      </w:tr>
      <w:tr w:rsidR="00E07691" w:rsidRPr="00960D21" w14:paraId="56A76083" w14:textId="77777777" w:rsidTr="00D07853">
        <w:trPr>
          <w:cantSplit/>
        </w:trPr>
        <w:tc>
          <w:tcPr>
            <w:tcW w:w="0" w:type="auto"/>
            <w:shd w:val="clear" w:color="auto" w:fill="auto"/>
            <w:tcMar>
              <w:top w:w="0" w:type="dxa"/>
              <w:left w:w="0" w:type="dxa"/>
              <w:bottom w:w="0" w:type="dxa"/>
              <w:right w:w="0" w:type="dxa"/>
            </w:tcMar>
            <w:vAlign w:val="center"/>
          </w:tcPr>
          <w:p w14:paraId="69CE49F8" w14:textId="77777777" w:rsidR="00E07691" w:rsidRPr="00960D21" w:rsidRDefault="00E07691" w:rsidP="00D07853">
            <w:pPr>
              <w:adjustRightInd w:val="0"/>
              <w:snapToGrid w:val="0"/>
              <w:spacing w:line="360" w:lineRule="auto"/>
              <w:contextualSpacing/>
              <w:rPr>
                <w:rFonts w:ascii="Arial" w:hAnsi="Arial" w:cs="Arial"/>
              </w:rPr>
            </w:pPr>
            <w:r w:rsidRPr="00960D21">
              <w:rPr>
                <w:rFonts w:ascii="Arial" w:hAnsi="Arial" w:cs="Arial"/>
              </w:rPr>
              <w:t xml:space="preserve">All </w:t>
            </w:r>
            <w:r w:rsidRPr="00960D21">
              <w:rPr>
                <w:rFonts w:ascii="Arial" w:hAnsi="Arial" w:cs="Arial"/>
                <w:lang w:val="en-US"/>
              </w:rPr>
              <w:t>participants</w:t>
            </w:r>
            <w:r w:rsidRPr="00960D21">
              <w:rPr>
                <w:rFonts w:ascii="Arial" w:hAnsi="Arial" w:cs="Arial"/>
              </w:rPr>
              <w:t xml:space="preserve"> (N=2010)</w:t>
            </w:r>
          </w:p>
        </w:tc>
        <w:tc>
          <w:tcPr>
            <w:tcW w:w="0" w:type="auto"/>
            <w:shd w:val="clear" w:color="auto" w:fill="auto"/>
            <w:tcMar>
              <w:top w:w="0" w:type="dxa"/>
              <w:left w:w="0" w:type="dxa"/>
              <w:bottom w:w="0" w:type="dxa"/>
              <w:right w:w="0" w:type="dxa"/>
            </w:tcMar>
            <w:vAlign w:val="center"/>
          </w:tcPr>
          <w:p w14:paraId="29F8A927"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eastAsia="Arial" w:hAnsi="Arial" w:cs="Arial"/>
              </w:rPr>
              <w:t>1.4%</w:t>
            </w:r>
          </w:p>
        </w:tc>
        <w:tc>
          <w:tcPr>
            <w:tcW w:w="2147" w:type="dxa"/>
            <w:shd w:val="clear" w:color="auto" w:fill="auto"/>
            <w:vAlign w:val="center"/>
          </w:tcPr>
          <w:p w14:paraId="437E12E3"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hAnsi="Arial" w:cs="Arial"/>
                <w:lang w:val="en-US"/>
              </w:rPr>
              <w:t>-2.3% to 5.1%</w:t>
            </w:r>
          </w:p>
        </w:tc>
      </w:tr>
      <w:tr w:rsidR="00E07691" w:rsidRPr="00960D21" w14:paraId="096339E1" w14:textId="77777777" w:rsidTr="00D07853">
        <w:trPr>
          <w:cantSplit/>
        </w:trPr>
        <w:tc>
          <w:tcPr>
            <w:tcW w:w="0" w:type="auto"/>
            <w:shd w:val="clear" w:color="auto" w:fill="D9D9D9" w:themeFill="background1" w:themeFillShade="D9"/>
            <w:tcMar>
              <w:top w:w="0" w:type="dxa"/>
              <w:left w:w="0" w:type="dxa"/>
              <w:bottom w:w="0" w:type="dxa"/>
              <w:right w:w="0" w:type="dxa"/>
            </w:tcMar>
            <w:vAlign w:val="center"/>
          </w:tcPr>
          <w:p w14:paraId="6E2E5775" w14:textId="77777777" w:rsidR="00E07691" w:rsidRPr="00960D21" w:rsidRDefault="00E07691" w:rsidP="00D07853">
            <w:pPr>
              <w:adjustRightInd w:val="0"/>
              <w:snapToGrid w:val="0"/>
              <w:spacing w:line="360" w:lineRule="auto"/>
              <w:contextualSpacing/>
              <w:rPr>
                <w:rFonts w:ascii="Arial" w:hAnsi="Arial" w:cs="Arial"/>
                <w:b/>
                <w:bCs/>
              </w:rPr>
            </w:pPr>
            <w:r w:rsidRPr="00960D21">
              <w:rPr>
                <w:rFonts w:ascii="Arial" w:hAnsi="Arial" w:cs="Arial"/>
                <w:b/>
                <w:bCs/>
                <w:lang w:val="en-US"/>
              </w:rPr>
              <w:t>Malignancy</w:t>
            </w:r>
          </w:p>
        </w:tc>
        <w:tc>
          <w:tcPr>
            <w:tcW w:w="0" w:type="auto"/>
            <w:shd w:val="clear" w:color="auto" w:fill="D9D9D9" w:themeFill="background1" w:themeFillShade="D9"/>
            <w:tcMar>
              <w:top w:w="0" w:type="dxa"/>
              <w:left w:w="0" w:type="dxa"/>
              <w:bottom w:w="0" w:type="dxa"/>
              <w:right w:w="0" w:type="dxa"/>
            </w:tcMar>
            <w:vAlign w:val="center"/>
          </w:tcPr>
          <w:p w14:paraId="02DE037E" w14:textId="77777777" w:rsidR="00E07691" w:rsidRPr="00960D21" w:rsidRDefault="00E07691" w:rsidP="00D07853">
            <w:pPr>
              <w:adjustRightInd w:val="0"/>
              <w:snapToGrid w:val="0"/>
              <w:spacing w:line="360" w:lineRule="auto"/>
              <w:contextualSpacing/>
              <w:jc w:val="center"/>
              <w:rPr>
                <w:rFonts w:ascii="Arial" w:hAnsi="Arial" w:cs="Arial"/>
                <w:lang w:val="en-US"/>
              </w:rPr>
            </w:pPr>
          </w:p>
        </w:tc>
        <w:tc>
          <w:tcPr>
            <w:tcW w:w="2147" w:type="dxa"/>
            <w:shd w:val="clear" w:color="auto" w:fill="D9D9D9" w:themeFill="background1" w:themeFillShade="D9"/>
            <w:vAlign w:val="center"/>
          </w:tcPr>
          <w:p w14:paraId="1A38A01D" w14:textId="77777777" w:rsidR="00E07691" w:rsidRPr="00960D21" w:rsidRDefault="00E07691" w:rsidP="00D07853">
            <w:pPr>
              <w:adjustRightInd w:val="0"/>
              <w:snapToGrid w:val="0"/>
              <w:spacing w:line="360" w:lineRule="auto"/>
              <w:contextualSpacing/>
              <w:jc w:val="center"/>
              <w:rPr>
                <w:rFonts w:ascii="Arial" w:hAnsi="Arial" w:cs="Arial"/>
                <w:lang w:val="en-US"/>
              </w:rPr>
            </w:pPr>
          </w:p>
        </w:tc>
      </w:tr>
      <w:tr w:rsidR="00E07691" w:rsidRPr="00960D21" w14:paraId="39A043A9" w14:textId="77777777" w:rsidTr="00D07853">
        <w:trPr>
          <w:cantSplit/>
        </w:trPr>
        <w:tc>
          <w:tcPr>
            <w:tcW w:w="0" w:type="auto"/>
            <w:shd w:val="clear" w:color="auto" w:fill="auto"/>
            <w:tcMar>
              <w:top w:w="0" w:type="dxa"/>
              <w:left w:w="0" w:type="dxa"/>
              <w:bottom w:w="0" w:type="dxa"/>
              <w:right w:w="0" w:type="dxa"/>
            </w:tcMar>
            <w:vAlign w:val="center"/>
          </w:tcPr>
          <w:p w14:paraId="3EB01FD7" w14:textId="77777777" w:rsidR="00E07691" w:rsidRPr="00960D21" w:rsidRDefault="00E07691" w:rsidP="00D07853">
            <w:pPr>
              <w:adjustRightInd w:val="0"/>
              <w:snapToGrid w:val="0"/>
              <w:spacing w:line="360" w:lineRule="auto"/>
              <w:contextualSpacing/>
              <w:rPr>
                <w:rFonts w:ascii="Arial" w:hAnsi="Arial" w:cs="Arial"/>
              </w:rPr>
            </w:pPr>
            <w:r w:rsidRPr="00960D21">
              <w:rPr>
                <w:rFonts w:ascii="Arial" w:hAnsi="Arial" w:cs="Arial"/>
              </w:rPr>
              <w:t>DSA (N=198)</w:t>
            </w:r>
          </w:p>
        </w:tc>
        <w:tc>
          <w:tcPr>
            <w:tcW w:w="0" w:type="auto"/>
            <w:shd w:val="clear" w:color="auto" w:fill="auto"/>
            <w:tcMar>
              <w:top w:w="0" w:type="dxa"/>
              <w:left w:w="0" w:type="dxa"/>
              <w:bottom w:w="0" w:type="dxa"/>
              <w:right w:w="0" w:type="dxa"/>
            </w:tcMar>
            <w:vAlign w:val="center"/>
          </w:tcPr>
          <w:p w14:paraId="05C2504E"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eastAsia="Arial" w:hAnsi="Arial" w:cs="Arial"/>
              </w:rPr>
              <w:t>0.5%</w:t>
            </w:r>
          </w:p>
        </w:tc>
        <w:tc>
          <w:tcPr>
            <w:tcW w:w="2147" w:type="dxa"/>
            <w:shd w:val="clear" w:color="auto" w:fill="auto"/>
            <w:vAlign w:val="center"/>
          </w:tcPr>
          <w:p w14:paraId="0A8F619C"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hAnsi="Arial" w:cs="Arial"/>
                <w:lang w:val="en-US"/>
              </w:rPr>
              <w:t>-6.1% to 7.0%</w:t>
            </w:r>
          </w:p>
        </w:tc>
      </w:tr>
      <w:tr w:rsidR="00E07691" w:rsidRPr="00960D21" w14:paraId="4B856A4D" w14:textId="77777777" w:rsidTr="00D07853">
        <w:trPr>
          <w:cantSplit/>
        </w:trPr>
        <w:tc>
          <w:tcPr>
            <w:tcW w:w="0" w:type="auto"/>
            <w:shd w:val="clear" w:color="auto" w:fill="auto"/>
            <w:tcMar>
              <w:top w:w="0" w:type="dxa"/>
              <w:left w:w="0" w:type="dxa"/>
              <w:bottom w:w="0" w:type="dxa"/>
              <w:right w:w="0" w:type="dxa"/>
            </w:tcMar>
            <w:vAlign w:val="center"/>
          </w:tcPr>
          <w:p w14:paraId="545087C1" w14:textId="77777777" w:rsidR="00E07691" w:rsidRPr="00960D21" w:rsidRDefault="00E07691" w:rsidP="00D07853">
            <w:pPr>
              <w:adjustRightInd w:val="0"/>
              <w:snapToGrid w:val="0"/>
              <w:spacing w:line="360" w:lineRule="auto"/>
              <w:contextualSpacing/>
              <w:rPr>
                <w:rFonts w:ascii="Arial" w:hAnsi="Arial" w:cs="Arial"/>
              </w:rPr>
            </w:pPr>
            <w:r w:rsidRPr="00960D21">
              <w:rPr>
                <w:rFonts w:ascii="Arial" w:hAnsi="Arial" w:cs="Arial"/>
              </w:rPr>
              <w:t>Non-DSA (N=810)</w:t>
            </w:r>
          </w:p>
        </w:tc>
        <w:tc>
          <w:tcPr>
            <w:tcW w:w="0" w:type="auto"/>
            <w:shd w:val="clear" w:color="auto" w:fill="auto"/>
            <w:tcMar>
              <w:top w:w="0" w:type="dxa"/>
              <w:left w:w="0" w:type="dxa"/>
              <w:bottom w:w="0" w:type="dxa"/>
              <w:right w:w="0" w:type="dxa"/>
            </w:tcMar>
            <w:vAlign w:val="center"/>
          </w:tcPr>
          <w:p w14:paraId="3074DD64"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eastAsia="Arial" w:hAnsi="Arial" w:cs="Arial"/>
              </w:rPr>
              <w:t>-0.6%</w:t>
            </w:r>
          </w:p>
        </w:tc>
        <w:tc>
          <w:tcPr>
            <w:tcW w:w="2147" w:type="dxa"/>
            <w:shd w:val="clear" w:color="auto" w:fill="auto"/>
            <w:vAlign w:val="center"/>
          </w:tcPr>
          <w:p w14:paraId="0E5E1CD9"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hAnsi="Arial" w:cs="Arial"/>
                <w:lang w:val="en-US"/>
              </w:rPr>
              <w:t>-4.3% to 3.2%</w:t>
            </w:r>
          </w:p>
        </w:tc>
      </w:tr>
      <w:tr w:rsidR="00E07691" w:rsidRPr="00960D21" w14:paraId="1F3A49B7" w14:textId="77777777" w:rsidTr="00D07853">
        <w:trPr>
          <w:cantSplit/>
        </w:trPr>
        <w:tc>
          <w:tcPr>
            <w:tcW w:w="0" w:type="auto"/>
            <w:shd w:val="clear" w:color="auto" w:fill="auto"/>
            <w:tcMar>
              <w:top w:w="0" w:type="dxa"/>
              <w:left w:w="0" w:type="dxa"/>
              <w:bottom w:w="0" w:type="dxa"/>
              <w:right w:w="0" w:type="dxa"/>
            </w:tcMar>
            <w:vAlign w:val="center"/>
          </w:tcPr>
          <w:p w14:paraId="584BF206" w14:textId="77777777" w:rsidR="00E07691" w:rsidRPr="00960D21" w:rsidRDefault="00E07691" w:rsidP="00D07853">
            <w:pPr>
              <w:adjustRightInd w:val="0"/>
              <w:snapToGrid w:val="0"/>
              <w:spacing w:line="360" w:lineRule="auto"/>
              <w:contextualSpacing/>
              <w:rPr>
                <w:rFonts w:ascii="Arial" w:hAnsi="Arial" w:cs="Arial"/>
              </w:rPr>
            </w:pPr>
            <w:r w:rsidRPr="00960D21">
              <w:rPr>
                <w:rFonts w:ascii="Arial" w:hAnsi="Arial" w:cs="Arial"/>
              </w:rPr>
              <w:t xml:space="preserve">All </w:t>
            </w:r>
            <w:r w:rsidRPr="00960D21">
              <w:rPr>
                <w:rFonts w:ascii="Arial" w:hAnsi="Arial" w:cs="Arial"/>
                <w:lang w:val="en-US"/>
              </w:rPr>
              <w:t>participants</w:t>
            </w:r>
            <w:r w:rsidRPr="00960D21">
              <w:rPr>
                <w:rFonts w:ascii="Arial" w:hAnsi="Arial" w:cs="Arial"/>
              </w:rPr>
              <w:t xml:space="preserve"> (N=2015)</w:t>
            </w:r>
          </w:p>
        </w:tc>
        <w:tc>
          <w:tcPr>
            <w:tcW w:w="0" w:type="auto"/>
            <w:shd w:val="clear" w:color="auto" w:fill="auto"/>
            <w:tcMar>
              <w:top w:w="0" w:type="dxa"/>
              <w:left w:w="0" w:type="dxa"/>
              <w:bottom w:w="0" w:type="dxa"/>
              <w:right w:w="0" w:type="dxa"/>
            </w:tcMar>
            <w:vAlign w:val="center"/>
          </w:tcPr>
          <w:p w14:paraId="7490B927"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hAnsi="Arial" w:cs="Arial"/>
                <w:lang w:val="en-US"/>
              </w:rPr>
              <w:t>-0.5%</w:t>
            </w:r>
          </w:p>
        </w:tc>
        <w:tc>
          <w:tcPr>
            <w:tcW w:w="2147" w:type="dxa"/>
            <w:shd w:val="clear" w:color="auto" w:fill="auto"/>
            <w:vAlign w:val="center"/>
          </w:tcPr>
          <w:p w14:paraId="6F1BF95D"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hAnsi="Arial" w:cs="Arial"/>
                <w:lang w:val="en-US"/>
              </w:rPr>
              <w:t>-2.6% to 1.6%</w:t>
            </w:r>
          </w:p>
        </w:tc>
      </w:tr>
      <w:tr w:rsidR="00E07691" w:rsidRPr="00960D21" w14:paraId="0A5CA237" w14:textId="77777777" w:rsidTr="00D07853">
        <w:trPr>
          <w:cantSplit/>
        </w:trPr>
        <w:tc>
          <w:tcPr>
            <w:tcW w:w="0" w:type="auto"/>
            <w:shd w:val="clear" w:color="auto" w:fill="D9D9D9" w:themeFill="background1" w:themeFillShade="D9"/>
            <w:tcMar>
              <w:top w:w="0" w:type="dxa"/>
              <w:left w:w="0" w:type="dxa"/>
              <w:bottom w:w="0" w:type="dxa"/>
              <w:right w:w="0" w:type="dxa"/>
            </w:tcMar>
            <w:vAlign w:val="center"/>
          </w:tcPr>
          <w:p w14:paraId="1A2ABEBC" w14:textId="77777777" w:rsidR="00E07691" w:rsidRPr="00960D21" w:rsidRDefault="00E07691" w:rsidP="00D07853">
            <w:pPr>
              <w:adjustRightInd w:val="0"/>
              <w:snapToGrid w:val="0"/>
              <w:spacing w:line="360" w:lineRule="auto"/>
              <w:contextualSpacing/>
              <w:rPr>
                <w:rFonts w:ascii="Arial" w:hAnsi="Arial" w:cs="Arial"/>
                <w:b/>
                <w:bCs/>
              </w:rPr>
            </w:pPr>
            <w:r w:rsidRPr="00960D21">
              <w:rPr>
                <w:rFonts w:ascii="Arial" w:hAnsi="Arial" w:cs="Arial"/>
                <w:b/>
                <w:bCs/>
                <w:lang w:val="en-US"/>
              </w:rPr>
              <w:t>Diabetes Mellitus</w:t>
            </w:r>
          </w:p>
        </w:tc>
        <w:tc>
          <w:tcPr>
            <w:tcW w:w="0" w:type="auto"/>
            <w:shd w:val="clear" w:color="auto" w:fill="D9D9D9" w:themeFill="background1" w:themeFillShade="D9"/>
            <w:tcMar>
              <w:top w:w="0" w:type="dxa"/>
              <w:left w:w="0" w:type="dxa"/>
              <w:bottom w:w="0" w:type="dxa"/>
              <w:right w:w="0" w:type="dxa"/>
            </w:tcMar>
            <w:vAlign w:val="center"/>
          </w:tcPr>
          <w:p w14:paraId="74E3F02F" w14:textId="77777777" w:rsidR="00E07691" w:rsidRPr="00960D21" w:rsidRDefault="00E07691" w:rsidP="00D07853">
            <w:pPr>
              <w:adjustRightInd w:val="0"/>
              <w:snapToGrid w:val="0"/>
              <w:spacing w:line="360" w:lineRule="auto"/>
              <w:contextualSpacing/>
              <w:jc w:val="center"/>
              <w:rPr>
                <w:rFonts w:ascii="Arial" w:eastAsia="Arial" w:hAnsi="Arial" w:cs="Arial"/>
              </w:rPr>
            </w:pPr>
          </w:p>
        </w:tc>
        <w:tc>
          <w:tcPr>
            <w:tcW w:w="2147" w:type="dxa"/>
            <w:shd w:val="clear" w:color="auto" w:fill="D9D9D9" w:themeFill="background1" w:themeFillShade="D9"/>
            <w:vAlign w:val="center"/>
          </w:tcPr>
          <w:p w14:paraId="67823CA0" w14:textId="77777777" w:rsidR="00E07691" w:rsidRPr="00960D21" w:rsidRDefault="00E07691" w:rsidP="00D07853">
            <w:pPr>
              <w:adjustRightInd w:val="0"/>
              <w:snapToGrid w:val="0"/>
              <w:spacing w:line="360" w:lineRule="auto"/>
              <w:contextualSpacing/>
              <w:jc w:val="center"/>
              <w:rPr>
                <w:rFonts w:ascii="Arial" w:hAnsi="Arial" w:cs="Arial"/>
                <w:lang w:val="en-US"/>
              </w:rPr>
            </w:pPr>
          </w:p>
        </w:tc>
      </w:tr>
      <w:tr w:rsidR="00E07691" w:rsidRPr="00960D21" w14:paraId="43888592" w14:textId="77777777" w:rsidTr="00D07853">
        <w:trPr>
          <w:cantSplit/>
        </w:trPr>
        <w:tc>
          <w:tcPr>
            <w:tcW w:w="0" w:type="auto"/>
            <w:shd w:val="clear" w:color="auto" w:fill="auto"/>
            <w:tcMar>
              <w:top w:w="0" w:type="dxa"/>
              <w:left w:w="0" w:type="dxa"/>
              <w:bottom w:w="0" w:type="dxa"/>
              <w:right w:w="0" w:type="dxa"/>
            </w:tcMar>
            <w:vAlign w:val="center"/>
          </w:tcPr>
          <w:p w14:paraId="1EC7D486" w14:textId="77777777" w:rsidR="00E07691" w:rsidRPr="00960D21" w:rsidRDefault="00E07691" w:rsidP="00D07853">
            <w:pPr>
              <w:adjustRightInd w:val="0"/>
              <w:snapToGrid w:val="0"/>
              <w:spacing w:line="360" w:lineRule="auto"/>
              <w:contextualSpacing/>
              <w:rPr>
                <w:rFonts w:ascii="Arial" w:hAnsi="Arial" w:cs="Arial"/>
              </w:rPr>
            </w:pPr>
            <w:r w:rsidRPr="00960D21">
              <w:rPr>
                <w:rFonts w:ascii="Arial" w:hAnsi="Arial" w:cs="Arial"/>
              </w:rPr>
              <w:t>DSA (N=198)</w:t>
            </w:r>
          </w:p>
        </w:tc>
        <w:tc>
          <w:tcPr>
            <w:tcW w:w="0" w:type="auto"/>
            <w:shd w:val="clear" w:color="auto" w:fill="auto"/>
            <w:tcMar>
              <w:top w:w="0" w:type="dxa"/>
              <w:left w:w="0" w:type="dxa"/>
              <w:bottom w:w="0" w:type="dxa"/>
              <w:right w:w="0" w:type="dxa"/>
            </w:tcMar>
            <w:vAlign w:val="center"/>
          </w:tcPr>
          <w:p w14:paraId="7330E986" w14:textId="77777777" w:rsidR="00E07691" w:rsidRPr="00960D21" w:rsidRDefault="00E07691" w:rsidP="00D07853">
            <w:pPr>
              <w:adjustRightInd w:val="0"/>
              <w:snapToGrid w:val="0"/>
              <w:spacing w:line="360" w:lineRule="auto"/>
              <w:contextualSpacing/>
              <w:jc w:val="center"/>
              <w:rPr>
                <w:rFonts w:ascii="Arial" w:eastAsia="Arial" w:hAnsi="Arial" w:cs="Arial"/>
              </w:rPr>
            </w:pPr>
            <w:r>
              <w:rPr>
                <w:rFonts w:ascii="Arial" w:eastAsia="Arial" w:hAnsi="Arial" w:cs="Arial"/>
              </w:rPr>
              <w:t>-0.1%</w:t>
            </w:r>
          </w:p>
        </w:tc>
        <w:tc>
          <w:tcPr>
            <w:tcW w:w="2147" w:type="dxa"/>
            <w:shd w:val="clear" w:color="auto" w:fill="auto"/>
            <w:vAlign w:val="center"/>
          </w:tcPr>
          <w:p w14:paraId="367BB982"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hAnsi="Arial" w:cs="Arial"/>
                <w:lang w:val="en-US"/>
              </w:rPr>
              <w:t>-3.8% to 3.7%</w:t>
            </w:r>
          </w:p>
        </w:tc>
      </w:tr>
      <w:tr w:rsidR="00E07691" w:rsidRPr="00960D21" w14:paraId="07476371" w14:textId="77777777" w:rsidTr="00D07853">
        <w:trPr>
          <w:cantSplit/>
        </w:trPr>
        <w:tc>
          <w:tcPr>
            <w:tcW w:w="0" w:type="auto"/>
            <w:shd w:val="clear" w:color="auto" w:fill="auto"/>
            <w:tcMar>
              <w:top w:w="0" w:type="dxa"/>
              <w:left w:w="0" w:type="dxa"/>
              <w:bottom w:w="0" w:type="dxa"/>
              <w:right w:w="0" w:type="dxa"/>
            </w:tcMar>
            <w:vAlign w:val="center"/>
          </w:tcPr>
          <w:p w14:paraId="6779079B" w14:textId="77777777" w:rsidR="00E07691" w:rsidRPr="00960D21" w:rsidRDefault="00E07691" w:rsidP="00D07853">
            <w:pPr>
              <w:adjustRightInd w:val="0"/>
              <w:snapToGrid w:val="0"/>
              <w:spacing w:line="360" w:lineRule="auto"/>
              <w:contextualSpacing/>
              <w:rPr>
                <w:rFonts w:ascii="Arial" w:hAnsi="Arial" w:cs="Arial"/>
              </w:rPr>
            </w:pPr>
            <w:r w:rsidRPr="00960D21">
              <w:rPr>
                <w:rFonts w:ascii="Arial" w:hAnsi="Arial" w:cs="Arial"/>
              </w:rPr>
              <w:t>Non-DSA (N=818)</w:t>
            </w:r>
          </w:p>
        </w:tc>
        <w:tc>
          <w:tcPr>
            <w:tcW w:w="0" w:type="auto"/>
            <w:shd w:val="clear" w:color="auto" w:fill="auto"/>
            <w:tcMar>
              <w:top w:w="0" w:type="dxa"/>
              <w:left w:w="0" w:type="dxa"/>
              <w:bottom w:w="0" w:type="dxa"/>
              <w:right w:w="0" w:type="dxa"/>
            </w:tcMar>
            <w:vAlign w:val="center"/>
          </w:tcPr>
          <w:p w14:paraId="2925AFC9" w14:textId="77777777" w:rsidR="00E07691" w:rsidRPr="00960D21" w:rsidRDefault="00E07691" w:rsidP="00D07853">
            <w:pPr>
              <w:adjustRightInd w:val="0"/>
              <w:snapToGrid w:val="0"/>
              <w:spacing w:line="360" w:lineRule="auto"/>
              <w:contextualSpacing/>
              <w:jc w:val="center"/>
              <w:rPr>
                <w:rFonts w:ascii="Arial" w:eastAsia="Arial" w:hAnsi="Arial" w:cs="Arial"/>
              </w:rPr>
            </w:pPr>
            <w:r>
              <w:rPr>
                <w:rFonts w:ascii="Arial" w:eastAsia="Arial" w:hAnsi="Arial" w:cs="Arial"/>
              </w:rPr>
              <w:t>-1.7%</w:t>
            </w:r>
          </w:p>
        </w:tc>
        <w:tc>
          <w:tcPr>
            <w:tcW w:w="2147" w:type="dxa"/>
            <w:shd w:val="clear" w:color="auto" w:fill="auto"/>
            <w:vAlign w:val="center"/>
          </w:tcPr>
          <w:p w14:paraId="25D569C5"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hAnsi="Arial" w:cs="Arial"/>
                <w:lang w:val="en-US"/>
              </w:rPr>
              <w:t>-4.1% to 0.7%</w:t>
            </w:r>
          </w:p>
        </w:tc>
      </w:tr>
      <w:tr w:rsidR="00E07691" w:rsidRPr="00960D21" w14:paraId="748B153E" w14:textId="77777777" w:rsidTr="00D07853">
        <w:trPr>
          <w:cantSplit/>
        </w:trPr>
        <w:tc>
          <w:tcPr>
            <w:tcW w:w="0" w:type="auto"/>
            <w:shd w:val="clear" w:color="auto" w:fill="auto"/>
            <w:tcMar>
              <w:top w:w="0" w:type="dxa"/>
              <w:left w:w="0" w:type="dxa"/>
              <w:bottom w:w="0" w:type="dxa"/>
              <w:right w:w="0" w:type="dxa"/>
            </w:tcMar>
            <w:vAlign w:val="center"/>
          </w:tcPr>
          <w:p w14:paraId="58BE945B" w14:textId="77777777" w:rsidR="00E07691" w:rsidRPr="00960D21" w:rsidRDefault="00E07691" w:rsidP="00D07853">
            <w:pPr>
              <w:adjustRightInd w:val="0"/>
              <w:snapToGrid w:val="0"/>
              <w:spacing w:line="360" w:lineRule="auto"/>
              <w:contextualSpacing/>
              <w:rPr>
                <w:rFonts w:ascii="Arial" w:hAnsi="Arial" w:cs="Arial"/>
              </w:rPr>
            </w:pPr>
            <w:r w:rsidRPr="00960D21">
              <w:rPr>
                <w:rFonts w:ascii="Arial" w:hAnsi="Arial" w:cs="Arial"/>
              </w:rPr>
              <w:t>All (N=2015)</w:t>
            </w:r>
          </w:p>
        </w:tc>
        <w:tc>
          <w:tcPr>
            <w:tcW w:w="0" w:type="auto"/>
            <w:shd w:val="clear" w:color="auto" w:fill="auto"/>
            <w:tcMar>
              <w:top w:w="0" w:type="dxa"/>
              <w:left w:w="0" w:type="dxa"/>
              <w:bottom w:w="0" w:type="dxa"/>
              <w:right w:w="0" w:type="dxa"/>
            </w:tcMar>
            <w:vAlign w:val="center"/>
          </w:tcPr>
          <w:p w14:paraId="224E4AA4" w14:textId="77777777" w:rsidR="00E07691" w:rsidRPr="00960D21" w:rsidRDefault="00E07691" w:rsidP="00D07853">
            <w:pPr>
              <w:adjustRightInd w:val="0"/>
              <w:snapToGrid w:val="0"/>
              <w:spacing w:line="360" w:lineRule="auto"/>
              <w:contextualSpacing/>
              <w:jc w:val="center"/>
              <w:rPr>
                <w:rFonts w:ascii="Arial" w:eastAsia="Arial" w:hAnsi="Arial" w:cs="Arial"/>
              </w:rPr>
            </w:pPr>
            <w:r>
              <w:rPr>
                <w:rFonts w:ascii="Arial" w:eastAsia="Arial" w:hAnsi="Arial" w:cs="Arial"/>
              </w:rPr>
              <w:t>-0.6%</w:t>
            </w:r>
          </w:p>
        </w:tc>
        <w:tc>
          <w:tcPr>
            <w:tcW w:w="2147" w:type="dxa"/>
            <w:shd w:val="clear" w:color="auto" w:fill="auto"/>
            <w:vAlign w:val="center"/>
          </w:tcPr>
          <w:p w14:paraId="3092386A" w14:textId="77777777" w:rsidR="00E07691" w:rsidRPr="00960D21" w:rsidRDefault="00E07691" w:rsidP="00D07853">
            <w:pPr>
              <w:adjustRightInd w:val="0"/>
              <w:snapToGrid w:val="0"/>
              <w:spacing w:line="360" w:lineRule="auto"/>
              <w:contextualSpacing/>
              <w:jc w:val="center"/>
              <w:rPr>
                <w:rFonts w:ascii="Arial" w:hAnsi="Arial" w:cs="Arial"/>
                <w:lang w:val="en-US"/>
              </w:rPr>
            </w:pPr>
            <w:r>
              <w:rPr>
                <w:rFonts w:ascii="Arial" w:hAnsi="Arial" w:cs="Arial"/>
                <w:lang w:val="en-US"/>
              </w:rPr>
              <w:t>-1.7% to 0.6%</w:t>
            </w:r>
          </w:p>
        </w:tc>
      </w:tr>
      <w:tr w:rsidR="00E07691" w:rsidRPr="00960D21" w14:paraId="76C6A690" w14:textId="77777777" w:rsidTr="00D07853">
        <w:trPr>
          <w:cantSplit/>
        </w:trPr>
        <w:tc>
          <w:tcPr>
            <w:tcW w:w="0" w:type="auto"/>
            <w:shd w:val="clear" w:color="auto" w:fill="D9D9D9" w:themeFill="background1" w:themeFillShade="D9"/>
            <w:tcMar>
              <w:top w:w="0" w:type="dxa"/>
              <w:left w:w="0" w:type="dxa"/>
              <w:bottom w:w="0" w:type="dxa"/>
              <w:right w:w="0" w:type="dxa"/>
            </w:tcMar>
            <w:vAlign w:val="center"/>
          </w:tcPr>
          <w:p w14:paraId="16BAEA74" w14:textId="77777777" w:rsidR="00E07691" w:rsidRPr="00117457" w:rsidRDefault="00E07691" w:rsidP="00D07853">
            <w:pPr>
              <w:adjustRightInd w:val="0"/>
              <w:snapToGrid w:val="0"/>
              <w:spacing w:line="360" w:lineRule="auto"/>
              <w:contextualSpacing/>
              <w:rPr>
                <w:rFonts w:ascii="Arial" w:hAnsi="Arial" w:cs="Arial"/>
                <w:b/>
                <w:bCs/>
              </w:rPr>
            </w:pPr>
            <w:r w:rsidRPr="00117457">
              <w:rPr>
                <w:rFonts w:ascii="Arial" w:hAnsi="Arial" w:cs="Arial"/>
                <w:b/>
                <w:bCs/>
                <w:lang w:val="en-US"/>
              </w:rPr>
              <w:t>Proteinuria</w:t>
            </w:r>
          </w:p>
        </w:tc>
        <w:tc>
          <w:tcPr>
            <w:tcW w:w="0" w:type="auto"/>
            <w:shd w:val="clear" w:color="auto" w:fill="D9D9D9" w:themeFill="background1" w:themeFillShade="D9"/>
            <w:tcMar>
              <w:top w:w="0" w:type="dxa"/>
              <w:left w:w="0" w:type="dxa"/>
              <w:bottom w:w="0" w:type="dxa"/>
              <w:right w:w="0" w:type="dxa"/>
            </w:tcMar>
            <w:vAlign w:val="center"/>
          </w:tcPr>
          <w:p w14:paraId="1BC13298" w14:textId="77777777" w:rsidR="00E07691" w:rsidRPr="00DB4D7C" w:rsidRDefault="00E07691" w:rsidP="00D07853">
            <w:pPr>
              <w:adjustRightInd w:val="0"/>
              <w:snapToGrid w:val="0"/>
              <w:spacing w:line="360" w:lineRule="auto"/>
              <w:contextualSpacing/>
              <w:jc w:val="center"/>
              <w:rPr>
                <w:rFonts w:ascii="Arial" w:eastAsia="Arial" w:hAnsi="Arial" w:cs="Arial"/>
              </w:rPr>
            </w:pPr>
          </w:p>
        </w:tc>
        <w:tc>
          <w:tcPr>
            <w:tcW w:w="2147" w:type="dxa"/>
            <w:shd w:val="clear" w:color="auto" w:fill="D9D9D9" w:themeFill="background1" w:themeFillShade="D9"/>
            <w:vAlign w:val="center"/>
          </w:tcPr>
          <w:p w14:paraId="5DBEAB83" w14:textId="77777777" w:rsidR="00E07691" w:rsidRPr="00DB4D7C" w:rsidRDefault="00E07691" w:rsidP="00D07853">
            <w:pPr>
              <w:adjustRightInd w:val="0"/>
              <w:snapToGrid w:val="0"/>
              <w:spacing w:line="360" w:lineRule="auto"/>
              <w:contextualSpacing/>
              <w:jc w:val="center"/>
              <w:rPr>
                <w:rFonts w:ascii="Arial" w:hAnsi="Arial" w:cs="Arial"/>
                <w:lang w:val="en-US"/>
              </w:rPr>
            </w:pPr>
          </w:p>
        </w:tc>
      </w:tr>
      <w:tr w:rsidR="00E07691" w:rsidRPr="00960D21" w14:paraId="0722EE49" w14:textId="77777777" w:rsidTr="00D07853">
        <w:trPr>
          <w:cantSplit/>
        </w:trPr>
        <w:tc>
          <w:tcPr>
            <w:tcW w:w="0" w:type="auto"/>
            <w:shd w:val="clear" w:color="auto" w:fill="auto"/>
            <w:tcMar>
              <w:top w:w="0" w:type="dxa"/>
              <w:left w:w="0" w:type="dxa"/>
              <w:bottom w:w="0" w:type="dxa"/>
              <w:right w:w="0" w:type="dxa"/>
            </w:tcMar>
            <w:vAlign w:val="center"/>
          </w:tcPr>
          <w:p w14:paraId="3DF0EAAF" w14:textId="77777777" w:rsidR="00E07691" w:rsidRPr="00117457" w:rsidRDefault="00E07691" w:rsidP="00D07853">
            <w:pPr>
              <w:adjustRightInd w:val="0"/>
              <w:snapToGrid w:val="0"/>
              <w:spacing w:line="360" w:lineRule="auto"/>
              <w:contextualSpacing/>
              <w:rPr>
                <w:rFonts w:ascii="Arial" w:hAnsi="Arial" w:cs="Arial"/>
              </w:rPr>
            </w:pPr>
            <w:r w:rsidRPr="00117457">
              <w:rPr>
                <w:rFonts w:ascii="Arial" w:hAnsi="Arial" w:cs="Arial"/>
              </w:rPr>
              <w:t>DSA (N=184)</w:t>
            </w:r>
          </w:p>
        </w:tc>
        <w:tc>
          <w:tcPr>
            <w:tcW w:w="0" w:type="auto"/>
            <w:shd w:val="clear" w:color="auto" w:fill="auto"/>
            <w:tcMar>
              <w:top w:w="0" w:type="dxa"/>
              <w:left w:w="0" w:type="dxa"/>
              <w:bottom w:w="0" w:type="dxa"/>
              <w:right w:w="0" w:type="dxa"/>
            </w:tcMar>
            <w:vAlign w:val="center"/>
          </w:tcPr>
          <w:p w14:paraId="5E680587" w14:textId="77777777" w:rsidR="00E07691" w:rsidRPr="00DB4D7C" w:rsidRDefault="00E07691" w:rsidP="00D07853">
            <w:pPr>
              <w:adjustRightInd w:val="0"/>
              <w:snapToGrid w:val="0"/>
              <w:spacing w:line="360" w:lineRule="auto"/>
              <w:contextualSpacing/>
              <w:jc w:val="center"/>
              <w:rPr>
                <w:rFonts w:ascii="Arial" w:eastAsia="Arial" w:hAnsi="Arial" w:cs="Arial"/>
              </w:rPr>
            </w:pPr>
            <w:r w:rsidRPr="00D07853">
              <w:rPr>
                <w:rFonts w:ascii="Arial" w:eastAsia="Arial" w:hAnsi="Arial" w:cs="Arial"/>
              </w:rPr>
              <w:t>-3.2%</w:t>
            </w:r>
          </w:p>
        </w:tc>
        <w:tc>
          <w:tcPr>
            <w:tcW w:w="2147" w:type="dxa"/>
            <w:shd w:val="clear" w:color="auto" w:fill="auto"/>
            <w:vAlign w:val="center"/>
          </w:tcPr>
          <w:p w14:paraId="57A8F098" w14:textId="77777777" w:rsidR="00E07691" w:rsidRPr="00DB4D7C" w:rsidRDefault="00E07691" w:rsidP="00D07853">
            <w:pPr>
              <w:adjustRightInd w:val="0"/>
              <w:snapToGrid w:val="0"/>
              <w:spacing w:line="360" w:lineRule="auto"/>
              <w:contextualSpacing/>
              <w:jc w:val="center"/>
              <w:rPr>
                <w:rFonts w:ascii="Arial" w:hAnsi="Arial" w:cs="Arial"/>
                <w:lang w:val="en-US"/>
              </w:rPr>
            </w:pPr>
            <w:r w:rsidRPr="00D07853">
              <w:rPr>
                <w:rFonts w:ascii="Arial" w:hAnsi="Arial" w:cs="Arial"/>
                <w:lang w:val="en-US"/>
              </w:rPr>
              <w:t>-9.1% to 2.7%</w:t>
            </w:r>
          </w:p>
        </w:tc>
      </w:tr>
      <w:tr w:rsidR="00E07691" w:rsidRPr="00960D21" w14:paraId="20461EDB" w14:textId="77777777" w:rsidTr="00D07853">
        <w:trPr>
          <w:cantSplit/>
        </w:trPr>
        <w:tc>
          <w:tcPr>
            <w:tcW w:w="0" w:type="auto"/>
            <w:shd w:val="clear" w:color="auto" w:fill="auto"/>
            <w:tcMar>
              <w:top w:w="0" w:type="dxa"/>
              <w:left w:w="0" w:type="dxa"/>
              <w:bottom w:w="0" w:type="dxa"/>
              <w:right w:w="0" w:type="dxa"/>
            </w:tcMar>
            <w:vAlign w:val="center"/>
          </w:tcPr>
          <w:p w14:paraId="621C0BAF" w14:textId="77777777" w:rsidR="00E07691" w:rsidRPr="00117457" w:rsidRDefault="00E07691" w:rsidP="00D07853">
            <w:pPr>
              <w:adjustRightInd w:val="0"/>
              <w:snapToGrid w:val="0"/>
              <w:spacing w:line="360" w:lineRule="auto"/>
              <w:contextualSpacing/>
              <w:rPr>
                <w:rFonts w:ascii="Arial" w:hAnsi="Arial" w:cs="Arial"/>
              </w:rPr>
            </w:pPr>
            <w:r w:rsidRPr="00117457">
              <w:rPr>
                <w:rFonts w:ascii="Arial" w:hAnsi="Arial" w:cs="Arial"/>
              </w:rPr>
              <w:t>Non-DSA (N=788)</w:t>
            </w:r>
          </w:p>
        </w:tc>
        <w:tc>
          <w:tcPr>
            <w:tcW w:w="0" w:type="auto"/>
            <w:shd w:val="clear" w:color="auto" w:fill="auto"/>
            <w:tcMar>
              <w:top w:w="0" w:type="dxa"/>
              <w:left w:w="0" w:type="dxa"/>
              <w:bottom w:w="0" w:type="dxa"/>
              <w:right w:w="0" w:type="dxa"/>
            </w:tcMar>
            <w:vAlign w:val="center"/>
          </w:tcPr>
          <w:p w14:paraId="68F91602" w14:textId="77777777" w:rsidR="00E07691" w:rsidRPr="00DB4D7C" w:rsidRDefault="00E07691" w:rsidP="00D07853">
            <w:pPr>
              <w:adjustRightInd w:val="0"/>
              <w:snapToGrid w:val="0"/>
              <w:spacing w:line="360" w:lineRule="auto"/>
              <w:contextualSpacing/>
              <w:jc w:val="center"/>
              <w:rPr>
                <w:rFonts w:ascii="Arial" w:eastAsia="Arial" w:hAnsi="Arial" w:cs="Arial"/>
              </w:rPr>
            </w:pPr>
            <w:r>
              <w:rPr>
                <w:rFonts w:ascii="Arial" w:eastAsia="Arial" w:hAnsi="Arial" w:cs="Arial"/>
              </w:rPr>
              <w:t>1.3%</w:t>
            </w:r>
          </w:p>
        </w:tc>
        <w:tc>
          <w:tcPr>
            <w:tcW w:w="2147" w:type="dxa"/>
            <w:shd w:val="clear" w:color="auto" w:fill="auto"/>
            <w:vAlign w:val="center"/>
          </w:tcPr>
          <w:p w14:paraId="36CE37F9" w14:textId="77777777" w:rsidR="00E07691" w:rsidRPr="00DB4D7C" w:rsidRDefault="00E07691" w:rsidP="00D07853">
            <w:pPr>
              <w:adjustRightInd w:val="0"/>
              <w:snapToGrid w:val="0"/>
              <w:spacing w:line="360" w:lineRule="auto"/>
              <w:contextualSpacing/>
              <w:jc w:val="center"/>
              <w:rPr>
                <w:rFonts w:ascii="Arial" w:hAnsi="Arial" w:cs="Arial"/>
                <w:lang w:val="en-US"/>
              </w:rPr>
            </w:pPr>
            <w:r>
              <w:rPr>
                <w:rFonts w:ascii="Arial" w:hAnsi="Arial" w:cs="Arial"/>
                <w:lang w:val="en-US"/>
              </w:rPr>
              <w:t>-1.8% to 4.4%</w:t>
            </w:r>
          </w:p>
        </w:tc>
      </w:tr>
      <w:tr w:rsidR="00E07691" w:rsidRPr="00960D21" w14:paraId="6811FC02" w14:textId="77777777" w:rsidTr="00D07853">
        <w:trPr>
          <w:cantSplit/>
        </w:trPr>
        <w:tc>
          <w:tcPr>
            <w:tcW w:w="0" w:type="auto"/>
            <w:shd w:val="clear" w:color="auto" w:fill="auto"/>
            <w:tcMar>
              <w:top w:w="0" w:type="dxa"/>
              <w:left w:w="0" w:type="dxa"/>
              <w:bottom w:w="0" w:type="dxa"/>
              <w:right w:w="0" w:type="dxa"/>
            </w:tcMar>
            <w:vAlign w:val="center"/>
          </w:tcPr>
          <w:p w14:paraId="3D1A7167" w14:textId="77777777" w:rsidR="00E07691" w:rsidRPr="00117457" w:rsidRDefault="00E07691" w:rsidP="00D07853">
            <w:pPr>
              <w:adjustRightInd w:val="0"/>
              <w:snapToGrid w:val="0"/>
              <w:spacing w:line="360" w:lineRule="auto"/>
              <w:contextualSpacing/>
              <w:rPr>
                <w:rFonts w:ascii="Arial" w:hAnsi="Arial" w:cs="Arial"/>
              </w:rPr>
            </w:pPr>
            <w:r w:rsidRPr="00117457">
              <w:rPr>
                <w:rFonts w:ascii="Arial" w:hAnsi="Arial" w:cs="Arial"/>
              </w:rPr>
              <w:t xml:space="preserve">All </w:t>
            </w:r>
            <w:r w:rsidRPr="00117457">
              <w:rPr>
                <w:rFonts w:ascii="Arial" w:hAnsi="Arial" w:cs="Arial"/>
                <w:lang w:val="en-US"/>
              </w:rPr>
              <w:t>participants</w:t>
            </w:r>
            <w:r w:rsidRPr="00117457">
              <w:rPr>
                <w:rFonts w:ascii="Arial" w:hAnsi="Arial" w:cs="Arial"/>
              </w:rPr>
              <w:t xml:space="preserve"> (N=1972)</w:t>
            </w:r>
          </w:p>
        </w:tc>
        <w:tc>
          <w:tcPr>
            <w:tcW w:w="0" w:type="auto"/>
            <w:shd w:val="clear" w:color="auto" w:fill="auto"/>
            <w:tcMar>
              <w:top w:w="0" w:type="dxa"/>
              <w:left w:w="0" w:type="dxa"/>
              <w:bottom w:w="0" w:type="dxa"/>
              <w:right w:w="0" w:type="dxa"/>
            </w:tcMar>
            <w:vAlign w:val="center"/>
          </w:tcPr>
          <w:p w14:paraId="3A7D5EF3" w14:textId="77777777" w:rsidR="00E07691" w:rsidRPr="00DB4D7C" w:rsidRDefault="00E07691" w:rsidP="00D07853">
            <w:pPr>
              <w:adjustRightInd w:val="0"/>
              <w:snapToGrid w:val="0"/>
              <w:spacing w:line="360" w:lineRule="auto"/>
              <w:contextualSpacing/>
              <w:jc w:val="center"/>
              <w:rPr>
                <w:rFonts w:ascii="Arial" w:eastAsia="Arial" w:hAnsi="Arial" w:cs="Arial"/>
              </w:rPr>
            </w:pPr>
            <w:r>
              <w:rPr>
                <w:rFonts w:ascii="Arial" w:eastAsia="Arial" w:hAnsi="Arial" w:cs="Arial"/>
              </w:rPr>
              <w:t>-0.7%</w:t>
            </w:r>
          </w:p>
        </w:tc>
        <w:tc>
          <w:tcPr>
            <w:tcW w:w="2147" w:type="dxa"/>
            <w:shd w:val="clear" w:color="auto" w:fill="auto"/>
            <w:vAlign w:val="center"/>
          </w:tcPr>
          <w:p w14:paraId="76B064A5" w14:textId="77777777" w:rsidR="00E07691" w:rsidRPr="00DB4D7C" w:rsidRDefault="00E07691" w:rsidP="00D07853">
            <w:pPr>
              <w:adjustRightInd w:val="0"/>
              <w:snapToGrid w:val="0"/>
              <w:spacing w:line="360" w:lineRule="auto"/>
              <w:contextualSpacing/>
              <w:jc w:val="center"/>
              <w:rPr>
                <w:rFonts w:ascii="Arial" w:hAnsi="Arial" w:cs="Arial"/>
                <w:lang w:val="en-US"/>
              </w:rPr>
            </w:pPr>
            <w:r>
              <w:rPr>
                <w:rFonts w:ascii="Arial" w:hAnsi="Arial" w:cs="Arial"/>
                <w:lang w:val="en-US"/>
              </w:rPr>
              <w:t>-2.6% to 1.1%</w:t>
            </w:r>
          </w:p>
        </w:tc>
      </w:tr>
    </w:tbl>
    <w:p w14:paraId="447FE7A9" w14:textId="77777777" w:rsidR="00CD40ED" w:rsidRDefault="00CD40ED" w:rsidP="00E30556">
      <w:pPr>
        <w:adjustRightInd w:val="0"/>
        <w:snapToGrid w:val="0"/>
        <w:spacing w:line="240" w:lineRule="auto"/>
        <w:contextualSpacing/>
        <w:rPr>
          <w:rFonts w:ascii="Arial" w:hAnsi="Arial" w:cs="Arial"/>
        </w:rPr>
      </w:pPr>
    </w:p>
    <w:p w14:paraId="0CAE8AE3" w14:textId="1F12D6DF" w:rsidR="00E07691" w:rsidRDefault="00E07691" w:rsidP="00E30556">
      <w:pPr>
        <w:adjustRightInd w:val="0"/>
        <w:snapToGrid w:val="0"/>
        <w:spacing w:line="240" w:lineRule="auto"/>
        <w:contextualSpacing/>
        <w:rPr>
          <w:rFonts w:ascii="Arial" w:hAnsi="Arial" w:cs="Arial"/>
        </w:rPr>
      </w:pPr>
    </w:p>
    <w:p w14:paraId="30C9E987" w14:textId="77777777" w:rsidR="00E07691" w:rsidRPr="008967E7" w:rsidRDefault="00E07691" w:rsidP="00E30556">
      <w:pPr>
        <w:adjustRightInd w:val="0"/>
        <w:snapToGrid w:val="0"/>
        <w:spacing w:line="240" w:lineRule="auto"/>
        <w:contextualSpacing/>
        <w:rPr>
          <w:rFonts w:ascii="Arial" w:hAnsi="Arial" w:cs="Arial"/>
        </w:rPr>
      </w:pPr>
    </w:p>
    <w:p w14:paraId="6E5ECAE4" w14:textId="77777777" w:rsidR="00E268AF" w:rsidRDefault="00A44748">
      <w:pPr>
        <w:rPr>
          <w:rFonts w:ascii="Arial" w:hAnsi="Arial" w:cs="Arial"/>
          <w:sz w:val="24"/>
          <w:szCs w:val="24"/>
          <w:u w:val="single"/>
        </w:rPr>
        <w:sectPr w:rsidR="00E268AF" w:rsidSect="008967E7">
          <w:pgSz w:w="11906" w:h="16838"/>
          <w:pgMar w:top="1134" w:right="1134" w:bottom="1134" w:left="1134" w:header="709" w:footer="709" w:gutter="0"/>
          <w:cols w:space="708"/>
          <w:docGrid w:linePitch="360"/>
        </w:sectPr>
      </w:pPr>
      <w:r>
        <w:rPr>
          <w:rFonts w:ascii="Arial" w:hAnsi="Arial" w:cs="Arial"/>
          <w:sz w:val="24"/>
          <w:szCs w:val="24"/>
          <w:u w:val="single"/>
        </w:rPr>
        <w:br w:type="page"/>
      </w:r>
    </w:p>
    <w:p w14:paraId="3DB9F90B" w14:textId="7CCDE8B2" w:rsidR="00A44748" w:rsidRDefault="00A44748">
      <w:pPr>
        <w:rPr>
          <w:rFonts w:ascii="Arial" w:eastAsiaTheme="majorEastAsia" w:hAnsi="Arial" w:cs="Arial"/>
          <w:color w:val="2F5496" w:themeColor="accent1" w:themeShade="BF"/>
          <w:sz w:val="24"/>
          <w:szCs w:val="24"/>
          <w:u w:val="single"/>
        </w:rPr>
      </w:pPr>
    </w:p>
    <w:p w14:paraId="5E560A16" w14:textId="77777777" w:rsidR="003532D0" w:rsidRPr="003532D0" w:rsidRDefault="003532D0" w:rsidP="003532D0">
      <w:pPr>
        <w:keepNext/>
        <w:spacing w:before="240" w:after="60" w:line="240" w:lineRule="auto"/>
        <w:contextualSpacing/>
        <w:outlineLvl w:val="0"/>
        <w:rPr>
          <w:rFonts w:ascii="Arial" w:eastAsia="Times New Roman" w:hAnsi="Arial" w:cs="Arial"/>
          <w:b/>
          <w:kern w:val="32"/>
          <w:sz w:val="32"/>
          <w:szCs w:val="32"/>
        </w:rPr>
      </w:pPr>
      <w:bookmarkStart w:id="29" w:name="_Toc121909736"/>
      <w:r w:rsidRPr="003532D0">
        <w:rPr>
          <w:rFonts w:ascii="Arial" w:eastAsia="Times New Roman" w:hAnsi="Arial" w:cs="Arial"/>
          <w:b/>
          <w:kern w:val="32"/>
          <w:sz w:val="32"/>
          <w:szCs w:val="32"/>
        </w:rPr>
        <w:t>PROTOCOL TITLE:</w:t>
      </w:r>
      <w:bookmarkEnd w:id="29"/>
    </w:p>
    <w:p w14:paraId="25CDE880"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675D4FA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 randomized controlled clinical trial to determine if a combined screening  /treatment programme can prevent premature failure of renal transplants due to chronic rejection in patients with HLA antibodies.</w:t>
      </w:r>
    </w:p>
    <w:p w14:paraId="01C60C72"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25D8232B"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Short Title – ‘Optimized TacrolimuS and MMF for HLA Antibodies after Renal Transplantation:’ – “OuTSMART”</w:t>
      </w:r>
    </w:p>
    <w:p w14:paraId="6FC9F379"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30" w:name="_Toc248735399"/>
      <w:bookmarkStart w:id="31" w:name="_Toc121909737"/>
      <w:r w:rsidRPr="003532D0">
        <w:rPr>
          <w:rFonts w:ascii="Arial" w:eastAsia="Times New Roman" w:hAnsi="Arial" w:cs="Arial"/>
          <w:b/>
          <w:sz w:val="26"/>
          <w:szCs w:val="26"/>
        </w:rPr>
        <w:t>Trial Identifiers</w:t>
      </w:r>
      <w:bookmarkEnd w:id="30"/>
      <w:bookmarkEnd w:id="31"/>
      <w:r w:rsidRPr="003532D0">
        <w:rPr>
          <w:rFonts w:ascii="Arial" w:eastAsia="Times New Roman" w:hAnsi="Arial" w:cs="Arial"/>
          <w:b/>
          <w:sz w:val="26"/>
          <w:szCs w:val="26"/>
        </w:rPr>
        <w:t xml:space="preserve"> </w:t>
      </w:r>
    </w:p>
    <w:p w14:paraId="318E6B6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EudraCT Number – </w:t>
      </w:r>
      <w:r w:rsidRPr="003532D0">
        <w:rPr>
          <w:rFonts w:ascii="Arial" w:eastAsia="Times New Roman" w:hAnsi="Arial" w:cs="Arial"/>
          <w:bCs/>
          <w:sz w:val="20"/>
          <w:szCs w:val="20"/>
          <w:lang w:val="en-US"/>
        </w:rPr>
        <w:t>2012-004308-36</w:t>
      </w:r>
    </w:p>
    <w:p w14:paraId="3FBB57C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ISRCTN – </w:t>
      </w:r>
      <w:r w:rsidRPr="003532D0">
        <w:rPr>
          <w:rFonts w:ascii="Arial" w:eastAsia="Times New Roman" w:hAnsi="Arial" w:cs="Arial"/>
          <w:bCs/>
          <w:sz w:val="20"/>
          <w:szCs w:val="20"/>
          <w:lang w:val="en-US"/>
        </w:rPr>
        <w:t>46157828</w:t>
      </w:r>
    </w:p>
    <w:p w14:paraId="1122ABA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REC Number – 12/L0/1759</w:t>
      </w:r>
    </w:p>
    <w:p w14:paraId="7A20215F"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3DAD3572"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32" w:name="_Toc248735400"/>
      <w:bookmarkStart w:id="33" w:name="_Toc121909738"/>
      <w:r w:rsidRPr="003532D0">
        <w:rPr>
          <w:rFonts w:ascii="Arial" w:eastAsia="Times New Roman" w:hAnsi="Arial" w:cs="Arial"/>
          <w:b/>
          <w:sz w:val="26"/>
          <w:szCs w:val="26"/>
        </w:rPr>
        <w:t>Sponsor</w:t>
      </w:r>
      <w:bookmarkEnd w:id="32"/>
      <w:bookmarkEnd w:id="33"/>
    </w:p>
    <w:p w14:paraId="38E81AA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Name: Amy Holton, King’s College London and Guy’s and St Thomas’ NHS Foundation Trust.</w:t>
      </w:r>
    </w:p>
    <w:p w14:paraId="3B54248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Address: King’s Health Partners Clinical Trials Office, Guy’s Hospital, Great Maze Pond, London SE1 9RT</w:t>
      </w:r>
    </w:p>
    <w:p w14:paraId="260A4C66"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Telephone: 020 7188 5732</w:t>
      </w:r>
    </w:p>
    <w:p w14:paraId="7421BA7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Fax: 020 7188 8330</w:t>
      </w:r>
    </w:p>
    <w:p w14:paraId="4CFB907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Email: amy.holton@kcl.ac.uk</w:t>
      </w:r>
    </w:p>
    <w:p w14:paraId="69E31833"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482441FB" w14:textId="77777777" w:rsidR="003532D0" w:rsidRPr="003532D0" w:rsidRDefault="003532D0" w:rsidP="003532D0">
      <w:pPr>
        <w:keepNext/>
        <w:spacing w:before="240" w:after="60" w:line="240" w:lineRule="auto"/>
        <w:contextualSpacing/>
        <w:outlineLvl w:val="2"/>
        <w:rPr>
          <w:rFonts w:ascii="Arial" w:eastAsia="Times New Roman" w:hAnsi="Arial" w:cs="Arial"/>
          <w:b/>
          <w:bCs/>
          <w:color w:val="339966"/>
          <w:sz w:val="26"/>
          <w:szCs w:val="26"/>
        </w:rPr>
      </w:pPr>
      <w:bookmarkStart w:id="34" w:name="_Toc248735401"/>
      <w:bookmarkStart w:id="35" w:name="_Toc121909739"/>
      <w:r w:rsidRPr="003532D0">
        <w:rPr>
          <w:rFonts w:ascii="Arial" w:eastAsia="Times New Roman" w:hAnsi="Arial" w:cs="Arial"/>
          <w:b/>
          <w:sz w:val="26"/>
          <w:szCs w:val="26"/>
        </w:rPr>
        <w:t>Chief Investigator</w:t>
      </w:r>
      <w:bookmarkEnd w:id="34"/>
      <w:bookmarkEnd w:id="35"/>
      <w:r w:rsidRPr="003532D0">
        <w:rPr>
          <w:rFonts w:ascii="Arial" w:eastAsia="Times New Roman" w:hAnsi="Arial" w:cs="Arial"/>
          <w:b/>
          <w:sz w:val="26"/>
          <w:szCs w:val="26"/>
        </w:rPr>
        <w:t xml:space="preserve"> </w:t>
      </w:r>
    </w:p>
    <w:p w14:paraId="320411C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Name: Professor Anthony Dorling</w:t>
      </w:r>
    </w:p>
    <w:p w14:paraId="612ABFBB"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Address: MRC Centre for Transplantation, King’s College London, Guy’s Hospital, Great Maze Pond, London, SE1 9RT</w:t>
      </w:r>
    </w:p>
    <w:p w14:paraId="400A4AD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Telephone: 020 7188 5880</w:t>
      </w:r>
    </w:p>
    <w:p w14:paraId="65E6E9A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Fax: 020 7188 5660</w:t>
      </w:r>
    </w:p>
    <w:p w14:paraId="669DD486"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Email: anthony.dorling@kcl.ac.uk</w:t>
      </w:r>
    </w:p>
    <w:p w14:paraId="4FEF0F5E"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212D5833" w14:textId="77777777" w:rsidR="003532D0" w:rsidRPr="003532D0" w:rsidRDefault="003532D0" w:rsidP="003532D0">
      <w:pPr>
        <w:keepNext/>
        <w:spacing w:before="240" w:after="60" w:line="240" w:lineRule="auto"/>
        <w:contextualSpacing/>
        <w:outlineLvl w:val="2"/>
        <w:rPr>
          <w:rFonts w:ascii="Arial" w:eastAsia="Times New Roman" w:hAnsi="Arial" w:cs="Arial"/>
          <w:b/>
          <w:color w:val="008000"/>
          <w:sz w:val="26"/>
          <w:szCs w:val="26"/>
        </w:rPr>
      </w:pPr>
      <w:bookmarkStart w:id="36" w:name="_Toc248735402"/>
      <w:bookmarkStart w:id="37" w:name="_Toc121909740"/>
      <w:r w:rsidRPr="003532D0">
        <w:rPr>
          <w:rFonts w:ascii="Arial" w:eastAsia="Times New Roman" w:hAnsi="Arial" w:cs="Arial"/>
          <w:b/>
          <w:sz w:val="26"/>
          <w:szCs w:val="26"/>
        </w:rPr>
        <w:t>Name and address of Co-Investigator(s), Statistician, Laboratories etc</w:t>
      </w:r>
      <w:bookmarkEnd w:id="36"/>
      <w:bookmarkEnd w:id="37"/>
    </w:p>
    <w:p w14:paraId="639D6834"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28B37E4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Name: Dr Rachel Hilton</w:t>
      </w:r>
    </w:p>
    <w:p w14:paraId="08FFB55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Address: Dept of Nephrology and Transplantation, Guy’s Hospital, Great Maze Pond, London SE1 9RT</w:t>
      </w:r>
    </w:p>
    <w:p w14:paraId="54DCC51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Telephone: 020 7188 5691</w:t>
      </w:r>
    </w:p>
    <w:p w14:paraId="3482C2B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Fax: 020 7188 5646</w:t>
      </w:r>
    </w:p>
    <w:p w14:paraId="17742CB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Email: Rachel.Hilton@gstt.nhs.uk</w:t>
      </w:r>
    </w:p>
    <w:p w14:paraId="5EE41A3B"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6FCF3AA6"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Name: Mr Dominic Stringer</w:t>
      </w:r>
    </w:p>
    <w:p w14:paraId="7C09DDC0"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Address: Biostatistics Department, Institute of Psychiatry, Psychology and Neuroscience, Kings College London, London, SE5 8AF</w:t>
      </w:r>
    </w:p>
    <w:p w14:paraId="218CFAE0"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Telephone: 020 7848 0323</w:t>
      </w:r>
    </w:p>
    <w:p w14:paraId="38811B0C"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Email: dominic.stringer@kcl.ac.uk</w:t>
      </w:r>
    </w:p>
    <w:p w14:paraId="4BF773A0"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6F1B99E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Name: Professor Janet Peacock</w:t>
      </w:r>
    </w:p>
    <w:p w14:paraId="10EC893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Address: King’s College London, Guy’s Hospital, London SE1 9RT</w:t>
      </w:r>
    </w:p>
    <w:p w14:paraId="5D58C956"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Telephone: 020 7848 6651</w:t>
      </w:r>
    </w:p>
    <w:p w14:paraId="3230D796"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Fax: </w:t>
      </w:r>
    </w:p>
    <w:p w14:paraId="16CB6C30"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Email: janet.peacock@kcl.ac.uk</w:t>
      </w:r>
    </w:p>
    <w:p w14:paraId="150226FC"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0E9E5835"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Name: Dr Caroline Murphy</w:t>
      </w:r>
    </w:p>
    <w:p w14:paraId="6BAAA7B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Address: Clinical Trials Unit, King’s College London, PO64, M2.06, Institute of Psychiatry</w:t>
      </w:r>
    </w:p>
    <w:p w14:paraId="0CF2109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Telephone:020 7848 5273</w:t>
      </w:r>
    </w:p>
    <w:p w14:paraId="3D7378B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Fax: 020 7848 5229</w:t>
      </w:r>
    </w:p>
    <w:p w14:paraId="11EA50EF"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lastRenderedPageBreak/>
        <w:t>Email: caroline.murphy@kcl.ac.uk</w:t>
      </w:r>
    </w:p>
    <w:p w14:paraId="652F957F"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6D871D9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Name: Dr Olivia Shaw</w:t>
      </w:r>
    </w:p>
    <w:p w14:paraId="7386749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Address: Clinical Transplantation Laboratory, 3</w:t>
      </w:r>
      <w:r w:rsidRPr="003532D0">
        <w:rPr>
          <w:rFonts w:ascii="Arial" w:eastAsia="Times New Roman" w:hAnsi="Arial" w:cs="Arial"/>
          <w:bCs/>
          <w:sz w:val="20"/>
          <w:szCs w:val="20"/>
          <w:vertAlign w:val="superscript"/>
        </w:rPr>
        <w:t>rd</w:t>
      </w:r>
      <w:r w:rsidRPr="003532D0">
        <w:rPr>
          <w:rFonts w:ascii="Arial" w:eastAsia="Times New Roman" w:hAnsi="Arial" w:cs="Arial"/>
          <w:bCs/>
          <w:sz w:val="20"/>
          <w:szCs w:val="20"/>
        </w:rPr>
        <w:t xml:space="preserve"> Floor Borough Wing, Guy’s Hospital, GSTT Foundation Trust, </w:t>
      </w:r>
    </w:p>
    <w:p w14:paraId="08334C6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Telephone: 020 7188 1531</w:t>
      </w:r>
    </w:p>
    <w:p w14:paraId="3307B26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Fax: 020 7407 6370</w:t>
      </w:r>
    </w:p>
    <w:p w14:paraId="4954448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Email: Olivia.Shaw@viapath.co.uk</w:t>
      </w:r>
    </w:p>
    <w:p w14:paraId="40D6D055"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0C03111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Name: Dr Richard Baker</w:t>
      </w:r>
    </w:p>
    <w:p w14:paraId="6CB277E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Address: Renal Unit, St James’s University Hospital, Beckett Street, Leeds, LS9 7TF</w:t>
      </w:r>
    </w:p>
    <w:p w14:paraId="15AE40F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Telephone: 0113 2066869</w:t>
      </w:r>
    </w:p>
    <w:p w14:paraId="58FE329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Fax: 0113 2066216</w:t>
      </w:r>
    </w:p>
    <w:p w14:paraId="2AE7D14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Email: Richard.Baker@leedsth.nhs.uk</w:t>
      </w:r>
    </w:p>
    <w:p w14:paraId="1A546564"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32C2639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Name: Dr Brendan Clarke, </w:t>
      </w:r>
    </w:p>
    <w:p w14:paraId="6672EBB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Address: Transplant Immunology, Level 09 Gledhow Wing, St James's University Hospital, Beckett Street</w:t>
      </w:r>
      <w:r w:rsidRPr="003532D0">
        <w:rPr>
          <w:rFonts w:ascii="Arial" w:eastAsia="Times New Roman" w:hAnsi="Arial" w:cs="Arial"/>
          <w:bCs/>
          <w:iCs/>
          <w:sz w:val="20"/>
          <w:szCs w:val="20"/>
        </w:rPr>
        <w:t>, Leeds</w:t>
      </w:r>
      <w:r w:rsidRPr="003532D0">
        <w:rPr>
          <w:rFonts w:ascii="Arial" w:eastAsia="Times New Roman" w:hAnsi="Arial" w:cs="Arial"/>
          <w:bCs/>
          <w:sz w:val="20"/>
          <w:szCs w:val="20"/>
        </w:rPr>
        <w:t xml:space="preserve"> LS9 7TF</w:t>
      </w:r>
    </w:p>
    <w:p w14:paraId="61C9F29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Telephone: (0113) 2064579</w:t>
      </w:r>
    </w:p>
    <w:p w14:paraId="1B6BA72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Fax:</w:t>
      </w:r>
    </w:p>
    <w:p w14:paraId="0BF7598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Email: Brendan.Clarke@leedsth.nhs.uk</w:t>
      </w:r>
    </w:p>
    <w:p w14:paraId="2B328741"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4C7BA21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Name: Dr Raj Thuraisingham</w:t>
      </w:r>
    </w:p>
    <w:p w14:paraId="3E05AE76"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Address: Renal Unit, The Royal London Hospital, London E1 1BB</w:t>
      </w:r>
    </w:p>
    <w:p w14:paraId="7B02AC7F"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Telephone: 020 7377 7236</w:t>
      </w:r>
    </w:p>
    <w:p w14:paraId="30A076D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Fax: 020 7377 7003</w:t>
      </w:r>
    </w:p>
    <w:p w14:paraId="16FC66A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Email: r.c.thuraising@qmul.ac.uk</w:t>
      </w:r>
    </w:p>
    <w:p w14:paraId="6BFA1BBB"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7506CEB0"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Name: Dr Matthew Buckland</w:t>
      </w:r>
    </w:p>
    <w:p w14:paraId="21343C96"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Address: Clinical Transplantation Laboratory, 2nd floor, Pathology &amp; Pharmacy Building, 80 Newark Street, The Royal London Hospital, London E1 1BB</w:t>
      </w:r>
    </w:p>
    <w:p w14:paraId="6C0509B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Telephone: 020 3246 0264</w:t>
      </w:r>
    </w:p>
    <w:p w14:paraId="1852159C"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Fax:</w:t>
      </w:r>
    </w:p>
    <w:p w14:paraId="2013C5A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Email:</w:t>
      </w:r>
      <w:r w:rsidRPr="003532D0">
        <w:rPr>
          <w:rFonts w:ascii="Arial" w:eastAsia="Times New Roman" w:hAnsi="Arial" w:cs="Arial"/>
          <w:bCs/>
          <w:sz w:val="24"/>
          <w:szCs w:val="24"/>
        </w:rPr>
        <w:t xml:space="preserve"> </w:t>
      </w:r>
      <w:r w:rsidRPr="003532D0">
        <w:rPr>
          <w:rFonts w:ascii="Arial" w:eastAsia="Times New Roman" w:hAnsi="Arial" w:cs="Arial"/>
          <w:bCs/>
          <w:sz w:val="20"/>
          <w:szCs w:val="20"/>
        </w:rPr>
        <w:t>Matthew.Buckland@bartshealth.nhs.uk</w:t>
      </w:r>
    </w:p>
    <w:p w14:paraId="3191A807"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3BE7D5A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Name: Dr Michael Picton</w:t>
      </w:r>
    </w:p>
    <w:p w14:paraId="47FC61F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Address: Dept of Renal Medicine, Manchester Royal Infirmary, Oxford Road, Manchester, M13 9WL</w:t>
      </w:r>
    </w:p>
    <w:p w14:paraId="384691E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Telephone: 0161 276 4253</w:t>
      </w:r>
    </w:p>
    <w:p w14:paraId="0658109B"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Fax:</w:t>
      </w:r>
    </w:p>
    <w:p w14:paraId="7B81BAEF"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Email: Michael.Picton@cmft.nhs.uk</w:t>
      </w:r>
    </w:p>
    <w:p w14:paraId="3AED5E9B"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3F533CD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Name: Dr Declan deFreitas</w:t>
      </w:r>
    </w:p>
    <w:p w14:paraId="775210D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Address: Dept of Renal Medicine, Manchester Royal Infirmary, Oxford Road, Manchester, M13 9WL</w:t>
      </w:r>
    </w:p>
    <w:p w14:paraId="225C26C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Telephone: 0161 276 7902</w:t>
      </w:r>
    </w:p>
    <w:p w14:paraId="444855B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Fax:</w:t>
      </w:r>
    </w:p>
    <w:p w14:paraId="260D3AE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Email: Declan.deFreitas@cmft.nhs.uk</w:t>
      </w:r>
    </w:p>
    <w:p w14:paraId="649884B4"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4A27EBB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Name: Dr Judith Worthington</w:t>
      </w:r>
    </w:p>
    <w:p w14:paraId="788AD51F"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Address: Transplantation Laboratory, Manchester Royal Infirmary, Oxford Road, Manchester, M13 9WL</w:t>
      </w:r>
    </w:p>
    <w:p w14:paraId="011EF9F5"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Telephone: 0161 276 7988</w:t>
      </w:r>
    </w:p>
    <w:p w14:paraId="1C67CA8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Fax: 0161 276 6148</w:t>
      </w:r>
    </w:p>
    <w:p w14:paraId="54D0679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Email: Judith.Worthington@cmft.nhs.uk</w:t>
      </w:r>
    </w:p>
    <w:p w14:paraId="5A220D90"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676F346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Name: Dr Richard Borrows</w:t>
      </w:r>
    </w:p>
    <w:p w14:paraId="303A9DF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Address: Renal Unit, University Hospital Birmingham, Edgbaston, Birmingham, B15 2LN</w:t>
      </w:r>
    </w:p>
    <w:p w14:paraId="53CA4C2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Telephone: </w:t>
      </w:r>
      <w:r w:rsidRPr="003532D0">
        <w:rPr>
          <w:rFonts w:ascii="Arial" w:eastAsia="Times New Roman" w:hAnsi="Arial" w:cs="Arial"/>
          <w:bCs/>
          <w:iCs/>
          <w:sz w:val="20"/>
          <w:szCs w:val="20"/>
        </w:rPr>
        <w:t>0121 627 2528</w:t>
      </w:r>
    </w:p>
    <w:p w14:paraId="12D7EB4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Fax:</w:t>
      </w:r>
    </w:p>
    <w:p w14:paraId="0068DEDB"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lastRenderedPageBreak/>
        <w:t>Email: Richard.Borrows@uhb.nhs.uk</w:t>
      </w:r>
    </w:p>
    <w:p w14:paraId="523A1A8D"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1A196666"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Name: Dr David Briggs</w:t>
      </w:r>
    </w:p>
    <w:p w14:paraId="5B7A0A6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Address: NHSBT Birmingham, Vincent Drive, Edgbaston, Birmingham B15 2SG.</w:t>
      </w:r>
    </w:p>
    <w:p w14:paraId="73ED1555"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Telephone: 0121 278 4099</w:t>
      </w:r>
    </w:p>
    <w:p w14:paraId="695865DF"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Fax:</w:t>
      </w:r>
    </w:p>
    <w:p w14:paraId="7F490FEC"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Email: David.Briggs@nhsbt.nhs.uk</w:t>
      </w:r>
    </w:p>
    <w:p w14:paraId="30F4D0DD"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3AFD7924"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38" w:name="_Toc248735403"/>
      <w:bookmarkStart w:id="39" w:name="_Toc121909741"/>
      <w:r w:rsidRPr="003532D0">
        <w:rPr>
          <w:rFonts w:ascii="Arial" w:eastAsia="Times New Roman" w:hAnsi="Arial" w:cs="Arial"/>
          <w:b/>
          <w:sz w:val="26"/>
          <w:szCs w:val="26"/>
        </w:rPr>
        <w:t>Study Synopsis</w:t>
      </w:r>
      <w:bookmarkEnd w:id="38"/>
      <w:bookmarkEnd w:id="39"/>
    </w:p>
    <w:p w14:paraId="291D1F2A" w14:textId="77777777" w:rsidR="003532D0" w:rsidRPr="003532D0" w:rsidRDefault="003532D0" w:rsidP="003532D0">
      <w:pPr>
        <w:spacing w:before="120" w:after="120" w:line="240" w:lineRule="auto"/>
        <w:contextualSpacing/>
        <w:rPr>
          <w:rFonts w:ascii="Arial" w:eastAsia="Times New Roman" w:hAnsi="Arial" w:cs="Arial"/>
          <w:bCs/>
          <w:sz w:val="20"/>
          <w:szCs w:val="20"/>
        </w:rPr>
      </w:pP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552"/>
        <w:gridCol w:w="5245"/>
      </w:tblGrid>
      <w:tr w:rsidR="003532D0" w:rsidRPr="003532D0" w14:paraId="316D0F06" w14:textId="77777777" w:rsidTr="004E4AE4">
        <w:tc>
          <w:tcPr>
            <w:tcW w:w="2552" w:type="dxa"/>
            <w:tcBorders>
              <w:right w:val="single" w:sz="4" w:space="0" w:color="auto"/>
            </w:tcBorders>
          </w:tcPr>
          <w:p w14:paraId="5D4153DD"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t>Title of clinical trial</w:t>
            </w:r>
          </w:p>
        </w:tc>
        <w:tc>
          <w:tcPr>
            <w:tcW w:w="5245" w:type="dxa"/>
            <w:tcBorders>
              <w:left w:val="nil"/>
              <w:bottom w:val="single" w:sz="4" w:space="0" w:color="auto"/>
            </w:tcBorders>
          </w:tcPr>
          <w:p w14:paraId="2E3B3BAC"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A randomized controlled clinical trial to determine if a combined screening  /treatment programme can prevent premature failure of renal transplants due to chronic rejection in patients with HLA antibodies.</w:t>
            </w:r>
          </w:p>
        </w:tc>
      </w:tr>
      <w:tr w:rsidR="003532D0" w:rsidRPr="003532D0" w14:paraId="797F1F68" w14:textId="77777777" w:rsidTr="004E4AE4">
        <w:tc>
          <w:tcPr>
            <w:tcW w:w="2552" w:type="dxa"/>
            <w:tcBorders>
              <w:right w:val="single" w:sz="4" w:space="0" w:color="auto"/>
            </w:tcBorders>
          </w:tcPr>
          <w:p w14:paraId="3FE63558"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t>Protocol Short Title/Acronym</w:t>
            </w:r>
          </w:p>
        </w:tc>
        <w:tc>
          <w:tcPr>
            <w:tcW w:w="5245" w:type="dxa"/>
            <w:tcBorders>
              <w:left w:val="nil"/>
              <w:bottom w:val="single" w:sz="4" w:space="0" w:color="auto"/>
            </w:tcBorders>
          </w:tcPr>
          <w:p w14:paraId="7D99347A"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Optimized TacrolimuS and MMF for HLA Antibodies after Renal Transplantation /OuTSMART</w:t>
            </w:r>
          </w:p>
        </w:tc>
      </w:tr>
      <w:tr w:rsidR="003532D0" w:rsidRPr="003532D0" w14:paraId="49BBD69B" w14:textId="77777777" w:rsidTr="004E4AE4">
        <w:tc>
          <w:tcPr>
            <w:tcW w:w="2552" w:type="dxa"/>
            <w:tcBorders>
              <w:right w:val="single" w:sz="4" w:space="0" w:color="auto"/>
            </w:tcBorders>
          </w:tcPr>
          <w:p w14:paraId="1CE4D8FC"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t>Study Phase if not mentioned in title</w:t>
            </w:r>
          </w:p>
        </w:tc>
        <w:tc>
          <w:tcPr>
            <w:tcW w:w="5245" w:type="dxa"/>
            <w:tcBorders>
              <w:left w:val="nil"/>
              <w:bottom w:val="single" w:sz="4" w:space="0" w:color="auto"/>
            </w:tcBorders>
          </w:tcPr>
          <w:p w14:paraId="12650D4C"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Phase IV</w:t>
            </w:r>
          </w:p>
        </w:tc>
      </w:tr>
      <w:tr w:rsidR="003532D0" w:rsidRPr="003532D0" w14:paraId="2A7ABDAC" w14:textId="77777777" w:rsidTr="004E4AE4">
        <w:tc>
          <w:tcPr>
            <w:tcW w:w="2552" w:type="dxa"/>
            <w:tcBorders>
              <w:right w:val="single" w:sz="4" w:space="0" w:color="auto"/>
            </w:tcBorders>
          </w:tcPr>
          <w:p w14:paraId="4624C26A"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t>Sponsor name</w:t>
            </w:r>
          </w:p>
        </w:tc>
        <w:tc>
          <w:tcPr>
            <w:tcW w:w="5245" w:type="dxa"/>
            <w:tcBorders>
              <w:top w:val="single" w:sz="4" w:space="0" w:color="auto"/>
              <w:left w:val="nil"/>
              <w:bottom w:val="single" w:sz="4" w:space="0" w:color="auto"/>
            </w:tcBorders>
          </w:tcPr>
          <w:p w14:paraId="0B4328A3"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King’s College London / GST NHS Foundation Trust</w:t>
            </w:r>
          </w:p>
        </w:tc>
      </w:tr>
      <w:tr w:rsidR="003532D0" w:rsidRPr="003532D0" w14:paraId="6FB787D4" w14:textId="77777777" w:rsidTr="004E4AE4">
        <w:tc>
          <w:tcPr>
            <w:tcW w:w="2552" w:type="dxa"/>
            <w:tcBorders>
              <w:right w:val="single" w:sz="4" w:space="0" w:color="auto"/>
            </w:tcBorders>
          </w:tcPr>
          <w:p w14:paraId="41CB3BC3"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t>Chief Investigator</w:t>
            </w:r>
          </w:p>
        </w:tc>
        <w:tc>
          <w:tcPr>
            <w:tcW w:w="5245" w:type="dxa"/>
            <w:tcBorders>
              <w:top w:val="single" w:sz="4" w:space="0" w:color="auto"/>
              <w:left w:val="nil"/>
              <w:bottom w:val="single" w:sz="4" w:space="0" w:color="auto"/>
            </w:tcBorders>
          </w:tcPr>
          <w:p w14:paraId="2CC07E3C"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Prof. Anthony Dorling</w:t>
            </w:r>
          </w:p>
        </w:tc>
      </w:tr>
      <w:tr w:rsidR="003532D0" w:rsidRPr="003532D0" w14:paraId="49875CB9" w14:textId="77777777" w:rsidTr="004E4AE4">
        <w:tc>
          <w:tcPr>
            <w:tcW w:w="2552" w:type="dxa"/>
            <w:tcBorders>
              <w:right w:val="single" w:sz="4" w:space="0" w:color="auto"/>
            </w:tcBorders>
          </w:tcPr>
          <w:p w14:paraId="6EE2CD85"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t>Eudract number</w:t>
            </w:r>
          </w:p>
        </w:tc>
        <w:tc>
          <w:tcPr>
            <w:tcW w:w="5245" w:type="dxa"/>
            <w:tcBorders>
              <w:top w:val="single" w:sz="4" w:space="0" w:color="auto"/>
              <w:left w:val="nil"/>
              <w:bottom w:val="single" w:sz="4" w:space="0" w:color="auto"/>
            </w:tcBorders>
          </w:tcPr>
          <w:p w14:paraId="0DF34AC0"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lang w:val="en-US"/>
              </w:rPr>
              <w:t>2012-004308-36</w:t>
            </w:r>
          </w:p>
        </w:tc>
      </w:tr>
      <w:tr w:rsidR="003532D0" w:rsidRPr="003532D0" w14:paraId="2FDB97CA" w14:textId="77777777" w:rsidTr="004E4AE4">
        <w:tc>
          <w:tcPr>
            <w:tcW w:w="2552" w:type="dxa"/>
            <w:tcBorders>
              <w:right w:val="single" w:sz="4" w:space="0" w:color="auto"/>
            </w:tcBorders>
          </w:tcPr>
          <w:p w14:paraId="68FD0F27"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t>REC number</w:t>
            </w:r>
          </w:p>
        </w:tc>
        <w:tc>
          <w:tcPr>
            <w:tcW w:w="5245" w:type="dxa"/>
            <w:tcBorders>
              <w:top w:val="single" w:sz="4" w:space="0" w:color="auto"/>
              <w:left w:val="nil"/>
              <w:bottom w:val="single" w:sz="4" w:space="0" w:color="auto"/>
            </w:tcBorders>
          </w:tcPr>
          <w:p w14:paraId="4F3B453A"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12/LO/1759:</w:t>
            </w:r>
          </w:p>
        </w:tc>
      </w:tr>
      <w:tr w:rsidR="003532D0" w:rsidRPr="003532D0" w14:paraId="0EEB1401" w14:textId="77777777" w:rsidTr="004E4AE4">
        <w:tc>
          <w:tcPr>
            <w:tcW w:w="2552" w:type="dxa"/>
            <w:tcBorders>
              <w:right w:val="single" w:sz="4" w:space="0" w:color="auto"/>
            </w:tcBorders>
          </w:tcPr>
          <w:p w14:paraId="165AF26F"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t>Medical condition or disease under investigation</w:t>
            </w:r>
          </w:p>
        </w:tc>
        <w:tc>
          <w:tcPr>
            <w:tcW w:w="5245" w:type="dxa"/>
            <w:tcBorders>
              <w:top w:val="single" w:sz="4" w:space="0" w:color="auto"/>
              <w:left w:val="nil"/>
              <w:bottom w:val="single" w:sz="4" w:space="0" w:color="auto"/>
            </w:tcBorders>
          </w:tcPr>
          <w:p w14:paraId="3A133BD4"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Premature allograft failure / Chronic rejection</w:t>
            </w:r>
          </w:p>
        </w:tc>
      </w:tr>
      <w:tr w:rsidR="003532D0" w:rsidRPr="003532D0" w14:paraId="3135979F" w14:textId="77777777" w:rsidTr="004E4AE4">
        <w:tc>
          <w:tcPr>
            <w:tcW w:w="2552" w:type="dxa"/>
            <w:tcBorders>
              <w:right w:val="single" w:sz="4" w:space="0" w:color="auto"/>
            </w:tcBorders>
          </w:tcPr>
          <w:p w14:paraId="6B6B11A0"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t>Purpose of clinical trial</w:t>
            </w:r>
          </w:p>
          <w:p w14:paraId="059007DC"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p>
        </w:tc>
        <w:tc>
          <w:tcPr>
            <w:tcW w:w="5245" w:type="dxa"/>
            <w:tcBorders>
              <w:top w:val="single" w:sz="4" w:space="0" w:color="auto"/>
              <w:left w:val="nil"/>
              <w:bottom w:val="single" w:sz="4" w:space="0" w:color="auto"/>
            </w:tcBorders>
          </w:tcPr>
          <w:p w14:paraId="018A4995" w14:textId="77777777" w:rsidR="003532D0" w:rsidRPr="003532D0" w:rsidRDefault="003532D0" w:rsidP="003532D0">
            <w:pPr>
              <w:tabs>
                <w:tab w:val="center" w:pos="4153"/>
                <w:tab w:val="right" w:pos="8306"/>
              </w:tabs>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The overall objective is to test whether a structured screening programme to identify patients with a validated prognostic biomarker for kidney transplant failure, allied with an optimized immunosuppression treatment protocol, can reduce the time to graft failure at the primary endpoint (approximately</w:t>
            </w:r>
            <w:r w:rsidRPr="003532D0" w:rsidDel="007B036B">
              <w:rPr>
                <w:rFonts w:ascii="Arial" w:eastAsia="Times New Roman" w:hAnsi="Arial" w:cs="Arial"/>
                <w:b/>
                <w:bCs/>
                <w:sz w:val="20"/>
                <w:szCs w:val="20"/>
              </w:rPr>
              <w:t xml:space="preserve"> </w:t>
            </w:r>
            <w:r w:rsidRPr="003532D0">
              <w:rPr>
                <w:rFonts w:ascii="Arial" w:eastAsia="Times New Roman" w:hAnsi="Arial" w:cs="Arial"/>
                <w:b/>
                <w:bCs/>
                <w:sz w:val="20"/>
                <w:szCs w:val="20"/>
              </w:rPr>
              <w:t>43 months post-randomisation).</w:t>
            </w:r>
          </w:p>
        </w:tc>
      </w:tr>
      <w:tr w:rsidR="003532D0" w:rsidRPr="003532D0" w14:paraId="2F140FA3" w14:textId="77777777" w:rsidTr="004E4AE4">
        <w:tc>
          <w:tcPr>
            <w:tcW w:w="2552" w:type="dxa"/>
            <w:tcBorders>
              <w:right w:val="single" w:sz="4" w:space="0" w:color="auto"/>
            </w:tcBorders>
          </w:tcPr>
          <w:p w14:paraId="700674F8"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t>Primary objective</w:t>
            </w:r>
          </w:p>
          <w:p w14:paraId="42C23B01"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p>
        </w:tc>
        <w:tc>
          <w:tcPr>
            <w:tcW w:w="5245" w:type="dxa"/>
            <w:tcBorders>
              <w:top w:val="single" w:sz="4" w:space="0" w:color="auto"/>
              <w:left w:val="nil"/>
              <w:bottom w:val="single" w:sz="4" w:space="0" w:color="auto"/>
            </w:tcBorders>
          </w:tcPr>
          <w:p w14:paraId="305E5C9F"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Compare the time to graft failure in patients with HLA Ab who receive an optimized anti-rejection medication intervention (‘treatment’), with that in a control group with HLA Ab who remain on their established immunotherapy and whose clinicians are not aware of their Ab status.</w:t>
            </w:r>
          </w:p>
        </w:tc>
      </w:tr>
      <w:tr w:rsidR="003532D0" w:rsidRPr="003532D0" w14:paraId="27067B57" w14:textId="77777777" w:rsidTr="004E4AE4">
        <w:tc>
          <w:tcPr>
            <w:tcW w:w="2552" w:type="dxa"/>
            <w:tcBorders>
              <w:right w:val="single" w:sz="4" w:space="0" w:color="auto"/>
            </w:tcBorders>
          </w:tcPr>
          <w:p w14:paraId="2FA8ABD2"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t>Secondary objective (s)</w:t>
            </w:r>
          </w:p>
          <w:p w14:paraId="74D45554"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p>
        </w:tc>
        <w:tc>
          <w:tcPr>
            <w:tcW w:w="5245" w:type="dxa"/>
            <w:tcBorders>
              <w:top w:val="single" w:sz="4" w:space="0" w:color="auto"/>
              <w:left w:val="nil"/>
              <w:bottom w:val="single" w:sz="4" w:space="0" w:color="auto"/>
            </w:tcBorders>
          </w:tcPr>
          <w:p w14:paraId="10DA60A5"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a) Determine the time to graft failure in patients randomized to ‘unblinded’ HLA Ab screening, compared to a control group randomized to ‘blinded’ HLA Ab screening.</w:t>
            </w:r>
          </w:p>
          <w:p w14:paraId="24BA476D"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b) Determine whether treatment influences patient survival</w:t>
            </w:r>
          </w:p>
          <w:p w14:paraId="1952DDE4"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c) Determine whether ‘treatment’ influences the development of graft dysfunction as assessed by presence of proteinuria (Protein:Creatinine Ratio &gt; 50 or Albumin:Creatinine Ratio &gt; 35) and change in estimated Glomerular Filtration Rate (eGFR).</w:t>
            </w:r>
          </w:p>
          <w:p w14:paraId="1B173DA3"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d) Determine whether ‘treatment’ influences the rates of acute rejection in these groups</w:t>
            </w:r>
          </w:p>
          <w:p w14:paraId="65A44677"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e) Determine the adverse effect profiles of ‘treatment’ in this group, in particular whether they are associated with increased risk of infection, malignancy or DM.</w:t>
            </w:r>
          </w:p>
          <w:p w14:paraId="6A304288"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f) Determine the cost effectiveness of routine screening for HLA Ab and prolonging transplant survival using this screening/treatment protocol.</w:t>
            </w:r>
          </w:p>
          <w:p w14:paraId="58754C8C"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lastRenderedPageBreak/>
              <w:t>g) Determine the impact of biomarker screening and “treatment” on the patients’ adherence to drug therapy and their perceptions of risk to the health of the transplant.</w:t>
            </w:r>
          </w:p>
        </w:tc>
      </w:tr>
      <w:tr w:rsidR="003532D0" w:rsidRPr="003532D0" w14:paraId="7905CC61" w14:textId="77777777" w:rsidTr="004E4AE4">
        <w:tc>
          <w:tcPr>
            <w:tcW w:w="2552" w:type="dxa"/>
            <w:tcBorders>
              <w:right w:val="single" w:sz="4" w:space="0" w:color="auto"/>
            </w:tcBorders>
          </w:tcPr>
          <w:p w14:paraId="3EB68256"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lastRenderedPageBreak/>
              <w:t xml:space="preserve">Trial Design </w:t>
            </w:r>
          </w:p>
          <w:p w14:paraId="7AB2ECE3"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p>
        </w:tc>
        <w:tc>
          <w:tcPr>
            <w:tcW w:w="5245" w:type="dxa"/>
            <w:tcBorders>
              <w:top w:val="single" w:sz="4" w:space="0" w:color="auto"/>
              <w:left w:val="nil"/>
              <w:bottom w:val="single" w:sz="4" w:space="0" w:color="auto"/>
            </w:tcBorders>
          </w:tcPr>
          <w:p w14:paraId="3D36C3E4"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 xml:space="preserve">A prospective, open labelled, randomised marker-based strategy (hybrid) trial design, with two arms stratified by biomarker (HLA Ab) status. Recruitment will take place in 13 renal transplant units, recruiting for minimum of 45 months with recruits followed up intensively for 32 months (maximum 64 months) and primary endpoint assessed by remote evaluation when approximately 43 months post-randomisation is achieved by all. </w:t>
            </w:r>
          </w:p>
        </w:tc>
      </w:tr>
      <w:tr w:rsidR="003532D0" w:rsidRPr="003532D0" w14:paraId="508B5F5D" w14:textId="77777777" w:rsidTr="004E4AE4">
        <w:tc>
          <w:tcPr>
            <w:tcW w:w="2552" w:type="dxa"/>
            <w:tcBorders>
              <w:right w:val="single" w:sz="4" w:space="0" w:color="auto"/>
            </w:tcBorders>
          </w:tcPr>
          <w:p w14:paraId="6E7E9B2C"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t>Endpoints</w:t>
            </w:r>
          </w:p>
          <w:p w14:paraId="0A13E398"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p>
        </w:tc>
        <w:tc>
          <w:tcPr>
            <w:tcW w:w="5245" w:type="dxa"/>
            <w:tcBorders>
              <w:top w:val="single" w:sz="4" w:space="0" w:color="auto"/>
              <w:left w:val="nil"/>
              <w:bottom w:val="single" w:sz="4" w:space="0" w:color="auto"/>
            </w:tcBorders>
          </w:tcPr>
          <w:p w14:paraId="380EF465" w14:textId="77777777" w:rsidR="003532D0" w:rsidRPr="003532D0" w:rsidRDefault="003532D0" w:rsidP="003532D0">
            <w:pPr>
              <w:spacing w:before="120" w:after="120" w:line="240" w:lineRule="auto"/>
              <w:ind w:left="34"/>
              <w:contextualSpacing/>
              <w:rPr>
                <w:rFonts w:ascii="Arial" w:eastAsia="Times New Roman" w:hAnsi="Arial" w:cs="Arial"/>
                <w:b/>
                <w:bCs/>
                <w:color w:val="FF0000"/>
                <w:sz w:val="20"/>
                <w:szCs w:val="20"/>
              </w:rPr>
            </w:pPr>
            <w:r w:rsidRPr="003532D0">
              <w:rPr>
                <w:rFonts w:ascii="Arial" w:eastAsia="Times New Roman" w:hAnsi="Arial" w:cs="Arial"/>
                <w:b/>
                <w:bCs/>
                <w:sz w:val="20"/>
                <w:szCs w:val="20"/>
              </w:rPr>
              <w:t>Primary:  Time to graft failure in HLA Ab positive patients randomized to biomarker-led treatment groups vs. time to graft failure in HLA Ab positive patients randomized to the control (standard care) group.  Graft failure will be defined as re-starting dialysis or requiring a new transplant.</w:t>
            </w:r>
          </w:p>
          <w:p w14:paraId="30C286AE"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Secondary:</w:t>
            </w:r>
          </w:p>
          <w:p w14:paraId="31B59FB2"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Clinical:</w:t>
            </w:r>
          </w:p>
          <w:p w14:paraId="1FBC4B61"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  time to graft failure in patients randomized to unblinded HLA Ab screening vs. blinded screening</w:t>
            </w:r>
          </w:p>
          <w:p w14:paraId="15A4884E"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 patient survival.</w:t>
            </w:r>
          </w:p>
          <w:p w14:paraId="640DD76C"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 graft dysfunction, as assessed by two separate measures; presence of proteinuria (Protein:Creatinine Ratio  &gt; 50 or Albumin:Creatinine Ratio &gt; 35) and change in estimated Glomerular Filtration Rates over 32 months.</w:t>
            </w:r>
          </w:p>
          <w:p w14:paraId="020E4831"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 rates of biopsy-proven T cell-mediated or antibody-mediated rejection over 32 months.</w:t>
            </w:r>
          </w:p>
          <w:p w14:paraId="78F4403C"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 rates of culture-positive infection, biopsy-proven malignancy and diabetes mellitus.</w:t>
            </w:r>
          </w:p>
          <w:p w14:paraId="4D514618"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 health economic analysis of outcomes in intervention vs. control groups.</w:t>
            </w:r>
          </w:p>
          <w:p w14:paraId="41FAE0B5"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 analysis of adherence and perceptions of risk in biomarker led care vs standard care groups.</w:t>
            </w:r>
          </w:p>
        </w:tc>
      </w:tr>
      <w:tr w:rsidR="003532D0" w:rsidRPr="003532D0" w14:paraId="30856348" w14:textId="77777777" w:rsidTr="004E4AE4">
        <w:tc>
          <w:tcPr>
            <w:tcW w:w="2552" w:type="dxa"/>
            <w:tcBorders>
              <w:right w:val="single" w:sz="4" w:space="0" w:color="auto"/>
            </w:tcBorders>
          </w:tcPr>
          <w:p w14:paraId="0DD643F0"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t>Sample Size</w:t>
            </w:r>
          </w:p>
          <w:p w14:paraId="6FF8F6CC"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p>
        </w:tc>
        <w:tc>
          <w:tcPr>
            <w:tcW w:w="5245" w:type="dxa"/>
            <w:tcBorders>
              <w:top w:val="single" w:sz="4" w:space="0" w:color="auto"/>
              <w:left w:val="nil"/>
              <w:bottom w:val="single" w:sz="4" w:space="0" w:color="auto"/>
            </w:tcBorders>
          </w:tcPr>
          <w:p w14:paraId="3D20DB2F"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It is anticipated that approximately 2357 total patients will need to be recruited. Given the observed proportions of DSA participants, predicted drop outs and HLA Ab conversion rates, this will allow the target of 165 (~83 per group) DSA participants to be recruited. It is expected based on observed proportions, that this will result in approximately 824 (412 per group) non-DSA participants being recruited and 1368 (684 per group) participants remaining HLA Ab negative at the primary endpoint, exceeding the target numbers required for these groups.</w:t>
            </w:r>
          </w:p>
        </w:tc>
      </w:tr>
      <w:tr w:rsidR="003532D0" w:rsidRPr="003532D0" w14:paraId="34661769" w14:textId="77777777" w:rsidTr="004E4AE4">
        <w:tc>
          <w:tcPr>
            <w:tcW w:w="2552" w:type="dxa"/>
            <w:tcBorders>
              <w:right w:val="single" w:sz="4" w:space="0" w:color="auto"/>
            </w:tcBorders>
          </w:tcPr>
          <w:p w14:paraId="083E8665"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t>Summary of eligibility criteria</w:t>
            </w:r>
          </w:p>
          <w:p w14:paraId="61B67DDF"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p>
        </w:tc>
        <w:tc>
          <w:tcPr>
            <w:tcW w:w="5245" w:type="dxa"/>
            <w:tcBorders>
              <w:top w:val="single" w:sz="4" w:space="0" w:color="auto"/>
              <w:left w:val="nil"/>
              <w:bottom w:val="single" w:sz="4" w:space="0" w:color="auto"/>
            </w:tcBorders>
            <w:shd w:val="clear" w:color="auto" w:fill="auto"/>
          </w:tcPr>
          <w:p w14:paraId="3107C228"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Included: Renal transplant recipients aged 18-75, &gt; 1 year post-transplantation, with estimated glomerular filtration rate (GFR) ≥30 by 4 variable MDRD.</w:t>
            </w:r>
          </w:p>
          <w:p w14:paraId="11B052D3"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 xml:space="preserve">Excluded: Recipients of cross-match positive transplant requiring HLA desensitization to remove antibody, recipients of additional solid organ transplants (e.g. pancreas, heart etc), history of malignancy (with exclusions), recent acute rejection, recipients with hepatitis B, C or HIV, </w:t>
            </w:r>
            <w:r w:rsidRPr="003532D0">
              <w:rPr>
                <w:rFonts w:ascii="Arial" w:eastAsia="Times New Roman" w:hAnsi="Arial" w:cs="Arial"/>
                <w:b/>
                <w:bCs/>
                <w:sz w:val="20"/>
                <w:szCs w:val="20"/>
              </w:rPr>
              <w:lastRenderedPageBreak/>
              <w:t>recipients known to have HLA antibody who have received specific treatment, known hypersensitivity to any of the IMPs, known hereditary disorders of carbohydrate metabolism, pregnancy, females who refuse to consent to using suitable contraception through trial, patients enrolled in any other studies involving administration of another IMP at time of recruitment.</w:t>
            </w:r>
          </w:p>
        </w:tc>
      </w:tr>
      <w:tr w:rsidR="003532D0" w:rsidRPr="003532D0" w14:paraId="5FB04DBC" w14:textId="77777777" w:rsidTr="004E4AE4">
        <w:tc>
          <w:tcPr>
            <w:tcW w:w="2552" w:type="dxa"/>
            <w:tcBorders>
              <w:right w:val="single" w:sz="4" w:space="0" w:color="auto"/>
            </w:tcBorders>
          </w:tcPr>
          <w:p w14:paraId="4B9CD7CF"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lastRenderedPageBreak/>
              <w:t>IMP, dosage and route of administration</w:t>
            </w:r>
          </w:p>
          <w:p w14:paraId="5B0FF0AC"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p>
        </w:tc>
        <w:tc>
          <w:tcPr>
            <w:tcW w:w="5245" w:type="dxa"/>
            <w:tcBorders>
              <w:top w:val="single" w:sz="4" w:space="0" w:color="auto"/>
              <w:left w:val="nil"/>
              <w:bottom w:val="single" w:sz="4" w:space="0" w:color="auto"/>
            </w:tcBorders>
          </w:tcPr>
          <w:p w14:paraId="0D90D379"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Oral Tacrolimus od or bd titrated to pre-dose levels of 4-8ng/ml.</w:t>
            </w:r>
          </w:p>
          <w:p w14:paraId="080D8C65"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Oral Mycophenolate Mofetil or enteric coated mycophenolic acid bd, tds or qds given at highest tolerated daily dose or according to unit guidelines, with maximum dose determined by SmPC.</w:t>
            </w:r>
          </w:p>
          <w:p w14:paraId="0ACFC474"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Oral Prednisone od according to the following regime: 20mg od for 2 weeks tapering to 5mg od over 4 weeks.</w:t>
            </w:r>
          </w:p>
        </w:tc>
      </w:tr>
      <w:tr w:rsidR="003532D0" w:rsidRPr="003532D0" w14:paraId="38C156D7" w14:textId="77777777" w:rsidTr="004E4AE4">
        <w:tc>
          <w:tcPr>
            <w:tcW w:w="2552" w:type="dxa"/>
            <w:tcBorders>
              <w:right w:val="single" w:sz="4" w:space="0" w:color="auto"/>
            </w:tcBorders>
          </w:tcPr>
          <w:p w14:paraId="09A31CF6"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t>Active comparator product(s)</w:t>
            </w:r>
          </w:p>
        </w:tc>
        <w:tc>
          <w:tcPr>
            <w:tcW w:w="5245" w:type="dxa"/>
            <w:tcBorders>
              <w:top w:val="single" w:sz="4" w:space="0" w:color="auto"/>
              <w:left w:val="nil"/>
              <w:bottom w:val="single" w:sz="4" w:space="0" w:color="auto"/>
            </w:tcBorders>
          </w:tcPr>
          <w:p w14:paraId="519ABFEA"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None</w:t>
            </w:r>
          </w:p>
        </w:tc>
      </w:tr>
      <w:tr w:rsidR="003532D0" w:rsidRPr="003532D0" w14:paraId="577F0002" w14:textId="77777777" w:rsidTr="004E4AE4">
        <w:tc>
          <w:tcPr>
            <w:tcW w:w="2552" w:type="dxa"/>
            <w:tcBorders>
              <w:right w:val="single" w:sz="4" w:space="0" w:color="auto"/>
            </w:tcBorders>
          </w:tcPr>
          <w:p w14:paraId="6C2D3FFB"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r w:rsidRPr="003532D0">
              <w:rPr>
                <w:rFonts w:ascii="Arial" w:eastAsia="Times New Roman" w:hAnsi="Arial" w:cs="Arial"/>
                <w:b/>
                <w:bCs/>
                <w:sz w:val="20"/>
                <w:szCs w:val="20"/>
              </w:rPr>
              <w:t>Maximum duration of treatment of a Subject</w:t>
            </w:r>
          </w:p>
          <w:p w14:paraId="1EFC8422" w14:textId="77777777" w:rsidR="003532D0" w:rsidRPr="003532D0" w:rsidRDefault="003532D0" w:rsidP="003532D0">
            <w:pPr>
              <w:spacing w:before="120" w:after="120" w:line="240" w:lineRule="auto"/>
              <w:contextualSpacing/>
              <w:jc w:val="right"/>
              <w:rPr>
                <w:rFonts w:ascii="Arial" w:eastAsia="Times New Roman" w:hAnsi="Arial" w:cs="Arial"/>
                <w:b/>
                <w:bCs/>
                <w:sz w:val="20"/>
                <w:szCs w:val="20"/>
              </w:rPr>
            </w:pPr>
          </w:p>
        </w:tc>
        <w:tc>
          <w:tcPr>
            <w:tcW w:w="5245" w:type="dxa"/>
            <w:tcBorders>
              <w:top w:val="single" w:sz="4" w:space="0" w:color="auto"/>
              <w:left w:val="nil"/>
              <w:bottom w:val="single" w:sz="4" w:space="0" w:color="auto"/>
            </w:tcBorders>
          </w:tcPr>
          <w:p w14:paraId="5865E13F" w14:textId="77777777" w:rsidR="003532D0" w:rsidRPr="003532D0" w:rsidRDefault="003532D0" w:rsidP="003532D0">
            <w:pPr>
              <w:spacing w:before="120" w:after="120" w:line="240" w:lineRule="auto"/>
              <w:ind w:left="34"/>
              <w:contextualSpacing/>
              <w:rPr>
                <w:rFonts w:ascii="Arial" w:eastAsia="Times New Roman" w:hAnsi="Arial" w:cs="Arial"/>
                <w:b/>
                <w:bCs/>
                <w:sz w:val="20"/>
                <w:szCs w:val="20"/>
              </w:rPr>
            </w:pPr>
            <w:r w:rsidRPr="003532D0">
              <w:rPr>
                <w:rFonts w:ascii="Arial" w:eastAsia="Times New Roman" w:hAnsi="Arial" w:cs="Arial"/>
                <w:b/>
                <w:bCs/>
                <w:sz w:val="20"/>
                <w:szCs w:val="20"/>
              </w:rPr>
              <w:t>HLA Ab-screening phase will last 45 months. For each recruit, the duration of study will be a minimum of 32 months and up to 64 months, as patients who initially tested negative for HLA Ab, but become HLA Ab positive in the final screening round will be followed up for a further 32 months from that point.</w:t>
            </w:r>
          </w:p>
        </w:tc>
      </w:tr>
    </w:tbl>
    <w:p w14:paraId="3E302990"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p>
    <w:p w14:paraId="58B7552C" w14:textId="77777777" w:rsidR="003532D0" w:rsidRPr="003532D0" w:rsidRDefault="003532D0" w:rsidP="00B875CF">
      <w:pPr>
        <w:rPr>
          <w:rFonts w:ascii="Arial" w:eastAsia="Times New Roman" w:hAnsi="Arial" w:cs="Arial"/>
          <w:b/>
          <w:kern w:val="32"/>
          <w:sz w:val="24"/>
          <w:szCs w:val="24"/>
        </w:rPr>
      </w:pPr>
      <w:r w:rsidRPr="003532D0">
        <w:rPr>
          <w:rFonts w:ascii="Arial" w:eastAsia="Times New Roman" w:hAnsi="Arial" w:cs="Arial"/>
          <w:b/>
          <w:kern w:val="32"/>
          <w:sz w:val="32"/>
          <w:szCs w:val="32"/>
        </w:rPr>
        <w:br w:type="page"/>
      </w:r>
      <w:r w:rsidRPr="003532D0">
        <w:rPr>
          <w:rFonts w:ascii="Arial" w:eastAsia="Times New Roman" w:hAnsi="Arial" w:cs="Arial"/>
          <w:b/>
          <w:kern w:val="32"/>
          <w:sz w:val="32"/>
          <w:szCs w:val="32"/>
        </w:rPr>
        <w:lastRenderedPageBreak/>
        <w:t>CONTENTS</w:t>
      </w:r>
    </w:p>
    <w:p w14:paraId="0C4B6D5A"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sz w:val="20"/>
          <w:szCs w:val="20"/>
        </w:rPr>
        <w:fldChar w:fldCharType="begin"/>
      </w:r>
      <w:r w:rsidRPr="003532D0">
        <w:rPr>
          <w:rFonts w:ascii="Arial" w:eastAsia="Times New Roman" w:hAnsi="Arial" w:cs="Arial"/>
          <w:b/>
          <w:bCs/>
          <w:sz w:val="20"/>
          <w:szCs w:val="20"/>
        </w:rPr>
        <w:instrText xml:space="preserve"> TOC \t "Heading 3,1,Heading 4,2,Heading 5,3" </w:instrText>
      </w:r>
      <w:r w:rsidRPr="003532D0">
        <w:rPr>
          <w:rFonts w:ascii="Arial" w:eastAsia="Times New Roman" w:hAnsi="Arial" w:cs="Arial"/>
          <w:b/>
          <w:bCs/>
          <w:sz w:val="20"/>
          <w:szCs w:val="20"/>
        </w:rPr>
        <w:fldChar w:fldCharType="separate"/>
      </w:r>
      <w:r w:rsidRPr="003532D0">
        <w:rPr>
          <w:rFonts w:ascii="Arial" w:eastAsia="Times New Roman" w:hAnsi="Arial" w:cs="Arial"/>
          <w:b/>
          <w:bCs/>
          <w:noProof/>
          <w:sz w:val="20"/>
          <w:szCs w:val="20"/>
        </w:rPr>
        <w:t>Trial Identifiers</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_Toc248735399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42</w:t>
      </w:r>
      <w:r w:rsidRPr="003532D0">
        <w:rPr>
          <w:rFonts w:ascii="Arial" w:eastAsia="Times New Roman" w:hAnsi="Arial" w:cs="Arial"/>
          <w:b/>
          <w:bCs/>
          <w:noProof/>
          <w:sz w:val="20"/>
          <w:szCs w:val="20"/>
        </w:rPr>
        <w:fldChar w:fldCharType="end"/>
      </w:r>
    </w:p>
    <w:p w14:paraId="44AECC8B"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Sponsor</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_Toc248735400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42</w:t>
      </w:r>
      <w:r w:rsidRPr="003532D0">
        <w:rPr>
          <w:rFonts w:ascii="Arial" w:eastAsia="Times New Roman" w:hAnsi="Arial" w:cs="Arial"/>
          <w:b/>
          <w:bCs/>
          <w:noProof/>
          <w:sz w:val="20"/>
          <w:szCs w:val="20"/>
        </w:rPr>
        <w:fldChar w:fldCharType="end"/>
      </w:r>
    </w:p>
    <w:p w14:paraId="00E9C8D7"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Chief Investigator</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_Toc248735401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42</w:t>
      </w:r>
      <w:r w:rsidRPr="003532D0">
        <w:rPr>
          <w:rFonts w:ascii="Arial" w:eastAsia="Times New Roman" w:hAnsi="Arial" w:cs="Arial"/>
          <w:b/>
          <w:bCs/>
          <w:noProof/>
          <w:sz w:val="20"/>
          <w:szCs w:val="20"/>
        </w:rPr>
        <w:fldChar w:fldCharType="end"/>
      </w:r>
    </w:p>
    <w:p w14:paraId="23CA9981"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Name and address of Co-Investigator(s), Statistician, Laboratories etc</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_Toc248735402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42</w:t>
      </w:r>
      <w:r w:rsidRPr="003532D0">
        <w:rPr>
          <w:rFonts w:ascii="Arial" w:eastAsia="Times New Roman" w:hAnsi="Arial" w:cs="Arial"/>
          <w:b/>
          <w:bCs/>
          <w:noProof/>
          <w:sz w:val="20"/>
          <w:szCs w:val="20"/>
        </w:rPr>
        <w:fldChar w:fldCharType="end"/>
      </w:r>
    </w:p>
    <w:p w14:paraId="2E6FA296"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Study Synopsis</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_Toc248735403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44</w:t>
      </w:r>
      <w:r w:rsidRPr="003532D0">
        <w:rPr>
          <w:rFonts w:ascii="Arial" w:eastAsia="Times New Roman" w:hAnsi="Arial" w:cs="Arial"/>
          <w:b/>
          <w:bCs/>
          <w:noProof/>
          <w:sz w:val="20"/>
          <w:szCs w:val="20"/>
        </w:rPr>
        <w:fldChar w:fldCharType="end"/>
      </w:r>
    </w:p>
    <w:p w14:paraId="0BBD26BB"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1. Background &amp; Rationale</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_Toc248735404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49</w:t>
      </w:r>
      <w:r w:rsidRPr="003532D0">
        <w:rPr>
          <w:rFonts w:ascii="Arial" w:eastAsia="Times New Roman" w:hAnsi="Arial" w:cs="Arial"/>
          <w:b/>
          <w:bCs/>
          <w:noProof/>
          <w:sz w:val="20"/>
          <w:szCs w:val="20"/>
        </w:rPr>
        <w:fldChar w:fldCharType="end"/>
      </w:r>
    </w:p>
    <w:p w14:paraId="728381AD"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1.1 Existing Research</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_Toc248735405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49</w:t>
      </w:r>
      <w:r w:rsidRPr="003532D0">
        <w:rPr>
          <w:rFonts w:ascii="Arial" w:eastAsia="Times New Roman" w:hAnsi="Arial" w:cs="Arial"/>
          <w:bCs/>
          <w:i/>
          <w:noProof/>
          <w:sz w:val="20"/>
          <w:szCs w:val="20"/>
        </w:rPr>
        <w:fldChar w:fldCharType="end"/>
      </w:r>
    </w:p>
    <w:p w14:paraId="3A12B2B6"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noProof/>
          <w:sz w:val="20"/>
          <w:szCs w:val="20"/>
        </w:rPr>
        <w:t>1.1.1 Using HLA Ab (a prognostic biomarker of premature kidney transplant failure) as a screening test:</w:t>
      </w:r>
      <w:r w:rsidRPr="003532D0">
        <w:rPr>
          <w:rFonts w:ascii="Arial" w:eastAsia="Times New Roman" w:hAnsi="Arial" w:cs="Arial"/>
          <w:bCs/>
          <w:noProof/>
          <w:sz w:val="20"/>
          <w:szCs w:val="20"/>
        </w:rPr>
        <w:tab/>
      </w:r>
      <w:r w:rsidRPr="003532D0">
        <w:rPr>
          <w:rFonts w:ascii="Arial" w:eastAsia="Times New Roman" w:hAnsi="Arial" w:cs="Arial"/>
          <w:bCs/>
          <w:noProof/>
          <w:sz w:val="20"/>
          <w:szCs w:val="20"/>
        </w:rPr>
        <w:fldChar w:fldCharType="begin"/>
      </w:r>
      <w:r w:rsidRPr="003532D0">
        <w:rPr>
          <w:rFonts w:ascii="Arial" w:eastAsia="Times New Roman" w:hAnsi="Arial" w:cs="Arial"/>
          <w:bCs/>
          <w:noProof/>
          <w:sz w:val="20"/>
          <w:szCs w:val="20"/>
        </w:rPr>
        <w:instrText xml:space="preserve"> PAGEREF _Toc248735406 \h </w:instrText>
      </w:r>
      <w:r w:rsidRPr="003532D0">
        <w:rPr>
          <w:rFonts w:ascii="Arial" w:eastAsia="Times New Roman" w:hAnsi="Arial" w:cs="Arial"/>
          <w:bCs/>
          <w:noProof/>
          <w:sz w:val="20"/>
          <w:szCs w:val="20"/>
        </w:rPr>
      </w:r>
      <w:r w:rsidRPr="003532D0">
        <w:rPr>
          <w:rFonts w:ascii="Arial" w:eastAsia="Times New Roman" w:hAnsi="Arial" w:cs="Arial"/>
          <w:bCs/>
          <w:noProof/>
          <w:sz w:val="20"/>
          <w:szCs w:val="20"/>
        </w:rPr>
        <w:fldChar w:fldCharType="separate"/>
      </w:r>
      <w:r w:rsidRPr="003532D0">
        <w:rPr>
          <w:rFonts w:ascii="Arial" w:eastAsia="Times New Roman" w:hAnsi="Arial" w:cs="Arial"/>
          <w:bCs/>
          <w:noProof/>
          <w:sz w:val="20"/>
          <w:szCs w:val="20"/>
        </w:rPr>
        <w:t>49</w:t>
      </w:r>
      <w:r w:rsidRPr="003532D0">
        <w:rPr>
          <w:rFonts w:ascii="Arial" w:eastAsia="Times New Roman" w:hAnsi="Arial" w:cs="Arial"/>
          <w:bCs/>
          <w:noProof/>
          <w:sz w:val="20"/>
          <w:szCs w:val="20"/>
        </w:rPr>
        <w:fldChar w:fldCharType="end"/>
      </w:r>
    </w:p>
    <w:p w14:paraId="7A5EBEB7"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noProof/>
          <w:sz w:val="20"/>
          <w:szCs w:val="20"/>
        </w:rPr>
        <w:t>1.1.2: The biology of HLA Ab and CR:</w:t>
      </w:r>
      <w:r w:rsidRPr="003532D0">
        <w:rPr>
          <w:rFonts w:ascii="Arial" w:eastAsia="Times New Roman" w:hAnsi="Arial" w:cs="Arial"/>
          <w:bCs/>
          <w:noProof/>
          <w:sz w:val="20"/>
          <w:szCs w:val="20"/>
        </w:rPr>
        <w:tab/>
      </w:r>
      <w:r w:rsidRPr="003532D0">
        <w:rPr>
          <w:rFonts w:ascii="Arial" w:eastAsia="Times New Roman" w:hAnsi="Arial" w:cs="Arial"/>
          <w:bCs/>
          <w:noProof/>
          <w:sz w:val="20"/>
          <w:szCs w:val="20"/>
        </w:rPr>
        <w:fldChar w:fldCharType="begin"/>
      </w:r>
      <w:r w:rsidRPr="003532D0">
        <w:rPr>
          <w:rFonts w:ascii="Arial" w:eastAsia="Times New Roman" w:hAnsi="Arial" w:cs="Arial"/>
          <w:bCs/>
          <w:noProof/>
          <w:sz w:val="20"/>
          <w:szCs w:val="20"/>
        </w:rPr>
        <w:instrText xml:space="preserve"> PAGEREF _Toc248735407 \h </w:instrText>
      </w:r>
      <w:r w:rsidRPr="003532D0">
        <w:rPr>
          <w:rFonts w:ascii="Arial" w:eastAsia="Times New Roman" w:hAnsi="Arial" w:cs="Arial"/>
          <w:bCs/>
          <w:noProof/>
          <w:sz w:val="20"/>
          <w:szCs w:val="20"/>
        </w:rPr>
      </w:r>
      <w:r w:rsidRPr="003532D0">
        <w:rPr>
          <w:rFonts w:ascii="Arial" w:eastAsia="Times New Roman" w:hAnsi="Arial" w:cs="Arial"/>
          <w:bCs/>
          <w:noProof/>
          <w:sz w:val="20"/>
          <w:szCs w:val="20"/>
        </w:rPr>
        <w:fldChar w:fldCharType="separate"/>
      </w:r>
      <w:r w:rsidRPr="003532D0">
        <w:rPr>
          <w:rFonts w:ascii="Arial" w:eastAsia="Times New Roman" w:hAnsi="Arial" w:cs="Arial"/>
          <w:bCs/>
          <w:noProof/>
          <w:sz w:val="20"/>
          <w:szCs w:val="20"/>
        </w:rPr>
        <w:t>50</w:t>
      </w:r>
      <w:r w:rsidRPr="003532D0">
        <w:rPr>
          <w:rFonts w:ascii="Arial" w:eastAsia="Times New Roman" w:hAnsi="Arial" w:cs="Arial"/>
          <w:bCs/>
          <w:noProof/>
          <w:sz w:val="20"/>
          <w:szCs w:val="20"/>
        </w:rPr>
        <w:fldChar w:fldCharType="end"/>
      </w:r>
    </w:p>
    <w:p w14:paraId="1FC76114"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noProof/>
          <w:sz w:val="20"/>
          <w:szCs w:val="20"/>
        </w:rPr>
        <w:t>1.1.3: Evidence supporting the use of optimized oral immunotherapy regime in patients with HLA Ab:</w:t>
      </w:r>
      <w:r w:rsidRPr="003532D0">
        <w:rPr>
          <w:rFonts w:ascii="Arial" w:eastAsia="Times New Roman" w:hAnsi="Arial" w:cs="Arial"/>
          <w:bCs/>
          <w:noProof/>
          <w:sz w:val="20"/>
          <w:szCs w:val="20"/>
        </w:rPr>
        <w:tab/>
      </w:r>
      <w:r w:rsidRPr="003532D0">
        <w:rPr>
          <w:rFonts w:ascii="Arial" w:eastAsia="Times New Roman" w:hAnsi="Arial" w:cs="Arial"/>
          <w:bCs/>
          <w:noProof/>
          <w:sz w:val="20"/>
          <w:szCs w:val="20"/>
        </w:rPr>
        <w:fldChar w:fldCharType="begin"/>
      </w:r>
      <w:r w:rsidRPr="003532D0">
        <w:rPr>
          <w:rFonts w:ascii="Arial" w:eastAsia="Times New Roman" w:hAnsi="Arial" w:cs="Arial"/>
          <w:bCs/>
          <w:noProof/>
          <w:sz w:val="20"/>
          <w:szCs w:val="20"/>
        </w:rPr>
        <w:instrText xml:space="preserve"> PAGEREF _Toc248735408 \h </w:instrText>
      </w:r>
      <w:r w:rsidRPr="003532D0">
        <w:rPr>
          <w:rFonts w:ascii="Arial" w:eastAsia="Times New Roman" w:hAnsi="Arial" w:cs="Arial"/>
          <w:bCs/>
          <w:noProof/>
          <w:sz w:val="20"/>
          <w:szCs w:val="20"/>
        </w:rPr>
      </w:r>
      <w:r w:rsidRPr="003532D0">
        <w:rPr>
          <w:rFonts w:ascii="Arial" w:eastAsia="Times New Roman" w:hAnsi="Arial" w:cs="Arial"/>
          <w:bCs/>
          <w:noProof/>
          <w:sz w:val="20"/>
          <w:szCs w:val="20"/>
        </w:rPr>
        <w:fldChar w:fldCharType="separate"/>
      </w:r>
      <w:r w:rsidRPr="003532D0">
        <w:rPr>
          <w:rFonts w:ascii="Arial" w:eastAsia="Times New Roman" w:hAnsi="Arial" w:cs="Arial"/>
          <w:bCs/>
          <w:noProof/>
          <w:sz w:val="20"/>
          <w:szCs w:val="20"/>
        </w:rPr>
        <w:t>50</w:t>
      </w:r>
      <w:r w:rsidRPr="003532D0">
        <w:rPr>
          <w:rFonts w:ascii="Arial" w:eastAsia="Times New Roman" w:hAnsi="Arial" w:cs="Arial"/>
          <w:bCs/>
          <w:noProof/>
          <w:sz w:val="20"/>
          <w:szCs w:val="20"/>
        </w:rPr>
        <w:fldChar w:fldCharType="end"/>
      </w:r>
    </w:p>
    <w:p w14:paraId="3EE3F3A3"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1.2. Risks and Benefits</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_Toc248735409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51</w:t>
      </w:r>
      <w:r w:rsidRPr="003532D0">
        <w:rPr>
          <w:rFonts w:ascii="Arial" w:eastAsia="Times New Roman" w:hAnsi="Arial" w:cs="Arial"/>
          <w:bCs/>
          <w:i/>
          <w:noProof/>
          <w:sz w:val="20"/>
          <w:szCs w:val="20"/>
        </w:rPr>
        <w:fldChar w:fldCharType="end"/>
      </w:r>
    </w:p>
    <w:p w14:paraId="4A0696F8"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noProof/>
          <w:sz w:val="20"/>
          <w:szCs w:val="20"/>
        </w:rPr>
        <w:t>1.2.1: Risks:</w:t>
      </w:r>
      <w:r w:rsidRPr="003532D0">
        <w:rPr>
          <w:rFonts w:ascii="Arial" w:eastAsia="Times New Roman" w:hAnsi="Arial" w:cs="Arial"/>
          <w:bCs/>
          <w:noProof/>
          <w:sz w:val="20"/>
          <w:szCs w:val="20"/>
        </w:rPr>
        <w:tab/>
      </w:r>
      <w:r w:rsidRPr="003532D0">
        <w:rPr>
          <w:rFonts w:ascii="Arial" w:eastAsia="Times New Roman" w:hAnsi="Arial" w:cs="Arial"/>
          <w:bCs/>
          <w:noProof/>
          <w:sz w:val="20"/>
          <w:szCs w:val="20"/>
        </w:rPr>
        <w:fldChar w:fldCharType="begin"/>
      </w:r>
      <w:r w:rsidRPr="003532D0">
        <w:rPr>
          <w:rFonts w:ascii="Arial" w:eastAsia="Times New Roman" w:hAnsi="Arial" w:cs="Arial"/>
          <w:bCs/>
          <w:noProof/>
          <w:sz w:val="20"/>
          <w:szCs w:val="20"/>
        </w:rPr>
        <w:instrText xml:space="preserve"> PAGEREF _Toc248735410 \h </w:instrText>
      </w:r>
      <w:r w:rsidRPr="003532D0">
        <w:rPr>
          <w:rFonts w:ascii="Arial" w:eastAsia="Times New Roman" w:hAnsi="Arial" w:cs="Arial"/>
          <w:bCs/>
          <w:noProof/>
          <w:sz w:val="20"/>
          <w:szCs w:val="20"/>
        </w:rPr>
      </w:r>
      <w:r w:rsidRPr="003532D0">
        <w:rPr>
          <w:rFonts w:ascii="Arial" w:eastAsia="Times New Roman" w:hAnsi="Arial" w:cs="Arial"/>
          <w:bCs/>
          <w:noProof/>
          <w:sz w:val="20"/>
          <w:szCs w:val="20"/>
        </w:rPr>
        <w:fldChar w:fldCharType="separate"/>
      </w:r>
      <w:r w:rsidRPr="003532D0">
        <w:rPr>
          <w:rFonts w:ascii="Arial" w:eastAsia="Times New Roman" w:hAnsi="Arial" w:cs="Arial"/>
          <w:bCs/>
          <w:noProof/>
          <w:sz w:val="20"/>
          <w:szCs w:val="20"/>
        </w:rPr>
        <w:t>51</w:t>
      </w:r>
      <w:r w:rsidRPr="003532D0">
        <w:rPr>
          <w:rFonts w:ascii="Arial" w:eastAsia="Times New Roman" w:hAnsi="Arial" w:cs="Arial"/>
          <w:bCs/>
          <w:noProof/>
          <w:sz w:val="20"/>
          <w:szCs w:val="20"/>
        </w:rPr>
        <w:fldChar w:fldCharType="end"/>
      </w:r>
    </w:p>
    <w:p w14:paraId="79DA915D"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noProof/>
          <w:sz w:val="20"/>
          <w:szCs w:val="20"/>
        </w:rPr>
        <w:t>1.2.2: Benefits:</w:t>
      </w:r>
      <w:r w:rsidRPr="003532D0">
        <w:rPr>
          <w:rFonts w:ascii="Arial" w:eastAsia="Times New Roman" w:hAnsi="Arial" w:cs="Arial"/>
          <w:bCs/>
          <w:noProof/>
          <w:sz w:val="20"/>
          <w:szCs w:val="20"/>
        </w:rPr>
        <w:tab/>
      </w:r>
      <w:r w:rsidRPr="003532D0">
        <w:rPr>
          <w:rFonts w:ascii="Arial" w:eastAsia="Times New Roman" w:hAnsi="Arial" w:cs="Arial"/>
          <w:bCs/>
          <w:noProof/>
          <w:sz w:val="20"/>
          <w:szCs w:val="20"/>
        </w:rPr>
        <w:fldChar w:fldCharType="begin"/>
      </w:r>
      <w:r w:rsidRPr="003532D0">
        <w:rPr>
          <w:rFonts w:ascii="Arial" w:eastAsia="Times New Roman" w:hAnsi="Arial" w:cs="Arial"/>
          <w:bCs/>
          <w:noProof/>
          <w:sz w:val="20"/>
          <w:szCs w:val="20"/>
        </w:rPr>
        <w:instrText xml:space="preserve"> PAGEREF _Toc248735411 \h </w:instrText>
      </w:r>
      <w:r w:rsidRPr="003532D0">
        <w:rPr>
          <w:rFonts w:ascii="Arial" w:eastAsia="Times New Roman" w:hAnsi="Arial" w:cs="Arial"/>
          <w:bCs/>
          <w:noProof/>
          <w:sz w:val="20"/>
          <w:szCs w:val="20"/>
        </w:rPr>
      </w:r>
      <w:r w:rsidRPr="003532D0">
        <w:rPr>
          <w:rFonts w:ascii="Arial" w:eastAsia="Times New Roman" w:hAnsi="Arial" w:cs="Arial"/>
          <w:bCs/>
          <w:noProof/>
          <w:sz w:val="20"/>
          <w:szCs w:val="20"/>
        </w:rPr>
        <w:fldChar w:fldCharType="separate"/>
      </w:r>
      <w:r w:rsidRPr="003532D0">
        <w:rPr>
          <w:rFonts w:ascii="Arial" w:eastAsia="Times New Roman" w:hAnsi="Arial" w:cs="Arial"/>
          <w:bCs/>
          <w:noProof/>
          <w:sz w:val="20"/>
          <w:szCs w:val="20"/>
        </w:rPr>
        <w:t>52</w:t>
      </w:r>
      <w:r w:rsidRPr="003532D0">
        <w:rPr>
          <w:rFonts w:ascii="Arial" w:eastAsia="Times New Roman" w:hAnsi="Arial" w:cs="Arial"/>
          <w:bCs/>
          <w:noProof/>
          <w:sz w:val="20"/>
          <w:szCs w:val="20"/>
        </w:rPr>
        <w:fldChar w:fldCharType="end"/>
      </w:r>
    </w:p>
    <w:p w14:paraId="5107A4DB"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1.3. Rationale for Current Study</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_Toc248735412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52</w:t>
      </w:r>
      <w:r w:rsidRPr="003532D0">
        <w:rPr>
          <w:rFonts w:ascii="Arial" w:eastAsia="Times New Roman" w:hAnsi="Arial" w:cs="Arial"/>
          <w:bCs/>
          <w:i/>
          <w:noProof/>
          <w:sz w:val="20"/>
          <w:szCs w:val="20"/>
        </w:rPr>
        <w:fldChar w:fldCharType="end"/>
      </w:r>
    </w:p>
    <w:p w14:paraId="2D4C3A01"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Arial Unicode MS" w:hAnsi="Arial" w:cs="Arial"/>
          <w:bCs/>
          <w:i/>
          <w:noProof/>
          <w:sz w:val="20"/>
          <w:szCs w:val="20"/>
        </w:rPr>
        <w:t>1.4. References</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_Toc248735413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52</w:t>
      </w:r>
      <w:r w:rsidRPr="003532D0">
        <w:rPr>
          <w:rFonts w:ascii="Arial" w:eastAsia="Times New Roman" w:hAnsi="Arial" w:cs="Arial"/>
          <w:bCs/>
          <w:i/>
          <w:noProof/>
          <w:sz w:val="20"/>
          <w:szCs w:val="20"/>
        </w:rPr>
        <w:fldChar w:fldCharType="end"/>
      </w:r>
    </w:p>
    <w:p w14:paraId="605A0709"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2. Trial Objectives and Design</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_Toc248735414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55</w:t>
      </w:r>
      <w:r w:rsidRPr="003532D0">
        <w:rPr>
          <w:rFonts w:ascii="Arial" w:eastAsia="Times New Roman" w:hAnsi="Arial" w:cs="Arial"/>
          <w:b/>
          <w:bCs/>
          <w:noProof/>
          <w:sz w:val="20"/>
          <w:szCs w:val="20"/>
        </w:rPr>
        <w:fldChar w:fldCharType="end"/>
      </w:r>
    </w:p>
    <w:p w14:paraId="78CCD9D4"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2.1. Trial Objectives</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_Toc248735415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55</w:t>
      </w:r>
      <w:r w:rsidRPr="003532D0">
        <w:rPr>
          <w:rFonts w:ascii="Arial" w:eastAsia="Times New Roman" w:hAnsi="Arial" w:cs="Arial"/>
          <w:bCs/>
          <w:i/>
          <w:noProof/>
          <w:sz w:val="20"/>
          <w:szCs w:val="20"/>
        </w:rPr>
        <w:fldChar w:fldCharType="end"/>
      </w:r>
    </w:p>
    <w:p w14:paraId="65CD99FE"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noProof/>
          <w:sz w:val="20"/>
          <w:szCs w:val="20"/>
        </w:rPr>
        <w:t>2.1.1 Primary endpoints</w:t>
      </w:r>
      <w:r w:rsidRPr="003532D0">
        <w:rPr>
          <w:rFonts w:ascii="Arial" w:eastAsia="Times New Roman" w:hAnsi="Arial" w:cs="Arial"/>
          <w:bCs/>
          <w:noProof/>
          <w:sz w:val="20"/>
          <w:szCs w:val="20"/>
        </w:rPr>
        <w:tab/>
      </w:r>
      <w:r w:rsidRPr="003532D0">
        <w:rPr>
          <w:rFonts w:ascii="Arial" w:eastAsia="Times New Roman" w:hAnsi="Arial" w:cs="Arial"/>
          <w:bCs/>
          <w:noProof/>
          <w:sz w:val="20"/>
          <w:szCs w:val="20"/>
        </w:rPr>
        <w:fldChar w:fldCharType="begin"/>
      </w:r>
      <w:r w:rsidRPr="003532D0">
        <w:rPr>
          <w:rFonts w:ascii="Arial" w:eastAsia="Times New Roman" w:hAnsi="Arial" w:cs="Arial"/>
          <w:bCs/>
          <w:noProof/>
          <w:sz w:val="20"/>
          <w:szCs w:val="20"/>
        </w:rPr>
        <w:instrText xml:space="preserve"> PAGEREF _Toc248735416 \h </w:instrText>
      </w:r>
      <w:r w:rsidRPr="003532D0">
        <w:rPr>
          <w:rFonts w:ascii="Arial" w:eastAsia="Times New Roman" w:hAnsi="Arial" w:cs="Arial"/>
          <w:bCs/>
          <w:noProof/>
          <w:sz w:val="20"/>
          <w:szCs w:val="20"/>
        </w:rPr>
      </w:r>
      <w:r w:rsidRPr="003532D0">
        <w:rPr>
          <w:rFonts w:ascii="Arial" w:eastAsia="Times New Roman" w:hAnsi="Arial" w:cs="Arial"/>
          <w:bCs/>
          <w:noProof/>
          <w:sz w:val="20"/>
          <w:szCs w:val="20"/>
        </w:rPr>
        <w:fldChar w:fldCharType="separate"/>
      </w:r>
      <w:r w:rsidRPr="003532D0">
        <w:rPr>
          <w:rFonts w:ascii="Arial" w:eastAsia="Times New Roman" w:hAnsi="Arial" w:cs="Arial"/>
          <w:bCs/>
          <w:noProof/>
          <w:sz w:val="20"/>
          <w:szCs w:val="20"/>
        </w:rPr>
        <w:t>55</w:t>
      </w:r>
      <w:r w:rsidRPr="003532D0">
        <w:rPr>
          <w:rFonts w:ascii="Arial" w:eastAsia="Times New Roman" w:hAnsi="Arial" w:cs="Arial"/>
          <w:bCs/>
          <w:noProof/>
          <w:sz w:val="20"/>
          <w:szCs w:val="20"/>
        </w:rPr>
        <w:fldChar w:fldCharType="end"/>
      </w:r>
    </w:p>
    <w:p w14:paraId="1B998868"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noProof/>
          <w:sz w:val="20"/>
          <w:szCs w:val="20"/>
        </w:rPr>
        <w:t>2.1.2 Secondary endpoints</w:t>
      </w:r>
      <w:r w:rsidRPr="003532D0">
        <w:rPr>
          <w:rFonts w:ascii="Arial" w:eastAsia="Times New Roman" w:hAnsi="Arial" w:cs="Arial"/>
          <w:bCs/>
          <w:noProof/>
          <w:sz w:val="20"/>
          <w:szCs w:val="20"/>
        </w:rPr>
        <w:tab/>
      </w:r>
      <w:r w:rsidRPr="003532D0">
        <w:rPr>
          <w:rFonts w:ascii="Arial" w:eastAsia="Times New Roman" w:hAnsi="Arial" w:cs="Arial"/>
          <w:bCs/>
          <w:noProof/>
          <w:sz w:val="20"/>
          <w:szCs w:val="20"/>
        </w:rPr>
        <w:fldChar w:fldCharType="begin"/>
      </w:r>
      <w:r w:rsidRPr="003532D0">
        <w:rPr>
          <w:rFonts w:ascii="Arial" w:eastAsia="Times New Roman" w:hAnsi="Arial" w:cs="Arial"/>
          <w:bCs/>
          <w:noProof/>
          <w:sz w:val="20"/>
          <w:szCs w:val="20"/>
        </w:rPr>
        <w:instrText xml:space="preserve"> PAGEREF _Toc248735417 \h </w:instrText>
      </w:r>
      <w:r w:rsidRPr="003532D0">
        <w:rPr>
          <w:rFonts w:ascii="Arial" w:eastAsia="Times New Roman" w:hAnsi="Arial" w:cs="Arial"/>
          <w:bCs/>
          <w:noProof/>
          <w:sz w:val="20"/>
          <w:szCs w:val="20"/>
        </w:rPr>
      </w:r>
      <w:r w:rsidRPr="003532D0">
        <w:rPr>
          <w:rFonts w:ascii="Arial" w:eastAsia="Times New Roman" w:hAnsi="Arial" w:cs="Arial"/>
          <w:bCs/>
          <w:noProof/>
          <w:sz w:val="20"/>
          <w:szCs w:val="20"/>
        </w:rPr>
        <w:fldChar w:fldCharType="separate"/>
      </w:r>
      <w:r w:rsidRPr="003532D0">
        <w:rPr>
          <w:rFonts w:ascii="Arial" w:eastAsia="Times New Roman" w:hAnsi="Arial" w:cs="Arial"/>
          <w:bCs/>
          <w:noProof/>
          <w:sz w:val="20"/>
          <w:szCs w:val="20"/>
        </w:rPr>
        <w:t>55</w:t>
      </w:r>
      <w:r w:rsidRPr="003532D0">
        <w:rPr>
          <w:rFonts w:ascii="Arial" w:eastAsia="Times New Roman" w:hAnsi="Arial" w:cs="Arial"/>
          <w:bCs/>
          <w:noProof/>
          <w:sz w:val="20"/>
          <w:szCs w:val="20"/>
        </w:rPr>
        <w:fldChar w:fldCharType="end"/>
      </w:r>
    </w:p>
    <w:p w14:paraId="6C12BD2B"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2.2 Trial Design &amp; Flowchart</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_Toc248735418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56</w:t>
      </w:r>
      <w:r w:rsidRPr="003532D0">
        <w:rPr>
          <w:rFonts w:ascii="Arial" w:eastAsia="Times New Roman" w:hAnsi="Arial" w:cs="Arial"/>
          <w:bCs/>
          <w:i/>
          <w:noProof/>
          <w:sz w:val="20"/>
          <w:szCs w:val="20"/>
        </w:rPr>
        <w:fldChar w:fldCharType="end"/>
      </w:r>
    </w:p>
    <w:p w14:paraId="25F00E16"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noProof/>
          <w:sz w:val="20"/>
          <w:szCs w:val="20"/>
        </w:rPr>
        <w:t>2.2.1 Table of events - Summary of study procedures</w:t>
      </w:r>
      <w:r w:rsidRPr="003532D0">
        <w:rPr>
          <w:rFonts w:ascii="Arial" w:eastAsia="Times New Roman" w:hAnsi="Arial" w:cs="Arial"/>
          <w:bCs/>
          <w:noProof/>
          <w:sz w:val="20"/>
          <w:szCs w:val="20"/>
        </w:rPr>
        <w:tab/>
      </w:r>
      <w:r w:rsidRPr="003532D0">
        <w:rPr>
          <w:rFonts w:ascii="Arial" w:eastAsia="Times New Roman" w:hAnsi="Arial" w:cs="Arial"/>
          <w:bCs/>
          <w:noProof/>
          <w:sz w:val="20"/>
          <w:szCs w:val="20"/>
        </w:rPr>
        <w:fldChar w:fldCharType="begin"/>
      </w:r>
      <w:r w:rsidRPr="003532D0">
        <w:rPr>
          <w:rFonts w:ascii="Arial" w:eastAsia="Times New Roman" w:hAnsi="Arial" w:cs="Arial"/>
          <w:bCs/>
          <w:noProof/>
          <w:sz w:val="20"/>
          <w:szCs w:val="20"/>
        </w:rPr>
        <w:instrText xml:space="preserve"> PAGEREF _Toc248735419 \h </w:instrText>
      </w:r>
      <w:r w:rsidRPr="003532D0">
        <w:rPr>
          <w:rFonts w:ascii="Arial" w:eastAsia="Times New Roman" w:hAnsi="Arial" w:cs="Arial"/>
          <w:bCs/>
          <w:noProof/>
          <w:sz w:val="20"/>
          <w:szCs w:val="20"/>
        </w:rPr>
      </w:r>
      <w:r w:rsidRPr="003532D0">
        <w:rPr>
          <w:rFonts w:ascii="Arial" w:eastAsia="Times New Roman" w:hAnsi="Arial" w:cs="Arial"/>
          <w:bCs/>
          <w:noProof/>
          <w:sz w:val="20"/>
          <w:szCs w:val="20"/>
        </w:rPr>
        <w:fldChar w:fldCharType="separate"/>
      </w:r>
      <w:r w:rsidRPr="003532D0">
        <w:rPr>
          <w:rFonts w:ascii="Arial" w:eastAsia="Times New Roman" w:hAnsi="Arial" w:cs="Arial"/>
          <w:bCs/>
          <w:noProof/>
          <w:sz w:val="20"/>
          <w:szCs w:val="20"/>
        </w:rPr>
        <w:t>57</w:t>
      </w:r>
      <w:r w:rsidRPr="003532D0">
        <w:rPr>
          <w:rFonts w:ascii="Arial" w:eastAsia="Times New Roman" w:hAnsi="Arial" w:cs="Arial"/>
          <w:bCs/>
          <w:noProof/>
          <w:sz w:val="20"/>
          <w:szCs w:val="20"/>
        </w:rPr>
        <w:fldChar w:fldCharType="end"/>
      </w:r>
    </w:p>
    <w:p w14:paraId="05593863"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2.3 Trial Flowchart</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_Toc248735420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59</w:t>
      </w:r>
      <w:r w:rsidRPr="003532D0">
        <w:rPr>
          <w:rFonts w:ascii="Arial" w:eastAsia="Times New Roman" w:hAnsi="Arial" w:cs="Arial"/>
          <w:bCs/>
          <w:i/>
          <w:noProof/>
          <w:sz w:val="20"/>
          <w:szCs w:val="20"/>
        </w:rPr>
        <w:fldChar w:fldCharType="end"/>
      </w:r>
    </w:p>
    <w:p w14:paraId="4AD4F200"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3 Trial Medication</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_Toc248735421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60</w:t>
      </w:r>
      <w:r w:rsidRPr="003532D0">
        <w:rPr>
          <w:rFonts w:ascii="Arial" w:eastAsia="Times New Roman" w:hAnsi="Arial" w:cs="Arial"/>
          <w:b/>
          <w:bCs/>
          <w:noProof/>
          <w:sz w:val="20"/>
          <w:szCs w:val="20"/>
        </w:rPr>
        <w:fldChar w:fldCharType="end"/>
      </w:r>
    </w:p>
    <w:p w14:paraId="6654C124"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3.1 Investigational Medical Products and dosing regimen</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_Toc248735422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60</w:t>
      </w:r>
      <w:r w:rsidRPr="003532D0">
        <w:rPr>
          <w:rFonts w:ascii="Arial" w:eastAsia="Times New Roman" w:hAnsi="Arial" w:cs="Arial"/>
          <w:bCs/>
          <w:i/>
          <w:noProof/>
          <w:sz w:val="20"/>
          <w:szCs w:val="20"/>
        </w:rPr>
        <w:fldChar w:fldCharType="end"/>
      </w:r>
    </w:p>
    <w:p w14:paraId="5C82656E"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3.2 Drug Accountability</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_Toc248735423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60</w:t>
      </w:r>
      <w:r w:rsidRPr="003532D0">
        <w:rPr>
          <w:rFonts w:ascii="Arial" w:eastAsia="Times New Roman" w:hAnsi="Arial" w:cs="Arial"/>
          <w:bCs/>
          <w:i/>
          <w:noProof/>
          <w:sz w:val="20"/>
          <w:szCs w:val="20"/>
        </w:rPr>
        <w:fldChar w:fldCharType="end"/>
      </w:r>
    </w:p>
    <w:p w14:paraId="117A279F"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3.3 Subject Compliance</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_Toc248735424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60</w:t>
      </w:r>
      <w:r w:rsidRPr="003532D0">
        <w:rPr>
          <w:rFonts w:ascii="Arial" w:eastAsia="Times New Roman" w:hAnsi="Arial" w:cs="Arial"/>
          <w:bCs/>
          <w:i/>
          <w:noProof/>
          <w:sz w:val="20"/>
          <w:szCs w:val="20"/>
        </w:rPr>
        <w:fldChar w:fldCharType="end"/>
      </w:r>
    </w:p>
    <w:p w14:paraId="164EBF81"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3.4 Concomitant Medication</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_Toc248735425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60</w:t>
      </w:r>
      <w:r w:rsidRPr="003532D0">
        <w:rPr>
          <w:rFonts w:ascii="Arial" w:eastAsia="Times New Roman" w:hAnsi="Arial" w:cs="Arial"/>
          <w:bCs/>
          <w:i/>
          <w:noProof/>
          <w:sz w:val="20"/>
          <w:szCs w:val="20"/>
        </w:rPr>
        <w:fldChar w:fldCharType="end"/>
      </w:r>
    </w:p>
    <w:p w14:paraId="661568F0"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4.  Selection and Withdrawal of Subjects</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_Toc248735426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60</w:t>
      </w:r>
      <w:r w:rsidRPr="003532D0">
        <w:rPr>
          <w:rFonts w:ascii="Arial" w:eastAsia="Times New Roman" w:hAnsi="Arial" w:cs="Arial"/>
          <w:b/>
          <w:bCs/>
          <w:noProof/>
          <w:sz w:val="20"/>
          <w:szCs w:val="20"/>
        </w:rPr>
        <w:fldChar w:fldCharType="end"/>
      </w:r>
    </w:p>
    <w:p w14:paraId="5E67BE6A"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4.1 Inclusion Criteria</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_Toc248735427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60</w:t>
      </w:r>
      <w:r w:rsidRPr="003532D0">
        <w:rPr>
          <w:rFonts w:ascii="Arial" w:eastAsia="Times New Roman" w:hAnsi="Arial" w:cs="Arial"/>
          <w:bCs/>
          <w:i/>
          <w:noProof/>
          <w:sz w:val="20"/>
          <w:szCs w:val="20"/>
        </w:rPr>
        <w:fldChar w:fldCharType="end"/>
      </w:r>
    </w:p>
    <w:p w14:paraId="4D00D2AE"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4.2 Exclusion Criteria</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_Toc248735428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60</w:t>
      </w:r>
      <w:r w:rsidRPr="003532D0">
        <w:rPr>
          <w:rFonts w:ascii="Arial" w:eastAsia="Times New Roman" w:hAnsi="Arial" w:cs="Arial"/>
          <w:bCs/>
          <w:i/>
          <w:noProof/>
          <w:sz w:val="20"/>
          <w:szCs w:val="20"/>
        </w:rPr>
        <w:fldChar w:fldCharType="end"/>
      </w:r>
    </w:p>
    <w:p w14:paraId="339F45D0"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4.3 Selection of Participants</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_Toc248735429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61</w:t>
      </w:r>
      <w:r w:rsidRPr="003532D0">
        <w:rPr>
          <w:rFonts w:ascii="Arial" w:eastAsia="Times New Roman" w:hAnsi="Arial" w:cs="Arial"/>
          <w:bCs/>
          <w:i/>
          <w:noProof/>
          <w:sz w:val="20"/>
          <w:szCs w:val="20"/>
        </w:rPr>
        <w:fldChar w:fldCharType="end"/>
      </w:r>
    </w:p>
    <w:p w14:paraId="004605EC"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lastRenderedPageBreak/>
        <w:t>4.4 Randomisation Procedure / Code Break</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_Toc248735430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61</w:t>
      </w:r>
      <w:r w:rsidRPr="003532D0">
        <w:rPr>
          <w:rFonts w:ascii="Arial" w:eastAsia="Times New Roman" w:hAnsi="Arial" w:cs="Arial"/>
          <w:bCs/>
          <w:i/>
          <w:noProof/>
          <w:sz w:val="20"/>
          <w:szCs w:val="20"/>
        </w:rPr>
        <w:fldChar w:fldCharType="end"/>
      </w:r>
    </w:p>
    <w:p w14:paraId="195DDB8B"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4.5 Withdrawal of Subjects</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_Toc248735431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62</w:t>
      </w:r>
      <w:r w:rsidRPr="003532D0">
        <w:rPr>
          <w:rFonts w:ascii="Arial" w:eastAsia="Times New Roman" w:hAnsi="Arial" w:cs="Arial"/>
          <w:bCs/>
          <w:i/>
          <w:noProof/>
          <w:sz w:val="20"/>
          <w:szCs w:val="20"/>
        </w:rPr>
        <w:fldChar w:fldCharType="end"/>
      </w:r>
    </w:p>
    <w:p w14:paraId="40BC2ECD"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4.6 Expected Duration of Trial</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_Toc248735432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62</w:t>
      </w:r>
      <w:r w:rsidRPr="003532D0">
        <w:rPr>
          <w:rFonts w:ascii="Arial" w:eastAsia="Times New Roman" w:hAnsi="Arial" w:cs="Arial"/>
          <w:bCs/>
          <w:i/>
          <w:noProof/>
          <w:sz w:val="20"/>
          <w:szCs w:val="20"/>
        </w:rPr>
        <w:fldChar w:fldCharType="end"/>
      </w:r>
    </w:p>
    <w:p w14:paraId="0E5C4560"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5. Trial Procedures</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_Toc248735433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63</w:t>
      </w:r>
      <w:r w:rsidRPr="003532D0">
        <w:rPr>
          <w:rFonts w:ascii="Arial" w:eastAsia="Times New Roman" w:hAnsi="Arial" w:cs="Arial"/>
          <w:b/>
          <w:bCs/>
          <w:noProof/>
          <w:sz w:val="20"/>
          <w:szCs w:val="20"/>
        </w:rPr>
        <w:fldChar w:fldCharType="end"/>
      </w:r>
    </w:p>
    <w:p w14:paraId="04DE23D5"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5.1 By Visit</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_Toc248735434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63</w:t>
      </w:r>
      <w:r w:rsidRPr="003532D0">
        <w:rPr>
          <w:rFonts w:ascii="Arial" w:eastAsia="Times New Roman" w:hAnsi="Arial" w:cs="Arial"/>
          <w:bCs/>
          <w:i/>
          <w:noProof/>
          <w:sz w:val="20"/>
          <w:szCs w:val="20"/>
        </w:rPr>
        <w:fldChar w:fldCharType="end"/>
      </w:r>
    </w:p>
    <w:p w14:paraId="59115F72"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5.2 Laboratory Tests</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_Toc248735435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65</w:t>
      </w:r>
      <w:r w:rsidRPr="003532D0">
        <w:rPr>
          <w:rFonts w:ascii="Arial" w:eastAsia="Times New Roman" w:hAnsi="Arial" w:cs="Arial"/>
          <w:bCs/>
          <w:i/>
          <w:noProof/>
          <w:sz w:val="20"/>
          <w:szCs w:val="20"/>
        </w:rPr>
        <w:fldChar w:fldCharType="end"/>
      </w:r>
    </w:p>
    <w:p w14:paraId="0A8773AE"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noProof/>
          <w:sz w:val="20"/>
          <w:szCs w:val="20"/>
        </w:rPr>
        <w:t>5.2.1 HLA Ab analysis:</w:t>
      </w:r>
      <w:r w:rsidRPr="003532D0">
        <w:rPr>
          <w:rFonts w:ascii="Arial" w:eastAsia="Times New Roman" w:hAnsi="Arial" w:cs="Arial"/>
          <w:bCs/>
          <w:noProof/>
          <w:sz w:val="20"/>
          <w:szCs w:val="20"/>
        </w:rPr>
        <w:tab/>
      </w:r>
      <w:r w:rsidRPr="003532D0">
        <w:rPr>
          <w:rFonts w:ascii="Arial" w:eastAsia="Times New Roman" w:hAnsi="Arial" w:cs="Arial"/>
          <w:bCs/>
          <w:noProof/>
          <w:sz w:val="20"/>
          <w:szCs w:val="20"/>
        </w:rPr>
        <w:fldChar w:fldCharType="begin"/>
      </w:r>
      <w:r w:rsidRPr="003532D0">
        <w:rPr>
          <w:rFonts w:ascii="Arial" w:eastAsia="Times New Roman" w:hAnsi="Arial" w:cs="Arial"/>
          <w:bCs/>
          <w:noProof/>
          <w:sz w:val="20"/>
          <w:szCs w:val="20"/>
        </w:rPr>
        <w:instrText xml:space="preserve"> PAGEREF _Toc248735436 \h </w:instrText>
      </w:r>
      <w:r w:rsidRPr="003532D0">
        <w:rPr>
          <w:rFonts w:ascii="Arial" w:eastAsia="Times New Roman" w:hAnsi="Arial" w:cs="Arial"/>
          <w:bCs/>
          <w:noProof/>
          <w:sz w:val="20"/>
          <w:szCs w:val="20"/>
        </w:rPr>
      </w:r>
      <w:r w:rsidRPr="003532D0">
        <w:rPr>
          <w:rFonts w:ascii="Arial" w:eastAsia="Times New Roman" w:hAnsi="Arial" w:cs="Arial"/>
          <w:bCs/>
          <w:noProof/>
          <w:sz w:val="20"/>
          <w:szCs w:val="20"/>
        </w:rPr>
        <w:fldChar w:fldCharType="separate"/>
      </w:r>
      <w:r w:rsidRPr="003532D0">
        <w:rPr>
          <w:rFonts w:ascii="Arial" w:eastAsia="Times New Roman" w:hAnsi="Arial" w:cs="Arial"/>
          <w:bCs/>
          <w:noProof/>
          <w:sz w:val="20"/>
          <w:szCs w:val="20"/>
        </w:rPr>
        <w:t>65</w:t>
      </w:r>
      <w:r w:rsidRPr="003532D0">
        <w:rPr>
          <w:rFonts w:ascii="Arial" w:eastAsia="Times New Roman" w:hAnsi="Arial" w:cs="Arial"/>
          <w:bCs/>
          <w:noProof/>
          <w:sz w:val="20"/>
          <w:szCs w:val="20"/>
        </w:rPr>
        <w:fldChar w:fldCharType="end"/>
      </w:r>
    </w:p>
    <w:p w14:paraId="096D96D5"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noProof/>
          <w:sz w:val="20"/>
          <w:szCs w:val="20"/>
        </w:rPr>
        <w:t>5.2.2 Routine biochemical, haematological and calcineurin inhibitor trough analysis:</w:t>
      </w:r>
      <w:r w:rsidRPr="003532D0">
        <w:rPr>
          <w:rFonts w:ascii="Arial" w:eastAsia="Times New Roman" w:hAnsi="Arial" w:cs="Arial"/>
          <w:bCs/>
          <w:noProof/>
          <w:sz w:val="20"/>
          <w:szCs w:val="20"/>
        </w:rPr>
        <w:tab/>
      </w:r>
      <w:r w:rsidRPr="003532D0">
        <w:rPr>
          <w:rFonts w:ascii="Arial" w:eastAsia="Times New Roman" w:hAnsi="Arial" w:cs="Arial"/>
          <w:bCs/>
          <w:noProof/>
          <w:sz w:val="20"/>
          <w:szCs w:val="20"/>
        </w:rPr>
        <w:fldChar w:fldCharType="begin"/>
      </w:r>
      <w:r w:rsidRPr="003532D0">
        <w:rPr>
          <w:rFonts w:ascii="Arial" w:eastAsia="Times New Roman" w:hAnsi="Arial" w:cs="Arial"/>
          <w:bCs/>
          <w:noProof/>
          <w:sz w:val="20"/>
          <w:szCs w:val="20"/>
        </w:rPr>
        <w:instrText xml:space="preserve"> PAGEREF _Toc248735437 \h </w:instrText>
      </w:r>
      <w:r w:rsidRPr="003532D0">
        <w:rPr>
          <w:rFonts w:ascii="Arial" w:eastAsia="Times New Roman" w:hAnsi="Arial" w:cs="Arial"/>
          <w:bCs/>
          <w:noProof/>
          <w:sz w:val="20"/>
          <w:szCs w:val="20"/>
        </w:rPr>
      </w:r>
      <w:r w:rsidRPr="003532D0">
        <w:rPr>
          <w:rFonts w:ascii="Arial" w:eastAsia="Times New Roman" w:hAnsi="Arial" w:cs="Arial"/>
          <w:bCs/>
          <w:noProof/>
          <w:sz w:val="20"/>
          <w:szCs w:val="20"/>
        </w:rPr>
        <w:fldChar w:fldCharType="separate"/>
      </w:r>
      <w:r w:rsidRPr="003532D0">
        <w:rPr>
          <w:rFonts w:ascii="Arial" w:eastAsia="Times New Roman" w:hAnsi="Arial" w:cs="Arial"/>
          <w:bCs/>
          <w:noProof/>
          <w:sz w:val="20"/>
          <w:szCs w:val="20"/>
        </w:rPr>
        <w:t>66</w:t>
      </w:r>
      <w:r w:rsidRPr="003532D0">
        <w:rPr>
          <w:rFonts w:ascii="Arial" w:eastAsia="Times New Roman" w:hAnsi="Arial" w:cs="Arial"/>
          <w:bCs/>
          <w:noProof/>
          <w:sz w:val="20"/>
          <w:szCs w:val="20"/>
        </w:rPr>
        <w:fldChar w:fldCharType="end"/>
      </w:r>
    </w:p>
    <w:p w14:paraId="4C401AD5"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noProof/>
          <w:sz w:val="20"/>
          <w:szCs w:val="20"/>
        </w:rPr>
        <w:t>5.2.3 Scientific laboratory analysis:</w:t>
      </w:r>
      <w:r w:rsidRPr="003532D0">
        <w:rPr>
          <w:rFonts w:ascii="Arial" w:eastAsia="Times New Roman" w:hAnsi="Arial" w:cs="Arial"/>
          <w:bCs/>
          <w:noProof/>
          <w:sz w:val="20"/>
          <w:szCs w:val="20"/>
        </w:rPr>
        <w:tab/>
      </w:r>
      <w:r w:rsidRPr="003532D0">
        <w:rPr>
          <w:rFonts w:ascii="Arial" w:eastAsia="Times New Roman" w:hAnsi="Arial" w:cs="Arial"/>
          <w:bCs/>
          <w:noProof/>
          <w:sz w:val="20"/>
          <w:szCs w:val="20"/>
        </w:rPr>
        <w:fldChar w:fldCharType="begin"/>
      </w:r>
      <w:r w:rsidRPr="003532D0">
        <w:rPr>
          <w:rFonts w:ascii="Arial" w:eastAsia="Times New Roman" w:hAnsi="Arial" w:cs="Arial"/>
          <w:bCs/>
          <w:noProof/>
          <w:sz w:val="20"/>
          <w:szCs w:val="20"/>
        </w:rPr>
        <w:instrText xml:space="preserve"> PAGEREF _Toc248735438 \h </w:instrText>
      </w:r>
      <w:r w:rsidRPr="003532D0">
        <w:rPr>
          <w:rFonts w:ascii="Arial" w:eastAsia="Times New Roman" w:hAnsi="Arial" w:cs="Arial"/>
          <w:bCs/>
          <w:noProof/>
          <w:sz w:val="20"/>
          <w:szCs w:val="20"/>
        </w:rPr>
      </w:r>
      <w:r w:rsidRPr="003532D0">
        <w:rPr>
          <w:rFonts w:ascii="Arial" w:eastAsia="Times New Roman" w:hAnsi="Arial" w:cs="Arial"/>
          <w:bCs/>
          <w:noProof/>
          <w:sz w:val="20"/>
          <w:szCs w:val="20"/>
        </w:rPr>
        <w:fldChar w:fldCharType="separate"/>
      </w:r>
      <w:r w:rsidRPr="003532D0">
        <w:rPr>
          <w:rFonts w:ascii="Arial" w:eastAsia="Times New Roman" w:hAnsi="Arial" w:cs="Arial"/>
          <w:bCs/>
          <w:noProof/>
          <w:sz w:val="20"/>
          <w:szCs w:val="20"/>
        </w:rPr>
        <w:t>66</w:t>
      </w:r>
      <w:r w:rsidRPr="003532D0">
        <w:rPr>
          <w:rFonts w:ascii="Arial" w:eastAsia="Times New Roman" w:hAnsi="Arial" w:cs="Arial"/>
          <w:bCs/>
          <w:noProof/>
          <w:sz w:val="20"/>
          <w:szCs w:val="20"/>
        </w:rPr>
        <w:fldChar w:fldCharType="end"/>
      </w:r>
    </w:p>
    <w:p w14:paraId="525232B9"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6 Assessment of Efficacy</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_Toc248735439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66</w:t>
      </w:r>
      <w:r w:rsidRPr="003532D0">
        <w:rPr>
          <w:rFonts w:ascii="Arial" w:eastAsia="Times New Roman" w:hAnsi="Arial" w:cs="Arial"/>
          <w:b/>
          <w:bCs/>
          <w:noProof/>
          <w:sz w:val="20"/>
          <w:szCs w:val="20"/>
        </w:rPr>
        <w:fldChar w:fldCharType="end"/>
      </w:r>
    </w:p>
    <w:p w14:paraId="3670B8C7"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6.1.1 Primary Efficacy Parameters</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_Toc248735440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66</w:t>
      </w:r>
      <w:r w:rsidRPr="003532D0">
        <w:rPr>
          <w:rFonts w:ascii="Arial" w:eastAsia="Times New Roman" w:hAnsi="Arial" w:cs="Arial"/>
          <w:bCs/>
          <w:i/>
          <w:noProof/>
          <w:sz w:val="20"/>
          <w:szCs w:val="20"/>
        </w:rPr>
        <w:fldChar w:fldCharType="end"/>
      </w:r>
    </w:p>
    <w:p w14:paraId="1D6D6E68"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6.1.2 Secondary Efficacy Parameters</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_Toc248735441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66</w:t>
      </w:r>
      <w:r w:rsidRPr="003532D0">
        <w:rPr>
          <w:rFonts w:ascii="Arial" w:eastAsia="Times New Roman" w:hAnsi="Arial" w:cs="Arial"/>
          <w:bCs/>
          <w:i/>
          <w:noProof/>
          <w:sz w:val="20"/>
          <w:szCs w:val="20"/>
        </w:rPr>
        <w:fldChar w:fldCharType="end"/>
      </w:r>
    </w:p>
    <w:p w14:paraId="0A314388"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6.2 Procedures for Assessing Efficacy Parameters</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_Toc248735442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66</w:t>
      </w:r>
      <w:r w:rsidRPr="003532D0">
        <w:rPr>
          <w:rFonts w:ascii="Arial" w:eastAsia="Times New Roman" w:hAnsi="Arial" w:cs="Arial"/>
          <w:bCs/>
          <w:i/>
          <w:noProof/>
          <w:sz w:val="20"/>
          <w:szCs w:val="20"/>
        </w:rPr>
        <w:fldChar w:fldCharType="end"/>
      </w:r>
    </w:p>
    <w:p w14:paraId="1EF87147"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7. Assessment of Safety</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_Toc248735443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67</w:t>
      </w:r>
      <w:r w:rsidRPr="003532D0">
        <w:rPr>
          <w:rFonts w:ascii="Arial" w:eastAsia="Times New Roman" w:hAnsi="Arial" w:cs="Arial"/>
          <w:b/>
          <w:bCs/>
          <w:noProof/>
          <w:sz w:val="20"/>
          <w:szCs w:val="20"/>
        </w:rPr>
        <w:fldChar w:fldCharType="end"/>
      </w:r>
    </w:p>
    <w:p w14:paraId="3C1E8576"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7.1 Specification, Timing and Recording of Safety Parameters.</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_Toc248735444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67</w:t>
      </w:r>
      <w:r w:rsidRPr="003532D0">
        <w:rPr>
          <w:rFonts w:ascii="Arial" w:eastAsia="Times New Roman" w:hAnsi="Arial" w:cs="Arial"/>
          <w:bCs/>
          <w:i/>
          <w:noProof/>
          <w:sz w:val="20"/>
          <w:szCs w:val="20"/>
        </w:rPr>
        <w:fldChar w:fldCharType="end"/>
      </w:r>
    </w:p>
    <w:p w14:paraId="79F2E372"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7.2  Procedures for Recording and Reporting Adverse Events</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_Toc248735445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68</w:t>
      </w:r>
      <w:r w:rsidRPr="003532D0">
        <w:rPr>
          <w:rFonts w:ascii="Arial" w:eastAsia="Times New Roman" w:hAnsi="Arial" w:cs="Arial"/>
          <w:bCs/>
          <w:i/>
          <w:noProof/>
          <w:sz w:val="20"/>
          <w:szCs w:val="20"/>
        </w:rPr>
        <w:fldChar w:fldCharType="end"/>
      </w:r>
    </w:p>
    <w:p w14:paraId="760C759C"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7.3 Reporting Responsibilities</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_Toc248735446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69</w:t>
      </w:r>
      <w:r w:rsidRPr="003532D0">
        <w:rPr>
          <w:rFonts w:ascii="Arial" w:eastAsia="Times New Roman" w:hAnsi="Arial" w:cs="Arial"/>
          <w:bCs/>
          <w:i/>
          <w:noProof/>
          <w:sz w:val="20"/>
          <w:szCs w:val="20"/>
        </w:rPr>
        <w:fldChar w:fldCharType="end"/>
      </w:r>
    </w:p>
    <w:p w14:paraId="5708E2C6"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noProof/>
          <w:sz w:val="20"/>
          <w:szCs w:val="20"/>
        </w:rPr>
        <w:t>7.3.1 Adverse events that do not require reporting</w:t>
      </w:r>
      <w:r w:rsidRPr="003532D0">
        <w:rPr>
          <w:rFonts w:ascii="Arial" w:eastAsia="Times New Roman" w:hAnsi="Arial" w:cs="Arial"/>
          <w:bCs/>
          <w:noProof/>
          <w:sz w:val="20"/>
          <w:szCs w:val="20"/>
        </w:rPr>
        <w:tab/>
      </w:r>
      <w:r w:rsidRPr="003532D0">
        <w:rPr>
          <w:rFonts w:ascii="Arial" w:eastAsia="Times New Roman" w:hAnsi="Arial" w:cs="Arial"/>
          <w:bCs/>
          <w:noProof/>
          <w:sz w:val="20"/>
          <w:szCs w:val="20"/>
        </w:rPr>
        <w:fldChar w:fldCharType="begin"/>
      </w:r>
      <w:r w:rsidRPr="003532D0">
        <w:rPr>
          <w:rFonts w:ascii="Arial" w:eastAsia="Times New Roman" w:hAnsi="Arial" w:cs="Arial"/>
          <w:bCs/>
          <w:noProof/>
          <w:sz w:val="20"/>
          <w:szCs w:val="20"/>
        </w:rPr>
        <w:instrText xml:space="preserve"> PAGEREF _Toc248735447 \h </w:instrText>
      </w:r>
      <w:r w:rsidRPr="003532D0">
        <w:rPr>
          <w:rFonts w:ascii="Arial" w:eastAsia="Times New Roman" w:hAnsi="Arial" w:cs="Arial"/>
          <w:bCs/>
          <w:noProof/>
          <w:sz w:val="20"/>
          <w:szCs w:val="20"/>
        </w:rPr>
      </w:r>
      <w:r w:rsidRPr="003532D0">
        <w:rPr>
          <w:rFonts w:ascii="Arial" w:eastAsia="Times New Roman" w:hAnsi="Arial" w:cs="Arial"/>
          <w:bCs/>
          <w:noProof/>
          <w:sz w:val="20"/>
          <w:szCs w:val="20"/>
        </w:rPr>
        <w:fldChar w:fldCharType="separate"/>
      </w:r>
      <w:r w:rsidRPr="003532D0">
        <w:rPr>
          <w:rFonts w:ascii="Arial" w:eastAsia="Times New Roman" w:hAnsi="Arial" w:cs="Arial"/>
          <w:bCs/>
          <w:noProof/>
          <w:sz w:val="20"/>
          <w:szCs w:val="20"/>
        </w:rPr>
        <w:t>69</w:t>
      </w:r>
      <w:r w:rsidRPr="003532D0">
        <w:rPr>
          <w:rFonts w:ascii="Arial" w:eastAsia="Times New Roman" w:hAnsi="Arial" w:cs="Arial"/>
          <w:bCs/>
          <w:noProof/>
          <w:sz w:val="20"/>
          <w:szCs w:val="20"/>
        </w:rPr>
        <w:fldChar w:fldCharType="end"/>
      </w:r>
    </w:p>
    <w:p w14:paraId="0AF09E93"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7.4 Treatment Stopping Rules</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_Toc248735448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70</w:t>
      </w:r>
      <w:r w:rsidRPr="003532D0">
        <w:rPr>
          <w:rFonts w:ascii="Arial" w:eastAsia="Times New Roman" w:hAnsi="Arial" w:cs="Arial"/>
          <w:bCs/>
          <w:i/>
          <w:noProof/>
          <w:sz w:val="20"/>
          <w:szCs w:val="20"/>
        </w:rPr>
        <w:fldChar w:fldCharType="end"/>
      </w:r>
    </w:p>
    <w:p w14:paraId="4C001C4F"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8. Statistics</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_Toc248735449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70</w:t>
      </w:r>
      <w:r w:rsidRPr="003532D0">
        <w:rPr>
          <w:rFonts w:ascii="Arial" w:eastAsia="Times New Roman" w:hAnsi="Arial" w:cs="Arial"/>
          <w:b/>
          <w:bCs/>
          <w:noProof/>
          <w:sz w:val="20"/>
          <w:szCs w:val="20"/>
        </w:rPr>
        <w:fldChar w:fldCharType="end"/>
      </w:r>
    </w:p>
    <w:p w14:paraId="3B4AD14D"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8.1 Sample Size</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_Toc248735450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70</w:t>
      </w:r>
      <w:r w:rsidRPr="003532D0">
        <w:rPr>
          <w:rFonts w:ascii="Arial" w:eastAsia="Times New Roman" w:hAnsi="Arial" w:cs="Arial"/>
          <w:bCs/>
          <w:i/>
          <w:noProof/>
          <w:sz w:val="20"/>
          <w:szCs w:val="20"/>
        </w:rPr>
        <w:fldChar w:fldCharType="end"/>
      </w:r>
    </w:p>
    <w:p w14:paraId="404C3F34"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8.2 Randomisation</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_Toc248735451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72</w:t>
      </w:r>
      <w:r w:rsidRPr="003532D0">
        <w:rPr>
          <w:rFonts w:ascii="Arial" w:eastAsia="Times New Roman" w:hAnsi="Arial" w:cs="Arial"/>
          <w:bCs/>
          <w:i/>
          <w:noProof/>
          <w:sz w:val="20"/>
          <w:szCs w:val="20"/>
        </w:rPr>
        <w:fldChar w:fldCharType="end"/>
      </w:r>
    </w:p>
    <w:p w14:paraId="48218BA0"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Cs/>
          <w:i/>
          <w:noProof/>
          <w:sz w:val="20"/>
          <w:szCs w:val="20"/>
        </w:rPr>
        <w:t>8.3 Analysis</w:t>
      </w:r>
      <w:r w:rsidRPr="003532D0">
        <w:rPr>
          <w:rFonts w:ascii="Arial" w:eastAsia="Times New Roman" w:hAnsi="Arial" w:cs="Arial"/>
          <w:bCs/>
          <w:i/>
          <w:noProof/>
          <w:sz w:val="20"/>
          <w:szCs w:val="20"/>
        </w:rPr>
        <w:tab/>
      </w:r>
      <w:r w:rsidRPr="003532D0">
        <w:rPr>
          <w:rFonts w:ascii="Arial" w:eastAsia="Times New Roman" w:hAnsi="Arial" w:cs="Arial"/>
          <w:bCs/>
          <w:i/>
          <w:noProof/>
          <w:sz w:val="20"/>
          <w:szCs w:val="20"/>
        </w:rPr>
        <w:fldChar w:fldCharType="begin"/>
      </w:r>
      <w:r w:rsidRPr="003532D0">
        <w:rPr>
          <w:rFonts w:ascii="Arial" w:eastAsia="Times New Roman" w:hAnsi="Arial" w:cs="Arial"/>
          <w:bCs/>
          <w:i/>
          <w:noProof/>
          <w:sz w:val="20"/>
          <w:szCs w:val="20"/>
        </w:rPr>
        <w:instrText xml:space="preserve"> PAGEREF _Toc248735452 \h </w:instrText>
      </w:r>
      <w:r w:rsidRPr="003532D0">
        <w:rPr>
          <w:rFonts w:ascii="Arial" w:eastAsia="Times New Roman" w:hAnsi="Arial" w:cs="Arial"/>
          <w:bCs/>
          <w:i/>
          <w:noProof/>
          <w:sz w:val="20"/>
          <w:szCs w:val="20"/>
        </w:rPr>
      </w:r>
      <w:r w:rsidRPr="003532D0">
        <w:rPr>
          <w:rFonts w:ascii="Arial" w:eastAsia="Times New Roman" w:hAnsi="Arial" w:cs="Arial"/>
          <w:bCs/>
          <w:i/>
          <w:noProof/>
          <w:sz w:val="20"/>
          <w:szCs w:val="20"/>
        </w:rPr>
        <w:fldChar w:fldCharType="separate"/>
      </w:r>
      <w:r w:rsidRPr="003532D0">
        <w:rPr>
          <w:rFonts w:ascii="Arial" w:eastAsia="Times New Roman" w:hAnsi="Arial" w:cs="Arial"/>
          <w:bCs/>
          <w:i/>
          <w:noProof/>
          <w:sz w:val="20"/>
          <w:szCs w:val="20"/>
        </w:rPr>
        <w:t>72</w:t>
      </w:r>
      <w:r w:rsidRPr="003532D0">
        <w:rPr>
          <w:rFonts w:ascii="Arial" w:eastAsia="Times New Roman" w:hAnsi="Arial" w:cs="Arial"/>
          <w:bCs/>
          <w:i/>
          <w:noProof/>
          <w:sz w:val="20"/>
          <w:szCs w:val="20"/>
        </w:rPr>
        <w:fldChar w:fldCharType="end"/>
      </w:r>
    </w:p>
    <w:p w14:paraId="49F65BE1"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9. Trial Steering Committee</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_Toc248735453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73</w:t>
      </w:r>
      <w:r w:rsidRPr="003532D0">
        <w:rPr>
          <w:rFonts w:ascii="Arial" w:eastAsia="Times New Roman" w:hAnsi="Arial" w:cs="Arial"/>
          <w:b/>
          <w:bCs/>
          <w:noProof/>
          <w:sz w:val="20"/>
          <w:szCs w:val="20"/>
        </w:rPr>
        <w:fldChar w:fldCharType="end"/>
      </w:r>
    </w:p>
    <w:p w14:paraId="0B2FB004"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10. Data Monitoring Committee</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_Toc248735454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73</w:t>
      </w:r>
      <w:r w:rsidRPr="003532D0">
        <w:rPr>
          <w:rFonts w:ascii="Arial" w:eastAsia="Times New Roman" w:hAnsi="Arial" w:cs="Arial"/>
          <w:b/>
          <w:bCs/>
          <w:noProof/>
          <w:sz w:val="20"/>
          <w:szCs w:val="20"/>
        </w:rPr>
        <w:fldChar w:fldCharType="end"/>
      </w:r>
    </w:p>
    <w:p w14:paraId="3F8044CC"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11. Direct Access to Source Data and Documents</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_Toc248735455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74</w:t>
      </w:r>
      <w:r w:rsidRPr="003532D0">
        <w:rPr>
          <w:rFonts w:ascii="Arial" w:eastAsia="Times New Roman" w:hAnsi="Arial" w:cs="Arial"/>
          <w:b/>
          <w:bCs/>
          <w:noProof/>
          <w:sz w:val="20"/>
          <w:szCs w:val="20"/>
        </w:rPr>
        <w:fldChar w:fldCharType="end"/>
      </w:r>
    </w:p>
    <w:p w14:paraId="36DC1A8E"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12. Ethics &amp; Regulatory Approvals</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_Toc248735456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74</w:t>
      </w:r>
      <w:r w:rsidRPr="003532D0">
        <w:rPr>
          <w:rFonts w:ascii="Arial" w:eastAsia="Times New Roman" w:hAnsi="Arial" w:cs="Arial"/>
          <w:b/>
          <w:bCs/>
          <w:noProof/>
          <w:sz w:val="20"/>
          <w:szCs w:val="20"/>
        </w:rPr>
        <w:fldChar w:fldCharType="end"/>
      </w:r>
    </w:p>
    <w:p w14:paraId="34F38843"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13. Quality Assurance</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_Toc248735457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74</w:t>
      </w:r>
      <w:r w:rsidRPr="003532D0">
        <w:rPr>
          <w:rFonts w:ascii="Arial" w:eastAsia="Times New Roman" w:hAnsi="Arial" w:cs="Arial"/>
          <w:b/>
          <w:bCs/>
          <w:noProof/>
          <w:sz w:val="20"/>
          <w:szCs w:val="20"/>
        </w:rPr>
        <w:fldChar w:fldCharType="end"/>
      </w:r>
    </w:p>
    <w:p w14:paraId="7DBF4189"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14. Data Handling, Publication Policy and Finance</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_Toc248735458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74</w:t>
      </w:r>
      <w:r w:rsidRPr="003532D0">
        <w:rPr>
          <w:rFonts w:ascii="Arial" w:eastAsia="Times New Roman" w:hAnsi="Arial" w:cs="Arial"/>
          <w:b/>
          <w:bCs/>
          <w:noProof/>
          <w:sz w:val="20"/>
          <w:szCs w:val="20"/>
        </w:rPr>
        <w:fldChar w:fldCharType="end"/>
      </w:r>
    </w:p>
    <w:p w14:paraId="2D4224C0"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15. Data Handling</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_Toc248735459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74</w:t>
      </w:r>
      <w:r w:rsidRPr="003532D0">
        <w:rPr>
          <w:rFonts w:ascii="Arial" w:eastAsia="Times New Roman" w:hAnsi="Arial" w:cs="Arial"/>
          <w:b/>
          <w:bCs/>
          <w:noProof/>
          <w:sz w:val="20"/>
          <w:szCs w:val="20"/>
        </w:rPr>
        <w:fldChar w:fldCharType="end"/>
      </w:r>
    </w:p>
    <w:p w14:paraId="5D889684"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16. Publication Policy</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_Toc248735460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75</w:t>
      </w:r>
      <w:r w:rsidRPr="003532D0">
        <w:rPr>
          <w:rFonts w:ascii="Arial" w:eastAsia="Times New Roman" w:hAnsi="Arial" w:cs="Arial"/>
          <w:b/>
          <w:bCs/>
          <w:noProof/>
          <w:sz w:val="20"/>
          <w:szCs w:val="20"/>
        </w:rPr>
        <w:fldChar w:fldCharType="end"/>
      </w:r>
    </w:p>
    <w:p w14:paraId="5C032BB4"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17. Insurance / Indemnity</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_Toc248735461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75</w:t>
      </w:r>
      <w:r w:rsidRPr="003532D0">
        <w:rPr>
          <w:rFonts w:ascii="Arial" w:eastAsia="Times New Roman" w:hAnsi="Arial" w:cs="Arial"/>
          <w:b/>
          <w:bCs/>
          <w:noProof/>
          <w:sz w:val="20"/>
          <w:szCs w:val="20"/>
        </w:rPr>
        <w:fldChar w:fldCharType="end"/>
      </w:r>
    </w:p>
    <w:p w14:paraId="00B08BDC"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18. Financial Aspects</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_Toc248735462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75</w:t>
      </w:r>
      <w:r w:rsidRPr="003532D0">
        <w:rPr>
          <w:rFonts w:ascii="Arial" w:eastAsia="Times New Roman" w:hAnsi="Arial" w:cs="Arial"/>
          <w:b/>
          <w:bCs/>
          <w:noProof/>
          <w:sz w:val="20"/>
          <w:szCs w:val="20"/>
        </w:rPr>
        <w:fldChar w:fldCharType="end"/>
      </w:r>
    </w:p>
    <w:p w14:paraId="0FF226E1"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rPr>
        <w:t>19. Signatures</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_Toc248735463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75</w:t>
      </w:r>
      <w:r w:rsidRPr="003532D0">
        <w:rPr>
          <w:rFonts w:ascii="Arial" w:eastAsia="Times New Roman" w:hAnsi="Arial" w:cs="Arial"/>
          <w:b/>
          <w:bCs/>
          <w:noProof/>
          <w:sz w:val="20"/>
          <w:szCs w:val="20"/>
        </w:rPr>
        <w:fldChar w:fldCharType="end"/>
      </w:r>
    </w:p>
    <w:p w14:paraId="57CA42CE" w14:textId="77777777" w:rsidR="003532D0" w:rsidRPr="003532D0" w:rsidRDefault="003532D0" w:rsidP="00B875CF">
      <w:pPr>
        <w:rPr>
          <w:rFonts w:ascii="Cambria" w:eastAsia="MS Mincho" w:hAnsi="Cambria" w:cs="Times New Roman"/>
          <w:noProof/>
          <w:sz w:val="24"/>
          <w:szCs w:val="24"/>
          <w:lang w:eastAsia="ja-JP"/>
        </w:rPr>
      </w:pPr>
      <w:r w:rsidRPr="003532D0">
        <w:rPr>
          <w:rFonts w:ascii="Arial" w:eastAsia="Times New Roman" w:hAnsi="Arial" w:cs="Arial"/>
          <w:b/>
          <w:bCs/>
          <w:noProof/>
          <w:sz w:val="20"/>
          <w:szCs w:val="20"/>
          <w:lang w:val="en-US"/>
        </w:rPr>
        <w:lastRenderedPageBreak/>
        <w:t>Appendix 1</w:t>
      </w:r>
      <w:r w:rsidRPr="003532D0">
        <w:rPr>
          <w:rFonts w:ascii="Arial" w:eastAsia="Times New Roman" w:hAnsi="Arial" w:cs="Arial"/>
          <w:b/>
          <w:bCs/>
          <w:noProof/>
          <w:sz w:val="20"/>
          <w:szCs w:val="20"/>
        </w:rPr>
        <w:tab/>
      </w:r>
      <w:r w:rsidRPr="003532D0">
        <w:rPr>
          <w:rFonts w:ascii="Arial" w:eastAsia="Times New Roman" w:hAnsi="Arial" w:cs="Arial"/>
          <w:b/>
          <w:bCs/>
          <w:noProof/>
          <w:sz w:val="20"/>
          <w:szCs w:val="20"/>
        </w:rPr>
        <w:fldChar w:fldCharType="begin"/>
      </w:r>
      <w:r w:rsidRPr="003532D0">
        <w:rPr>
          <w:rFonts w:ascii="Arial" w:eastAsia="Times New Roman" w:hAnsi="Arial" w:cs="Arial"/>
          <w:b/>
          <w:bCs/>
          <w:noProof/>
          <w:sz w:val="20"/>
          <w:szCs w:val="20"/>
        </w:rPr>
        <w:instrText xml:space="preserve"> PAGEREF _Toc248735464 \h </w:instrText>
      </w:r>
      <w:r w:rsidRPr="003532D0">
        <w:rPr>
          <w:rFonts w:ascii="Arial" w:eastAsia="Times New Roman" w:hAnsi="Arial" w:cs="Arial"/>
          <w:b/>
          <w:bCs/>
          <w:noProof/>
          <w:sz w:val="20"/>
          <w:szCs w:val="20"/>
        </w:rPr>
      </w:r>
      <w:r w:rsidRPr="003532D0">
        <w:rPr>
          <w:rFonts w:ascii="Arial" w:eastAsia="Times New Roman" w:hAnsi="Arial" w:cs="Arial"/>
          <w:b/>
          <w:bCs/>
          <w:noProof/>
          <w:sz w:val="20"/>
          <w:szCs w:val="20"/>
        </w:rPr>
        <w:fldChar w:fldCharType="separate"/>
      </w:r>
      <w:r w:rsidRPr="003532D0">
        <w:rPr>
          <w:rFonts w:ascii="Arial" w:eastAsia="Times New Roman" w:hAnsi="Arial" w:cs="Arial"/>
          <w:b/>
          <w:bCs/>
          <w:noProof/>
          <w:sz w:val="20"/>
          <w:szCs w:val="20"/>
        </w:rPr>
        <w:t>76</w:t>
      </w:r>
      <w:r w:rsidRPr="003532D0">
        <w:rPr>
          <w:rFonts w:ascii="Arial" w:eastAsia="Times New Roman" w:hAnsi="Arial" w:cs="Arial"/>
          <w:b/>
          <w:bCs/>
          <w:noProof/>
          <w:sz w:val="20"/>
          <w:szCs w:val="20"/>
        </w:rPr>
        <w:fldChar w:fldCharType="end"/>
      </w:r>
    </w:p>
    <w:p w14:paraId="0571BF9B" w14:textId="77777777" w:rsidR="003532D0" w:rsidRPr="003532D0" w:rsidRDefault="003532D0" w:rsidP="00B875CF">
      <w:pPr>
        <w:rPr>
          <w:rFonts w:ascii="Arial" w:eastAsia="Times New Roman" w:hAnsi="Arial" w:cs="Arial"/>
          <w:b/>
          <w:bCs/>
          <w:sz w:val="20"/>
          <w:szCs w:val="20"/>
        </w:rPr>
      </w:pPr>
      <w:r w:rsidRPr="003532D0">
        <w:rPr>
          <w:rFonts w:ascii="Arial" w:eastAsia="Times New Roman" w:hAnsi="Arial" w:cs="Arial"/>
          <w:b/>
          <w:bCs/>
          <w:sz w:val="20"/>
          <w:szCs w:val="20"/>
        </w:rPr>
        <w:fldChar w:fldCharType="end"/>
      </w:r>
    </w:p>
    <w:p w14:paraId="77D0422C"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r w:rsidRPr="003532D0">
        <w:rPr>
          <w:rFonts w:ascii="Arial" w:eastAsia="Times New Roman" w:hAnsi="Arial" w:cs="Arial"/>
          <w:b/>
          <w:sz w:val="26"/>
          <w:szCs w:val="26"/>
        </w:rPr>
        <w:br w:type="page"/>
      </w:r>
      <w:bookmarkStart w:id="40" w:name="_Toc248735404"/>
      <w:bookmarkStart w:id="41" w:name="_Toc121909742"/>
      <w:r w:rsidRPr="003532D0">
        <w:rPr>
          <w:rFonts w:ascii="Arial" w:eastAsia="Times New Roman" w:hAnsi="Arial" w:cs="Arial"/>
          <w:b/>
          <w:sz w:val="26"/>
          <w:szCs w:val="26"/>
        </w:rPr>
        <w:lastRenderedPageBreak/>
        <w:t>1. Background &amp; Rationale</w:t>
      </w:r>
      <w:bookmarkEnd w:id="40"/>
      <w:bookmarkEnd w:id="41"/>
    </w:p>
    <w:p w14:paraId="0B8779E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problem addressed by this study is ‘premature’ transplant failure – kidney transplants do not last for the natural lifespan of most recipients. Premature in this context refers to the lifespan of the recipient</w:t>
      </w:r>
      <w:r w:rsidRPr="003532D0">
        <w:rPr>
          <w:rFonts w:ascii="Arial" w:eastAsia="Times New Roman" w:hAnsi="Arial" w:cs="Arial"/>
          <w:bCs/>
          <w:sz w:val="20"/>
          <w:szCs w:val="20"/>
          <w:vertAlign w:val="superscript"/>
        </w:rPr>
        <w:footnoteReference w:id="1"/>
      </w:r>
      <w:r w:rsidRPr="003532D0">
        <w:rPr>
          <w:rFonts w:ascii="Arial" w:eastAsia="Times New Roman" w:hAnsi="Arial" w:cs="Arial"/>
          <w:bCs/>
          <w:sz w:val="20"/>
          <w:szCs w:val="20"/>
        </w:rPr>
        <w:t xml:space="preserve">. Current death-censored 10-year transplant survival rates vary between 59 and 70%, so 30-40% of patients have their transplant for &lt; 10 years </w:t>
      </w:r>
      <w:r w:rsidRPr="003532D0">
        <w:rPr>
          <w:rFonts w:ascii="Arial" w:eastAsia="Times New Roman" w:hAnsi="Arial" w:cs="Arial"/>
          <w:bCs/>
          <w:sz w:val="20"/>
          <w:szCs w:val="20"/>
        </w:rPr>
        <w:fldChar w:fldCharType="begin"/>
      </w:r>
      <w:r w:rsidRPr="003532D0">
        <w:rPr>
          <w:rFonts w:ascii="Arial" w:eastAsia="Times New Roman" w:hAnsi="Arial" w:cs="Arial"/>
          <w:bCs/>
          <w:sz w:val="20"/>
          <w:szCs w:val="20"/>
        </w:rPr>
        <w:instrText xml:space="preserve"> ADDIN EN.CITE &lt;EndNote&gt;&lt;Cite&gt;&lt;Author&gt;Lamb&lt;/Author&gt;&lt;Year&gt;2011&lt;/Year&gt;&lt;RecNum&gt;3429&lt;/RecNum&gt;&lt;DisplayText&gt;[1]&lt;/DisplayText&gt;&lt;record&gt;&lt;rec-number&gt;3429&lt;/rec-number&gt;&lt;foreign-keys&gt;&lt;key app="EN" db-id="p9vz0d9tmeepwyewd5yvp2v2pr0xafz9xws0"&gt;3429&lt;/key&gt;&lt;key app="ENWeb" db-id="TvsdHArtqgYAADf2fTc"&gt;2900&lt;/key&gt;&lt;/foreign-keys&gt;&lt;ref-type name="Journal Article"&gt;17&lt;/ref-type&gt;&lt;contributors&gt;&lt;authors&gt;&lt;author&gt;Lamb, K. E.&lt;/author&gt;&lt;author&gt;Lodhi, S.&lt;/author&gt;&lt;author&gt;Meier-Kriesche, H. U.&lt;/author&gt;&lt;/authors&gt;&lt;/contributors&gt;&lt;auth-address&gt;Division of Nephrology, Hypertension and Transplantation, University of Florida, Gainesville, FL, USA.&lt;/auth-address&gt;&lt;titles&gt;&lt;title&gt;Long-term renal allograft survival in the United States: a critical reappraisal&lt;/title&gt;&lt;secondary-title&gt;Am J Transplant&lt;/secondary-title&gt;&lt;/titles&gt;&lt;periodical&gt;&lt;full-title&gt;Am J Transplant&lt;/full-title&gt;&lt;/periodical&gt;&lt;pages&gt;450-62&lt;/pages&gt;&lt;volume&gt;11&lt;/volume&gt;&lt;number&gt;3&lt;/number&gt;&lt;edition&gt;2010/10/27&lt;/edition&gt;&lt;keywords&gt;&lt;keyword&gt;Adolescent&lt;/keyword&gt;&lt;keyword&gt;Adult&lt;/keyword&gt;&lt;keyword&gt;*Graft Survival&lt;/keyword&gt;&lt;keyword&gt;Humans&lt;/keyword&gt;&lt;keyword&gt;Kidney Transplantation/*mortality&lt;/keyword&gt;&lt;keyword&gt;*Living Donors&lt;/keyword&gt;&lt;keyword&gt;Middle Aged&lt;/keyword&gt;&lt;keyword&gt;Survival Rate&lt;/keyword&gt;&lt;keyword&gt;Time Factors&lt;/keyword&gt;&lt;keyword&gt;*Transplantation, Homologous&lt;/keyword&gt;&lt;keyword&gt;Young Adult&lt;/keyword&gt;&lt;/keywords&gt;&lt;dates&gt;&lt;year&gt;2011&lt;/year&gt;&lt;pub-dates&gt;&lt;date&gt;Mar&lt;/date&gt;&lt;/pub-dates&gt;&lt;/dates&gt;&lt;isbn&gt;1600-6143 (Electronic)&amp;#xD;1600-6135 (Linking)&lt;/isbn&gt;&lt;accession-num&gt;20973913&lt;/accession-num&gt;&lt;urls&gt;&lt;related-urls&gt;&lt;url&gt;http://www.ncbi.nlm.nih.gov/entrez/query.fcgi?cmd=Retrieve&amp;amp;db=PubMed&amp;amp;dopt=Citation&amp;amp;list_uids=20973913 &lt;/url&gt;&lt;/related-urls&gt;&lt;/urls&gt;&lt;custom7&gt;2011&lt;/custom7&gt;&lt;electronic-resource-num&gt;10.1111/j.1600-6143.2010.03283.x&lt;/electronic-resource-num&gt;&lt;language&gt;eng&lt;/language&gt;&lt;/record&gt;&lt;/Cite&gt;&lt;/EndNote&gt;</w:instrText>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1" w:tooltip="Lamb, 2011 #3429" w:history="1">
        <w:r w:rsidRPr="003532D0">
          <w:rPr>
            <w:rFonts w:ascii="Arial" w:eastAsia="Times New Roman" w:hAnsi="Arial" w:cs="Arial"/>
            <w:bCs/>
            <w:sz w:val="20"/>
            <w:szCs w:val="20"/>
          </w:rPr>
          <w:t>1</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Since 2000, a consistent annual attrition rate of around 3% of kidney transplants </w:t>
      </w:r>
      <w:r w:rsidRPr="003532D0">
        <w:rPr>
          <w:rFonts w:ascii="Arial" w:eastAsia="Times New Roman" w:hAnsi="Arial" w:cs="Arial"/>
          <w:bCs/>
          <w:sz w:val="20"/>
          <w:szCs w:val="20"/>
        </w:rPr>
        <w:fldChar w:fldCharType="begin">
          <w:fldData xml:space="preserve">PEVuZE5vdGU+PENpdGU+PEF1dGhvcj5SYXZhbmFuPC9BdXRob3I+PFllYXI+MjAwNzwvWWVhcj48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PEVuZE5vdGU+PENpdGU+PEF1dGhvcj5SYXZhbmFuPC9BdXRob3I+PFllYXI+MjAwNzwvWWVhcj48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2" w:tooltip="Ravanan, 2007 #3367" w:history="1">
        <w:r w:rsidRPr="003532D0">
          <w:rPr>
            <w:rFonts w:ascii="Arial" w:eastAsia="Times New Roman" w:hAnsi="Arial" w:cs="Arial"/>
            <w:bCs/>
            <w:sz w:val="20"/>
            <w:szCs w:val="20"/>
          </w:rPr>
          <w:t>2</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means that approximately 700 patients return to dialysis each year in the UK. Attrition rates in the USA are similar </w:t>
      </w:r>
      <w:r w:rsidRPr="003532D0">
        <w:rPr>
          <w:rFonts w:ascii="Arial" w:eastAsia="Times New Roman" w:hAnsi="Arial" w:cs="Arial"/>
          <w:bCs/>
          <w:sz w:val="20"/>
          <w:szCs w:val="20"/>
        </w:rPr>
        <w:fldChar w:fldCharType="begin"/>
      </w:r>
      <w:r w:rsidRPr="003532D0">
        <w:rPr>
          <w:rFonts w:ascii="Arial" w:eastAsia="Times New Roman" w:hAnsi="Arial" w:cs="Arial"/>
          <w:bCs/>
          <w:sz w:val="20"/>
          <w:szCs w:val="20"/>
        </w:rPr>
        <w:instrText xml:space="preserve"> ADDIN EN.CITE &lt;EndNote&gt;&lt;Cite&gt;&lt;Author&gt;Lamb&lt;/Author&gt;&lt;Year&gt;2011&lt;/Year&gt;&lt;RecNum&gt;3429&lt;/RecNum&gt;&lt;DisplayText&gt;[1]&lt;/DisplayText&gt;&lt;record&gt;&lt;rec-number&gt;3429&lt;/rec-number&gt;&lt;foreign-keys&gt;&lt;key app="EN" db-id="p9vz0d9tmeepwyewd5yvp2v2pr0xafz9xws0"&gt;3429&lt;/key&gt;&lt;key app="ENWeb" db-id="TvsdHArtqgYAADf2fTc"&gt;2900&lt;/key&gt;&lt;/foreign-keys&gt;&lt;ref-type name="Journal Article"&gt;17&lt;/ref-type&gt;&lt;contributors&gt;&lt;authors&gt;&lt;author&gt;Lamb, K. E.&lt;/author&gt;&lt;author&gt;Lodhi, S.&lt;/author&gt;&lt;author&gt;Meier-Kriesche, H. U.&lt;/author&gt;&lt;/authors&gt;&lt;/contributors&gt;&lt;auth-address&gt;Division of Nephrology, Hypertension and Transplantation, University of Florida, Gainesville, FL, USA.&lt;/auth-address&gt;&lt;titles&gt;&lt;title&gt;Long-term renal allograft survival in the United States: a critical reappraisal&lt;/title&gt;&lt;secondary-title&gt;Am J Transplant&lt;/secondary-title&gt;&lt;/titles&gt;&lt;periodical&gt;&lt;full-title&gt;Am J Transplant&lt;/full-title&gt;&lt;/periodical&gt;&lt;pages&gt;450-62&lt;/pages&gt;&lt;volume&gt;11&lt;/volume&gt;&lt;number&gt;3&lt;/number&gt;&lt;edition&gt;2010/10/27&lt;/edition&gt;&lt;keywords&gt;&lt;keyword&gt;Adolescent&lt;/keyword&gt;&lt;keyword&gt;Adult&lt;/keyword&gt;&lt;keyword&gt;*Graft Survival&lt;/keyword&gt;&lt;keyword&gt;Humans&lt;/keyword&gt;&lt;keyword&gt;Kidney Transplantation/*mortality&lt;/keyword&gt;&lt;keyword&gt;*Living Donors&lt;/keyword&gt;&lt;keyword&gt;Middle Aged&lt;/keyword&gt;&lt;keyword&gt;Survival Rate&lt;/keyword&gt;&lt;keyword&gt;Time Factors&lt;/keyword&gt;&lt;keyword&gt;*Transplantation, Homologous&lt;/keyword&gt;&lt;keyword&gt;Young Adult&lt;/keyword&gt;&lt;/keywords&gt;&lt;dates&gt;&lt;year&gt;2011&lt;/year&gt;&lt;pub-dates&gt;&lt;date&gt;Mar&lt;/date&gt;&lt;/pub-dates&gt;&lt;/dates&gt;&lt;isbn&gt;1600-6143 (Electronic)&amp;#xD;1600-6135 (Linking)&lt;/isbn&gt;&lt;accession-num&gt;20973913&lt;/accession-num&gt;&lt;urls&gt;&lt;related-urls&gt;&lt;url&gt;http://www.ncbi.nlm.nih.gov/entrez/query.fcgi?cmd=Retrieve&amp;amp;db=PubMed&amp;amp;dopt=Citation&amp;amp;list_uids=20973913 &lt;/url&gt;&lt;/related-urls&gt;&lt;/urls&gt;&lt;custom7&gt;2011&lt;/custom7&gt;&lt;electronic-resource-num&gt;10.1111/j.1600-6143.2010.03283.x&lt;/electronic-resource-num&gt;&lt;language&gt;eng&lt;/language&gt;&lt;/record&gt;&lt;/Cite&gt;&lt;/EndNote&gt;</w:instrText>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1" w:tooltip="Lamb, 2011 #3429" w:history="1">
        <w:r w:rsidRPr="003532D0">
          <w:rPr>
            <w:rFonts w:ascii="Arial" w:eastAsia="Times New Roman" w:hAnsi="Arial" w:cs="Arial"/>
            <w:bCs/>
            <w:sz w:val="20"/>
            <w:szCs w:val="20"/>
          </w:rPr>
          <w:t>1</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so this is a worldwide problem. Although many of these patients are eligible for a second transplant, the legacy of the first often makes it harder to find a well-matched second kidney. In addition, second (and any subsequent) transplants have a shorter lifespan than the original transplant, so the problem of premature failure becomes amplified. Of the various reasons why transplanted kidneys fail the single biggest cause is immune-mediated injury </w:t>
      </w:r>
      <w:r w:rsidRPr="003532D0">
        <w:rPr>
          <w:rFonts w:ascii="Arial" w:eastAsia="Times New Roman" w:hAnsi="Arial" w:cs="Arial"/>
          <w:bCs/>
          <w:sz w:val="20"/>
          <w:szCs w:val="20"/>
        </w:rPr>
        <w:fldChar w:fldCharType="begin">
          <w:fldData xml:space="preserve">PEVuZE5vdGU+PENpdGU+PEF1dGhvcj5HYXN0b248L0F1dGhvcj48WWVhcj4yMDEwPC9ZZWFyPjxS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==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PEVuZE5vdGU+PENpdGU+PEF1dGhvcj5HYXN0b248L0F1dGhvcj48WWVhcj4yMDEwPC9ZZWFyPjxS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==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3" w:tooltip="Gaston, 2010 #3482" w:history="1">
        <w:r w:rsidRPr="003532D0">
          <w:rPr>
            <w:rFonts w:ascii="Arial" w:eastAsia="Times New Roman" w:hAnsi="Arial" w:cs="Arial"/>
            <w:bCs/>
            <w:sz w:val="20"/>
            <w:szCs w:val="20"/>
          </w:rPr>
          <w:t>3</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w:t>
      </w:r>
    </w:p>
    <w:p w14:paraId="675CB715"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42" w:name="_Toc248735405"/>
      <w:r w:rsidRPr="003532D0">
        <w:rPr>
          <w:rFonts w:ascii="Arial" w:eastAsia="Times New Roman" w:hAnsi="Arial" w:cs="Arial"/>
          <w:b/>
        </w:rPr>
        <w:t>1.1 Existing Research</w:t>
      </w:r>
      <w:bookmarkEnd w:id="42"/>
    </w:p>
    <w:p w14:paraId="6AE89FDB" w14:textId="77777777" w:rsidR="003532D0" w:rsidRPr="003532D0" w:rsidRDefault="003532D0" w:rsidP="003532D0">
      <w:pPr>
        <w:spacing w:before="240" w:after="60" w:line="240" w:lineRule="auto"/>
        <w:ind w:left="1440"/>
        <w:contextualSpacing/>
        <w:outlineLvl w:val="4"/>
        <w:rPr>
          <w:rFonts w:ascii="Arial" w:eastAsia="Times New Roman" w:hAnsi="Arial" w:cs="Arial"/>
          <w:b/>
          <w:iCs/>
          <w:sz w:val="20"/>
          <w:szCs w:val="20"/>
        </w:rPr>
      </w:pPr>
      <w:bookmarkStart w:id="43" w:name="_Toc248735406"/>
      <w:r w:rsidRPr="003532D0">
        <w:rPr>
          <w:rFonts w:ascii="Arial" w:eastAsia="Times New Roman" w:hAnsi="Arial" w:cs="Arial"/>
          <w:b/>
          <w:iCs/>
          <w:sz w:val="20"/>
          <w:szCs w:val="20"/>
        </w:rPr>
        <w:t>1.1.1 Using HLA Ab (a prognostic biomarker of premature kidney transplant failure) as a screening test:</w:t>
      </w:r>
      <w:bookmarkEnd w:id="43"/>
    </w:p>
    <w:p w14:paraId="79497EBB"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Two types of study have linked antibodies (Ab) against human leukocyte antigens (HLA) to immune-mediated injury and premature graft failure. Case control studies have compared patients who have lost grafts with those in whom grafts are still working, performing retrospective analysis of prospectively collected serum samples. For instance, Mizutani et al </w:t>
      </w:r>
      <w:r w:rsidRPr="003532D0">
        <w:rPr>
          <w:rFonts w:ascii="Arial" w:eastAsia="Times New Roman" w:hAnsi="Arial" w:cs="Arial"/>
          <w:bCs/>
          <w:sz w:val="20"/>
          <w:szCs w:val="20"/>
        </w:rPr>
        <w:fldChar w:fldCharType="begin">
          <w:fldData xml:space="preserve">PEVuZE5vdGU+PENpdGU+PEF1dGhvcj5NaXp1dGFuaTwvQXV0aG9yPjxZZWFyPjIwMDU8L1llYXI+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==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PEVuZE5vdGU+PENpdGU+PEF1dGhvcj5NaXp1dGFuaTwvQXV0aG9yPjxZZWFyPjIwMDU8L1llYXI+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==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4" w:tooltip="Mizutani, 2005 #3119" w:history="1">
        <w:r w:rsidRPr="003532D0">
          <w:rPr>
            <w:rFonts w:ascii="Arial" w:eastAsia="Times New Roman" w:hAnsi="Arial" w:cs="Arial"/>
            <w:bCs/>
            <w:sz w:val="20"/>
            <w:szCs w:val="20"/>
          </w:rPr>
          <w:t>4</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studied 39 patients with failed grafts due to ‘chronic rejection’ (CR) and 26 matched controls with functioning grafts. In the former group, 72% had IgG HLA Ab, compared to 46% of controls. Similar results were obtained from a different study of a separate population </w:t>
      </w:r>
      <w:r w:rsidRPr="003532D0">
        <w:rPr>
          <w:rFonts w:ascii="Arial" w:eastAsia="Times New Roman" w:hAnsi="Arial" w:cs="Arial"/>
          <w:bCs/>
          <w:sz w:val="20"/>
          <w:szCs w:val="20"/>
        </w:rPr>
        <w:fldChar w:fldCharType="begin">
          <w:fldData xml:space="preserve">PEVuZE5vdGU+PENpdGU+PEF1dGhvcj5MZWU8L0F1dGhvcj48WWVhcj4yMDA5PC9ZZWFyPjxSZWNO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==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PEVuZE5vdGU+PENpdGU+PEF1dGhvcj5MZWU8L0F1dGhvcj48WWVhcj4yMDA5PC9ZZWFyPjxSZWNO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==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5" w:tooltip="Lee, 2009 #3476" w:history="1">
        <w:r w:rsidRPr="003532D0">
          <w:rPr>
            <w:rFonts w:ascii="Arial" w:eastAsia="Times New Roman" w:hAnsi="Arial" w:cs="Arial"/>
            <w:bCs/>
            <w:sz w:val="20"/>
            <w:szCs w:val="20"/>
          </w:rPr>
          <w:t>5</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The surprising thing from these studies was the high incidence of HLA Ab in patients with working grafts. There are several potential explanations for this. First, it is possible that factors about the HLA Ab (such as complement fixing ability) or factors other than the Ab influence the progression of CR and thus the timing of eventual graft rejection. Our data supports the latter, by linking progression of renal dysfunction to activity of the cellular immune responses (see appendices). A second, related possibility, is that all patients with HLA Ab develop pathology, but progressing at different rates, such that patients showing up in the control groups in these studies are deteriorating more slowly. Evidence for this comes from Mizutani </w:t>
      </w:r>
      <w:r w:rsidRPr="003532D0">
        <w:rPr>
          <w:rFonts w:ascii="Arial" w:eastAsia="Times New Roman" w:hAnsi="Arial" w:cs="Arial"/>
          <w:bCs/>
          <w:sz w:val="20"/>
          <w:szCs w:val="20"/>
        </w:rPr>
        <w:fldChar w:fldCharType="begin">
          <w:fldData xml:space="preserve">PEVuZE5vdGU+PENpdGU+PEF1dGhvcj5NaXp1dGFuaTwvQXV0aG9yPjxZZWFyPjIwMDU8L1llYXI+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==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PEVuZE5vdGU+PENpdGU+PEF1dGhvcj5NaXp1dGFuaTwvQXV0aG9yPjxZZWFyPjIwMDU8L1llYXI+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==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4" w:tooltip="Mizutani, 2005 #3119" w:history="1">
        <w:r w:rsidRPr="003532D0">
          <w:rPr>
            <w:rFonts w:ascii="Arial" w:eastAsia="Times New Roman" w:hAnsi="Arial" w:cs="Arial"/>
            <w:bCs/>
            <w:sz w:val="20"/>
            <w:szCs w:val="20"/>
          </w:rPr>
          <w:t>4</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who showed that their CR group with HLA Ab showed progressive deterioration of renal function prior to graft failure. The same progressive deterioration was seen in the control group of patients with HLA Ab, whose grafts did not fail. These data illustrate that CR is a time-dependent process in which progressive graft dysfunction precedes graft failure. Moreover, the time from development of HLA Ab to graft failure is highly variable in different people.</w:t>
      </w:r>
    </w:p>
    <w:p w14:paraId="138FB49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Separate studies have reported prospective follow-up of outcomes in those with HLA Ab. Terasaki et al </w:t>
      </w:r>
      <w:r w:rsidRPr="003532D0">
        <w:rPr>
          <w:rFonts w:ascii="Arial" w:eastAsia="Times New Roman" w:hAnsi="Arial" w:cs="Arial"/>
          <w:bCs/>
          <w:sz w:val="20"/>
          <w:szCs w:val="20"/>
        </w:rPr>
        <w:fldChar w:fldCharType="begin"/>
      </w:r>
      <w:r w:rsidRPr="003532D0">
        <w:rPr>
          <w:rFonts w:ascii="Arial" w:eastAsia="Times New Roman" w:hAnsi="Arial" w:cs="Arial"/>
          <w:bCs/>
          <w:sz w:val="20"/>
          <w:szCs w:val="20"/>
        </w:rPr>
        <w:instrText xml:space="preserve"> ADDIN EN.CITE &lt;EndNote&gt;&lt;Cite&gt;&lt;Author&gt;Terasaki&lt;/Author&gt;&lt;Year&gt;2005&lt;/Year&gt;&lt;RecNum&gt;3479&lt;/RecNum&gt;&lt;DisplayText&gt;[6]&lt;/DisplayText&gt;&lt;record&gt;&lt;rec-number&gt;3479&lt;/rec-number&gt;&lt;foreign-keys&gt;&lt;key app="EN" db-id="p9vz0d9tmeepwyewd5yvp2v2pr0xafz9xws0"&gt;3479&lt;/key&gt;&lt;/foreign-keys&gt;&lt;ref-type name="Journal Article"&gt;17&lt;/ref-type&gt;&lt;contributors&gt;&lt;authors&gt;&lt;author&gt;Terasaki, P. I.&lt;/author&gt;&lt;author&gt;Ozawa, M.&lt;/author&gt;&lt;/authors&gt;&lt;/contributors&gt;&lt;auth-address&gt;Terasaki Foundation Laboratory, Los Angeles, CA 90064, USA. terasaki@terasakilab.org&lt;/auth-address&gt;&lt;titles&gt;&lt;title&gt;Predictive value of HLA antibodies and serum creatinine in chronic rejection: results of a 2-year prospective trial&lt;/title&gt;&lt;secondary-title&gt;Transplantation&lt;/secondary-title&gt;&lt;/titles&gt;&lt;periodical&gt;&lt;full-title&gt;Transplantation&lt;/full-title&gt;&lt;/periodical&gt;&lt;pages&gt;1194-7&lt;/pages&gt;&lt;volume&gt;80&lt;/volume&gt;&lt;number&gt;9&lt;/number&gt;&lt;edition&gt;2005/11/30&lt;/edition&gt;&lt;keywords&gt;&lt;keyword&gt;Antibodies/*blood&lt;/keyword&gt;&lt;keyword&gt;Chronic Disease&lt;/keyword&gt;&lt;keyword&gt;Creatinine/*blood&lt;/keyword&gt;&lt;keyword&gt;Graft Rejection/*blood/*etiology&lt;/keyword&gt;&lt;keyword&gt;Graft Survival&lt;/keyword&gt;&lt;keyword&gt;HLA Antigens/*immunology&lt;/keyword&gt;&lt;keyword&gt;Humans&lt;/keyword&gt;&lt;keyword&gt;Kidney Transplantation/*adverse effects&lt;/keyword&gt;&lt;keyword&gt;Predictive Value of Tests&lt;/keyword&gt;&lt;keyword&gt;Prospective Studies&lt;/keyword&gt;&lt;/keywords&gt;&lt;dates&gt;&lt;year&gt;2005&lt;/year&gt;&lt;pub-dates&gt;&lt;date&gt;Nov 15&lt;/date&gt;&lt;/pub-dates&gt;&lt;/dates&gt;&lt;isbn&gt;0041-1337 (Print)&amp;#xD;0041-1337 (Linking)&lt;/isbn&gt;&lt;accession-num&gt;16314785&lt;/accession-num&gt;&lt;urls&gt;&lt;related-urls&gt;&lt;url&gt;http://www.ncbi.nlm.nih.gov/entrez/query.fcgi?cmd=Retrieve&amp;amp;db=PubMed&amp;amp;dopt=Citation&amp;amp;list_uids=16314785&lt;/url&gt;&lt;/related-urls&gt;&lt;/urls&gt;&lt;electronic-resource-num&gt;00007890-200511150-00009 [pii]&lt;/electronic-resource-num&gt;&lt;language&gt;eng&lt;/language&gt;&lt;/record&gt;&lt;/Cite&gt;&lt;/EndNote&gt;</w:instrText>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6" w:tooltip="Terasaki, 2005 #3479" w:history="1">
        <w:r w:rsidRPr="003532D0">
          <w:rPr>
            <w:rFonts w:ascii="Arial" w:eastAsia="Times New Roman" w:hAnsi="Arial" w:cs="Arial"/>
            <w:bCs/>
            <w:sz w:val="20"/>
            <w:szCs w:val="20"/>
          </w:rPr>
          <w:t>6</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studied 2231 patients. In the group of 479 with HLA Ab, the two-year graft failure rate was 15%, compared to 6.8% in the 1753 with no HLA Ab. This trial noted that the patients who failed within two years had worse renal function on testing than those that didn’t, consistent with the fact that CR is a progressive and time-dependent process and those that fail are at the end of this process. In another study, the same group </w:t>
      </w:r>
      <w:r w:rsidRPr="003532D0">
        <w:rPr>
          <w:rFonts w:ascii="Arial" w:eastAsia="Times New Roman" w:hAnsi="Arial" w:cs="Arial"/>
          <w:bCs/>
          <w:sz w:val="20"/>
          <w:szCs w:val="20"/>
        </w:rPr>
        <w:fldChar w:fldCharType="begin"/>
      </w:r>
      <w:r w:rsidRPr="003532D0">
        <w:rPr>
          <w:rFonts w:ascii="Arial" w:eastAsia="Times New Roman" w:hAnsi="Arial" w:cs="Arial"/>
          <w:bCs/>
          <w:sz w:val="20"/>
          <w:szCs w:val="20"/>
        </w:rPr>
        <w:instrText xml:space="preserve"> ADDIN EN.CITE &lt;EndNote&gt;&lt;Cite&gt;&lt;Author&gt;Terasaki&lt;/Author&gt;&lt;Year&gt;2007&lt;/Year&gt;&lt;RecNum&gt;3480&lt;/RecNum&gt;&lt;DisplayText&gt;[7]&lt;/DisplayText&gt;&lt;record&gt;&lt;rec-number&gt;3480&lt;/rec-number&gt;&lt;foreign-keys&gt;&lt;key app="EN" db-id="p9vz0d9tmeepwyewd5yvp2v2pr0xafz9xws0"&gt;3480&lt;/key&gt;&lt;/foreign-keys&gt;&lt;ref-type name="Journal Article"&gt;17&lt;/ref-type&gt;&lt;contributors&gt;&lt;authors&gt;&lt;author&gt;Terasaki, P. I.&lt;/author&gt;&lt;author&gt;Ozawa, M.&lt;/author&gt;&lt;author&gt;Castro, R.&lt;/author&gt;&lt;/authors&gt;&lt;/contributors&gt;&lt;auth-address&gt;Terasaki Foundation Laboratory, Los Angeles, CA, USA. terasaki@terasakilab.org&lt;/auth-address&gt;&lt;titles&gt;&lt;title&gt;Four-year follow-up of a prospective trial of HLA and MICA antibodies on kidney graft survival&lt;/title&gt;&lt;secondary-title&gt;Am J Transplant&lt;/secondary-title&gt;&lt;/titles&gt;&lt;periodical&gt;&lt;full-title&gt;Am J Transplant&lt;/full-title&gt;&lt;/periodical&gt;&lt;pages&gt;408-15&lt;/pages&gt;&lt;volume&gt;7&lt;/volume&gt;&lt;number&gt;2&lt;/number&gt;&lt;edition&gt;2007/01/19&lt;/edition&gt;&lt;keywords&gt;&lt;keyword&gt;Antibodies/*blood/immunology&lt;/keyword&gt;&lt;keyword&gt;Creatinine/blood&lt;/keyword&gt;&lt;keyword&gt;Follow-Up Studies&lt;/keyword&gt;&lt;keyword&gt;Graft Rejection/immunology&lt;/keyword&gt;&lt;keyword&gt;Graft Survival/*immunology&lt;/keyword&gt;&lt;keyword&gt;HLA Antigens/genetics/*immunology&lt;/keyword&gt;&lt;keyword&gt;Histocompatibility Antigens Class I/genetics/*immunology&lt;/keyword&gt;&lt;keyword&gt;Humans&lt;/keyword&gt;&lt;keyword&gt;Kidney Transplantation/*immunology&lt;/keyword&gt;&lt;keyword&gt;Multivariate Analysis&lt;/keyword&gt;&lt;keyword&gt;Odds Ratio&lt;/keyword&gt;&lt;keyword&gt;Prospective Studies&lt;/keyword&gt;&lt;keyword&gt;Retrospective Studies&lt;/keyword&gt;&lt;keyword&gt;Risk Factors&lt;/keyword&gt;&lt;/keywords&gt;&lt;dates&gt;&lt;year&gt;2007&lt;/year&gt;&lt;pub-dates&gt;&lt;date&gt;Feb&lt;/date&gt;&lt;/pub-dates&gt;&lt;/dates&gt;&lt;isbn&gt;1600-6135 (Print)&amp;#xD;1600-6135 (Linking)&lt;/isbn&gt;&lt;accession-num&gt;17229080&lt;/accession-num&gt;&lt;urls&gt;&lt;related-urls&gt;&lt;url&gt;http://www.ncbi.nlm.nih.gov/entrez/query.fcgi?cmd=Retrieve&amp;amp;db=PubMed&amp;amp;dopt=Citation&amp;amp;list_uids=17229080&lt;/url&gt;&lt;/related-urls&gt;&lt;/urls&gt;&lt;electronic-resource-num&gt;AJT1644 [pii]&amp;#xD;10.1111/j.1600-6143.2006.01644.x&lt;/electronic-resource-num&gt;&lt;language&gt;eng&lt;/language&gt;&lt;/record&gt;&lt;/Cite&gt;&lt;/EndNote&gt;</w:instrText>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7" w:tooltip="Terasaki, 2007 #3480" w:history="1">
        <w:r w:rsidRPr="003532D0">
          <w:rPr>
            <w:rFonts w:ascii="Arial" w:eastAsia="Times New Roman" w:hAnsi="Arial" w:cs="Arial"/>
            <w:bCs/>
            <w:sz w:val="20"/>
            <w:szCs w:val="20"/>
          </w:rPr>
          <w:t>7</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reported 4 year survival rates in 1329 patients, all with functioning transplants, of 58% in those with HLA Ab (158 patients) vs. 81% in those without (806). Lachmann et al </w:t>
      </w:r>
      <w:r w:rsidRPr="003532D0">
        <w:rPr>
          <w:rFonts w:ascii="Arial" w:eastAsia="Times New Roman" w:hAnsi="Arial" w:cs="Arial"/>
          <w:bCs/>
          <w:sz w:val="20"/>
          <w:szCs w:val="20"/>
        </w:rPr>
        <w:fldChar w:fldCharType="begin">
          <w:fldData xml:space="preserve">PEVuZE5vdGU+PENpdGU+PEF1dGhvcj5MYWNobWFubjwvQXV0aG9yPjxZZWFyPjIwMDk8L1llYXI+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==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PEVuZE5vdGU+PENpdGU+PEF1dGhvcj5MYWNobWFubjwvQXV0aG9yPjxZZWFyPjIwMDk8L1llYXI+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==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8" w:tooltip="Lachmann, 2009 #3428" w:history="1">
        <w:r w:rsidRPr="003532D0">
          <w:rPr>
            <w:rFonts w:ascii="Arial" w:eastAsia="Times New Roman" w:hAnsi="Arial" w:cs="Arial"/>
            <w:bCs/>
            <w:sz w:val="20"/>
            <w:szCs w:val="20"/>
          </w:rPr>
          <w:t>8</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have performed the best study to date, of 1014 patients with stable kidney function (for the six months pre-recruitment) from a single centre in Berlin, on average 6 years post-transplantation, who were tested for HLA Ab and prospectively followed for 5½ years. Grafts failed in 37% of the 302 who had HLA Ab, but in only 17% of the 712 patients who tested negative for HLA Ab. Moreover, in this latter group, a subgroup of 195 patients had a repeat test performed 2 ½ years into the study; of these, 148 remained negative and only 6% of grafts failed in this group.  In contrast, 47 had developed new HLA Ab since the beginning of the study and 21% of these suffered graft failure, confirming that the development of new HLA Ab in the ‘negative’ group was predictive of future graft loss. Finally, this study identified a difference between the prognostic value of HLA Ab that were specific for the donor (donor specific antibodies – DSA, found in 33% of HLA Ab positive patients) and those that were not (non-DSA, found in 66%). Graft </w:t>
      </w:r>
      <w:r w:rsidRPr="003532D0">
        <w:rPr>
          <w:rFonts w:ascii="Arial" w:eastAsia="Times New Roman" w:hAnsi="Arial" w:cs="Arial"/>
          <w:bCs/>
          <w:sz w:val="20"/>
          <w:szCs w:val="20"/>
        </w:rPr>
        <w:lastRenderedPageBreak/>
        <w:t xml:space="preserve">failure rates were 51% over 5.5 years in patients with DSA and 30% in patients with non-DSA. In subgroup of patients who had transplant biopsies, 78% of those with failed grafts and HLA Ab+ had changes consistent with CR. They concluded that grafts in patients with HLA Ab were &gt;3x more likely to fail than those without, even when corrected for age, gender, year of transplant, estimated GFR and number of previous kidney transplants. These findings have been corroborated by a second study from the Netherlands </w:t>
      </w:r>
      <w:r w:rsidRPr="003532D0">
        <w:rPr>
          <w:rFonts w:ascii="Arial" w:eastAsia="Times New Roman" w:hAnsi="Arial" w:cs="Arial"/>
          <w:bCs/>
          <w:sz w:val="20"/>
          <w:szCs w:val="20"/>
        </w:rPr>
        <w:fldChar w:fldCharType="begin"/>
      </w:r>
      <w:r w:rsidRPr="003532D0">
        <w:rPr>
          <w:rFonts w:ascii="Arial" w:eastAsia="Times New Roman" w:hAnsi="Arial" w:cs="Arial"/>
          <w:bCs/>
          <w:sz w:val="20"/>
          <w:szCs w:val="20"/>
        </w:rPr>
        <w:instrText xml:space="preserve"> ADDIN EN.CITE &lt;EndNote&gt;&lt;Cite&gt;&lt;Author&gt;van Timmeren&lt;/Author&gt;&lt;Year&gt;2009&lt;/Year&gt;&lt;RecNum&gt;3481&lt;/RecNum&gt;&lt;DisplayText&gt;[9]&lt;/DisplayText&gt;&lt;record&gt;&lt;rec-number&gt;3481&lt;/rec-number&gt;&lt;foreign-keys&gt;&lt;key app="EN" db-id="p9vz0d9tmeepwyewd5yvp2v2pr0xafz9xws0"&gt;3481&lt;/key&gt;&lt;/foreign-keys&gt;&lt;ref-type name="Journal Article"&gt;17&lt;/ref-type&gt;&lt;contributors&gt;&lt;authors&gt;&lt;author&gt;van Timmeren, M. M.&lt;/author&gt;&lt;author&gt;Lems, S. P.&lt;/author&gt;&lt;author&gt;Hepkema, B. G.&lt;/author&gt;&lt;author&gt;Bakker, S. J.&lt;/author&gt;&lt;/authors&gt;&lt;/contributors&gt;&lt;titles&gt;&lt;title&gt;Anti-human leukocyte antigen antibodies and development of graft failure after renal transplantation&lt;/title&gt;&lt;secondary-title&gt;Transplantation&lt;/secondary-title&gt;&lt;/titles&gt;&lt;periodical&gt;&lt;full-title&gt;Transplantation&lt;/full-title&gt;&lt;/periodical&gt;&lt;pages&gt;1399-400&lt;/pages&gt;&lt;volume&gt;88&lt;/volume&gt;&lt;number&gt;12&lt;/number&gt;&lt;edition&gt;2009/12/24&lt;/edition&gt;&lt;keywords&gt;&lt;keyword&gt;Graft Rejection/*immunology&lt;/keyword&gt;&lt;keyword&gt;HLA Antigens/*immunology&lt;/keyword&gt;&lt;keyword&gt;Histocompatibility Testing&lt;/keyword&gt;&lt;keyword&gt;Humans&lt;/keyword&gt;&lt;keyword&gt;Isoantibodies/*analysis&lt;/keyword&gt;&lt;keyword&gt;Kidney Failure, Chronic/surgery&lt;/keyword&gt;&lt;keyword&gt;*Kidney Transplantation&lt;/keyword&gt;&lt;/keywords&gt;&lt;dates&gt;&lt;year&gt;2009&lt;/year&gt;&lt;pub-dates&gt;&lt;date&gt;Dec 27&lt;/date&gt;&lt;/pub-dates&gt;&lt;/dates&gt;&lt;isbn&gt;1534-6080 (Electronic)&amp;#xD;0041-1337 (Linking)&lt;/isbn&gt;&lt;accession-num&gt;20029338&lt;/accession-num&gt;&lt;urls&gt;&lt;related-urls&gt;&lt;url&gt;http://www.ncbi.nlm.nih.gov/entrez/query.fcgi?cmd=Retrieve&amp;amp;db=PubMed&amp;amp;dopt=Citation&amp;amp;list_uids=20029338&lt;/url&gt;&lt;/related-urls&gt;&lt;/urls&gt;&lt;electronic-resource-num&gt;10.1097/TP.0b013e3181bc3ef0&amp;#xD;00007890-200912270-00012 [pii]&lt;/electronic-resource-num&gt;&lt;language&gt;eng&lt;/language&gt;&lt;/record&gt;&lt;/Cite&gt;&lt;/EndNote&gt;</w:instrText>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9" w:tooltip="van Timmeren, 2009 #3481" w:history="1">
        <w:r w:rsidRPr="003532D0">
          <w:rPr>
            <w:rFonts w:ascii="Arial" w:eastAsia="Times New Roman" w:hAnsi="Arial" w:cs="Arial"/>
            <w:bCs/>
            <w:sz w:val="20"/>
            <w:szCs w:val="20"/>
          </w:rPr>
          <w:t>9</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in which the risk of graft failure with HLA Ab was also shown to be independent of graft dysfunction and proteinuria.</w:t>
      </w:r>
    </w:p>
    <w:p w14:paraId="0B109513"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1633A98F" w14:textId="77777777" w:rsidR="003532D0" w:rsidRPr="003532D0" w:rsidRDefault="003532D0" w:rsidP="003532D0">
      <w:pPr>
        <w:spacing w:before="240" w:after="60" w:line="240" w:lineRule="auto"/>
        <w:ind w:left="1440"/>
        <w:contextualSpacing/>
        <w:outlineLvl w:val="4"/>
        <w:rPr>
          <w:rFonts w:ascii="Arial" w:eastAsia="Times New Roman" w:hAnsi="Arial" w:cs="Arial"/>
          <w:b/>
          <w:iCs/>
          <w:sz w:val="20"/>
          <w:szCs w:val="20"/>
        </w:rPr>
      </w:pPr>
      <w:bookmarkStart w:id="44" w:name="_Toc248735407"/>
      <w:r w:rsidRPr="003532D0">
        <w:rPr>
          <w:rFonts w:ascii="Arial" w:eastAsia="Times New Roman" w:hAnsi="Arial" w:cs="Arial"/>
          <w:b/>
          <w:iCs/>
          <w:sz w:val="20"/>
          <w:szCs w:val="20"/>
        </w:rPr>
        <w:t>1.1.2: The biology of HLA Ab and CR:</w:t>
      </w:r>
      <w:bookmarkEnd w:id="44"/>
    </w:p>
    <w:p w14:paraId="56FC9A8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Although there is a widespread view in the literature is that HLA Ab </w:t>
      </w:r>
      <w:r w:rsidRPr="003532D0">
        <w:rPr>
          <w:rFonts w:ascii="Arial" w:eastAsia="Times New Roman" w:hAnsi="Arial" w:cs="Arial"/>
          <w:bCs/>
          <w:i/>
          <w:sz w:val="20"/>
          <w:szCs w:val="20"/>
        </w:rPr>
        <w:t>cause</w:t>
      </w:r>
      <w:r w:rsidRPr="003532D0">
        <w:rPr>
          <w:rFonts w:ascii="Arial" w:eastAsia="Times New Roman" w:hAnsi="Arial" w:cs="Arial"/>
          <w:bCs/>
          <w:sz w:val="20"/>
          <w:szCs w:val="20"/>
        </w:rPr>
        <w:t xml:space="preserve"> CR, there is no evidence of this in humans.  We have data indicating that T cell responses, via specific interaction with donor-specific B cells, drive the progressive deterioration in a subgroup of patients with CR and HLA Ab (see appendices).</w:t>
      </w:r>
    </w:p>
    <w:p w14:paraId="33C0329C"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Donor HLA are the primary target of the immune response against the transplanted kidney and it is for this reason that HLA matching pre-transplantation still underpins organ allocation, to maximise the similarities between donor and recipient HLA. </w:t>
      </w:r>
    </w:p>
    <w:p w14:paraId="6F626C2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The prevailing view in the literature is that when HLA Ab are present, they cause the pathology that ultimately leads to graft dysfunction and kidney failure – indeed, one type of CR is called chronic antibody-mediated rejection (CAMR), exemplifying how Ab are thought to contribute to the process </w:t>
      </w:r>
      <w:r w:rsidRPr="003532D0">
        <w:rPr>
          <w:rFonts w:ascii="Arial" w:eastAsia="Times New Roman" w:hAnsi="Arial" w:cs="Arial"/>
          <w:bCs/>
          <w:sz w:val="20"/>
          <w:szCs w:val="20"/>
        </w:rPr>
        <w:fldChar w:fldCharType="begin"/>
      </w:r>
      <w:r w:rsidRPr="003532D0">
        <w:rPr>
          <w:rFonts w:ascii="Arial" w:eastAsia="Times New Roman" w:hAnsi="Arial" w:cs="Arial"/>
          <w:bCs/>
          <w:sz w:val="20"/>
          <w:szCs w:val="20"/>
        </w:rPr>
        <w:instrText xml:space="preserve"> ADDIN EN.CITE &lt;EndNote&gt;&lt;Cite&gt;&lt;Author&gt;Colvin&lt;/Author&gt;&lt;Year&gt;2009&lt;/Year&gt;&lt;RecNum&gt;3430&lt;/RecNum&gt;&lt;DisplayText&gt;[10]&lt;/DisplayText&gt;&lt;record&gt;&lt;rec-number&gt;3430&lt;/rec-number&gt;&lt;foreign-keys&gt;&lt;key app="EN" db-id="p9vz0d9tmeepwyewd5yvp2v2pr0xafz9xws0"&gt;3430&lt;/key&gt;&lt;key app="ENWeb" db-id="TvsdHArtqgYAADf2fTc"&gt;2901&lt;/key&gt;&lt;/foreign-keys&gt;&lt;ref-type name="Journal Article"&gt;17&lt;/ref-type&gt;&lt;contributors&gt;&lt;authors&gt;&lt;author&gt;Colvin, R. B.&lt;/author&gt;&lt;/authors&gt;&lt;/contributors&gt;&lt;auth-address&gt;Massachusetts General Hospital, Harvard Medical School, Boston, MA 02114, USA. colvin@helix.mgh.harvard.edu&lt;/auth-address&gt;&lt;titles&gt;&lt;title&gt;Pathology of chronic humoral rejection&lt;/title&gt;&lt;secondary-title&gt;Contrib Nephrol&lt;/secondary-title&gt;&lt;/titles&gt;&lt;periodical&gt;&lt;full-title&gt;Contrib Nephrol&lt;/full-title&gt;&lt;/periodical&gt;&lt;pages&gt;75-86&lt;/pages&gt;&lt;volume&gt;162&lt;/volume&gt;&lt;edition&gt;2008/11/13&lt;/edition&gt;&lt;keywords&gt;&lt;keyword&gt;Chronic Disease&lt;/keyword&gt;&lt;keyword&gt;Complement C4b/analysis&lt;/keyword&gt;&lt;keyword&gt;Graft Rejection/etiology/mortality/*pathology&lt;/keyword&gt;&lt;keyword&gt;HLA Antigens/*immunology&lt;/keyword&gt;&lt;keyword&gt;Humans&lt;/keyword&gt;&lt;keyword&gt;Isoantibodies/biosynthesis/blood/*immunology&lt;/keyword&gt;&lt;keyword&gt;Kidney/blood supply/*pathology&lt;/keyword&gt;&lt;keyword&gt;Kidney Transplantation/*immunology/mortality&lt;/keyword&gt;&lt;keyword&gt;Peptide Fragments/analysis&lt;/keyword&gt;&lt;keyword&gt;Prognosis&lt;/keyword&gt;&lt;/keywords&gt;&lt;dates&gt;&lt;year&gt;2009&lt;/year&gt;&lt;/dates&gt;&lt;isbn&gt;0302-5144 (Print)&amp;#xD;0302-5144 (Linking)&lt;/isbn&gt;&lt;accession-num&gt;19001815&lt;/accession-num&gt;&lt;urls&gt;&lt;related-urls&gt;&lt;url&gt;http://www.ncbi.nlm.nih.gov/entrez/query.fcgi?cmd=Retrieve&amp;amp;db=PubMed&amp;amp;dopt=Citation&amp;amp;list_uids=19001815 &lt;/url&gt;&lt;/related-urls&gt;&lt;/urls&gt;&lt;custom7&gt;2009&lt;/custom7&gt;&lt;electronic-resource-num&gt;000170814 [pii]&amp;#xD;10.1159/000170814&lt;/electronic-resource-num&gt;&lt;language&gt;eng&lt;/language&gt;&lt;/record&gt;&lt;/Cite&gt;&lt;/EndNote&gt;</w:instrText>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10" w:tooltip="Colvin, 2009 #3430" w:history="1">
        <w:r w:rsidRPr="003532D0">
          <w:rPr>
            <w:rFonts w:ascii="Arial" w:eastAsia="Times New Roman" w:hAnsi="Arial" w:cs="Arial"/>
            <w:bCs/>
            <w:sz w:val="20"/>
            <w:szCs w:val="20"/>
          </w:rPr>
          <w:t>10</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(see appendix 1). This is easy to conceptualise when the HLA Ab detected in the circulation are donor specific (i.e. DSA), but less easy when only non-DSA are found, though conventional wisdom has it that the DSA in these patients are all deposited within the graft </w:t>
      </w:r>
      <w:r w:rsidRPr="003532D0">
        <w:rPr>
          <w:rFonts w:ascii="Arial" w:eastAsia="Times New Roman" w:hAnsi="Arial" w:cs="Arial"/>
          <w:bCs/>
          <w:sz w:val="20"/>
          <w:szCs w:val="20"/>
        </w:rPr>
        <w:fldChar w:fldCharType="begin"/>
      </w:r>
      <w:r w:rsidRPr="003532D0">
        <w:rPr>
          <w:rFonts w:ascii="Arial" w:eastAsia="Times New Roman" w:hAnsi="Arial" w:cs="Arial"/>
          <w:bCs/>
          <w:sz w:val="20"/>
          <w:szCs w:val="20"/>
        </w:rPr>
        <w:instrText xml:space="preserve"> ADDIN EN.CITE &lt;EndNote&gt;&lt;Cite&gt;&lt;Author&gt;Terasaki&lt;/Author&gt;&lt;Year&gt;2003&lt;/Year&gt;&lt;RecNum&gt;2855&lt;/RecNum&gt;&lt;DisplayText&gt;[11]&lt;/DisplayText&gt;&lt;record&gt;&lt;rec-number&gt;2855&lt;/rec-number&gt;&lt;foreign-keys&gt;&lt;key app="EN" db-id="p9vz0d9tmeepwyewd5yvp2v2pr0xafz9xws0"&gt;2855&lt;/key&gt;&lt;key app="ENWeb" db-id="TvsdHArtqgYAADf2fTc"&gt;2353&lt;/key&gt;&lt;/foreign-keys&gt;&lt;ref-type name="Journal Article"&gt;17&lt;/ref-type&gt;&lt;contributors&gt;&lt;authors&gt;&lt;author&gt;Terasaki, P. I.&lt;/author&gt;&lt;/authors&gt;&lt;/contributors&gt;&lt;auth-address&gt;Terasaki Foundation Laboratory, Los Angeles, CA, USA. terasaki@terasakilab.org&lt;/auth-address&gt;&lt;titles&gt;&lt;title&gt;Humoral theory of transplantation&lt;/title&gt;&lt;secondary-title&gt;Am J Transplant&lt;/secondary-title&gt;&lt;/titles&gt;&lt;periodical&gt;&lt;full-title&gt;Am J Transplant&lt;/full-title&gt;&lt;/periodical&gt;&lt;pages&gt;665-73&lt;/pages&gt;&lt;volume&gt;3&lt;/volume&gt;&lt;number&gt;6&lt;/number&gt;&lt;keywords&gt;&lt;keyword&gt;Antibody Formation/*immunology&lt;/keyword&gt;&lt;keyword&gt;Graft Rejection/*immunology&lt;/keyword&gt;&lt;keyword&gt;HLA Antigens/immunology&lt;/keyword&gt;&lt;keyword&gt;Human&lt;/keyword&gt;&lt;keyword&gt;Kidney Transplantation/immunology&lt;/keyword&gt;&lt;keyword&gt;*Organ Transplantation&lt;/keyword&gt;&lt;/keywords&gt;&lt;dates&gt;&lt;year&gt;2003&lt;/year&gt;&lt;pub-dates&gt;&lt;date&gt;Jun&lt;/date&gt;&lt;/pub-dates&gt;&lt;/dates&gt;&lt;accession-num&gt;12780557&lt;/accession-num&gt;&lt;urls&gt;&lt;related-urls&gt;&lt;url&gt;http://www.ncbi.nlm.nih.gov/entrez/query.fcgi?cmd=Retrieve&amp;amp;db=PubMed&amp;amp;dopt=Citation&amp;amp;list_uids=12780557&lt;/url&gt;&lt;/related-urls&gt;&lt;/urls&gt;&lt;/record&gt;&lt;/Cite&gt;&lt;/EndNote&gt;</w:instrText>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11" w:tooltip="Terasaki, 2003 #2855" w:history="1">
        <w:r w:rsidRPr="003532D0">
          <w:rPr>
            <w:rFonts w:ascii="Arial" w:eastAsia="Times New Roman" w:hAnsi="Arial" w:cs="Arial"/>
            <w:bCs/>
            <w:sz w:val="20"/>
            <w:szCs w:val="20"/>
          </w:rPr>
          <w:t>11</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However, although Ab against the mouse equivalent of HLA have been shown to induce some of the features of CR in experimental models, there is no clinical evidence to support a causative role for HLA Ab in human CR.</w:t>
      </w:r>
    </w:p>
    <w:p w14:paraId="2DDBFA1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In reality, the pathophysiology of human CR is likely to be complex. The presence of HLA Ab indicates that the recipient’s immune system has recognised and reacted to donor HLA. Although the Abs are made by plasma cells, these arise from activated antigen-specific B cells through a process that involves intimate contact between the B cells and HLA-specific T cells. Thus multiple components of the recipient immune system, including T and B cells are sensitised against the donor in patients with HLA Ab and there are several mechanisms capable of damaging the transplanted organ that may be operating in these patients.</w:t>
      </w:r>
    </w:p>
    <w:p w14:paraId="6B155F9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chief investigator’s group has been investigating patients with CR for several years. This work has been seeking the answers to two basic questions; which elements of the immune system are involved in the pathology of CR and what is driving the deterioration in kidney function? Data from these studies indicates that in patients with HLA Ab, the activity of T and B cells is most strongly associated with progression of CR. For example, 15 patients with early 'Ab-mediated' injury on protocol kidney biopsy were followed for 2.5 years, during which 6/15 developed clinical evidence of CR, manifesting as a progressively deteriorating creatinine or development of significant proteinuria. Examining the peripheral blood mononuclear cells of these patients, interferon-gamma (IFN-γ) production by T cells at the time of biopsy was most strongly associated with development of deteriorating function, compared to multiple other variables examined, including HLA Ab. In 75% of these people, B cells were helping CD4+ T cells to make the IFN-γ, consistent with hypothesis that the close interaction between antigen-specific T and B cells is at the centre of the mechanisms operating in the deteriorating transplants in these patients (see appendix 1).</w:t>
      </w:r>
    </w:p>
    <w:p w14:paraId="2E007ED8"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640EE26F" w14:textId="77777777" w:rsidR="003532D0" w:rsidRPr="003532D0" w:rsidRDefault="003532D0" w:rsidP="003532D0">
      <w:pPr>
        <w:spacing w:before="240" w:after="60" w:line="240" w:lineRule="auto"/>
        <w:ind w:left="1440"/>
        <w:contextualSpacing/>
        <w:outlineLvl w:val="4"/>
        <w:rPr>
          <w:rFonts w:ascii="Arial" w:eastAsia="Times New Roman" w:hAnsi="Arial" w:cs="Arial"/>
          <w:b/>
          <w:iCs/>
          <w:sz w:val="20"/>
          <w:szCs w:val="20"/>
        </w:rPr>
      </w:pPr>
      <w:bookmarkStart w:id="45" w:name="_Toc248735408"/>
      <w:r w:rsidRPr="003532D0">
        <w:rPr>
          <w:rFonts w:ascii="Arial" w:eastAsia="Times New Roman" w:hAnsi="Arial" w:cs="Arial"/>
          <w:b/>
          <w:iCs/>
          <w:sz w:val="20"/>
          <w:szCs w:val="20"/>
        </w:rPr>
        <w:t>1.1.3: Evidence supporting the use of optimized oral immunotherapy regime in patients with HLA Ab:</w:t>
      </w:r>
      <w:bookmarkEnd w:id="45"/>
    </w:p>
    <w:p w14:paraId="2A119E7B"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data from the CI, referred to above suggests that it would be more rational to target underlying cellular immune responses (i.e. by T and B cells) to prevent CR, rather than focus on the Ab. Based on this, a strategy to enhance immunosuppression to target T and B cells was tested in a group of &gt;30 patients with established CR, all of whom had deteriorating transplant function. 18 of these, with relatively homogenous pathology on their renal biopsies, received ‘optimized treatment’ with tacrolimus (Tac), MMF and in a few, rituximab. After this intervention, 11/18 were assessed to have stabilised 1 year later. However, at 3 years, only 7/18 remained stable. Analysis of T and B cell activity at the time of biopsy indicates that donor-specific IFN-</w:t>
      </w:r>
      <w:r w:rsidRPr="003532D0">
        <w:rPr>
          <w:rFonts w:ascii="Symbol" w:eastAsia="Times New Roman" w:hAnsi="Symbol" w:cs="Arial"/>
          <w:bCs/>
          <w:sz w:val="20"/>
          <w:szCs w:val="20"/>
        </w:rPr>
        <w:t></w:t>
      </w:r>
      <w:r w:rsidRPr="003532D0">
        <w:rPr>
          <w:rFonts w:ascii="Arial" w:eastAsia="Times New Roman" w:hAnsi="Arial" w:cs="Arial"/>
          <w:bCs/>
          <w:sz w:val="20"/>
          <w:szCs w:val="20"/>
        </w:rPr>
        <w:t xml:space="preserve"> production by T cells strongly associated with long-term stability, indicating that these patients benefit most from the enhanced immunosuppression (appendix 1). In addition to this work, the CI is also running a randomized controlled trial (RituxiCAN-C4) </w:t>
      </w:r>
      <w:r w:rsidRPr="003532D0">
        <w:rPr>
          <w:rFonts w:ascii="Arial" w:eastAsia="Times New Roman" w:hAnsi="Arial" w:cs="Arial"/>
          <w:bCs/>
          <w:sz w:val="20"/>
          <w:szCs w:val="20"/>
        </w:rPr>
        <w:lastRenderedPageBreak/>
        <w:t>in patients with advanced CR, and this has a run-in phase in which all patients get optimized on Tac and MMF. Though still ongoing, it is clear from the interim analyses that up to 30-50% of the patients stabilize during this run-in phase, some of them remaining stable for more than 3 years (appendix 2). The patients who appear to benefit are those with the least advanced CR, suggesting that, if caught early, optimized oral therapy to suppress T and B cells may be sufficient to control the underlying pathological process.</w:t>
      </w:r>
    </w:p>
    <w:p w14:paraId="00F9AC9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Research by others working in this area is mostly focussed on how to treat established CR.  All reports contain small numbers of patients. Theruvath et al reported 12-month stabilisation of kidney function in ¾ patients with kidney dysfunction due to CR associated with HLA Ab after transfer onto Tac and MMF and a short course of prednisolone </w:t>
      </w:r>
      <w:r w:rsidRPr="003532D0">
        <w:rPr>
          <w:rFonts w:ascii="Arial" w:eastAsia="Times New Roman" w:hAnsi="Arial" w:cs="Arial"/>
          <w:bCs/>
          <w:sz w:val="20"/>
          <w:szCs w:val="20"/>
        </w:rPr>
        <w:fldChar w:fldCharType="begin">
          <w:fldData xml:space="preserve">PEVuZE5vdGU+PENpdGU+PEF1dGhvcj5UaGVydXZhdGg8L0F1dGhvcj48WWVhcj4yMDAxPC9ZZWFy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==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PEVuZE5vdGU+PENpdGU+PEF1dGhvcj5UaGVydXZhdGg8L0F1dGhvcj48WWVhcj4yMDAxPC9ZZWFy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==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12" w:tooltip="Theruvath, 2001 #3044" w:history="1">
        <w:r w:rsidRPr="003532D0">
          <w:rPr>
            <w:rFonts w:ascii="Arial" w:eastAsia="Times New Roman" w:hAnsi="Arial" w:cs="Arial"/>
            <w:bCs/>
            <w:sz w:val="20"/>
            <w:szCs w:val="20"/>
          </w:rPr>
          <w:t>12</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In addition, several studies have reported successful stabilization of CR using B cell depletional therapy </w:t>
      </w:r>
      <w:r w:rsidRPr="003532D0">
        <w:rPr>
          <w:rFonts w:ascii="Arial" w:eastAsia="Times New Roman" w:hAnsi="Arial" w:cs="Arial"/>
          <w:bCs/>
          <w:sz w:val="20"/>
          <w:szCs w:val="20"/>
        </w:rPr>
        <w:fldChar w:fldCharType="begin">
          <w:fldData xml:space="preserve">PEVuZE5vdGU+PENpdGU+PEF1dGhvcj5CaWxsaW5nPC9BdXRob3I+PFllYXI+MjAwODwvWWVhcj48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PEVuZE5vdGU+PENpdGU+PEF1dGhvcj5CaWxsaW5nPC9BdXRob3I+PFllYXI+MjAwODwvWWVhcj48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13" w:tooltip="Billing, 2008 #3421" w:history="1">
        <w:r w:rsidRPr="003532D0">
          <w:rPr>
            <w:rFonts w:ascii="Arial" w:eastAsia="Times New Roman" w:hAnsi="Arial" w:cs="Arial"/>
            <w:bCs/>
            <w:sz w:val="20"/>
            <w:szCs w:val="20"/>
          </w:rPr>
          <w:t>13-15</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further supporting the hypothesis that targeting underlying cellular responses, rather than HLA Ab, is a rational approach to treatment in these patients. </w:t>
      </w:r>
    </w:p>
    <w:p w14:paraId="055E5FB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In contrast to these, this trial will involve optimization of therapy in many patients before they have started to clinically deteriorate, to try and prevent the graft dysfunction associated with CR. As described above, the natural history of untreated CR is of progressive loss of function, usually at a predictable rate, leading eventually to complete loss of graft function. Depending on the starting creatinine, the time to graft loss will be variable, but graft loss rarely occurs without this period of progressive loss of function. Lachmann et al </w:t>
      </w:r>
      <w:r w:rsidRPr="003532D0">
        <w:rPr>
          <w:rFonts w:ascii="Arial" w:eastAsia="Times New Roman" w:hAnsi="Arial" w:cs="Arial"/>
          <w:bCs/>
          <w:sz w:val="20"/>
          <w:szCs w:val="20"/>
        </w:rPr>
        <w:fldChar w:fldCharType="begin">
          <w:fldData xml:space="preserve">PEVuZE5vdGU+PENpdGU+PEF1dGhvcj5MYWNobWFubjwvQXV0aG9yPjxZZWFyPjIwMDk8L1llYXI+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==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PEVuZE5vdGU+PENpdGU+PEF1dGhvcj5MYWNobWFubjwvQXV0aG9yPjxZZWFyPjIwMDk8L1llYXI+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==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8" w:tooltip="Lachmann, 2009 #3428" w:history="1">
        <w:r w:rsidRPr="003532D0">
          <w:rPr>
            <w:rFonts w:ascii="Arial" w:eastAsia="Times New Roman" w:hAnsi="Arial" w:cs="Arial"/>
            <w:bCs/>
            <w:sz w:val="20"/>
            <w:szCs w:val="20"/>
          </w:rPr>
          <w:t>8</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reported a constant rate of graft loss from the start of their study, so we expect that the rate of graft loss in our study to be constant in the standard care group. We predict that optimised immunotherapy will change the natural history of the condition, and lead to stabilisation of function in a significant proportion (50%) of those with HLA Ab. This will be visible in our analyses of the secondary endpoints.  Hopefully it will prevent the predicted graft loss in the first 3 years in this group and thus impact on the primary endpoint of the study.</w:t>
      </w:r>
    </w:p>
    <w:p w14:paraId="108AC0EF"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Several other strands of evidence support the use of an optimized Tac and MMF regime to achieve this. First, both MMF </w:t>
      </w:r>
      <w:r w:rsidRPr="003532D0">
        <w:rPr>
          <w:rFonts w:ascii="Arial" w:eastAsia="Times New Roman" w:hAnsi="Arial" w:cs="Arial"/>
          <w:bCs/>
          <w:sz w:val="20"/>
          <w:szCs w:val="20"/>
        </w:rPr>
        <w:fldChar w:fldCharType="begin"/>
      </w:r>
      <w:r w:rsidRPr="003532D0">
        <w:rPr>
          <w:rFonts w:ascii="Arial" w:eastAsia="Times New Roman" w:hAnsi="Arial" w:cs="Arial"/>
          <w:bCs/>
          <w:sz w:val="20"/>
          <w:szCs w:val="20"/>
        </w:rPr>
        <w:instrText xml:space="preserve"> ADDIN EN.CITE &lt;EndNote&gt;&lt;Cite&gt;&lt;Author&gt;Halloran&lt;/Author&gt;&lt;Year&gt;1997&lt;/Year&gt;&lt;RecNum&gt;3413&lt;/RecNum&gt;&lt;DisplayText&gt;[16]&lt;/DisplayText&gt;&lt;record&gt;&lt;rec-number&gt;3413&lt;/rec-number&gt;&lt;foreign-keys&gt;&lt;key app="EN" db-id="p9vz0d9tmeepwyewd5yvp2v2pr0xafz9xws0"&gt;3413&lt;/key&gt;&lt;key app="ENWeb" db-id="TvsdHArtqgYAADf2fTc"&gt;2885&lt;/key&gt;&lt;/foreign-keys&gt;&lt;ref-type name="Journal Article"&gt;17&lt;/ref-type&gt;&lt;contributors&gt;&lt;authors&gt;&lt;author&gt;Halloran, P.&lt;/author&gt;&lt;author&gt;Mathew, T.&lt;/author&gt;&lt;author&gt;Tomlanovich, S.&lt;/author&gt;&lt;author&gt;Groth, C.&lt;/author&gt;&lt;author&gt;Hooftman, L.&lt;/author&gt;&lt;author&gt;Barker, C.&lt;/author&gt;&lt;/authors&gt;&lt;/contributors&gt;&lt;auth-address&gt;University of Alberta Hospitals, Edmonton, Canada.&lt;/auth-address&gt;&lt;titles&gt;&lt;title&gt;Mycophenolate mofetil in renal allograft recipients: a pooled efficacy analysis of three randomized, double-blind, clinical studies in prevention of rejection. The International Mycophenolate Mofetil Renal Transplant Study Groups&lt;/title&gt;&lt;secondary-title&gt;Transplantation&lt;/secondary-title&gt;&lt;/titles&gt;&lt;periodical&gt;&lt;full-title&gt;Transplantation&lt;/full-title&gt;&lt;/periodical&gt;&lt;pages&gt;39-47&lt;/pages&gt;&lt;volume&gt;63&lt;/volume&gt;&lt;number&gt;1&lt;/number&gt;&lt;edition&gt;1997/01/15&lt;/edition&gt;&lt;keywords&gt;&lt;keyword&gt;Adult&lt;/keyword&gt;&lt;keyword&gt;Cyclosporine/therapeutic use&lt;/keyword&gt;&lt;keyword&gt;Double-Blind Method&lt;/keyword&gt;&lt;keyword&gt;Female&lt;/keyword&gt;&lt;keyword&gt;Graft Rejection&lt;/keyword&gt;&lt;keyword&gt;Humans&lt;/keyword&gt;&lt;keyword&gt;Immunosuppressive Agents/*therapeutic use&lt;/keyword&gt;&lt;keyword&gt;Kidney/physiopathology&lt;/keyword&gt;&lt;keyword&gt;*Kidney Transplantation&lt;/keyword&gt;&lt;keyword&gt;Male&lt;/keyword&gt;&lt;keyword&gt;Middle Aged&lt;/keyword&gt;&lt;keyword&gt;Mycophenolic Acid/*analogs &amp;amp; derivatives/therapeutic use&lt;/keyword&gt;&lt;keyword&gt;Transplantation, Homologous&lt;/keyword&gt;&lt;/keywords&gt;&lt;dates&gt;&lt;year&gt;1997&lt;/year&gt;&lt;pub-dates&gt;&lt;date&gt;Jan 15&lt;/date&gt;&lt;/pub-dates&gt;&lt;/dates&gt;&lt;isbn&gt;0041-1337 (Print)&amp;#xD;0041-1337 (Linking)&lt;/isbn&gt;&lt;accession-num&gt;9000658&lt;/accession-num&gt;&lt;urls&gt;&lt;related-urls&gt;&lt;url&gt;http://www.ncbi.nlm.nih.gov/entrez/query.fcgi?cmd=Retrieve&amp;amp;db=PubMed&amp;amp;dopt=Citation&amp;amp;list_uids=9000658 &lt;/url&gt;&lt;/related-urls&gt;&lt;/urls&gt;&lt;custom7&gt;1997&lt;/custom7&gt;&lt;language&gt;eng&lt;/language&gt;&lt;/record&gt;&lt;/Cite&gt;&lt;/EndNote&gt;</w:instrText>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16" w:tooltip="Halloran, 1997 #3413" w:history="1">
        <w:r w:rsidRPr="003532D0">
          <w:rPr>
            <w:rFonts w:ascii="Arial" w:eastAsia="Times New Roman" w:hAnsi="Arial" w:cs="Arial"/>
            <w:bCs/>
            <w:sz w:val="20"/>
            <w:szCs w:val="20"/>
          </w:rPr>
          <w:t>16</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and Tac </w:t>
      </w:r>
      <w:r w:rsidRPr="003532D0">
        <w:rPr>
          <w:rFonts w:ascii="Arial" w:eastAsia="Times New Roman" w:hAnsi="Arial" w:cs="Arial"/>
          <w:bCs/>
          <w:sz w:val="20"/>
          <w:szCs w:val="20"/>
        </w:rPr>
        <w:fldChar w:fldCharType="begin">
          <w:fldData xml:space="preserve">PEVuZE5vdGU+PENpdGU+PEF1dGhvcj5Tb2xhPC9BdXRob3I+PFllYXI+MjAwMzwvWWVhcj48UmVj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PEVuZE5vdGU+PENpdGU+PEF1dGhvcj5Tb2xhPC9BdXRob3I+PFllYXI+MjAwMzwvWWVhcj48UmVj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17" w:tooltip="Sola, 2003 #3416" w:history="1">
        <w:r w:rsidRPr="003532D0">
          <w:rPr>
            <w:rFonts w:ascii="Arial" w:eastAsia="Times New Roman" w:hAnsi="Arial" w:cs="Arial"/>
            <w:bCs/>
            <w:sz w:val="20"/>
            <w:szCs w:val="20"/>
          </w:rPr>
          <w:t>17</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are better at suppressing acute rejection than alternative agents and the combination of the two agents achieves better outcomes at 1 and 2 years compared to alternative regimes </w:t>
      </w:r>
      <w:r w:rsidRPr="003532D0">
        <w:rPr>
          <w:rFonts w:ascii="Arial" w:eastAsia="Times New Roman" w:hAnsi="Arial" w:cs="Arial"/>
          <w:bCs/>
          <w:sz w:val="20"/>
          <w:szCs w:val="20"/>
        </w:rPr>
        <w:fldChar w:fldCharType="begin">
          <w:fldData xml:space="preserve">PEVuZE5vdGU+PENpdGU+PEF1dGhvcj5BaHNhbjwvQXV0aG9yPjxZZWFyPjIwMDE8L1llYXI+PFJl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PEVuZE5vdGU+PENpdGU+PEF1dGhvcj5BaHNhbjwvQXV0aG9yPjxZZWFyPjIwMDE8L1llYXI+PFJl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18" w:tooltip="Ahsan, 2001 #3415" w:history="1">
        <w:r w:rsidRPr="003532D0">
          <w:rPr>
            <w:rFonts w:ascii="Arial" w:eastAsia="Times New Roman" w:hAnsi="Arial" w:cs="Arial"/>
            <w:bCs/>
            <w:sz w:val="20"/>
            <w:szCs w:val="20"/>
          </w:rPr>
          <w:t>18</w:t>
        </w:r>
      </w:hyperlink>
      <w:r w:rsidRPr="003532D0">
        <w:rPr>
          <w:rFonts w:ascii="Arial" w:eastAsia="Times New Roman" w:hAnsi="Arial" w:cs="Arial"/>
          <w:bCs/>
          <w:sz w:val="20"/>
          <w:szCs w:val="20"/>
        </w:rPr>
        <w:t xml:space="preserve">, </w:t>
      </w:r>
      <w:hyperlink w:anchor="_ENREF_19" w:tooltip="Webster, 2005 #3425" w:history="1">
        <w:r w:rsidRPr="003532D0">
          <w:rPr>
            <w:rFonts w:ascii="Arial" w:eastAsia="Times New Roman" w:hAnsi="Arial" w:cs="Arial"/>
            <w:bCs/>
            <w:sz w:val="20"/>
            <w:szCs w:val="20"/>
          </w:rPr>
          <w:t>19</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Second, regimes containing MMF are associated with a lower prevalence of HLA Ab </w:t>
      </w:r>
      <w:r w:rsidRPr="003532D0">
        <w:rPr>
          <w:rFonts w:ascii="Arial" w:eastAsia="Times New Roman" w:hAnsi="Arial" w:cs="Arial"/>
          <w:bCs/>
          <w:sz w:val="20"/>
          <w:szCs w:val="20"/>
        </w:rPr>
        <w:fldChar w:fldCharType="begin">
          <w:fldData xml:space="preserve">PEVuZE5vdGU+PENpdGU+PEF1dGhvcj5MZWRlcmVyPC9BdXRob3I+PFllYXI+MjAwNTwvWWVhcj48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=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PEVuZE5vdGU+PENpdGU+PEF1dGhvcj5MZWRlcmVyPC9BdXRob3I+PFllYXI+MjAwNTwvWWVhcj48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=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20" w:tooltip="Lederer, 2005 #3417" w:history="1">
        <w:r w:rsidRPr="003532D0">
          <w:rPr>
            <w:rFonts w:ascii="Arial" w:eastAsia="Times New Roman" w:hAnsi="Arial" w:cs="Arial"/>
            <w:bCs/>
            <w:sz w:val="20"/>
            <w:szCs w:val="20"/>
          </w:rPr>
          <w:t>20</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and MMF specifically reduces the development of HLA Ab development during episodes of acute rejection </w:t>
      </w:r>
      <w:r w:rsidRPr="003532D0">
        <w:rPr>
          <w:rFonts w:ascii="Arial" w:eastAsia="Times New Roman" w:hAnsi="Arial" w:cs="Arial"/>
          <w:bCs/>
          <w:sz w:val="20"/>
          <w:szCs w:val="20"/>
        </w:rPr>
        <w:fldChar w:fldCharType="begin">
          <w:fldData xml:space="preserve">PEVuZE5vdGU+PENpdGU+PEF1dGhvcj52YW4gZGVyIE1hc3Q8L0F1dGhvcj48WWVhcj4yMDAzPC9Z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PEVuZE5vdGU+PENpdGU+PEF1dGhvcj52YW4gZGVyIE1hc3Q8L0F1dGhvcj48WWVhcj4yMDAzPC9Z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21" w:tooltip="van der Mast, 2003 #3418" w:history="1">
        <w:r w:rsidRPr="003532D0">
          <w:rPr>
            <w:rFonts w:ascii="Arial" w:eastAsia="Times New Roman" w:hAnsi="Arial" w:cs="Arial"/>
            <w:bCs/>
            <w:sz w:val="20"/>
            <w:szCs w:val="20"/>
          </w:rPr>
          <w:t>21</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Third, although these benefits have not always fed through to improvements in graft survival rates, one recent landmark study did show improved graft survival on the combination of Tac and MMF (</w:t>
      </w:r>
      <w:r w:rsidRPr="003532D0">
        <w:rPr>
          <w:rFonts w:ascii="Arial" w:eastAsia="Times New Roman" w:hAnsi="Arial" w:cs="Arial"/>
          <w:bCs/>
          <w:sz w:val="20"/>
          <w:szCs w:val="20"/>
        </w:rPr>
        <w:fldChar w:fldCharType="begin">
          <w:fldData xml:space="preserve">PEVuZE5vdGU+PENpdGU+PEF1dGhvcj5Fa2Jlcmc8L0F1dGhvcj48WWVhcj4yMDA3PC9ZZWFyPjxS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PEVuZE5vdGU+PENpdGU+PEF1dGhvcj5Fa2Jlcmc8L0F1dGhvcj48WWVhcj4yMDA3PC9ZZWFyPjxS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22" w:tooltip="Ekberg, 2007 #3478" w:history="1">
        <w:r w:rsidRPr="003532D0">
          <w:rPr>
            <w:rFonts w:ascii="Arial" w:eastAsia="Times New Roman" w:hAnsi="Arial" w:cs="Arial"/>
            <w:bCs/>
            <w:sz w:val="20"/>
            <w:szCs w:val="20"/>
          </w:rPr>
          <w:t>22</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For Tac, enhanced graft survival also emerged during a systematic Cochrane review comparing Tac with ciclosporin (CsA) </w:t>
      </w:r>
      <w:r w:rsidRPr="003532D0">
        <w:rPr>
          <w:rFonts w:ascii="Arial" w:eastAsia="Times New Roman" w:hAnsi="Arial" w:cs="Arial"/>
          <w:bCs/>
          <w:sz w:val="20"/>
          <w:szCs w:val="20"/>
        </w:rPr>
        <w:fldChar w:fldCharType="begin"/>
      </w:r>
      <w:r w:rsidRPr="003532D0">
        <w:rPr>
          <w:rFonts w:ascii="Arial" w:eastAsia="Times New Roman" w:hAnsi="Arial" w:cs="Arial"/>
          <w:bCs/>
          <w:sz w:val="20"/>
          <w:szCs w:val="20"/>
        </w:rPr>
        <w:instrText xml:space="preserve"> ADDIN EN.CITE &lt;EndNote&gt;&lt;Cite&gt;&lt;Author&gt;Webster&lt;/Author&gt;&lt;Year&gt;2005&lt;/Year&gt;&lt;RecNum&gt;3425&lt;/RecNum&gt;&lt;DisplayText&gt;[19]&lt;/DisplayText&gt;&lt;record&gt;&lt;rec-number&gt;3425&lt;/rec-number&gt;&lt;foreign-keys&gt;&lt;key app="EN" db-id="p9vz0d9tmeepwyewd5yvp2v2pr0xafz9xws0"&gt;3425&lt;/key&gt;&lt;key app="ENWeb" db-id="TvsdHArtqgYAADf2fTc"&gt;2897&lt;/key&gt;&lt;/foreign-keys&gt;&lt;ref-type name="Journal Article"&gt;17&lt;/ref-type&gt;&lt;contributors&gt;&lt;authors&gt;&lt;author&gt;Webster, A.&lt;/author&gt;&lt;author&gt;Woodroffe, R. C.&lt;/author&gt;&lt;author&gt;Taylor, R. S.&lt;/author&gt;&lt;author&gt;Chapman, J. R.&lt;/author&gt;&lt;author&gt;Craig, J. C.&lt;/author&gt;&lt;/authors&gt;&lt;/contributors&gt;&lt;auth-address&gt;Children&amp;apos;s Hospital at Westmead, Centre for Kidney Research, Locked Bag 4001, Westmead, NSW, Australia 2145. angelaw2@chw.edu.au&lt;/auth-address&gt;&lt;titles&gt;&lt;title&gt;Tacrolimus versus cyclosporin as primary immunosuppression for kidney transplant recipients&lt;/title&gt;&lt;secondary-title&gt;Cochrane Database Syst Rev&lt;/secondary-title&gt;&lt;/titles&gt;&lt;periodical&gt;&lt;full-title&gt;Cochrane Database Syst Rev&lt;/full-title&gt;&lt;/periodical&gt;&lt;pages&gt;CD003961&lt;/pages&gt;&lt;number&gt;4&lt;/number&gt;&lt;edition&gt;2005/10/20&lt;/edition&gt;&lt;keywords&gt;&lt;keyword&gt;Cyclosporine/*therapeutic use&lt;/keyword&gt;&lt;keyword&gt;Graft Rejection/*prevention &amp;amp; control&lt;/keyword&gt;&lt;keyword&gt;Humans&lt;/keyword&gt;&lt;keyword&gt;Immunosuppressive Agents/*therapeutic use&lt;/keyword&gt;&lt;keyword&gt;Kidney Failure, Chronic/surgery&lt;/keyword&gt;&lt;keyword&gt;*Kidney Transplantation&lt;/keyword&gt;&lt;keyword&gt;Randomized Controlled Trials as Topic&lt;/keyword&gt;&lt;keyword&gt;Tacrolimus/*therapeutic use&lt;/keyword&gt;&lt;/keywords&gt;&lt;dates&gt;&lt;year&gt;2005&lt;/year&gt;&lt;/dates&gt;&lt;isbn&gt;1469-493X (Electronic)&amp;#xD;1361-6137 (Linking)&lt;/isbn&gt;&lt;accession-num&gt;16235347&lt;/accession-num&gt;&lt;urls&gt;&lt;related-urls&gt;&lt;url&gt;http://www.ncbi.nlm.nih.gov/entrez/query.fcgi?cmd=Retrieve&amp;amp;db=PubMed&amp;amp;dopt=Citation&amp;amp;list_uids=16235347 &lt;/url&gt;&lt;/related-urls&gt;&lt;/urls&gt;&lt;custom7&gt;2005&lt;/custom7&gt;&lt;electronic-resource-num&gt;10.1002/14651858.CD003961.pub2&lt;/electronic-resource-num&gt;&lt;language&gt;eng&lt;/language&gt;&lt;/record&gt;&lt;/Cite&gt;&lt;/EndNote&gt;</w:instrText>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19" w:tooltip="Webster, 2005 #3425" w:history="1">
        <w:r w:rsidRPr="003532D0">
          <w:rPr>
            <w:rFonts w:ascii="Arial" w:eastAsia="Times New Roman" w:hAnsi="Arial" w:cs="Arial"/>
            <w:bCs/>
            <w:sz w:val="20"/>
            <w:szCs w:val="20"/>
          </w:rPr>
          <w:t>19</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For MMF, a retrospective analysis of US registry data revealed an association with significantly lower rates of premature allograft failure </w:t>
      </w:r>
      <w:r w:rsidRPr="003532D0">
        <w:rPr>
          <w:rFonts w:ascii="Arial" w:eastAsia="Times New Roman" w:hAnsi="Arial" w:cs="Arial"/>
          <w:bCs/>
          <w:sz w:val="20"/>
          <w:szCs w:val="20"/>
        </w:rPr>
        <w:fldChar w:fldCharType="begin">
          <w:fldData xml:space="preserve">PEVuZE5vdGU+PENpdGU+PEF1dGhvcj5Pam88L0F1dGhvcj48WWVhcj4yMDAwPC9ZZWFyPjxSZWNO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PEVuZE5vdGU+PENpdGU+PEF1dGhvcj5Pam88L0F1dGhvcj48WWVhcj4yMDAwPC9ZZWFyPjxSZWNO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23" w:tooltip="Ojo, 2000 #3424" w:history="1">
        <w:r w:rsidRPr="003532D0">
          <w:rPr>
            <w:rFonts w:ascii="Arial" w:eastAsia="Times New Roman" w:hAnsi="Arial" w:cs="Arial"/>
            <w:bCs/>
            <w:sz w:val="20"/>
            <w:szCs w:val="20"/>
          </w:rPr>
          <w:t>23</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Finally, some studies have shown that conversion from CsA to Tac is beneficial in patients with deteriorating graft function </w:t>
      </w:r>
      <w:r w:rsidRPr="003532D0">
        <w:rPr>
          <w:rFonts w:ascii="Arial" w:eastAsia="Times New Roman" w:hAnsi="Arial" w:cs="Arial"/>
          <w:bCs/>
          <w:sz w:val="20"/>
          <w:szCs w:val="20"/>
        </w:rPr>
        <w:fldChar w:fldCharType="begin">
          <w:fldData xml:space="preserve">PEVuZE5vdGU+PENpdGU+PEF1dGhvcj5NZWllcjwvQXV0aG9yPjxZZWFyPjIwMDY8L1llYXI+PFJl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PEVuZE5vdGU+PENpdGU+PEF1dGhvcj5NZWllcjwvQXV0aG9yPjxZZWFyPjIwMDY8L1llYXI+PFJl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24" w:tooltip="Meier, 2006 #3414" w:history="1">
        <w:r w:rsidRPr="003532D0">
          <w:rPr>
            <w:rFonts w:ascii="Arial" w:eastAsia="Times New Roman" w:hAnsi="Arial" w:cs="Arial"/>
            <w:bCs/>
            <w:sz w:val="20"/>
            <w:szCs w:val="20"/>
          </w:rPr>
          <w:t>24</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and that introduction of MMF has a similar effect </w:t>
      </w:r>
      <w:r w:rsidRPr="003532D0">
        <w:rPr>
          <w:rFonts w:ascii="Arial" w:eastAsia="Times New Roman" w:hAnsi="Arial" w:cs="Arial"/>
          <w:bCs/>
          <w:sz w:val="20"/>
          <w:szCs w:val="20"/>
        </w:rPr>
        <w:fldChar w:fldCharType="begin">
          <w:fldData xml:space="preserve">PEVuZE5vdGU+PENpdGU+PEF1dGhvcj5NZWllci1Lcmllc2NoZTwvQXV0aG9yPjxZZWFyPjIwMTE8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PEVuZE5vdGU+PENpdGU+PEF1dGhvcj5NZWllci1Lcmllc2NoZTwvQXV0aG9yPjxZZWFyPjIwMTE8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25" w:tooltip="Meier-Kriesche, 2011 #3423" w:history="1">
        <w:r w:rsidRPr="003532D0">
          <w:rPr>
            <w:rFonts w:ascii="Arial" w:eastAsia="Times New Roman" w:hAnsi="Arial" w:cs="Arial"/>
            <w:bCs/>
            <w:sz w:val="20"/>
            <w:szCs w:val="20"/>
          </w:rPr>
          <w:t>25</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Although other studies have reported contradictory results, </w:t>
      </w:r>
      <w:r w:rsidRPr="003532D0">
        <w:rPr>
          <w:rFonts w:ascii="Arial" w:eastAsia="Times New Roman" w:hAnsi="Arial" w:cs="Arial"/>
          <w:bCs/>
          <w:sz w:val="20"/>
          <w:szCs w:val="20"/>
        </w:rPr>
        <w:fldChar w:fldCharType="begin">
          <w:fldData xml:space="preserve">PEVuZE5vdGU+PENpdGU+PEF1dGhvcj5KZXZuaWthcjwvQXV0aG9yPjxZZWFyPjIwMDg8L1llYXI+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PEVuZE5vdGU+PENpdGU+PEF1dGhvcj5KZXZuaWthcjwvQXV0aG9yPjxZZWFyPjIwMDg8L1llYXI+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26" w:tooltip="Jevnikar, 2008 #3419" w:history="1">
        <w:r w:rsidRPr="003532D0">
          <w:rPr>
            <w:rFonts w:ascii="Arial" w:eastAsia="Times New Roman" w:hAnsi="Arial" w:cs="Arial"/>
            <w:bCs/>
            <w:sz w:val="20"/>
            <w:szCs w:val="20"/>
          </w:rPr>
          <w:t>26</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much of this literature is difficult to interpret because many studies do not distinguish between CR and other causes of chronic graft dysfunction </w:t>
      </w:r>
      <w:r w:rsidRPr="003532D0">
        <w:rPr>
          <w:rFonts w:ascii="Arial" w:eastAsia="Times New Roman" w:hAnsi="Arial" w:cs="Arial"/>
          <w:bCs/>
          <w:sz w:val="20"/>
          <w:szCs w:val="20"/>
        </w:rPr>
        <w:fldChar w:fldCharType="begin">
          <w:fldData xml:space="preserve">PEVuZE5vdGU+PENpdGU+PEF1dGhvcj5SZW11enppPC9BdXRob3I+PFllYXI+MjAwNzwvWWVhcj48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==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PEVuZE5vdGU+PENpdGU+PEF1dGhvcj5SZW11enppPC9BdXRob3I+PFllYXI+MjAwNzwvWWVhcj48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==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27" w:tooltip="Remuzzi, 2007 #3412" w:history="1">
        <w:r w:rsidRPr="003532D0">
          <w:rPr>
            <w:rFonts w:ascii="Arial" w:eastAsia="Times New Roman" w:hAnsi="Arial" w:cs="Arial"/>
            <w:bCs/>
            <w:sz w:val="20"/>
            <w:szCs w:val="20"/>
          </w:rPr>
          <w:t>27</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w:t>
      </w:r>
    </w:p>
    <w:p w14:paraId="36183A7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In addition to Tac and MMF, we propose to use a short course of moderate-dose prednisolone followed by low dose steroid maintenance in this trial. There is no direct evidence from the transplant literature to support this intervention, but a similar treatment course is standard therapy in many situations where quick and effective suppression of immune responses is required, for example in acute asthma and in many types of autoimmune diseases. </w:t>
      </w:r>
    </w:p>
    <w:p w14:paraId="5A86E2AA"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46" w:name="_Toc248735409"/>
      <w:r w:rsidRPr="003532D0">
        <w:rPr>
          <w:rFonts w:ascii="Arial" w:eastAsia="Times New Roman" w:hAnsi="Arial" w:cs="Arial"/>
          <w:b/>
        </w:rPr>
        <w:t>1.2. Risks and Benefits</w:t>
      </w:r>
      <w:bookmarkEnd w:id="46"/>
    </w:p>
    <w:p w14:paraId="03B2691B" w14:textId="77777777" w:rsidR="003532D0" w:rsidRPr="003532D0" w:rsidRDefault="003532D0" w:rsidP="003532D0">
      <w:pPr>
        <w:spacing w:before="240" w:after="60" w:line="240" w:lineRule="auto"/>
        <w:ind w:left="1440"/>
        <w:contextualSpacing/>
        <w:outlineLvl w:val="4"/>
        <w:rPr>
          <w:rFonts w:ascii="Arial" w:eastAsia="Times New Roman" w:hAnsi="Arial" w:cs="Arial"/>
          <w:b/>
          <w:iCs/>
          <w:sz w:val="20"/>
          <w:szCs w:val="20"/>
        </w:rPr>
      </w:pPr>
      <w:bookmarkStart w:id="47" w:name="_Toc248735410"/>
      <w:r w:rsidRPr="003532D0">
        <w:rPr>
          <w:rFonts w:ascii="Arial" w:eastAsia="Times New Roman" w:hAnsi="Arial" w:cs="Arial"/>
          <w:b/>
          <w:iCs/>
          <w:sz w:val="20"/>
          <w:szCs w:val="20"/>
        </w:rPr>
        <w:t>1.2.1: Risks:</w:t>
      </w:r>
      <w:bookmarkEnd w:id="47"/>
    </w:p>
    <w:p w14:paraId="6E76E00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Conversion to Tac from CsA is associated with an increased risk of diabetes mellitus (DM), reported in one study as occurring in 12.5% compared to 4.5% in those who remained on CsA </w:t>
      </w:r>
      <w:r w:rsidRPr="003532D0">
        <w:rPr>
          <w:rFonts w:ascii="Arial" w:eastAsia="Times New Roman" w:hAnsi="Arial" w:cs="Arial"/>
          <w:bCs/>
          <w:sz w:val="20"/>
          <w:szCs w:val="20"/>
        </w:rPr>
        <w:fldChar w:fldCharType="begin">
          <w:fldData xml:space="preserve">PEVuZE5vdGU+PENpdGU+PEF1dGhvcj5NZWllcjwvQXV0aG9yPjxZZWFyPjIwMDY8L1llYXI+PFJl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PEVuZE5vdGU+PENpdGU+PEF1dGhvcj5NZWllcjwvQXV0aG9yPjxZZWFyPjIwMDY8L1llYXI+PFJl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24" w:tooltip="Meier, 2006 #3414" w:history="1">
        <w:r w:rsidRPr="003532D0">
          <w:rPr>
            <w:rFonts w:ascii="Arial" w:eastAsia="Times New Roman" w:hAnsi="Arial" w:cs="Arial"/>
            <w:bCs/>
            <w:sz w:val="20"/>
            <w:szCs w:val="20"/>
          </w:rPr>
          <w:t>24</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Analysis of &gt;130 trials comparing the two agents revealed that Tac is associated with a 5% higher rate of DM compared to CsA </w:t>
      </w:r>
      <w:r w:rsidRPr="003532D0">
        <w:rPr>
          <w:rFonts w:ascii="Arial" w:eastAsia="Times New Roman" w:hAnsi="Arial" w:cs="Arial"/>
          <w:bCs/>
          <w:sz w:val="20"/>
          <w:szCs w:val="20"/>
        </w:rPr>
        <w:fldChar w:fldCharType="begin"/>
      </w:r>
      <w:r w:rsidRPr="003532D0">
        <w:rPr>
          <w:rFonts w:ascii="Arial" w:eastAsia="Times New Roman" w:hAnsi="Arial" w:cs="Arial"/>
          <w:bCs/>
          <w:sz w:val="20"/>
          <w:szCs w:val="20"/>
        </w:rPr>
        <w:instrText xml:space="preserve"> ADDIN EN.CITE &lt;EndNote&gt;&lt;Cite&gt;&lt;Author&gt;Webster&lt;/Author&gt;&lt;Year&gt;2005&lt;/Year&gt;&lt;RecNum&gt;3425&lt;/RecNum&gt;&lt;DisplayText&gt;[19]&lt;/DisplayText&gt;&lt;record&gt;&lt;rec-number&gt;3425&lt;/rec-number&gt;&lt;foreign-keys&gt;&lt;key app="EN" db-id="p9vz0d9tmeepwyewd5yvp2v2pr0xafz9xws0"&gt;3425&lt;/key&gt;&lt;key app="ENWeb" db-id="TvsdHArtqgYAADf2fTc"&gt;2897&lt;/key&gt;&lt;/foreign-keys&gt;&lt;ref-type name="Journal Article"&gt;17&lt;/ref-type&gt;&lt;contributors&gt;&lt;authors&gt;&lt;author&gt;Webster, A.&lt;/author&gt;&lt;author&gt;Woodroffe, R. C.&lt;/author&gt;&lt;author&gt;Taylor, R. S.&lt;/author&gt;&lt;author&gt;Chapman, J. R.&lt;/author&gt;&lt;author&gt;Craig, J. C.&lt;/author&gt;&lt;/authors&gt;&lt;/contributors&gt;&lt;auth-address&gt;Children&amp;apos;s Hospital at Westmead, Centre for Kidney Research, Locked Bag 4001, Westmead, NSW, Australia 2145. angelaw2@chw.edu.au&lt;/auth-address&gt;&lt;titles&gt;&lt;title&gt;Tacrolimus versus cyclosporin as primary immunosuppression for kidney transplant recipients&lt;/title&gt;&lt;secondary-title&gt;Cochrane Database Syst Rev&lt;/secondary-title&gt;&lt;/titles&gt;&lt;periodical&gt;&lt;full-title&gt;Cochrane Database Syst Rev&lt;/full-title&gt;&lt;/periodical&gt;&lt;pages&gt;CD003961&lt;/pages&gt;&lt;number&gt;4&lt;/number&gt;&lt;edition&gt;2005/10/20&lt;/edition&gt;&lt;keywords&gt;&lt;keyword&gt;Cyclosporine/*therapeutic use&lt;/keyword&gt;&lt;keyword&gt;Graft Rejection/*prevention &amp;amp; control&lt;/keyword&gt;&lt;keyword&gt;Humans&lt;/keyword&gt;&lt;keyword&gt;Immunosuppressive Agents/*therapeutic use&lt;/keyword&gt;&lt;keyword&gt;Kidney Failure, Chronic/surgery&lt;/keyword&gt;&lt;keyword&gt;*Kidney Transplantation&lt;/keyword&gt;&lt;keyword&gt;Randomized Controlled Trials as Topic&lt;/keyword&gt;&lt;keyword&gt;Tacrolimus/*therapeutic use&lt;/keyword&gt;&lt;/keywords&gt;&lt;dates&gt;&lt;year&gt;2005&lt;/year&gt;&lt;/dates&gt;&lt;isbn&gt;1469-493X (Electronic)&amp;#xD;1361-6137 (Linking)&lt;/isbn&gt;&lt;accession-num&gt;16235347&lt;/accession-num&gt;&lt;urls&gt;&lt;related-urls&gt;&lt;url&gt;http://www.ncbi.nlm.nih.gov/entrez/query.fcgi?cmd=Retrieve&amp;amp;db=PubMed&amp;amp;dopt=Citation&amp;amp;list_uids=16235347 &lt;/url&gt;&lt;/related-urls&gt;&lt;/urls&gt;&lt;custom7&gt;2005&lt;/custom7&gt;&lt;electronic-resource-num&gt;10.1002/14651858.CD003961.pub2&lt;/electronic-resource-num&gt;&lt;language&gt;eng&lt;/language&gt;&lt;/record&gt;&lt;/Cite&gt;&lt;/EndNote&gt;</w:instrText>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19" w:tooltip="Webster, 2005 #3425" w:history="1">
        <w:r w:rsidRPr="003532D0">
          <w:rPr>
            <w:rFonts w:ascii="Arial" w:eastAsia="Times New Roman" w:hAnsi="Arial" w:cs="Arial"/>
            <w:bCs/>
            <w:sz w:val="20"/>
            <w:szCs w:val="20"/>
          </w:rPr>
          <w:t>19</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This risk is likely to be exacerbated by the prednisolone, although the DM induced by combined pred/Tac is only transient in approximately 50% of patients.  Enhanced immunosuppression is associated with an increased incidence of infection, especially viral and with an increased risk of malignancy.  The precise risks of both these in this trial are difficult to estimate.  The incidence of DM, infection and malignancy will be monitored carefully on this trial.</w:t>
      </w:r>
    </w:p>
    <w:p w14:paraId="617CBD90"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09811B80" w14:textId="77777777" w:rsidR="003532D0" w:rsidRPr="003532D0" w:rsidRDefault="003532D0" w:rsidP="003532D0">
      <w:pPr>
        <w:spacing w:before="240" w:after="60" w:line="240" w:lineRule="auto"/>
        <w:ind w:left="1440"/>
        <w:contextualSpacing/>
        <w:outlineLvl w:val="4"/>
        <w:rPr>
          <w:rFonts w:ascii="Arial" w:eastAsia="Times New Roman" w:hAnsi="Arial" w:cs="Arial"/>
          <w:b/>
          <w:iCs/>
          <w:sz w:val="20"/>
          <w:szCs w:val="20"/>
        </w:rPr>
      </w:pPr>
      <w:bookmarkStart w:id="48" w:name="_Toc248735411"/>
      <w:r w:rsidRPr="003532D0">
        <w:rPr>
          <w:rFonts w:ascii="Arial" w:eastAsia="Times New Roman" w:hAnsi="Arial" w:cs="Arial"/>
          <w:b/>
          <w:iCs/>
          <w:sz w:val="20"/>
          <w:szCs w:val="20"/>
        </w:rPr>
        <w:t>1.2.2: Benefits:</w:t>
      </w:r>
      <w:bookmarkEnd w:id="48"/>
    </w:p>
    <w:p w14:paraId="3908BD5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lastRenderedPageBreak/>
        <w:t xml:space="preserve">Tac is associated with a better cholesterol profile </w:t>
      </w:r>
      <w:r w:rsidRPr="003532D0">
        <w:rPr>
          <w:rFonts w:ascii="Arial" w:eastAsia="Times New Roman" w:hAnsi="Arial" w:cs="Arial"/>
          <w:bCs/>
          <w:sz w:val="20"/>
          <w:szCs w:val="20"/>
        </w:rPr>
        <w:fldChar w:fldCharType="begin">
          <w:fldData xml:space="preserve">PEVuZE5vdGU+PENpdGU+PEF1dGhvcj5DaGV1bmc8L0F1dGhvcj48WWVhcj4yMDA5PC9ZZWFyPjxS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PEVuZE5vdGU+PENpdGU+PEF1dGhvcj5DaGV1bmc8L0F1dGhvcj48WWVhcj4yMDA5PC9ZZWFyPjxS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28" w:tooltip="Cheung, 2009 #3426" w:history="1">
        <w:r w:rsidRPr="003532D0">
          <w:rPr>
            <w:rFonts w:ascii="Arial" w:eastAsia="Times New Roman" w:hAnsi="Arial" w:cs="Arial"/>
            <w:bCs/>
            <w:sz w:val="20"/>
            <w:szCs w:val="20"/>
          </w:rPr>
          <w:t>28</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and lower blood pressures </w:t>
      </w:r>
      <w:r w:rsidRPr="003532D0">
        <w:rPr>
          <w:rFonts w:ascii="Arial" w:eastAsia="Times New Roman" w:hAnsi="Arial" w:cs="Arial"/>
          <w:bCs/>
          <w:sz w:val="20"/>
          <w:szCs w:val="20"/>
        </w:rPr>
        <w:fldChar w:fldCharType="begin"/>
      </w:r>
      <w:r w:rsidRPr="003532D0">
        <w:rPr>
          <w:rFonts w:ascii="Arial" w:eastAsia="Times New Roman" w:hAnsi="Arial" w:cs="Arial"/>
          <w:bCs/>
          <w:sz w:val="20"/>
          <w:szCs w:val="20"/>
        </w:rPr>
        <w:instrText xml:space="preserve"> ADDIN EN.CITE &lt;EndNote&gt;&lt;Cite&gt;&lt;Author&gt;Webster&lt;/Author&gt;&lt;Year&gt;2005&lt;/Year&gt;&lt;RecNum&gt;3425&lt;/RecNum&gt;&lt;DisplayText&gt;[19]&lt;/DisplayText&gt;&lt;record&gt;&lt;rec-number&gt;3425&lt;/rec-number&gt;&lt;foreign-keys&gt;&lt;key app="EN" db-id="p9vz0d9tmeepwyewd5yvp2v2pr0xafz9xws0"&gt;3425&lt;/key&gt;&lt;key app="ENWeb" db-id="TvsdHArtqgYAADf2fTc"&gt;2897&lt;/key&gt;&lt;/foreign-keys&gt;&lt;ref-type name="Journal Article"&gt;17&lt;/ref-type&gt;&lt;contributors&gt;&lt;authors&gt;&lt;author&gt;Webster, A.&lt;/author&gt;&lt;author&gt;Woodroffe, R. C.&lt;/author&gt;&lt;author&gt;Taylor, R. S.&lt;/author&gt;&lt;author&gt;Chapman, J. R.&lt;/author&gt;&lt;author&gt;Craig, J. C.&lt;/author&gt;&lt;/authors&gt;&lt;/contributors&gt;&lt;auth-address&gt;Children&amp;apos;s Hospital at Westmead, Centre for Kidney Research, Locked Bag 4001, Westmead, NSW, Australia 2145. angelaw2@chw.edu.au&lt;/auth-address&gt;&lt;titles&gt;&lt;title&gt;Tacrolimus versus cyclosporin as primary immunosuppression for kidney transplant recipients&lt;/title&gt;&lt;secondary-title&gt;Cochrane Database Syst Rev&lt;/secondary-title&gt;&lt;/titles&gt;&lt;periodical&gt;&lt;full-title&gt;Cochrane Database Syst Rev&lt;/full-title&gt;&lt;/periodical&gt;&lt;pages&gt;CD003961&lt;/pages&gt;&lt;number&gt;4&lt;/number&gt;&lt;edition&gt;2005/10/20&lt;/edition&gt;&lt;keywords&gt;&lt;keyword&gt;Cyclosporine/*therapeutic use&lt;/keyword&gt;&lt;keyword&gt;Graft Rejection/*prevention &amp;amp; control&lt;/keyword&gt;&lt;keyword&gt;Humans&lt;/keyword&gt;&lt;keyword&gt;Immunosuppressive Agents/*therapeutic use&lt;/keyword&gt;&lt;keyword&gt;Kidney Failure, Chronic/surgery&lt;/keyword&gt;&lt;keyword&gt;*Kidney Transplantation&lt;/keyword&gt;&lt;keyword&gt;Randomized Controlled Trials as Topic&lt;/keyword&gt;&lt;keyword&gt;Tacrolimus/*therapeutic use&lt;/keyword&gt;&lt;/keywords&gt;&lt;dates&gt;&lt;year&gt;2005&lt;/year&gt;&lt;/dates&gt;&lt;isbn&gt;1469-493X (Electronic)&amp;#xD;1361-6137 (Linking)&lt;/isbn&gt;&lt;accession-num&gt;16235347&lt;/accession-num&gt;&lt;urls&gt;&lt;related-urls&gt;&lt;url&gt;http://www.ncbi.nlm.nih.gov/entrez/query.fcgi?cmd=Retrieve&amp;amp;db=PubMed&amp;amp;dopt=Citation&amp;amp;list_uids=16235347 &lt;/url&gt;&lt;/related-urls&gt;&lt;/urls&gt;&lt;custom7&gt;2005&lt;/custom7&gt;&lt;electronic-resource-num&gt;10.1002/14651858.CD003961.pub2&lt;/electronic-resource-num&gt;&lt;language&gt;eng&lt;/language&gt;&lt;/record&gt;&lt;/Cite&gt;&lt;/EndNote&gt;</w:instrText>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19" w:tooltip="Webster, 2005 #3425" w:history="1">
        <w:r w:rsidRPr="003532D0">
          <w:rPr>
            <w:rFonts w:ascii="Arial" w:eastAsia="Times New Roman" w:hAnsi="Arial" w:cs="Arial"/>
            <w:bCs/>
            <w:sz w:val="20"/>
            <w:szCs w:val="20"/>
          </w:rPr>
          <w:t>19</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than CsA.</w:t>
      </w:r>
    </w:p>
    <w:p w14:paraId="1F548328"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08385320"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49" w:name="_Toc248735412"/>
      <w:r w:rsidRPr="003532D0">
        <w:rPr>
          <w:rFonts w:ascii="Arial" w:eastAsia="Times New Roman" w:hAnsi="Arial" w:cs="Arial"/>
          <w:b/>
        </w:rPr>
        <w:t>1.3. Rationale for Current Study</w:t>
      </w:r>
      <w:bookmarkEnd w:id="49"/>
    </w:p>
    <w:p w14:paraId="73D9B1F0"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Spending on kidney failure services is 3% of the total NHS budget. The National Service Framework recognizes transplantation as the most clinically and cost effective treatment for patients with kidney failure. To maximise rates of transplantation, efforts are focussed on increasing the number of donor organs by 50% in the next few years. In the words of the NHSBT, “The cost benefit of kidney transplantation compared to dialysis over a period of ten years is £241,000.” The problem of premature transplant failure undermines the ability of the NHS to capitalise maximally on improved transplantation rates and is an aspect hitherto ignored by health strategists. </w:t>
      </w:r>
    </w:p>
    <w:p w14:paraId="018C30B0"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Because CR is the single biggest cause of premature graft failure and because HLA Ab are an established prognostic biomarker for premature graft failure, there is a need to test whether treatment decisions based on the presence of the biomarker can alter prognosis. So this trial combines 2 elements, testing whether a routine screening programme for HLA Ab in all kidney transplant recipients is useful, and then, for those found to be HLA Ab +, testing whether the (randomized) introduction of a standard optimization treatment protocol can reduce graft failure rates. </w:t>
      </w:r>
    </w:p>
    <w:p w14:paraId="7A34840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Management in both the biomarker-led care (BLC) and standard care (SC) groups will involve control of hypertension, proteinuria and hypercholesterolaemia to defined target ranges using conventional agents. Clinicians will be blinded to the results of the screening tests in the ‘blinded’ groups. Patients who have no HLA Ab at their initial screening will be re-screened every 8 months for the first three years of the study. If found to be HLA Ab+, those in the ‘unblinded’ group (D) will enter the standardized anti-rejection optimized treatment protocol, whereas the treatment of those in the ‘blinded’ group (C) will be unchanged and clinicians will remain unaware of the change in HLA Ab status.</w:t>
      </w:r>
    </w:p>
    <w:p w14:paraId="4BB94A25" w14:textId="77777777" w:rsidR="003532D0" w:rsidRPr="003532D0" w:rsidRDefault="003532D0" w:rsidP="003532D0">
      <w:pPr>
        <w:spacing w:before="120" w:after="120" w:line="240" w:lineRule="auto"/>
        <w:contextualSpacing/>
        <w:rPr>
          <w:rFonts w:ascii="Arial" w:eastAsia="Arial Unicode MS" w:hAnsi="Arial" w:cs="Arial"/>
          <w:bCs/>
          <w:sz w:val="20"/>
          <w:szCs w:val="20"/>
        </w:rPr>
      </w:pPr>
    </w:p>
    <w:p w14:paraId="1E5E57C4" w14:textId="77777777" w:rsidR="003532D0" w:rsidRPr="003532D0" w:rsidRDefault="003532D0" w:rsidP="003532D0">
      <w:pPr>
        <w:keepNext/>
        <w:spacing w:before="240" w:after="60" w:line="240" w:lineRule="auto"/>
        <w:ind w:left="720"/>
        <w:contextualSpacing/>
        <w:outlineLvl w:val="3"/>
        <w:rPr>
          <w:rFonts w:ascii="Arial" w:eastAsia="Arial Unicode MS" w:hAnsi="Arial" w:cs="Arial"/>
          <w:b/>
          <w:bCs/>
        </w:rPr>
      </w:pPr>
      <w:bookmarkStart w:id="50" w:name="_Toc248735413"/>
      <w:r w:rsidRPr="003532D0">
        <w:rPr>
          <w:rFonts w:ascii="Arial" w:eastAsia="Arial Unicode MS" w:hAnsi="Arial" w:cs="Arial"/>
          <w:b/>
        </w:rPr>
        <w:t>1.4. References</w:t>
      </w:r>
      <w:bookmarkEnd w:id="50"/>
    </w:p>
    <w:p w14:paraId="2459CA61"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sz w:val="20"/>
          <w:szCs w:val="20"/>
        </w:rPr>
        <w:fldChar w:fldCharType="begin"/>
      </w:r>
      <w:r w:rsidRPr="003532D0">
        <w:rPr>
          <w:rFonts w:ascii="Arial" w:eastAsia="Arial Unicode MS" w:hAnsi="Arial" w:cs="Arial"/>
          <w:bCs/>
          <w:sz w:val="20"/>
          <w:szCs w:val="20"/>
        </w:rPr>
        <w:instrText xml:space="preserve"> ADDIN EN.REFLIST </w:instrText>
      </w:r>
      <w:r w:rsidRPr="003532D0">
        <w:rPr>
          <w:rFonts w:ascii="Arial" w:eastAsia="Arial Unicode MS" w:hAnsi="Arial" w:cs="Arial"/>
          <w:bCs/>
          <w:sz w:val="20"/>
          <w:szCs w:val="20"/>
        </w:rPr>
        <w:fldChar w:fldCharType="separate"/>
      </w:r>
      <w:r w:rsidRPr="003532D0">
        <w:rPr>
          <w:rFonts w:ascii="Arial" w:eastAsia="Arial Unicode MS" w:hAnsi="Arial" w:cs="Arial"/>
          <w:bCs/>
          <w:noProof/>
          <w:sz w:val="20"/>
          <w:szCs w:val="20"/>
        </w:rPr>
        <w:t>1</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Lamb, K. E., Lodhi, S. and Meier-Kriesche, H. U.,</w:t>
      </w:r>
      <w:r w:rsidRPr="003532D0">
        <w:rPr>
          <w:rFonts w:ascii="Arial" w:eastAsia="Arial Unicode MS" w:hAnsi="Arial" w:cs="Arial"/>
          <w:bCs/>
          <w:noProof/>
          <w:sz w:val="20"/>
          <w:szCs w:val="20"/>
        </w:rPr>
        <w:t xml:space="preserve"> Long-term renal allograft survival in the United States: a critical reappraisal. </w:t>
      </w:r>
      <w:r w:rsidRPr="003532D0">
        <w:rPr>
          <w:rFonts w:ascii="Arial" w:eastAsia="Arial Unicode MS" w:hAnsi="Arial" w:cs="Arial"/>
          <w:bCs/>
          <w:i/>
          <w:noProof/>
          <w:sz w:val="20"/>
          <w:szCs w:val="20"/>
        </w:rPr>
        <w:t>Am J Transplant</w:t>
      </w:r>
      <w:r w:rsidRPr="003532D0">
        <w:rPr>
          <w:rFonts w:ascii="Arial" w:eastAsia="Arial Unicode MS" w:hAnsi="Arial" w:cs="Arial"/>
          <w:bCs/>
          <w:noProof/>
          <w:sz w:val="20"/>
          <w:szCs w:val="20"/>
        </w:rPr>
        <w:t xml:space="preserve"> 2011. </w:t>
      </w:r>
      <w:r w:rsidRPr="003532D0">
        <w:rPr>
          <w:rFonts w:ascii="Arial" w:eastAsia="Arial Unicode MS" w:hAnsi="Arial" w:cs="Arial"/>
          <w:b/>
          <w:bCs/>
          <w:noProof/>
          <w:sz w:val="20"/>
          <w:szCs w:val="20"/>
        </w:rPr>
        <w:t>11</w:t>
      </w:r>
      <w:r w:rsidRPr="003532D0">
        <w:rPr>
          <w:rFonts w:ascii="Arial" w:eastAsia="Arial Unicode MS" w:hAnsi="Arial" w:cs="Arial"/>
          <w:bCs/>
          <w:noProof/>
          <w:sz w:val="20"/>
          <w:szCs w:val="20"/>
        </w:rPr>
        <w:t>: 450-462.</w:t>
      </w:r>
    </w:p>
    <w:p w14:paraId="23B5AC5A"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2</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Ravanan, R., Udayaraj, U., Bakran, A., Steenkamp, R., Williams, A. J. and Ansell, D.,</w:t>
      </w:r>
      <w:r w:rsidRPr="003532D0">
        <w:rPr>
          <w:rFonts w:ascii="Arial" w:eastAsia="Arial Unicode MS" w:hAnsi="Arial" w:cs="Arial"/>
          <w:bCs/>
          <w:noProof/>
          <w:sz w:val="20"/>
          <w:szCs w:val="20"/>
        </w:rPr>
        <w:t xml:space="preserve"> Measures of care in adult renal transplant recipients in the United Kingdom (chapter 11). </w:t>
      </w:r>
      <w:r w:rsidRPr="003532D0">
        <w:rPr>
          <w:rFonts w:ascii="Arial" w:eastAsia="Arial Unicode MS" w:hAnsi="Arial" w:cs="Arial"/>
          <w:bCs/>
          <w:i/>
          <w:noProof/>
          <w:sz w:val="20"/>
          <w:szCs w:val="20"/>
        </w:rPr>
        <w:t>Nephrol Dial Transplant</w:t>
      </w:r>
      <w:r w:rsidRPr="003532D0">
        <w:rPr>
          <w:rFonts w:ascii="Arial" w:eastAsia="Arial Unicode MS" w:hAnsi="Arial" w:cs="Arial"/>
          <w:bCs/>
          <w:noProof/>
          <w:sz w:val="20"/>
          <w:szCs w:val="20"/>
        </w:rPr>
        <w:t xml:space="preserve"> 2007. </w:t>
      </w:r>
      <w:r w:rsidRPr="003532D0">
        <w:rPr>
          <w:rFonts w:ascii="Arial" w:eastAsia="Arial Unicode MS" w:hAnsi="Arial" w:cs="Arial"/>
          <w:b/>
          <w:bCs/>
          <w:noProof/>
          <w:sz w:val="20"/>
          <w:szCs w:val="20"/>
        </w:rPr>
        <w:t>22 Suppl 7</w:t>
      </w:r>
      <w:r w:rsidRPr="003532D0">
        <w:rPr>
          <w:rFonts w:ascii="Arial" w:eastAsia="Arial Unicode MS" w:hAnsi="Arial" w:cs="Arial"/>
          <w:bCs/>
          <w:noProof/>
          <w:sz w:val="20"/>
          <w:szCs w:val="20"/>
        </w:rPr>
        <w:t>: vii138-154.</w:t>
      </w:r>
    </w:p>
    <w:p w14:paraId="0BA1CC9E"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3</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Gaston, R. S., Cecka, J. M., Kasiske, B. L., Fieberg, A. M., Leduc, R., Cosio, F. C., Gourishankar, S., Grande, J., Halloran, P., Hunsicker, L., Mannon, R., Rush, D. and Matas, A. J.,</w:t>
      </w:r>
      <w:r w:rsidRPr="003532D0">
        <w:rPr>
          <w:rFonts w:ascii="Arial" w:eastAsia="Arial Unicode MS" w:hAnsi="Arial" w:cs="Arial"/>
          <w:bCs/>
          <w:noProof/>
          <w:sz w:val="20"/>
          <w:szCs w:val="20"/>
        </w:rPr>
        <w:t xml:space="preserve"> Evidence for antibody-mediated injury as a major determinant of late kidney allograft failure.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2010. </w:t>
      </w:r>
      <w:r w:rsidRPr="003532D0">
        <w:rPr>
          <w:rFonts w:ascii="Arial" w:eastAsia="Arial Unicode MS" w:hAnsi="Arial" w:cs="Arial"/>
          <w:b/>
          <w:bCs/>
          <w:noProof/>
          <w:sz w:val="20"/>
          <w:szCs w:val="20"/>
        </w:rPr>
        <w:t>90</w:t>
      </w:r>
      <w:r w:rsidRPr="003532D0">
        <w:rPr>
          <w:rFonts w:ascii="Arial" w:eastAsia="Arial Unicode MS" w:hAnsi="Arial" w:cs="Arial"/>
          <w:bCs/>
          <w:noProof/>
          <w:sz w:val="20"/>
          <w:szCs w:val="20"/>
        </w:rPr>
        <w:t>: 68-74.</w:t>
      </w:r>
    </w:p>
    <w:p w14:paraId="59338DA8"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4</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Mizutani, K., Terasaki, P., Rosen, A., Esquenazi, V., Miller, J., Shih, R. N., Pei, R., Ozawa, M. and Lee, J.,</w:t>
      </w:r>
      <w:r w:rsidRPr="003532D0">
        <w:rPr>
          <w:rFonts w:ascii="Arial" w:eastAsia="Arial Unicode MS" w:hAnsi="Arial" w:cs="Arial"/>
          <w:bCs/>
          <w:noProof/>
          <w:sz w:val="20"/>
          <w:szCs w:val="20"/>
        </w:rPr>
        <w:t xml:space="preserve"> Serial ten-year follow-up of HLA and MICA antibody production prior to kidney graft failure. </w:t>
      </w:r>
      <w:r w:rsidRPr="003532D0">
        <w:rPr>
          <w:rFonts w:ascii="Arial" w:eastAsia="Arial Unicode MS" w:hAnsi="Arial" w:cs="Arial"/>
          <w:bCs/>
          <w:i/>
          <w:noProof/>
          <w:sz w:val="20"/>
          <w:szCs w:val="20"/>
        </w:rPr>
        <w:t>Am J Transplant</w:t>
      </w:r>
      <w:r w:rsidRPr="003532D0">
        <w:rPr>
          <w:rFonts w:ascii="Arial" w:eastAsia="Arial Unicode MS" w:hAnsi="Arial" w:cs="Arial"/>
          <w:bCs/>
          <w:noProof/>
          <w:sz w:val="20"/>
          <w:szCs w:val="20"/>
        </w:rPr>
        <w:t xml:space="preserve"> 2005. </w:t>
      </w:r>
      <w:r w:rsidRPr="003532D0">
        <w:rPr>
          <w:rFonts w:ascii="Arial" w:eastAsia="Arial Unicode MS" w:hAnsi="Arial" w:cs="Arial"/>
          <w:b/>
          <w:bCs/>
          <w:noProof/>
          <w:sz w:val="20"/>
          <w:szCs w:val="20"/>
        </w:rPr>
        <w:t>5</w:t>
      </w:r>
      <w:r w:rsidRPr="003532D0">
        <w:rPr>
          <w:rFonts w:ascii="Arial" w:eastAsia="Arial Unicode MS" w:hAnsi="Arial" w:cs="Arial"/>
          <w:bCs/>
          <w:noProof/>
          <w:sz w:val="20"/>
          <w:szCs w:val="20"/>
        </w:rPr>
        <w:t>: 2265-2272.</w:t>
      </w:r>
    </w:p>
    <w:p w14:paraId="29CE5214"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5</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Lee, P. C., Zhu, L., Terasaki, P. I. and Everly, M. J.,</w:t>
      </w:r>
      <w:r w:rsidRPr="003532D0">
        <w:rPr>
          <w:rFonts w:ascii="Arial" w:eastAsia="Arial Unicode MS" w:hAnsi="Arial" w:cs="Arial"/>
          <w:bCs/>
          <w:noProof/>
          <w:sz w:val="20"/>
          <w:szCs w:val="20"/>
        </w:rPr>
        <w:t xml:space="preserve"> HLA-specific antibodies developed in the first year posttransplant are predictive of chronic rejection and renal graft loss.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2009. </w:t>
      </w:r>
      <w:r w:rsidRPr="003532D0">
        <w:rPr>
          <w:rFonts w:ascii="Arial" w:eastAsia="Arial Unicode MS" w:hAnsi="Arial" w:cs="Arial"/>
          <w:b/>
          <w:bCs/>
          <w:noProof/>
          <w:sz w:val="20"/>
          <w:szCs w:val="20"/>
        </w:rPr>
        <w:t>88</w:t>
      </w:r>
      <w:r w:rsidRPr="003532D0">
        <w:rPr>
          <w:rFonts w:ascii="Arial" w:eastAsia="Arial Unicode MS" w:hAnsi="Arial" w:cs="Arial"/>
          <w:bCs/>
          <w:noProof/>
          <w:sz w:val="20"/>
          <w:szCs w:val="20"/>
        </w:rPr>
        <w:t>: 568-574.</w:t>
      </w:r>
    </w:p>
    <w:p w14:paraId="6B2FA041"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6</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Terasaki, P. I. and Ozawa, M.,</w:t>
      </w:r>
      <w:r w:rsidRPr="003532D0">
        <w:rPr>
          <w:rFonts w:ascii="Arial" w:eastAsia="Arial Unicode MS" w:hAnsi="Arial" w:cs="Arial"/>
          <w:bCs/>
          <w:noProof/>
          <w:sz w:val="20"/>
          <w:szCs w:val="20"/>
        </w:rPr>
        <w:t xml:space="preserve"> Predictive value of HLA antibodies and serum creatinine in chronic rejection: results of a 2-year prospective trial.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2005. </w:t>
      </w:r>
      <w:r w:rsidRPr="003532D0">
        <w:rPr>
          <w:rFonts w:ascii="Arial" w:eastAsia="Arial Unicode MS" w:hAnsi="Arial" w:cs="Arial"/>
          <w:b/>
          <w:bCs/>
          <w:noProof/>
          <w:sz w:val="20"/>
          <w:szCs w:val="20"/>
        </w:rPr>
        <w:t>80</w:t>
      </w:r>
      <w:r w:rsidRPr="003532D0">
        <w:rPr>
          <w:rFonts w:ascii="Arial" w:eastAsia="Arial Unicode MS" w:hAnsi="Arial" w:cs="Arial"/>
          <w:bCs/>
          <w:noProof/>
          <w:sz w:val="20"/>
          <w:szCs w:val="20"/>
        </w:rPr>
        <w:t>: 1194-1197.</w:t>
      </w:r>
    </w:p>
    <w:p w14:paraId="1D23D966"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7</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Terasaki, P. I., Ozawa, M. and Castro, R.,</w:t>
      </w:r>
      <w:r w:rsidRPr="003532D0">
        <w:rPr>
          <w:rFonts w:ascii="Arial" w:eastAsia="Arial Unicode MS" w:hAnsi="Arial" w:cs="Arial"/>
          <w:bCs/>
          <w:noProof/>
          <w:sz w:val="20"/>
          <w:szCs w:val="20"/>
        </w:rPr>
        <w:t xml:space="preserve"> Four-year follow-up of a prospective trial of HLA and MICA antibodies on kidney graft survival. </w:t>
      </w:r>
      <w:r w:rsidRPr="003532D0">
        <w:rPr>
          <w:rFonts w:ascii="Arial" w:eastAsia="Arial Unicode MS" w:hAnsi="Arial" w:cs="Arial"/>
          <w:bCs/>
          <w:i/>
          <w:noProof/>
          <w:sz w:val="20"/>
          <w:szCs w:val="20"/>
        </w:rPr>
        <w:t>Am J Transplant</w:t>
      </w:r>
      <w:r w:rsidRPr="003532D0">
        <w:rPr>
          <w:rFonts w:ascii="Arial" w:eastAsia="Arial Unicode MS" w:hAnsi="Arial" w:cs="Arial"/>
          <w:bCs/>
          <w:noProof/>
          <w:sz w:val="20"/>
          <w:szCs w:val="20"/>
        </w:rPr>
        <w:t xml:space="preserve"> 2007. </w:t>
      </w:r>
      <w:r w:rsidRPr="003532D0">
        <w:rPr>
          <w:rFonts w:ascii="Arial" w:eastAsia="Arial Unicode MS" w:hAnsi="Arial" w:cs="Arial"/>
          <w:b/>
          <w:bCs/>
          <w:noProof/>
          <w:sz w:val="20"/>
          <w:szCs w:val="20"/>
        </w:rPr>
        <w:t>7</w:t>
      </w:r>
      <w:r w:rsidRPr="003532D0">
        <w:rPr>
          <w:rFonts w:ascii="Arial" w:eastAsia="Arial Unicode MS" w:hAnsi="Arial" w:cs="Arial"/>
          <w:bCs/>
          <w:noProof/>
          <w:sz w:val="20"/>
          <w:szCs w:val="20"/>
        </w:rPr>
        <w:t>: 408-415.</w:t>
      </w:r>
    </w:p>
    <w:p w14:paraId="0357D43B"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8</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Lachmann, N., Terasaki, P. I., Budde, K., Liefeldt, L., Kahl, A., Reinke, P., Pratschke, J., Rudolph, B., Schmidt, D., Salama, A. and Schonemann, C.,</w:t>
      </w:r>
      <w:r w:rsidRPr="003532D0">
        <w:rPr>
          <w:rFonts w:ascii="Arial" w:eastAsia="Arial Unicode MS" w:hAnsi="Arial" w:cs="Arial"/>
          <w:bCs/>
          <w:noProof/>
          <w:sz w:val="20"/>
          <w:szCs w:val="20"/>
        </w:rPr>
        <w:t xml:space="preserve"> Anti-human leukocyte antigen and donor-specific antibodies detected by luminex posttransplant serve as biomarkers for chronic rejection of renal allografts.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2009. </w:t>
      </w:r>
      <w:r w:rsidRPr="003532D0">
        <w:rPr>
          <w:rFonts w:ascii="Arial" w:eastAsia="Arial Unicode MS" w:hAnsi="Arial" w:cs="Arial"/>
          <w:b/>
          <w:bCs/>
          <w:noProof/>
          <w:sz w:val="20"/>
          <w:szCs w:val="20"/>
        </w:rPr>
        <w:t>87</w:t>
      </w:r>
      <w:r w:rsidRPr="003532D0">
        <w:rPr>
          <w:rFonts w:ascii="Arial" w:eastAsia="Arial Unicode MS" w:hAnsi="Arial" w:cs="Arial"/>
          <w:bCs/>
          <w:noProof/>
          <w:sz w:val="20"/>
          <w:szCs w:val="20"/>
        </w:rPr>
        <w:t>: 1505-1513.</w:t>
      </w:r>
    </w:p>
    <w:p w14:paraId="5B759B6C"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9</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van Timmeren, M. M., Lems, S. P., Hepkema, B. G. and Bakker, S. J.,</w:t>
      </w:r>
      <w:r w:rsidRPr="003532D0">
        <w:rPr>
          <w:rFonts w:ascii="Arial" w:eastAsia="Arial Unicode MS" w:hAnsi="Arial" w:cs="Arial"/>
          <w:bCs/>
          <w:noProof/>
          <w:sz w:val="20"/>
          <w:szCs w:val="20"/>
        </w:rPr>
        <w:t xml:space="preserve"> Anti-human leukocyte antigen antibodies and development of graft failure after renal transplantation.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2009. </w:t>
      </w:r>
      <w:r w:rsidRPr="003532D0">
        <w:rPr>
          <w:rFonts w:ascii="Arial" w:eastAsia="Arial Unicode MS" w:hAnsi="Arial" w:cs="Arial"/>
          <w:b/>
          <w:bCs/>
          <w:noProof/>
          <w:sz w:val="20"/>
          <w:szCs w:val="20"/>
        </w:rPr>
        <w:t>88</w:t>
      </w:r>
      <w:r w:rsidRPr="003532D0">
        <w:rPr>
          <w:rFonts w:ascii="Arial" w:eastAsia="Arial Unicode MS" w:hAnsi="Arial" w:cs="Arial"/>
          <w:bCs/>
          <w:noProof/>
          <w:sz w:val="20"/>
          <w:szCs w:val="20"/>
        </w:rPr>
        <w:t>: 1399-1400.</w:t>
      </w:r>
    </w:p>
    <w:p w14:paraId="49D85CB8"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10</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Colvin, R. B.,</w:t>
      </w:r>
      <w:r w:rsidRPr="003532D0">
        <w:rPr>
          <w:rFonts w:ascii="Arial" w:eastAsia="Arial Unicode MS" w:hAnsi="Arial" w:cs="Arial"/>
          <w:bCs/>
          <w:noProof/>
          <w:sz w:val="20"/>
          <w:szCs w:val="20"/>
        </w:rPr>
        <w:t xml:space="preserve"> Pathology of chronic humoral rejection. </w:t>
      </w:r>
      <w:r w:rsidRPr="003532D0">
        <w:rPr>
          <w:rFonts w:ascii="Arial" w:eastAsia="Arial Unicode MS" w:hAnsi="Arial" w:cs="Arial"/>
          <w:bCs/>
          <w:i/>
          <w:noProof/>
          <w:sz w:val="20"/>
          <w:szCs w:val="20"/>
        </w:rPr>
        <w:t>Contrib Nephrol</w:t>
      </w:r>
      <w:r w:rsidRPr="003532D0">
        <w:rPr>
          <w:rFonts w:ascii="Arial" w:eastAsia="Arial Unicode MS" w:hAnsi="Arial" w:cs="Arial"/>
          <w:bCs/>
          <w:noProof/>
          <w:sz w:val="20"/>
          <w:szCs w:val="20"/>
        </w:rPr>
        <w:t xml:space="preserve"> 2009. </w:t>
      </w:r>
      <w:r w:rsidRPr="003532D0">
        <w:rPr>
          <w:rFonts w:ascii="Arial" w:eastAsia="Arial Unicode MS" w:hAnsi="Arial" w:cs="Arial"/>
          <w:b/>
          <w:bCs/>
          <w:noProof/>
          <w:sz w:val="20"/>
          <w:szCs w:val="20"/>
        </w:rPr>
        <w:t>162</w:t>
      </w:r>
      <w:r w:rsidRPr="003532D0">
        <w:rPr>
          <w:rFonts w:ascii="Arial" w:eastAsia="Arial Unicode MS" w:hAnsi="Arial" w:cs="Arial"/>
          <w:bCs/>
          <w:noProof/>
          <w:sz w:val="20"/>
          <w:szCs w:val="20"/>
        </w:rPr>
        <w:t>: 75-86.</w:t>
      </w:r>
    </w:p>
    <w:p w14:paraId="0C69DA8F"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lastRenderedPageBreak/>
        <w:t>11</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Terasaki, P. I.,</w:t>
      </w:r>
      <w:r w:rsidRPr="003532D0">
        <w:rPr>
          <w:rFonts w:ascii="Arial" w:eastAsia="Arial Unicode MS" w:hAnsi="Arial" w:cs="Arial"/>
          <w:bCs/>
          <w:noProof/>
          <w:sz w:val="20"/>
          <w:szCs w:val="20"/>
        </w:rPr>
        <w:t xml:space="preserve"> Humoral theory of transplantation. </w:t>
      </w:r>
      <w:r w:rsidRPr="003532D0">
        <w:rPr>
          <w:rFonts w:ascii="Arial" w:eastAsia="Arial Unicode MS" w:hAnsi="Arial" w:cs="Arial"/>
          <w:bCs/>
          <w:i/>
          <w:noProof/>
          <w:sz w:val="20"/>
          <w:szCs w:val="20"/>
        </w:rPr>
        <w:t>Am J Transplant</w:t>
      </w:r>
      <w:r w:rsidRPr="003532D0">
        <w:rPr>
          <w:rFonts w:ascii="Arial" w:eastAsia="Arial Unicode MS" w:hAnsi="Arial" w:cs="Arial"/>
          <w:bCs/>
          <w:noProof/>
          <w:sz w:val="20"/>
          <w:szCs w:val="20"/>
        </w:rPr>
        <w:t xml:space="preserve"> 2003. </w:t>
      </w:r>
      <w:r w:rsidRPr="003532D0">
        <w:rPr>
          <w:rFonts w:ascii="Arial" w:eastAsia="Arial Unicode MS" w:hAnsi="Arial" w:cs="Arial"/>
          <w:b/>
          <w:bCs/>
          <w:noProof/>
          <w:sz w:val="20"/>
          <w:szCs w:val="20"/>
        </w:rPr>
        <w:t>3</w:t>
      </w:r>
      <w:r w:rsidRPr="003532D0">
        <w:rPr>
          <w:rFonts w:ascii="Arial" w:eastAsia="Arial Unicode MS" w:hAnsi="Arial" w:cs="Arial"/>
          <w:bCs/>
          <w:noProof/>
          <w:sz w:val="20"/>
          <w:szCs w:val="20"/>
        </w:rPr>
        <w:t>: 665-673.</w:t>
      </w:r>
    </w:p>
    <w:p w14:paraId="53F26003"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12</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Theruvath, T. P., Saidman, S. L., Mauiyyedi, S., Delmonico, F. L., Williams, W. W., Tolkoff-Rubin, N., Collins, A. B., Colvin, R. B., Cosimi, A. B. and Pascual, M.,</w:t>
      </w:r>
      <w:r w:rsidRPr="003532D0">
        <w:rPr>
          <w:rFonts w:ascii="Arial" w:eastAsia="Arial Unicode MS" w:hAnsi="Arial" w:cs="Arial"/>
          <w:bCs/>
          <w:noProof/>
          <w:sz w:val="20"/>
          <w:szCs w:val="20"/>
        </w:rPr>
        <w:t xml:space="preserve"> Control of antidonor antibody production with tacrolimus and mycophenolate mofetil in renal allograft recipients with chronic rejection.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2001. </w:t>
      </w:r>
      <w:r w:rsidRPr="003532D0">
        <w:rPr>
          <w:rFonts w:ascii="Arial" w:eastAsia="Arial Unicode MS" w:hAnsi="Arial" w:cs="Arial"/>
          <w:b/>
          <w:bCs/>
          <w:noProof/>
          <w:sz w:val="20"/>
          <w:szCs w:val="20"/>
        </w:rPr>
        <w:t>72</w:t>
      </w:r>
      <w:r w:rsidRPr="003532D0">
        <w:rPr>
          <w:rFonts w:ascii="Arial" w:eastAsia="Arial Unicode MS" w:hAnsi="Arial" w:cs="Arial"/>
          <w:bCs/>
          <w:noProof/>
          <w:sz w:val="20"/>
          <w:szCs w:val="20"/>
        </w:rPr>
        <w:t>: 77-83.</w:t>
      </w:r>
    </w:p>
    <w:p w14:paraId="145A388C"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13</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Billing, H., Rieger, S., Ovens, J., Susal, C., Melk, A., Waldherr, R., Opelz, G. and Tonshoff, B.,</w:t>
      </w:r>
      <w:r w:rsidRPr="003532D0">
        <w:rPr>
          <w:rFonts w:ascii="Arial" w:eastAsia="Arial Unicode MS" w:hAnsi="Arial" w:cs="Arial"/>
          <w:bCs/>
          <w:noProof/>
          <w:sz w:val="20"/>
          <w:szCs w:val="20"/>
        </w:rPr>
        <w:t xml:space="preserve"> Successful treatment of chronic antibody-mediated rejection with IVIG and rituximab in pediatric renal transplant recipients.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2008. </w:t>
      </w:r>
      <w:r w:rsidRPr="003532D0">
        <w:rPr>
          <w:rFonts w:ascii="Arial" w:eastAsia="Arial Unicode MS" w:hAnsi="Arial" w:cs="Arial"/>
          <w:b/>
          <w:bCs/>
          <w:noProof/>
          <w:sz w:val="20"/>
          <w:szCs w:val="20"/>
        </w:rPr>
        <w:t>86</w:t>
      </w:r>
      <w:r w:rsidRPr="003532D0">
        <w:rPr>
          <w:rFonts w:ascii="Arial" w:eastAsia="Arial Unicode MS" w:hAnsi="Arial" w:cs="Arial"/>
          <w:bCs/>
          <w:noProof/>
          <w:sz w:val="20"/>
          <w:szCs w:val="20"/>
        </w:rPr>
        <w:t>: 1214-1221.</w:t>
      </w:r>
    </w:p>
    <w:p w14:paraId="64380416"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14</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Fehr, T., Rusi, B., Fischer, A., Hopfer, H., Wuthrich, R. P. and Gaspert, A.,</w:t>
      </w:r>
      <w:r w:rsidRPr="003532D0">
        <w:rPr>
          <w:rFonts w:ascii="Arial" w:eastAsia="Arial Unicode MS" w:hAnsi="Arial" w:cs="Arial"/>
          <w:bCs/>
          <w:noProof/>
          <w:sz w:val="20"/>
          <w:szCs w:val="20"/>
        </w:rPr>
        <w:t xml:space="preserve"> Rituximab and intravenous immunoglobulin treatment of chronic antibody-mediated kidney allograft rejection.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2009. </w:t>
      </w:r>
      <w:r w:rsidRPr="003532D0">
        <w:rPr>
          <w:rFonts w:ascii="Arial" w:eastAsia="Arial Unicode MS" w:hAnsi="Arial" w:cs="Arial"/>
          <w:b/>
          <w:bCs/>
          <w:noProof/>
          <w:sz w:val="20"/>
          <w:szCs w:val="20"/>
        </w:rPr>
        <w:t>87</w:t>
      </w:r>
      <w:r w:rsidRPr="003532D0">
        <w:rPr>
          <w:rFonts w:ascii="Arial" w:eastAsia="Arial Unicode MS" w:hAnsi="Arial" w:cs="Arial"/>
          <w:bCs/>
          <w:noProof/>
          <w:sz w:val="20"/>
          <w:szCs w:val="20"/>
        </w:rPr>
        <w:t>: 1837-1841.</w:t>
      </w:r>
    </w:p>
    <w:p w14:paraId="5401A6CB"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15</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Rostaing, L., Guilbeau-Frugier, C., Fort, M., Mekhlati, L. and Kamar, N.,</w:t>
      </w:r>
      <w:r w:rsidRPr="003532D0">
        <w:rPr>
          <w:rFonts w:ascii="Arial" w:eastAsia="Arial Unicode MS" w:hAnsi="Arial" w:cs="Arial"/>
          <w:bCs/>
          <w:noProof/>
          <w:sz w:val="20"/>
          <w:szCs w:val="20"/>
        </w:rPr>
        <w:t xml:space="preserve"> Treatment of symptomatic transplant glomerulopathy with rituximab. </w:t>
      </w:r>
      <w:r w:rsidRPr="003532D0">
        <w:rPr>
          <w:rFonts w:ascii="Arial" w:eastAsia="Arial Unicode MS" w:hAnsi="Arial" w:cs="Arial"/>
          <w:bCs/>
          <w:i/>
          <w:noProof/>
          <w:sz w:val="20"/>
          <w:szCs w:val="20"/>
        </w:rPr>
        <w:t>Transpl Int</w:t>
      </w:r>
      <w:r w:rsidRPr="003532D0">
        <w:rPr>
          <w:rFonts w:ascii="Arial" w:eastAsia="Arial Unicode MS" w:hAnsi="Arial" w:cs="Arial"/>
          <w:bCs/>
          <w:noProof/>
          <w:sz w:val="20"/>
          <w:szCs w:val="20"/>
        </w:rPr>
        <w:t xml:space="preserve"> 2009. </w:t>
      </w:r>
      <w:r w:rsidRPr="003532D0">
        <w:rPr>
          <w:rFonts w:ascii="Arial" w:eastAsia="Arial Unicode MS" w:hAnsi="Arial" w:cs="Arial"/>
          <w:b/>
          <w:bCs/>
          <w:noProof/>
          <w:sz w:val="20"/>
          <w:szCs w:val="20"/>
        </w:rPr>
        <w:t>22</w:t>
      </w:r>
      <w:r w:rsidRPr="003532D0">
        <w:rPr>
          <w:rFonts w:ascii="Arial" w:eastAsia="Arial Unicode MS" w:hAnsi="Arial" w:cs="Arial"/>
          <w:bCs/>
          <w:noProof/>
          <w:sz w:val="20"/>
          <w:szCs w:val="20"/>
        </w:rPr>
        <w:t>: 906-913.</w:t>
      </w:r>
    </w:p>
    <w:p w14:paraId="5E689BAD"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16</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Halloran, P., Mathew, T., Tomlanovich, S., Groth, C., Hooftman, L. and Barker, C.,</w:t>
      </w:r>
      <w:r w:rsidRPr="003532D0">
        <w:rPr>
          <w:rFonts w:ascii="Arial" w:eastAsia="Arial Unicode MS" w:hAnsi="Arial" w:cs="Arial"/>
          <w:bCs/>
          <w:noProof/>
          <w:sz w:val="20"/>
          <w:szCs w:val="20"/>
        </w:rPr>
        <w:t xml:space="preserve"> Mycophenolate mofetil in renal allograft recipients: a pooled efficacy analysis of three randomized, double-blind, clinical studies in prevention of rejection. The International Mycophenolate Mofetil Renal Transplant Study Groups.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1997. </w:t>
      </w:r>
      <w:r w:rsidRPr="003532D0">
        <w:rPr>
          <w:rFonts w:ascii="Arial" w:eastAsia="Arial Unicode MS" w:hAnsi="Arial" w:cs="Arial"/>
          <w:b/>
          <w:bCs/>
          <w:noProof/>
          <w:sz w:val="20"/>
          <w:szCs w:val="20"/>
        </w:rPr>
        <w:t>63</w:t>
      </w:r>
      <w:r w:rsidRPr="003532D0">
        <w:rPr>
          <w:rFonts w:ascii="Arial" w:eastAsia="Arial Unicode MS" w:hAnsi="Arial" w:cs="Arial"/>
          <w:bCs/>
          <w:noProof/>
          <w:sz w:val="20"/>
          <w:szCs w:val="20"/>
        </w:rPr>
        <w:t>: 39-47.</w:t>
      </w:r>
    </w:p>
    <w:p w14:paraId="6E292532"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17</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Sola, R., Diaz, J. M., Guirado, L., Sainz, Z., Gich, I., Picazo, M., Garcia, R., Abreu, E., Ortiz, F. and Alcaraz, A.,</w:t>
      </w:r>
      <w:r w:rsidRPr="003532D0">
        <w:rPr>
          <w:rFonts w:ascii="Arial" w:eastAsia="Arial Unicode MS" w:hAnsi="Arial" w:cs="Arial"/>
          <w:bCs/>
          <w:noProof/>
          <w:sz w:val="20"/>
          <w:szCs w:val="20"/>
        </w:rPr>
        <w:t xml:space="preserve"> Tacrolimus in induction immunosuppressive treatment in renal transplantation: comparison with cyclosporine. </w:t>
      </w:r>
      <w:r w:rsidRPr="003532D0">
        <w:rPr>
          <w:rFonts w:ascii="Arial" w:eastAsia="Arial Unicode MS" w:hAnsi="Arial" w:cs="Arial"/>
          <w:bCs/>
          <w:i/>
          <w:noProof/>
          <w:sz w:val="20"/>
          <w:szCs w:val="20"/>
        </w:rPr>
        <w:t>Transplant Proc</w:t>
      </w:r>
      <w:r w:rsidRPr="003532D0">
        <w:rPr>
          <w:rFonts w:ascii="Arial" w:eastAsia="Arial Unicode MS" w:hAnsi="Arial" w:cs="Arial"/>
          <w:bCs/>
          <w:noProof/>
          <w:sz w:val="20"/>
          <w:szCs w:val="20"/>
        </w:rPr>
        <w:t xml:space="preserve"> 2003. </w:t>
      </w:r>
      <w:r w:rsidRPr="003532D0">
        <w:rPr>
          <w:rFonts w:ascii="Arial" w:eastAsia="Arial Unicode MS" w:hAnsi="Arial" w:cs="Arial"/>
          <w:b/>
          <w:bCs/>
          <w:noProof/>
          <w:sz w:val="20"/>
          <w:szCs w:val="20"/>
        </w:rPr>
        <w:t>35</w:t>
      </w:r>
      <w:r w:rsidRPr="003532D0">
        <w:rPr>
          <w:rFonts w:ascii="Arial" w:eastAsia="Arial Unicode MS" w:hAnsi="Arial" w:cs="Arial"/>
          <w:bCs/>
          <w:noProof/>
          <w:sz w:val="20"/>
          <w:szCs w:val="20"/>
        </w:rPr>
        <w:t>: 1699-1700.</w:t>
      </w:r>
    </w:p>
    <w:p w14:paraId="3B84D7D7"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18</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Ahsan, N., Johnson, C., Gonwa, T., Halloran, P., Stegall, M., Hardy, M., Metzger, R., Shield, C., 3rd, Rocher, L., Scandling, J., Sorensen, J., Mulloy, L., Light, J., Corwin, C., Danovitch, G., Wachs, M., VanVeldhuisen, P., Salm, K., Tolzman, D. and Fitzsimmons, W. E.,</w:t>
      </w:r>
      <w:r w:rsidRPr="003532D0">
        <w:rPr>
          <w:rFonts w:ascii="Arial" w:eastAsia="Arial Unicode MS" w:hAnsi="Arial" w:cs="Arial"/>
          <w:bCs/>
          <w:noProof/>
          <w:sz w:val="20"/>
          <w:szCs w:val="20"/>
        </w:rPr>
        <w:t xml:space="preserve"> Randomized trial of tacrolimus plus mycophenolate mofetil or azathioprine versus cyclosporine oral solution (modified) plus mycophenolate mofetil after cadaveric kidney transplantation: results at 2 years.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2001. </w:t>
      </w:r>
      <w:r w:rsidRPr="003532D0">
        <w:rPr>
          <w:rFonts w:ascii="Arial" w:eastAsia="Arial Unicode MS" w:hAnsi="Arial" w:cs="Arial"/>
          <w:b/>
          <w:bCs/>
          <w:noProof/>
          <w:sz w:val="20"/>
          <w:szCs w:val="20"/>
        </w:rPr>
        <w:t>72</w:t>
      </w:r>
      <w:r w:rsidRPr="003532D0">
        <w:rPr>
          <w:rFonts w:ascii="Arial" w:eastAsia="Arial Unicode MS" w:hAnsi="Arial" w:cs="Arial"/>
          <w:bCs/>
          <w:noProof/>
          <w:sz w:val="20"/>
          <w:szCs w:val="20"/>
        </w:rPr>
        <w:t>: 245-250.</w:t>
      </w:r>
    </w:p>
    <w:p w14:paraId="72592380"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19</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Webster, A., Woodroffe, R. C., Taylor, R. S., Chapman, J. R. and Craig, J. C.,</w:t>
      </w:r>
      <w:r w:rsidRPr="003532D0">
        <w:rPr>
          <w:rFonts w:ascii="Arial" w:eastAsia="Arial Unicode MS" w:hAnsi="Arial" w:cs="Arial"/>
          <w:bCs/>
          <w:noProof/>
          <w:sz w:val="20"/>
          <w:szCs w:val="20"/>
        </w:rPr>
        <w:t xml:space="preserve"> Tacrolimus versus cyclosporin as primary immunosuppression for kidney transplant recipients. </w:t>
      </w:r>
      <w:r w:rsidRPr="003532D0">
        <w:rPr>
          <w:rFonts w:ascii="Arial" w:eastAsia="Arial Unicode MS" w:hAnsi="Arial" w:cs="Arial"/>
          <w:bCs/>
          <w:i/>
          <w:noProof/>
          <w:sz w:val="20"/>
          <w:szCs w:val="20"/>
        </w:rPr>
        <w:t>Cochrane Database Syst Rev</w:t>
      </w:r>
      <w:r w:rsidRPr="003532D0">
        <w:rPr>
          <w:rFonts w:ascii="Arial" w:eastAsia="Arial Unicode MS" w:hAnsi="Arial" w:cs="Arial"/>
          <w:bCs/>
          <w:noProof/>
          <w:sz w:val="20"/>
          <w:szCs w:val="20"/>
        </w:rPr>
        <w:t xml:space="preserve"> 2005: CD003961.</w:t>
      </w:r>
    </w:p>
    <w:p w14:paraId="60B3E1E1"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20</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Lederer, S. R., Friedrich, N., Banas, B., Welser, G., Albert, E. D. and Sitter, T.,</w:t>
      </w:r>
      <w:r w:rsidRPr="003532D0">
        <w:rPr>
          <w:rFonts w:ascii="Arial" w:eastAsia="Arial Unicode MS" w:hAnsi="Arial" w:cs="Arial"/>
          <w:bCs/>
          <w:noProof/>
          <w:sz w:val="20"/>
          <w:szCs w:val="20"/>
        </w:rPr>
        <w:t xml:space="preserve"> Effects of mycophenolate mofetil on donor-specific antibody formation in renal transplantation. </w:t>
      </w:r>
      <w:r w:rsidRPr="003532D0">
        <w:rPr>
          <w:rFonts w:ascii="Arial" w:eastAsia="Arial Unicode MS" w:hAnsi="Arial" w:cs="Arial"/>
          <w:bCs/>
          <w:i/>
          <w:noProof/>
          <w:sz w:val="20"/>
          <w:szCs w:val="20"/>
        </w:rPr>
        <w:t>Clin Transplant</w:t>
      </w:r>
      <w:r w:rsidRPr="003532D0">
        <w:rPr>
          <w:rFonts w:ascii="Arial" w:eastAsia="Arial Unicode MS" w:hAnsi="Arial" w:cs="Arial"/>
          <w:bCs/>
          <w:noProof/>
          <w:sz w:val="20"/>
          <w:szCs w:val="20"/>
        </w:rPr>
        <w:t xml:space="preserve"> 2005. </w:t>
      </w:r>
      <w:r w:rsidRPr="003532D0">
        <w:rPr>
          <w:rFonts w:ascii="Arial" w:eastAsia="Arial Unicode MS" w:hAnsi="Arial" w:cs="Arial"/>
          <w:b/>
          <w:bCs/>
          <w:noProof/>
          <w:sz w:val="20"/>
          <w:szCs w:val="20"/>
        </w:rPr>
        <w:t>19</w:t>
      </w:r>
      <w:r w:rsidRPr="003532D0">
        <w:rPr>
          <w:rFonts w:ascii="Arial" w:eastAsia="Arial Unicode MS" w:hAnsi="Arial" w:cs="Arial"/>
          <w:bCs/>
          <w:noProof/>
          <w:sz w:val="20"/>
          <w:szCs w:val="20"/>
        </w:rPr>
        <w:t>: 168-174.</w:t>
      </w:r>
    </w:p>
    <w:p w14:paraId="6FED62A8"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21</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van der Mast, B. J., van Besouw, N. M., Witvliet, M. D., de Kuiper, P., Smak Gregoor, P., van Gelder, T., Weimar, W. and Claas, F. H.,</w:t>
      </w:r>
      <w:r w:rsidRPr="003532D0">
        <w:rPr>
          <w:rFonts w:ascii="Arial" w:eastAsia="Arial Unicode MS" w:hAnsi="Arial" w:cs="Arial"/>
          <w:bCs/>
          <w:noProof/>
          <w:sz w:val="20"/>
          <w:szCs w:val="20"/>
        </w:rPr>
        <w:t xml:space="preserve"> Formation of donor-specific human leukocyte antigen antibodies after kidney transplantation: correlation with acute rejection and tapering of immunosuppression.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2003. </w:t>
      </w:r>
      <w:r w:rsidRPr="003532D0">
        <w:rPr>
          <w:rFonts w:ascii="Arial" w:eastAsia="Arial Unicode MS" w:hAnsi="Arial" w:cs="Arial"/>
          <w:b/>
          <w:bCs/>
          <w:noProof/>
          <w:sz w:val="20"/>
          <w:szCs w:val="20"/>
        </w:rPr>
        <w:t>75</w:t>
      </w:r>
      <w:r w:rsidRPr="003532D0">
        <w:rPr>
          <w:rFonts w:ascii="Arial" w:eastAsia="Arial Unicode MS" w:hAnsi="Arial" w:cs="Arial"/>
          <w:bCs/>
          <w:noProof/>
          <w:sz w:val="20"/>
          <w:szCs w:val="20"/>
        </w:rPr>
        <w:t>: 871-877.</w:t>
      </w:r>
    </w:p>
    <w:p w14:paraId="00EEB2C8"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22</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Ekberg, H., Tedesco-Silva, H., Demirbas, A., Vitko, S., Nashan, B., Gurkan, A., Margreiter, R., Hugo, C., Grinyo, J. M., Frei, U., Vanrenterghem, Y., Daloze, P. and Halloran, P. F.,</w:t>
      </w:r>
      <w:r w:rsidRPr="003532D0">
        <w:rPr>
          <w:rFonts w:ascii="Arial" w:eastAsia="Arial Unicode MS" w:hAnsi="Arial" w:cs="Arial"/>
          <w:bCs/>
          <w:noProof/>
          <w:sz w:val="20"/>
          <w:szCs w:val="20"/>
        </w:rPr>
        <w:t xml:space="preserve"> Reduced exposure to calcineurin inhibitors in renal transplantation. </w:t>
      </w:r>
      <w:r w:rsidRPr="003532D0">
        <w:rPr>
          <w:rFonts w:ascii="Arial" w:eastAsia="Arial Unicode MS" w:hAnsi="Arial" w:cs="Arial"/>
          <w:bCs/>
          <w:i/>
          <w:noProof/>
          <w:sz w:val="20"/>
          <w:szCs w:val="20"/>
        </w:rPr>
        <w:t>N Engl J Med</w:t>
      </w:r>
      <w:r w:rsidRPr="003532D0">
        <w:rPr>
          <w:rFonts w:ascii="Arial" w:eastAsia="Arial Unicode MS" w:hAnsi="Arial" w:cs="Arial"/>
          <w:bCs/>
          <w:noProof/>
          <w:sz w:val="20"/>
          <w:szCs w:val="20"/>
        </w:rPr>
        <w:t xml:space="preserve"> 2007. </w:t>
      </w:r>
      <w:r w:rsidRPr="003532D0">
        <w:rPr>
          <w:rFonts w:ascii="Arial" w:eastAsia="Arial Unicode MS" w:hAnsi="Arial" w:cs="Arial"/>
          <w:b/>
          <w:bCs/>
          <w:noProof/>
          <w:sz w:val="20"/>
          <w:szCs w:val="20"/>
        </w:rPr>
        <w:t>357</w:t>
      </w:r>
      <w:r w:rsidRPr="003532D0">
        <w:rPr>
          <w:rFonts w:ascii="Arial" w:eastAsia="Arial Unicode MS" w:hAnsi="Arial" w:cs="Arial"/>
          <w:bCs/>
          <w:noProof/>
          <w:sz w:val="20"/>
          <w:szCs w:val="20"/>
        </w:rPr>
        <w:t>: 2562-2575.</w:t>
      </w:r>
    </w:p>
    <w:p w14:paraId="604D5DEC"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23</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Ojo, A. O., Meier-Kriesche, H. U., Hanson, J. A., Leichtman, A. B., Cibrik, D., Magee, J. C., Wolfe, R. A., Agodoa, L. Y. and Kaplan, B.,</w:t>
      </w:r>
      <w:r w:rsidRPr="003532D0">
        <w:rPr>
          <w:rFonts w:ascii="Arial" w:eastAsia="Arial Unicode MS" w:hAnsi="Arial" w:cs="Arial"/>
          <w:bCs/>
          <w:noProof/>
          <w:sz w:val="20"/>
          <w:szCs w:val="20"/>
        </w:rPr>
        <w:t xml:space="preserve"> Mycophenolate mofetil reduces late renal allograft loss independent of acute rejection.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2000. </w:t>
      </w:r>
      <w:r w:rsidRPr="003532D0">
        <w:rPr>
          <w:rFonts w:ascii="Arial" w:eastAsia="Arial Unicode MS" w:hAnsi="Arial" w:cs="Arial"/>
          <w:b/>
          <w:bCs/>
          <w:noProof/>
          <w:sz w:val="20"/>
          <w:szCs w:val="20"/>
        </w:rPr>
        <w:t>69</w:t>
      </w:r>
      <w:r w:rsidRPr="003532D0">
        <w:rPr>
          <w:rFonts w:ascii="Arial" w:eastAsia="Arial Unicode MS" w:hAnsi="Arial" w:cs="Arial"/>
          <w:bCs/>
          <w:noProof/>
          <w:sz w:val="20"/>
          <w:szCs w:val="20"/>
        </w:rPr>
        <w:t>: 2405-2409.</w:t>
      </w:r>
    </w:p>
    <w:p w14:paraId="13191A94"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24</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Meier, M., Nitschke, M., Weidtmann, B., Jabs, W. J., Wong, W., Suefke, S., Steinhoff, J. and Fricke, L.,</w:t>
      </w:r>
      <w:r w:rsidRPr="003532D0">
        <w:rPr>
          <w:rFonts w:ascii="Arial" w:eastAsia="Arial Unicode MS" w:hAnsi="Arial" w:cs="Arial"/>
          <w:bCs/>
          <w:noProof/>
          <w:sz w:val="20"/>
          <w:szCs w:val="20"/>
        </w:rPr>
        <w:t xml:space="preserve"> Slowing the progression of chronic allograft nephropathy by conversion from cyclosporine to tacrolimus: a randomized controlled trial.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2006. </w:t>
      </w:r>
      <w:r w:rsidRPr="003532D0">
        <w:rPr>
          <w:rFonts w:ascii="Arial" w:eastAsia="Arial Unicode MS" w:hAnsi="Arial" w:cs="Arial"/>
          <w:b/>
          <w:bCs/>
          <w:noProof/>
          <w:sz w:val="20"/>
          <w:szCs w:val="20"/>
        </w:rPr>
        <w:t>81</w:t>
      </w:r>
      <w:r w:rsidRPr="003532D0">
        <w:rPr>
          <w:rFonts w:ascii="Arial" w:eastAsia="Arial Unicode MS" w:hAnsi="Arial" w:cs="Arial"/>
          <w:bCs/>
          <w:noProof/>
          <w:sz w:val="20"/>
          <w:szCs w:val="20"/>
        </w:rPr>
        <w:t>: 1035-1040.</w:t>
      </w:r>
    </w:p>
    <w:p w14:paraId="451D57AA"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25</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Meier-Kriesche, H. U., Merville, P., Tedesco-Silva, H., Heemann, U., Kes, P., Haller, H., Rostaing, L., Gafner, N. and Bernasconi, C.,</w:t>
      </w:r>
      <w:r w:rsidRPr="003532D0">
        <w:rPr>
          <w:rFonts w:ascii="Arial" w:eastAsia="Arial Unicode MS" w:hAnsi="Arial" w:cs="Arial"/>
          <w:bCs/>
          <w:noProof/>
          <w:sz w:val="20"/>
          <w:szCs w:val="20"/>
        </w:rPr>
        <w:t xml:space="preserve"> Mycophenolate mofetil initiation in renal transplant patients at different times posttransplantation: the TranCept Switch study.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2011. </w:t>
      </w:r>
      <w:r w:rsidRPr="003532D0">
        <w:rPr>
          <w:rFonts w:ascii="Arial" w:eastAsia="Arial Unicode MS" w:hAnsi="Arial" w:cs="Arial"/>
          <w:b/>
          <w:bCs/>
          <w:noProof/>
          <w:sz w:val="20"/>
          <w:szCs w:val="20"/>
        </w:rPr>
        <w:t>91</w:t>
      </w:r>
      <w:r w:rsidRPr="003532D0">
        <w:rPr>
          <w:rFonts w:ascii="Arial" w:eastAsia="Arial Unicode MS" w:hAnsi="Arial" w:cs="Arial"/>
          <w:bCs/>
          <w:noProof/>
          <w:sz w:val="20"/>
          <w:szCs w:val="20"/>
        </w:rPr>
        <w:t>: 984-990.</w:t>
      </w:r>
    </w:p>
    <w:p w14:paraId="11B8DB91"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26</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 xml:space="preserve">Jevnikar, A., Arlen, D., Barrett, B., Boucher, A., Cardella, C., Cockfield, S. M., Rush, D., Paraskevas, S., Shapiro, J., Shoker, A., Yilmaz, S., Zaltzman, J. S. and </w:t>
      </w:r>
      <w:r w:rsidRPr="003532D0">
        <w:rPr>
          <w:rFonts w:ascii="Arial" w:eastAsia="Arial Unicode MS" w:hAnsi="Arial" w:cs="Arial"/>
          <w:b/>
          <w:bCs/>
          <w:noProof/>
          <w:sz w:val="20"/>
          <w:szCs w:val="20"/>
        </w:rPr>
        <w:lastRenderedPageBreak/>
        <w:t>Kiberd, B.,</w:t>
      </w:r>
      <w:r w:rsidRPr="003532D0">
        <w:rPr>
          <w:rFonts w:ascii="Arial" w:eastAsia="Arial Unicode MS" w:hAnsi="Arial" w:cs="Arial"/>
          <w:bCs/>
          <w:noProof/>
          <w:sz w:val="20"/>
          <w:szCs w:val="20"/>
        </w:rPr>
        <w:t xml:space="preserve"> Five-year study of tacrolimus as secondary intervention versus continuation of cyclosporine in renal transplant patients at risk for chronic renal allograft failure.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2008. </w:t>
      </w:r>
      <w:r w:rsidRPr="003532D0">
        <w:rPr>
          <w:rFonts w:ascii="Arial" w:eastAsia="Arial Unicode MS" w:hAnsi="Arial" w:cs="Arial"/>
          <w:b/>
          <w:bCs/>
          <w:noProof/>
          <w:sz w:val="20"/>
          <w:szCs w:val="20"/>
        </w:rPr>
        <w:t>86</w:t>
      </w:r>
      <w:r w:rsidRPr="003532D0">
        <w:rPr>
          <w:rFonts w:ascii="Arial" w:eastAsia="Arial Unicode MS" w:hAnsi="Arial" w:cs="Arial"/>
          <w:bCs/>
          <w:noProof/>
          <w:sz w:val="20"/>
          <w:szCs w:val="20"/>
        </w:rPr>
        <w:t>: 953-960.</w:t>
      </w:r>
    </w:p>
    <w:p w14:paraId="7BCC1619"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27</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Remuzzi, G., Cravedi, P., Costantini, M., Lesti, M., Ganeva, M., Gherardi, G., Ene-Iordache, B., Gotti, E., Donati, D., Salvadori, M., Sandrini, S., Segoloni, G., Federico, S., Rigotti, P., Sparacino, V. and Ruggenenti, P.,</w:t>
      </w:r>
      <w:r w:rsidRPr="003532D0">
        <w:rPr>
          <w:rFonts w:ascii="Arial" w:eastAsia="Arial Unicode MS" w:hAnsi="Arial" w:cs="Arial"/>
          <w:bCs/>
          <w:noProof/>
          <w:sz w:val="20"/>
          <w:szCs w:val="20"/>
        </w:rPr>
        <w:t xml:space="preserve"> Mycophenolate mofetil versus azathioprine for prevention of chronic allograft dysfunction in renal transplantation: the MYSS follow-up randomized, controlled clinical trial. </w:t>
      </w:r>
      <w:r w:rsidRPr="003532D0">
        <w:rPr>
          <w:rFonts w:ascii="Arial" w:eastAsia="Arial Unicode MS" w:hAnsi="Arial" w:cs="Arial"/>
          <w:bCs/>
          <w:i/>
          <w:noProof/>
          <w:sz w:val="20"/>
          <w:szCs w:val="20"/>
        </w:rPr>
        <w:t>J Am Soc Nephrol</w:t>
      </w:r>
      <w:r w:rsidRPr="003532D0">
        <w:rPr>
          <w:rFonts w:ascii="Arial" w:eastAsia="Arial Unicode MS" w:hAnsi="Arial" w:cs="Arial"/>
          <w:bCs/>
          <w:noProof/>
          <w:sz w:val="20"/>
          <w:szCs w:val="20"/>
        </w:rPr>
        <w:t xml:space="preserve"> 2007. </w:t>
      </w:r>
      <w:r w:rsidRPr="003532D0">
        <w:rPr>
          <w:rFonts w:ascii="Arial" w:eastAsia="Arial Unicode MS" w:hAnsi="Arial" w:cs="Arial"/>
          <w:b/>
          <w:bCs/>
          <w:noProof/>
          <w:sz w:val="20"/>
          <w:szCs w:val="20"/>
        </w:rPr>
        <w:t>18</w:t>
      </w:r>
      <w:r w:rsidRPr="003532D0">
        <w:rPr>
          <w:rFonts w:ascii="Arial" w:eastAsia="Arial Unicode MS" w:hAnsi="Arial" w:cs="Arial"/>
          <w:bCs/>
          <w:noProof/>
          <w:sz w:val="20"/>
          <w:szCs w:val="20"/>
        </w:rPr>
        <w:t>: 1973-1985.</w:t>
      </w:r>
    </w:p>
    <w:p w14:paraId="5F78C7C6"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28</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Cheung, C. Y., Chan, H. W., Liu, Y. L., Chau, K. F. and Li, C. S.,</w:t>
      </w:r>
      <w:r w:rsidRPr="003532D0">
        <w:rPr>
          <w:rFonts w:ascii="Arial" w:eastAsia="Arial Unicode MS" w:hAnsi="Arial" w:cs="Arial"/>
          <w:bCs/>
          <w:noProof/>
          <w:sz w:val="20"/>
          <w:szCs w:val="20"/>
        </w:rPr>
        <w:t xml:space="preserve"> Long-term graft function with tacrolimus and cyclosporine in renal transplantation: paired kidney analysis. </w:t>
      </w:r>
      <w:r w:rsidRPr="003532D0">
        <w:rPr>
          <w:rFonts w:ascii="Arial" w:eastAsia="Arial Unicode MS" w:hAnsi="Arial" w:cs="Arial"/>
          <w:bCs/>
          <w:i/>
          <w:noProof/>
          <w:sz w:val="20"/>
          <w:szCs w:val="20"/>
        </w:rPr>
        <w:t>Nephrology (Carlton)</w:t>
      </w:r>
      <w:r w:rsidRPr="003532D0">
        <w:rPr>
          <w:rFonts w:ascii="Arial" w:eastAsia="Arial Unicode MS" w:hAnsi="Arial" w:cs="Arial"/>
          <w:bCs/>
          <w:noProof/>
          <w:sz w:val="20"/>
          <w:szCs w:val="20"/>
        </w:rPr>
        <w:t xml:space="preserve"> 2009. </w:t>
      </w:r>
      <w:r w:rsidRPr="003532D0">
        <w:rPr>
          <w:rFonts w:ascii="Arial" w:eastAsia="Arial Unicode MS" w:hAnsi="Arial" w:cs="Arial"/>
          <w:b/>
          <w:bCs/>
          <w:noProof/>
          <w:sz w:val="20"/>
          <w:szCs w:val="20"/>
        </w:rPr>
        <w:t>14</w:t>
      </w:r>
      <w:r w:rsidRPr="003532D0">
        <w:rPr>
          <w:rFonts w:ascii="Arial" w:eastAsia="Arial Unicode MS" w:hAnsi="Arial" w:cs="Arial"/>
          <w:bCs/>
          <w:noProof/>
          <w:sz w:val="20"/>
          <w:szCs w:val="20"/>
        </w:rPr>
        <w:t>: 758-763.</w:t>
      </w:r>
    </w:p>
    <w:p w14:paraId="3794D929"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29</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Dudley, C., Pohanka, E., Riad, H., Dedochova, J., Wijngaard, P., Sutter, C. and Silva, H. T., Jr.,</w:t>
      </w:r>
      <w:r w:rsidRPr="003532D0">
        <w:rPr>
          <w:rFonts w:ascii="Arial" w:eastAsia="Arial Unicode MS" w:hAnsi="Arial" w:cs="Arial"/>
          <w:bCs/>
          <w:noProof/>
          <w:sz w:val="20"/>
          <w:szCs w:val="20"/>
        </w:rPr>
        <w:t xml:space="preserve"> Mycophenolate mofetil substitution for cyclosporine a in renal transplant recipients with chronic progressive allograft dysfunction: the "creeping creatinine" study.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2005. </w:t>
      </w:r>
      <w:r w:rsidRPr="003532D0">
        <w:rPr>
          <w:rFonts w:ascii="Arial" w:eastAsia="Arial Unicode MS" w:hAnsi="Arial" w:cs="Arial"/>
          <w:b/>
          <w:bCs/>
          <w:noProof/>
          <w:sz w:val="20"/>
          <w:szCs w:val="20"/>
        </w:rPr>
        <w:t>79</w:t>
      </w:r>
      <w:r w:rsidRPr="003532D0">
        <w:rPr>
          <w:rFonts w:ascii="Arial" w:eastAsia="Arial Unicode MS" w:hAnsi="Arial" w:cs="Arial"/>
          <w:bCs/>
          <w:noProof/>
          <w:sz w:val="20"/>
          <w:szCs w:val="20"/>
        </w:rPr>
        <w:t>: 466-475.</w:t>
      </w:r>
    </w:p>
    <w:p w14:paraId="645BD8C0"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30</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Curtis, L.,</w:t>
      </w:r>
      <w:r w:rsidRPr="003532D0">
        <w:rPr>
          <w:rFonts w:ascii="Arial" w:eastAsia="Arial Unicode MS" w:hAnsi="Arial" w:cs="Arial"/>
          <w:bCs/>
          <w:noProof/>
          <w:sz w:val="20"/>
          <w:szCs w:val="20"/>
        </w:rPr>
        <w:t xml:space="preserve"> Unit Costs of Health and Social Care 2010. PSSRU, University of Kent, Canterbury 2010.</w:t>
      </w:r>
    </w:p>
    <w:p w14:paraId="32973C4E"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31</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Mora, P. A., Berkowitz, A., Contrada, R. J., Wisnivesky, J., Horne, R., Leventhal, H. and Halm, E. A.,</w:t>
      </w:r>
      <w:r w:rsidRPr="003532D0">
        <w:rPr>
          <w:rFonts w:ascii="Arial" w:eastAsia="Arial Unicode MS" w:hAnsi="Arial" w:cs="Arial"/>
          <w:bCs/>
          <w:noProof/>
          <w:sz w:val="20"/>
          <w:szCs w:val="20"/>
        </w:rPr>
        <w:t xml:space="preserve"> Factor structure and longitudinal invariance of the Medical Adherence Report Scale-Asthma. </w:t>
      </w:r>
      <w:r w:rsidRPr="003532D0">
        <w:rPr>
          <w:rFonts w:ascii="Arial" w:eastAsia="Arial Unicode MS" w:hAnsi="Arial" w:cs="Arial"/>
          <w:bCs/>
          <w:i/>
          <w:noProof/>
          <w:sz w:val="20"/>
          <w:szCs w:val="20"/>
        </w:rPr>
        <w:t>Psychol Health</w:t>
      </w:r>
      <w:r w:rsidRPr="003532D0">
        <w:rPr>
          <w:rFonts w:ascii="Arial" w:eastAsia="Arial Unicode MS" w:hAnsi="Arial" w:cs="Arial"/>
          <w:bCs/>
          <w:noProof/>
          <w:sz w:val="20"/>
          <w:szCs w:val="20"/>
        </w:rPr>
        <w:t xml:space="preserve"> 2011. </w:t>
      </w:r>
      <w:r w:rsidRPr="003532D0">
        <w:rPr>
          <w:rFonts w:ascii="Arial" w:eastAsia="Arial Unicode MS" w:hAnsi="Arial" w:cs="Arial"/>
          <w:b/>
          <w:bCs/>
          <w:noProof/>
          <w:sz w:val="20"/>
          <w:szCs w:val="20"/>
        </w:rPr>
        <w:t>26</w:t>
      </w:r>
      <w:r w:rsidRPr="003532D0">
        <w:rPr>
          <w:rFonts w:ascii="Arial" w:eastAsia="Arial Unicode MS" w:hAnsi="Arial" w:cs="Arial"/>
          <w:bCs/>
          <w:noProof/>
          <w:sz w:val="20"/>
          <w:szCs w:val="20"/>
        </w:rPr>
        <w:t>: 713-727.</w:t>
      </w:r>
    </w:p>
    <w:p w14:paraId="6EF14E28"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32</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Cohen, J. L., Mann, D. M., Wisnivesky, J. P., Home, R., Leventhal, H., Musumeci-Szabo, T. J. and Halm, E. A.,</w:t>
      </w:r>
      <w:r w:rsidRPr="003532D0">
        <w:rPr>
          <w:rFonts w:ascii="Arial" w:eastAsia="Arial Unicode MS" w:hAnsi="Arial" w:cs="Arial"/>
          <w:bCs/>
          <w:noProof/>
          <w:sz w:val="20"/>
          <w:szCs w:val="20"/>
        </w:rPr>
        <w:t xml:space="preserve"> Assessing the validity of self-reported medication adherence among inner-city asthmatic adults: the Medication Adherence Report Scale for Asthma. </w:t>
      </w:r>
      <w:r w:rsidRPr="003532D0">
        <w:rPr>
          <w:rFonts w:ascii="Arial" w:eastAsia="Arial Unicode MS" w:hAnsi="Arial" w:cs="Arial"/>
          <w:bCs/>
          <w:i/>
          <w:noProof/>
          <w:sz w:val="20"/>
          <w:szCs w:val="20"/>
        </w:rPr>
        <w:t>Ann Allergy Asthma Immunol</w:t>
      </w:r>
      <w:r w:rsidRPr="003532D0">
        <w:rPr>
          <w:rFonts w:ascii="Arial" w:eastAsia="Arial Unicode MS" w:hAnsi="Arial" w:cs="Arial"/>
          <w:bCs/>
          <w:noProof/>
          <w:sz w:val="20"/>
          <w:szCs w:val="20"/>
        </w:rPr>
        <w:t xml:space="preserve"> 2009. </w:t>
      </w:r>
      <w:r w:rsidRPr="003532D0">
        <w:rPr>
          <w:rFonts w:ascii="Arial" w:eastAsia="Arial Unicode MS" w:hAnsi="Arial" w:cs="Arial"/>
          <w:b/>
          <w:bCs/>
          <w:noProof/>
          <w:sz w:val="20"/>
          <w:szCs w:val="20"/>
        </w:rPr>
        <w:t>103</w:t>
      </w:r>
      <w:r w:rsidRPr="003532D0">
        <w:rPr>
          <w:rFonts w:ascii="Arial" w:eastAsia="Arial Unicode MS" w:hAnsi="Arial" w:cs="Arial"/>
          <w:bCs/>
          <w:noProof/>
          <w:sz w:val="20"/>
          <w:szCs w:val="20"/>
        </w:rPr>
        <w:t>: 325-331.</w:t>
      </w:r>
    </w:p>
    <w:p w14:paraId="3A503BDC"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33</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Butler, J. A., Peveler, R. C., Roderick, P., Smith, P. W., Horne, R. and Mason, J. C.,</w:t>
      </w:r>
      <w:r w:rsidRPr="003532D0">
        <w:rPr>
          <w:rFonts w:ascii="Arial" w:eastAsia="Arial Unicode MS" w:hAnsi="Arial" w:cs="Arial"/>
          <w:bCs/>
          <w:noProof/>
          <w:sz w:val="20"/>
          <w:szCs w:val="20"/>
        </w:rPr>
        <w:t xml:space="preserve"> Modifiable risk factors for non-adherence to immunosuppressants in renal transplant recipients: a cross-sectional study. </w:t>
      </w:r>
      <w:r w:rsidRPr="003532D0">
        <w:rPr>
          <w:rFonts w:ascii="Arial" w:eastAsia="Arial Unicode MS" w:hAnsi="Arial" w:cs="Arial"/>
          <w:bCs/>
          <w:i/>
          <w:noProof/>
          <w:sz w:val="20"/>
          <w:szCs w:val="20"/>
        </w:rPr>
        <w:t>Nephrol Dial Transplant</w:t>
      </w:r>
      <w:r w:rsidRPr="003532D0">
        <w:rPr>
          <w:rFonts w:ascii="Arial" w:eastAsia="Arial Unicode MS" w:hAnsi="Arial" w:cs="Arial"/>
          <w:bCs/>
          <w:noProof/>
          <w:sz w:val="20"/>
          <w:szCs w:val="20"/>
        </w:rPr>
        <w:t xml:space="preserve"> 2004. </w:t>
      </w:r>
      <w:r w:rsidRPr="003532D0">
        <w:rPr>
          <w:rFonts w:ascii="Arial" w:eastAsia="Arial Unicode MS" w:hAnsi="Arial" w:cs="Arial"/>
          <w:b/>
          <w:bCs/>
          <w:noProof/>
          <w:sz w:val="20"/>
          <w:szCs w:val="20"/>
        </w:rPr>
        <w:t>19</w:t>
      </w:r>
      <w:r w:rsidRPr="003532D0">
        <w:rPr>
          <w:rFonts w:ascii="Arial" w:eastAsia="Arial Unicode MS" w:hAnsi="Arial" w:cs="Arial"/>
          <w:bCs/>
          <w:noProof/>
          <w:sz w:val="20"/>
          <w:szCs w:val="20"/>
        </w:rPr>
        <w:t>: 3144-3149.</w:t>
      </w:r>
    </w:p>
    <w:p w14:paraId="33152CFB"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34</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Butler, J. A., Peveler, R. C., Roderick, P., Horne, R. and Mason, J. C.,</w:t>
      </w:r>
      <w:r w:rsidRPr="003532D0">
        <w:rPr>
          <w:rFonts w:ascii="Arial" w:eastAsia="Arial Unicode MS" w:hAnsi="Arial" w:cs="Arial"/>
          <w:bCs/>
          <w:noProof/>
          <w:sz w:val="20"/>
          <w:szCs w:val="20"/>
        </w:rPr>
        <w:t xml:space="preserve"> Measuring compliance with drug regimens after renal transplantation: comparison of self-report and clinician rating with electronic monitoring. </w:t>
      </w:r>
      <w:r w:rsidRPr="003532D0">
        <w:rPr>
          <w:rFonts w:ascii="Arial" w:eastAsia="Arial Unicode MS" w:hAnsi="Arial" w:cs="Arial"/>
          <w:bCs/>
          <w:i/>
          <w:noProof/>
          <w:sz w:val="20"/>
          <w:szCs w:val="20"/>
        </w:rPr>
        <w:t>Transplantation</w:t>
      </w:r>
      <w:r w:rsidRPr="003532D0">
        <w:rPr>
          <w:rFonts w:ascii="Arial" w:eastAsia="Arial Unicode MS" w:hAnsi="Arial" w:cs="Arial"/>
          <w:bCs/>
          <w:noProof/>
          <w:sz w:val="20"/>
          <w:szCs w:val="20"/>
        </w:rPr>
        <w:t xml:space="preserve"> 2004. </w:t>
      </w:r>
      <w:r w:rsidRPr="003532D0">
        <w:rPr>
          <w:rFonts w:ascii="Arial" w:eastAsia="Arial Unicode MS" w:hAnsi="Arial" w:cs="Arial"/>
          <w:b/>
          <w:bCs/>
          <w:noProof/>
          <w:sz w:val="20"/>
          <w:szCs w:val="20"/>
        </w:rPr>
        <w:t>77</w:t>
      </w:r>
      <w:r w:rsidRPr="003532D0">
        <w:rPr>
          <w:rFonts w:ascii="Arial" w:eastAsia="Arial Unicode MS" w:hAnsi="Arial" w:cs="Arial"/>
          <w:bCs/>
          <w:noProof/>
          <w:sz w:val="20"/>
          <w:szCs w:val="20"/>
        </w:rPr>
        <w:t>: 786-789.</w:t>
      </w:r>
    </w:p>
    <w:p w14:paraId="4E6B6CA7"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35</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Haynes, R. B., Taylor, D. W., Sackett, D. L., Gibson, E. S., Bernholz, C. D. and Mukherjee, J.,</w:t>
      </w:r>
      <w:r w:rsidRPr="003532D0">
        <w:rPr>
          <w:rFonts w:ascii="Arial" w:eastAsia="Arial Unicode MS" w:hAnsi="Arial" w:cs="Arial"/>
          <w:bCs/>
          <w:noProof/>
          <w:sz w:val="20"/>
          <w:szCs w:val="20"/>
        </w:rPr>
        <w:t xml:space="preserve"> Can simple clinical measurements detect patient noncompliance? </w:t>
      </w:r>
      <w:r w:rsidRPr="003532D0">
        <w:rPr>
          <w:rFonts w:ascii="Arial" w:eastAsia="Arial Unicode MS" w:hAnsi="Arial" w:cs="Arial"/>
          <w:bCs/>
          <w:i/>
          <w:noProof/>
          <w:sz w:val="20"/>
          <w:szCs w:val="20"/>
        </w:rPr>
        <w:t>Hypertension</w:t>
      </w:r>
      <w:r w:rsidRPr="003532D0">
        <w:rPr>
          <w:rFonts w:ascii="Arial" w:eastAsia="Arial Unicode MS" w:hAnsi="Arial" w:cs="Arial"/>
          <w:bCs/>
          <w:noProof/>
          <w:sz w:val="20"/>
          <w:szCs w:val="20"/>
        </w:rPr>
        <w:t xml:space="preserve"> 1980. </w:t>
      </w:r>
      <w:r w:rsidRPr="003532D0">
        <w:rPr>
          <w:rFonts w:ascii="Arial" w:eastAsia="Arial Unicode MS" w:hAnsi="Arial" w:cs="Arial"/>
          <w:b/>
          <w:bCs/>
          <w:noProof/>
          <w:sz w:val="20"/>
          <w:szCs w:val="20"/>
        </w:rPr>
        <w:t>2</w:t>
      </w:r>
      <w:r w:rsidRPr="003532D0">
        <w:rPr>
          <w:rFonts w:ascii="Arial" w:eastAsia="Arial Unicode MS" w:hAnsi="Arial" w:cs="Arial"/>
          <w:bCs/>
          <w:noProof/>
          <w:sz w:val="20"/>
          <w:szCs w:val="20"/>
        </w:rPr>
        <w:t>: 757-764.</w:t>
      </w:r>
    </w:p>
    <w:p w14:paraId="0A3429D9"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36</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Gordis, L.,</w:t>
      </w:r>
      <w:r w:rsidRPr="003532D0">
        <w:rPr>
          <w:rFonts w:ascii="Arial" w:eastAsia="Arial Unicode MS" w:hAnsi="Arial" w:cs="Arial"/>
          <w:bCs/>
          <w:noProof/>
          <w:sz w:val="20"/>
          <w:szCs w:val="20"/>
        </w:rPr>
        <w:t xml:space="preserve"> Conceptual and methodologic problems in measuring patient compliance. . In </w:t>
      </w:r>
      <w:r w:rsidRPr="003532D0">
        <w:rPr>
          <w:rFonts w:ascii="Arial" w:eastAsia="Arial Unicode MS" w:hAnsi="Arial" w:cs="Arial"/>
          <w:b/>
          <w:bCs/>
          <w:noProof/>
          <w:sz w:val="20"/>
          <w:szCs w:val="20"/>
        </w:rPr>
        <w:t xml:space="preserve">Sackett, D. L., Taylor, D. W. and R.B., H. </w:t>
      </w:r>
      <w:r w:rsidRPr="003532D0">
        <w:rPr>
          <w:rFonts w:ascii="Arial" w:eastAsia="Arial Unicode MS" w:hAnsi="Arial" w:cs="Arial"/>
          <w:bCs/>
          <w:noProof/>
          <w:sz w:val="20"/>
          <w:szCs w:val="20"/>
        </w:rPr>
        <w:t xml:space="preserve">(Eds.) </w:t>
      </w:r>
      <w:r w:rsidRPr="003532D0">
        <w:rPr>
          <w:rFonts w:ascii="Arial" w:eastAsia="Arial Unicode MS" w:hAnsi="Arial" w:cs="Arial"/>
          <w:bCs/>
          <w:i/>
          <w:noProof/>
          <w:sz w:val="20"/>
          <w:szCs w:val="20"/>
        </w:rPr>
        <w:t>Compliance in Health Care</w:t>
      </w:r>
      <w:r w:rsidRPr="003532D0">
        <w:rPr>
          <w:rFonts w:ascii="Arial" w:eastAsia="Arial Unicode MS" w:hAnsi="Arial" w:cs="Arial"/>
          <w:bCs/>
          <w:noProof/>
          <w:sz w:val="20"/>
          <w:szCs w:val="20"/>
        </w:rPr>
        <w:t>. John Hopkins University Press, London 1979, pp 23-45.</w:t>
      </w:r>
    </w:p>
    <w:p w14:paraId="0E3621E2"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r w:rsidRPr="003532D0">
        <w:rPr>
          <w:rFonts w:ascii="Arial" w:eastAsia="Arial Unicode MS" w:hAnsi="Arial" w:cs="Arial"/>
          <w:bCs/>
          <w:noProof/>
          <w:sz w:val="20"/>
          <w:szCs w:val="20"/>
        </w:rPr>
        <w:t>37</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Horne, R., Weinman, J. and Hankins, M.,</w:t>
      </w:r>
      <w:r w:rsidRPr="003532D0">
        <w:rPr>
          <w:rFonts w:ascii="Arial" w:eastAsia="Arial Unicode MS" w:hAnsi="Arial" w:cs="Arial"/>
          <w:bCs/>
          <w:noProof/>
          <w:sz w:val="20"/>
          <w:szCs w:val="20"/>
        </w:rPr>
        <w:t xml:space="preserve"> The beliefs about medicines questionnaire: The development and evaluation of a new method for assessing the cognitive representation of medication. </w:t>
      </w:r>
      <w:r w:rsidRPr="003532D0">
        <w:rPr>
          <w:rFonts w:ascii="Arial" w:eastAsia="Arial Unicode MS" w:hAnsi="Arial" w:cs="Arial"/>
          <w:bCs/>
          <w:i/>
          <w:noProof/>
          <w:sz w:val="20"/>
          <w:szCs w:val="20"/>
        </w:rPr>
        <w:t>Psychology &amp; Health</w:t>
      </w:r>
      <w:r w:rsidRPr="003532D0">
        <w:rPr>
          <w:rFonts w:ascii="Arial" w:eastAsia="Arial Unicode MS" w:hAnsi="Arial" w:cs="Arial"/>
          <w:bCs/>
          <w:noProof/>
          <w:sz w:val="20"/>
          <w:szCs w:val="20"/>
        </w:rPr>
        <w:t xml:space="preserve"> 1999. </w:t>
      </w:r>
      <w:r w:rsidRPr="003532D0">
        <w:rPr>
          <w:rFonts w:ascii="Arial" w:eastAsia="Arial Unicode MS" w:hAnsi="Arial" w:cs="Arial"/>
          <w:b/>
          <w:bCs/>
          <w:noProof/>
          <w:sz w:val="20"/>
          <w:szCs w:val="20"/>
        </w:rPr>
        <w:t>14</w:t>
      </w:r>
      <w:r w:rsidRPr="003532D0">
        <w:rPr>
          <w:rFonts w:ascii="Arial" w:eastAsia="Arial Unicode MS" w:hAnsi="Arial" w:cs="Arial"/>
          <w:bCs/>
          <w:noProof/>
          <w:sz w:val="20"/>
          <w:szCs w:val="20"/>
        </w:rPr>
        <w:t>: 1-24.</w:t>
      </w:r>
    </w:p>
    <w:p w14:paraId="4DBE897B"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bookmarkStart w:id="51" w:name="_ENREF_38"/>
      <w:r w:rsidRPr="003532D0">
        <w:rPr>
          <w:rFonts w:ascii="Arial" w:eastAsia="Arial Unicode MS" w:hAnsi="Arial" w:cs="Arial"/>
          <w:bCs/>
          <w:noProof/>
          <w:sz w:val="20"/>
          <w:szCs w:val="20"/>
        </w:rPr>
        <w:t>38</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Horne, R., Hankins, M. and Jenkins, R.,</w:t>
      </w:r>
      <w:r w:rsidRPr="003532D0">
        <w:rPr>
          <w:rFonts w:ascii="Arial" w:eastAsia="Arial Unicode MS" w:hAnsi="Arial" w:cs="Arial"/>
          <w:bCs/>
          <w:noProof/>
          <w:sz w:val="20"/>
          <w:szCs w:val="20"/>
        </w:rPr>
        <w:t xml:space="preserve"> The Satisfaction with Information about Medicines Scale (SIMS): a new measurement tool for audit and research. </w:t>
      </w:r>
      <w:r w:rsidRPr="003532D0">
        <w:rPr>
          <w:rFonts w:ascii="Arial" w:eastAsia="Arial Unicode MS" w:hAnsi="Arial" w:cs="Arial"/>
          <w:bCs/>
          <w:i/>
          <w:noProof/>
          <w:sz w:val="20"/>
          <w:szCs w:val="20"/>
        </w:rPr>
        <w:t>Quality in Health Care</w:t>
      </w:r>
      <w:r w:rsidRPr="003532D0">
        <w:rPr>
          <w:rFonts w:ascii="Arial" w:eastAsia="Arial Unicode MS" w:hAnsi="Arial" w:cs="Arial"/>
          <w:bCs/>
          <w:noProof/>
          <w:sz w:val="20"/>
          <w:szCs w:val="20"/>
        </w:rPr>
        <w:t xml:space="preserve"> 2001. </w:t>
      </w:r>
      <w:r w:rsidRPr="003532D0">
        <w:rPr>
          <w:rFonts w:ascii="Arial" w:eastAsia="Arial Unicode MS" w:hAnsi="Arial" w:cs="Arial"/>
          <w:b/>
          <w:bCs/>
          <w:noProof/>
          <w:sz w:val="20"/>
          <w:szCs w:val="20"/>
        </w:rPr>
        <w:t>10</w:t>
      </w:r>
      <w:r w:rsidRPr="003532D0">
        <w:rPr>
          <w:rFonts w:ascii="Arial" w:eastAsia="Arial Unicode MS" w:hAnsi="Arial" w:cs="Arial"/>
          <w:bCs/>
          <w:noProof/>
          <w:sz w:val="20"/>
          <w:szCs w:val="20"/>
        </w:rPr>
        <w:t>: 135-140.</w:t>
      </w:r>
      <w:bookmarkEnd w:id="51"/>
    </w:p>
    <w:p w14:paraId="21AD1E3C"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bookmarkStart w:id="52" w:name="_ENREF_39"/>
      <w:r w:rsidRPr="003532D0">
        <w:rPr>
          <w:rFonts w:ascii="Arial" w:eastAsia="Arial Unicode MS" w:hAnsi="Arial" w:cs="Arial"/>
          <w:bCs/>
          <w:noProof/>
          <w:sz w:val="20"/>
          <w:szCs w:val="20"/>
        </w:rPr>
        <w:t>39</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Zigmond, A. S. and Snaith, R. P.,</w:t>
      </w:r>
      <w:r w:rsidRPr="003532D0">
        <w:rPr>
          <w:rFonts w:ascii="Arial" w:eastAsia="Arial Unicode MS" w:hAnsi="Arial" w:cs="Arial"/>
          <w:bCs/>
          <w:noProof/>
          <w:sz w:val="20"/>
          <w:szCs w:val="20"/>
        </w:rPr>
        <w:t xml:space="preserve"> THE HOSPITAL ANXIETY AND DEPRESSION SCALE. </w:t>
      </w:r>
      <w:r w:rsidRPr="003532D0">
        <w:rPr>
          <w:rFonts w:ascii="Arial" w:eastAsia="Arial Unicode MS" w:hAnsi="Arial" w:cs="Arial"/>
          <w:bCs/>
          <w:i/>
          <w:noProof/>
          <w:sz w:val="20"/>
          <w:szCs w:val="20"/>
        </w:rPr>
        <w:t>Acta Psychiatrica Scandinavica</w:t>
      </w:r>
      <w:r w:rsidRPr="003532D0">
        <w:rPr>
          <w:rFonts w:ascii="Arial" w:eastAsia="Arial Unicode MS" w:hAnsi="Arial" w:cs="Arial"/>
          <w:bCs/>
          <w:noProof/>
          <w:sz w:val="20"/>
          <w:szCs w:val="20"/>
        </w:rPr>
        <w:t xml:space="preserve"> 1983. </w:t>
      </w:r>
      <w:r w:rsidRPr="003532D0">
        <w:rPr>
          <w:rFonts w:ascii="Arial" w:eastAsia="Arial Unicode MS" w:hAnsi="Arial" w:cs="Arial"/>
          <w:b/>
          <w:bCs/>
          <w:noProof/>
          <w:sz w:val="20"/>
          <w:szCs w:val="20"/>
        </w:rPr>
        <w:t>67</w:t>
      </w:r>
      <w:r w:rsidRPr="003532D0">
        <w:rPr>
          <w:rFonts w:ascii="Arial" w:eastAsia="Arial Unicode MS" w:hAnsi="Arial" w:cs="Arial"/>
          <w:bCs/>
          <w:noProof/>
          <w:sz w:val="20"/>
          <w:szCs w:val="20"/>
        </w:rPr>
        <w:t>: 361-370.</w:t>
      </w:r>
      <w:bookmarkEnd w:id="52"/>
    </w:p>
    <w:p w14:paraId="096DA284"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bookmarkStart w:id="53" w:name="_ENREF_40"/>
      <w:r w:rsidRPr="003532D0">
        <w:rPr>
          <w:rFonts w:ascii="Arial" w:eastAsia="Arial Unicode MS" w:hAnsi="Arial" w:cs="Arial"/>
          <w:bCs/>
          <w:noProof/>
          <w:sz w:val="20"/>
          <w:szCs w:val="20"/>
        </w:rPr>
        <w:t>40</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Moss-Morris, R., Weinman, J., Petrie, K. J., Horne, R., Cameron, L. D. and Buick, D.,</w:t>
      </w:r>
      <w:r w:rsidRPr="003532D0">
        <w:rPr>
          <w:rFonts w:ascii="Arial" w:eastAsia="Arial Unicode MS" w:hAnsi="Arial" w:cs="Arial"/>
          <w:bCs/>
          <w:noProof/>
          <w:sz w:val="20"/>
          <w:szCs w:val="20"/>
        </w:rPr>
        <w:t xml:space="preserve"> The revised Illness Perception Questionnaire (IPQ-R). </w:t>
      </w:r>
      <w:r w:rsidRPr="003532D0">
        <w:rPr>
          <w:rFonts w:ascii="Arial" w:eastAsia="Arial Unicode MS" w:hAnsi="Arial" w:cs="Arial"/>
          <w:bCs/>
          <w:i/>
          <w:noProof/>
          <w:sz w:val="20"/>
          <w:szCs w:val="20"/>
        </w:rPr>
        <w:t>Psychology &amp; Health</w:t>
      </w:r>
      <w:r w:rsidRPr="003532D0">
        <w:rPr>
          <w:rFonts w:ascii="Arial" w:eastAsia="Arial Unicode MS" w:hAnsi="Arial" w:cs="Arial"/>
          <w:bCs/>
          <w:noProof/>
          <w:sz w:val="20"/>
          <w:szCs w:val="20"/>
        </w:rPr>
        <w:t xml:space="preserve"> 2002. </w:t>
      </w:r>
      <w:r w:rsidRPr="003532D0">
        <w:rPr>
          <w:rFonts w:ascii="Arial" w:eastAsia="Arial Unicode MS" w:hAnsi="Arial" w:cs="Arial"/>
          <w:b/>
          <w:bCs/>
          <w:noProof/>
          <w:sz w:val="20"/>
          <w:szCs w:val="20"/>
        </w:rPr>
        <w:t>17</w:t>
      </w:r>
      <w:r w:rsidRPr="003532D0">
        <w:rPr>
          <w:rFonts w:ascii="Arial" w:eastAsia="Arial Unicode MS" w:hAnsi="Arial" w:cs="Arial"/>
          <w:bCs/>
          <w:noProof/>
          <w:sz w:val="20"/>
          <w:szCs w:val="20"/>
        </w:rPr>
        <w:t>: 1-16.</w:t>
      </w:r>
      <w:bookmarkEnd w:id="53"/>
    </w:p>
    <w:p w14:paraId="4E0056B4" w14:textId="77777777" w:rsidR="003532D0" w:rsidRPr="003532D0" w:rsidRDefault="003532D0" w:rsidP="003532D0">
      <w:pPr>
        <w:spacing w:before="120" w:after="0" w:line="240" w:lineRule="auto"/>
        <w:ind w:left="720" w:hanging="720"/>
        <w:contextualSpacing/>
        <w:rPr>
          <w:rFonts w:ascii="Arial" w:eastAsia="Arial Unicode MS" w:hAnsi="Arial" w:cs="Arial"/>
          <w:bCs/>
          <w:noProof/>
          <w:sz w:val="20"/>
          <w:szCs w:val="20"/>
        </w:rPr>
      </w:pPr>
      <w:bookmarkStart w:id="54" w:name="_ENREF_41"/>
      <w:r w:rsidRPr="003532D0">
        <w:rPr>
          <w:rFonts w:ascii="Arial" w:eastAsia="Arial Unicode MS" w:hAnsi="Arial" w:cs="Arial"/>
          <w:bCs/>
          <w:noProof/>
          <w:sz w:val="20"/>
          <w:szCs w:val="20"/>
        </w:rPr>
        <w:t>41</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Beatty, P. C. and Willis, G. B.,</w:t>
      </w:r>
      <w:r w:rsidRPr="003532D0">
        <w:rPr>
          <w:rFonts w:ascii="Arial" w:eastAsia="Arial Unicode MS" w:hAnsi="Arial" w:cs="Arial"/>
          <w:bCs/>
          <w:noProof/>
          <w:sz w:val="20"/>
          <w:szCs w:val="20"/>
        </w:rPr>
        <w:t xml:space="preserve"> Research synthesis: The practice of cognitive interviewing. </w:t>
      </w:r>
      <w:r w:rsidRPr="003532D0">
        <w:rPr>
          <w:rFonts w:ascii="Arial" w:eastAsia="Arial Unicode MS" w:hAnsi="Arial" w:cs="Arial"/>
          <w:bCs/>
          <w:i/>
          <w:noProof/>
          <w:sz w:val="20"/>
          <w:szCs w:val="20"/>
        </w:rPr>
        <w:t>Public Opinion Quarterly</w:t>
      </w:r>
      <w:r w:rsidRPr="003532D0">
        <w:rPr>
          <w:rFonts w:ascii="Arial" w:eastAsia="Arial Unicode MS" w:hAnsi="Arial" w:cs="Arial"/>
          <w:bCs/>
          <w:noProof/>
          <w:sz w:val="20"/>
          <w:szCs w:val="20"/>
        </w:rPr>
        <w:t xml:space="preserve"> 2007. </w:t>
      </w:r>
      <w:r w:rsidRPr="003532D0">
        <w:rPr>
          <w:rFonts w:ascii="Arial" w:eastAsia="Arial Unicode MS" w:hAnsi="Arial" w:cs="Arial"/>
          <w:b/>
          <w:bCs/>
          <w:noProof/>
          <w:sz w:val="20"/>
          <w:szCs w:val="20"/>
        </w:rPr>
        <w:t>71</w:t>
      </w:r>
      <w:r w:rsidRPr="003532D0">
        <w:rPr>
          <w:rFonts w:ascii="Arial" w:eastAsia="Arial Unicode MS" w:hAnsi="Arial" w:cs="Arial"/>
          <w:bCs/>
          <w:noProof/>
          <w:sz w:val="20"/>
          <w:szCs w:val="20"/>
        </w:rPr>
        <w:t>: 287-311.</w:t>
      </w:r>
      <w:bookmarkEnd w:id="54"/>
    </w:p>
    <w:p w14:paraId="7E0B0C6E" w14:textId="77777777" w:rsidR="003532D0" w:rsidRPr="003532D0" w:rsidRDefault="003532D0" w:rsidP="003532D0">
      <w:pPr>
        <w:spacing w:before="120" w:after="120" w:line="240" w:lineRule="auto"/>
        <w:ind w:left="720" w:hanging="720"/>
        <w:contextualSpacing/>
        <w:rPr>
          <w:rFonts w:ascii="Arial" w:eastAsia="Arial Unicode MS" w:hAnsi="Arial" w:cs="Arial"/>
          <w:bCs/>
          <w:noProof/>
          <w:sz w:val="20"/>
          <w:szCs w:val="20"/>
        </w:rPr>
      </w:pPr>
      <w:bookmarkStart w:id="55" w:name="_ENREF_42"/>
      <w:r w:rsidRPr="003532D0">
        <w:rPr>
          <w:rFonts w:ascii="Arial" w:eastAsia="Arial Unicode MS" w:hAnsi="Arial" w:cs="Arial"/>
          <w:bCs/>
          <w:noProof/>
          <w:sz w:val="20"/>
          <w:szCs w:val="20"/>
        </w:rPr>
        <w:t>42</w:t>
      </w:r>
      <w:r w:rsidRPr="003532D0">
        <w:rPr>
          <w:rFonts w:ascii="Arial" w:eastAsia="Arial Unicode MS" w:hAnsi="Arial" w:cs="Arial"/>
          <w:bCs/>
          <w:noProof/>
          <w:sz w:val="20"/>
          <w:szCs w:val="20"/>
        </w:rPr>
        <w:tab/>
      </w:r>
      <w:r w:rsidRPr="003532D0">
        <w:rPr>
          <w:rFonts w:ascii="Arial" w:eastAsia="Arial Unicode MS" w:hAnsi="Arial" w:cs="Arial"/>
          <w:b/>
          <w:bCs/>
          <w:noProof/>
          <w:sz w:val="20"/>
          <w:szCs w:val="20"/>
        </w:rPr>
        <w:t>Barber, J. and Thompson, S.,</w:t>
      </w:r>
      <w:r w:rsidRPr="003532D0">
        <w:rPr>
          <w:rFonts w:ascii="Arial" w:eastAsia="Arial Unicode MS" w:hAnsi="Arial" w:cs="Arial"/>
          <w:bCs/>
          <w:noProof/>
          <w:sz w:val="20"/>
          <w:szCs w:val="20"/>
        </w:rPr>
        <w:t xml:space="preserve"> Multiple regression of cost data: use of generalised linear models. </w:t>
      </w:r>
      <w:r w:rsidRPr="003532D0">
        <w:rPr>
          <w:rFonts w:ascii="Arial" w:eastAsia="Arial Unicode MS" w:hAnsi="Arial" w:cs="Arial"/>
          <w:bCs/>
          <w:i/>
          <w:noProof/>
          <w:sz w:val="20"/>
          <w:szCs w:val="20"/>
        </w:rPr>
        <w:t>J Health Serv Res Policy</w:t>
      </w:r>
      <w:r w:rsidRPr="003532D0">
        <w:rPr>
          <w:rFonts w:ascii="Arial" w:eastAsia="Arial Unicode MS" w:hAnsi="Arial" w:cs="Arial"/>
          <w:bCs/>
          <w:noProof/>
          <w:sz w:val="20"/>
          <w:szCs w:val="20"/>
        </w:rPr>
        <w:t xml:space="preserve"> 2004. </w:t>
      </w:r>
      <w:r w:rsidRPr="003532D0">
        <w:rPr>
          <w:rFonts w:ascii="Arial" w:eastAsia="Arial Unicode MS" w:hAnsi="Arial" w:cs="Arial"/>
          <w:b/>
          <w:bCs/>
          <w:noProof/>
          <w:sz w:val="20"/>
          <w:szCs w:val="20"/>
        </w:rPr>
        <w:t>9</w:t>
      </w:r>
      <w:r w:rsidRPr="003532D0">
        <w:rPr>
          <w:rFonts w:ascii="Arial" w:eastAsia="Arial Unicode MS" w:hAnsi="Arial" w:cs="Arial"/>
          <w:bCs/>
          <w:noProof/>
          <w:sz w:val="20"/>
          <w:szCs w:val="20"/>
        </w:rPr>
        <w:t>: 197-204.</w:t>
      </w:r>
      <w:bookmarkEnd w:id="55"/>
    </w:p>
    <w:p w14:paraId="08E8DE63" w14:textId="77777777" w:rsidR="003532D0" w:rsidRPr="003532D0" w:rsidRDefault="003532D0" w:rsidP="003532D0">
      <w:pPr>
        <w:spacing w:before="120" w:after="120" w:line="240" w:lineRule="auto"/>
        <w:contextualSpacing/>
        <w:rPr>
          <w:rFonts w:ascii="Arial" w:eastAsia="Arial Unicode MS" w:hAnsi="Arial" w:cs="Arial"/>
          <w:bCs/>
          <w:noProof/>
          <w:sz w:val="20"/>
          <w:szCs w:val="20"/>
        </w:rPr>
      </w:pPr>
    </w:p>
    <w:p w14:paraId="68A82A58" w14:textId="77777777" w:rsidR="003532D0" w:rsidRPr="003532D0" w:rsidRDefault="003532D0" w:rsidP="003532D0">
      <w:pPr>
        <w:spacing w:before="120" w:after="120" w:line="240" w:lineRule="auto"/>
        <w:contextualSpacing/>
        <w:rPr>
          <w:rFonts w:ascii="Arial" w:eastAsia="Arial Unicode MS" w:hAnsi="Arial" w:cs="Arial"/>
          <w:bCs/>
          <w:sz w:val="20"/>
          <w:szCs w:val="20"/>
        </w:rPr>
      </w:pPr>
      <w:r w:rsidRPr="003532D0">
        <w:rPr>
          <w:rFonts w:ascii="Arial" w:eastAsia="Arial Unicode MS" w:hAnsi="Arial" w:cs="Arial"/>
          <w:bCs/>
          <w:sz w:val="20"/>
          <w:szCs w:val="20"/>
        </w:rPr>
        <w:fldChar w:fldCharType="end"/>
      </w:r>
    </w:p>
    <w:p w14:paraId="166D5C85"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56" w:name="_Toc248735414"/>
      <w:bookmarkStart w:id="57" w:name="_Toc121909743"/>
      <w:r w:rsidRPr="003532D0">
        <w:rPr>
          <w:rFonts w:ascii="Arial" w:eastAsia="Times New Roman" w:hAnsi="Arial" w:cs="Arial"/>
          <w:b/>
          <w:sz w:val="26"/>
          <w:szCs w:val="26"/>
        </w:rPr>
        <w:t>2. Trial Objectives and Design</w:t>
      </w:r>
      <w:bookmarkEnd w:id="56"/>
      <w:bookmarkEnd w:id="57"/>
    </w:p>
    <w:p w14:paraId="7C831907"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58" w:name="_Toc248735415"/>
      <w:r w:rsidRPr="003532D0">
        <w:rPr>
          <w:rFonts w:ascii="Arial" w:eastAsia="Times New Roman" w:hAnsi="Arial" w:cs="Arial"/>
          <w:b/>
        </w:rPr>
        <w:t>2.1. Trial Objectives</w:t>
      </w:r>
      <w:bookmarkEnd w:id="58"/>
    </w:p>
    <w:p w14:paraId="4C642305"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overall objective is to test whether a structured screening programme to identify patients with a validated prognostic biomarker for kidney transplant failure, allied with an optimized immunosuppression treatment protocol, can reduce transplant failure rates over time.</w:t>
      </w:r>
    </w:p>
    <w:p w14:paraId="38A04BDC"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788B16F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Primary objective; </w:t>
      </w:r>
    </w:p>
    <w:p w14:paraId="0AFD6FC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Determine the time to graft failure in patients testing positive for HLA Ab at baseline or within 32 months of randomization who receive an optimized anti-rejection medication intervention with prednisone, Tac and MMF (‘treatment’), compared to a control group who test positive for HLA Ab at baseline or within 32 months post-randomization who remain on their established immunotherapy and whose clinicians are not aware of their Ab status. The primary endpoint will be assessed remotely when approximately 43 months post-randomisation has been achieved by all.</w:t>
      </w:r>
    </w:p>
    <w:p w14:paraId="37B601FB"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5C76C81C"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Secondary objectives; </w:t>
      </w:r>
    </w:p>
    <w:p w14:paraId="53E7B06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 Determine the time to graft failure in patients randomized to ‘unblinded’ HLA Ab screening, compared to a control group randomized to ‘blinded’ HLA Ab screening.</w:t>
      </w:r>
    </w:p>
    <w:p w14:paraId="7A67AEF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b) Determine whether ‘treatment’ influences patient survival</w:t>
      </w:r>
    </w:p>
    <w:p w14:paraId="76B03F7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c) Determine whether ‘treatment’ influences the development of graft dysfunction as assessed by presence of proteinuria (Protein:Creatinine Ratio &gt; 50 or Albumin:Creatinine Ratio &gt; 35) and change in estimated Glomerular Filtration Rate (eGFR).</w:t>
      </w:r>
    </w:p>
    <w:p w14:paraId="62800E00"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d) Determine whether ‘treatment’ influences the rates of acute rejection in these groups</w:t>
      </w:r>
    </w:p>
    <w:p w14:paraId="65A5F86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e) Determine the adverse effect profiles of ‘treatment’ in this group, in particular whether they are associated with increased risk of infection, malignancy or DM.</w:t>
      </w:r>
    </w:p>
    <w:p w14:paraId="2B368E0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f) Determine the cost effectiveness of routine screening for HLA Ab and prolonging transplant survival using this screening/treatment protocol.</w:t>
      </w:r>
    </w:p>
    <w:p w14:paraId="66F3BF3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g) Determine the impact of biomarker screening and “treatment” on the patients’ adherence to drug therapy and their perceptions of risk to the health of the transplant.</w:t>
      </w:r>
    </w:p>
    <w:p w14:paraId="2FFB99EB" w14:textId="77777777" w:rsidR="003532D0" w:rsidRPr="003532D0" w:rsidRDefault="003532D0" w:rsidP="003532D0">
      <w:pPr>
        <w:spacing w:before="240" w:after="60" w:line="240" w:lineRule="auto"/>
        <w:ind w:left="1440"/>
        <w:contextualSpacing/>
        <w:outlineLvl w:val="4"/>
        <w:rPr>
          <w:rFonts w:ascii="Arial" w:eastAsia="Times New Roman" w:hAnsi="Arial" w:cs="Arial"/>
          <w:b/>
          <w:iCs/>
          <w:sz w:val="20"/>
          <w:szCs w:val="20"/>
        </w:rPr>
      </w:pPr>
      <w:bookmarkStart w:id="59" w:name="_Toc248735416"/>
      <w:r w:rsidRPr="003532D0">
        <w:rPr>
          <w:rFonts w:ascii="Arial" w:eastAsia="Times New Roman" w:hAnsi="Arial" w:cs="Arial"/>
          <w:b/>
          <w:iCs/>
          <w:sz w:val="20"/>
          <w:szCs w:val="20"/>
        </w:rPr>
        <w:t>2.1.1 Primary endpoints</w:t>
      </w:r>
      <w:bookmarkEnd w:id="59"/>
    </w:p>
    <w:p w14:paraId="624C864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primary endpoint is time to graft failure in HLA Ab positive patients randomized to biomarker led care groups vs. time to graft failure in HLA Ab + patients randomized to standard care groups assessed at approximately 43 months post-randomisation achieved by all. A second capture of primary endpoint data will also be taken at 46-92 months post-randomisation to be used in a sensitivity analysis. Graft failure will be defined as re-starting dialysis or requiring a new transplant.</w:t>
      </w:r>
    </w:p>
    <w:p w14:paraId="2CC8AE62" w14:textId="77777777" w:rsidR="003532D0" w:rsidRPr="003532D0" w:rsidRDefault="003532D0" w:rsidP="003532D0">
      <w:pPr>
        <w:spacing w:before="240" w:after="60" w:line="240" w:lineRule="auto"/>
        <w:ind w:left="1440"/>
        <w:contextualSpacing/>
        <w:outlineLvl w:val="4"/>
        <w:rPr>
          <w:rFonts w:ascii="Arial" w:eastAsia="Times New Roman" w:hAnsi="Arial" w:cs="Arial"/>
          <w:b/>
          <w:iCs/>
          <w:sz w:val="20"/>
          <w:szCs w:val="20"/>
        </w:rPr>
      </w:pPr>
      <w:bookmarkStart w:id="60" w:name="_Toc248735417"/>
      <w:r w:rsidRPr="003532D0">
        <w:rPr>
          <w:rFonts w:ascii="Arial" w:eastAsia="Times New Roman" w:hAnsi="Arial" w:cs="Arial"/>
          <w:b/>
          <w:iCs/>
          <w:sz w:val="20"/>
          <w:szCs w:val="20"/>
        </w:rPr>
        <w:t>2.1.2 Secondary endpoints</w:t>
      </w:r>
      <w:bookmarkEnd w:id="60"/>
    </w:p>
    <w:p w14:paraId="29D6B5D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secondary clinical endpoints are:</w:t>
      </w:r>
    </w:p>
    <w:p w14:paraId="2D0B344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time to graft failure in patients randomized to blinded HLA Ab screening vs those randomized to unblinded screening. Graft failure will be defined as re-starting dialysis or requiring a new transplant.</w:t>
      </w:r>
    </w:p>
    <w:p w14:paraId="21E1579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following endpoints will be assessed at end of intensive follow up (32 months):</w:t>
      </w:r>
    </w:p>
    <w:p w14:paraId="5CEA26D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patient survival.</w:t>
      </w:r>
    </w:p>
    <w:p w14:paraId="1DE161B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graft dysfunction, as assessed by two separate measures proteinuria (Protein:Creatinine Ratio &gt; 50 or Albumin:Creatinine Ratio &gt; 35) and change in estimated Glomerular Filtration Rates, and the rate of progression to graft dysfunction.</w:t>
      </w:r>
    </w:p>
    <w:p w14:paraId="6A6EB89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rates of biopsy-proven rejection.</w:t>
      </w:r>
    </w:p>
    <w:p w14:paraId="34AC768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rates of culture- or polymerase chain reaction (PCR)-positive infection, biopsy-proven malignancy and DM.</w:t>
      </w:r>
    </w:p>
    <w:p w14:paraId="574B4A8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health economic analysis of outcomes in intervention vs. control groups.</w:t>
      </w:r>
    </w:p>
    <w:p w14:paraId="7E769C5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analysis of adherence and perceptions of risk in BLC groups.</w:t>
      </w:r>
    </w:p>
    <w:p w14:paraId="2759AA00"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35DB928D"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61" w:name="_Toc248735418"/>
      <w:r w:rsidRPr="003532D0">
        <w:rPr>
          <w:rFonts w:ascii="Arial" w:eastAsia="Times New Roman" w:hAnsi="Arial" w:cs="Arial"/>
          <w:b/>
        </w:rPr>
        <w:t>2.2 Trial Design &amp; Flowchart</w:t>
      </w:r>
      <w:bookmarkEnd w:id="61"/>
    </w:p>
    <w:p w14:paraId="4391E8D0"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This is a prospective, open labelled, randomised marker-based strategy (hybrid) trial design, with two arms stratified by biomarker (HLA Ab) status. Recruitment will take place in 13 renal transplant units, recruiting for 45 months with recruits followed up intensively for at least 32 months (maximum 64 months) and primary endpoint assessed by remote evaluation after approximately 43 months post-randomisation is achieved by all. The trial design is represented in the flow diagram in section 2.3, showing the number of patients anticipated to be in each group by the end of the trial, based on sample size calculations, consent rates, eligibility and estimated fall-out. Using the flow diagram (top-to-bottom) as a guide: recipients of cross-match negative transplants aged 18-75, &gt; 1 year post-transplant with an eGFR ≥ 30 will consent to the screening/treatment process. The first stratification will result from blood test screening for HLA Ab. Approximately 35% will be HLA positive, with ~65% negative. The HLA Ab+ patients will be further screened with single antigen beads to determine whether </w:t>
      </w:r>
      <w:r w:rsidRPr="003532D0">
        <w:rPr>
          <w:rFonts w:ascii="Arial" w:eastAsia="Times New Roman" w:hAnsi="Arial" w:cs="Arial"/>
          <w:bCs/>
          <w:sz w:val="20"/>
          <w:szCs w:val="20"/>
        </w:rPr>
        <w:lastRenderedPageBreak/>
        <w:t>DSA are present (~1/6 DSA and 5/6 non-DSA). Thus, biomarker stratification leads to three groups (DSA+, non-DSA+ and HLA Ab-neg). The second stratification will be based on current immunosuppression, to ensure balanced numbers already on Tac or MMF in each group. The final stratification will be by site. HLA Ab positive patients will be randomized 1:1 into either Blinded Standard Care or Unblinded Biomarker led-care.  Patients in the former (groups A1 &amp; A2 in the flow chart in 2.3) will be blind to their biomarker status and will remain on baseline immunotherapy, whereas patients in the latter (groups B1 and B2 in the flow chart) will know their HLA Ab status and will be offered “treatment”. HLA Ab-negative patients will remain on their existing immunotherapy and randomized 1:1 into either Blinded (group C) or Unblinded groups (D), with only the latter knowing their HLA Ab status. Both these groups will receive regular Ab status monitoring for the first 3 years. Those patients who become positive during subsequent screening rounds (~10% per year) will be moved to the appropriate HLA Ab positive groups (DSA+ or non-DSA+) for final data analysis. All patients in group D found to be positive on second or subsequent rounds will be offered the same “treatment” as those patients who were positive in the first screening round, and be intensively followed up for an additional 32 months from the time they become positive. Thus the maximum amount of time any single patient may remain in intensive follow up is 64 months</w:t>
      </w:r>
      <w:r w:rsidRPr="003532D0">
        <w:rPr>
          <w:rFonts w:ascii="Arial" w:eastAsia="Times New Roman" w:hAnsi="Arial" w:cs="Arial"/>
          <w:bCs/>
          <w:sz w:val="20"/>
          <w:szCs w:val="20"/>
          <w:vertAlign w:val="superscript"/>
        </w:rPr>
        <w:footnoteReference w:id="2"/>
      </w:r>
      <w:r w:rsidRPr="003532D0">
        <w:rPr>
          <w:rFonts w:ascii="Arial" w:eastAsia="Times New Roman" w:hAnsi="Arial" w:cs="Arial"/>
          <w:bCs/>
          <w:sz w:val="20"/>
          <w:szCs w:val="20"/>
        </w:rPr>
        <w:t>. New patients will be recruited to the study at each successive screening round.</w:t>
      </w:r>
    </w:p>
    <w:p w14:paraId="4F9D593D"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627565A8" w14:textId="77777777" w:rsidR="003532D0" w:rsidRPr="003532D0" w:rsidRDefault="003532D0" w:rsidP="003532D0">
      <w:pPr>
        <w:spacing w:before="120" w:after="120" w:line="240" w:lineRule="auto"/>
        <w:contextualSpacing/>
        <w:rPr>
          <w:rFonts w:ascii="Arial" w:eastAsia="Times New Roman" w:hAnsi="Arial" w:cs="Arial"/>
          <w:bCs/>
          <w:sz w:val="20"/>
          <w:szCs w:val="20"/>
        </w:rPr>
        <w:sectPr w:rsidR="003532D0" w:rsidRPr="003532D0" w:rsidSect="003532D0">
          <w:headerReference w:type="default" r:id="rId12"/>
          <w:footerReference w:type="default" r:id="rId13"/>
          <w:pgSz w:w="11899" w:h="16838"/>
          <w:pgMar w:top="1440" w:right="1800" w:bottom="1440" w:left="1800" w:header="720" w:footer="720" w:gutter="0"/>
          <w:cols w:space="720"/>
        </w:sectPr>
      </w:pPr>
    </w:p>
    <w:p w14:paraId="4CC9B878" w14:textId="77777777" w:rsidR="003532D0" w:rsidRPr="003532D0" w:rsidRDefault="003532D0" w:rsidP="003532D0">
      <w:pPr>
        <w:spacing w:before="240" w:after="60" w:line="240" w:lineRule="auto"/>
        <w:ind w:left="1440"/>
        <w:contextualSpacing/>
        <w:outlineLvl w:val="4"/>
        <w:rPr>
          <w:rFonts w:ascii="Arial" w:eastAsia="Times New Roman" w:hAnsi="Arial" w:cs="Arial"/>
          <w:b/>
          <w:iCs/>
          <w:sz w:val="20"/>
          <w:szCs w:val="20"/>
        </w:rPr>
      </w:pPr>
      <w:bookmarkStart w:id="62" w:name="_Toc248735419"/>
      <w:r w:rsidRPr="003532D0">
        <w:rPr>
          <w:rFonts w:ascii="Arial" w:eastAsia="Times New Roman" w:hAnsi="Arial" w:cs="Arial"/>
          <w:b/>
          <w:iCs/>
          <w:sz w:val="20"/>
          <w:szCs w:val="20"/>
        </w:rPr>
        <w:lastRenderedPageBreak/>
        <w:t>2.2.1 Table of events - Summary of study procedures</w:t>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32"/>
        <w:gridCol w:w="1457"/>
        <w:gridCol w:w="850"/>
        <w:gridCol w:w="851"/>
        <w:gridCol w:w="851"/>
        <w:gridCol w:w="851"/>
        <w:gridCol w:w="851"/>
        <w:gridCol w:w="851"/>
        <w:gridCol w:w="851"/>
        <w:gridCol w:w="851"/>
        <w:gridCol w:w="851"/>
        <w:gridCol w:w="68"/>
        <w:gridCol w:w="796"/>
        <w:gridCol w:w="54"/>
        <w:gridCol w:w="713"/>
        <w:gridCol w:w="709"/>
      </w:tblGrid>
      <w:tr w:rsidR="003532D0" w:rsidRPr="003532D0" w14:paraId="612D7398" w14:textId="77777777" w:rsidTr="004E4AE4">
        <w:trPr>
          <w:trHeight w:hRule="exact" w:val="397"/>
          <w:jc w:val="center"/>
        </w:trPr>
        <w:tc>
          <w:tcPr>
            <w:tcW w:w="2432" w:type="dxa"/>
            <w:vMerge w:val="restart"/>
            <w:tcBorders>
              <w:top w:val="single" w:sz="4" w:space="0" w:color="auto"/>
              <w:left w:val="single" w:sz="4" w:space="0" w:color="auto"/>
              <w:right w:val="single" w:sz="4" w:space="0" w:color="auto"/>
            </w:tcBorders>
            <w:shd w:val="clear" w:color="auto" w:fill="F3F3F3"/>
            <w:vAlign w:val="center"/>
          </w:tcPr>
          <w:p w14:paraId="71B6B6A5"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Phase</w:t>
            </w:r>
          </w:p>
        </w:tc>
        <w:tc>
          <w:tcPr>
            <w:tcW w:w="1457" w:type="dxa"/>
            <w:vMerge w:val="restart"/>
            <w:tcBorders>
              <w:top w:val="single" w:sz="4" w:space="0" w:color="auto"/>
              <w:left w:val="single" w:sz="4" w:space="0" w:color="auto"/>
              <w:right w:val="single" w:sz="4" w:space="0" w:color="auto"/>
            </w:tcBorders>
            <w:shd w:val="clear" w:color="auto" w:fill="F3F3F3"/>
            <w:vAlign w:val="center"/>
          </w:tcPr>
          <w:p w14:paraId="0989DD18"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Peri-Randomization</w:t>
            </w:r>
          </w:p>
        </w:tc>
        <w:tc>
          <w:tcPr>
            <w:tcW w:w="8576" w:type="dxa"/>
            <w:gridSpan w:val="12"/>
            <w:tcBorders>
              <w:top w:val="single" w:sz="4" w:space="0" w:color="auto"/>
              <w:left w:val="single" w:sz="4" w:space="0" w:color="auto"/>
              <w:bottom w:val="single" w:sz="4" w:space="0" w:color="auto"/>
              <w:right w:val="nil"/>
            </w:tcBorders>
            <w:shd w:val="clear" w:color="auto" w:fill="F3F3F3"/>
            <w:vAlign w:val="center"/>
          </w:tcPr>
          <w:p w14:paraId="08F38CA8"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Post-Randomization</w:t>
            </w:r>
          </w:p>
        </w:tc>
        <w:tc>
          <w:tcPr>
            <w:tcW w:w="1422" w:type="dxa"/>
            <w:gridSpan w:val="2"/>
            <w:tcBorders>
              <w:top w:val="single" w:sz="4" w:space="0" w:color="auto"/>
              <w:left w:val="nil"/>
              <w:bottom w:val="single" w:sz="4" w:space="0" w:color="auto"/>
              <w:right w:val="single" w:sz="4" w:space="0" w:color="auto"/>
            </w:tcBorders>
            <w:shd w:val="clear" w:color="auto" w:fill="F3F3F3"/>
          </w:tcPr>
          <w:p w14:paraId="0267BF95"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r>
      <w:tr w:rsidR="003532D0" w:rsidRPr="003532D0" w14:paraId="094A2418" w14:textId="77777777" w:rsidTr="004E4AE4">
        <w:trPr>
          <w:trHeight w:hRule="exact" w:val="747"/>
          <w:jc w:val="center"/>
        </w:trPr>
        <w:tc>
          <w:tcPr>
            <w:tcW w:w="2432" w:type="dxa"/>
            <w:vMerge/>
            <w:tcBorders>
              <w:left w:val="single" w:sz="4" w:space="0" w:color="auto"/>
              <w:bottom w:val="double" w:sz="4" w:space="0" w:color="auto"/>
              <w:right w:val="single" w:sz="4" w:space="0" w:color="auto"/>
            </w:tcBorders>
            <w:shd w:val="clear" w:color="auto" w:fill="F3F3F3"/>
            <w:vAlign w:val="center"/>
          </w:tcPr>
          <w:p w14:paraId="27B87E77"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1457" w:type="dxa"/>
            <w:vMerge/>
            <w:tcBorders>
              <w:left w:val="single" w:sz="4" w:space="0" w:color="auto"/>
              <w:bottom w:val="double" w:sz="4" w:space="0" w:color="auto"/>
              <w:right w:val="single" w:sz="4" w:space="0" w:color="auto"/>
            </w:tcBorders>
            <w:shd w:val="clear" w:color="auto" w:fill="F3F3F3"/>
            <w:vAlign w:val="center"/>
          </w:tcPr>
          <w:p w14:paraId="6BD86974"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5105" w:type="dxa"/>
            <w:gridSpan w:val="6"/>
            <w:tcBorders>
              <w:top w:val="single" w:sz="4" w:space="0" w:color="auto"/>
              <w:left w:val="single" w:sz="4" w:space="0" w:color="auto"/>
              <w:bottom w:val="double" w:sz="4" w:space="0" w:color="auto"/>
              <w:right w:val="single" w:sz="4" w:space="0" w:color="auto"/>
            </w:tcBorders>
            <w:shd w:val="clear" w:color="auto" w:fill="F3F3F3"/>
          </w:tcPr>
          <w:p w14:paraId="68527941"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Unblinded HLA Ab+ groups – Approximate times of assessment (+/- 1 week). Once stabilised, go to month 8 assessment</w:t>
            </w:r>
          </w:p>
        </w:tc>
        <w:tc>
          <w:tcPr>
            <w:tcW w:w="4893" w:type="dxa"/>
            <w:gridSpan w:val="8"/>
            <w:tcBorders>
              <w:top w:val="single" w:sz="4" w:space="0" w:color="auto"/>
              <w:left w:val="single" w:sz="4" w:space="0" w:color="auto"/>
              <w:bottom w:val="double" w:sz="4" w:space="0" w:color="auto"/>
              <w:right w:val="single" w:sz="4" w:space="0" w:color="auto"/>
            </w:tcBorders>
            <w:shd w:val="clear" w:color="auto" w:fill="F3F3F3"/>
          </w:tcPr>
          <w:p w14:paraId="3F02A507"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 xml:space="preserve">All Groups – Approximate times of assessment </w:t>
            </w:r>
          </w:p>
          <w:p w14:paraId="6381E564"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(+/- 3 months)</w:t>
            </w:r>
          </w:p>
        </w:tc>
      </w:tr>
      <w:tr w:rsidR="003532D0" w:rsidRPr="003532D0" w14:paraId="7AD90BC7" w14:textId="77777777" w:rsidTr="004E4AE4">
        <w:trPr>
          <w:cantSplit/>
          <w:trHeight w:hRule="exact" w:val="567"/>
          <w:jc w:val="center"/>
        </w:trPr>
        <w:tc>
          <w:tcPr>
            <w:tcW w:w="2432" w:type="dxa"/>
            <w:tcBorders>
              <w:top w:val="double" w:sz="4" w:space="0" w:color="auto"/>
              <w:left w:val="single" w:sz="4" w:space="0" w:color="auto"/>
              <w:bottom w:val="single" w:sz="4" w:space="0" w:color="auto"/>
              <w:right w:val="single" w:sz="4" w:space="0" w:color="auto"/>
            </w:tcBorders>
            <w:shd w:val="clear" w:color="auto" w:fill="E0E0E0"/>
            <w:vAlign w:val="center"/>
          </w:tcPr>
          <w:p w14:paraId="7C575C5F"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Study Week/month</w:t>
            </w:r>
          </w:p>
        </w:tc>
        <w:tc>
          <w:tcPr>
            <w:tcW w:w="1457" w:type="dxa"/>
            <w:tcBorders>
              <w:top w:val="double" w:sz="4" w:space="0" w:color="auto"/>
              <w:left w:val="single" w:sz="4" w:space="0" w:color="auto"/>
              <w:bottom w:val="single" w:sz="4" w:space="0" w:color="auto"/>
              <w:right w:val="single" w:sz="4" w:space="0" w:color="auto"/>
            </w:tcBorders>
            <w:shd w:val="clear" w:color="auto" w:fill="D9D9D9"/>
            <w:vAlign w:val="center"/>
          </w:tcPr>
          <w:p w14:paraId="3E7F966F"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Day -56 to 0</w:t>
            </w:r>
          </w:p>
        </w:tc>
        <w:tc>
          <w:tcPr>
            <w:tcW w:w="850" w:type="dxa"/>
            <w:tcBorders>
              <w:top w:val="double" w:sz="4" w:space="0" w:color="auto"/>
              <w:left w:val="single" w:sz="4" w:space="0" w:color="auto"/>
              <w:bottom w:val="single" w:sz="4" w:space="0" w:color="auto"/>
              <w:right w:val="single" w:sz="4" w:space="0" w:color="auto"/>
            </w:tcBorders>
            <w:shd w:val="clear" w:color="auto" w:fill="D9D9D9"/>
            <w:vAlign w:val="center"/>
          </w:tcPr>
          <w:p w14:paraId="3FBAE5C8"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Wk 2</w:t>
            </w:r>
          </w:p>
        </w:tc>
        <w:tc>
          <w:tcPr>
            <w:tcW w:w="851" w:type="dxa"/>
            <w:tcBorders>
              <w:top w:val="double" w:sz="4" w:space="0" w:color="auto"/>
              <w:left w:val="single" w:sz="4" w:space="0" w:color="auto"/>
              <w:bottom w:val="single" w:sz="4" w:space="0" w:color="auto"/>
              <w:right w:val="single" w:sz="4" w:space="0" w:color="auto"/>
            </w:tcBorders>
            <w:shd w:val="clear" w:color="auto" w:fill="D9D9D9"/>
            <w:vAlign w:val="center"/>
          </w:tcPr>
          <w:p w14:paraId="000E121C"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Wk 4</w:t>
            </w:r>
          </w:p>
        </w:tc>
        <w:tc>
          <w:tcPr>
            <w:tcW w:w="851" w:type="dxa"/>
            <w:tcBorders>
              <w:top w:val="double" w:sz="4" w:space="0" w:color="auto"/>
              <w:left w:val="single" w:sz="4" w:space="0" w:color="auto"/>
              <w:bottom w:val="single" w:sz="4" w:space="0" w:color="auto"/>
              <w:right w:val="single" w:sz="4" w:space="0" w:color="auto"/>
            </w:tcBorders>
            <w:shd w:val="clear" w:color="auto" w:fill="D9D9D9"/>
            <w:vAlign w:val="center"/>
          </w:tcPr>
          <w:p w14:paraId="36D97797"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Wk 6</w:t>
            </w:r>
          </w:p>
        </w:tc>
        <w:tc>
          <w:tcPr>
            <w:tcW w:w="851" w:type="dxa"/>
            <w:tcBorders>
              <w:top w:val="double" w:sz="4" w:space="0" w:color="auto"/>
              <w:left w:val="single" w:sz="4" w:space="0" w:color="auto"/>
              <w:bottom w:val="single" w:sz="4" w:space="0" w:color="auto"/>
              <w:right w:val="single" w:sz="4" w:space="0" w:color="auto"/>
            </w:tcBorders>
            <w:shd w:val="clear" w:color="auto" w:fill="D9D9D9"/>
            <w:vAlign w:val="center"/>
          </w:tcPr>
          <w:p w14:paraId="4FCDB745"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Wk 8</w:t>
            </w:r>
          </w:p>
        </w:tc>
        <w:tc>
          <w:tcPr>
            <w:tcW w:w="851" w:type="dxa"/>
            <w:tcBorders>
              <w:top w:val="double" w:sz="4" w:space="0" w:color="auto"/>
              <w:left w:val="single" w:sz="4" w:space="0" w:color="auto"/>
              <w:bottom w:val="single" w:sz="4" w:space="0" w:color="auto"/>
              <w:right w:val="single" w:sz="4" w:space="0" w:color="auto"/>
            </w:tcBorders>
            <w:shd w:val="clear" w:color="auto" w:fill="D9D9D9"/>
            <w:vAlign w:val="center"/>
          </w:tcPr>
          <w:p w14:paraId="21FCAA42"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Wk 10</w:t>
            </w:r>
          </w:p>
        </w:tc>
        <w:tc>
          <w:tcPr>
            <w:tcW w:w="851" w:type="dxa"/>
            <w:tcBorders>
              <w:top w:val="double" w:sz="4" w:space="0" w:color="auto"/>
              <w:left w:val="single" w:sz="4" w:space="0" w:color="auto"/>
              <w:bottom w:val="single" w:sz="4" w:space="0" w:color="auto"/>
              <w:right w:val="single" w:sz="4" w:space="0" w:color="auto"/>
            </w:tcBorders>
            <w:shd w:val="clear" w:color="auto" w:fill="D9D9D9"/>
            <w:vAlign w:val="center"/>
          </w:tcPr>
          <w:p w14:paraId="751C77CC"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Wk 12</w:t>
            </w:r>
          </w:p>
        </w:tc>
        <w:tc>
          <w:tcPr>
            <w:tcW w:w="851" w:type="dxa"/>
            <w:tcBorders>
              <w:top w:val="double" w:sz="4" w:space="0" w:color="auto"/>
              <w:left w:val="single" w:sz="4" w:space="0" w:color="auto"/>
              <w:bottom w:val="nil"/>
              <w:right w:val="single" w:sz="4" w:space="0" w:color="auto"/>
            </w:tcBorders>
            <w:shd w:val="clear" w:color="auto" w:fill="D9D9D9"/>
            <w:vAlign w:val="center"/>
          </w:tcPr>
          <w:p w14:paraId="602CB46F"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 xml:space="preserve">Month </w:t>
            </w:r>
          </w:p>
          <w:p w14:paraId="2E12F2BF"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8</w:t>
            </w:r>
          </w:p>
        </w:tc>
        <w:tc>
          <w:tcPr>
            <w:tcW w:w="851" w:type="dxa"/>
            <w:tcBorders>
              <w:top w:val="double" w:sz="4" w:space="0" w:color="auto"/>
              <w:left w:val="single" w:sz="4" w:space="0" w:color="auto"/>
              <w:bottom w:val="nil"/>
              <w:right w:val="single" w:sz="4" w:space="0" w:color="auto"/>
            </w:tcBorders>
            <w:shd w:val="clear" w:color="auto" w:fill="D9D9D9"/>
            <w:vAlign w:val="center"/>
          </w:tcPr>
          <w:p w14:paraId="27F75CDC"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Month 16</w:t>
            </w:r>
          </w:p>
        </w:tc>
        <w:tc>
          <w:tcPr>
            <w:tcW w:w="919" w:type="dxa"/>
            <w:gridSpan w:val="2"/>
            <w:tcBorders>
              <w:top w:val="double" w:sz="4" w:space="0" w:color="auto"/>
              <w:left w:val="single" w:sz="4" w:space="0" w:color="auto"/>
              <w:bottom w:val="single" w:sz="4" w:space="0" w:color="auto"/>
              <w:right w:val="single" w:sz="4" w:space="0" w:color="auto"/>
            </w:tcBorders>
            <w:shd w:val="clear" w:color="auto" w:fill="D9D9D9"/>
            <w:vAlign w:val="center"/>
          </w:tcPr>
          <w:p w14:paraId="57B224BC"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 xml:space="preserve">Month </w:t>
            </w:r>
          </w:p>
          <w:p w14:paraId="68381EB4"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24</w:t>
            </w:r>
          </w:p>
        </w:tc>
        <w:tc>
          <w:tcPr>
            <w:tcW w:w="850" w:type="dxa"/>
            <w:gridSpan w:val="2"/>
            <w:tcBorders>
              <w:top w:val="double" w:sz="4" w:space="0" w:color="auto"/>
              <w:left w:val="single" w:sz="4" w:space="0" w:color="auto"/>
              <w:bottom w:val="single" w:sz="4" w:space="0" w:color="auto"/>
              <w:right w:val="single" w:sz="4" w:space="0" w:color="auto"/>
            </w:tcBorders>
            <w:shd w:val="clear" w:color="auto" w:fill="D9D9D9"/>
            <w:vAlign w:val="center"/>
          </w:tcPr>
          <w:p w14:paraId="4BFEDA7F"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Month 32</w:t>
            </w:r>
          </w:p>
        </w:tc>
        <w:tc>
          <w:tcPr>
            <w:tcW w:w="713" w:type="dxa"/>
            <w:tcBorders>
              <w:top w:val="double" w:sz="4" w:space="0" w:color="auto"/>
              <w:left w:val="single" w:sz="4" w:space="0" w:color="auto"/>
              <w:bottom w:val="single" w:sz="4" w:space="0" w:color="auto"/>
              <w:right w:val="single" w:sz="4" w:space="0" w:color="auto"/>
            </w:tcBorders>
            <w:shd w:val="clear" w:color="auto" w:fill="D9D9D9"/>
            <w:vAlign w:val="center"/>
          </w:tcPr>
          <w:p w14:paraId="0B1124B0"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 43 months</w:t>
            </w:r>
          </w:p>
        </w:tc>
        <w:tc>
          <w:tcPr>
            <w:tcW w:w="709" w:type="dxa"/>
            <w:tcBorders>
              <w:top w:val="double" w:sz="4" w:space="0" w:color="auto"/>
              <w:left w:val="single" w:sz="4" w:space="0" w:color="auto"/>
              <w:bottom w:val="single" w:sz="4" w:space="0" w:color="auto"/>
              <w:right w:val="single" w:sz="4" w:space="0" w:color="auto"/>
            </w:tcBorders>
            <w:shd w:val="clear" w:color="auto" w:fill="D9D9D9"/>
            <w:vAlign w:val="center"/>
          </w:tcPr>
          <w:p w14:paraId="2BB932A7"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Month 46-92</w:t>
            </w:r>
          </w:p>
        </w:tc>
      </w:tr>
      <w:tr w:rsidR="003532D0" w:rsidRPr="003532D0" w14:paraId="029A4633" w14:textId="77777777" w:rsidTr="004E4AE4">
        <w:trPr>
          <w:cantSplit/>
          <w:trHeight w:hRule="exact" w:val="39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73A5CCB2"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Informed consent</w:t>
            </w:r>
          </w:p>
        </w:tc>
        <w:tc>
          <w:tcPr>
            <w:tcW w:w="1457" w:type="dxa"/>
            <w:tcBorders>
              <w:top w:val="single" w:sz="4" w:space="0" w:color="auto"/>
              <w:left w:val="single" w:sz="4" w:space="0" w:color="auto"/>
              <w:bottom w:val="single" w:sz="4" w:space="0" w:color="auto"/>
              <w:right w:val="single" w:sz="4" w:space="0" w:color="auto"/>
            </w:tcBorders>
            <w:vAlign w:val="center"/>
          </w:tcPr>
          <w:p w14:paraId="3AAACF29"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14:paraId="45DA3388"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EF7C7DD"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2BB52DB"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7669923"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60DBE0A"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84055CF"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728A74F"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DA77BFB"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4D4C36CE"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FDF68F4"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13" w:type="dxa"/>
            <w:tcBorders>
              <w:top w:val="single" w:sz="4" w:space="0" w:color="auto"/>
              <w:left w:val="single" w:sz="4" w:space="0" w:color="auto"/>
              <w:bottom w:val="single" w:sz="4" w:space="0" w:color="auto"/>
              <w:right w:val="single" w:sz="4" w:space="0" w:color="auto"/>
            </w:tcBorders>
          </w:tcPr>
          <w:p w14:paraId="38CA5CF7"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709" w:type="dxa"/>
            <w:tcBorders>
              <w:top w:val="single" w:sz="4" w:space="0" w:color="auto"/>
              <w:left w:val="single" w:sz="4" w:space="0" w:color="auto"/>
              <w:bottom w:val="single" w:sz="4" w:space="0" w:color="auto"/>
              <w:right w:val="single" w:sz="4" w:space="0" w:color="auto"/>
            </w:tcBorders>
          </w:tcPr>
          <w:p w14:paraId="465D412D"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r>
      <w:tr w:rsidR="003532D0" w:rsidRPr="003532D0" w14:paraId="4CA2EEB1" w14:textId="77777777" w:rsidTr="004E4AE4">
        <w:trPr>
          <w:cantSplit/>
          <w:trHeight w:hRule="exact" w:val="56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7383C6C0"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Inclusion/Exclusion Criteria</w:t>
            </w:r>
          </w:p>
        </w:tc>
        <w:tc>
          <w:tcPr>
            <w:tcW w:w="1457" w:type="dxa"/>
            <w:tcBorders>
              <w:top w:val="single" w:sz="4" w:space="0" w:color="auto"/>
              <w:left w:val="single" w:sz="4" w:space="0" w:color="auto"/>
              <w:bottom w:val="single" w:sz="4" w:space="0" w:color="auto"/>
              <w:right w:val="single" w:sz="4" w:space="0" w:color="auto"/>
            </w:tcBorders>
            <w:vAlign w:val="center"/>
          </w:tcPr>
          <w:p w14:paraId="216CA4BF"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Arial"/>
                <w:bCs/>
                <w:sz w:val="18"/>
                <w:szCs w:val="20"/>
                <w:vertAlign w:val="superscript"/>
              </w:rPr>
              <w:footnoteReference w:id="3"/>
            </w:r>
          </w:p>
        </w:tc>
        <w:tc>
          <w:tcPr>
            <w:tcW w:w="850" w:type="dxa"/>
            <w:tcBorders>
              <w:top w:val="single" w:sz="4" w:space="0" w:color="auto"/>
              <w:left w:val="single" w:sz="4" w:space="0" w:color="auto"/>
              <w:bottom w:val="single" w:sz="4" w:space="0" w:color="auto"/>
              <w:right w:val="single" w:sz="4" w:space="0" w:color="auto"/>
            </w:tcBorders>
            <w:vAlign w:val="center"/>
          </w:tcPr>
          <w:p w14:paraId="5FF8FAA4"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DB45BD0"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B332C87"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5401B86"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76CAD68"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F4564CC"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4389CE2"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AE75B79"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28AD14D7"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3053474"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13" w:type="dxa"/>
            <w:tcBorders>
              <w:top w:val="single" w:sz="4" w:space="0" w:color="auto"/>
              <w:left w:val="single" w:sz="4" w:space="0" w:color="auto"/>
              <w:bottom w:val="single" w:sz="4" w:space="0" w:color="auto"/>
              <w:right w:val="single" w:sz="4" w:space="0" w:color="auto"/>
            </w:tcBorders>
          </w:tcPr>
          <w:p w14:paraId="49BA1065"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709" w:type="dxa"/>
            <w:tcBorders>
              <w:top w:val="single" w:sz="4" w:space="0" w:color="auto"/>
              <w:left w:val="single" w:sz="4" w:space="0" w:color="auto"/>
              <w:bottom w:val="single" w:sz="4" w:space="0" w:color="auto"/>
              <w:right w:val="single" w:sz="4" w:space="0" w:color="auto"/>
            </w:tcBorders>
          </w:tcPr>
          <w:p w14:paraId="0213CCC2"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r>
      <w:tr w:rsidR="003532D0" w:rsidRPr="003532D0" w14:paraId="11F7BA0F" w14:textId="77777777" w:rsidTr="004E4AE4">
        <w:trPr>
          <w:cantSplit/>
          <w:trHeight w:hRule="exact" w:val="56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21ABC955"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Medical History inc. Drugs</w:t>
            </w:r>
          </w:p>
        </w:tc>
        <w:tc>
          <w:tcPr>
            <w:tcW w:w="1457" w:type="dxa"/>
            <w:tcBorders>
              <w:top w:val="single" w:sz="4" w:space="0" w:color="auto"/>
              <w:left w:val="single" w:sz="4" w:space="0" w:color="auto"/>
              <w:bottom w:val="single" w:sz="4" w:space="0" w:color="auto"/>
              <w:right w:val="single" w:sz="4" w:space="0" w:color="auto"/>
            </w:tcBorders>
            <w:vAlign w:val="center"/>
          </w:tcPr>
          <w:p w14:paraId="565781DE"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Arial"/>
                <w:bCs/>
                <w:sz w:val="18"/>
                <w:szCs w:val="20"/>
                <w:vertAlign w:val="superscript"/>
              </w:rPr>
              <w:footnoteReference w:id="4"/>
            </w:r>
          </w:p>
        </w:tc>
        <w:tc>
          <w:tcPr>
            <w:tcW w:w="850" w:type="dxa"/>
            <w:tcBorders>
              <w:top w:val="single" w:sz="4" w:space="0" w:color="auto"/>
              <w:left w:val="single" w:sz="4" w:space="0" w:color="auto"/>
              <w:bottom w:val="single" w:sz="4" w:space="0" w:color="auto"/>
              <w:right w:val="single" w:sz="4" w:space="0" w:color="auto"/>
            </w:tcBorders>
            <w:vAlign w:val="center"/>
          </w:tcPr>
          <w:p w14:paraId="761E0021"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7F7F410"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E5AF03C"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1BF39B1"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014F393"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ED111B0"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5A08221"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9ACE2C3"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08842437"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06E0F7F"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13" w:type="dxa"/>
            <w:tcBorders>
              <w:top w:val="single" w:sz="4" w:space="0" w:color="auto"/>
              <w:left w:val="single" w:sz="4" w:space="0" w:color="auto"/>
              <w:bottom w:val="single" w:sz="4" w:space="0" w:color="auto"/>
              <w:right w:val="single" w:sz="4" w:space="0" w:color="auto"/>
            </w:tcBorders>
          </w:tcPr>
          <w:p w14:paraId="295559D9"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709" w:type="dxa"/>
            <w:tcBorders>
              <w:top w:val="single" w:sz="4" w:space="0" w:color="auto"/>
              <w:left w:val="single" w:sz="4" w:space="0" w:color="auto"/>
              <w:bottom w:val="single" w:sz="4" w:space="0" w:color="auto"/>
              <w:right w:val="single" w:sz="4" w:space="0" w:color="auto"/>
            </w:tcBorders>
          </w:tcPr>
          <w:p w14:paraId="4A64A416"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r>
      <w:tr w:rsidR="003532D0" w:rsidRPr="003532D0" w14:paraId="05EFC147" w14:textId="77777777" w:rsidTr="004E4AE4">
        <w:trPr>
          <w:cantSplit/>
          <w:trHeight w:hRule="exact" w:val="56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67A991A9"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Transplant / sensitisation Hx</w:t>
            </w:r>
          </w:p>
        </w:tc>
        <w:tc>
          <w:tcPr>
            <w:tcW w:w="1457" w:type="dxa"/>
            <w:tcBorders>
              <w:top w:val="single" w:sz="4" w:space="0" w:color="auto"/>
              <w:left w:val="single" w:sz="4" w:space="0" w:color="auto"/>
              <w:bottom w:val="single" w:sz="4" w:space="0" w:color="auto"/>
              <w:right w:val="single" w:sz="4" w:space="0" w:color="auto"/>
            </w:tcBorders>
            <w:vAlign w:val="center"/>
          </w:tcPr>
          <w:p w14:paraId="6F45F3C8"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14:paraId="69A6355E"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85A3EC7"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92713CA"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B2EE866"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1967DDA"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566E424"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74B3204"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ACA7D85"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753E4EC0"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2600A44"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13" w:type="dxa"/>
            <w:tcBorders>
              <w:top w:val="single" w:sz="4" w:space="0" w:color="auto"/>
              <w:left w:val="single" w:sz="4" w:space="0" w:color="auto"/>
              <w:bottom w:val="single" w:sz="4" w:space="0" w:color="auto"/>
              <w:right w:val="single" w:sz="4" w:space="0" w:color="auto"/>
            </w:tcBorders>
          </w:tcPr>
          <w:p w14:paraId="6976CFE8"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709" w:type="dxa"/>
            <w:tcBorders>
              <w:top w:val="single" w:sz="4" w:space="0" w:color="auto"/>
              <w:left w:val="single" w:sz="4" w:space="0" w:color="auto"/>
              <w:bottom w:val="single" w:sz="4" w:space="0" w:color="auto"/>
              <w:right w:val="single" w:sz="4" w:space="0" w:color="auto"/>
            </w:tcBorders>
          </w:tcPr>
          <w:p w14:paraId="0E12E534"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r>
      <w:tr w:rsidR="003532D0" w:rsidRPr="003532D0" w14:paraId="5D9C51F2" w14:textId="77777777" w:rsidTr="004E4AE4">
        <w:trPr>
          <w:cantSplit/>
          <w:trHeight w:hRule="exact" w:val="56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59D67BE9"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Registration / Demographics</w:t>
            </w:r>
          </w:p>
        </w:tc>
        <w:tc>
          <w:tcPr>
            <w:tcW w:w="1457" w:type="dxa"/>
            <w:tcBorders>
              <w:top w:val="single" w:sz="4" w:space="0" w:color="auto"/>
              <w:left w:val="single" w:sz="4" w:space="0" w:color="auto"/>
              <w:bottom w:val="single" w:sz="4" w:space="0" w:color="auto"/>
              <w:right w:val="single" w:sz="4" w:space="0" w:color="auto"/>
            </w:tcBorders>
            <w:vAlign w:val="center"/>
          </w:tcPr>
          <w:p w14:paraId="145C7F8D"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Arial"/>
                <w:bCs/>
                <w:sz w:val="18"/>
                <w:szCs w:val="20"/>
                <w:vertAlign w:val="superscript"/>
              </w:rPr>
              <w:footnoteReference w:id="5"/>
            </w:r>
          </w:p>
        </w:tc>
        <w:tc>
          <w:tcPr>
            <w:tcW w:w="850" w:type="dxa"/>
            <w:tcBorders>
              <w:top w:val="single" w:sz="4" w:space="0" w:color="auto"/>
              <w:left w:val="single" w:sz="4" w:space="0" w:color="auto"/>
              <w:bottom w:val="single" w:sz="4" w:space="0" w:color="auto"/>
              <w:right w:val="single" w:sz="4" w:space="0" w:color="auto"/>
            </w:tcBorders>
            <w:vAlign w:val="center"/>
          </w:tcPr>
          <w:p w14:paraId="3B95F8E6"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37A5DA2"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866CDAC"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AECED57"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E5A02BE"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E27E84B"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C078B11"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86EF4E7"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43B600B5"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84601D6"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13" w:type="dxa"/>
            <w:tcBorders>
              <w:top w:val="single" w:sz="4" w:space="0" w:color="auto"/>
              <w:left w:val="single" w:sz="4" w:space="0" w:color="auto"/>
              <w:bottom w:val="single" w:sz="4" w:space="0" w:color="auto"/>
              <w:right w:val="single" w:sz="4" w:space="0" w:color="auto"/>
            </w:tcBorders>
          </w:tcPr>
          <w:p w14:paraId="70C13FA9"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709" w:type="dxa"/>
            <w:tcBorders>
              <w:top w:val="single" w:sz="4" w:space="0" w:color="auto"/>
              <w:left w:val="single" w:sz="4" w:space="0" w:color="auto"/>
              <w:bottom w:val="single" w:sz="4" w:space="0" w:color="auto"/>
              <w:right w:val="single" w:sz="4" w:space="0" w:color="auto"/>
            </w:tcBorders>
          </w:tcPr>
          <w:p w14:paraId="40B43D31"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r>
      <w:tr w:rsidR="003532D0" w:rsidRPr="003532D0" w14:paraId="58F69047" w14:textId="77777777" w:rsidTr="004E4AE4">
        <w:trPr>
          <w:cantSplit/>
          <w:trHeight w:hRule="exact" w:val="39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5100A640"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Weight / BP</w:t>
            </w:r>
          </w:p>
        </w:tc>
        <w:tc>
          <w:tcPr>
            <w:tcW w:w="1457" w:type="dxa"/>
            <w:tcBorders>
              <w:top w:val="single" w:sz="4" w:space="0" w:color="auto"/>
              <w:left w:val="single" w:sz="4" w:space="0" w:color="auto"/>
              <w:bottom w:val="single" w:sz="4" w:space="0" w:color="auto"/>
              <w:right w:val="single" w:sz="4" w:space="0" w:color="auto"/>
            </w:tcBorders>
            <w:vAlign w:val="center"/>
          </w:tcPr>
          <w:p w14:paraId="20F6D053"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14:paraId="37A2C948"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B10B3C8"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ACDFDAF"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B8A107E"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AA79D85"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B52D8CC"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453F003"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032B7E22"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36928611"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E2DF7FF"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713" w:type="dxa"/>
            <w:tcBorders>
              <w:top w:val="single" w:sz="4" w:space="0" w:color="auto"/>
              <w:left w:val="single" w:sz="4" w:space="0" w:color="auto"/>
              <w:bottom w:val="single" w:sz="4" w:space="0" w:color="auto"/>
              <w:right w:val="single" w:sz="4" w:space="0" w:color="auto"/>
            </w:tcBorders>
          </w:tcPr>
          <w:p w14:paraId="348FB67F"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709" w:type="dxa"/>
            <w:tcBorders>
              <w:top w:val="single" w:sz="4" w:space="0" w:color="auto"/>
              <w:left w:val="single" w:sz="4" w:space="0" w:color="auto"/>
              <w:bottom w:val="single" w:sz="4" w:space="0" w:color="auto"/>
              <w:right w:val="single" w:sz="4" w:space="0" w:color="auto"/>
            </w:tcBorders>
          </w:tcPr>
          <w:p w14:paraId="0858FD35"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r>
      <w:tr w:rsidR="003532D0" w:rsidRPr="003532D0" w14:paraId="3FBBF74A" w14:textId="77777777" w:rsidTr="004E4AE4">
        <w:trPr>
          <w:cantSplit/>
          <w:trHeight w:hRule="exact" w:val="39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0609CC36"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Urine PCR or ACR</w:t>
            </w:r>
          </w:p>
        </w:tc>
        <w:tc>
          <w:tcPr>
            <w:tcW w:w="1457" w:type="dxa"/>
            <w:tcBorders>
              <w:top w:val="single" w:sz="4" w:space="0" w:color="auto"/>
              <w:left w:val="single" w:sz="4" w:space="0" w:color="auto"/>
              <w:bottom w:val="single" w:sz="4" w:space="0" w:color="auto"/>
              <w:right w:val="single" w:sz="4" w:space="0" w:color="auto"/>
            </w:tcBorders>
            <w:vAlign w:val="center"/>
          </w:tcPr>
          <w:p w14:paraId="40EBF3FB"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14:paraId="36FBBF26"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2E0DBE9"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76161F2"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DF754C3"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47B7A23"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0093429"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C22B926"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6B25BFBE"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2239CD2B"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E80A8E4"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713" w:type="dxa"/>
            <w:tcBorders>
              <w:top w:val="single" w:sz="4" w:space="0" w:color="auto"/>
              <w:left w:val="single" w:sz="4" w:space="0" w:color="auto"/>
              <w:bottom w:val="single" w:sz="4" w:space="0" w:color="auto"/>
              <w:right w:val="single" w:sz="4" w:space="0" w:color="auto"/>
            </w:tcBorders>
          </w:tcPr>
          <w:p w14:paraId="48DBE421"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709" w:type="dxa"/>
            <w:tcBorders>
              <w:top w:val="single" w:sz="4" w:space="0" w:color="auto"/>
              <w:left w:val="single" w:sz="4" w:space="0" w:color="auto"/>
              <w:bottom w:val="single" w:sz="4" w:space="0" w:color="auto"/>
              <w:right w:val="single" w:sz="4" w:space="0" w:color="auto"/>
            </w:tcBorders>
          </w:tcPr>
          <w:p w14:paraId="36CBB3C2"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r>
      <w:tr w:rsidR="003532D0" w:rsidRPr="003532D0" w14:paraId="7F834AB9" w14:textId="77777777" w:rsidTr="004E4AE4">
        <w:trPr>
          <w:cantSplit/>
          <w:trHeight w:hRule="exact" w:val="39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290A953F"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Haematology</w:t>
            </w:r>
            <w:r w:rsidRPr="003532D0">
              <w:rPr>
                <w:rFonts w:ascii="Arial" w:eastAsia="Times New Roman" w:hAnsi="Arial" w:cs="Times New Roman"/>
                <w:bCs/>
                <w:sz w:val="18"/>
                <w:szCs w:val="20"/>
                <w:vertAlign w:val="superscript"/>
              </w:rPr>
              <w:footnoteReference w:id="6"/>
            </w:r>
          </w:p>
        </w:tc>
        <w:tc>
          <w:tcPr>
            <w:tcW w:w="1457" w:type="dxa"/>
            <w:tcBorders>
              <w:top w:val="single" w:sz="4" w:space="0" w:color="auto"/>
              <w:left w:val="single" w:sz="4" w:space="0" w:color="auto"/>
              <w:bottom w:val="single" w:sz="4" w:space="0" w:color="auto"/>
              <w:right w:val="single" w:sz="4" w:space="0" w:color="auto"/>
            </w:tcBorders>
            <w:vAlign w:val="center"/>
          </w:tcPr>
          <w:p w14:paraId="160C50AE"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14:paraId="717FDEED"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1982162"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54458D09"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B406358"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402FEEFA"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9EFB5A7"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4C18906C"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65696762"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17B006E0"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70484E8"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713" w:type="dxa"/>
            <w:tcBorders>
              <w:top w:val="single" w:sz="4" w:space="0" w:color="auto"/>
              <w:left w:val="single" w:sz="4" w:space="0" w:color="auto"/>
              <w:bottom w:val="single" w:sz="4" w:space="0" w:color="auto"/>
              <w:right w:val="single" w:sz="4" w:space="0" w:color="auto"/>
            </w:tcBorders>
          </w:tcPr>
          <w:p w14:paraId="636BA7B3"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709" w:type="dxa"/>
            <w:tcBorders>
              <w:top w:val="single" w:sz="4" w:space="0" w:color="auto"/>
              <w:left w:val="single" w:sz="4" w:space="0" w:color="auto"/>
              <w:bottom w:val="single" w:sz="4" w:space="0" w:color="auto"/>
              <w:right w:val="single" w:sz="4" w:space="0" w:color="auto"/>
            </w:tcBorders>
          </w:tcPr>
          <w:p w14:paraId="340D5BB0"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r>
      <w:tr w:rsidR="003532D0" w:rsidRPr="003532D0" w14:paraId="186530CD" w14:textId="77777777" w:rsidTr="004E4AE4">
        <w:trPr>
          <w:cantSplit/>
          <w:trHeight w:hRule="exact" w:val="39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6AD6889A"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Biochemistry</w:t>
            </w:r>
          </w:p>
        </w:tc>
        <w:tc>
          <w:tcPr>
            <w:tcW w:w="1457" w:type="dxa"/>
            <w:tcBorders>
              <w:top w:val="single" w:sz="4" w:space="0" w:color="auto"/>
              <w:left w:val="single" w:sz="4" w:space="0" w:color="auto"/>
              <w:bottom w:val="single" w:sz="4" w:space="0" w:color="auto"/>
              <w:right w:val="single" w:sz="4" w:space="0" w:color="auto"/>
            </w:tcBorders>
            <w:vAlign w:val="center"/>
          </w:tcPr>
          <w:p w14:paraId="43435D47"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Times New Roman"/>
                <w:bCs/>
                <w:sz w:val="18"/>
                <w:szCs w:val="20"/>
                <w:vertAlign w:val="superscript"/>
              </w:rPr>
              <w:footnoteReference w:id="7"/>
            </w:r>
          </w:p>
        </w:tc>
        <w:tc>
          <w:tcPr>
            <w:tcW w:w="850" w:type="dxa"/>
            <w:tcBorders>
              <w:top w:val="single" w:sz="4" w:space="0" w:color="auto"/>
              <w:left w:val="single" w:sz="4" w:space="0" w:color="auto"/>
              <w:bottom w:val="single" w:sz="4" w:space="0" w:color="auto"/>
              <w:right w:val="single" w:sz="4" w:space="0" w:color="auto"/>
            </w:tcBorders>
            <w:vAlign w:val="center"/>
          </w:tcPr>
          <w:p w14:paraId="0A5E44D6"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D8389A0"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Times New Roman"/>
                <w:bCs/>
                <w:sz w:val="18"/>
                <w:szCs w:val="20"/>
                <w:vertAlign w:val="superscript"/>
              </w:rPr>
              <w:footnoteReference w:id="8"/>
            </w:r>
          </w:p>
        </w:tc>
        <w:tc>
          <w:tcPr>
            <w:tcW w:w="851" w:type="dxa"/>
            <w:tcBorders>
              <w:top w:val="single" w:sz="4" w:space="0" w:color="auto"/>
              <w:left w:val="single" w:sz="4" w:space="0" w:color="auto"/>
              <w:bottom w:val="single" w:sz="4" w:space="0" w:color="auto"/>
              <w:right w:val="single" w:sz="4" w:space="0" w:color="auto"/>
            </w:tcBorders>
            <w:vAlign w:val="center"/>
          </w:tcPr>
          <w:p w14:paraId="1A43AEB2"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191A7E6"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Arial"/>
                <w:bCs/>
                <w:sz w:val="18"/>
                <w:szCs w:val="20"/>
                <w:vertAlign w:val="superscript"/>
              </w:rPr>
              <w:t>8</w:t>
            </w:r>
          </w:p>
        </w:tc>
        <w:tc>
          <w:tcPr>
            <w:tcW w:w="851" w:type="dxa"/>
            <w:tcBorders>
              <w:top w:val="single" w:sz="4" w:space="0" w:color="auto"/>
              <w:left w:val="single" w:sz="4" w:space="0" w:color="auto"/>
              <w:bottom w:val="single" w:sz="4" w:space="0" w:color="auto"/>
              <w:right w:val="single" w:sz="4" w:space="0" w:color="auto"/>
            </w:tcBorders>
            <w:vAlign w:val="center"/>
          </w:tcPr>
          <w:p w14:paraId="3BE2F61A"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D080B3B"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Arial"/>
                <w:bCs/>
                <w:sz w:val="18"/>
                <w:szCs w:val="20"/>
                <w:vertAlign w:val="superscript"/>
              </w:rPr>
              <w:t>8</w:t>
            </w:r>
          </w:p>
        </w:tc>
        <w:tc>
          <w:tcPr>
            <w:tcW w:w="851" w:type="dxa"/>
            <w:tcBorders>
              <w:top w:val="single" w:sz="4" w:space="0" w:color="auto"/>
              <w:left w:val="single" w:sz="4" w:space="0" w:color="auto"/>
              <w:bottom w:val="single" w:sz="4" w:space="0" w:color="auto"/>
              <w:right w:val="single" w:sz="4" w:space="0" w:color="auto"/>
            </w:tcBorders>
            <w:vAlign w:val="center"/>
          </w:tcPr>
          <w:p w14:paraId="08A38A5D"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Times New Roman"/>
                <w:bCs/>
                <w:sz w:val="18"/>
                <w:szCs w:val="20"/>
                <w:vertAlign w:val="superscript"/>
              </w:rPr>
              <w:footnoteReference w:id="9"/>
            </w:r>
          </w:p>
        </w:tc>
        <w:tc>
          <w:tcPr>
            <w:tcW w:w="851" w:type="dxa"/>
            <w:tcBorders>
              <w:top w:val="single" w:sz="4" w:space="0" w:color="auto"/>
              <w:left w:val="single" w:sz="4" w:space="0" w:color="auto"/>
              <w:bottom w:val="single" w:sz="4" w:space="0" w:color="auto"/>
              <w:right w:val="single" w:sz="4" w:space="0" w:color="auto"/>
            </w:tcBorders>
            <w:vAlign w:val="center"/>
          </w:tcPr>
          <w:p w14:paraId="04FFC08B"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Times New Roman"/>
                <w:bCs/>
                <w:sz w:val="18"/>
                <w:szCs w:val="20"/>
                <w:vertAlign w:val="superscript"/>
              </w:rPr>
              <w:footnoteReference w:id="10"/>
            </w: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628A5528"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Arial"/>
                <w:bCs/>
                <w:sz w:val="18"/>
                <w:szCs w:val="20"/>
                <w:vertAlign w:val="superscript"/>
              </w:rPr>
              <w:t>9</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FF1D65D"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Arial"/>
                <w:bCs/>
                <w:sz w:val="18"/>
                <w:szCs w:val="20"/>
                <w:vertAlign w:val="superscript"/>
              </w:rPr>
              <w:t>10</w:t>
            </w:r>
          </w:p>
        </w:tc>
        <w:tc>
          <w:tcPr>
            <w:tcW w:w="713" w:type="dxa"/>
            <w:tcBorders>
              <w:top w:val="single" w:sz="4" w:space="0" w:color="auto"/>
              <w:left w:val="single" w:sz="4" w:space="0" w:color="auto"/>
              <w:bottom w:val="single" w:sz="4" w:space="0" w:color="auto"/>
              <w:right w:val="single" w:sz="4" w:space="0" w:color="auto"/>
            </w:tcBorders>
          </w:tcPr>
          <w:p w14:paraId="2BB9B123"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709" w:type="dxa"/>
            <w:tcBorders>
              <w:top w:val="single" w:sz="4" w:space="0" w:color="auto"/>
              <w:left w:val="single" w:sz="4" w:space="0" w:color="auto"/>
              <w:bottom w:val="single" w:sz="4" w:space="0" w:color="auto"/>
              <w:right w:val="single" w:sz="4" w:space="0" w:color="auto"/>
            </w:tcBorders>
          </w:tcPr>
          <w:p w14:paraId="0DCD4F3B"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r>
      <w:tr w:rsidR="003532D0" w:rsidRPr="003532D0" w14:paraId="19C4E084" w14:textId="77777777" w:rsidTr="004E4AE4">
        <w:trPr>
          <w:cantSplit/>
          <w:trHeight w:hRule="exact" w:val="56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7D0DDBF2"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[Calcineurin inhibitor] trough</w:t>
            </w:r>
          </w:p>
        </w:tc>
        <w:tc>
          <w:tcPr>
            <w:tcW w:w="1457" w:type="dxa"/>
            <w:tcBorders>
              <w:top w:val="single" w:sz="4" w:space="0" w:color="auto"/>
              <w:left w:val="single" w:sz="4" w:space="0" w:color="auto"/>
              <w:bottom w:val="single" w:sz="4" w:space="0" w:color="auto"/>
              <w:right w:val="single" w:sz="4" w:space="0" w:color="auto"/>
            </w:tcBorders>
            <w:vAlign w:val="center"/>
          </w:tcPr>
          <w:p w14:paraId="17BBCAF4"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14:paraId="1A65A5D2"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Arial"/>
                <w:bCs/>
                <w:sz w:val="18"/>
                <w:szCs w:val="20"/>
                <w:vertAlign w:val="superscript"/>
              </w:rPr>
              <w:footnoteReference w:id="11"/>
            </w:r>
          </w:p>
        </w:tc>
        <w:tc>
          <w:tcPr>
            <w:tcW w:w="851" w:type="dxa"/>
            <w:tcBorders>
              <w:top w:val="single" w:sz="4" w:space="0" w:color="auto"/>
              <w:left w:val="single" w:sz="4" w:space="0" w:color="auto"/>
              <w:bottom w:val="single" w:sz="4" w:space="0" w:color="auto"/>
              <w:right w:val="single" w:sz="4" w:space="0" w:color="auto"/>
            </w:tcBorders>
            <w:vAlign w:val="center"/>
          </w:tcPr>
          <w:p w14:paraId="48971F16"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689078DD"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0979A961"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1B63A1B7"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583FBB27"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1FFBA08F"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134B5C2D"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4D1BF61A"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4BD0F6C"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713" w:type="dxa"/>
            <w:tcBorders>
              <w:top w:val="single" w:sz="4" w:space="0" w:color="auto"/>
              <w:left w:val="single" w:sz="4" w:space="0" w:color="auto"/>
              <w:bottom w:val="single" w:sz="4" w:space="0" w:color="auto"/>
              <w:right w:val="single" w:sz="4" w:space="0" w:color="auto"/>
            </w:tcBorders>
          </w:tcPr>
          <w:p w14:paraId="2405831E"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709" w:type="dxa"/>
            <w:tcBorders>
              <w:top w:val="single" w:sz="4" w:space="0" w:color="auto"/>
              <w:left w:val="single" w:sz="4" w:space="0" w:color="auto"/>
              <w:bottom w:val="single" w:sz="4" w:space="0" w:color="auto"/>
              <w:right w:val="single" w:sz="4" w:space="0" w:color="auto"/>
            </w:tcBorders>
          </w:tcPr>
          <w:p w14:paraId="0283EA6C"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r>
      <w:tr w:rsidR="003532D0" w:rsidRPr="003532D0" w14:paraId="0F3EA9AA" w14:textId="77777777" w:rsidTr="004E4AE4">
        <w:trPr>
          <w:cantSplit/>
          <w:trHeight w:hRule="exact" w:val="56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30E5F309"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lastRenderedPageBreak/>
              <w:t xml:space="preserve">Total immunoglobulin </w:t>
            </w:r>
          </w:p>
          <w:p w14:paraId="00A96AE7"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(or IgG, IgM +/- IgA)</w:t>
            </w:r>
          </w:p>
        </w:tc>
        <w:tc>
          <w:tcPr>
            <w:tcW w:w="1457" w:type="dxa"/>
            <w:tcBorders>
              <w:top w:val="single" w:sz="4" w:space="0" w:color="auto"/>
              <w:left w:val="single" w:sz="4" w:space="0" w:color="auto"/>
              <w:bottom w:val="single" w:sz="4" w:space="0" w:color="auto"/>
              <w:right w:val="single" w:sz="4" w:space="0" w:color="auto"/>
            </w:tcBorders>
            <w:vAlign w:val="center"/>
          </w:tcPr>
          <w:p w14:paraId="7E76D018"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14:paraId="2F1A210E"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872F087"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C8227BD"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83B3614"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29694DB"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5D94524"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B3E36AA"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CC407A0"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1765664F"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2812AEBB"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767" w:type="dxa"/>
            <w:gridSpan w:val="2"/>
            <w:tcBorders>
              <w:top w:val="single" w:sz="4" w:space="0" w:color="auto"/>
              <w:left w:val="single" w:sz="4" w:space="0" w:color="auto"/>
              <w:bottom w:val="single" w:sz="4" w:space="0" w:color="auto"/>
              <w:right w:val="single" w:sz="4" w:space="0" w:color="auto"/>
            </w:tcBorders>
          </w:tcPr>
          <w:p w14:paraId="6FC60117"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09" w:type="dxa"/>
            <w:tcBorders>
              <w:top w:val="single" w:sz="4" w:space="0" w:color="auto"/>
              <w:left w:val="single" w:sz="4" w:space="0" w:color="auto"/>
              <w:bottom w:val="single" w:sz="4" w:space="0" w:color="auto"/>
              <w:right w:val="single" w:sz="4" w:space="0" w:color="auto"/>
            </w:tcBorders>
          </w:tcPr>
          <w:p w14:paraId="1A24C24C"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r>
      <w:tr w:rsidR="003532D0" w:rsidRPr="003532D0" w14:paraId="2A094C4A" w14:textId="77777777" w:rsidTr="004E4AE4">
        <w:trPr>
          <w:cantSplit/>
          <w:trHeight w:hRule="exact" w:val="56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71FFA03E"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HLA antibody screening</w:t>
            </w:r>
          </w:p>
        </w:tc>
        <w:tc>
          <w:tcPr>
            <w:tcW w:w="1457" w:type="dxa"/>
            <w:tcBorders>
              <w:top w:val="single" w:sz="4" w:space="0" w:color="auto"/>
              <w:left w:val="single" w:sz="4" w:space="0" w:color="auto"/>
              <w:bottom w:val="single" w:sz="4" w:space="0" w:color="auto"/>
              <w:right w:val="single" w:sz="4" w:space="0" w:color="auto"/>
            </w:tcBorders>
            <w:vAlign w:val="center"/>
          </w:tcPr>
          <w:p w14:paraId="76B36148"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Arial"/>
                <w:bCs/>
                <w:sz w:val="18"/>
                <w:szCs w:val="20"/>
                <w:vertAlign w:val="superscript"/>
              </w:rPr>
              <w:footnoteReference w:id="12"/>
            </w:r>
          </w:p>
        </w:tc>
        <w:tc>
          <w:tcPr>
            <w:tcW w:w="850" w:type="dxa"/>
            <w:tcBorders>
              <w:top w:val="single" w:sz="4" w:space="0" w:color="auto"/>
              <w:left w:val="single" w:sz="4" w:space="0" w:color="auto"/>
              <w:bottom w:val="single" w:sz="4" w:space="0" w:color="auto"/>
              <w:right w:val="single" w:sz="4" w:space="0" w:color="auto"/>
            </w:tcBorders>
            <w:vAlign w:val="center"/>
          </w:tcPr>
          <w:p w14:paraId="5AA8039C"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A9F6CA2"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1177172"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B680027"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FDA9490"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F821B39"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D5B3B69"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Arial"/>
                <w:bCs/>
                <w:sz w:val="18"/>
                <w:szCs w:val="20"/>
                <w:vertAlign w:val="superscript"/>
              </w:rPr>
              <w:t>12</w:t>
            </w:r>
          </w:p>
        </w:tc>
        <w:tc>
          <w:tcPr>
            <w:tcW w:w="851" w:type="dxa"/>
            <w:tcBorders>
              <w:top w:val="single" w:sz="4" w:space="0" w:color="auto"/>
              <w:left w:val="single" w:sz="4" w:space="0" w:color="auto"/>
              <w:bottom w:val="single" w:sz="4" w:space="0" w:color="auto"/>
              <w:right w:val="single" w:sz="4" w:space="0" w:color="auto"/>
            </w:tcBorders>
            <w:vAlign w:val="center"/>
          </w:tcPr>
          <w:p w14:paraId="600325F3"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Arial"/>
                <w:bCs/>
                <w:sz w:val="18"/>
                <w:szCs w:val="20"/>
                <w:vertAlign w:val="superscript"/>
              </w:rPr>
              <w:t>12</w:t>
            </w:r>
          </w:p>
        </w:tc>
        <w:tc>
          <w:tcPr>
            <w:tcW w:w="851" w:type="dxa"/>
            <w:tcBorders>
              <w:top w:val="single" w:sz="4" w:space="0" w:color="auto"/>
              <w:left w:val="single" w:sz="4" w:space="0" w:color="auto"/>
              <w:bottom w:val="single" w:sz="4" w:space="0" w:color="auto"/>
              <w:right w:val="single" w:sz="4" w:space="0" w:color="auto"/>
            </w:tcBorders>
            <w:vAlign w:val="center"/>
          </w:tcPr>
          <w:p w14:paraId="73D3D063"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Arial"/>
                <w:bCs/>
                <w:sz w:val="18"/>
                <w:szCs w:val="20"/>
                <w:vertAlign w:val="superscript"/>
              </w:rPr>
              <w:t>12</w:t>
            </w: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1FEE627F"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r w:rsidRPr="003532D0">
              <w:rPr>
                <w:rFonts w:ascii="Arial" w:eastAsia="Times New Roman" w:hAnsi="Arial" w:cs="Arial"/>
                <w:bCs/>
                <w:sz w:val="18"/>
                <w:szCs w:val="20"/>
                <w:vertAlign w:val="superscript"/>
              </w:rPr>
              <w:t>12</w:t>
            </w:r>
          </w:p>
        </w:tc>
        <w:tc>
          <w:tcPr>
            <w:tcW w:w="767" w:type="dxa"/>
            <w:gridSpan w:val="2"/>
            <w:tcBorders>
              <w:top w:val="single" w:sz="4" w:space="0" w:color="auto"/>
              <w:left w:val="single" w:sz="4" w:space="0" w:color="auto"/>
              <w:bottom w:val="single" w:sz="4" w:space="0" w:color="auto"/>
              <w:right w:val="single" w:sz="4" w:space="0" w:color="auto"/>
            </w:tcBorders>
          </w:tcPr>
          <w:p w14:paraId="174577C8"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09" w:type="dxa"/>
            <w:tcBorders>
              <w:top w:val="single" w:sz="4" w:space="0" w:color="auto"/>
              <w:left w:val="single" w:sz="4" w:space="0" w:color="auto"/>
              <w:bottom w:val="single" w:sz="4" w:space="0" w:color="auto"/>
              <w:right w:val="single" w:sz="4" w:space="0" w:color="auto"/>
            </w:tcBorders>
          </w:tcPr>
          <w:p w14:paraId="5F10FEBC"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r>
      <w:tr w:rsidR="003532D0" w:rsidRPr="003532D0" w14:paraId="2C18D171" w14:textId="77777777" w:rsidTr="004E4AE4">
        <w:trPr>
          <w:cantSplit/>
          <w:trHeight w:hRule="exact" w:val="56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41C06C21"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Apply optimized treatment protocol</w:t>
            </w:r>
            <w:r w:rsidRPr="003532D0">
              <w:rPr>
                <w:rFonts w:ascii="Arial" w:eastAsia="Times New Roman" w:hAnsi="Arial" w:cs="Times New Roman"/>
                <w:bCs/>
                <w:sz w:val="18"/>
                <w:szCs w:val="20"/>
                <w:vertAlign w:val="superscript"/>
              </w:rPr>
              <w:footnoteReference w:id="13"/>
            </w:r>
          </w:p>
        </w:tc>
        <w:tc>
          <w:tcPr>
            <w:tcW w:w="1457" w:type="dxa"/>
            <w:tcBorders>
              <w:top w:val="single" w:sz="4" w:space="0" w:color="auto"/>
              <w:left w:val="single" w:sz="4" w:space="0" w:color="auto"/>
              <w:bottom w:val="single" w:sz="4" w:space="0" w:color="auto"/>
              <w:right w:val="single" w:sz="4" w:space="0" w:color="auto"/>
            </w:tcBorders>
            <w:vAlign w:val="center"/>
          </w:tcPr>
          <w:p w14:paraId="0E00FF24"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5748B0B0"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1AAF3B03"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4F77AB38"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3CF067F9"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6DD1931F"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1C05FA09"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2C55E2CB"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5EA5012"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90EC9EF" w14:textId="77777777" w:rsidR="003532D0" w:rsidRPr="003532D0" w:rsidRDefault="003532D0" w:rsidP="003532D0">
            <w:pPr>
              <w:spacing w:before="120" w:after="120" w:line="240" w:lineRule="auto"/>
              <w:contextualSpacing/>
              <w:jc w:val="center"/>
              <w:rPr>
                <w:rFonts w:ascii="Arial" w:eastAsia="MS Gothic" w:hAnsi="Arial" w:cs="Arial"/>
                <w:i/>
                <w:iCs/>
                <w:color w:val="404040"/>
                <w:sz w:val="18"/>
                <w:szCs w:val="20"/>
              </w:rPr>
            </w:pP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0765B85C" w14:textId="77777777" w:rsidR="003532D0" w:rsidRPr="003532D0" w:rsidRDefault="003532D0" w:rsidP="003532D0">
            <w:pPr>
              <w:spacing w:before="120" w:after="120" w:line="240" w:lineRule="auto"/>
              <w:contextualSpacing/>
              <w:jc w:val="center"/>
              <w:rPr>
                <w:rFonts w:ascii="Arial" w:eastAsia="MS Gothic" w:hAnsi="Arial" w:cs="Arial"/>
                <w:i/>
                <w:iCs/>
                <w:color w:val="404040"/>
                <w:sz w:val="18"/>
                <w:szCs w:val="20"/>
              </w:rPr>
            </w:pPr>
          </w:p>
        </w:tc>
        <w:tc>
          <w:tcPr>
            <w:tcW w:w="767" w:type="dxa"/>
            <w:gridSpan w:val="2"/>
            <w:tcBorders>
              <w:top w:val="single" w:sz="4" w:space="0" w:color="auto"/>
              <w:left w:val="single" w:sz="4" w:space="0" w:color="auto"/>
              <w:bottom w:val="single" w:sz="4" w:space="0" w:color="auto"/>
              <w:right w:val="single" w:sz="4" w:space="0" w:color="auto"/>
            </w:tcBorders>
          </w:tcPr>
          <w:p w14:paraId="645E4F6D"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09" w:type="dxa"/>
            <w:tcBorders>
              <w:top w:val="single" w:sz="4" w:space="0" w:color="auto"/>
              <w:left w:val="single" w:sz="4" w:space="0" w:color="auto"/>
              <w:bottom w:val="single" w:sz="4" w:space="0" w:color="auto"/>
              <w:right w:val="single" w:sz="4" w:space="0" w:color="auto"/>
            </w:tcBorders>
          </w:tcPr>
          <w:p w14:paraId="1119F6AC"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r>
      <w:tr w:rsidR="003532D0" w:rsidRPr="003532D0" w14:paraId="61BF4FC2" w14:textId="77777777" w:rsidTr="004E4AE4">
        <w:trPr>
          <w:cantSplit/>
          <w:trHeight w:hRule="exact" w:val="56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4F27B54A"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vertAlign w:val="superscript"/>
              </w:rPr>
            </w:pPr>
            <w:r w:rsidRPr="003532D0">
              <w:rPr>
                <w:rFonts w:ascii="Arial" w:eastAsia="Times New Roman" w:hAnsi="Arial" w:cs="Arial"/>
                <w:bCs/>
                <w:sz w:val="18"/>
                <w:szCs w:val="20"/>
              </w:rPr>
              <w:t>See Trial-specific Nurse</w:t>
            </w:r>
          </w:p>
        </w:tc>
        <w:tc>
          <w:tcPr>
            <w:tcW w:w="1457" w:type="dxa"/>
            <w:tcBorders>
              <w:top w:val="single" w:sz="4" w:space="0" w:color="auto"/>
              <w:left w:val="single" w:sz="4" w:space="0" w:color="auto"/>
              <w:bottom w:val="single" w:sz="4" w:space="0" w:color="auto"/>
              <w:right w:val="single" w:sz="4" w:space="0" w:color="auto"/>
            </w:tcBorders>
            <w:vAlign w:val="center"/>
          </w:tcPr>
          <w:p w14:paraId="4162BE89"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14:paraId="043461C5"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897676E"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367CEE4"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078B1D6"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14B0A48"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6D60DBA"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CD95A6F"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496F2CAA"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49115584"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390A880A"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767" w:type="dxa"/>
            <w:gridSpan w:val="2"/>
            <w:tcBorders>
              <w:top w:val="single" w:sz="4" w:space="0" w:color="auto"/>
              <w:left w:val="single" w:sz="4" w:space="0" w:color="auto"/>
              <w:bottom w:val="single" w:sz="4" w:space="0" w:color="auto"/>
              <w:right w:val="single" w:sz="4" w:space="0" w:color="auto"/>
            </w:tcBorders>
          </w:tcPr>
          <w:p w14:paraId="6411AE5D"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09" w:type="dxa"/>
            <w:tcBorders>
              <w:top w:val="single" w:sz="4" w:space="0" w:color="auto"/>
              <w:left w:val="single" w:sz="4" w:space="0" w:color="auto"/>
              <w:bottom w:val="single" w:sz="4" w:space="0" w:color="auto"/>
              <w:right w:val="single" w:sz="4" w:space="0" w:color="auto"/>
            </w:tcBorders>
          </w:tcPr>
          <w:p w14:paraId="155B119C"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r>
      <w:tr w:rsidR="003532D0" w:rsidRPr="003532D0" w14:paraId="5343ECA4" w14:textId="77777777" w:rsidTr="004E4AE4">
        <w:trPr>
          <w:cantSplit/>
          <w:trHeight w:hRule="exact" w:val="39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0363A743"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Record Medications</w:t>
            </w:r>
          </w:p>
        </w:tc>
        <w:tc>
          <w:tcPr>
            <w:tcW w:w="1457" w:type="dxa"/>
            <w:tcBorders>
              <w:top w:val="single" w:sz="4" w:space="0" w:color="auto"/>
              <w:left w:val="single" w:sz="4" w:space="0" w:color="auto"/>
              <w:bottom w:val="single" w:sz="4" w:space="0" w:color="auto"/>
              <w:right w:val="single" w:sz="4" w:space="0" w:color="auto"/>
            </w:tcBorders>
            <w:vAlign w:val="center"/>
          </w:tcPr>
          <w:p w14:paraId="21146A64"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14:paraId="274248E2"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4F2D5AD"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2FC23F0"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DFBA312"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9ABF787"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543D7FA"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6C154CE"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21DF4B83"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0E60B0EB"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2E6FD00F"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767" w:type="dxa"/>
            <w:gridSpan w:val="2"/>
            <w:tcBorders>
              <w:top w:val="single" w:sz="4" w:space="0" w:color="auto"/>
              <w:left w:val="single" w:sz="4" w:space="0" w:color="auto"/>
              <w:bottom w:val="single" w:sz="4" w:space="0" w:color="auto"/>
              <w:right w:val="single" w:sz="4" w:space="0" w:color="auto"/>
            </w:tcBorders>
          </w:tcPr>
          <w:p w14:paraId="128D9B21"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09" w:type="dxa"/>
            <w:tcBorders>
              <w:top w:val="single" w:sz="4" w:space="0" w:color="auto"/>
              <w:left w:val="single" w:sz="4" w:space="0" w:color="auto"/>
              <w:bottom w:val="single" w:sz="4" w:space="0" w:color="auto"/>
              <w:right w:val="single" w:sz="4" w:space="0" w:color="auto"/>
            </w:tcBorders>
          </w:tcPr>
          <w:p w14:paraId="5D8505FF"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r>
      <w:tr w:rsidR="003532D0" w:rsidRPr="003532D0" w14:paraId="658D2BC9" w14:textId="77777777" w:rsidTr="004E4AE4">
        <w:trPr>
          <w:cantSplit/>
          <w:trHeight w:hRule="exact" w:val="56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6FDA23B8"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Adverse Events Form</w:t>
            </w:r>
          </w:p>
        </w:tc>
        <w:tc>
          <w:tcPr>
            <w:tcW w:w="1457" w:type="dxa"/>
            <w:tcBorders>
              <w:top w:val="single" w:sz="4" w:space="0" w:color="auto"/>
              <w:left w:val="single" w:sz="4" w:space="0" w:color="auto"/>
              <w:bottom w:val="single" w:sz="4" w:space="0" w:color="auto"/>
              <w:right w:val="single" w:sz="4" w:space="0" w:color="auto"/>
            </w:tcBorders>
            <w:vAlign w:val="center"/>
          </w:tcPr>
          <w:p w14:paraId="1E994960"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79A0A158"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225A9306"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07C70FF2"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7ABB6451"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02047A7B"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00DB6853"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7C3DEF00"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6F06C256"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715A4743"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2F6CD671"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767" w:type="dxa"/>
            <w:gridSpan w:val="2"/>
            <w:tcBorders>
              <w:top w:val="single" w:sz="4" w:space="0" w:color="auto"/>
              <w:left w:val="single" w:sz="4" w:space="0" w:color="auto"/>
              <w:bottom w:val="single" w:sz="4" w:space="0" w:color="auto"/>
              <w:right w:val="single" w:sz="4" w:space="0" w:color="auto"/>
            </w:tcBorders>
          </w:tcPr>
          <w:p w14:paraId="7D6B85B0"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09" w:type="dxa"/>
            <w:tcBorders>
              <w:top w:val="single" w:sz="4" w:space="0" w:color="auto"/>
              <w:left w:val="single" w:sz="4" w:space="0" w:color="auto"/>
              <w:bottom w:val="single" w:sz="4" w:space="0" w:color="auto"/>
              <w:right w:val="single" w:sz="4" w:space="0" w:color="auto"/>
            </w:tcBorders>
          </w:tcPr>
          <w:p w14:paraId="20F4AC92"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r>
      <w:tr w:rsidR="003532D0" w:rsidRPr="003532D0" w14:paraId="34BB7361" w14:textId="77777777" w:rsidTr="004E4AE4">
        <w:trPr>
          <w:cantSplit/>
          <w:trHeight w:hRule="exact" w:val="56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73D5BA8C"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 xml:space="preserve">Questionnaire for analysis of adherence / risk  </w:t>
            </w:r>
          </w:p>
        </w:tc>
        <w:tc>
          <w:tcPr>
            <w:tcW w:w="1457" w:type="dxa"/>
            <w:tcBorders>
              <w:top w:val="single" w:sz="4" w:space="0" w:color="auto"/>
              <w:left w:val="single" w:sz="4" w:space="0" w:color="auto"/>
              <w:bottom w:val="single" w:sz="4" w:space="0" w:color="auto"/>
              <w:right w:val="single" w:sz="4" w:space="0" w:color="auto"/>
            </w:tcBorders>
            <w:vAlign w:val="center"/>
          </w:tcPr>
          <w:p w14:paraId="696288B7"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14:paraId="0423B810"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95900A5"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67ABB0C"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D666D8F"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D85FB9C"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81288D4"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A182233"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AE50208"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E8B97FE"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1C52AFC3"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767" w:type="dxa"/>
            <w:gridSpan w:val="2"/>
            <w:tcBorders>
              <w:top w:val="single" w:sz="4" w:space="0" w:color="auto"/>
              <w:left w:val="single" w:sz="4" w:space="0" w:color="auto"/>
              <w:bottom w:val="single" w:sz="4" w:space="0" w:color="auto"/>
              <w:right w:val="single" w:sz="4" w:space="0" w:color="auto"/>
            </w:tcBorders>
          </w:tcPr>
          <w:p w14:paraId="2B2D8011"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09" w:type="dxa"/>
            <w:tcBorders>
              <w:top w:val="single" w:sz="4" w:space="0" w:color="auto"/>
              <w:left w:val="single" w:sz="4" w:space="0" w:color="auto"/>
              <w:bottom w:val="single" w:sz="4" w:space="0" w:color="auto"/>
              <w:right w:val="single" w:sz="4" w:space="0" w:color="auto"/>
            </w:tcBorders>
          </w:tcPr>
          <w:p w14:paraId="0B96D6CF"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r>
      <w:tr w:rsidR="003532D0" w:rsidRPr="003532D0" w14:paraId="23D4BA78" w14:textId="77777777" w:rsidTr="004E4AE4">
        <w:trPr>
          <w:cantSplit/>
          <w:trHeight w:hRule="exact" w:val="987"/>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16462236"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Questionnaire for health economics</w:t>
            </w:r>
          </w:p>
        </w:tc>
        <w:tc>
          <w:tcPr>
            <w:tcW w:w="1457" w:type="dxa"/>
            <w:tcBorders>
              <w:top w:val="single" w:sz="4" w:space="0" w:color="auto"/>
              <w:left w:val="single" w:sz="4" w:space="0" w:color="auto"/>
              <w:bottom w:val="single" w:sz="4" w:space="0" w:color="auto"/>
              <w:right w:val="single" w:sz="4" w:space="0" w:color="auto"/>
            </w:tcBorders>
            <w:vAlign w:val="center"/>
          </w:tcPr>
          <w:p w14:paraId="1B9B4085"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r w:rsidRPr="003532D0">
              <w:rPr>
                <w:rFonts w:ascii="Arial" w:eastAsia="Times New Roman" w:hAnsi="Arial" w:cs="Arial"/>
                <w:bCs/>
                <w:sz w:val="18"/>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14:paraId="2E06EC0F"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A9AC8B3"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F125F47"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EDE2857"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BBE940F"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942C011"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0CF23FE"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5A49C9E"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bCs/>
                <w:sz w:val="18"/>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14:paraId="57192EF7"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7C2BA433"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67" w:type="dxa"/>
            <w:gridSpan w:val="2"/>
            <w:tcBorders>
              <w:top w:val="single" w:sz="4" w:space="0" w:color="auto"/>
              <w:left w:val="single" w:sz="4" w:space="0" w:color="auto"/>
              <w:bottom w:val="single" w:sz="4" w:space="0" w:color="auto"/>
              <w:right w:val="single" w:sz="4" w:space="0" w:color="auto"/>
            </w:tcBorders>
          </w:tcPr>
          <w:p w14:paraId="31473D00"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09" w:type="dxa"/>
            <w:tcBorders>
              <w:top w:val="single" w:sz="4" w:space="0" w:color="auto"/>
              <w:left w:val="single" w:sz="4" w:space="0" w:color="auto"/>
              <w:bottom w:val="single" w:sz="4" w:space="0" w:color="auto"/>
              <w:right w:val="single" w:sz="4" w:space="0" w:color="auto"/>
            </w:tcBorders>
          </w:tcPr>
          <w:p w14:paraId="14FC083D"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r>
      <w:tr w:rsidR="003532D0" w:rsidRPr="003532D0" w14:paraId="499156C6" w14:textId="77777777" w:rsidTr="004E4AE4">
        <w:trPr>
          <w:cantSplit/>
          <w:trHeight w:hRule="exact" w:val="860"/>
          <w:jc w:val="center"/>
        </w:trPr>
        <w:tc>
          <w:tcPr>
            <w:tcW w:w="2432" w:type="dxa"/>
            <w:tcBorders>
              <w:top w:val="single" w:sz="4" w:space="0" w:color="auto"/>
              <w:left w:val="single" w:sz="4" w:space="0" w:color="auto"/>
              <w:bottom w:val="single" w:sz="4" w:space="0" w:color="auto"/>
              <w:right w:val="single" w:sz="4" w:space="0" w:color="auto"/>
            </w:tcBorders>
            <w:shd w:val="clear" w:color="auto" w:fill="E0E0E0"/>
            <w:vAlign w:val="center"/>
          </w:tcPr>
          <w:p w14:paraId="33024AD0"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 xml:space="preserve">Primary Endpoint </w:t>
            </w:r>
          </w:p>
          <w:p w14:paraId="79FCD065"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(remote data collection)</w:t>
            </w:r>
          </w:p>
        </w:tc>
        <w:tc>
          <w:tcPr>
            <w:tcW w:w="1457" w:type="dxa"/>
            <w:tcBorders>
              <w:top w:val="single" w:sz="4" w:space="0" w:color="auto"/>
              <w:left w:val="single" w:sz="4" w:space="0" w:color="auto"/>
              <w:bottom w:val="single" w:sz="4" w:space="0" w:color="auto"/>
              <w:right w:val="single" w:sz="4" w:space="0" w:color="auto"/>
            </w:tcBorders>
            <w:vAlign w:val="center"/>
          </w:tcPr>
          <w:p w14:paraId="72D3B3CA"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EA54B63"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649EA4E"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CAEAE45"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460512E"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E170975"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4D2ACBC"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139A355"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B3BB119"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C05CEEB"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65DFF39C"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67" w:type="dxa"/>
            <w:gridSpan w:val="2"/>
            <w:tcBorders>
              <w:top w:val="single" w:sz="4" w:space="0" w:color="auto"/>
              <w:left w:val="single" w:sz="4" w:space="0" w:color="auto"/>
              <w:bottom w:val="single" w:sz="4" w:space="0" w:color="auto"/>
              <w:right w:val="single" w:sz="4" w:space="0" w:color="auto"/>
            </w:tcBorders>
          </w:tcPr>
          <w:p w14:paraId="5B918EEC"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p w14:paraId="7A24D91C"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sz w:val="18"/>
                <w:szCs w:val="20"/>
              </w:rPr>
              <w:t>x</w:t>
            </w:r>
          </w:p>
        </w:tc>
        <w:tc>
          <w:tcPr>
            <w:tcW w:w="709" w:type="dxa"/>
            <w:tcBorders>
              <w:top w:val="single" w:sz="4" w:space="0" w:color="auto"/>
              <w:left w:val="single" w:sz="4" w:space="0" w:color="auto"/>
              <w:bottom w:val="single" w:sz="4" w:space="0" w:color="auto"/>
              <w:right w:val="single" w:sz="4" w:space="0" w:color="auto"/>
            </w:tcBorders>
          </w:tcPr>
          <w:p w14:paraId="72A9FE28"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p w14:paraId="7E882F73"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r>
      <w:tr w:rsidR="003532D0" w:rsidRPr="003532D0" w14:paraId="0306557C" w14:textId="77777777" w:rsidTr="003532D0">
        <w:trPr>
          <w:cantSplit/>
          <w:trHeight w:hRule="exact" w:val="860"/>
          <w:jc w:val="center"/>
        </w:trPr>
        <w:tc>
          <w:tcPr>
            <w:tcW w:w="2432" w:type="dxa"/>
            <w:tcBorders>
              <w:top w:val="single" w:sz="4" w:space="0" w:color="auto"/>
              <w:left w:val="single" w:sz="4" w:space="0" w:color="auto"/>
              <w:bottom w:val="single" w:sz="4" w:space="0" w:color="auto"/>
              <w:right w:val="single" w:sz="4" w:space="0" w:color="auto"/>
            </w:tcBorders>
            <w:shd w:val="clear" w:color="auto" w:fill="D9D9D9"/>
            <w:vAlign w:val="center"/>
          </w:tcPr>
          <w:p w14:paraId="67BAB77A"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 xml:space="preserve">Primary Endpoint </w:t>
            </w:r>
          </w:p>
          <w:p w14:paraId="011DC374" w14:textId="77777777" w:rsidR="003532D0" w:rsidRPr="003532D0" w:rsidRDefault="003532D0" w:rsidP="003532D0">
            <w:pPr>
              <w:spacing w:before="120" w:after="120" w:line="240" w:lineRule="auto"/>
              <w:contextualSpacing/>
              <w:jc w:val="center"/>
              <w:rPr>
                <w:rFonts w:ascii="Arial" w:eastAsia="Times New Roman" w:hAnsi="Arial" w:cs="Arial"/>
                <w:bCs/>
                <w:sz w:val="18"/>
                <w:szCs w:val="20"/>
              </w:rPr>
            </w:pPr>
            <w:r w:rsidRPr="003532D0">
              <w:rPr>
                <w:rFonts w:ascii="Arial" w:eastAsia="Times New Roman" w:hAnsi="Arial" w:cs="Arial"/>
                <w:bCs/>
                <w:sz w:val="18"/>
                <w:szCs w:val="20"/>
              </w:rPr>
              <w:t>(sensitivity analysis; remote data collection)</w:t>
            </w:r>
          </w:p>
        </w:tc>
        <w:tc>
          <w:tcPr>
            <w:tcW w:w="1457" w:type="dxa"/>
            <w:tcBorders>
              <w:top w:val="single" w:sz="4" w:space="0" w:color="auto"/>
              <w:left w:val="single" w:sz="4" w:space="0" w:color="auto"/>
              <w:bottom w:val="single" w:sz="4" w:space="0" w:color="auto"/>
              <w:right w:val="single" w:sz="4" w:space="0" w:color="auto"/>
            </w:tcBorders>
            <w:vAlign w:val="center"/>
          </w:tcPr>
          <w:p w14:paraId="6DDFDD7A"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40409532"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8A8788F"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225ADD0"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A89D051"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4097F67"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B69734E"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779257D"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DA0286B" w14:textId="77777777" w:rsidR="003532D0" w:rsidRPr="003532D0" w:rsidRDefault="003532D0" w:rsidP="003532D0">
            <w:pPr>
              <w:spacing w:before="120" w:after="120" w:line="240" w:lineRule="auto"/>
              <w:contextualSpacing/>
              <w:jc w:val="center"/>
              <w:rPr>
                <w:rFonts w:ascii="Arial" w:eastAsia="Times New Roman" w:hAnsi="Arial" w:cs="Arial"/>
                <w:b/>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43B5BF2"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24435345"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67" w:type="dxa"/>
            <w:gridSpan w:val="2"/>
            <w:tcBorders>
              <w:top w:val="single" w:sz="4" w:space="0" w:color="auto"/>
              <w:left w:val="single" w:sz="4" w:space="0" w:color="auto"/>
              <w:bottom w:val="single" w:sz="4" w:space="0" w:color="auto"/>
              <w:right w:val="single" w:sz="4" w:space="0" w:color="auto"/>
            </w:tcBorders>
            <w:vAlign w:val="center"/>
          </w:tcPr>
          <w:p w14:paraId="45DE3763"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8FFA914" w14:textId="77777777" w:rsidR="003532D0" w:rsidRPr="003532D0" w:rsidRDefault="003532D0" w:rsidP="003532D0">
            <w:pPr>
              <w:spacing w:before="120" w:after="120" w:line="240" w:lineRule="auto"/>
              <w:contextualSpacing/>
              <w:jc w:val="center"/>
              <w:rPr>
                <w:rFonts w:ascii="Arial" w:eastAsia="Times New Roman" w:hAnsi="Arial" w:cs="Arial"/>
                <w:sz w:val="18"/>
                <w:szCs w:val="20"/>
              </w:rPr>
            </w:pPr>
            <w:r w:rsidRPr="003532D0">
              <w:rPr>
                <w:rFonts w:ascii="Arial" w:eastAsia="Times New Roman" w:hAnsi="Arial" w:cs="Arial"/>
                <w:sz w:val="18"/>
                <w:szCs w:val="20"/>
              </w:rPr>
              <w:t>x</w:t>
            </w:r>
          </w:p>
        </w:tc>
      </w:tr>
    </w:tbl>
    <w:p w14:paraId="250A3B35" w14:textId="77777777" w:rsidR="003532D0" w:rsidRPr="003532D0" w:rsidRDefault="003532D0" w:rsidP="003532D0">
      <w:pPr>
        <w:spacing w:before="120" w:after="120" w:line="240" w:lineRule="auto"/>
        <w:contextualSpacing/>
        <w:rPr>
          <w:rFonts w:ascii="Arial" w:eastAsia="Times New Roman" w:hAnsi="Arial" w:cs="Arial"/>
          <w:bCs/>
          <w:sz w:val="20"/>
          <w:szCs w:val="20"/>
        </w:rPr>
        <w:sectPr w:rsidR="003532D0" w:rsidRPr="003532D0" w:rsidSect="00E476C2">
          <w:pgSz w:w="16840" w:h="11907" w:orient="landscape" w:code="9"/>
          <w:pgMar w:top="720" w:right="1134" w:bottom="1077" w:left="1134" w:header="720" w:footer="437" w:gutter="0"/>
          <w:cols w:space="720"/>
        </w:sectPr>
      </w:pPr>
      <w:r w:rsidRPr="003532D0">
        <w:rPr>
          <w:rFonts w:ascii="Arial" w:eastAsia="Times New Roman" w:hAnsi="Arial" w:cs="Arial"/>
          <w:bCs/>
          <w:sz w:val="20"/>
          <w:szCs w:val="20"/>
        </w:rPr>
        <w:t xml:space="preserve">Note: where an “x” is contained within a field this denotes that the associated data will be collected at the identified time point.  </w:t>
      </w:r>
    </w:p>
    <w:p w14:paraId="148E2CD6" w14:textId="77777777" w:rsidR="003532D0" w:rsidRPr="003532D0" w:rsidRDefault="003532D0" w:rsidP="003532D0">
      <w:pPr>
        <w:spacing w:before="120" w:after="120" w:line="240" w:lineRule="auto"/>
        <w:contextualSpacing/>
        <w:rPr>
          <w:rFonts w:ascii="Arial" w:eastAsia="Times New Roman" w:hAnsi="Arial" w:cs="Arial"/>
          <w:bCs/>
          <w:sz w:val="20"/>
          <w:szCs w:val="20"/>
        </w:rPr>
      </w:pPr>
      <w:bookmarkStart w:id="63" w:name="_Toc248735420"/>
      <w:bookmarkEnd w:id="62"/>
      <w:r w:rsidRPr="003532D0">
        <w:rPr>
          <w:rFonts w:ascii="Arial" w:eastAsia="Times New Roman" w:hAnsi="Arial" w:cs="Arial"/>
          <w:bCs/>
          <w:sz w:val="20"/>
          <w:szCs w:val="20"/>
        </w:rPr>
        <w:lastRenderedPageBreak/>
        <w:t>2.3 Trial Flowchart</w:t>
      </w:r>
      <w:bookmarkEnd w:id="63"/>
    </w:p>
    <w:p w14:paraId="2D5ACA49" w14:textId="77777777" w:rsidR="003532D0" w:rsidRPr="003532D0" w:rsidRDefault="003532D0" w:rsidP="003532D0">
      <w:pPr>
        <w:spacing w:before="120" w:after="120" w:line="240" w:lineRule="auto"/>
        <w:contextualSpacing/>
        <w:jc w:val="both"/>
        <w:rPr>
          <w:rFonts w:ascii="Arial" w:eastAsia="Times New Roman" w:hAnsi="Arial" w:cs="Arial"/>
          <w:bCs/>
          <w:sz w:val="16"/>
          <w:szCs w:val="16"/>
        </w:rPr>
      </w:pPr>
      <w:r w:rsidRPr="003532D0">
        <w:rPr>
          <w:rFonts w:ascii="Arial" w:eastAsia="Times New Roman" w:hAnsi="Arial" w:cs="Arial"/>
          <w:bCs/>
          <w:noProof/>
          <w:sz w:val="20"/>
          <w:szCs w:val="20"/>
          <w:lang w:eastAsia="en-GB"/>
        </w:rPr>
        <w:t xml:space="preserve"> </w:t>
      </w:r>
      <w:r w:rsidRPr="003532D0">
        <w:rPr>
          <w:rFonts w:ascii="Arial" w:eastAsia="Times New Roman" w:hAnsi="Arial" w:cs="Arial"/>
          <w:bCs/>
          <w:noProof/>
          <w:sz w:val="20"/>
          <w:szCs w:val="20"/>
          <w:lang w:eastAsia="en-GB"/>
        </w:rPr>
        <w:drawing>
          <wp:inline distT="0" distB="0" distL="0" distR="0" wp14:anchorId="11B9332C" wp14:editId="08ECE532">
            <wp:extent cx="7570381" cy="4843912"/>
            <wp:effectExtent l="0" t="0" r="0" b="0"/>
            <wp:docPr id="2110" name="Picture 21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Picture 2110" descr="Timeline&#10;&#10;Description automatically generated"/>
                    <pic:cNvPicPr/>
                  </pic:nvPicPr>
                  <pic:blipFill>
                    <a:blip r:embed="rId14"/>
                    <a:stretch>
                      <a:fillRect/>
                    </a:stretch>
                  </pic:blipFill>
                  <pic:spPr>
                    <a:xfrm>
                      <a:off x="0" y="0"/>
                      <a:ext cx="7569423" cy="4843299"/>
                    </a:xfrm>
                    <a:prstGeom prst="rect">
                      <a:avLst/>
                    </a:prstGeom>
                  </pic:spPr>
                </pic:pic>
              </a:graphicData>
            </a:graphic>
          </wp:inline>
        </w:drawing>
      </w:r>
    </w:p>
    <w:p w14:paraId="0F0F235F" w14:textId="77777777" w:rsidR="003532D0" w:rsidRPr="003532D0" w:rsidRDefault="003532D0" w:rsidP="003532D0">
      <w:pPr>
        <w:spacing w:before="120" w:after="120" w:line="240" w:lineRule="auto"/>
        <w:contextualSpacing/>
        <w:jc w:val="both"/>
        <w:rPr>
          <w:rFonts w:ascii="Arial" w:eastAsia="Times New Roman" w:hAnsi="Arial" w:cs="Arial"/>
          <w:bCs/>
          <w:sz w:val="16"/>
          <w:szCs w:val="16"/>
        </w:rPr>
      </w:pPr>
      <w:r w:rsidRPr="003532D0">
        <w:rPr>
          <w:rFonts w:ascii="Arial" w:eastAsia="Times New Roman" w:hAnsi="Arial" w:cs="Arial"/>
          <w:bCs/>
          <w:sz w:val="16"/>
          <w:szCs w:val="16"/>
        </w:rPr>
        <w:t xml:space="preserve">*Randomisation performed on results of a recruit’s first screening test. Those with HLA Ab undergo no further screening as part of the trial (but serum will be stored for analysis of HLA Ab profiles later). </w:t>
      </w:r>
      <w:r w:rsidRPr="003532D0">
        <w:rPr>
          <w:rFonts w:ascii="Arial" w:eastAsia="Times New Roman" w:hAnsi="Arial" w:cs="Arial"/>
          <w:b/>
          <w:bCs/>
          <w:sz w:val="16"/>
          <w:szCs w:val="16"/>
          <w:vertAlign w:val="superscript"/>
        </w:rPr>
        <w:t>†</w:t>
      </w:r>
      <w:r w:rsidRPr="003532D0">
        <w:rPr>
          <w:rFonts w:ascii="Arial" w:eastAsia="Times New Roman" w:hAnsi="Arial" w:cs="Arial"/>
          <w:bCs/>
          <w:sz w:val="16"/>
          <w:szCs w:val="16"/>
        </w:rPr>
        <w:t>Those initially HLA Ab-negative undergo routine screening every 8 months. THERE IS NO SECOND RANDOMIZATION: If a recruit allocated to Blinded standard care (group C) becomes HLA Ab positive (black lines), he/she remains in Standard care group (group A1 or A2). If in unblinded standard care group (D), they change to unblinded biomarker-led treatment care (group B1 or B2) (orange lines). € Numbers in each group are those anticipated at the end of study.</w:t>
      </w:r>
    </w:p>
    <w:p w14:paraId="52CCA69D" w14:textId="77777777" w:rsidR="003532D0" w:rsidRPr="003532D0" w:rsidRDefault="003532D0" w:rsidP="003532D0">
      <w:pPr>
        <w:tabs>
          <w:tab w:val="center" w:pos="4153"/>
          <w:tab w:val="right" w:pos="8306"/>
        </w:tabs>
        <w:spacing w:before="120" w:after="120" w:line="240" w:lineRule="auto"/>
        <w:contextualSpacing/>
        <w:rPr>
          <w:rFonts w:ascii="Arial" w:eastAsia="Times New Roman" w:hAnsi="Arial" w:cs="Arial"/>
          <w:bCs/>
          <w:sz w:val="20"/>
          <w:szCs w:val="20"/>
        </w:rPr>
        <w:sectPr w:rsidR="003532D0" w:rsidRPr="003532D0" w:rsidSect="000D4EA0">
          <w:headerReference w:type="default" r:id="rId15"/>
          <w:footerReference w:type="default" r:id="rId16"/>
          <w:pgSz w:w="16840" w:h="11900" w:orient="landscape"/>
          <w:pgMar w:top="1134" w:right="1440" w:bottom="1797" w:left="1440" w:header="720" w:footer="720" w:gutter="0"/>
          <w:cols w:space="720"/>
        </w:sectPr>
      </w:pPr>
    </w:p>
    <w:p w14:paraId="1020AA3B"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64" w:name="_Toc248735421"/>
      <w:bookmarkStart w:id="65" w:name="_Toc121909744"/>
      <w:r w:rsidRPr="003532D0">
        <w:rPr>
          <w:rFonts w:ascii="Arial" w:eastAsia="Times New Roman" w:hAnsi="Arial" w:cs="Arial"/>
          <w:b/>
          <w:sz w:val="26"/>
          <w:szCs w:val="26"/>
        </w:rPr>
        <w:lastRenderedPageBreak/>
        <w:t>3 Trial Medication</w:t>
      </w:r>
      <w:bookmarkEnd w:id="64"/>
      <w:bookmarkEnd w:id="65"/>
    </w:p>
    <w:p w14:paraId="502F6110"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All treatments will be introduced on the basis that they will be tailored to the individual patient, according to compliance, tolerance and achievement of target levels (for Tac). Failure to tolerate one or more of the components of the protocol (or refusal to take any of the agents) will not be used as a reason for withdrawal from the study.</w:t>
      </w:r>
    </w:p>
    <w:p w14:paraId="44AB9587"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66" w:name="_Toc248735422"/>
      <w:r w:rsidRPr="003532D0">
        <w:rPr>
          <w:rFonts w:ascii="Arial" w:eastAsia="Times New Roman" w:hAnsi="Arial" w:cs="Arial"/>
          <w:b/>
        </w:rPr>
        <w:t>3.1 Investigational Medical Products and dosing regimen</w:t>
      </w:r>
      <w:bookmarkEnd w:id="66"/>
    </w:p>
    <w:p w14:paraId="0594396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‘optimized treatment’ protocol in the two groups (B</w:t>
      </w:r>
      <w:r w:rsidRPr="003532D0">
        <w:rPr>
          <w:rFonts w:ascii="Arial" w:eastAsia="Times New Roman" w:hAnsi="Arial" w:cs="Arial"/>
          <w:bCs/>
          <w:sz w:val="20"/>
          <w:szCs w:val="20"/>
          <w:vertAlign w:val="subscript"/>
        </w:rPr>
        <w:t>1</w:t>
      </w:r>
      <w:r w:rsidRPr="003532D0">
        <w:rPr>
          <w:rFonts w:ascii="Arial" w:eastAsia="Times New Roman" w:hAnsi="Arial" w:cs="Arial"/>
          <w:bCs/>
          <w:sz w:val="20"/>
          <w:szCs w:val="20"/>
        </w:rPr>
        <w:t>, B</w:t>
      </w:r>
      <w:r w:rsidRPr="003532D0">
        <w:rPr>
          <w:rFonts w:ascii="Arial" w:eastAsia="Times New Roman" w:hAnsi="Arial" w:cs="Arial"/>
          <w:bCs/>
          <w:sz w:val="20"/>
          <w:szCs w:val="20"/>
          <w:vertAlign w:val="subscript"/>
        </w:rPr>
        <w:t>2</w:t>
      </w:r>
      <w:r w:rsidRPr="003532D0">
        <w:rPr>
          <w:rFonts w:ascii="Arial" w:eastAsia="Times New Roman" w:hAnsi="Arial" w:cs="Arial"/>
          <w:bCs/>
          <w:sz w:val="20"/>
          <w:szCs w:val="20"/>
        </w:rPr>
        <w:t xml:space="preserve"> in section 2.3) with HLA Ab will be;</w:t>
      </w:r>
    </w:p>
    <w:p w14:paraId="226B0AB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 Mycophenolate mofetil bd, tds or qds, or enteric coated mycophenolic acid bd, with daily dose determined according to local unit guidelines. The patient will be stabilized on the maximum tolerated dose.</w:t>
      </w:r>
    </w:p>
    <w:p w14:paraId="7F86262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b) Tacrolimus od or bd, according to local unit preference, with dose titrated to achieve 12-hour post-dose levels of 4</w:t>
      </w:r>
      <w:r w:rsidRPr="003532D0">
        <w:rPr>
          <w:rFonts w:ascii="Symbol" w:eastAsia="Times New Roman" w:hAnsi="Symbol" w:cs="Arial"/>
          <w:bCs/>
          <w:sz w:val="20"/>
          <w:szCs w:val="20"/>
        </w:rPr>
        <w:t></w:t>
      </w:r>
      <w:r w:rsidRPr="003532D0">
        <w:rPr>
          <w:rFonts w:ascii="Arial" w:eastAsia="Times New Roman" w:hAnsi="Arial" w:cs="Arial"/>
          <w:bCs/>
          <w:sz w:val="20"/>
          <w:szCs w:val="20"/>
        </w:rPr>
        <w:t>g/L to 8</w:t>
      </w:r>
      <w:r w:rsidRPr="003532D0">
        <w:rPr>
          <w:rFonts w:ascii="Symbol" w:eastAsia="Times New Roman" w:hAnsi="Symbol" w:cs="Arial"/>
          <w:bCs/>
          <w:sz w:val="20"/>
          <w:szCs w:val="20"/>
        </w:rPr>
        <w:t></w:t>
      </w:r>
      <w:r w:rsidRPr="003532D0">
        <w:rPr>
          <w:rFonts w:ascii="Arial" w:eastAsia="Times New Roman" w:hAnsi="Arial" w:cs="Arial"/>
          <w:bCs/>
          <w:sz w:val="20"/>
          <w:szCs w:val="20"/>
        </w:rPr>
        <w:t>g/L (4-8 ng/ml). The patient will be stabilized on the maximum tolerated dose that achieves these levels.</w:t>
      </w:r>
    </w:p>
    <w:p w14:paraId="5873928B"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c) Prednisolone od. Starting at 20mg for two weeks, then reducing by 5 mg od every two weeks down to their previous maintenance dose or 5mg od, if not previously taking.</w:t>
      </w:r>
    </w:p>
    <w:p w14:paraId="64C9C49F"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After consultation with the MHRA, we have confirmed that all these medicines will be classed as IMPs, whereas all others will not. Mycophenolate mofetil/mycophenolic acid is being used outside of its Marketing Authorisation (which states that it should be used with ciclosporin). However, because it is now used so widely in combination of tacrolimus in most units in the UK, the two can be regarded as ‘standard care’.  We therefore propose that the three drugs will not require labelling in line with annex 13. This means the IMPs can be managed in the same way as normal i.e. GP or hospital prescription (as appropriate) and will not require special labelling/accountability/storage etc.</w:t>
      </w:r>
    </w:p>
    <w:p w14:paraId="2B88F7B5"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40939C77"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67" w:name="_Toc248735423"/>
      <w:r w:rsidRPr="003532D0">
        <w:rPr>
          <w:rFonts w:ascii="Arial" w:eastAsia="Times New Roman" w:hAnsi="Arial" w:cs="Arial"/>
          <w:b/>
        </w:rPr>
        <w:t>3.2 Drug Accountability</w:t>
      </w:r>
      <w:bookmarkEnd w:id="67"/>
    </w:p>
    <w:p w14:paraId="79E6668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Not applicable</w:t>
      </w:r>
    </w:p>
    <w:p w14:paraId="16F85F6D"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68" w:name="_Toc248735424"/>
      <w:r w:rsidRPr="003532D0">
        <w:rPr>
          <w:rFonts w:ascii="Arial" w:eastAsia="Times New Roman" w:hAnsi="Arial" w:cs="Arial"/>
          <w:b/>
        </w:rPr>
        <w:t>3.3 Subject Compliance</w:t>
      </w:r>
      <w:bookmarkEnd w:id="68"/>
    </w:p>
    <w:p w14:paraId="5171A15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See section 6.2</w:t>
      </w:r>
    </w:p>
    <w:p w14:paraId="0F47E1D9"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69" w:name="_Toc248735425"/>
      <w:r w:rsidRPr="003532D0">
        <w:rPr>
          <w:rFonts w:ascii="Arial" w:eastAsia="Times New Roman" w:hAnsi="Arial" w:cs="Arial"/>
          <w:b/>
        </w:rPr>
        <w:t>3.4 Concomitant Medication</w:t>
      </w:r>
      <w:bookmarkEnd w:id="69"/>
    </w:p>
    <w:p w14:paraId="53B007B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Patients in all groups will have blood pressure controlled and total cholesterol lowered, using agents according to local unit guidelines and working to unit-defined targets.  All other medication and treatment will be determined by local unit guidelines.</w:t>
      </w:r>
    </w:p>
    <w:p w14:paraId="2325C98F"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7BB23C00"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70" w:name="_Toc248735426"/>
      <w:bookmarkStart w:id="71" w:name="_Toc121909745"/>
      <w:r w:rsidRPr="003532D0">
        <w:rPr>
          <w:rFonts w:ascii="Arial" w:eastAsia="Times New Roman" w:hAnsi="Arial" w:cs="Arial"/>
          <w:b/>
          <w:sz w:val="26"/>
          <w:szCs w:val="26"/>
        </w:rPr>
        <w:t>4.  Selection and Withdrawal of Subjects</w:t>
      </w:r>
      <w:bookmarkEnd w:id="70"/>
      <w:bookmarkEnd w:id="71"/>
    </w:p>
    <w:p w14:paraId="7FB4D005"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72" w:name="_Toc248735427"/>
      <w:r w:rsidRPr="003532D0">
        <w:rPr>
          <w:rFonts w:ascii="Arial" w:eastAsia="Times New Roman" w:hAnsi="Arial" w:cs="Arial"/>
          <w:b/>
        </w:rPr>
        <w:t>4.1 Inclusion Criteria</w:t>
      </w:r>
      <w:bookmarkEnd w:id="72"/>
    </w:p>
    <w:p w14:paraId="569D521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Sufficient grasp of English to enable written and witnessed informed consent to participate.</w:t>
      </w:r>
    </w:p>
    <w:p w14:paraId="6C641DF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Renal transplant recipients &gt;1 year post-transplantation, male or female</w:t>
      </w:r>
    </w:p>
    <w:p w14:paraId="57DD869C"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Aged 18-75 years</w:t>
      </w:r>
    </w:p>
    <w:p w14:paraId="6881E36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Estimated glomerular filtration rate (eGFR by 4 variable MDRD) of ≥30 (within the previous 6 months of signing consent or taken at screening if not done in the previous 6 months).</w:t>
      </w:r>
    </w:p>
    <w:p w14:paraId="59FE440E"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0A85B22B"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73" w:name="_Toc248735428"/>
      <w:r w:rsidRPr="003532D0">
        <w:rPr>
          <w:rFonts w:ascii="Arial" w:eastAsia="Times New Roman" w:hAnsi="Arial" w:cs="Arial"/>
          <w:b/>
        </w:rPr>
        <w:t>4.2 Exclusion Criteria</w:t>
      </w:r>
      <w:bookmarkEnd w:id="73"/>
    </w:p>
    <w:p w14:paraId="4610D05F"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Recipient requiring HLA desensitisation to remove antibody for a positive XM transplant</w:t>
      </w:r>
    </w:p>
    <w:p w14:paraId="0E16A18F"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Recipient known already to have HLA antibody WHO HAS RECEIVED specific intervention for that antibody or for CAMR / chronic rejection</w:t>
      </w:r>
    </w:p>
    <w:p w14:paraId="1540A4A6"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Recipient of additional solid organ transplants (e.g. pancreas, heart, etc).</w:t>
      </w:r>
    </w:p>
    <w:p w14:paraId="6BF9228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History of malignancy in previous 5 years (excluding non-melanomatous tumours limited to skin)</w:t>
      </w:r>
    </w:p>
    <w:p w14:paraId="4FAEBE6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HBsAg+, HepC IgG+ or HIV+ recipient (on test performed within previous 5 years)</w:t>
      </w:r>
    </w:p>
    <w:p w14:paraId="7DCA7C8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History of acute rejection requiring escalation of immunosuppression in the 6 months prior to screening.</w:t>
      </w:r>
    </w:p>
    <w:p w14:paraId="5C195450"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Patient enrolled in any other studies involving administration of another IMP at time of recruitment</w:t>
      </w:r>
    </w:p>
    <w:p w14:paraId="52C45D4C" w14:textId="77777777" w:rsidR="003532D0" w:rsidRPr="003532D0" w:rsidRDefault="003532D0" w:rsidP="003532D0">
      <w:pPr>
        <w:spacing w:before="120" w:after="120" w:line="240" w:lineRule="auto"/>
        <w:contextualSpacing/>
        <w:rPr>
          <w:rFonts w:ascii="Arial" w:eastAsia="Times New Roman" w:hAnsi="Arial" w:cs="Arial"/>
          <w:bCs/>
          <w:i/>
          <w:sz w:val="20"/>
          <w:szCs w:val="20"/>
        </w:rPr>
      </w:pPr>
      <w:r w:rsidRPr="003532D0">
        <w:rPr>
          <w:rFonts w:ascii="Arial" w:eastAsia="Times New Roman" w:hAnsi="Arial" w:cs="Arial"/>
          <w:bCs/>
          <w:i/>
          <w:sz w:val="20"/>
          <w:szCs w:val="20"/>
        </w:rPr>
        <w:t>The following exclusion criteria are based on information contained within the SMPcs of the IMPs</w:t>
      </w:r>
    </w:p>
    <w:p w14:paraId="523C1D7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Known hypersensitivity to any of the IMPs</w:t>
      </w:r>
    </w:p>
    <w:p w14:paraId="6742B3B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Known hereditary disorders of carbohydrate metabolism</w:t>
      </w:r>
    </w:p>
    <w:p w14:paraId="04F6809B"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Pregnancy or breastfeeding females (based on verbal history of recipient)</w:t>
      </w:r>
    </w:p>
    <w:p w14:paraId="7FB0621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lastRenderedPageBreak/>
        <w:t>• Pre-menopausal females who refuse to consent to using suitable methods of contraception throughout the trial.</w:t>
      </w:r>
    </w:p>
    <w:p w14:paraId="2CB01DDE"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74" w:name="_Toc248735429"/>
      <w:r w:rsidRPr="003532D0">
        <w:rPr>
          <w:rFonts w:ascii="Arial" w:eastAsia="Times New Roman" w:hAnsi="Arial" w:cs="Arial"/>
          <w:b/>
        </w:rPr>
        <w:t>4.3 Selection of Participants</w:t>
      </w:r>
      <w:bookmarkEnd w:id="74"/>
    </w:p>
    <w:p w14:paraId="7B769DE5"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local transplant clinic database will be used to identify patients meeting the baseline inclusion/exclusion criteria. At the start of the trial, the entire population of transplant clinic attendees who meet the eligibility criteria are potentially eligible for recruitment. On subsequent screening rounds, patients who reach 12 months post-transplantation after the start of the trial will become eligible and these will be recruited before the next screening round.</w:t>
      </w:r>
    </w:p>
    <w:p w14:paraId="109448A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Informed consent – Potentially eligible patients will be approached at a routine clinic appointment by the PI or research nurses and given printed and verbal information about the trial. They will have the opportunity to return for a second consultation within a few days to give informed consent for recruitment into the study or to do this on their next routine appointment.  Alternatively, eligible patients will be sent information about the study through the post, for discussion and consent at their next routine appointment.  Following consent, full eligibility criteria will be reviewed. This may include testing for chronic viral disease (if no such test within last 5 years) or pregnancy (if history suggests possibility of pregnancy).</w:t>
      </w:r>
    </w:p>
    <w:p w14:paraId="23B3652A"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75" w:name="_Toc248735430"/>
      <w:r w:rsidRPr="003532D0">
        <w:rPr>
          <w:rFonts w:ascii="Arial" w:eastAsia="Times New Roman" w:hAnsi="Arial" w:cs="Arial"/>
          <w:b/>
        </w:rPr>
        <w:t>4.4 Randomisation Procedure / Code Break</w:t>
      </w:r>
      <w:bookmarkEnd w:id="75"/>
    </w:p>
    <w:p w14:paraId="343CCED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Prior to randomisation but after consent, site staff will register all recruits online and each will be assigned a MACRO PIN. Samples from all recruits will be sent to the HLA laboratory, along with this PIN and a sample request form containing other information required for randomisation. </w:t>
      </w:r>
    </w:p>
    <w:p w14:paraId="1BD77B4D"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34A1FC1C"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Lab staff will screen for HLA Ab and perform single antigen bead testing on positive screening samples to check for the presence of DSA. Once this information is known, the lab staff will access the randomisation system and randomise the patient, using the HLA Ab results and information on the sample form to stratify. In all sites, the PI’s and nurses will be automatically emailed and the system will tell them whether the patient is in the blinded or unblinded groups. If in the unblinded group it will feed back HLA Ab status to the PI. Unblinded patients will be identified by blue stickers to be appended to the notes and all future clinical samples.  The system will tell the trial staff to enter HLA Ab-negative patients into the subsequent 8 monthly screening rounds, and also whether the patients have been selected to provide future samples for 8 monthly scientific analysis (for transfer to the CIs laboratory). This information will be relayed using a ‘star’ on the blue labels, appended to their laboratory request forms thereafter. </w:t>
      </w:r>
    </w:p>
    <w:p w14:paraId="45518E6C"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Blinded patients will have green stickers/labels. HLA Ab status will not be fed back to the PIs or trial staff. A ‘star’ will be used to tell the trial staff which recruits have been selected to provide 8 monthly samples for transfer back to the CIs lab for scientific analysis.  All these patients will have samples taken 8 monthly for HLA Ab screening. Once inside the lab, the lab staff will use their knowledge of the HLA status to determine those from HLA Ab-negative patients which will undergo screening.  The samples from HLA Ab positive patients will be discarded. </w:t>
      </w:r>
    </w:p>
    <w:p w14:paraId="64D18D50"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56272C3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On the second and subsequent HLA Ab screening rounds, the lab staff will update the randomisation system. The lab staff will have 52 days from the date the re-screen sample was taken to perform the HLA Ab re-screen for the required participants. The results from patients in the unblinded groups only will be forwarded to the PI and lab staff, via email.  This will indicate whether status has changed and trigger the initiation of the treatment protocol in those that have changed from HLA Ab negative to positive.</w:t>
      </w:r>
    </w:p>
    <w:p w14:paraId="37D871B5"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058EEEEB"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Randomisation will be via the online King’s Clinical Trials Unit randomisation system. </w:t>
      </w:r>
    </w:p>
    <w:p w14:paraId="57706FC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Laboratory staff at each recruiting site, with access to HLA Ab results, will be provided with a unique username and password to access the randomisation system. Password access must be authorised by the trial manager in all cases and request directly from sites will not be processed. Access to the system is via </w:t>
      </w:r>
      <w:hyperlink r:id="rId17" w:history="1">
        <w:r w:rsidRPr="003532D0">
          <w:rPr>
            <w:rFonts w:ascii="Arial" w:eastAsia="Times New Roman" w:hAnsi="Arial" w:cs="Arial"/>
            <w:bCs/>
            <w:sz w:val="20"/>
            <w:szCs w:val="20"/>
            <w:u w:val="single"/>
          </w:rPr>
          <w:t>www.ctu.co.uk</w:t>
        </w:r>
      </w:hyperlink>
      <w:r w:rsidRPr="003532D0">
        <w:rPr>
          <w:rFonts w:ascii="Arial" w:eastAsia="Times New Roman" w:hAnsi="Arial" w:cs="Arial"/>
          <w:bCs/>
          <w:sz w:val="20"/>
          <w:szCs w:val="20"/>
        </w:rPr>
        <w:t xml:space="preserve">, clicking the ‘randomisation – advanced’ link and selecting the OuTSMART Trial. </w:t>
      </w:r>
    </w:p>
    <w:p w14:paraId="0F7C3CC5"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2C341C7F" w14:textId="77777777" w:rsidR="003532D0" w:rsidRPr="003532D0" w:rsidRDefault="003532D0" w:rsidP="003532D0">
      <w:pPr>
        <w:spacing w:before="120" w:after="120" w:line="240" w:lineRule="auto"/>
        <w:contextualSpacing/>
        <w:rPr>
          <w:rFonts w:ascii="Arial" w:eastAsia="Times New Roman" w:hAnsi="Arial" w:cs="Arial"/>
          <w:bCs/>
          <w:color w:val="FF0000"/>
          <w:sz w:val="20"/>
          <w:szCs w:val="20"/>
        </w:rPr>
      </w:pPr>
      <w:r w:rsidRPr="003532D0">
        <w:rPr>
          <w:rFonts w:ascii="Arial" w:eastAsia="Times New Roman" w:hAnsi="Arial" w:cs="Arial"/>
          <w:bCs/>
          <w:sz w:val="20"/>
          <w:szCs w:val="20"/>
        </w:rPr>
        <w:t xml:space="preserve">There are no blinded study medications in the trial so no emergency code break is required. In the event that a study site clinician wishes to be made aware of blinded laboratory results, this must be discussed and agreed with the trial manager and the study Chief Investigator in </w:t>
      </w:r>
      <w:r w:rsidRPr="003532D0">
        <w:rPr>
          <w:rFonts w:ascii="Arial" w:eastAsia="Times New Roman" w:hAnsi="Arial" w:cs="Arial"/>
          <w:bCs/>
          <w:sz w:val="20"/>
          <w:szCs w:val="20"/>
        </w:rPr>
        <w:lastRenderedPageBreak/>
        <w:t>all cases. It is not anticipated that unblinding in this manner will be required and only in extraordinary circumstances would this be agreed</w:t>
      </w:r>
      <w:r w:rsidRPr="003532D0">
        <w:rPr>
          <w:rFonts w:ascii="Arial" w:eastAsia="Times New Roman" w:hAnsi="Arial" w:cs="Arial"/>
          <w:bCs/>
          <w:color w:val="FF0000"/>
          <w:sz w:val="20"/>
          <w:szCs w:val="20"/>
        </w:rPr>
        <w:t xml:space="preserve">. </w:t>
      </w:r>
    </w:p>
    <w:p w14:paraId="66360030"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76" w:name="_Toc248735431"/>
      <w:r w:rsidRPr="003532D0">
        <w:rPr>
          <w:rFonts w:ascii="Arial" w:eastAsia="Times New Roman" w:hAnsi="Arial" w:cs="Arial"/>
          <w:b/>
        </w:rPr>
        <w:t>4.5 Withdrawal of Subjects</w:t>
      </w:r>
      <w:bookmarkEnd w:id="76"/>
    </w:p>
    <w:p w14:paraId="40B2194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Withdrawal and stopping criteria: Individual recruits can withdraw at any time if they wish. Failure to tolerate one or more components of the ‘treatment’ will </w:t>
      </w:r>
      <w:r w:rsidRPr="003532D0">
        <w:rPr>
          <w:rFonts w:ascii="Arial" w:eastAsia="Times New Roman" w:hAnsi="Arial" w:cs="Arial"/>
          <w:b/>
          <w:bCs/>
          <w:i/>
          <w:sz w:val="20"/>
          <w:szCs w:val="20"/>
          <w:u w:val="single"/>
        </w:rPr>
        <w:t>not</w:t>
      </w:r>
      <w:r w:rsidRPr="003532D0">
        <w:rPr>
          <w:rFonts w:ascii="Arial" w:eastAsia="Times New Roman" w:hAnsi="Arial" w:cs="Arial"/>
          <w:bCs/>
          <w:sz w:val="20"/>
          <w:szCs w:val="20"/>
        </w:rPr>
        <w:t xml:space="preserve"> be seen as a reason to withdraw an individual participant from the trial but is to be anticipated as an integral part of individualising therapy. The randomization process will be halted temporarily if any of the following are noted;</w:t>
      </w:r>
    </w:p>
    <w:p w14:paraId="0B80FC4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A patient death attributable to ‘treatment’.</w:t>
      </w:r>
    </w:p>
    <w:p w14:paraId="6E5B2C2C"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Unacceptable incidence of severe adverse events attributable to ‘treatment’ (if occurring in &gt;10% patients). In both these instances, the trial will undergo urgent review by the Data Monitoring and Ethics and Trial Steering committees.</w:t>
      </w:r>
    </w:p>
    <w:p w14:paraId="3ABA81E8"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201666B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Participants have the right to withdraw from the study at any time for any reason.  The investigator also has the right to withdraw patients from the study drug in the event of inter-current illness, AEs, SAE’s, SUSAR’s, protocol violations, cure, administrative reasons or other reasons.  It is understood by all concerned that an excessive rate of withdrawals can render the study uninterpretable; therefore, unnecessary withdrawal of patients should be avoided.  Should a patient decide to withdraw from the study, all efforts will be made to report the reason for withdrawal as thoroughly as possible.  Should a patient withdraw from study drug only, efforts will be made to continue to obtain follow-up data, with the permission of the patient.</w:t>
      </w:r>
    </w:p>
    <w:p w14:paraId="1670491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Participants who wish to withdraw from ‘treatment’ will be asked to confirm whether they are still willing to provide study specific data and samples for scientific laboratory analysis according to the trial protocol.</w:t>
      </w:r>
    </w:p>
    <w:p w14:paraId="6CB198F3"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77" w:name="_Toc248735432"/>
      <w:r w:rsidRPr="003532D0">
        <w:rPr>
          <w:rFonts w:ascii="Arial" w:eastAsia="Times New Roman" w:hAnsi="Arial" w:cs="Arial"/>
          <w:b/>
        </w:rPr>
        <w:t>4.6 Expected Duration of Trial</w:t>
      </w:r>
      <w:bookmarkEnd w:id="77"/>
    </w:p>
    <w:p w14:paraId="7445A40D"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2EB377A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The trial is expected to recruit for a minimum of 45 months. The recruitment target is to recruit 165 HLA Ab positive DSA patients, 269 HLA Ab positive non-DSA patients and 243 patients to remain HLA Ab negative until the end of follow up. The targets for DSA and non-DSA include HLA Ab negative participants who develop do-novo antibodies at the 8 monthly re-screening rounds and hence become either HLA Ab positive DSA or HLA Ab positive non-DSA. An estimated 237 patients will need to be recruited overall to recruit the target of 16 DSA patients. Because of this requirement to recruit sufficient DSA participants, recruitment to the other groups is likely to be greater than the specified targets. </w:t>
      </w:r>
    </w:p>
    <w:p w14:paraId="36019E3A"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771FF42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Following recruitment to the trial, the patients will undergo 32 months of intensive follow up involving 8-monthly clinic visits post-randomisation, except in the following scenario; a patient in groups C or D who becomes Ab positive during the initial 32 months follow up will transfer to the relevant Ab+ group and undergo intensive follow up for a further 32 months from date of transfer.  Therefore, the maximum amount of time that any single patient may remain in intensive follow up is 64 months. The secondary endpoints will be assessed at the end of the intensive follow up period (32 months up to 64 months) and at this point trial procedures relating to the participants will finish. The participants will be informed that they no longer are required to attend research clinic visits. The original plan was for the primary endpoint to be assessed remotely when at least 43 months post-randomisation had been achieved by all. The last participant research clinic visit was expected to be in March 2020 with the assessment of the primary endpoint being performed during the final three months of the trial concluding at the end of June 2020 when the last participant recruited reaches 43 months post-randomisation.</w:t>
      </w:r>
    </w:p>
    <w:p w14:paraId="1FE586C2"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436F8230" w14:textId="77777777" w:rsidR="003532D0" w:rsidRPr="003532D0" w:rsidRDefault="003532D0" w:rsidP="003532D0">
      <w:pPr>
        <w:spacing w:before="120" w:after="120" w:line="240" w:lineRule="auto"/>
        <w:contextualSpacing/>
        <w:rPr>
          <w:rFonts w:ascii="Arial" w:eastAsia="Times New Roman" w:hAnsi="Arial" w:cs="Arial"/>
          <w:bCs/>
          <w:sz w:val="20"/>
          <w:szCs w:val="20"/>
        </w:rPr>
      </w:pPr>
      <w:bookmarkStart w:id="78" w:name="_Hlk41628449"/>
      <w:r w:rsidRPr="003532D0">
        <w:rPr>
          <w:rFonts w:ascii="Arial" w:eastAsia="Times New Roman" w:hAnsi="Arial" w:cs="Arial"/>
          <w:bCs/>
          <w:sz w:val="20"/>
          <w:szCs w:val="20"/>
        </w:rPr>
        <w:t>Due to the coronavirus pandemic in the UK in 2020</w:t>
      </w:r>
      <w:bookmarkEnd w:id="78"/>
      <w:r w:rsidRPr="003532D0">
        <w:rPr>
          <w:rFonts w:ascii="Arial" w:eastAsia="Times New Roman" w:hAnsi="Arial" w:cs="Arial"/>
          <w:bCs/>
          <w:sz w:val="20"/>
          <w:szCs w:val="20"/>
        </w:rPr>
        <w:t xml:space="preserve"> most clinical trial activity, including this trial, was severely limited and so it was not possible to rely on the original plan to obtain the primary endpoint data between April and June 2020. For this reason, the best alternative was to obtain the primary endpoint data from patients’ clinic notes. Evidence for graft failure or death will be taken from the participants’ last hospital contact prior to March 16 2020. These data, which will reflect participants’ pre-COVID status, will be used for the primary endpoint analysis. </w:t>
      </w:r>
    </w:p>
    <w:p w14:paraId="27E250BE"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304052A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lastRenderedPageBreak/>
        <w:t xml:space="preserve">Evidence of graft failure or death will also be taken from participants’ notes from their most recent hospital contact at the point of a final assessment between September 1 2020 and November 30 2020. During this designated three-month window, endpoint data will be collected from each patients’ notes only once. These data, reflecting status post-onset of COVID crisis, will be used for a sensitivity analysis. The trial will conclude on November 30 2020. </w:t>
      </w:r>
    </w:p>
    <w:p w14:paraId="2EB0A5E5"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49D8FD0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The end of trial for this study has been defined as the last follow up of primary outcome data. </w:t>
      </w:r>
    </w:p>
    <w:p w14:paraId="246F261F"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5716386B"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79" w:name="_Toc248735433"/>
      <w:bookmarkStart w:id="80" w:name="_Toc121909746"/>
      <w:r w:rsidRPr="003532D0">
        <w:rPr>
          <w:rFonts w:ascii="Arial" w:eastAsia="Times New Roman" w:hAnsi="Arial" w:cs="Arial"/>
          <w:b/>
          <w:sz w:val="26"/>
          <w:szCs w:val="26"/>
        </w:rPr>
        <w:t>5. Trial Procedures</w:t>
      </w:r>
      <w:bookmarkEnd w:id="79"/>
      <w:bookmarkEnd w:id="80"/>
    </w:p>
    <w:p w14:paraId="0A7F53D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Synopsis: A structured screening programme for IgG HLA Ab is proposed in patients who give consent. Results obtained will initially be blinded to the transplant clinicians and patients. DSA+, non-DSA+ and HLA Ab-neg groups will be randomized through the KCL CTU (stratified by current immunosuppression) into the groups as detailed. Patients in groups A1, A2 and C (see flow diagram section 2.3) will remain blinded to the results of their screening (as will their clinicians), whereas those in B1, B2 and D will learn whether they are HLA Ab+ or Ab-neg. All recruits will undergo a final test for HLA Ab status as they reach the end of the study. The ‘optimized treatment’ protocol in the two groups (B</w:t>
      </w:r>
      <w:r w:rsidRPr="003532D0">
        <w:rPr>
          <w:rFonts w:ascii="Arial" w:eastAsia="Times New Roman" w:hAnsi="Arial" w:cs="Arial"/>
          <w:bCs/>
          <w:sz w:val="20"/>
          <w:szCs w:val="20"/>
          <w:vertAlign w:val="subscript"/>
        </w:rPr>
        <w:t>1</w:t>
      </w:r>
      <w:r w:rsidRPr="003532D0">
        <w:rPr>
          <w:rFonts w:ascii="Arial" w:eastAsia="Times New Roman" w:hAnsi="Arial" w:cs="Arial"/>
          <w:bCs/>
          <w:sz w:val="20"/>
          <w:szCs w:val="20"/>
        </w:rPr>
        <w:t>, B</w:t>
      </w:r>
      <w:r w:rsidRPr="003532D0">
        <w:rPr>
          <w:rFonts w:ascii="Arial" w:eastAsia="Times New Roman" w:hAnsi="Arial" w:cs="Arial"/>
          <w:bCs/>
          <w:sz w:val="20"/>
          <w:szCs w:val="20"/>
          <w:vertAlign w:val="subscript"/>
        </w:rPr>
        <w:t>2</w:t>
      </w:r>
      <w:r w:rsidRPr="003532D0">
        <w:rPr>
          <w:rFonts w:ascii="Arial" w:eastAsia="Times New Roman" w:hAnsi="Arial" w:cs="Arial"/>
          <w:bCs/>
          <w:sz w:val="20"/>
          <w:szCs w:val="20"/>
        </w:rPr>
        <w:t>) with HLA Ab is outlined in section 3 above.  Patients in all groups will have blood pressure controlled and total cholesterol lowered, according to local unit guidelines.</w:t>
      </w:r>
    </w:p>
    <w:p w14:paraId="51BF1E7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All treatments will be introduced on the basis that they will be tailored to the individual patient, according to compliance, tolerance and achievement of target levels (for Tac). Failure to tolerate one or more of the components of the protocol (or refusal to take any of the agents) will not be used as a reason for withdrawal from the study.</w:t>
      </w:r>
    </w:p>
    <w:p w14:paraId="2C009525"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 </w:t>
      </w:r>
    </w:p>
    <w:p w14:paraId="2D668515"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81" w:name="_Toc248735434"/>
      <w:r w:rsidRPr="003532D0">
        <w:rPr>
          <w:rFonts w:ascii="Arial" w:eastAsia="Times New Roman" w:hAnsi="Arial" w:cs="Arial"/>
          <w:b/>
        </w:rPr>
        <w:t>5.1 By Visit</w:t>
      </w:r>
      <w:bookmarkEnd w:id="81"/>
    </w:p>
    <w:p w14:paraId="510C4BE6"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Post consent, patients who have not been screened for HIV or hepatitis B/C within the last 5 years will need to have additional screening tests for these viruses.  Female patients who report they may be pregnant will have a blood or urine test for beta-HCG levels. Once eligibility criteria have been met, the following baseline data will be recorded at recruitment. a) Weight and bp; b) Sex and ethnicity; c) Age and date of birth; d) HLA type and that of donor kidney (if known); e) Any significant past medical history, including history of diabetes mellitus, cause of renal failure, details of previous transplants and cause of graft loss, evidence of sensitisation pre-transplantation (PRA and antibody specificities if known); f) medication list and doses; g) Protein:Creatinine ratio on urine sample;</w:t>
      </w:r>
    </w:p>
    <w:p w14:paraId="5FC8852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All patients will then have blood taken for;</w:t>
      </w:r>
    </w:p>
    <w:p w14:paraId="2AA917C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i) Baseline clinical parameters: a) Full blood count (minimum Hb, WCC, platelets); b) Biochemical series (creatinine, Na</w:t>
      </w:r>
      <w:r w:rsidRPr="003532D0">
        <w:rPr>
          <w:rFonts w:ascii="Arial" w:eastAsia="Times New Roman" w:hAnsi="Arial" w:cs="Arial"/>
          <w:bCs/>
          <w:sz w:val="20"/>
          <w:szCs w:val="20"/>
          <w:vertAlign w:val="superscript"/>
        </w:rPr>
        <w:t>+</w:t>
      </w:r>
      <w:r w:rsidRPr="003532D0">
        <w:rPr>
          <w:rFonts w:ascii="Arial" w:eastAsia="Times New Roman" w:hAnsi="Arial" w:cs="Arial"/>
          <w:bCs/>
          <w:sz w:val="20"/>
          <w:szCs w:val="20"/>
        </w:rPr>
        <w:t>, K</w:t>
      </w:r>
      <w:r w:rsidRPr="003532D0">
        <w:rPr>
          <w:rFonts w:ascii="Arial" w:eastAsia="Times New Roman" w:hAnsi="Arial" w:cs="Arial"/>
          <w:bCs/>
          <w:sz w:val="20"/>
          <w:szCs w:val="20"/>
          <w:vertAlign w:val="superscript"/>
        </w:rPr>
        <w:t>+</w:t>
      </w:r>
      <w:r w:rsidRPr="003532D0">
        <w:rPr>
          <w:rFonts w:ascii="Arial" w:eastAsia="Times New Roman" w:hAnsi="Arial" w:cs="Arial"/>
          <w:bCs/>
          <w:sz w:val="20"/>
          <w:szCs w:val="20"/>
        </w:rPr>
        <w:t xml:space="preserve">, bicarbonate, calcium, CRP, lipid profile, glucose, HbA1C); c) MDRD eGFR on latest creatinine; d) current calcineurin inhibitor 12 hour trough levels (as appropriate); e) Total immunoglobulin or IgG, IgM +/- IgA levels. If the participant has had blood taken for any of these tests, sampled for routine care up to one week prior to consent, use results present in hospital notes. If this is the case, then only take blood for trial-specific tests. </w:t>
      </w:r>
    </w:p>
    <w:p w14:paraId="3401719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ii) Scientific analyses: 50-60 mls blood for separation of PBMC and 20mls for serum storage.  For participants who require screening for HIV or hepatitis B/C for eligibility, baseline blood samples for scientific analyses will not be taken.  Scientific blood samples from these participants will be taken on their next research clinic visit after eligibility has been confirmed. The collection of scientific blood samples will continue throughout the trial only as long as the resources and the capability of receiving, processing and storing samples are available.</w:t>
      </w:r>
    </w:p>
    <w:p w14:paraId="366EF72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 </w:t>
      </w:r>
    </w:p>
    <w:p w14:paraId="5A0CA2CE" w14:textId="77777777" w:rsidR="003532D0" w:rsidRPr="003532D0" w:rsidRDefault="003532D0" w:rsidP="003532D0">
      <w:pPr>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sz w:val="20"/>
          <w:szCs w:val="20"/>
        </w:rPr>
        <w:t>iii) Analysis of HLA Ab status (10mls clotted blood), as described above, which will allow randomization to proceed.</w:t>
      </w:r>
    </w:p>
    <w:p w14:paraId="31CE9A8B" w14:textId="77777777" w:rsidR="003532D0" w:rsidRPr="003532D0" w:rsidRDefault="003532D0" w:rsidP="003532D0">
      <w:pPr>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xml:space="preserve">All patients will be asked to complete questionnaires.  </w:t>
      </w:r>
    </w:p>
    <w:p w14:paraId="5E0B9AF0"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7E43DE3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Subsequent intensive follow up visits.</w:t>
      </w:r>
    </w:p>
    <w:p w14:paraId="0CB12646"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HLA Ab+ participants in the unblinded group will have a discussion about the risks and prognostic significance of being antibody positive.</w:t>
      </w:r>
      <w:r w:rsidRPr="003532D0">
        <w:rPr>
          <w:rFonts w:ascii="Arial" w:eastAsia="Times New Roman" w:hAnsi="Arial" w:cs="Arial"/>
          <w:bCs/>
        </w:rPr>
        <w:t xml:space="preserve">  </w:t>
      </w:r>
      <w:r w:rsidRPr="003532D0">
        <w:rPr>
          <w:rFonts w:ascii="Arial" w:eastAsia="Times New Roman" w:hAnsi="Arial" w:cs="Arial"/>
          <w:bCs/>
          <w:sz w:val="20"/>
          <w:szCs w:val="20"/>
        </w:rPr>
        <w:t xml:space="preserve">The optimised treatment protocol will be introduced ideally within 3 months or as soon as possible thereafter in those HLA Ab+ patients allocated to this group (optimisation must be performed within 8 months of HLA Ab positive screening).  The first optimisation visit can be performed by the physician either in the </w:t>
      </w:r>
      <w:r w:rsidRPr="003532D0">
        <w:rPr>
          <w:rFonts w:ascii="Arial" w:eastAsia="Times New Roman" w:hAnsi="Arial" w:cs="Arial"/>
          <w:bCs/>
          <w:sz w:val="20"/>
          <w:szCs w:val="20"/>
        </w:rPr>
        <w:lastRenderedPageBreak/>
        <w:t xml:space="preserve">clinic or alternatively over the phone. Recruits will then be seen </w:t>
      </w:r>
      <w:r w:rsidRPr="003532D0">
        <w:rPr>
          <w:rFonts w:ascii="Arial" w:eastAsia="Times New Roman" w:hAnsi="Arial" w:cs="Arial"/>
          <w:bCs/>
          <w:i/>
          <w:sz w:val="20"/>
          <w:szCs w:val="20"/>
        </w:rPr>
        <w:t>up to</w:t>
      </w:r>
      <w:r w:rsidRPr="003532D0">
        <w:rPr>
          <w:rFonts w:ascii="Arial" w:eastAsia="Times New Roman" w:hAnsi="Arial" w:cs="Arial"/>
          <w:bCs/>
          <w:sz w:val="20"/>
          <w:szCs w:val="20"/>
        </w:rPr>
        <w:t xml:space="preserve"> two weekly during this period (maximum of 6 extra clinic appointments are envisaged), though they should be on maintenance dose prednisolone 7 weeks after initiating optimisation. During this period they will have FBC (as above), creatinine, Na</w:t>
      </w:r>
      <w:r w:rsidRPr="003532D0">
        <w:rPr>
          <w:rFonts w:ascii="Arial" w:eastAsia="Times New Roman" w:hAnsi="Arial" w:cs="Arial"/>
          <w:bCs/>
          <w:sz w:val="20"/>
          <w:szCs w:val="20"/>
          <w:vertAlign w:val="superscript"/>
        </w:rPr>
        <w:t>+</w:t>
      </w:r>
      <w:r w:rsidRPr="003532D0">
        <w:rPr>
          <w:rFonts w:ascii="Arial" w:eastAsia="Times New Roman" w:hAnsi="Arial" w:cs="Arial"/>
          <w:bCs/>
          <w:sz w:val="20"/>
          <w:szCs w:val="20"/>
        </w:rPr>
        <w:t>, K</w:t>
      </w:r>
      <w:r w:rsidRPr="003532D0">
        <w:rPr>
          <w:rFonts w:ascii="Arial" w:eastAsia="Times New Roman" w:hAnsi="Arial" w:cs="Arial"/>
          <w:bCs/>
          <w:sz w:val="20"/>
          <w:szCs w:val="20"/>
          <w:vertAlign w:val="superscript"/>
        </w:rPr>
        <w:t>+</w:t>
      </w:r>
      <w:r w:rsidRPr="003532D0">
        <w:rPr>
          <w:rFonts w:ascii="Arial" w:eastAsia="Times New Roman" w:hAnsi="Arial" w:cs="Arial"/>
          <w:bCs/>
          <w:sz w:val="20"/>
          <w:szCs w:val="20"/>
        </w:rPr>
        <w:t>, glucose, calcineurin inhibitor trough levels and blood pressure monitored according to the schedule in 2.2.1. Optimisation visits will not be recorded in the eCRF but will be documented in an “Optimisation Log” at each site. Results from blood tests taken during the optimisation process will be recorded in the patients’ medical notes but not in the eCRF. Once stabilized, they will be seen at least 8 monthly in transplant clinic. Patients allocated to all other groups will be seen at least every 8 months in transplant clinic for formal study assessments.  Trial-specific nurses will carry out all trial-related procedures with participants at follow up visits. Patients may be seen at other times during this period, according to clinical need, but study assessments should be done within the time parameters in Table 2.2.1.  Ideally assessment times will be performed +/- 1 month of the study assessment month. However assessments can be performed up to 3 months prior and 3 months after the scheduled study visit without deviation to the protocol. If required, research nurses or clinic staff will contact participants up to a week before their allocated clinic appointment to ensure that the participant will be attending their appointment.</w:t>
      </w:r>
      <w:r w:rsidRPr="003532D0">
        <w:rPr>
          <w:rFonts w:ascii="Arial" w:eastAsia="Times New Roman" w:hAnsi="Arial" w:cs="Arial"/>
          <w:bCs/>
          <w:color w:val="FF0000"/>
          <w:sz w:val="20"/>
          <w:szCs w:val="20"/>
        </w:rPr>
        <w:t xml:space="preserve"> </w:t>
      </w:r>
    </w:p>
    <w:p w14:paraId="0315FEC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 </w:t>
      </w:r>
    </w:p>
    <w:p w14:paraId="7DDB1C35"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Once every 8 months the following will be recorded. a) Weight and bp; b) Full blood count (minimum Hb, WCC, platelets); c) Biochemical series (creatinine, Na</w:t>
      </w:r>
      <w:r w:rsidRPr="003532D0">
        <w:rPr>
          <w:rFonts w:ascii="Arial" w:eastAsia="Times New Roman" w:hAnsi="Arial" w:cs="Arial"/>
          <w:bCs/>
          <w:sz w:val="20"/>
          <w:szCs w:val="20"/>
          <w:vertAlign w:val="superscript"/>
        </w:rPr>
        <w:t>+</w:t>
      </w:r>
      <w:r w:rsidRPr="003532D0">
        <w:rPr>
          <w:rFonts w:ascii="Arial" w:eastAsia="Times New Roman" w:hAnsi="Arial" w:cs="Arial"/>
          <w:bCs/>
          <w:sz w:val="20"/>
          <w:szCs w:val="20"/>
        </w:rPr>
        <w:t>, K</w:t>
      </w:r>
      <w:r w:rsidRPr="003532D0">
        <w:rPr>
          <w:rFonts w:ascii="Arial" w:eastAsia="Times New Roman" w:hAnsi="Arial" w:cs="Arial"/>
          <w:bCs/>
          <w:sz w:val="20"/>
          <w:szCs w:val="20"/>
          <w:vertAlign w:val="superscript"/>
        </w:rPr>
        <w:t>+</w:t>
      </w:r>
      <w:r w:rsidRPr="003532D0">
        <w:rPr>
          <w:rFonts w:ascii="Arial" w:eastAsia="Times New Roman" w:hAnsi="Arial" w:cs="Arial"/>
          <w:bCs/>
          <w:sz w:val="20"/>
          <w:szCs w:val="20"/>
        </w:rPr>
        <w:t>, bicarbonate, calcium, CRP, glucose, HbA1C); d) MDRD eGFR on latest creatinine; e) calcineurin inhibitor trough levels; f) protein: creatinine ratio on urine sample; g) episodes of infection, malignancy or new DM; h) episodes considered to be adverse events; i) medications and doses participant is currently taking on the day of the follow up visit.  We will not record medications taken for short courses during the 8 months prior to any study visit.  Every 16 months total immunoglobulin or IgG, IgM +/- IgA levels will be measured and recorded in the eCRF. In addition, every 16 months a lipid profile will be performed.  If research nurses are contacting participants by telephone to remind them of allocated appointments, and provided that the participant is in agreement, details regarding episodes of infection, malignancy or new DM and episodes considered to be adverse events will be collected during the phone call. These details will be updated on the appointment day and then recorded in the eCRF.</w:t>
      </w:r>
    </w:p>
    <w:p w14:paraId="59D62540"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075FECBC"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Assuming resources are available, on all patients with HLA Ab, and a small cohort of patients without, separate blood samples will be taken for separation and storage for future non-routine scientific analyses. Steps will be taken to ensure this sampling does not break the blinding of group allocations. Once every 8 months, HLA Ab-negative patients will undergo further screening for HLA Ab (see above). </w:t>
      </w:r>
      <w:r w:rsidRPr="003532D0">
        <w:rPr>
          <w:rFonts w:ascii="Arial" w:eastAsia="Times New Roman" w:hAnsi="Arial" w:cs="Arial"/>
          <w:bCs/>
          <w:color w:val="000000"/>
          <w:sz w:val="20"/>
          <w:szCs w:val="20"/>
        </w:rPr>
        <w:t xml:space="preserve">The aim of the study is to conduct all visit procedures, baseline and follow up, but as it is a Type A trial any procedure missing will not be considered a protocol deviation. </w:t>
      </w:r>
    </w:p>
    <w:p w14:paraId="06098BAB"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373FC86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Upon completion of the 32- to 64-month intensive follow up, consisting of 8-monthly research visits, the participants will be told by the research nurses that they no longer need to attend to clinic for research visits but their regular clinic visits will continue. At the last intensive follow up visit a HLA Ab sample will be collected from all participants. Due to the changes required due to coronavirus pandemic described above (Section 4.6), data regarding the primary endpoint will be collected from patient notes for all participants. These data will be collected from the participants’ last hospital contact prior to March 16 2020 (pre-COVID pandemic). A sensitivity analysis will also be performed by collecting data a second time from the participant’s most recent hospital contact in the assessment period between September 1 2020 and November 30 2020, at which point participants’ involvement in the study will be completed. </w:t>
      </w:r>
    </w:p>
    <w:p w14:paraId="24F81AD8"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5D2A9ADF"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Recruits consented to the trial prior to Protocol Version 12 (01/12/2016) will be re-consented specifically to access their patient notes to assess primary endpoint data after completion of their intensive follow-up visits. This re-consenting process will be performed by research nurses during a research clinic visit prior to the completion of the intensive follow-up.</w:t>
      </w:r>
    </w:p>
    <w:p w14:paraId="46844503"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5B58626C"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In recruits with living donors (known to them), the living donors will be invited to participate either by the recruit, or directly by the study team, following consent from the recruit to inform donors of their participation in the study.  Donors will attend the clinic at their convenience, </w:t>
      </w:r>
      <w:r w:rsidRPr="003532D0">
        <w:rPr>
          <w:rFonts w:ascii="Arial" w:eastAsia="Times New Roman" w:hAnsi="Arial" w:cs="Arial"/>
          <w:bCs/>
          <w:sz w:val="20"/>
          <w:szCs w:val="20"/>
        </w:rPr>
        <w:lastRenderedPageBreak/>
        <w:t>where consent will be taken. If donors are no longer being followed up at the hospital involved in the trial, they will be contacted by telephone to discuss the study and arrange a mutually convenient time for them to attend. As these participants are only needed to provide blood, consent will not need to be taken by a doctor. Donors who have not been screened for HIV, HepBSAg or HepC within the last 5 years will need to have additional screening tests for these viruses.  Finally, blood (up to 80mls) will be taken for separation of PBMC which will be stored in the research laboratory, identified only as the donor of a particular study recruit.  Donors may be asked to donate another aliquot of blood at another time within the next three years. The collection of living donor blood samples will continue throughout the trial as long as the resources and the capability of receiving, processing and storing samples are available.</w:t>
      </w:r>
    </w:p>
    <w:p w14:paraId="68C4BD5F"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5EA1D42E"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82" w:name="_Toc248735435"/>
      <w:r w:rsidRPr="003532D0">
        <w:rPr>
          <w:rFonts w:ascii="Arial" w:eastAsia="Times New Roman" w:hAnsi="Arial" w:cs="Arial"/>
          <w:b/>
        </w:rPr>
        <w:t>5.2 Laboratory Tests</w:t>
      </w:r>
      <w:bookmarkEnd w:id="82"/>
    </w:p>
    <w:p w14:paraId="0155CD6B" w14:textId="77777777" w:rsidR="003532D0" w:rsidRPr="003532D0" w:rsidRDefault="003532D0" w:rsidP="003532D0">
      <w:pPr>
        <w:spacing w:before="240" w:after="60" w:line="240" w:lineRule="auto"/>
        <w:ind w:left="1440"/>
        <w:contextualSpacing/>
        <w:outlineLvl w:val="4"/>
        <w:rPr>
          <w:rFonts w:ascii="Arial" w:eastAsia="Times New Roman" w:hAnsi="Arial" w:cs="Arial"/>
          <w:b/>
          <w:iCs/>
          <w:sz w:val="20"/>
          <w:szCs w:val="20"/>
        </w:rPr>
      </w:pPr>
      <w:bookmarkStart w:id="83" w:name="_Toc248735436"/>
      <w:r w:rsidRPr="003532D0">
        <w:rPr>
          <w:rFonts w:ascii="Arial" w:eastAsia="Times New Roman" w:hAnsi="Arial" w:cs="Arial"/>
          <w:b/>
          <w:iCs/>
          <w:sz w:val="20"/>
          <w:szCs w:val="20"/>
        </w:rPr>
        <w:t>5.2.1 HLA Ab analysis:</w:t>
      </w:r>
      <w:bookmarkEnd w:id="83"/>
    </w:p>
    <w:p w14:paraId="53B63A2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Serum prepared from 10mls of blood will be used in the commercially available ‘LABScreen’ tests, containing fluorescently tagged beads coated with purified HLA antigens. All participating centres have ‘Luminex’ equipment for analysis of these tests and the skills to process samples and interpret results. Therefore, the tests will be performed in each of the centres.  A sequential analysis of samples is planned, first to identify those with HLA Ab, using mixed class I &amp; class II Ab ‘screening’ beads coated with multiple different types of HLA; To interpret these tests, the manufacturer’s definition of a positive and negative test will be used. In those patients with positive results, the specificity of the HLA Ab will be determined by single antigen beads (SAB), coated with single HLA class I or class II antigens. </w:t>
      </w:r>
      <w:r w:rsidRPr="003532D0">
        <w:rPr>
          <w:rFonts w:ascii="Arial" w:eastAsia="Times New Roman" w:hAnsi="Arial" w:cs="Arial"/>
          <w:bCs/>
          <w:sz w:val="20"/>
          <w:szCs w:val="20"/>
          <w:lang w:val="en-US"/>
        </w:rPr>
        <w:t>As before, to interpret these tests, the manufacturer’s definition of a positive and negative test will be used.  Any patient with a positive test for HLA Ab identified by SAB will be regarded as HLA Ab+ positive for the trial if the mean fluorescence intensity (MFI) is ≥2000. If that HLA Ab is directed against a mismatched donor HLA antigen, this will be assigned as DSA+. The number of DSA with an MFI ≥2000 will be recorded to define the Ab 'burden' of an individual patient.</w:t>
      </w:r>
      <w:r w:rsidRPr="003532D0">
        <w:rPr>
          <w:rFonts w:ascii="Arial" w:eastAsia="Times New Roman" w:hAnsi="Arial" w:cs="Arial"/>
          <w:bCs/>
          <w:sz w:val="20"/>
          <w:szCs w:val="20"/>
        </w:rPr>
        <w:t xml:space="preserve"> In the final analysis, correlations between HLA Ab burden and outcomes will be sought. Patients with SAB positivity that is difficult to label as DSA/non DSA (because of insufficient data on donor mismatches, for instance), will be regarded as having non-DSA. Patient’s with a positive reaction on screening but lacking reactivity with the SAB at the level described will be considered negative. Excess serum will be stored. The same screening will continue on the HLA Ab negative patients every 8 months, with the samples taken at a routine clinic appointment. Patients with HLA Ab allocated to the unblinded arm will be told the result (possibly be telephone) as soon as possible and invited to undergo optimisation. Those in the blinded groups or in the unblinded HLA Ab negative arm will be told the result of their randomisation at their next clinic visit. All participants will be screened for HLA Abs at their last intensive follow up visit.</w:t>
      </w:r>
    </w:p>
    <w:p w14:paraId="10E160BB"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3148A938" w14:textId="77777777" w:rsidR="003532D0" w:rsidRPr="003532D0" w:rsidRDefault="003532D0" w:rsidP="003532D0">
      <w:pPr>
        <w:spacing w:before="240" w:after="60" w:line="240" w:lineRule="auto"/>
        <w:ind w:left="1440"/>
        <w:contextualSpacing/>
        <w:outlineLvl w:val="4"/>
        <w:rPr>
          <w:rFonts w:ascii="Arial" w:eastAsia="Times New Roman" w:hAnsi="Arial" w:cs="Arial"/>
          <w:b/>
          <w:iCs/>
          <w:sz w:val="20"/>
          <w:szCs w:val="20"/>
        </w:rPr>
      </w:pPr>
      <w:bookmarkStart w:id="84" w:name="_Toc248735437"/>
      <w:r w:rsidRPr="003532D0">
        <w:rPr>
          <w:rFonts w:ascii="Arial" w:eastAsia="Times New Roman" w:hAnsi="Arial" w:cs="Arial"/>
          <w:b/>
          <w:iCs/>
          <w:sz w:val="20"/>
          <w:szCs w:val="20"/>
        </w:rPr>
        <w:t>5.2.2 Routine biochemical, haematological and calcineurin inhibitor trough analysis:</w:t>
      </w:r>
      <w:bookmarkEnd w:id="84"/>
    </w:p>
    <w:p w14:paraId="4B90A78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These will be performed by the local clinical laboratories and results recorded as above.</w:t>
      </w:r>
    </w:p>
    <w:p w14:paraId="0777CC40"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19E35D70" w14:textId="77777777" w:rsidR="003532D0" w:rsidRPr="003532D0" w:rsidRDefault="003532D0" w:rsidP="003532D0">
      <w:pPr>
        <w:spacing w:before="240" w:after="60" w:line="240" w:lineRule="auto"/>
        <w:ind w:left="1440"/>
        <w:contextualSpacing/>
        <w:outlineLvl w:val="4"/>
        <w:rPr>
          <w:rFonts w:ascii="Arial" w:eastAsia="Times New Roman" w:hAnsi="Arial" w:cs="Arial"/>
          <w:b/>
          <w:iCs/>
          <w:sz w:val="20"/>
          <w:szCs w:val="20"/>
        </w:rPr>
      </w:pPr>
      <w:bookmarkStart w:id="85" w:name="_Toc248735438"/>
      <w:r w:rsidRPr="003532D0">
        <w:rPr>
          <w:rFonts w:ascii="Arial" w:eastAsia="Times New Roman" w:hAnsi="Arial" w:cs="Arial"/>
          <w:b/>
          <w:iCs/>
          <w:sz w:val="20"/>
          <w:szCs w:val="20"/>
        </w:rPr>
        <w:t>5.2.3 Scientific laboratory analysis:</w:t>
      </w:r>
      <w:bookmarkEnd w:id="85"/>
    </w:p>
    <w:p w14:paraId="42844F4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Serum and PBMC samples for future scientific analysis will be collected as long as resources allow; the precise nature of the analyses will be determined in future. Patients will also consent to allow analysis, for research purposes, of any stored serum, blood or tissues (such as transplant biopsies).  This will apply for all existing and future samples taken for clinical reasons. In the case of future transplant biopsies, the patients will be asked to consent to having an extra core taken for transcriptome analysis. Subject to available funding, this will be stored in appropriate medium and transported to CI’s laboratory for storage.</w:t>
      </w:r>
    </w:p>
    <w:p w14:paraId="68E23C78"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86" w:name="_Toc248735439"/>
      <w:bookmarkStart w:id="87" w:name="_Toc121909747"/>
      <w:r w:rsidRPr="003532D0">
        <w:rPr>
          <w:rFonts w:ascii="Arial" w:eastAsia="Times New Roman" w:hAnsi="Arial" w:cs="Arial"/>
          <w:b/>
          <w:sz w:val="26"/>
          <w:szCs w:val="26"/>
        </w:rPr>
        <w:t>6 Assessment of Efficacy</w:t>
      </w:r>
      <w:bookmarkEnd w:id="86"/>
      <w:bookmarkEnd w:id="87"/>
    </w:p>
    <w:p w14:paraId="4A36B417"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88" w:name="_Toc248735440"/>
      <w:r w:rsidRPr="003532D0">
        <w:rPr>
          <w:rFonts w:ascii="Arial" w:eastAsia="Times New Roman" w:hAnsi="Arial" w:cs="Arial"/>
          <w:b/>
        </w:rPr>
        <w:t>6.1.1 Primary Efficacy Parameters</w:t>
      </w:r>
      <w:bookmarkEnd w:id="88"/>
    </w:p>
    <w:p w14:paraId="2FA7B0CC"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Time to graft failure assessed by remote evaluation when approximately 43 months post-randomisation is achieved by all.</w:t>
      </w:r>
    </w:p>
    <w:p w14:paraId="4F363ECD"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89" w:name="_Toc248735441"/>
      <w:r w:rsidRPr="003532D0">
        <w:rPr>
          <w:rFonts w:ascii="Arial" w:eastAsia="Times New Roman" w:hAnsi="Arial" w:cs="Arial"/>
          <w:b/>
        </w:rPr>
        <w:t>6.1.2 Secondary Efficacy Parameters</w:t>
      </w:r>
      <w:bookmarkEnd w:id="89"/>
    </w:p>
    <w:p w14:paraId="6F141D4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Graft dysfunction, as assessed by two separate measures, presence of proteinuria (Protein:Creatinine Ratio &gt; 50 or Albumin:Creatinine Ratio &gt; 35) at 32 months and change in estimated Glomerular Filtration Rates over 32 months.</w:t>
      </w:r>
    </w:p>
    <w:p w14:paraId="71B33E3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lastRenderedPageBreak/>
        <w:t>• Rates of acute rejection over 32 months.</w:t>
      </w:r>
    </w:p>
    <w:p w14:paraId="0466007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Health economic analysis of outcomes in intervention vs. control groups.</w:t>
      </w:r>
    </w:p>
    <w:p w14:paraId="582CE29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Analysis of adherence and perceptions of risk in all biomarker led care groups.</w:t>
      </w:r>
    </w:p>
    <w:p w14:paraId="4CFEBE3C"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63D4E0C8"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90" w:name="_Toc248735442"/>
      <w:r w:rsidRPr="003532D0">
        <w:rPr>
          <w:rFonts w:ascii="Arial" w:eastAsia="Times New Roman" w:hAnsi="Arial" w:cs="Arial"/>
          <w:b/>
        </w:rPr>
        <w:t>6.2 Procedures for Assessing Efficacy Parameters</w:t>
      </w:r>
      <w:bookmarkEnd w:id="90"/>
    </w:p>
    <w:p w14:paraId="78C04274"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02C2484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Graft failure; will be defined as the return to long-term dialysis or re-transplantation. This will be measured from the date of recruitment and will be reported for failure due to all causes.  The date of re-starting dialysis or of re-transplantation will be recorded on the CRF.</w:t>
      </w:r>
    </w:p>
    <w:p w14:paraId="725B105F"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2A900B25"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Estimated Glomerular Filtration rates (eGFRs) will be calculated using the Modification of Diet in Renal Disease (MDRD) Study equation and recorded on the CRF. Mean eGFR slopes at 32 months will be compared between arms, using all available observations between baseline and 32 months using a test of interaction in a linear mixed model.</w:t>
      </w:r>
    </w:p>
    <w:p w14:paraId="730853F1"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21894C06"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Proteinuria; This will be defined by a Protein:Creatinine Ratio (PCR) &gt; 50 or an Albumin:Creatinine Ratio (ACR) &gt; 35 from a urine sample. The PCR or ACR will be recorded on the CRF.</w:t>
      </w:r>
    </w:p>
    <w:p w14:paraId="2B36453E"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5C0B24C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Acute rejection; will be defined by a combination of: a) acute rise in serum creatinine prompting a renal biopsy; b) any pathology on the biopsy which meets criteria for acute rejection, according to latest BANFF criteria.  The number of biopsies and the appropriate biopsy reports will be recorded on the CRF.</w:t>
      </w:r>
    </w:p>
    <w:p w14:paraId="328FBF0A"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4FA0B20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Health economic analysis; Effectiveness: A full economic evaluation will adopt a NHS perspective. 16 month outcomes rates of; (1) graft failure; (2) patient survival (3) graft dysfunction (see defn. above); (4) acute rejection; (5) culture-positive infection, malignancy or diabetes. (6) EQ-5D, which is a patient-specific quality-adjusted life years (QALY) measurement. Cost-effectiveness: will use (1)-(5) where (1) is primary and the others are secondary outcomes. Cost-utility: will use (6) (EQ-5D questionnaires). Cost-benefit: Net benefit per patient calculated by multiplying QALY by assumed maximum willingness-to-pay for QALY (£20000 per QALY) and subtracting costs. Costs: of all interventions will be obtained from Guy’s or estimated by identifying relevant categories of resource utilization OR measuring the volume of each category and multiplying by the average NHS resource costs (</w:t>
      </w:r>
      <w:r w:rsidRPr="003532D0">
        <w:rPr>
          <w:rFonts w:ascii="Arial" w:eastAsia="Times New Roman" w:hAnsi="Arial" w:cs="Arial"/>
          <w:bCs/>
          <w:sz w:val="20"/>
          <w:szCs w:val="20"/>
        </w:rPr>
        <w:fldChar w:fldCharType="begin"/>
      </w:r>
      <w:r w:rsidRPr="003532D0">
        <w:rPr>
          <w:rFonts w:ascii="Arial" w:eastAsia="Times New Roman" w:hAnsi="Arial" w:cs="Arial"/>
          <w:bCs/>
          <w:sz w:val="20"/>
          <w:szCs w:val="20"/>
        </w:rPr>
        <w:instrText xml:space="preserve"> ADDIN EN.CITE &lt;EndNote&gt;&lt;Cite&gt;&lt;Author&gt;Curtis&lt;/Author&gt;&lt;Year&gt;2010&lt;/Year&gt;&lt;RecNum&gt;3440&lt;/RecNum&gt;&lt;DisplayText&gt;[30]&lt;/DisplayText&gt;&lt;record&gt;&lt;rec-number&gt;3440&lt;/rec-number&gt;&lt;foreign-keys&gt;&lt;key app="EN" db-id="p9vz0d9tmeepwyewd5yvp2v2pr0xafz9xws0"&gt;3440&lt;/key&gt;&lt;key app="ENWeb" db-id="TvsdHArtqgYAADf2fTc"&gt;2911&lt;/key&gt;&lt;/foreign-keys&gt;&lt;ref-type name="Report"&gt;27&lt;/ref-type&gt;&lt;contributors&gt;&lt;authors&gt;&lt;author&gt;Curtis, L.&lt;/author&gt;&lt;/authors&gt;&lt;/contributors&gt;&lt;titles&gt;&lt;title&gt;Unit Costs of Health and Social Care 2010&lt;/title&gt;&lt;/titles&gt;&lt;dates&gt;&lt;year&gt;2010&lt;/year&gt;&lt;/dates&gt;&lt;pub-location&gt;Canterbury&lt;/pub-location&gt;&lt;publisher&gt;PSSRU, University of Kent&lt;/publisher&gt;&lt;urls&gt;&lt;/urls&gt;&lt;/record&gt;&lt;/Cite&gt;&lt;/EndNote&gt;</w:instrText>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30" w:tooltip="Curtis, 2010 #3440" w:history="1">
        <w:r w:rsidRPr="003532D0">
          <w:rPr>
            <w:rFonts w:ascii="Arial" w:eastAsia="Times New Roman" w:hAnsi="Arial" w:cs="Arial"/>
            <w:bCs/>
            <w:sz w:val="20"/>
            <w:szCs w:val="20"/>
          </w:rPr>
          <w:t>30</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BNF and NHS reference lists). Costs of intervention include the cost of screening beads and enhanced drug costs. </w:t>
      </w:r>
    </w:p>
    <w:p w14:paraId="62DBB19A" w14:textId="77777777" w:rsidR="003532D0" w:rsidRPr="003532D0" w:rsidRDefault="003532D0" w:rsidP="003532D0">
      <w:pPr>
        <w:spacing w:before="120" w:after="120" w:line="240" w:lineRule="auto"/>
        <w:contextualSpacing/>
        <w:rPr>
          <w:rFonts w:ascii="Arial" w:eastAsia="Times New Roman" w:hAnsi="Arial" w:cs="Arial"/>
          <w:color w:val="0B5AB2"/>
          <w:sz w:val="26"/>
          <w:szCs w:val="26"/>
          <w:lang w:val="en-US"/>
        </w:rPr>
      </w:pPr>
      <w:r w:rsidRPr="003532D0">
        <w:rPr>
          <w:rFonts w:ascii="Arial" w:eastAsia="Times New Roman" w:hAnsi="Arial" w:cs="Arial"/>
          <w:bCs/>
          <w:sz w:val="20"/>
          <w:szCs w:val="20"/>
        </w:rPr>
        <w:t xml:space="preserve">Measurement of adherence; Participants report of adherence behaviour will be assessed using the Medicines Adherence Report Scale (MARS) </w:t>
      </w:r>
      <w:r w:rsidRPr="003532D0">
        <w:rPr>
          <w:rFonts w:ascii="Arial" w:eastAsia="Times New Roman" w:hAnsi="Arial" w:cs="Arial"/>
          <w:bCs/>
          <w:sz w:val="20"/>
          <w:szCs w:val="20"/>
        </w:rPr>
        <w:fldChar w:fldCharType="begin">
          <w:fldData xml:space="preserve">PEVuZE5vdGU+PENpdGU+PEF1dGhvcj5Nb3JhPC9BdXRob3I+PFllYXI+MjAxMTwvWWVhcj48UmVj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PEVuZE5vdGU+PENpdGU+PEF1dGhvcj5Nb3JhPC9BdXRob3I+PFllYXI+MjAxMTwvWWVhcj48UmVj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31" w:tooltip="Mora, 2011 #3431" w:history="1">
        <w:r w:rsidRPr="003532D0">
          <w:rPr>
            <w:rFonts w:ascii="Arial" w:eastAsia="Times New Roman" w:hAnsi="Arial" w:cs="Arial"/>
            <w:bCs/>
            <w:sz w:val="20"/>
            <w:szCs w:val="20"/>
          </w:rPr>
          <w:t>31</w:t>
        </w:r>
      </w:hyperlink>
      <w:r w:rsidRPr="003532D0">
        <w:rPr>
          <w:rFonts w:ascii="Arial" w:eastAsia="Times New Roman" w:hAnsi="Arial" w:cs="Arial"/>
          <w:bCs/>
          <w:sz w:val="20"/>
          <w:szCs w:val="20"/>
        </w:rPr>
        <w:t xml:space="preserve">, </w:t>
      </w:r>
      <w:hyperlink w:anchor="_ENREF_32" w:tooltip="Cohen, 2009 #3432" w:history="1">
        <w:r w:rsidRPr="003532D0">
          <w:rPr>
            <w:rFonts w:ascii="Arial" w:eastAsia="Times New Roman" w:hAnsi="Arial" w:cs="Arial"/>
            <w:bCs/>
            <w:sz w:val="20"/>
            <w:szCs w:val="20"/>
          </w:rPr>
          <w:t>32</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a valid and reliable scale that has been previously used to assess adherence in renal transplant recipients </w:t>
      </w:r>
      <w:r w:rsidRPr="003532D0">
        <w:rPr>
          <w:rFonts w:ascii="Arial" w:eastAsia="Times New Roman" w:hAnsi="Arial" w:cs="Arial"/>
          <w:bCs/>
          <w:sz w:val="20"/>
          <w:szCs w:val="20"/>
        </w:rPr>
        <w:fldChar w:fldCharType="begin">
          <w:fldData xml:space="preserve">PEVuZE5vdGU+PENpdGU+PEF1dGhvcj5CdXRsZXI8L0F1dGhvcj48WWVhcj4yMDA0PC9ZZWFyPjxS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PEVuZE5vdGU+PENpdGU+PEF1dGhvcj5CdXRsZXI8L0F1dGhvcj48WWVhcj4yMDA0PC9ZZWFyPjxS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33" w:tooltip="Butler, 2004 #3433" w:history="1">
        <w:r w:rsidRPr="003532D0">
          <w:rPr>
            <w:rFonts w:ascii="Arial" w:eastAsia="Times New Roman" w:hAnsi="Arial" w:cs="Arial"/>
            <w:bCs/>
            <w:sz w:val="20"/>
            <w:szCs w:val="20"/>
          </w:rPr>
          <w:t>33</w:t>
        </w:r>
      </w:hyperlink>
      <w:r w:rsidRPr="003532D0">
        <w:rPr>
          <w:rFonts w:ascii="Arial" w:eastAsia="Times New Roman" w:hAnsi="Arial" w:cs="Arial"/>
          <w:bCs/>
          <w:sz w:val="20"/>
          <w:szCs w:val="20"/>
        </w:rPr>
        <w:t xml:space="preserve">, </w:t>
      </w:r>
      <w:hyperlink w:anchor="_ENREF_34" w:tooltip="Butler, 2004 #3434" w:history="1">
        <w:r w:rsidRPr="003532D0">
          <w:rPr>
            <w:rFonts w:ascii="Arial" w:eastAsia="Times New Roman" w:hAnsi="Arial" w:cs="Arial"/>
            <w:bCs/>
            <w:sz w:val="20"/>
            <w:szCs w:val="20"/>
          </w:rPr>
          <w:t>34</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Self-report measures have the advantage of being inexpensive and non-intrusive. However, it is known that self-report underestimates the true extent of nonadherence because of inherent self-presentational and recall biases. Self-presentational bias occurs when respondents may be reluctant to admit to nonadherence because they perceive a social contract where the expectation is one of high adherence. The MARS takes steps to diminish this bias by sanctioning and normalising reports of nonadherence. However, this does not totally remove the effect self-presentational and recall biases that are inherent in all self-report measures. For this reason we will apply a combined approach to adherence assessment, where initial categorisation of patients into high vs. low on the basis of self report is revised based on calcineurin inhibitor (CNI) blood monitoring (carried out in routine management for patients prescribed tacrolimus or ciclosporin) and tablet counts (conducted on a sample or participants).  In this approach, reports of low adherence are accepted as self presentational biases act in the opposite direction (reports of low adherence are more reliable than reports of high adherence </w:t>
      </w:r>
      <w:r w:rsidRPr="003532D0">
        <w:rPr>
          <w:rFonts w:ascii="Arial" w:eastAsia="Times New Roman" w:hAnsi="Arial" w:cs="Arial"/>
          <w:bCs/>
          <w:sz w:val="20"/>
          <w:szCs w:val="20"/>
        </w:rPr>
        <w:fldChar w:fldCharType="begin">
          <w:fldData xml:space="preserve">PEVuZE5vdGU+PENpdGU+PEF1dGhvcj5IYXluZXM8L0F1dGhvcj48WWVhcj4xOTgwPC9ZZWFyPjxS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==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PEVuZE5vdGU+PENpdGU+PEF1dGhvcj5IYXluZXM8L0F1dGhvcj48WWVhcj4xOTgwPC9ZZWFyPjxS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==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35" w:tooltip="Haynes, 1980 #3435" w:history="1">
        <w:r w:rsidRPr="003532D0">
          <w:rPr>
            <w:rFonts w:ascii="Arial" w:eastAsia="Times New Roman" w:hAnsi="Arial" w:cs="Arial"/>
            <w:bCs/>
            <w:sz w:val="20"/>
            <w:szCs w:val="20"/>
          </w:rPr>
          <w:t>35</w:t>
        </w:r>
      </w:hyperlink>
      <w:r w:rsidRPr="003532D0">
        <w:rPr>
          <w:rFonts w:ascii="Arial" w:eastAsia="Times New Roman" w:hAnsi="Arial" w:cs="Arial"/>
          <w:bCs/>
          <w:sz w:val="20"/>
          <w:szCs w:val="20"/>
        </w:rPr>
        <w:t xml:space="preserve">, </w:t>
      </w:r>
      <w:hyperlink w:anchor="_ENREF_36" w:tooltip="Gordis, 1979 #3436" w:history="1">
        <w:r w:rsidRPr="003532D0">
          <w:rPr>
            <w:rFonts w:ascii="Arial" w:eastAsia="Times New Roman" w:hAnsi="Arial" w:cs="Arial"/>
            <w:bCs/>
            <w:sz w:val="20"/>
            <w:szCs w:val="20"/>
          </w:rPr>
          <w:t>36</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Patients who report high adherence are reclassified to low adherence on the basis of CNI results (e.g if levels are undetectable then participant is assumed to be nonadherent) or tablet counts (e.g. if there is a greater than 20% discrepancy between the actual and expected tablet count then participant is reclassified as non adherent).</w:t>
      </w:r>
      <w:r w:rsidRPr="003532D0">
        <w:rPr>
          <w:rFonts w:ascii="Arial" w:eastAsia="Times New Roman" w:hAnsi="Arial" w:cs="Arial"/>
          <w:color w:val="0B5AB2"/>
          <w:sz w:val="26"/>
          <w:szCs w:val="26"/>
          <w:lang w:val="en-US"/>
        </w:rPr>
        <w:t xml:space="preserve"> </w:t>
      </w:r>
    </w:p>
    <w:p w14:paraId="21395E14" w14:textId="77777777" w:rsidR="003532D0" w:rsidRPr="003532D0" w:rsidRDefault="003532D0" w:rsidP="003532D0">
      <w:pPr>
        <w:spacing w:before="120" w:after="120" w:line="240" w:lineRule="auto"/>
        <w:contextualSpacing/>
        <w:rPr>
          <w:rFonts w:ascii="Arial" w:eastAsia="Times New Roman" w:hAnsi="Arial" w:cs="Arial"/>
          <w:bCs/>
          <w:sz w:val="20"/>
          <w:szCs w:val="20"/>
          <w:lang w:val="en-US"/>
        </w:rPr>
      </w:pPr>
      <w:r w:rsidRPr="003532D0">
        <w:rPr>
          <w:rFonts w:ascii="Arial" w:eastAsia="Times New Roman" w:hAnsi="Arial" w:cs="Arial"/>
          <w:bCs/>
          <w:sz w:val="20"/>
          <w:szCs w:val="20"/>
          <w:lang w:val="en-US"/>
        </w:rPr>
        <w:t xml:space="preserve">In order to explore the potential antecedents to participants’ adherence behaviours, they will be also be asked to complete specially adapted versions of questionnaires relating to </w:t>
      </w:r>
    </w:p>
    <w:p w14:paraId="30DAE5C8" w14:textId="77777777" w:rsidR="003532D0" w:rsidRPr="003532D0" w:rsidRDefault="003532D0" w:rsidP="003532D0">
      <w:pPr>
        <w:spacing w:before="120" w:after="120" w:line="240" w:lineRule="auto"/>
        <w:contextualSpacing/>
        <w:rPr>
          <w:rFonts w:ascii="Arial" w:eastAsia="Times New Roman" w:hAnsi="Arial" w:cs="Arial"/>
          <w:bCs/>
          <w:sz w:val="20"/>
          <w:szCs w:val="20"/>
          <w:lang w:val="en-US"/>
        </w:rPr>
      </w:pPr>
      <w:r w:rsidRPr="003532D0">
        <w:rPr>
          <w:rFonts w:ascii="Arial" w:eastAsia="Times New Roman" w:hAnsi="Arial" w:cs="Arial"/>
          <w:bCs/>
          <w:sz w:val="20"/>
          <w:szCs w:val="20"/>
          <w:lang w:val="en-US"/>
        </w:rPr>
        <w:lastRenderedPageBreak/>
        <w:t xml:space="preserve">treatment intrusiveness (TIQ), symptoms associated with immunosuppressants (SAQ), beliefs about medicines (BMQ) </w:t>
      </w:r>
      <w:r w:rsidRPr="003532D0">
        <w:rPr>
          <w:rFonts w:ascii="Arial" w:eastAsia="Times New Roman" w:hAnsi="Arial" w:cs="Arial"/>
          <w:bCs/>
          <w:sz w:val="20"/>
          <w:szCs w:val="20"/>
          <w:lang w:val="en-US"/>
        </w:rPr>
        <w:fldChar w:fldCharType="begin">
          <w:fldData xml:space="preserve">PEVuZE5vdGU+PENpdGU+PEF1dGhvcj5Ib3JuZTwvQXV0aG9yPjxZZWFyPjE5OTk8L1llYXI+PFJl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</w:fldData>
        </w:fldChar>
      </w:r>
      <w:r w:rsidRPr="003532D0">
        <w:rPr>
          <w:rFonts w:ascii="Arial" w:eastAsia="Times New Roman" w:hAnsi="Arial" w:cs="Arial"/>
          <w:bCs/>
          <w:sz w:val="20"/>
          <w:szCs w:val="20"/>
          <w:lang w:val="en-US"/>
        </w:rPr>
        <w:instrText xml:space="preserve"> ADDIN EN.CITE </w:instrText>
      </w:r>
      <w:r w:rsidRPr="003532D0">
        <w:rPr>
          <w:rFonts w:ascii="Arial" w:eastAsia="Times New Roman" w:hAnsi="Arial" w:cs="Arial"/>
          <w:bCs/>
          <w:sz w:val="20"/>
          <w:szCs w:val="20"/>
          <w:lang w:val="en-US"/>
        </w:rPr>
        <w:fldChar w:fldCharType="begin">
          <w:fldData xml:space="preserve">PEVuZE5vdGU+PENpdGU+PEF1dGhvcj5Ib3JuZTwvQXV0aG9yPjxZZWFyPjE5OTk8L1llYXI+PFJl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</w:fldData>
        </w:fldChar>
      </w:r>
      <w:r w:rsidRPr="003532D0">
        <w:rPr>
          <w:rFonts w:ascii="Arial" w:eastAsia="Times New Roman" w:hAnsi="Arial" w:cs="Arial"/>
          <w:bCs/>
          <w:sz w:val="20"/>
          <w:szCs w:val="20"/>
          <w:lang w:val="en-US"/>
        </w:rPr>
        <w:instrText xml:space="preserve"> ADDIN EN.CITE.DATA </w:instrText>
      </w:r>
      <w:r w:rsidRPr="003532D0">
        <w:rPr>
          <w:rFonts w:ascii="Arial" w:eastAsia="Times New Roman" w:hAnsi="Arial" w:cs="Arial"/>
          <w:bCs/>
          <w:sz w:val="20"/>
          <w:szCs w:val="20"/>
          <w:lang w:val="en-US"/>
        </w:rPr>
      </w:r>
      <w:r w:rsidRPr="003532D0">
        <w:rPr>
          <w:rFonts w:ascii="Arial" w:eastAsia="Times New Roman" w:hAnsi="Arial" w:cs="Arial"/>
          <w:bCs/>
          <w:sz w:val="20"/>
          <w:szCs w:val="20"/>
          <w:lang w:val="en-US"/>
        </w:rPr>
        <w:fldChar w:fldCharType="end"/>
      </w:r>
      <w:r w:rsidRPr="003532D0">
        <w:rPr>
          <w:rFonts w:ascii="Arial" w:eastAsia="Times New Roman" w:hAnsi="Arial" w:cs="Arial"/>
          <w:bCs/>
          <w:sz w:val="20"/>
          <w:szCs w:val="20"/>
          <w:lang w:val="en-US"/>
        </w:rPr>
      </w:r>
      <w:r w:rsidRPr="003532D0">
        <w:rPr>
          <w:rFonts w:ascii="Arial" w:eastAsia="Times New Roman" w:hAnsi="Arial" w:cs="Arial"/>
          <w:bCs/>
          <w:sz w:val="20"/>
          <w:szCs w:val="20"/>
          <w:lang w:val="en-US"/>
        </w:rPr>
        <w:fldChar w:fldCharType="separate"/>
      </w:r>
      <w:r w:rsidRPr="003532D0">
        <w:rPr>
          <w:rFonts w:ascii="Arial" w:eastAsia="Times New Roman" w:hAnsi="Arial" w:cs="Arial"/>
          <w:bCs/>
          <w:noProof/>
          <w:sz w:val="20"/>
          <w:szCs w:val="20"/>
          <w:lang w:val="en-US"/>
        </w:rPr>
        <w:t>[</w:t>
      </w:r>
      <w:hyperlink w:anchor="_ENREF_37" w:tooltip="Horne, 1999 #3438" w:history="1">
        <w:r w:rsidRPr="003532D0">
          <w:rPr>
            <w:rFonts w:ascii="Arial" w:eastAsia="Times New Roman" w:hAnsi="Arial" w:cs="Arial"/>
            <w:bCs/>
            <w:noProof/>
            <w:sz w:val="20"/>
            <w:szCs w:val="20"/>
            <w:lang w:val="en-US"/>
          </w:rPr>
          <w:t>37</w:t>
        </w:r>
      </w:hyperlink>
      <w:r w:rsidRPr="003532D0">
        <w:rPr>
          <w:rFonts w:ascii="Arial" w:eastAsia="Times New Roman" w:hAnsi="Arial" w:cs="Arial"/>
          <w:bCs/>
          <w:noProof/>
          <w:sz w:val="20"/>
          <w:szCs w:val="20"/>
          <w:lang w:val="en-US"/>
        </w:rPr>
        <w:t>]</w:t>
      </w:r>
      <w:r w:rsidRPr="003532D0">
        <w:rPr>
          <w:rFonts w:ascii="Arial" w:eastAsia="Times New Roman" w:hAnsi="Arial" w:cs="Arial"/>
          <w:bCs/>
          <w:sz w:val="20"/>
          <w:szCs w:val="20"/>
          <w:lang w:val="en-US"/>
        </w:rPr>
        <w:fldChar w:fldCharType="end"/>
      </w:r>
      <w:r w:rsidRPr="003532D0">
        <w:rPr>
          <w:rFonts w:ascii="Arial" w:eastAsia="Times New Roman" w:hAnsi="Arial" w:cs="Arial"/>
          <w:bCs/>
          <w:sz w:val="20"/>
          <w:szCs w:val="20"/>
          <w:lang w:val="en-US"/>
        </w:rPr>
        <w:t xml:space="preserve">, satisfaction with information about their medicines (SIMS) </w:t>
      </w:r>
      <w:r w:rsidRPr="003532D0">
        <w:rPr>
          <w:rFonts w:ascii="Arial" w:eastAsia="Times New Roman" w:hAnsi="Arial" w:cs="Arial"/>
          <w:bCs/>
          <w:sz w:val="20"/>
          <w:szCs w:val="20"/>
          <w:lang w:val="en-US"/>
        </w:rPr>
        <w:fldChar w:fldCharType="begin"/>
      </w:r>
      <w:r w:rsidRPr="003532D0">
        <w:rPr>
          <w:rFonts w:ascii="Arial" w:eastAsia="Times New Roman" w:hAnsi="Arial" w:cs="Arial"/>
          <w:bCs/>
          <w:sz w:val="20"/>
          <w:szCs w:val="20"/>
          <w:lang w:val="en-US"/>
        </w:rPr>
        <w:instrText xml:space="preserve"> ADDIN EN.CITE &lt;EndNote&gt;&lt;Cite&gt;&lt;Author&gt;Horne&lt;/Author&gt;&lt;Year&gt;2001&lt;/Year&gt;&lt;RecNum&gt;3579&lt;/RecNum&gt;&lt;DisplayText&gt;[38]&lt;/DisplayText&gt;&lt;record&gt;&lt;rec-number&gt;3579&lt;/rec-number&gt;&lt;foreign-keys&gt;&lt;key app="EN" db-id="p9vz0d9tmeepwyewd5yvp2v2pr0xafz9xws0"&gt;3579&lt;/key&gt;&lt;/foreign-keys&gt;&lt;ref-type name="Journal Article"&gt;17&lt;/ref-type&gt;&lt;contributors&gt;&lt;authors&gt;&lt;author&gt;Horne, R.&lt;/author&gt;&lt;author&gt;Hankins, M.&lt;/author&gt;&lt;author&gt;Jenkins, R.&lt;/author&gt;&lt;/authors&gt;&lt;/contributors&gt;&lt;auth-address&gt;Horne, R&amp;#xD;Univ Brighton, Ctr Hlth Care Res, Brighton BN1 9PH, E Sussex, England&amp;#xD;Univ Brighton, Ctr Hlth Care Res, Brighton BN1 9PH, E Sussex, England&amp;#xD;Univ Brighton, Ctr Hlth Care Res, Brighton BN1 9PH, E Sussex, England&lt;/auth-address&gt;&lt;titles&gt;&lt;title&gt;The Satisfaction with Information about Medicines Scale (SIMS): a new measurement tool for audit and research&lt;/title&gt;&lt;secondary-title&gt;Quality in Health Care&lt;/secondary-title&gt;&lt;alt-title&gt;Qual Health Care&lt;/alt-title&gt;&lt;/titles&gt;&lt;periodical&gt;&lt;full-title&gt;Quality in Health Care&lt;/full-title&gt;&lt;abbr-1&gt;Qual. Health Care&lt;/abbr-1&gt;&lt;/periodical&gt;&lt;pages&gt;135-140&lt;/pages&gt;&lt;volume&gt;10&lt;/volume&gt;&lt;number&gt;3&lt;/number&gt;&lt;keywords&gt;&lt;keyword&gt;patients&amp;apos; views&lt;/keyword&gt;&lt;keyword&gt;medicines information&lt;/keyword&gt;&lt;keyword&gt;questionnaires&lt;/keyword&gt;&lt;keyword&gt;reliability&lt;/keyword&gt;&lt;keyword&gt;validity&lt;/keyword&gt;&lt;keyword&gt;drug information&lt;/keyword&gt;&lt;keyword&gt;adherence&lt;/keyword&gt;&lt;keyword&gt;leaflets&lt;/keyword&gt;&lt;/keywords&gt;&lt;dates&gt;&lt;year&gt;2001&lt;/year&gt;&lt;pub-dates&gt;&lt;date&gt;Sep&lt;/date&gt;&lt;/pub-dates&gt;&lt;/dates&gt;&lt;isbn&gt;0963-8172&lt;/isbn&gt;&lt;accession-num&gt;ISI:000170930200006&lt;/accession-num&gt;&lt;work-type&gt;Article&lt;/work-type&gt;&lt;urls&gt;&lt;related-urls&gt;&lt;url&gt;&amp;lt;Go to ISI&amp;gt;://000170930200006&lt;/url&gt;&lt;/related-urls&gt;&lt;/urls&gt;&lt;electronic-resource-num&gt;Doi 10.1136/Qhc.0100135..&lt;/electronic-resource-num&gt;&lt;language&gt;English&lt;/language&gt;&lt;/record&gt;&lt;/Cite&gt;&lt;/EndNote&gt;</w:instrText>
      </w:r>
      <w:r w:rsidRPr="003532D0">
        <w:rPr>
          <w:rFonts w:ascii="Arial" w:eastAsia="Times New Roman" w:hAnsi="Arial" w:cs="Arial"/>
          <w:bCs/>
          <w:sz w:val="20"/>
          <w:szCs w:val="20"/>
          <w:lang w:val="en-US"/>
        </w:rPr>
        <w:fldChar w:fldCharType="separate"/>
      </w:r>
      <w:r w:rsidRPr="003532D0">
        <w:rPr>
          <w:rFonts w:ascii="Arial" w:eastAsia="Times New Roman" w:hAnsi="Arial" w:cs="Arial"/>
          <w:bCs/>
          <w:noProof/>
          <w:sz w:val="20"/>
          <w:szCs w:val="20"/>
          <w:lang w:val="en-US"/>
        </w:rPr>
        <w:t>[</w:t>
      </w:r>
      <w:hyperlink w:anchor="_ENREF_38" w:tooltip="Horne, 2001 #3579" w:history="1">
        <w:r w:rsidRPr="003532D0">
          <w:rPr>
            <w:rFonts w:ascii="Arial" w:eastAsia="Times New Roman" w:hAnsi="Arial" w:cs="Arial"/>
            <w:bCs/>
            <w:noProof/>
            <w:sz w:val="20"/>
            <w:szCs w:val="20"/>
            <w:lang w:val="en-US"/>
          </w:rPr>
          <w:t>38</w:t>
        </w:r>
      </w:hyperlink>
      <w:r w:rsidRPr="003532D0">
        <w:rPr>
          <w:rFonts w:ascii="Arial" w:eastAsia="Times New Roman" w:hAnsi="Arial" w:cs="Arial"/>
          <w:bCs/>
          <w:noProof/>
          <w:sz w:val="20"/>
          <w:szCs w:val="20"/>
          <w:lang w:val="en-US"/>
        </w:rPr>
        <w:t>]</w:t>
      </w:r>
      <w:r w:rsidRPr="003532D0">
        <w:rPr>
          <w:rFonts w:ascii="Arial" w:eastAsia="Times New Roman" w:hAnsi="Arial" w:cs="Arial"/>
          <w:bCs/>
          <w:sz w:val="20"/>
          <w:szCs w:val="20"/>
          <w:lang w:val="en-US"/>
        </w:rPr>
        <w:fldChar w:fldCharType="end"/>
      </w:r>
      <w:r w:rsidRPr="003532D0">
        <w:rPr>
          <w:rFonts w:ascii="Arial" w:eastAsia="Times New Roman" w:hAnsi="Arial" w:cs="Arial"/>
          <w:bCs/>
          <w:sz w:val="20"/>
          <w:szCs w:val="20"/>
          <w:lang w:val="en-US"/>
        </w:rPr>
        <w:t xml:space="preserve"> and whether they are feeling anxious and/or depressed (HADS) </w:t>
      </w:r>
      <w:r w:rsidRPr="003532D0">
        <w:rPr>
          <w:rFonts w:ascii="Arial" w:eastAsia="Times New Roman" w:hAnsi="Arial" w:cs="Arial"/>
          <w:bCs/>
          <w:sz w:val="20"/>
          <w:szCs w:val="20"/>
          <w:lang w:val="en-US"/>
        </w:rPr>
        <w:fldChar w:fldCharType="begin"/>
      </w:r>
      <w:r w:rsidRPr="003532D0">
        <w:rPr>
          <w:rFonts w:ascii="Arial" w:eastAsia="Times New Roman" w:hAnsi="Arial" w:cs="Arial"/>
          <w:bCs/>
          <w:sz w:val="20"/>
          <w:szCs w:val="20"/>
          <w:lang w:val="en-US"/>
        </w:rPr>
        <w:instrText xml:space="preserve"> ADDIN EN.CITE &lt;EndNote&gt;&lt;Cite&gt;&lt;Author&gt;Zigmond&lt;/Author&gt;&lt;Year&gt;1983&lt;/Year&gt;&lt;RecNum&gt;3580&lt;/RecNum&gt;&lt;DisplayText&gt;[39]&lt;/DisplayText&gt;&lt;record&gt;&lt;rec-number&gt;3580&lt;/rec-number&gt;&lt;foreign-keys&gt;&lt;key app="EN" db-id="p9vz0d9tmeepwyewd5yvp2v2pr0xafz9xws0"&gt;3580&lt;/key&gt;&lt;/foreign-keys&gt;&lt;ref-type name="Journal Article"&gt;17&lt;/ref-type&gt;&lt;contributors&gt;&lt;authors&gt;&lt;author&gt;Zigmond, A. S.&lt;/author&gt;&lt;author&gt;Snaith, R. P.&lt;/author&gt;&lt;/authors&gt;&lt;/contributors&gt;&lt;auth-address&gt;ST JAMES UNIV HOSP,DEPT PSYCHIAT,LEEDS LS2 9LT,YORKS,ENGLAND.&lt;/auth-address&gt;&lt;titles&gt;&lt;title&gt;THE HOSPITAL ANXIETY AND DEPRESSION SCALE&lt;/title&gt;&lt;secondary-title&gt;Acta Psychiatrica Scandinavica&lt;/secondary-title&gt;&lt;alt-title&gt;Acta Psychiatr. Scand.&lt;/alt-title&gt;&lt;/titles&gt;&lt;periodical&gt;&lt;full-title&gt;Acta Psychiatrica Scandinavica&lt;/full-title&gt;&lt;abbr-1&gt;Acta Psychiatr. Scand.&lt;/abbr-1&gt;&lt;/periodical&gt;&lt;alt-periodical&gt;&lt;full-title&gt;Acta Psychiatrica Scandinavica&lt;/full-title&gt;&lt;abbr-1&gt;Acta Psychiatr. Scand.&lt;/abbr-1&gt;&lt;/alt-periodical&gt;&lt;pages&gt;361-370&lt;/pages&gt;&lt;volume&gt;67&lt;/volume&gt;&lt;number&gt;6&lt;/number&gt;&lt;dates&gt;&lt;year&gt;1983&lt;/year&gt;&lt;/dates&gt;&lt;isbn&gt;0001-690X&lt;/isbn&gt;&lt;accession-num&gt;WOS:A1983QV25600001&lt;/accession-num&gt;&lt;work-type&gt;Article&lt;/work-type&gt;&lt;urls&gt;&lt;related-urls&gt;&lt;url&gt;&amp;lt;Go to ISI&amp;gt;://WOS:A1983QV25600001&lt;/url&gt;&lt;/related-urls&gt;&lt;/urls&gt;&lt;electronic-resource-num&gt;10.1111/j.1600-0447.1983.tb09716.x&lt;/electronic-resource-num&gt;&lt;language&gt;English&lt;/language&gt;&lt;/record&gt;&lt;/Cite&gt;&lt;/EndNote&gt;</w:instrText>
      </w:r>
      <w:r w:rsidRPr="003532D0">
        <w:rPr>
          <w:rFonts w:ascii="Arial" w:eastAsia="Times New Roman" w:hAnsi="Arial" w:cs="Arial"/>
          <w:bCs/>
          <w:sz w:val="20"/>
          <w:szCs w:val="20"/>
          <w:lang w:val="en-US"/>
        </w:rPr>
        <w:fldChar w:fldCharType="separate"/>
      </w:r>
      <w:r w:rsidRPr="003532D0">
        <w:rPr>
          <w:rFonts w:ascii="Arial" w:eastAsia="Times New Roman" w:hAnsi="Arial" w:cs="Arial"/>
          <w:bCs/>
          <w:noProof/>
          <w:sz w:val="20"/>
          <w:szCs w:val="20"/>
          <w:lang w:val="en-US"/>
        </w:rPr>
        <w:t>[</w:t>
      </w:r>
      <w:hyperlink w:anchor="_ENREF_39" w:tooltip="Zigmond, 1983 #3580" w:history="1">
        <w:r w:rsidRPr="003532D0">
          <w:rPr>
            <w:rFonts w:ascii="Arial" w:eastAsia="Times New Roman" w:hAnsi="Arial" w:cs="Arial"/>
            <w:bCs/>
            <w:noProof/>
            <w:sz w:val="20"/>
            <w:szCs w:val="20"/>
            <w:lang w:val="en-US"/>
          </w:rPr>
          <w:t>39</w:t>
        </w:r>
      </w:hyperlink>
      <w:r w:rsidRPr="003532D0">
        <w:rPr>
          <w:rFonts w:ascii="Arial" w:eastAsia="Times New Roman" w:hAnsi="Arial" w:cs="Arial"/>
          <w:bCs/>
          <w:noProof/>
          <w:sz w:val="20"/>
          <w:szCs w:val="20"/>
          <w:lang w:val="en-US"/>
        </w:rPr>
        <w:t>]</w:t>
      </w:r>
      <w:r w:rsidRPr="003532D0">
        <w:rPr>
          <w:rFonts w:ascii="Arial" w:eastAsia="Times New Roman" w:hAnsi="Arial" w:cs="Arial"/>
          <w:bCs/>
          <w:sz w:val="20"/>
          <w:szCs w:val="20"/>
          <w:lang w:val="en-US"/>
        </w:rPr>
        <w:fldChar w:fldCharType="end"/>
      </w:r>
      <w:r w:rsidRPr="003532D0">
        <w:rPr>
          <w:rFonts w:ascii="Arial" w:eastAsia="Times New Roman" w:hAnsi="Arial" w:cs="Arial"/>
          <w:bCs/>
          <w:sz w:val="20"/>
          <w:szCs w:val="20"/>
          <w:lang w:val="en-US"/>
        </w:rPr>
        <w:t xml:space="preserve">.  Perceived risk will be measured on the basis of questionnaire-based approaches to qualifying perceptions of personal risk (IPQr) </w:t>
      </w:r>
      <w:r w:rsidRPr="003532D0">
        <w:rPr>
          <w:rFonts w:ascii="Arial" w:eastAsia="Times New Roman" w:hAnsi="Arial" w:cs="Arial"/>
          <w:bCs/>
          <w:sz w:val="20"/>
          <w:szCs w:val="20"/>
          <w:lang w:val="en-US"/>
        </w:rPr>
        <w:fldChar w:fldCharType="begin">
          <w:fldData xml:space="preserve">PEVuZE5vdGU+PENpdGU+PEF1dGhvcj5Nb3NzLU1vcnJpczwvQXV0aG9yPjxZZWFyPjIwMDI8L1ll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</w:fldData>
        </w:fldChar>
      </w:r>
      <w:r w:rsidRPr="003532D0">
        <w:rPr>
          <w:rFonts w:ascii="Arial" w:eastAsia="Times New Roman" w:hAnsi="Arial" w:cs="Arial"/>
          <w:bCs/>
          <w:sz w:val="20"/>
          <w:szCs w:val="20"/>
          <w:lang w:val="en-US"/>
        </w:rPr>
        <w:instrText xml:space="preserve"> ADDIN EN.CITE </w:instrText>
      </w:r>
      <w:r w:rsidRPr="003532D0">
        <w:rPr>
          <w:rFonts w:ascii="Arial" w:eastAsia="Times New Roman" w:hAnsi="Arial" w:cs="Arial"/>
          <w:bCs/>
          <w:sz w:val="20"/>
          <w:szCs w:val="20"/>
          <w:lang w:val="en-US"/>
        </w:rPr>
        <w:fldChar w:fldCharType="begin">
          <w:fldData xml:space="preserve">PEVuZE5vdGU+PENpdGU+PEF1dGhvcj5Nb3NzLU1vcnJpczwvQXV0aG9yPjxZZWFyPjIwMDI8L1ll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</w:fldData>
        </w:fldChar>
      </w:r>
      <w:r w:rsidRPr="003532D0">
        <w:rPr>
          <w:rFonts w:ascii="Arial" w:eastAsia="Times New Roman" w:hAnsi="Arial" w:cs="Arial"/>
          <w:bCs/>
          <w:sz w:val="20"/>
          <w:szCs w:val="20"/>
          <w:lang w:val="en-US"/>
        </w:rPr>
        <w:instrText xml:space="preserve"> ADDIN EN.CITE.DATA </w:instrText>
      </w:r>
      <w:r w:rsidRPr="003532D0">
        <w:rPr>
          <w:rFonts w:ascii="Arial" w:eastAsia="Times New Roman" w:hAnsi="Arial" w:cs="Arial"/>
          <w:bCs/>
          <w:sz w:val="20"/>
          <w:szCs w:val="20"/>
          <w:lang w:val="en-US"/>
        </w:rPr>
      </w:r>
      <w:r w:rsidRPr="003532D0">
        <w:rPr>
          <w:rFonts w:ascii="Arial" w:eastAsia="Times New Roman" w:hAnsi="Arial" w:cs="Arial"/>
          <w:bCs/>
          <w:sz w:val="20"/>
          <w:szCs w:val="20"/>
          <w:lang w:val="en-US"/>
        </w:rPr>
        <w:fldChar w:fldCharType="end"/>
      </w:r>
      <w:r w:rsidRPr="003532D0">
        <w:rPr>
          <w:rFonts w:ascii="Arial" w:eastAsia="Times New Roman" w:hAnsi="Arial" w:cs="Arial"/>
          <w:bCs/>
          <w:sz w:val="20"/>
          <w:szCs w:val="20"/>
          <w:lang w:val="en-US"/>
        </w:rPr>
      </w:r>
      <w:r w:rsidRPr="003532D0">
        <w:rPr>
          <w:rFonts w:ascii="Arial" w:eastAsia="Times New Roman" w:hAnsi="Arial" w:cs="Arial"/>
          <w:bCs/>
          <w:sz w:val="20"/>
          <w:szCs w:val="20"/>
          <w:lang w:val="en-US"/>
        </w:rPr>
        <w:fldChar w:fldCharType="separate"/>
      </w:r>
      <w:r w:rsidRPr="003532D0">
        <w:rPr>
          <w:rFonts w:ascii="Arial" w:eastAsia="Times New Roman" w:hAnsi="Arial" w:cs="Arial"/>
          <w:bCs/>
          <w:noProof/>
          <w:sz w:val="20"/>
          <w:szCs w:val="20"/>
          <w:lang w:val="en-US"/>
        </w:rPr>
        <w:t>[</w:t>
      </w:r>
      <w:hyperlink w:anchor="_ENREF_40" w:tooltip="Moss-Morris, 2002 #3437" w:history="1">
        <w:r w:rsidRPr="003532D0">
          <w:rPr>
            <w:rFonts w:ascii="Arial" w:eastAsia="Times New Roman" w:hAnsi="Arial" w:cs="Arial"/>
            <w:bCs/>
            <w:noProof/>
            <w:sz w:val="20"/>
            <w:szCs w:val="20"/>
            <w:lang w:val="en-US"/>
          </w:rPr>
          <w:t>40</w:t>
        </w:r>
      </w:hyperlink>
      <w:r w:rsidRPr="003532D0">
        <w:rPr>
          <w:rFonts w:ascii="Arial" w:eastAsia="Times New Roman" w:hAnsi="Arial" w:cs="Arial"/>
          <w:bCs/>
          <w:noProof/>
          <w:sz w:val="20"/>
          <w:szCs w:val="20"/>
          <w:lang w:val="en-US"/>
        </w:rPr>
        <w:t>]</w:t>
      </w:r>
      <w:r w:rsidRPr="003532D0">
        <w:rPr>
          <w:rFonts w:ascii="Arial" w:eastAsia="Times New Roman" w:hAnsi="Arial" w:cs="Arial"/>
          <w:bCs/>
          <w:sz w:val="20"/>
          <w:szCs w:val="20"/>
          <w:lang w:val="en-US"/>
        </w:rPr>
        <w:fldChar w:fldCharType="end"/>
      </w:r>
      <w:r w:rsidRPr="003532D0">
        <w:rPr>
          <w:rFonts w:ascii="Arial" w:eastAsia="Times New Roman" w:hAnsi="Arial" w:cs="Arial"/>
          <w:bCs/>
          <w:sz w:val="20"/>
          <w:szCs w:val="20"/>
          <w:lang w:val="en-US"/>
        </w:rPr>
        <w:t xml:space="preserve">. </w:t>
      </w:r>
    </w:p>
    <w:p w14:paraId="58ADEC3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On the basis of their survey responses, a small number of participants will be purposively selected (e.g. positive and negative attitudes, high and low adherers) for qualitative interview to explore their perception of risk and adherence behaviours in more depth.  </w:t>
      </w:r>
    </w:p>
    <w:p w14:paraId="234AF90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All patients taking part in the trial will be asked to complete all or some of the questionnaires at specified times (see table 2.2.1). Questionnaires will be administered electronically.  Respondents will complete the survey online whilst in clinic, using an IPad or equivalent tablet device that is designated solely for this trial. Completed survey responses are stored on the Qualtrics secure servers and can only be accessed using a login/ password. Nothing will be recorded on the main trial CRF.</w:t>
      </w:r>
    </w:p>
    <w:p w14:paraId="0E406A9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The questionnaires will be piloted in the first few participants recruited to the Guy’s site.  These respondents will be asked to undergo cognitive interviewing whilst completing the survey, a technique used to ensure the validity of questionnaire items </w:t>
      </w:r>
      <w:r w:rsidRPr="003532D0">
        <w:rPr>
          <w:rFonts w:ascii="Arial" w:eastAsia="Times New Roman" w:hAnsi="Arial" w:cs="Arial"/>
          <w:bCs/>
          <w:sz w:val="20"/>
          <w:szCs w:val="20"/>
        </w:rPr>
        <w:fldChar w:fldCharType="begin"/>
      </w:r>
      <w:r w:rsidRPr="003532D0">
        <w:rPr>
          <w:rFonts w:ascii="Arial" w:eastAsia="Times New Roman" w:hAnsi="Arial" w:cs="Arial"/>
          <w:bCs/>
          <w:sz w:val="20"/>
          <w:szCs w:val="20"/>
        </w:rPr>
        <w:instrText xml:space="preserve"> ADDIN EN.CITE &lt;EndNote&gt;&lt;Cite&gt;&lt;Author&gt;Beatty&lt;/Author&gt;&lt;Year&gt;2007&lt;/Year&gt;&lt;RecNum&gt;3616&lt;/RecNum&gt;&lt;DisplayText&gt;[41]&lt;/DisplayText&gt;&lt;record&gt;&lt;rec-number&gt;3616&lt;/rec-number&gt;&lt;foreign-keys&gt;&lt;key app="EN" db-id="p9vz0d9tmeepwyewd5yvp2v2pr0xafz9xws0"&gt;3616&lt;/key&gt;&lt;/foreign-keys&gt;&lt;ref-type name="Journal Article"&gt;17&lt;/ref-type&gt;&lt;contributors&gt;&lt;authors&gt;&lt;author&gt;Beatty, P. C.&lt;/author&gt;&lt;author&gt;Willis, G. B.&lt;/author&gt;&lt;/authors&gt;&lt;/contributors&gt;&lt;auth-address&gt;Beatty, PC&amp;#xD;Ctr Dis Control &amp;amp; Prevent, Natl Ctr Hlth Stat, 3311 Toeldo Rd,Room 3218, Hyattsville, MD 20782 USA&amp;#xD;Ctr Dis Control &amp;amp; Prevent, Natl Ctr Hlth Stat, 3311 Toeldo Rd,Room 3218, Hyattsville, MD 20782 USA&amp;#xD;Ctr Dis Control &amp;amp; Prevent, Natl Ctr Hlth Stat, Hyattsville, MD 20782 USA&amp;#xD;NCI, NIH, Bethesda, MD 20892 USA&lt;/auth-address&gt;&lt;titles&gt;&lt;title&gt;Research synthesis: The practice of cognitive interviewing&lt;/title&gt;&lt;secondary-title&gt;Public Opinion Quarterly&lt;/secondary-title&gt;&lt;alt-title&gt;Public Opin Quart&lt;/alt-title&gt;&lt;/titles&gt;&lt;periodical&gt;&lt;full-title&gt;Public Opinion Quarterly&lt;/full-title&gt;&lt;abbr-1&gt;Public Opin Quart&lt;/abbr-1&gt;&lt;/periodical&gt;&lt;alt-periodical&gt;&lt;full-title&gt;Public Opinion Quarterly&lt;/full-title&gt;&lt;abbr-1&gt;Public Opin Quart&lt;/abbr-1&gt;&lt;/alt-periodical&gt;&lt;pages&gt;287-311&lt;/pages&gt;&lt;volume&gt;71&lt;/volume&gt;&lt;number&gt;2&lt;/number&gt;&lt;keywords&gt;&lt;keyword&gt;survey questions&lt;/keyword&gt;&lt;keyword&gt;verbal reports&lt;/keyword&gt;&lt;/keywords&gt;&lt;dates&gt;&lt;year&gt;2007&lt;/year&gt;&lt;pub-dates&gt;&lt;date&gt;Sum&lt;/date&gt;&lt;/pub-dates&gt;&lt;/dates&gt;&lt;isbn&gt;0033-362X&lt;/isbn&gt;&lt;accession-num&gt;ISI:000250350500006&lt;/accession-num&gt;&lt;urls&gt;&lt;related-urls&gt;&lt;url&gt;&amp;lt;Go to ISI&amp;gt;://000250350500006&lt;/url&gt;&lt;/related-urls&gt;&lt;/urls&gt;&lt;electronic-resource-num&gt;Doi 10.1093/Poq/Nfm006&lt;/electronic-resource-num&gt;&lt;language&gt;English&lt;/language&gt;&lt;/record&gt;&lt;/Cite&gt;&lt;/EndNote&gt;</w:instrText>
      </w:r>
      <w:r w:rsidRPr="003532D0">
        <w:rPr>
          <w:rFonts w:ascii="Arial" w:eastAsia="Times New Roman" w:hAnsi="Arial" w:cs="Arial"/>
          <w:bCs/>
          <w:sz w:val="20"/>
          <w:szCs w:val="20"/>
        </w:rPr>
        <w:fldChar w:fldCharType="separate"/>
      </w:r>
      <w:r w:rsidRPr="003532D0">
        <w:rPr>
          <w:rFonts w:ascii="Arial" w:eastAsia="Times New Roman" w:hAnsi="Arial" w:cs="Arial"/>
          <w:bCs/>
          <w:noProof/>
          <w:sz w:val="20"/>
          <w:szCs w:val="20"/>
        </w:rPr>
        <w:t>[</w:t>
      </w:r>
      <w:hyperlink w:anchor="_ENREF_41" w:tooltip="Beatty, 2007 #3616" w:history="1">
        <w:r w:rsidRPr="003532D0">
          <w:rPr>
            <w:rFonts w:ascii="Arial" w:eastAsia="Times New Roman" w:hAnsi="Arial" w:cs="Arial"/>
            <w:bCs/>
            <w:noProof/>
            <w:sz w:val="20"/>
            <w:szCs w:val="20"/>
          </w:rPr>
          <w:t>41</w:t>
        </w:r>
      </w:hyperlink>
      <w:r w:rsidRPr="003532D0">
        <w:rPr>
          <w:rFonts w:ascii="Arial" w:eastAsia="Times New Roman" w:hAnsi="Arial" w:cs="Arial"/>
          <w:bCs/>
          <w:noProof/>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On the basis of this pilot, the questionnaire items may undergo minor modification. The ease of utility of the online survey and tablet device will also be evaluated during the pilot. </w:t>
      </w:r>
    </w:p>
    <w:p w14:paraId="58461605"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91" w:name="_Toc248735443"/>
      <w:bookmarkStart w:id="92" w:name="_Toc121909748"/>
      <w:r w:rsidRPr="003532D0">
        <w:rPr>
          <w:rFonts w:ascii="Arial" w:eastAsia="Times New Roman" w:hAnsi="Arial" w:cs="Arial"/>
          <w:b/>
          <w:sz w:val="26"/>
          <w:szCs w:val="26"/>
        </w:rPr>
        <w:t>7. Assessment of Safety</w:t>
      </w:r>
      <w:bookmarkEnd w:id="91"/>
      <w:bookmarkEnd w:id="92"/>
    </w:p>
    <w:p w14:paraId="13C79EA0"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bCs/>
          <w:sz w:val="28"/>
        </w:rPr>
      </w:pPr>
      <w:bookmarkStart w:id="93" w:name="_Toc248735444"/>
      <w:r w:rsidRPr="003532D0">
        <w:rPr>
          <w:rFonts w:ascii="Arial" w:eastAsia="Times New Roman" w:hAnsi="Arial" w:cs="Arial"/>
          <w:b/>
        </w:rPr>
        <w:t>7.1 Specification, Timing and Recording of Safety Parameters.</w:t>
      </w:r>
      <w:bookmarkEnd w:id="93"/>
      <w:r w:rsidRPr="003532D0">
        <w:rPr>
          <w:rFonts w:ascii="Arial" w:eastAsia="Times New Roman" w:hAnsi="Arial" w:cs="Arial"/>
          <w:b/>
          <w:bCs/>
          <w:sz w:val="28"/>
        </w:rPr>
        <w:t xml:space="preserve"> </w:t>
      </w:r>
    </w:p>
    <w:p w14:paraId="6C1D2DAC"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366E1F9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following safety parameters will be assessed as formal end-points for the trial:</w:t>
      </w:r>
    </w:p>
    <w:p w14:paraId="39BF94E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Patient survival.</w:t>
      </w:r>
    </w:p>
    <w:p w14:paraId="05BFB3E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Rates of culture- or PCR-positive infection, biopsy-proven malignancy and diabetes mellitus. – these will be assessed at each formal study visit.</w:t>
      </w:r>
    </w:p>
    <w:p w14:paraId="2665DD9E"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2CF3C66C"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Patient survival will be measured from day of recruitment.  All deaths will be recorded, along with the cause and date, on the CRF.</w:t>
      </w:r>
    </w:p>
    <w:p w14:paraId="1F0FF6C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Infection; This will be defined as a positive microbiological culture or other test (such as PCR) confirming viral, bacterial or fungal replication in association with specific symptoms.  Also, clinical episodes with classical presentations and signs (such as ‘shingles’ due to Herpes zoster) or episodes with confirmatory imaging of infection (for instance, consolidation on lung imaging) will be regarded as an infective episode and recorded.</w:t>
      </w:r>
    </w:p>
    <w:p w14:paraId="427AE61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Malignancy; this will be defined by histopathological confirmation of malignancy on a biopsy of any suspicious lesion. The site of malignancy and the biopsy report (where available) will be filled in the CRF.</w:t>
      </w:r>
    </w:p>
    <w:p w14:paraId="7FD9EA3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Diabetes Mellitus; potential new cases of diabetes mellitus will be identified by elevated serum glucose and HbA1C measurements at study assessments and where possible, glucose measurements in between will be recorded on CRF. Standard WHO definitions for diagnosis of DM will be used to confirm diagnosis.</w:t>
      </w:r>
    </w:p>
    <w:p w14:paraId="65FBA628"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94" w:name="_Toc248735445"/>
      <w:r w:rsidRPr="003532D0">
        <w:rPr>
          <w:rFonts w:ascii="Arial" w:eastAsia="Times New Roman" w:hAnsi="Arial" w:cs="Arial"/>
          <w:b/>
        </w:rPr>
        <w:t>7.2  Procedures for Recording and Reporting Adverse Events</w:t>
      </w:r>
      <w:bookmarkEnd w:id="94"/>
    </w:p>
    <w:p w14:paraId="02224CB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Recording of adverse events in the eCRF for OuTSMART will use the following definitions of expectedness reported below which are based on those listed in the SmPC for each IMP.</w:t>
      </w:r>
    </w:p>
    <w:p w14:paraId="78E699F7"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41AD987C"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
          <w:bCs/>
          <w:sz w:val="20"/>
          <w:szCs w:val="20"/>
        </w:rPr>
        <w:t>Adverse Event (AE):</w:t>
      </w:r>
      <w:r w:rsidRPr="003532D0">
        <w:rPr>
          <w:rFonts w:ascii="Arial" w:eastAsia="Times New Roman" w:hAnsi="Arial" w:cs="Arial"/>
          <w:bCs/>
          <w:sz w:val="20"/>
          <w:szCs w:val="20"/>
        </w:rPr>
        <w:t xml:space="preserve"> Any untoward medical occurrence in a subject to whom an IMP has been administered including occurrences which are not necessarily caused by or related to that product.</w:t>
      </w:r>
    </w:p>
    <w:p w14:paraId="3BBFB24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
          <w:bCs/>
          <w:sz w:val="20"/>
          <w:szCs w:val="20"/>
        </w:rPr>
        <w:t>Adverse Reaction (AR):</w:t>
      </w:r>
      <w:r w:rsidRPr="003532D0">
        <w:rPr>
          <w:rFonts w:ascii="Arial" w:eastAsia="Times New Roman" w:hAnsi="Arial" w:cs="Arial"/>
          <w:bCs/>
          <w:sz w:val="20"/>
          <w:szCs w:val="20"/>
        </w:rPr>
        <w:t xml:space="preserve"> Any untoward and unintended response in a subject to an IMP which is related to any dose administered to that subject.</w:t>
      </w:r>
    </w:p>
    <w:p w14:paraId="4427107B"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
          <w:bCs/>
          <w:sz w:val="20"/>
          <w:szCs w:val="20"/>
        </w:rPr>
        <w:t>Unexpected Adverse Reaction (UAR):</w:t>
      </w:r>
      <w:r w:rsidRPr="003532D0">
        <w:rPr>
          <w:rFonts w:ascii="Arial" w:eastAsia="Times New Roman" w:hAnsi="Arial" w:cs="Arial"/>
          <w:bCs/>
          <w:sz w:val="20"/>
          <w:szCs w:val="20"/>
        </w:rPr>
        <w:t xml:space="preserve"> An adverse reaction the nature and severity of which is not consistent with the information about the IMP in question set out in the summary of product characteristics (SmPC) for that product.</w:t>
      </w:r>
    </w:p>
    <w:p w14:paraId="29B00B7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
          <w:bCs/>
          <w:sz w:val="20"/>
          <w:szCs w:val="20"/>
        </w:rPr>
        <w:t>Serious Adverse Event (SAE):</w:t>
      </w:r>
      <w:r w:rsidRPr="003532D0">
        <w:rPr>
          <w:rFonts w:ascii="Arial" w:eastAsia="Times New Roman" w:hAnsi="Arial" w:cs="Arial"/>
          <w:bCs/>
          <w:sz w:val="20"/>
          <w:szCs w:val="20"/>
        </w:rPr>
        <w:t xml:space="preserve"> Serious Adverse Reaction (SAR) or Unexpected Serious Adverse Reaction (USAR): Any adverse event, adverse reaction or unexpected adverse reaction, respectively, that</w:t>
      </w:r>
    </w:p>
    <w:p w14:paraId="61B574D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b/>
        <w:t>Results in death;</w:t>
      </w:r>
    </w:p>
    <w:p w14:paraId="0950C31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b/>
        <w:t>Is life-threatening;</w:t>
      </w:r>
    </w:p>
    <w:p w14:paraId="7A59E2EF"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b/>
        <w:t>Required hospitalisation or prolongation of existing hospitalisation;</w:t>
      </w:r>
    </w:p>
    <w:p w14:paraId="6563DBE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b/>
        <w:t>Results in persistent or significant disability or incapacity;</w:t>
      </w:r>
    </w:p>
    <w:p w14:paraId="42F7976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lastRenderedPageBreak/>
        <w:tab/>
        <w:t>Consists of a congenital anomaly or birth defect.</w:t>
      </w:r>
    </w:p>
    <w:p w14:paraId="2F789254"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3F926BAB"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This trial fulfils the criteria for a ‘Type A’ trial (i.e. risk no higher than that of standard care). Therefore, there will be reduced reporting of adverse events to the Sponsor and the MHRA. In this trial, SAE’s will be reported on only those patients in who, medication is assigned IMP status i.e. those in the unblinded HLA Ab positive arm who have undergone optimisation. In addition, only serious adverse events that fulfil the following criteria will be reported to the sponsor and MHRA:</w:t>
      </w:r>
    </w:p>
    <w:p w14:paraId="6F396013" w14:textId="77777777" w:rsidR="003532D0" w:rsidRPr="003532D0" w:rsidRDefault="003532D0" w:rsidP="003532D0">
      <w:pPr>
        <w:numPr>
          <w:ilvl w:val="0"/>
          <w:numId w:val="9"/>
        </w:num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 result in death</w:t>
      </w:r>
    </w:p>
    <w:p w14:paraId="0727BAC2" w14:textId="77777777" w:rsidR="003532D0" w:rsidRPr="003532D0" w:rsidRDefault="003532D0" w:rsidP="003532D0">
      <w:pPr>
        <w:numPr>
          <w:ilvl w:val="0"/>
          <w:numId w:val="9"/>
        </w:num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 require hospitalisations resulting in kidney graft failure</w:t>
      </w:r>
    </w:p>
    <w:p w14:paraId="1A344FB6" w14:textId="77777777" w:rsidR="003532D0" w:rsidRPr="003532D0" w:rsidRDefault="003532D0" w:rsidP="003532D0">
      <w:pPr>
        <w:numPr>
          <w:ilvl w:val="0"/>
          <w:numId w:val="9"/>
        </w:num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are SAR’s that would prompt yellow-card reporting in the blinded arm of the trial.</w:t>
      </w:r>
    </w:p>
    <w:p w14:paraId="63E2CB89" w14:textId="77777777" w:rsidR="003532D0" w:rsidRPr="003532D0" w:rsidRDefault="003532D0" w:rsidP="003532D0">
      <w:pPr>
        <w:spacing w:before="120" w:after="120" w:line="240" w:lineRule="auto"/>
        <w:contextualSpacing/>
        <w:rPr>
          <w:rFonts w:ascii="Arial" w:eastAsia="Times New Roman" w:hAnsi="Arial" w:cs="Arial"/>
          <w:bCs/>
          <w:iCs/>
          <w:sz w:val="20"/>
          <w:szCs w:val="20"/>
        </w:rPr>
      </w:pPr>
      <w:r w:rsidRPr="003532D0">
        <w:rPr>
          <w:rFonts w:ascii="Arial" w:eastAsia="Times New Roman" w:hAnsi="Arial" w:cs="Arial"/>
          <w:bCs/>
          <w:iCs/>
          <w:sz w:val="20"/>
          <w:szCs w:val="20"/>
        </w:rPr>
        <w:t>In the very unlikely event of pregnancy, study subjects will not be withdrawn from the treatment. The study IMP is used as per standard of care and treatment will be optimised specifically for the patient. Therefore the risk is not greater than that of standard of care. Thus, even though</w:t>
      </w:r>
      <w:r w:rsidRPr="003532D0">
        <w:rPr>
          <w:rFonts w:ascii="Arial" w:eastAsia="Times New Roman" w:hAnsi="Arial" w:cs="Arial"/>
          <w:bCs/>
          <w:sz w:val="20"/>
          <w:szCs w:val="20"/>
        </w:rPr>
        <w:t xml:space="preserve"> it is not a serious adverse event, any unplanned pregnancy in patients taking the IMP will be reported via the SAE reporting system as stated below.</w:t>
      </w:r>
    </w:p>
    <w:p w14:paraId="0EA73F7B"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 We will not report important medical events (IME).</w:t>
      </w:r>
    </w:p>
    <w:p w14:paraId="413B1D10"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95" w:name="_Toc248735446"/>
      <w:r w:rsidRPr="003532D0">
        <w:rPr>
          <w:rFonts w:ascii="Arial" w:eastAsia="Times New Roman" w:hAnsi="Arial" w:cs="Arial"/>
          <w:b/>
        </w:rPr>
        <w:t>7.3 Reporting Responsibilities</w:t>
      </w:r>
      <w:bookmarkEnd w:id="95"/>
    </w:p>
    <w:p w14:paraId="13D6BE50"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King’s College London and GSTT have delegated the delivery of the Sponsor’s responsibility for Pharmacovigilance (as defined in Regulation 5 of the Medicines for Human Use (Clinical Trials) Regulations 2004 to the King’s Health Partner’s (KHP) Clinical Trials Office (CTO). </w:t>
      </w:r>
    </w:p>
    <w:p w14:paraId="304FD230"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013F4E16" w14:textId="77777777" w:rsidR="003532D0" w:rsidRPr="003532D0" w:rsidRDefault="003532D0" w:rsidP="003532D0">
      <w:pPr>
        <w:spacing w:before="120" w:after="120" w:line="240" w:lineRule="auto"/>
        <w:contextualSpacing/>
        <w:rPr>
          <w:rFonts w:ascii="Arial" w:eastAsia="Times New Roman" w:hAnsi="Arial" w:cs="Arial"/>
          <w:bCs/>
          <w:iCs/>
          <w:color w:val="000000"/>
          <w:sz w:val="20"/>
          <w:szCs w:val="20"/>
        </w:rPr>
      </w:pPr>
      <w:r w:rsidRPr="003532D0">
        <w:rPr>
          <w:rFonts w:ascii="Arial" w:eastAsia="Times New Roman" w:hAnsi="Arial" w:cs="Arial"/>
          <w:bCs/>
          <w:sz w:val="20"/>
          <w:szCs w:val="20"/>
        </w:rPr>
        <w:t xml:space="preserve">The PIs on each site will take responsibility for reporting all adverse events (and pregnancy) to the Chief Investigator. All SAEs, SARs and SUSARs (excepting those specified in this protocol as not requiring reporting – see above) will be reported by the local investigators on the SAE form provided by the KHP CTO to the Chief Investigator, </w:t>
      </w:r>
      <w:r w:rsidRPr="003532D0">
        <w:rPr>
          <w:rFonts w:ascii="Arial" w:eastAsia="Times New Roman" w:hAnsi="Arial" w:cs="Arial"/>
          <w:bCs/>
          <w:i/>
          <w:sz w:val="20"/>
          <w:szCs w:val="20"/>
        </w:rPr>
        <w:t xml:space="preserve">immediately they become aware, </w:t>
      </w:r>
      <w:r w:rsidRPr="003532D0">
        <w:rPr>
          <w:rFonts w:ascii="Arial" w:eastAsia="Times New Roman" w:hAnsi="Arial" w:cs="Arial"/>
          <w:bCs/>
          <w:sz w:val="20"/>
          <w:szCs w:val="20"/>
        </w:rPr>
        <w:t xml:space="preserve">and by </w:t>
      </w:r>
      <w:r w:rsidRPr="003532D0">
        <w:rPr>
          <w:rFonts w:ascii="Arial" w:eastAsia="Times New Roman" w:hAnsi="Arial" w:cs="Arial"/>
          <w:bCs/>
          <w:color w:val="000000"/>
          <w:sz w:val="20"/>
          <w:szCs w:val="20"/>
        </w:rPr>
        <w:t xml:space="preserve">the Chief Investigator to </w:t>
      </w:r>
      <w:r w:rsidRPr="003532D0">
        <w:rPr>
          <w:rFonts w:ascii="Arial" w:eastAsia="Times New Roman" w:hAnsi="Arial" w:cs="Arial"/>
          <w:bCs/>
          <w:iCs/>
          <w:color w:val="000000"/>
          <w:sz w:val="20"/>
          <w:szCs w:val="20"/>
        </w:rPr>
        <w:t>the KHP CTO in accordance with the current Pharmacovigilance Policy. SAEs will be reported up to the last intensive visit (i.e. either at 32-months or up to 64 months) of each recruit.</w:t>
      </w:r>
    </w:p>
    <w:p w14:paraId="74A362E1"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3B15371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All deaths will be reported as SAEs. Those that occur as a result of disease progression and other events that are primary or secondary outcome measures will also be reported on the appropriate CRF.</w:t>
      </w:r>
    </w:p>
    <w:p w14:paraId="37F05623"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1A25473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iCs/>
          <w:sz w:val="20"/>
          <w:szCs w:val="20"/>
          <w:lang w:val="en-US"/>
        </w:rPr>
        <w:t>Important Medical Events that may not be immediately life-threatening or result in death or hospitalisation but may jeopardise the patient or may require intervention to prevent one of the other outcomes listed in the SAE definition should also be considered serious. However, as stated, we will not report IMEs to the sponsor unless fulfilling the criteria for SAE reporting set out above.</w:t>
      </w:r>
    </w:p>
    <w:p w14:paraId="232911C6"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799B8CC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KHP CTO will report SUSARs to the regulatory authorities (MHRA, competent authorities of other EEA (European Economic Area) states in which the trial is taking place.</w:t>
      </w:r>
    </w:p>
    <w:p w14:paraId="5F74A2C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Chief Investigator will report to the relevant ethics committee. Reporting timelines are as follows:</w:t>
      </w:r>
    </w:p>
    <w:p w14:paraId="1896A410" w14:textId="77777777" w:rsidR="003532D0" w:rsidRPr="003532D0" w:rsidRDefault="003532D0" w:rsidP="003532D0">
      <w:pPr>
        <w:numPr>
          <w:ilvl w:val="0"/>
          <w:numId w:val="5"/>
        </w:num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SUSARs which are fatal or life-threatening must be reported not later than 7 days after the sponsor is first aware of the reaction. Any additional relevant information must be reported within a further 8 days.</w:t>
      </w:r>
    </w:p>
    <w:p w14:paraId="6620AA84" w14:textId="77777777" w:rsidR="003532D0" w:rsidRPr="003532D0" w:rsidRDefault="003532D0" w:rsidP="003532D0">
      <w:pPr>
        <w:numPr>
          <w:ilvl w:val="0"/>
          <w:numId w:val="5"/>
        </w:num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SUSARs that are not fatal or life-threatening must be reported within 15 days of the sponsor first becoming aware of the reaction.  </w:t>
      </w:r>
    </w:p>
    <w:p w14:paraId="0E3A665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The Chief Investigator and KHP CTO (on behalf of the </w:t>
      </w:r>
      <w:r w:rsidRPr="003532D0">
        <w:rPr>
          <w:rFonts w:ascii="Arial" w:eastAsia="Times New Roman" w:hAnsi="Arial" w:cs="Arial"/>
          <w:bCs/>
          <w:i/>
          <w:sz w:val="20"/>
          <w:szCs w:val="20"/>
        </w:rPr>
        <w:t>co</w:t>
      </w:r>
      <w:r w:rsidRPr="003532D0">
        <w:rPr>
          <w:rFonts w:ascii="Arial" w:eastAsia="Times New Roman" w:hAnsi="Arial" w:cs="Arial"/>
          <w:bCs/>
          <w:sz w:val="20"/>
          <w:szCs w:val="20"/>
        </w:rPr>
        <w:t>-sponsors), will submit a Development Safety Update Report (DSUR) relating to this trial’s IMPs, to the MHRA and REC annually.</w:t>
      </w:r>
    </w:p>
    <w:p w14:paraId="7174F005" w14:textId="77777777" w:rsidR="003532D0" w:rsidRPr="003532D0" w:rsidRDefault="003532D0" w:rsidP="003532D0">
      <w:pPr>
        <w:spacing w:before="240" w:after="60" w:line="240" w:lineRule="auto"/>
        <w:ind w:left="1440"/>
        <w:contextualSpacing/>
        <w:outlineLvl w:val="4"/>
        <w:rPr>
          <w:rFonts w:ascii="Arial" w:eastAsia="Times New Roman" w:hAnsi="Arial" w:cs="Arial"/>
          <w:b/>
          <w:iCs/>
          <w:sz w:val="20"/>
          <w:szCs w:val="20"/>
        </w:rPr>
      </w:pPr>
      <w:bookmarkStart w:id="96" w:name="_Toc248735447"/>
      <w:r w:rsidRPr="003532D0">
        <w:rPr>
          <w:rFonts w:ascii="Arial" w:eastAsia="Times New Roman" w:hAnsi="Arial" w:cs="Arial"/>
          <w:b/>
          <w:iCs/>
          <w:sz w:val="20"/>
          <w:szCs w:val="20"/>
        </w:rPr>
        <w:t>7.3.1 Adverse events that do not require reporting</w:t>
      </w:r>
      <w:bookmarkEnd w:id="96"/>
    </w:p>
    <w:p w14:paraId="2E28D68B"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In the unblinded HLA Ab positive groups receiving IMPs:</w:t>
      </w:r>
    </w:p>
    <w:p w14:paraId="6FBB6D8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 Events or reactions listed in the SmPC for each of the IMPs do not need reporting for this trial (see http://www.medicines.org.uk/emc), unless they are SAEs according to trial reporting guidelines above. A summary of AEs from the SmPCs are included in appendix 1. </w:t>
      </w:r>
    </w:p>
    <w:p w14:paraId="0465EED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AE’s not thought to be related to the IMP must be recorded in the eCRF but do not need reporting, unless they are SAE’s according to trial reporting guidelines above.</w:t>
      </w:r>
    </w:p>
    <w:p w14:paraId="5588B8CC"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79264C4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lastRenderedPageBreak/>
        <w:t>In all other study (Non-IMP-receiving) groups:</w:t>
      </w:r>
    </w:p>
    <w:p w14:paraId="4D48A49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 AEs and SAEs occurring in subjects not administered an IMP must be recorded in the eCRF but do not need reporting to the sponsor/MHRA.  </w:t>
      </w:r>
    </w:p>
    <w:p w14:paraId="76DF379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AR’s in these subjects should be reported using the standard yellow form system</w:t>
      </w:r>
    </w:p>
    <w:p w14:paraId="6C650DB9"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7BCC58E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In all groups:</w:t>
      </w:r>
    </w:p>
    <w:p w14:paraId="697CA3DC"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Hospital admissions occurring as a result of a planned or elective admission for any reason will not be regarded as SAE according to trial reporting guidelines above unless the site PI decides they need reporting, in which case the procedure above should be followed. All adverse events should be recorded throughout the trial, by the PIs within 28 days of becoming aware.</w:t>
      </w:r>
    </w:p>
    <w:p w14:paraId="6DA7236F"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40074479"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97" w:name="_Toc248735448"/>
      <w:r w:rsidRPr="003532D0">
        <w:rPr>
          <w:rFonts w:ascii="Arial" w:eastAsia="Times New Roman" w:hAnsi="Arial" w:cs="Arial"/>
          <w:b/>
        </w:rPr>
        <w:t>7.4 Treatment Stopping Rules</w:t>
      </w:r>
      <w:bookmarkEnd w:id="97"/>
    </w:p>
    <w:p w14:paraId="71DAA634"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6C270755"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trial will stop recruiting once 165 HLA Ab positive DSA patients have been recruited, including patients who are HLA Ab positive with DSA antibodies at baseline and those who become HLA Ab positive DSA at the 8-monthly rescreening rounds.</w:t>
      </w:r>
    </w:p>
    <w:p w14:paraId="30513E31"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37CBB07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trial may be prematurely discontinued by the Sponsor, Chief Investigator or Regulatory Authority on the basis of new safety information or for other reasons given by the Data Monitoring &amp; Ethics Committee / Trial Steering Committee regulatory authority or ethics committee concerned.</w:t>
      </w:r>
    </w:p>
    <w:p w14:paraId="1C3CECAB"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68501B2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trial may also be prematurely discontinued due to lack of recruitment or upon advice from a Trial Steering Committee who will advise on whether to continue or discontinue the study and make a recommendation to the sponsor.  If the study is prematurely discontinued, active participants will be informed and no further participant data will be collected</w:t>
      </w:r>
    </w:p>
    <w:p w14:paraId="642DDE56"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4EB7742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Earlier termination </w:t>
      </w:r>
      <w:r w:rsidRPr="003532D0">
        <w:rPr>
          <w:rFonts w:ascii="Arial" w:eastAsia="Times New Roman" w:hAnsi="Arial" w:cs="Arial"/>
          <w:bCs/>
          <w:i/>
          <w:sz w:val="20"/>
          <w:szCs w:val="20"/>
        </w:rPr>
        <w:t>will be considered</w:t>
      </w:r>
      <w:r w:rsidRPr="003532D0">
        <w:rPr>
          <w:rFonts w:ascii="Arial" w:eastAsia="Times New Roman" w:hAnsi="Arial" w:cs="Arial"/>
          <w:bCs/>
          <w:sz w:val="20"/>
          <w:szCs w:val="20"/>
        </w:rPr>
        <w:t xml:space="preserve"> by the Data Monitoring committee if there is a significant excess of adverse events in the intervention arm.</w:t>
      </w:r>
    </w:p>
    <w:p w14:paraId="6EF050D0"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14592870"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98" w:name="_Toc248735449"/>
      <w:bookmarkStart w:id="99" w:name="_Toc121909749"/>
      <w:r w:rsidRPr="003532D0">
        <w:rPr>
          <w:rFonts w:ascii="Arial" w:eastAsia="Times New Roman" w:hAnsi="Arial" w:cs="Arial"/>
          <w:b/>
          <w:sz w:val="26"/>
          <w:szCs w:val="26"/>
        </w:rPr>
        <w:t>8. Statistics</w:t>
      </w:r>
      <w:bookmarkEnd w:id="98"/>
      <w:bookmarkEnd w:id="99"/>
    </w:p>
    <w:p w14:paraId="3B710151"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100" w:name="_Toc248735450"/>
      <w:r w:rsidRPr="003532D0">
        <w:rPr>
          <w:rFonts w:ascii="Arial" w:eastAsia="Times New Roman" w:hAnsi="Arial" w:cs="Arial"/>
          <w:b/>
        </w:rPr>
        <w:t>8.1 Sample Size</w:t>
      </w:r>
      <w:bookmarkEnd w:id="100"/>
    </w:p>
    <w:p w14:paraId="794C55D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The primary purpose of this trial is to demonstrate superior outcomes using a defined treatment strategy in biomarker (HLA Ab) positive patients, and at the same time demonstrate non-inferior outcomes when the unblinded screening strategy is applied to the entire patient population. Time to graft failure  has been chosen as a clinically relevant primary outcome. As a reference for power calculations, we have used the observed failure rates reported by Lachmann et al. </w:t>
      </w:r>
      <w:r w:rsidRPr="003532D0">
        <w:rPr>
          <w:rFonts w:ascii="Arial" w:eastAsia="Times New Roman" w:hAnsi="Arial" w:cs="Arial"/>
          <w:bCs/>
          <w:sz w:val="20"/>
          <w:szCs w:val="20"/>
        </w:rPr>
        <w:fldChar w:fldCharType="begin">
          <w:fldData xml:space="preserve">PEVuZE5vdGU+PENpdGU+PEF1dGhvcj5MYWNobWFubjwvQXV0aG9yPjxZZWFyPjIwMDk8L1llYXI+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==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PEVuZE5vdGU+PENpdGU+PEF1dGhvcj5MYWNobWFubjwvQXV0aG9yPjxZZWFyPjIwMDk8L1llYXI+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==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8" w:tooltip="Lachmann, 2009 #3428" w:history="1">
        <w:r w:rsidRPr="003532D0">
          <w:rPr>
            <w:rFonts w:ascii="Arial" w:eastAsia="Times New Roman" w:hAnsi="Arial" w:cs="Arial"/>
            <w:bCs/>
            <w:sz w:val="20"/>
            <w:szCs w:val="20"/>
          </w:rPr>
          <w:t>8</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xml:space="preserve"> for HLA Ab+ and HLA Ab-neg patients. Since failure rates differ between DSA+ and non-DSA+ patients, sample size calculations have been carried out separately for these groups. Following these calculations, we have estimated the number to be screened, based on expected drop out rates, expected screening results and eligibility criteria (see below).</w:t>
      </w:r>
    </w:p>
    <w:p w14:paraId="00861C0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
          <w:bCs/>
          <w:i/>
          <w:sz w:val="20"/>
          <w:szCs w:val="20"/>
        </w:rPr>
        <w:t xml:space="preserve"> </w:t>
      </w:r>
      <w:r w:rsidRPr="003532D0">
        <w:rPr>
          <w:rFonts w:ascii="Arial" w:eastAsia="Times New Roman" w:hAnsi="Arial" w:cs="Arial"/>
          <w:bCs/>
          <w:sz w:val="20"/>
          <w:szCs w:val="20"/>
        </w:rPr>
        <w:t xml:space="preserve">We have based our estimates of the </w:t>
      </w:r>
      <w:r w:rsidRPr="003532D0">
        <w:rPr>
          <w:rFonts w:ascii="Arial" w:eastAsia="Times New Roman" w:hAnsi="Arial" w:cs="Arial"/>
          <w:bCs/>
          <w:i/>
          <w:sz w:val="20"/>
          <w:szCs w:val="20"/>
        </w:rPr>
        <w:t>differences</w:t>
      </w:r>
      <w:r w:rsidRPr="003532D0">
        <w:rPr>
          <w:rFonts w:ascii="Arial" w:eastAsia="Times New Roman" w:hAnsi="Arial" w:cs="Arial"/>
          <w:bCs/>
          <w:sz w:val="20"/>
          <w:szCs w:val="20"/>
        </w:rPr>
        <w:t xml:space="preserve"> in primary outcome between groups on two things; first, the results of our preliminary data from patients with CR treated with a similar regime as used here; second, our assessment that large differences in primary outcome will be needed to make the screening programme cost-effective.</w:t>
      </w:r>
    </w:p>
    <w:p w14:paraId="33ED38CB"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2EA882D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Hypotheses and power calculations: (group labels refer to flow diagram in section 2.3)</w:t>
      </w:r>
    </w:p>
    <w:p w14:paraId="11B02ED7" w14:textId="77777777" w:rsidR="003532D0" w:rsidRPr="003532D0" w:rsidRDefault="003532D0" w:rsidP="003532D0">
      <w:pPr>
        <w:numPr>
          <w:ilvl w:val="0"/>
          <w:numId w:val="7"/>
        </w:num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Superiority on Biomarker Positive Patients:</w:t>
      </w:r>
    </w:p>
    <w:p w14:paraId="2F0196D5" w14:textId="77777777" w:rsidR="003532D0" w:rsidRPr="003532D0" w:rsidRDefault="003532D0" w:rsidP="003532D0">
      <w:pPr>
        <w:spacing w:before="120" w:after="120" w:line="240" w:lineRule="auto"/>
        <w:ind w:left="360"/>
        <w:contextualSpacing/>
        <w:rPr>
          <w:rFonts w:ascii="Arial" w:eastAsia="Times New Roman" w:hAnsi="Arial" w:cs="Arial"/>
          <w:bCs/>
          <w:sz w:val="20"/>
          <w:szCs w:val="20"/>
        </w:rPr>
      </w:pPr>
    </w:p>
    <w:p w14:paraId="6B04255B" w14:textId="77777777" w:rsidR="003532D0" w:rsidRPr="003532D0" w:rsidRDefault="003532D0" w:rsidP="003532D0">
      <w:pPr>
        <w:numPr>
          <w:ilvl w:val="1"/>
          <w:numId w:val="7"/>
        </w:num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w:t>
      </w:r>
      <w:r w:rsidRPr="003532D0">
        <w:rPr>
          <w:rFonts w:ascii="Arial" w:eastAsia="Times New Roman" w:hAnsi="Arial" w:cs="Arial"/>
          <w:bCs/>
          <w:sz w:val="20"/>
          <w:szCs w:val="20"/>
          <w:vertAlign w:val="subscript"/>
        </w:rPr>
        <w:t>1</w:t>
      </w:r>
      <w:r w:rsidRPr="003532D0">
        <w:rPr>
          <w:rFonts w:ascii="Arial" w:eastAsia="Times New Roman" w:hAnsi="Arial" w:cs="Arial"/>
          <w:bCs/>
          <w:sz w:val="20"/>
          <w:szCs w:val="20"/>
        </w:rPr>
        <w:t>&gt;B</w:t>
      </w:r>
      <w:r w:rsidRPr="003532D0">
        <w:rPr>
          <w:rFonts w:ascii="Arial" w:eastAsia="Times New Roman" w:hAnsi="Arial" w:cs="Arial"/>
          <w:bCs/>
          <w:sz w:val="20"/>
          <w:szCs w:val="20"/>
          <w:vertAlign w:val="subscript"/>
        </w:rPr>
        <w:t>1</w:t>
      </w:r>
      <w:r w:rsidRPr="003532D0">
        <w:rPr>
          <w:rFonts w:ascii="Arial" w:eastAsia="Times New Roman" w:hAnsi="Arial" w:cs="Arial"/>
          <w:bCs/>
          <w:sz w:val="20"/>
          <w:szCs w:val="20"/>
        </w:rPr>
        <w:t xml:space="preserve"> : HLA Ab+ patients, with DSA, randomized to standard care (A</w:t>
      </w:r>
      <w:r w:rsidRPr="003532D0">
        <w:rPr>
          <w:rFonts w:ascii="Arial" w:eastAsia="Times New Roman" w:hAnsi="Arial" w:cs="Arial"/>
          <w:bCs/>
          <w:sz w:val="20"/>
          <w:szCs w:val="20"/>
          <w:vertAlign w:val="subscript"/>
        </w:rPr>
        <w:t>1</w:t>
      </w:r>
      <w:r w:rsidRPr="003532D0">
        <w:rPr>
          <w:rFonts w:ascii="Arial" w:eastAsia="Times New Roman" w:hAnsi="Arial" w:cs="Arial"/>
          <w:bCs/>
          <w:sz w:val="20"/>
          <w:szCs w:val="20"/>
        </w:rPr>
        <w:t>) will show higher graft failure rates than patients randomized to biomarker-led care (B</w:t>
      </w:r>
      <w:r w:rsidRPr="003532D0">
        <w:rPr>
          <w:rFonts w:ascii="Arial" w:eastAsia="Times New Roman" w:hAnsi="Arial" w:cs="Arial"/>
          <w:bCs/>
          <w:sz w:val="20"/>
          <w:szCs w:val="20"/>
          <w:vertAlign w:val="subscript"/>
        </w:rPr>
        <w:t>1</w:t>
      </w:r>
      <w:r w:rsidRPr="003532D0">
        <w:rPr>
          <w:rFonts w:ascii="Arial" w:eastAsia="Times New Roman" w:hAnsi="Arial" w:cs="Arial"/>
          <w:bCs/>
          <w:sz w:val="20"/>
          <w:szCs w:val="20"/>
        </w:rPr>
        <w:t>). We hypothesize that the experimental treatment will bring the failure rate in group B</w:t>
      </w:r>
      <w:r w:rsidRPr="003532D0">
        <w:rPr>
          <w:rFonts w:ascii="Arial" w:eastAsia="Times New Roman" w:hAnsi="Arial" w:cs="Arial"/>
          <w:bCs/>
          <w:sz w:val="20"/>
          <w:szCs w:val="20"/>
          <w:vertAlign w:val="subscript"/>
        </w:rPr>
        <w:t>1</w:t>
      </w:r>
      <w:r w:rsidRPr="003532D0">
        <w:rPr>
          <w:rFonts w:ascii="Arial" w:eastAsia="Times New Roman" w:hAnsi="Arial" w:cs="Arial"/>
          <w:bCs/>
          <w:sz w:val="20"/>
          <w:szCs w:val="20"/>
        </w:rPr>
        <w:t xml:space="preserve"> down to that of non-DSA patients in standard care (A</w:t>
      </w:r>
      <w:r w:rsidRPr="003532D0">
        <w:rPr>
          <w:rFonts w:ascii="Arial" w:eastAsia="Times New Roman" w:hAnsi="Arial" w:cs="Arial"/>
          <w:bCs/>
          <w:sz w:val="20"/>
          <w:szCs w:val="20"/>
          <w:vertAlign w:val="subscript"/>
        </w:rPr>
        <w:t>2</w:t>
      </w:r>
      <w:r w:rsidRPr="003532D0">
        <w:rPr>
          <w:rFonts w:ascii="Arial" w:eastAsia="Times New Roman" w:hAnsi="Arial" w:cs="Arial"/>
          <w:bCs/>
          <w:sz w:val="20"/>
          <w:szCs w:val="20"/>
        </w:rPr>
        <w:t>). Assuming that 30% of patients with DSA randomised to standard care (A</w:t>
      </w:r>
      <w:r w:rsidRPr="003532D0">
        <w:rPr>
          <w:rFonts w:ascii="Arial" w:eastAsia="Times New Roman" w:hAnsi="Arial" w:cs="Arial"/>
          <w:bCs/>
          <w:sz w:val="20"/>
          <w:szCs w:val="20"/>
          <w:vertAlign w:val="subscript"/>
        </w:rPr>
        <w:t>1</w:t>
      </w:r>
      <w:r w:rsidRPr="003532D0">
        <w:rPr>
          <w:rFonts w:ascii="Arial" w:eastAsia="Times New Roman" w:hAnsi="Arial" w:cs="Arial"/>
          <w:bCs/>
          <w:sz w:val="20"/>
          <w:szCs w:val="20"/>
        </w:rPr>
        <w:t>) will have experienced chronic rejection (CR) by 3-years follow up, we expect treatment optimisation to reduce the rate of CR in DSA patients randomised to group B</w:t>
      </w:r>
      <w:r w:rsidRPr="003532D0">
        <w:rPr>
          <w:rFonts w:ascii="Arial" w:eastAsia="Times New Roman" w:hAnsi="Arial" w:cs="Arial"/>
          <w:bCs/>
          <w:sz w:val="20"/>
          <w:szCs w:val="20"/>
          <w:vertAlign w:val="subscript"/>
        </w:rPr>
        <w:t xml:space="preserve">1 </w:t>
      </w:r>
      <w:r w:rsidRPr="003532D0">
        <w:rPr>
          <w:rFonts w:ascii="Arial" w:eastAsia="Times New Roman" w:hAnsi="Arial" w:cs="Arial"/>
          <w:bCs/>
          <w:sz w:val="20"/>
          <w:szCs w:val="20"/>
        </w:rPr>
        <w:t xml:space="preserve">down to 16% at 3-years follow up (rate observed in patients with non-DSA). This corresponds to a Hazard ratio (HR) of 0.489. The expectation is for 11% and 21% of CR among patients with DSA in in </w:t>
      </w:r>
      <w:r w:rsidRPr="003532D0">
        <w:rPr>
          <w:rFonts w:ascii="Arial" w:eastAsia="Times New Roman" w:hAnsi="Arial" w:cs="Arial"/>
          <w:bCs/>
          <w:sz w:val="20"/>
          <w:szCs w:val="20"/>
        </w:rPr>
        <w:lastRenderedPageBreak/>
        <w:t>group A</w:t>
      </w:r>
      <w:r w:rsidRPr="003532D0">
        <w:rPr>
          <w:rFonts w:ascii="Arial" w:eastAsia="Times New Roman" w:hAnsi="Arial" w:cs="Arial"/>
          <w:bCs/>
          <w:sz w:val="20"/>
          <w:szCs w:val="20"/>
          <w:vertAlign w:val="subscript"/>
        </w:rPr>
        <w:t>1</w:t>
      </w:r>
      <w:r w:rsidRPr="003532D0">
        <w:rPr>
          <w:rFonts w:ascii="Arial" w:eastAsia="Times New Roman" w:hAnsi="Arial" w:cs="Arial"/>
          <w:bCs/>
          <w:sz w:val="20"/>
          <w:szCs w:val="20"/>
        </w:rPr>
        <w:t xml:space="preserve"> at 1 and 2-years follow up respectively (as in </w:t>
      </w:r>
      <w:r w:rsidRPr="003532D0">
        <w:rPr>
          <w:rFonts w:ascii="Arial" w:eastAsia="Times New Roman" w:hAnsi="Arial" w:cs="Arial"/>
          <w:bCs/>
          <w:sz w:val="20"/>
          <w:szCs w:val="20"/>
        </w:rPr>
        <w:fldChar w:fldCharType="begin">
          <w:fldData xml:space="preserve">PEVuZE5vdGU+PENpdGU+PEF1dGhvcj5MYWNobWFubjwvQXV0aG9yPjxZZWFyPjIwMDk8L1llYXI+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==
</w:fldData>
        </w:fldChar>
      </w:r>
      <w:r w:rsidRPr="003532D0">
        <w:rPr>
          <w:rFonts w:ascii="Arial" w:eastAsia="Times New Roman" w:hAnsi="Arial" w:cs="Arial"/>
          <w:bCs/>
          <w:sz w:val="20"/>
          <w:szCs w:val="20"/>
        </w:rPr>
        <w:instrText xml:space="preserve"> ADDIN EN.CITE </w:instrText>
      </w:r>
      <w:r w:rsidRPr="003532D0">
        <w:rPr>
          <w:rFonts w:ascii="Arial" w:eastAsia="Times New Roman" w:hAnsi="Arial" w:cs="Arial"/>
          <w:bCs/>
          <w:sz w:val="20"/>
          <w:szCs w:val="20"/>
        </w:rPr>
        <w:fldChar w:fldCharType="begin">
          <w:fldData xml:space="preserve">PEVuZE5vdGU+PENpdGU+PEF1dGhvcj5MYWNobWFubjwvQXV0aG9yPjxZZWFyPjIwMDk8L1llYXI+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==
</w:fldData>
        </w:fldChar>
      </w:r>
      <w:r w:rsidRPr="003532D0">
        <w:rPr>
          <w:rFonts w:ascii="Arial" w:eastAsia="Times New Roman" w:hAnsi="Arial" w:cs="Arial"/>
          <w:bCs/>
          <w:sz w:val="20"/>
          <w:szCs w:val="20"/>
        </w:rPr>
        <w:instrText xml:space="preserve"> ADDIN EN.CITE.DATA </w:instrText>
      </w:r>
      <w:r w:rsidRPr="003532D0">
        <w:rPr>
          <w:rFonts w:ascii="Arial" w:eastAsia="Times New Roman" w:hAnsi="Arial" w:cs="Arial"/>
          <w:bCs/>
          <w:sz w:val="20"/>
          <w:szCs w:val="20"/>
        </w:rPr>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r>
      <w:r w:rsidRPr="003532D0">
        <w:rPr>
          <w:rFonts w:ascii="Arial" w:eastAsia="Times New Roman" w:hAnsi="Arial" w:cs="Arial"/>
          <w:bCs/>
          <w:sz w:val="20"/>
          <w:szCs w:val="20"/>
        </w:rPr>
        <w:fldChar w:fldCharType="separate"/>
      </w:r>
      <w:r w:rsidRPr="003532D0">
        <w:rPr>
          <w:rFonts w:ascii="Arial" w:eastAsia="Times New Roman" w:hAnsi="Arial" w:cs="Arial"/>
          <w:bCs/>
          <w:sz w:val="20"/>
          <w:szCs w:val="20"/>
        </w:rPr>
        <w:t>[</w:t>
      </w:r>
      <w:hyperlink w:anchor="_ENREF_8" w:tooltip="Lachmann, 2009 #3428" w:history="1">
        <w:r w:rsidRPr="003532D0">
          <w:rPr>
            <w:rFonts w:ascii="Arial" w:eastAsia="Times New Roman" w:hAnsi="Arial" w:cs="Arial"/>
            <w:bCs/>
            <w:sz w:val="20"/>
            <w:szCs w:val="20"/>
          </w:rPr>
          <w:t>8</w:t>
        </w:r>
      </w:hyperlink>
      <w:r w:rsidRPr="003532D0">
        <w:rPr>
          <w:rFonts w:ascii="Arial" w:eastAsia="Times New Roman" w:hAnsi="Arial" w:cs="Arial"/>
          <w:bCs/>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and extrapolating based on a HR of .489, we expect BLC to reduce those CR to 5.5%, and 10.89% at 1 and 2-years. Using a variable follow up design assuming an average accrual monthly rate of 3.6 patients per month, and a follow up time of 43 months, recruiting 165 patients with DSA would allow us to observe 23/83 (28%) events of CR in patients under biomarker led care (B</w:t>
      </w:r>
      <w:r w:rsidRPr="003532D0">
        <w:rPr>
          <w:rFonts w:ascii="Arial" w:eastAsia="Times New Roman" w:hAnsi="Arial" w:cs="Arial"/>
          <w:bCs/>
          <w:sz w:val="20"/>
          <w:szCs w:val="20"/>
          <w:vertAlign w:val="subscript"/>
        </w:rPr>
        <w:t>1</w:t>
      </w:r>
      <w:r w:rsidRPr="003532D0">
        <w:rPr>
          <w:rFonts w:ascii="Arial" w:eastAsia="Times New Roman" w:hAnsi="Arial" w:cs="Arial"/>
          <w:bCs/>
          <w:sz w:val="20"/>
          <w:szCs w:val="20"/>
        </w:rPr>
        <w:t>), and 39/82 (47%) in the standard care group (A</w:t>
      </w:r>
      <w:r w:rsidRPr="003532D0">
        <w:rPr>
          <w:rFonts w:ascii="Arial" w:eastAsia="Times New Roman" w:hAnsi="Arial" w:cs="Arial"/>
          <w:bCs/>
          <w:sz w:val="20"/>
          <w:szCs w:val="20"/>
          <w:vertAlign w:val="subscript"/>
        </w:rPr>
        <w:t>1</w:t>
      </w:r>
      <w:r w:rsidRPr="003532D0">
        <w:rPr>
          <w:rFonts w:ascii="Arial" w:eastAsia="Times New Roman" w:hAnsi="Arial" w:cs="Arial"/>
          <w:bCs/>
          <w:sz w:val="20"/>
          <w:szCs w:val="20"/>
        </w:rPr>
        <w:t xml:space="preserve">). This would  provide 80% power and 5% type I error, for a two-sided log-rank test.  </w:t>
      </w:r>
    </w:p>
    <w:p w14:paraId="191A108E" w14:textId="77777777" w:rsidR="003532D0" w:rsidRPr="003532D0" w:rsidRDefault="003532D0" w:rsidP="003532D0">
      <w:pPr>
        <w:spacing w:before="120" w:after="120" w:line="240" w:lineRule="auto"/>
        <w:ind w:left="792"/>
        <w:contextualSpacing/>
        <w:rPr>
          <w:rFonts w:ascii="Arial" w:eastAsia="Times New Roman" w:hAnsi="Arial" w:cs="Arial"/>
          <w:bCs/>
          <w:sz w:val="20"/>
          <w:szCs w:val="20"/>
        </w:rPr>
      </w:pPr>
    </w:p>
    <w:p w14:paraId="17F9D674" w14:textId="77777777" w:rsidR="003532D0" w:rsidRPr="003532D0" w:rsidRDefault="003532D0" w:rsidP="003532D0">
      <w:pPr>
        <w:spacing w:before="120" w:after="120" w:line="240" w:lineRule="auto"/>
        <w:ind w:left="792"/>
        <w:contextualSpacing/>
        <w:rPr>
          <w:rFonts w:ascii="Arial" w:eastAsia="Times New Roman" w:hAnsi="Arial" w:cs="Arial"/>
          <w:bCs/>
          <w:sz w:val="20"/>
          <w:szCs w:val="20"/>
        </w:rPr>
      </w:pPr>
    </w:p>
    <w:p w14:paraId="66A4E2D3" w14:textId="77777777" w:rsidR="003532D0" w:rsidRPr="003532D0" w:rsidRDefault="003532D0" w:rsidP="003532D0">
      <w:pPr>
        <w:numPr>
          <w:ilvl w:val="1"/>
          <w:numId w:val="7"/>
        </w:num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w:t>
      </w:r>
      <w:r w:rsidRPr="003532D0">
        <w:rPr>
          <w:rFonts w:ascii="Arial" w:eastAsia="Times New Roman" w:hAnsi="Arial" w:cs="Arial"/>
          <w:bCs/>
          <w:sz w:val="20"/>
          <w:szCs w:val="20"/>
          <w:vertAlign w:val="subscript"/>
        </w:rPr>
        <w:t>2</w:t>
      </w:r>
      <w:r w:rsidRPr="003532D0">
        <w:rPr>
          <w:rFonts w:ascii="Arial" w:eastAsia="Times New Roman" w:hAnsi="Arial" w:cs="Arial"/>
          <w:bCs/>
          <w:sz w:val="20"/>
          <w:szCs w:val="20"/>
        </w:rPr>
        <w:t>&gt;B</w:t>
      </w:r>
      <w:r w:rsidRPr="003532D0">
        <w:rPr>
          <w:rFonts w:ascii="Arial" w:eastAsia="Times New Roman" w:hAnsi="Arial" w:cs="Arial"/>
          <w:bCs/>
          <w:sz w:val="20"/>
          <w:szCs w:val="20"/>
          <w:vertAlign w:val="subscript"/>
        </w:rPr>
        <w:t>2</w:t>
      </w:r>
      <w:r w:rsidRPr="003532D0">
        <w:rPr>
          <w:rFonts w:ascii="Arial" w:eastAsia="Times New Roman" w:hAnsi="Arial" w:cs="Arial"/>
          <w:bCs/>
          <w:sz w:val="20"/>
          <w:szCs w:val="20"/>
        </w:rPr>
        <w:t xml:space="preserve"> : HLA Ab+ patients, with non-DSA, randomized to standard care (A</w:t>
      </w:r>
      <w:r w:rsidRPr="003532D0">
        <w:rPr>
          <w:rFonts w:ascii="Arial" w:eastAsia="Times New Roman" w:hAnsi="Arial" w:cs="Arial"/>
          <w:bCs/>
          <w:sz w:val="20"/>
          <w:szCs w:val="20"/>
          <w:vertAlign w:val="subscript"/>
        </w:rPr>
        <w:t>2</w:t>
      </w:r>
      <w:r w:rsidRPr="003532D0">
        <w:rPr>
          <w:rFonts w:ascii="Arial" w:eastAsia="Times New Roman" w:hAnsi="Arial" w:cs="Arial"/>
          <w:bCs/>
          <w:sz w:val="20"/>
          <w:szCs w:val="20"/>
        </w:rPr>
        <w:t>) will show higher graft failure rate than patients randomized to biomarker-led care (B</w:t>
      </w:r>
      <w:r w:rsidRPr="003532D0">
        <w:rPr>
          <w:rFonts w:ascii="Arial" w:eastAsia="Times New Roman" w:hAnsi="Arial" w:cs="Arial"/>
          <w:bCs/>
          <w:sz w:val="20"/>
          <w:szCs w:val="20"/>
          <w:vertAlign w:val="subscript"/>
        </w:rPr>
        <w:t>2</w:t>
      </w:r>
      <w:r w:rsidRPr="003532D0">
        <w:rPr>
          <w:rFonts w:ascii="Arial" w:eastAsia="Times New Roman" w:hAnsi="Arial" w:cs="Arial"/>
          <w:bCs/>
          <w:sz w:val="20"/>
          <w:szCs w:val="20"/>
        </w:rPr>
        <w:t>). We hypothesize that the experimental treatment will bring the failure rate in group B</w:t>
      </w:r>
      <w:r w:rsidRPr="003532D0">
        <w:rPr>
          <w:rFonts w:ascii="Arial" w:eastAsia="Times New Roman" w:hAnsi="Arial" w:cs="Arial"/>
          <w:bCs/>
          <w:sz w:val="20"/>
          <w:szCs w:val="20"/>
          <w:vertAlign w:val="subscript"/>
        </w:rPr>
        <w:t>2</w:t>
      </w:r>
      <w:r w:rsidRPr="003532D0">
        <w:rPr>
          <w:rFonts w:ascii="Arial" w:eastAsia="Times New Roman" w:hAnsi="Arial" w:cs="Arial"/>
          <w:bCs/>
          <w:sz w:val="20"/>
          <w:szCs w:val="20"/>
        </w:rPr>
        <w:t xml:space="preserve"> down to that of biomarker negative patients in standard care (C). Assuming that 16% of patients with NDSA randomised to SoC will have experienced chronic rejection (CR) by 3-years follow up, we expect treatment optimisation to reduce the rate of CR in NDSA patients randomised to BLC down to 6% at 3-years follow up (rate observed in patients without HLA antibodies). This corresponds to a Hazard ratio of 0.351. Based on Lachman et al. the expectation is for 3% and 11% of CR among patients with NDSA in SoC at 1 and 2-years follow up respectively, and extrapolating based on a HR of 0.351, we expect BLC to reduce those CR to 1.1%, and 4.1% at 1 and 2-years. Using a variable follow-up design (patients followed until failure, drop out or end of minimum follow up), assuming an average accrual monthly rate of 15.5 patients per month, and a minimum follow up time of 22.4 months, recruiting 296 patients with NDSA, would allow us to observe 8/149 (5.3%) events of CR in patients under BLC, and 21/147 (14%) in the SoC group (total duration = 41.5 months). This would provide 80% power to determine a statistically significant difference between SoC and BLC, using a log-rank test, with a 2-sided type-I error rate. </w:t>
      </w:r>
    </w:p>
    <w:p w14:paraId="5E9EABD1" w14:textId="77777777" w:rsidR="003532D0" w:rsidRPr="003532D0" w:rsidRDefault="003532D0" w:rsidP="003532D0">
      <w:pPr>
        <w:spacing w:before="120" w:after="120" w:line="240" w:lineRule="auto"/>
        <w:ind w:left="792"/>
        <w:contextualSpacing/>
        <w:rPr>
          <w:rFonts w:ascii="Arial" w:eastAsia="Times New Roman" w:hAnsi="Arial" w:cs="Arial"/>
          <w:bCs/>
          <w:sz w:val="20"/>
          <w:szCs w:val="20"/>
        </w:rPr>
      </w:pPr>
    </w:p>
    <w:p w14:paraId="083251B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numbers enrolled in groups A &amp; B include those patients initially enrolled in groups C or D who become HLA Ab+ during re-screening.</w:t>
      </w:r>
    </w:p>
    <w:p w14:paraId="0D7666DA"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12546C99" w14:textId="77777777" w:rsidR="003532D0" w:rsidRPr="003532D0" w:rsidRDefault="003532D0" w:rsidP="003532D0">
      <w:pPr>
        <w:numPr>
          <w:ilvl w:val="0"/>
          <w:numId w:val="7"/>
        </w:num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Non-inferiority of all Unblinded patients compared to all Blinded patients:</w:t>
      </w:r>
    </w:p>
    <w:p w14:paraId="4BD6F449" w14:textId="77777777" w:rsidR="003532D0" w:rsidRPr="003532D0" w:rsidRDefault="003532D0" w:rsidP="003532D0">
      <w:pPr>
        <w:numPr>
          <w:ilvl w:val="1"/>
          <w:numId w:val="7"/>
        </w:num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w:t>
      </w:r>
      <w:r w:rsidRPr="003532D0">
        <w:rPr>
          <w:rFonts w:ascii="Arial" w:eastAsia="Times New Roman" w:hAnsi="Arial" w:cs="Arial"/>
          <w:bCs/>
          <w:sz w:val="20"/>
          <w:szCs w:val="20"/>
          <w:vertAlign w:val="subscript"/>
        </w:rPr>
        <w:t>1</w:t>
      </w:r>
      <w:r w:rsidRPr="003532D0">
        <w:rPr>
          <w:rFonts w:ascii="Arial" w:eastAsia="Times New Roman" w:hAnsi="Arial" w:cs="Arial"/>
          <w:bCs/>
          <w:sz w:val="20"/>
          <w:szCs w:val="20"/>
        </w:rPr>
        <w:t>+A</w:t>
      </w:r>
      <w:r w:rsidRPr="003532D0">
        <w:rPr>
          <w:rFonts w:ascii="Arial" w:eastAsia="Times New Roman" w:hAnsi="Arial" w:cs="Arial"/>
          <w:bCs/>
          <w:sz w:val="20"/>
          <w:szCs w:val="20"/>
          <w:vertAlign w:val="subscript"/>
        </w:rPr>
        <w:t>2</w:t>
      </w:r>
      <w:r w:rsidRPr="003532D0">
        <w:rPr>
          <w:rFonts w:ascii="Arial" w:eastAsia="Times New Roman" w:hAnsi="Arial" w:cs="Arial"/>
          <w:bCs/>
          <w:sz w:val="20"/>
          <w:szCs w:val="20"/>
        </w:rPr>
        <w:t>+C ≥ B</w:t>
      </w:r>
      <w:r w:rsidRPr="003532D0">
        <w:rPr>
          <w:rFonts w:ascii="Arial" w:eastAsia="Times New Roman" w:hAnsi="Arial" w:cs="Arial"/>
          <w:bCs/>
          <w:sz w:val="20"/>
          <w:szCs w:val="20"/>
          <w:vertAlign w:val="subscript"/>
        </w:rPr>
        <w:t>1</w:t>
      </w:r>
      <w:r w:rsidRPr="003532D0">
        <w:rPr>
          <w:rFonts w:ascii="Arial" w:eastAsia="Times New Roman" w:hAnsi="Arial" w:cs="Arial"/>
          <w:bCs/>
          <w:sz w:val="20"/>
          <w:szCs w:val="20"/>
        </w:rPr>
        <w:t>+B</w:t>
      </w:r>
      <w:r w:rsidRPr="003532D0">
        <w:rPr>
          <w:rFonts w:ascii="Arial" w:eastAsia="Times New Roman" w:hAnsi="Arial" w:cs="Arial"/>
          <w:bCs/>
          <w:sz w:val="20"/>
          <w:szCs w:val="20"/>
          <w:vertAlign w:val="subscript"/>
        </w:rPr>
        <w:t>2</w:t>
      </w:r>
      <w:r w:rsidRPr="003532D0">
        <w:rPr>
          <w:rFonts w:ascii="Arial" w:eastAsia="Times New Roman" w:hAnsi="Arial" w:cs="Arial"/>
          <w:bCs/>
          <w:sz w:val="20"/>
          <w:szCs w:val="20"/>
        </w:rPr>
        <w:t xml:space="preserve">+D : All patients randomized to unblinded screening will show equal or lower graft failure rates than all patients randomized to blinded screening, irrespective of biomarker status. At the end of the trial, we expect 58% of patients to be in the HLA Ab negative groups, 7% DSA+ groups and 35% non-DSA+ groups (after drop-outs). At the time of planning the OuTSMART study, we calculated that based on all assumptions above, all patients randomised to SoC combined would experience 13.9% of CR. We established a non-inferiority limit of 5% absolute difference in rate of CR at 3-years, so that the BLC group would be considered inferior to SoC with a CR rate of 18.9% or higher (expectation under the null hypothesis). This corresponds to a HR of 1.4 under the null hypothesis, and a HR of 0.63 under the alternative. Recruiting 672 patients over a period of 13.2 months, at an average accrual rate of 51 patients per month, and a minimum follow up of 18.21 months, would allow us to observe 22/337 (6.5%) events of CR in the SoC group, and 32/335 (9.5%) in the BLC group. This would provide 90% power to demonstrate non-inferiority with a one-sided 95% Confidence Interval of the HR estimated using a Cox regression model. Given the above proportions, this requires enrolling  336 patients in each of groups C&amp;D and this should allow 423 total patients to reach the primary endpoint (i.e. remain negative (after dropouts) at the end of their three year follow-up).  </w:t>
      </w:r>
    </w:p>
    <w:p w14:paraId="10667209" w14:textId="77777777" w:rsidR="003532D0" w:rsidRPr="003532D0" w:rsidRDefault="003532D0" w:rsidP="003532D0">
      <w:pPr>
        <w:spacing w:before="120" w:after="120" w:line="240" w:lineRule="auto"/>
        <w:ind w:left="792"/>
        <w:contextualSpacing/>
        <w:rPr>
          <w:rFonts w:ascii="Arial" w:eastAsia="Times New Roman" w:hAnsi="Arial" w:cs="Arial"/>
          <w:bCs/>
          <w:sz w:val="20"/>
          <w:szCs w:val="20"/>
        </w:rPr>
      </w:pPr>
    </w:p>
    <w:p w14:paraId="45316AC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An audit of potentially available patients within the 5 renal units was performed initially to determine the likelihood of the study being able to recruit all the required patients from the 5 centres. We considered the number of patients in each centre under annual follow-up and the numbers of new patients who will become eligible throughout the first three years of the study (i.e. those who reach &gt;12 months post transplantation, which are those transplanted in the period between12 months prior to the study and the end of year two).  We estimated that 60% of these will be potential recruits, the others having reasons for not being included. We assumed that 10% of those approached will refuse consent and 10% of HLA Ab+ patients </w:t>
      </w:r>
      <w:r w:rsidRPr="003532D0">
        <w:rPr>
          <w:rFonts w:ascii="Arial" w:eastAsia="Times New Roman" w:hAnsi="Arial" w:cs="Arial"/>
          <w:bCs/>
          <w:sz w:val="20"/>
          <w:szCs w:val="20"/>
        </w:rPr>
        <w:lastRenderedPageBreak/>
        <w:t xml:space="preserve">would have no detectable single Class I or II on single bead analysis. Additionally, we expected 6% of initially Ab-neg patients to become Ab+ in each screening round.  </w:t>
      </w:r>
    </w:p>
    <w:p w14:paraId="13D963C1"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15D49D56"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Following 16 months of recruitment to the OuTSMART trial, the observed % of DSA patients (including those from re-screening rounds) was lower than expected, at 6.6%. The percentage of antibody positive patients at baseline was 35.1%, considerably higher than expected (25-30%). 5.8% of all patients had DSA at baseline (expected 9%). 300 Ab-neg patients had been re-screened as part of the Month-8 screening round, of whom 23 had developed de-novo antibodies (7.6% - expected 6%). Five out of the 23 had DSA (1.6% of all –expected 2%).  </w:t>
      </w:r>
    </w:p>
    <w:p w14:paraId="18A4A4E4"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7F567E97"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Based on an overall expected proportion of 7% DSA participants (including from re-screening rounds) we will need to recruit 2357 patients overall to recruit the target of 165 DSA patients. Because of this requirement to recruit sufficient DSA participants, the recruits to the other groups are likely to be more than the minimum required for statistical power for the individual hypotheses.</w:t>
      </w:r>
    </w:p>
    <w:p w14:paraId="344356CD"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1665B856"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i/>
          <w:color w:val="333399"/>
        </w:rPr>
      </w:pPr>
      <w:bookmarkStart w:id="101" w:name="_Toc248735451"/>
      <w:r w:rsidRPr="003532D0">
        <w:rPr>
          <w:rFonts w:ascii="Arial" w:eastAsia="Times New Roman" w:hAnsi="Arial" w:cs="Arial"/>
          <w:b/>
        </w:rPr>
        <w:t>8.2 Randomisation</w:t>
      </w:r>
      <w:bookmarkEnd w:id="101"/>
    </w:p>
    <w:p w14:paraId="575D881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Using the flow diagram (section 2.3, top-to-bottom) as a guide: renal transplant recipients aged 18-75, &gt; 1 year post-transplant with an eGFR ≥ 30 will consent to the screening/treatment process. The first stratification will result from blood test screening for HLA Ab. Approximately 35% will be HLA positive, with ~65% negative. The HLA Ab+ patients will be further screened with single antigen beads to determine whether DSA are present (~1/6 DSA and 5/6 non-DSA). Thus, biomarker stratification leads to three groups (DSA+, non-DSA+ and HLA Ab-neg). The second stratification will be based on current immunosuppression, to ensure balanced numbers already on Tac or MMF in each group. The final stratification will be by site. </w:t>
      </w:r>
    </w:p>
    <w:p w14:paraId="3A3BCEAD"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23748C4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HLA Ab+ patients will be randomized 1:1 into either Blinded Standard Care or Unblinded Biomarker led-care.  Patients in the former (groups A1 &amp;A2) will be blind to their biomarker status and will remain on baseline immunotherapy, whereas patients in the latter (groups B1 and B2) will know their HLA Ab status and will be offered “treatment”. HLA Ab- patients will be randomized 1:1 into either Blinded (group C) or Unblinded (group D) and remain on standard care, with only the latter knowing their HLA Ab status. All HLA Ab-negative patients (groups C &amp; D) will receive regular (8 monthly) Ab status monitoring for the first 3 years. Those patients who become positive during subsequent screening rounds (~10% per year) will be moved to the appropriate HLA Ab positive groups (DSA+ or non-DSA+) for final data analysis. For details of the randomisation procedure see section 4.4.</w:t>
      </w:r>
    </w:p>
    <w:p w14:paraId="493659EE" w14:textId="77777777" w:rsidR="003532D0" w:rsidRPr="003532D0" w:rsidRDefault="003532D0" w:rsidP="003532D0">
      <w:pPr>
        <w:spacing w:before="120" w:after="120" w:line="240" w:lineRule="auto"/>
        <w:contextualSpacing/>
        <w:rPr>
          <w:rFonts w:ascii="Arial" w:eastAsia="Times New Roman" w:hAnsi="Arial" w:cs="Arial"/>
          <w:bCs/>
          <w:sz w:val="28"/>
          <w:szCs w:val="28"/>
        </w:rPr>
      </w:pPr>
    </w:p>
    <w:p w14:paraId="4524ED02" w14:textId="77777777" w:rsidR="003532D0" w:rsidRPr="003532D0" w:rsidRDefault="003532D0" w:rsidP="003532D0">
      <w:pPr>
        <w:keepNext/>
        <w:spacing w:before="240" w:after="60" w:line="240" w:lineRule="auto"/>
        <w:ind w:left="720"/>
        <w:contextualSpacing/>
        <w:outlineLvl w:val="3"/>
        <w:rPr>
          <w:rFonts w:ascii="Arial" w:eastAsia="Times New Roman" w:hAnsi="Arial" w:cs="Arial"/>
          <w:b/>
        </w:rPr>
      </w:pPr>
      <w:bookmarkStart w:id="102" w:name="_Toc248735452"/>
      <w:r w:rsidRPr="003532D0">
        <w:rPr>
          <w:rFonts w:ascii="Arial" w:eastAsia="Times New Roman" w:hAnsi="Arial" w:cs="Arial"/>
          <w:b/>
        </w:rPr>
        <w:t>8.3 Analysis</w:t>
      </w:r>
      <w:bookmarkEnd w:id="102"/>
    </w:p>
    <w:p w14:paraId="34A52EA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Statistical analysis will be on an intention to treat and treatment received-basis, to consider the patients who become positive during the follow up in the appropriate group (group labels refer to flow diagram in section 2.3). </w:t>
      </w:r>
    </w:p>
    <w:p w14:paraId="3FFACC93"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1387076F"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primary analysis will use data collected up until March 16 2020 and analyses will be conducted for each of the hypotheses as outlined below.  A sensitivity analysis will be carried out for the primary outcome using, additionally, data from participants’ most recent hospital contact as of the assessment period between September 1 2020 and November 30 2020. The sensitivity analysis will otherwise be carried out in exactly the same way for each of the hypotheses.</w:t>
      </w:r>
    </w:p>
    <w:p w14:paraId="3E34F39B"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107269B0" w14:textId="77777777" w:rsidR="003532D0" w:rsidRPr="003532D0" w:rsidRDefault="003532D0" w:rsidP="003532D0">
      <w:pPr>
        <w:numPr>
          <w:ilvl w:val="0"/>
          <w:numId w:val="8"/>
        </w:num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Superiority:</w:t>
      </w:r>
    </w:p>
    <w:p w14:paraId="104D3964" w14:textId="77777777" w:rsidR="003532D0" w:rsidRPr="003532D0" w:rsidRDefault="003532D0" w:rsidP="003532D0">
      <w:pPr>
        <w:spacing w:before="120" w:after="120" w:line="240" w:lineRule="auto"/>
        <w:contextualSpacing/>
        <w:rPr>
          <w:rFonts w:ascii="Arial" w:eastAsia="Times New Roman" w:hAnsi="Arial" w:cs="Arial"/>
          <w:bCs/>
          <w:sz w:val="20"/>
          <w:szCs w:val="20"/>
          <w:vertAlign w:val="subscript"/>
        </w:rPr>
      </w:pPr>
      <w:r w:rsidRPr="003532D0">
        <w:rPr>
          <w:rFonts w:ascii="Arial" w:eastAsia="Times New Roman" w:hAnsi="Arial" w:cs="Arial"/>
          <w:bCs/>
          <w:sz w:val="20"/>
          <w:szCs w:val="20"/>
        </w:rPr>
        <w:t>H</w:t>
      </w:r>
      <w:r w:rsidRPr="003532D0">
        <w:rPr>
          <w:rFonts w:ascii="Arial" w:eastAsia="Times New Roman" w:hAnsi="Arial" w:cs="Arial"/>
          <w:bCs/>
          <w:sz w:val="20"/>
          <w:szCs w:val="20"/>
          <w:vertAlign w:val="subscript"/>
        </w:rPr>
        <w:t>0</w:t>
      </w:r>
      <w:r w:rsidRPr="003532D0">
        <w:rPr>
          <w:rFonts w:ascii="Arial" w:eastAsia="Times New Roman" w:hAnsi="Arial" w:cs="Arial"/>
          <w:bCs/>
          <w:sz w:val="20"/>
          <w:szCs w:val="20"/>
        </w:rPr>
        <w:t>: h</w:t>
      </w:r>
      <w:r w:rsidRPr="003532D0">
        <w:rPr>
          <w:rFonts w:ascii="Arial" w:eastAsia="Times New Roman" w:hAnsi="Arial" w:cs="Arial"/>
          <w:bCs/>
          <w:sz w:val="20"/>
          <w:szCs w:val="20"/>
          <w:vertAlign w:val="subscript"/>
        </w:rPr>
        <w:t>A1</w:t>
      </w:r>
      <w:r w:rsidRPr="003532D0">
        <w:rPr>
          <w:rFonts w:ascii="Arial" w:eastAsia="Times New Roman" w:hAnsi="Arial" w:cs="Arial"/>
          <w:bCs/>
          <w:sz w:val="20"/>
          <w:szCs w:val="20"/>
        </w:rPr>
        <w:t>(t)= h</w:t>
      </w:r>
      <w:r w:rsidRPr="003532D0">
        <w:rPr>
          <w:rFonts w:ascii="Arial" w:eastAsia="Times New Roman" w:hAnsi="Arial" w:cs="Arial"/>
          <w:bCs/>
          <w:sz w:val="20"/>
          <w:szCs w:val="20"/>
          <w:vertAlign w:val="subscript"/>
        </w:rPr>
        <w:t>B1</w:t>
      </w:r>
      <w:r w:rsidRPr="003532D0">
        <w:rPr>
          <w:rFonts w:ascii="Arial" w:eastAsia="Times New Roman" w:hAnsi="Arial" w:cs="Arial"/>
          <w:bCs/>
          <w:sz w:val="20"/>
          <w:szCs w:val="20"/>
        </w:rPr>
        <w:t>(t) &amp; h</w:t>
      </w:r>
      <w:r w:rsidRPr="003532D0">
        <w:rPr>
          <w:rFonts w:ascii="Arial" w:eastAsia="Times New Roman" w:hAnsi="Arial" w:cs="Arial"/>
          <w:bCs/>
          <w:sz w:val="20"/>
          <w:szCs w:val="20"/>
          <w:vertAlign w:val="subscript"/>
        </w:rPr>
        <w:t>A2</w:t>
      </w:r>
      <w:r w:rsidRPr="003532D0">
        <w:rPr>
          <w:rFonts w:ascii="Arial" w:eastAsia="Times New Roman" w:hAnsi="Arial" w:cs="Arial"/>
          <w:bCs/>
          <w:sz w:val="20"/>
          <w:szCs w:val="20"/>
        </w:rPr>
        <w:t>(t)= h</w:t>
      </w:r>
      <w:r w:rsidRPr="003532D0">
        <w:rPr>
          <w:rFonts w:ascii="Arial" w:eastAsia="Times New Roman" w:hAnsi="Arial" w:cs="Arial"/>
          <w:bCs/>
          <w:sz w:val="20"/>
          <w:szCs w:val="20"/>
          <w:vertAlign w:val="subscript"/>
        </w:rPr>
        <w:t>B2</w:t>
      </w:r>
      <w:r w:rsidRPr="003532D0">
        <w:rPr>
          <w:rFonts w:ascii="Arial" w:eastAsia="Times New Roman" w:hAnsi="Arial" w:cs="Arial"/>
          <w:bCs/>
          <w:sz w:val="20"/>
          <w:szCs w:val="20"/>
        </w:rPr>
        <w:t>(t)</w:t>
      </w:r>
      <w:r w:rsidRPr="003532D0">
        <w:rPr>
          <w:rFonts w:ascii="Arial" w:eastAsia="Times New Roman" w:hAnsi="Arial" w:cs="Arial"/>
          <w:bCs/>
          <w:sz w:val="20"/>
          <w:szCs w:val="20"/>
          <w:vertAlign w:val="superscript"/>
        </w:rPr>
        <w:footnoteReference w:id="14"/>
      </w:r>
    </w:p>
    <w:p w14:paraId="7D9F6A7F"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H</w:t>
      </w:r>
      <w:r w:rsidRPr="003532D0">
        <w:rPr>
          <w:rFonts w:ascii="Arial" w:eastAsia="Times New Roman" w:hAnsi="Arial" w:cs="Arial"/>
          <w:bCs/>
          <w:sz w:val="20"/>
          <w:szCs w:val="20"/>
          <w:vertAlign w:val="subscript"/>
        </w:rPr>
        <w:t>1</w:t>
      </w:r>
      <w:r w:rsidRPr="003532D0">
        <w:rPr>
          <w:rFonts w:ascii="Arial" w:eastAsia="Times New Roman" w:hAnsi="Arial" w:cs="Arial"/>
          <w:bCs/>
          <w:sz w:val="20"/>
          <w:szCs w:val="20"/>
        </w:rPr>
        <w:t>: h</w:t>
      </w:r>
      <w:r w:rsidRPr="003532D0">
        <w:rPr>
          <w:rFonts w:ascii="Arial" w:eastAsia="Times New Roman" w:hAnsi="Arial" w:cs="Arial"/>
          <w:bCs/>
          <w:sz w:val="20"/>
          <w:szCs w:val="20"/>
          <w:vertAlign w:val="subscript"/>
        </w:rPr>
        <w:t>A1</w:t>
      </w:r>
      <w:r w:rsidRPr="003532D0">
        <w:rPr>
          <w:rFonts w:ascii="Arial" w:eastAsia="Times New Roman" w:hAnsi="Arial" w:cs="Arial"/>
          <w:bCs/>
          <w:sz w:val="20"/>
          <w:szCs w:val="20"/>
        </w:rPr>
        <w:t>(t)</w:t>
      </w:r>
      <w:r w:rsidRPr="003532D0">
        <w:rPr>
          <w:rFonts w:ascii="Arial" w:eastAsia="Times New Roman" w:hAnsi="Arial" w:cs="Arial" w:hint="eastAsia"/>
          <w:bCs/>
          <w:sz w:val="20"/>
          <w:szCs w:val="20"/>
        </w:rPr>
        <w:t>≠</w:t>
      </w:r>
      <w:r w:rsidRPr="003532D0">
        <w:rPr>
          <w:rFonts w:ascii="Arial" w:eastAsia="Times New Roman" w:hAnsi="Arial" w:cs="Arial"/>
          <w:bCs/>
          <w:sz w:val="20"/>
          <w:szCs w:val="20"/>
        </w:rPr>
        <w:t xml:space="preserve"> h</w:t>
      </w:r>
      <w:r w:rsidRPr="003532D0">
        <w:rPr>
          <w:rFonts w:ascii="Arial" w:eastAsia="Times New Roman" w:hAnsi="Arial" w:cs="Arial"/>
          <w:bCs/>
          <w:sz w:val="20"/>
          <w:szCs w:val="20"/>
          <w:vertAlign w:val="subscript"/>
        </w:rPr>
        <w:t>B1</w:t>
      </w:r>
      <w:r w:rsidRPr="003532D0">
        <w:rPr>
          <w:rFonts w:ascii="Arial" w:eastAsia="Times New Roman" w:hAnsi="Arial" w:cs="Arial"/>
          <w:bCs/>
          <w:sz w:val="20"/>
          <w:szCs w:val="20"/>
        </w:rPr>
        <w:t>(t) &amp; h</w:t>
      </w:r>
      <w:r w:rsidRPr="003532D0">
        <w:rPr>
          <w:rFonts w:ascii="Arial" w:eastAsia="Times New Roman" w:hAnsi="Arial" w:cs="Arial"/>
          <w:bCs/>
          <w:sz w:val="20"/>
          <w:szCs w:val="20"/>
          <w:vertAlign w:val="subscript"/>
        </w:rPr>
        <w:t>A2</w:t>
      </w:r>
      <w:r w:rsidRPr="003532D0">
        <w:rPr>
          <w:rFonts w:ascii="Arial" w:eastAsia="Times New Roman" w:hAnsi="Arial" w:cs="Arial"/>
          <w:bCs/>
          <w:sz w:val="20"/>
          <w:szCs w:val="20"/>
        </w:rPr>
        <w:t>(t)</w:t>
      </w:r>
      <w:r w:rsidRPr="003532D0">
        <w:rPr>
          <w:rFonts w:ascii="Arial" w:eastAsia="Times New Roman" w:hAnsi="Arial" w:cs="Arial" w:hint="eastAsia"/>
          <w:bCs/>
          <w:sz w:val="20"/>
          <w:szCs w:val="20"/>
        </w:rPr>
        <w:t>≠</w:t>
      </w:r>
      <w:r w:rsidRPr="003532D0">
        <w:rPr>
          <w:rFonts w:ascii="Arial" w:eastAsia="Times New Roman" w:hAnsi="Arial" w:cs="Arial"/>
          <w:bCs/>
          <w:sz w:val="20"/>
          <w:szCs w:val="20"/>
        </w:rPr>
        <w:t xml:space="preserve"> h</w:t>
      </w:r>
      <w:r w:rsidRPr="003532D0">
        <w:rPr>
          <w:rFonts w:ascii="Arial" w:eastAsia="Times New Roman" w:hAnsi="Arial" w:cs="Arial"/>
          <w:bCs/>
          <w:sz w:val="20"/>
          <w:szCs w:val="20"/>
          <w:vertAlign w:val="subscript"/>
        </w:rPr>
        <w:t>B2</w:t>
      </w:r>
      <w:r w:rsidRPr="003532D0">
        <w:rPr>
          <w:rFonts w:ascii="Arial" w:eastAsia="Times New Roman" w:hAnsi="Arial" w:cs="Arial"/>
          <w:bCs/>
          <w:sz w:val="20"/>
          <w:szCs w:val="20"/>
        </w:rPr>
        <w:t>(t)</w:t>
      </w:r>
    </w:p>
    <w:p w14:paraId="67C57AAD" w14:textId="77777777" w:rsidR="003532D0" w:rsidRPr="003532D0" w:rsidRDefault="003532D0" w:rsidP="003532D0">
      <w:pPr>
        <w:spacing w:before="120" w:after="120" w:line="240" w:lineRule="auto"/>
        <w:contextualSpacing/>
        <w:rPr>
          <w:rFonts w:ascii="Arial" w:eastAsia="Times New Roman" w:hAnsi="Arial" w:cs="Arial"/>
          <w:bCs/>
          <w:sz w:val="20"/>
          <w:szCs w:val="20"/>
          <w:vertAlign w:val="subscript"/>
        </w:rPr>
      </w:pPr>
    </w:p>
    <w:p w14:paraId="1E003875"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In order to test superiority for the primary outcome in the Biomarker (HLA Ab) positive groups (Hypothesis 1.1 and 1.2), we will use Cox proportional hazards regression models to estimate </w:t>
      </w:r>
      <w:r w:rsidRPr="003532D0">
        <w:rPr>
          <w:rFonts w:ascii="Arial" w:eastAsia="Times New Roman" w:hAnsi="Arial" w:cs="Arial"/>
          <w:bCs/>
          <w:sz w:val="20"/>
          <w:szCs w:val="20"/>
        </w:rPr>
        <w:lastRenderedPageBreak/>
        <w:t>the graft failure hazard ratio between the biomarker led care and standard care groups and test at the 5% level of significance. Results will be given as estimates and 95% confidence intervals (CIs).  Within the model, we will adjust for previous immunosuppression regimen and research site (as these are the randomisation stratification factors) for increased statistical efficiency.</w:t>
      </w:r>
    </w:p>
    <w:p w14:paraId="0982B2C7"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761140B3"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0EEC0D04"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We will check the proportional hazards assumption by examining Kaplan-Meier plots and by testing for an interaction between group (BLC or SC) and time to graft failure within the model. </w:t>
      </w:r>
    </w:p>
    <w:p w14:paraId="10BBFAD8"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1692E047" w14:textId="77777777" w:rsidR="003532D0" w:rsidRPr="003532D0" w:rsidRDefault="003532D0" w:rsidP="003532D0">
      <w:pPr>
        <w:numPr>
          <w:ilvl w:val="0"/>
          <w:numId w:val="8"/>
        </w:num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Non-inferiority:</w:t>
      </w:r>
    </w:p>
    <w:p w14:paraId="1BB2B2ED" w14:textId="77777777" w:rsidR="003532D0" w:rsidRPr="003532D0" w:rsidRDefault="003532D0" w:rsidP="003532D0">
      <w:pPr>
        <w:spacing w:before="120" w:after="120" w:line="240" w:lineRule="auto"/>
        <w:contextualSpacing/>
        <w:rPr>
          <w:rFonts w:ascii="Arial" w:eastAsia="Times New Roman" w:hAnsi="Arial" w:cs="Arial"/>
          <w:bCs/>
          <w:sz w:val="20"/>
          <w:szCs w:val="20"/>
          <w:vertAlign w:val="subscript"/>
        </w:rPr>
      </w:pPr>
      <w:r w:rsidRPr="003532D0">
        <w:rPr>
          <w:rFonts w:ascii="Arial" w:eastAsia="Times New Roman" w:hAnsi="Arial" w:cs="Arial"/>
          <w:bCs/>
          <w:sz w:val="20"/>
          <w:szCs w:val="20"/>
        </w:rPr>
        <w:t>H</w:t>
      </w:r>
      <w:r w:rsidRPr="003532D0">
        <w:rPr>
          <w:rFonts w:ascii="Arial" w:eastAsia="Times New Roman" w:hAnsi="Arial" w:cs="Arial"/>
          <w:bCs/>
          <w:sz w:val="20"/>
          <w:szCs w:val="20"/>
          <w:vertAlign w:val="subscript"/>
        </w:rPr>
        <w:t>0</w:t>
      </w:r>
      <w:r w:rsidRPr="003532D0">
        <w:rPr>
          <w:rFonts w:ascii="Arial" w:eastAsia="Times New Roman" w:hAnsi="Arial" w:cs="Arial"/>
          <w:bCs/>
          <w:sz w:val="20"/>
          <w:szCs w:val="20"/>
        </w:rPr>
        <w:t xml:space="preserve">: </w:t>
      </w:r>
      <w:r w:rsidRPr="003532D0">
        <w:rPr>
          <w:rFonts w:ascii="Arial" w:eastAsia="Times New Roman" w:hAnsi="Arial" w:cs="Arial"/>
          <w:bCs/>
          <w:sz w:val="20"/>
          <w:szCs w:val="20"/>
          <w:vertAlign w:val="subscript"/>
        </w:rPr>
        <w:t xml:space="preserve"> </w:t>
      </w:r>
      <w:r w:rsidRPr="003532D0">
        <w:rPr>
          <w:rFonts w:ascii="Arial" w:eastAsia="Times New Roman" w:hAnsi="Arial" w:cs="Arial"/>
          <w:bCs/>
          <w:sz w:val="20"/>
          <w:szCs w:val="20"/>
        </w:rPr>
        <w:t>h</w:t>
      </w:r>
      <w:r w:rsidRPr="003532D0">
        <w:rPr>
          <w:rFonts w:ascii="Arial" w:eastAsia="Times New Roman" w:hAnsi="Arial" w:cs="Arial"/>
          <w:bCs/>
          <w:sz w:val="20"/>
          <w:szCs w:val="20"/>
          <w:vertAlign w:val="subscript"/>
        </w:rPr>
        <w:t>Unblind</w:t>
      </w:r>
      <w:r w:rsidRPr="003532D0">
        <w:rPr>
          <w:rFonts w:ascii="Arial" w:eastAsia="Times New Roman" w:hAnsi="Arial" w:cs="Arial"/>
          <w:bCs/>
          <w:sz w:val="20"/>
          <w:szCs w:val="20"/>
        </w:rPr>
        <w:t>(t) / h</w:t>
      </w:r>
      <w:r w:rsidRPr="003532D0">
        <w:rPr>
          <w:rFonts w:ascii="Arial" w:eastAsia="Times New Roman" w:hAnsi="Arial" w:cs="Arial"/>
          <w:bCs/>
          <w:sz w:val="20"/>
          <w:szCs w:val="20"/>
          <w:vertAlign w:val="subscript"/>
        </w:rPr>
        <w:t>Blind</w:t>
      </w:r>
      <w:r w:rsidRPr="003532D0">
        <w:rPr>
          <w:rFonts w:ascii="Arial" w:eastAsia="Times New Roman" w:hAnsi="Arial" w:cs="Arial"/>
          <w:bCs/>
          <w:sz w:val="20"/>
          <w:szCs w:val="20"/>
        </w:rPr>
        <w:t xml:space="preserve">(t) ≥ δ </w:t>
      </w:r>
    </w:p>
    <w:p w14:paraId="3186EB3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H</w:t>
      </w:r>
      <w:r w:rsidRPr="003532D0">
        <w:rPr>
          <w:rFonts w:ascii="Arial" w:eastAsia="Times New Roman" w:hAnsi="Arial" w:cs="Arial"/>
          <w:bCs/>
          <w:sz w:val="20"/>
          <w:szCs w:val="20"/>
          <w:vertAlign w:val="subscript"/>
        </w:rPr>
        <w:t>1</w:t>
      </w:r>
      <w:r w:rsidRPr="003532D0">
        <w:rPr>
          <w:rFonts w:ascii="Arial" w:eastAsia="Times New Roman" w:hAnsi="Arial" w:cs="Arial"/>
          <w:bCs/>
          <w:sz w:val="20"/>
          <w:szCs w:val="20"/>
        </w:rPr>
        <w:t>: h</w:t>
      </w:r>
      <w:r w:rsidRPr="003532D0">
        <w:rPr>
          <w:rFonts w:ascii="Arial" w:eastAsia="Times New Roman" w:hAnsi="Arial" w:cs="Arial"/>
          <w:bCs/>
          <w:sz w:val="20"/>
          <w:szCs w:val="20"/>
          <w:vertAlign w:val="subscript"/>
        </w:rPr>
        <w:t>Unblind</w:t>
      </w:r>
      <w:r w:rsidRPr="003532D0">
        <w:rPr>
          <w:rFonts w:ascii="Arial" w:eastAsia="Times New Roman" w:hAnsi="Arial" w:cs="Arial"/>
          <w:bCs/>
          <w:sz w:val="20"/>
          <w:szCs w:val="20"/>
        </w:rPr>
        <w:t>(t) / h</w:t>
      </w:r>
      <w:r w:rsidRPr="003532D0">
        <w:rPr>
          <w:rFonts w:ascii="Arial" w:eastAsia="Times New Roman" w:hAnsi="Arial" w:cs="Arial"/>
          <w:bCs/>
          <w:sz w:val="20"/>
          <w:szCs w:val="20"/>
          <w:vertAlign w:val="subscript"/>
        </w:rPr>
        <w:t>Blind</w:t>
      </w:r>
      <w:r w:rsidRPr="003532D0">
        <w:rPr>
          <w:rFonts w:ascii="Arial" w:eastAsia="Times New Roman" w:hAnsi="Arial" w:cs="Arial"/>
          <w:bCs/>
          <w:sz w:val="20"/>
          <w:szCs w:val="20"/>
        </w:rPr>
        <w:t>(t) &lt; δ</w:t>
      </w:r>
    </w:p>
    <w:p w14:paraId="1FFB6565"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0A6D8C31"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In order to test for non-inferiority of the unblinded groups compared to the blinded groups (hypothesis 2.1), we will use Cox proportional hazards regression models to estimate the graft failure hazard ratio. We will adjust for the stratification factors in the model as outlined above and check the proportional hazards assumption by examining Kaplan Meier plots and by testing for an interaction between unblinded/blinded group and time to graft failure. We will conclude non-inferiority if H</w:t>
      </w:r>
      <w:r w:rsidRPr="003532D0">
        <w:rPr>
          <w:rFonts w:ascii="Arial" w:eastAsia="Times New Roman" w:hAnsi="Arial" w:cs="Arial"/>
          <w:bCs/>
          <w:sz w:val="20"/>
          <w:szCs w:val="20"/>
          <w:vertAlign w:val="subscript"/>
        </w:rPr>
        <w:t>0</w:t>
      </w:r>
      <w:r w:rsidRPr="003532D0">
        <w:rPr>
          <w:rFonts w:ascii="Arial" w:eastAsia="Times New Roman" w:hAnsi="Arial" w:cs="Arial"/>
          <w:bCs/>
          <w:sz w:val="20"/>
          <w:szCs w:val="20"/>
        </w:rPr>
        <w:t xml:space="preserve"> gets rejected at 5% significance, and the corresponding upper bound of the 95% CI for the hazard ratio  excludes the limit δ (hazard ratio of 1.4).  </w:t>
      </w:r>
    </w:p>
    <w:p w14:paraId="27A7E5A1"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6F21234F"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 We will use a similar procedure using Cox proportional hazards regression for the analysis of secondary time to event (survival outcomes).  Where numbers allow, secondary binary outcomes will be analysed using logistic regression with adjustment for stratification factors. Where numbers are too small for this, the z-test or Fisher’s exact will be used. Results will be given as estimates (odds ratios or differences in proportions) and 95% CIs. For continuous secondary outcomes we will use  linear regression (or a linear mixed model if accounting for repeated measures) with adjustment for stratification factors, transforming data where they are skew. </w:t>
      </w:r>
    </w:p>
    <w:p w14:paraId="65547506"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741A5399"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Economic Evaluation: Cost data is usually skew but will be analysed using arithmetic means so that total costs are preserved. Non-normality in errors will be allowed for by using generalized linear models with appropriate error structure (e.g. gamma distribution</w:t>
      </w:r>
      <w:r w:rsidRPr="003532D0">
        <w:rPr>
          <w:rFonts w:ascii="Arial" w:eastAsia="Times New Roman" w:hAnsi="Arial" w:cs="Arial"/>
          <w:bCs/>
          <w:sz w:val="20"/>
          <w:szCs w:val="20"/>
        </w:rPr>
        <w:fldChar w:fldCharType="begin"/>
      </w:r>
      <w:r w:rsidRPr="003532D0">
        <w:rPr>
          <w:rFonts w:ascii="Arial" w:eastAsia="Times New Roman" w:hAnsi="Arial" w:cs="Arial"/>
          <w:bCs/>
          <w:sz w:val="20"/>
          <w:szCs w:val="20"/>
        </w:rPr>
        <w:instrText xml:space="preserve"> ADDIN EN.CITE &lt;EndNote&gt;&lt;Cite&gt;&lt;Author&gt;Barber&lt;/Author&gt;&lt;Year&gt;2004&lt;/Year&gt;&lt;RecNum&gt;3439&lt;/RecNum&gt;&lt;DisplayText&gt;[42]&lt;/DisplayText&gt;&lt;record&gt;&lt;rec-number&gt;3439&lt;/rec-number&gt;&lt;foreign-keys&gt;&lt;key app="EN" db-id="p9vz0d9tmeepwyewd5yvp2v2pr0xafz9xws0"&gt;3439&lt;/key&gt;&lt;key app="ENWeb" db-id="TvsdHArtqgYAADf2fTc"&gt;2910&lt;/key&gt;&lt;/foreign-keys&gt;&lt;ref-type name="Journal Article"&gt;17&lt;/ref-type&gt;&lt;contributors&gt;&lt;authors&gt;&lt;author&gt;Barber, J.&lt;/author&gt;&lt;author&gt;Thompson, S.&lt;/author&gt;&lt;/authors&gt;&lt;/contributors&gt;&lt;auth-address&gt;Research and Development Directorate, University College London Hospitals R&amp;amp;D Directorate, 1st Floor, Maple House, 149 Tottenham Court Road, London, W1P 9LL, UK.&lt;/auth-address&gt;&lt;titles&gt;&lt;title&gt;Multiple regression of cost data: use of generalised linear models&lt;/title&gt;&lt;secondary-title&gt;J Health Serv Res Policy&lt;/secondary-title&gt;&lt;/titles&gt;&lt;periodical&gt;&lt;full-title&gt;J Health Serv Res Policy&lt;/full-title&gt;&lt;/periodical&gt;&lt;pages&gt;197-204&lt;/pages&gt;&lt;volume&gt;9&lt;/volume&gt;&lt;number&gt;4&lt;/number&gt;&lt;edition&gt;2004/10/29&lt;/edition&gt;&lt;keywords&gt;&lt;keyword&gt;Costs and Cost Analysis/*methods&lt;/keyword&gt;&lt;keyword&gt;Great Britain&lt;/keyword&gt;&lt;keyword&gt;Health Services Research&lt;/keyword&gt;&lt;keyword&gt;Linear Models&lt;/keyword&gt;&lt;keyword&gt;Normal Distribution&lt;/keyword&gt;&lt;/keywords&gt;&lt;dates&gt;&lt;year&gt;2004&lt;/year&gt;&lt;pub-dates&gt;&lt;date&gt;Oct&lt;/date&gt;&lt;/pub-dates&gt;&lt;/dates&gt;&lt;isbn&gt;1355-8196 (Print)&amp;#xD;1355-8196 (Linking)&lt;/isbn&gt;&lt;accession-num&gt;15509405&lt;/accession-num&gt;&lt;urls&gt;&lt;related-urls&gt;&lt;url&gt;http://www.ncbi.nlm.nih.gov/entrez/query.fcgi?cmd=Retrieve&amp;amp;db=PubMed&amp;amp;dopt=Citation&amp;amp;list_uids=15509405 &lt;/url&gt;&lt;/related-urls&gt;&lt;/urls&gt;&lt;custom7&gt;2004&lt;/custom7&gt;&lt;electronic-resource-num&gt;10.1258/1355819042250249&lt;/electronic-resource-num&gt;&lt;language&gt;eng&lt;/language&gt;&lt;/record&gt;&lt;/Cite&gt;&lt;/EndNote&gt;</w:instrText>
      </w:r>
      <w:r w:rsidRPr="003532D0">
        <w:rPr>
          <w:rFonts w:ascii="Arial" w:eastAsia="Times New Roman" w:hAnsi="Arial" w:cs="Arial"/>
          <w:bCs/>
          <w:sz w:val="20"/>
          <w:szCs w:val="20"/>
        </w:rPr>
        <w:fldChar w:fldCharType="separate"/>
      </w:r>
      <w:r w:rsidRPr="003532D0">
        <w:rPr>
          <w:rFonts w:ascii="Arial" w:eastAsia="Times New Roman" w:hAnsi="Arial" w:cs="Arial"/>
          <w:bCs/>
          <w:noProof/>
          <w:sz w:val="20"/>
          <w:szCs w:val="20"/>
        </w:rPr>
        <w:t>[</w:t>
      </w:r>
      <w:hyperlink w:anchor="_ENREF_42" w:tooltip="Barber, 2004 #3439" w:history="1">
        <w:r w:rsidRPr="003532D0">
          <w:rPr>
            <w:rFonts w:ascii="Arial" w:eastAsia="Times New Roman" w:hAnsi="Arial" w:cs="Arial"/>
            <w:bCs/>
            <w:noProof/>
            <w:sz w:val="20"/>
            <w:szCs w:val="20"/>
          </w:rPr>
          <w:t>42</w:t>
        </w:r>
      </w:hyperlink>
      <w:r w:rsidRPr="003532D0">
        <w:rPr>
          <w:rFonts w:ascii="Arial" w:eastAsia="Times New Roman" w:hAnsi="Arial" w:cs="Arial"/>
          <w:bCs/>
          <w:noProof/>
          <w:sz w:val="20"/>
          <w:szCs w:val="20"/>
        </w:rPr>
        <w:t>]</w:t>
      </w:r>
      <w:r w:rsidRPr="003532D0">
        <w:rPr>
          <w:rFonts w:ascii="Arial" w:eastAsia="Times New Roman" w:hAnsi="Arial" w:cs="Arial"/>
          <w:bCs/>
          <w:sz w:val="20"/>
          <w:szCs w:val="20"/>
        </w:rPr>
        <w:fldChar w:fldCharType="end"/>
      </w:r>
      <w:r w:rsidRPr="003532D0">
        <w:rPr>
          <w:rFonts w:ascii="Arial" w:eastAsia="Times New Roman" w:hAnsi="Arial" w:cs="Arial"/>
          <w:bCs/>
          <w:sz w:val="20"/>
          <w:szCs w:val="20"/>
        </w:rPr>
        <w:t>). Incremental cost-effectiveness ratios (ICERs) or incremental cost-utility ratio (ICUR) will be presented where appropriate. Cost effectiveness acceptability curves will be plotted to summarize information on uncertainty in cost-effectiveness.</w:t>
      </w:r>
    </w:p>
    <w:p w14:paraId="31060E6B"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103" w:name="_Toc248735453"/>
      <w:bookmarkStart w:id="104" w:name="_Toc121909750"/>
      <w:r w:rsidRPr="003532D0">
        <w:rPr>
          <w:rFonts w:ascii="Arial" w:eastAsia="Times New Roman" w:hAnsi="Arial" w:cs="Arial"/>
          <w:b/>
          <w:sz w:val="26"/>
          <w:szCs w:val="26"/>
        </w:rPr>
        <w:t>9. Trial Steering Committee</w:t>
      </w:r>
      <w:bookmarkEnd w:id="103"/>
      <w:bookmarkEnd w:id="104"/>
    </w:p>
    <w:p w14:paraId="5063DFD5" w14:textId="77777777" w:rsidR="003532D0" w:rsidRPr="003532D0" w:rsidRDefault="003532D0" w:rsidP="003532D0">
      <w:pPr>
        <w:spacing w:before="120" w:after="120" w:line="240" w:lineRule="auto"/>
        <w:contextualSpacing/>
        <w:rPr>
          <w:rFonts w:ascii="Arial" w:eastAsia="Times New Roman" w:hAnsi="Arial" w:cs="Arial"/>
          <w:bCs/>
          <w:color w:val="003399"/>
          <w:sz w:val="20"/>
          <w:szCs w:val="20"/>
        </w:rPr>
      </w:pPr>
      <w:r w:rsidRPr="003532D0">
        <w:rPr>
          <w:rFonts w:ascii="Arial" w:eastAsia="Times New Roman" w:hAnsi="Arial" w:cs="Arial"/>
          <w:bCs/>
          <w:sz w:val="20"/>
          <w:szCs w:val="20"/>
        </w:rPr>
        <w:t>An independent Trial Steering Committee (TSC) will be convened in the post-award period. The membership will be decided by the CI and approved by the NIHR. The chair will be a senior transplantation physician or surgeon from the UK who is unconnected to the study. Members will include the CI, two other PIs from the trial, a representative of the GSTT Kidney Patients Association, one other senior independent renal/transplant physician/surgeon, and an independent senior HLA clinical scientist.</w:t>
      </w:r>
    </w:p>
    <w:p w14:paraId="228EDAB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TSC will meet at least annually during the study, approximately 2 weeks after the DMC. The TSC is an executive committee. Terms of reference of the TSC will be agreed and documented prior to start of recruitment. The Trial Manager will prepare reports to the TSC</w:t>
      </w:r>
    </w:p>
    <w:p w14:paraId="5D69DE12"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105" w:name="_Toc248735454"/>
      <w:bookmarkStart w:id="106" w:name="_Toc121909751"/>
      <w:r w:rsidRPr="003532D0">
        <w:rPr>
          <w:rFonts w:ascii="Arial" w:eastAsia="Times New Roman" w:hAnsi="Arial" w:cs="Arial"/>
          <w:b/>
          <w:sz w:val="26"/>
          <w:szCs w:val="26"/>
        </w:rPr>
        <w:t>10. Data Monitoring Committee</w:t>
      </w:r>
      <w:bookmarkEnd w:id="105"/>
      <w:bookmarkEnd w:id="106"/>
    </w:p>
    <w:p w14:paraId="417943D6"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 Data Monitoring and Ethics Committee (DMC) will be established comprising a senior UK-based transplant physician/surgeon as chair, an HLA clinical scientist, a biostatistician and trials-experienced pharmacist.  All the members will be independent of the trial.</w:t>
      </w:r>
    </w:p>
    <w:p w14:paraId="642C46C6"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DMC will meet at least annually during the study, approximately 2 weeks prior to the TSC. The DMC is advisory to the TSC. The DMC charter will be drafted and agreed prior to recruitment. The Trial Statistician will prepare reports to the DMC.</w:t>
      </w:r>
    </w:p>
    <w:p w14:paraId="11A41890"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107" w:name="_Toc248735455"/>
      <w:bookmarkStart w:id="108" w:name="_Toc121909752"/>
      <w:r w:rsidRPr="003532D0">
        <w:rPr>
          <w:rFonts w:ascii="Arial" w:eastAsia="Times New Roman" w:hAnsi="Arial" w:cs="Arial"/>
          <w:b/>
          <w:sz w:val="26"/>
          <w:szCs w:val="26"/>
        </w:rPr>
        <w:t>11. Direct Access to Source Data and Documents</w:t>
      </w:r>
      <w:bookmarkEnd w:id="107"/>
      <w:bookmarkEnd w:id="108"/>
    </w:p>
    <w:p w14:paraId="5F4EFEB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investigators and the institutions will permit trial-related monitoring, audits, REC review, and regulatory inspections (where appropriate) by providing direct access to source data and other relevant documents.</w:t>
      </w:r>
    </w:p>
    <w:p w14:paraId="748F7BDD"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109" w:name="_Toc248735456"/>
      <w:bookmarkStart w:id="110" w:name="_Toc121909753"/>
      <w:r w:rsidRPr="003532D0">
        <w:rPr>
          <w:rFonts w:ascii="Arial" w:eastAsia="Times New Roman" w:hAnsi="Arial" w:cs="Arial"/>
          <w:b/>
          <w:sz w:val="26"/>
          <w:szCs w:val="26"/>
        </w:rPr>
        <w:lastRenderedPageBreak/>
        <w:t>12. Ethics &amp; Regulatory Approvals</w:t>
      </w:r>
      <w:bookmarkEnd w:id="109"/>
      <w:bookmarkEnd w:id="110"/>
    </w:p>
    <w:p w14:paraId="3F8FBA02"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trial will be conducted in compliance with the principles of the Declaration of Helsinki (1996), the principles of GCP and in accordance with all applicable regulatory requirements including but not limited to the Research Governance Framework and the Medicines for Human Use (Clinical Trial) Regulations 2004, as amended in 2006 and any subsequent amendments.</w:t>
      </w:r>
    </w:p>
    <w:p w14:paraId="07DFA7C9" w14:textId="77777777" w:rsidR="003532D0" w:rsidRPr="003532D0" w:rsidRDefault="003532D0" w:rsidP="003532D0">
      <w:pPr>
        <w:spacing w:before="120" w:after="120" w:line="240" w:lineRule="auto"/>
        <w:contextualSpacing/>
        <w:rPr>
          <w:rFonts w:ascii="Arial" w:eastAsia="Arial Unicode MS" w:hAnsi="Arial" w:cs="Arial"/>
          <w:bCs/>
          <w:sz w:val="20"/>
          <w:szCs w:val="20"/>
        </w:rPr>
      </w:pPr>
    </w:p>
    <w:p w14:paraId="2A348151" w14:textId="77777777" w:rsidR="003532D0" w:rsidRPr="003532D0" w:rsidRDefault="003532D0" w:rsidP="003532D0">
      <w:pPr>
        <w:spacing w:before="120" w:after="120" w:line="240" w:lineRule="auto"/>
        <w:contextualSpacing/>
        <w:rPr>
          <w:rFonts w:ascii="Arial" w:eastAsia="Arial Unicode MS" w:hAnsi="Arial" w:cs="Arial"/>
          <w:bCs/>
          <w:sz w:val="20"/>
          <w:szCs w:val="20"/>
        </w:rPr>
      </w:pPr>
      <w:r w:rsidRPr="003532D0">
        <w:rPr>
          <w:rFonts w:ascii="Arial" w:eastAsia="Arial Unicode MS" w:hAnsi="Arial" w:cs="Arial"/>
          <w:bCs/>
          <w:sz w:val="20"/>
          <w:szCs w:val="20"/>
        </w:rPr>
        <w:t>This protocol and related documents will be submitted for review to London-Hampstead</w:t>
      </w:r>
      <w:r w:rsidRPr="003532D0">
        <w:rPr>
          <w:rFonts w:ascii="Arial" w:eastAsia="Arial Unicode MS" w:hAnsi="Arial" w:cs="Arial"/>
          <w:bCs/>
          <w:color w:val="FF0000"/>
          <w:sz w:val="20"/>
          <w:szCs w:val="20"/>
        </w:rPr>
        <w:t xml:space="preserve"> </w:t>
      </w:r>
      <w:r w:rsidRPr="003532D0">
        <w:rPr>
          <w:rFonts w:ascii="Arial" w:eastAsia="Arial Unicode MS" w:hAnsi="Arial" w:cs="Arial"/>
          <w:bCs/>
          <w:sz w:val="20"/>
          <w:szCs w:val="20"/>
        </w:rPr>
        <w:t>Research Ethics Committee (REC), and to the Medicines and Healthcare products Regulatory Agency (MHRA) for Clinical Trial Authorisation</w:t>
      </w:r>
    </w:p>
    <w:p w14:paraId="3B51DC37" w14:textId="77777777" w:rsidR="003532D0" w:rsidRPr="003532D0" w:rsidRDefault="003532D0" w:rsidP="003532D0">
      <w:pPr>
        <w:spacing w:before="120" w:after="120" w:line="240" w:lineRule="auto"/>
        <w:contextualSpacing/>
        <w:rPr>
          <w:rFonts w:ascii="Arial" w:eastAsia="Arial Unicode MS" w:hAnsi="Arial" w:cs="Arial"/>
          <w:bCs/>
          <w:sz w:val="20"/>
          <w:szCs w:val="20"/>
        </w:rPr>
      </w:pPr>
    </w:p>
    <w:p w14:paraId="4E79F10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Arial Unicode MS" w:hAnsi="Arial" w:cs="Arial"/>
          <w:bCs/>
          <w:sz w:val="20"/>
          <w:szCs w:val="20"/>
        </w:rPr>
        <w:t>The Chief Investigator will submit a final report at conclusion of the trial to the KHP CTO (on behalf of the Sponsor), the REC and the MHRA within the timelines defined in the Regulations.</w:t>
      </w:r>
    </w:p>
    <w:p w14:paraId="371FE16C" w14:textId="77777777" w:rsidR="003532D0" w:rsidRPr="003532D0" w:rsidRDefault="003532D0" w:rsidP="003532D0">
      <w:pPr>
        <w:keepNext/>
        <w:spacing w:before="240" w:after="60" w:line="240" w:lineRule="auto"/>
        <w:contextualSpacing/>
        <w:outlineLvl w:val="2"/>
        <w:rPr>
          <w:rFonts w:ascii="Arial" w:eastAsia="Times New Roman" w:hAnsi="Arial" w:cs="Arial"/>
          <w:b/>
          <w:color w:val="000000"/>
          <w:sz w:val="26"/>
          <w:szCs w:val="26"/>
        </w:rPr>
      </w:pPr>
      <w:bookmarkStart w:id="111" w:name="_Toc248735457"/>
      <w:bookmarkStart w:id="112" w:name="_Toc121909754"/>
      <w:r w:rsidRPr="003532D0">
        <w:rPr>
          <w:rFonts w:ascii="Arial" w:eastAsia="Times New Roman" w:hAnsi="Arial" w:cs="Arial"/>
          <w:b/>
          <w:sz w:val="26"/>
          <w:szCs w:val="26"/>
        </w:rPr>
        <w:t>13. Quality Assurance</w:t>
      </w:r>
      <w:bookmarkEnd w:id="111"/>
      <w:bookmarkEnd w:id="112"/>
    </w:p>
    <w:p w14:paraId="5D17C433"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Monitoring of this study to ensure compliance with Good Clinical Practice and scientific integrity will be managed and oversight retained by KHP CTO.  All samples will be anonymised before laboratory analysis. No patient-related data will be held in research laboratories.  During the study, paper copies will be held in a locked filing cabinet in the chief investigators office and retained for a minimum of 5 years following the end of the study.  </w:t>
      </w:r>
    </w:p>
    <w:p w14:paraId="73CEBBC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investigators and the institutions will permit trial-related monitoring, audits, REC review, and regulatory inspections (where appropriate) by providing direct access to source data and other relevant documents (ie patients’ case sheets, blood test reports, X-ray reports, histology reports etc).</w:t>
      </w:r>
    </w:p>
    <w:p w14:paraId="5D07C186"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 xml:space="preserve">All study data will be stored and archived in line with the Medicines for Human Use (Clinical Trials) Amended Regulations 2006 as defined in the Clinical Trials Office Archiving SOP. Record keeping will be the responsibility of the investigators. </w:t>
      </w:r>
    </w:p>
    <w:p w14:paraId="0D981CE8"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chief investigator will review all presentations and publications arising from this study and decide authorship in accordance with accepted guidelines.</w:t>
      </w:r>
    </w:p>
    <w:p w14:paraId="1F99A0FD"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63C1BFEE"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113" w:name="_Toc248735458"/>
      <w:bookmarkStart w:id="114" w:name="_Toc121909755"/>
      <w:r w:rsidRPr="003532D0">
        <w:rPr>
          <w:rFonts w:ascii="Arial" w:eastAsia="Times New Roman" w:hAnsi="Arial" w:cs="Arial"/>
          <w:b/>
          <w:sz w:val="26"/>
          <w:szCs w:val="26"/>
        </w:rPr>
        <w:t>14. Data Handling, Publication Policy and Finance</w:t>
      </w:r>
      <w:bookmarkEnd w:id="113"/>
      <w:bookmarkEnd w:id="114"/>
    </w:p>
    <w:p w14:paraId="1AED0C3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Chief Investigator will act as custodian for the trial data. The following guidelines will be strictly adhered to:</w:t>
      </w:r>
    </w:p>
    <w:p w14:paraId="12FB66E4"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51A6ED6D"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Patient data will be anonymised</w:t>
      </w:r>
    </w:p>
    <w:p w14:paraId="0BEF5C12" w14:textId="77777777" w:rsidR="003532D0" w:rsidRPr="003532D0" w:rsidRDefault="003532D0" w:rsidP="003532D0">
      <w:pPr>
        <w:numPr>
          <w:ilvl w:val="0"/>
          <w:numId w:val="6"/>
        </w:num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All anonymised data will be stored on a password protected computers.</w:t>
      </w:r>
    </w:p>
    <w:p w14:paraId="78ABE079" w14:textId="77777777" w:rsidR="003532D0" w:rsidRPr="003532D0" w:rsidRDefault="003532D0" w:rsidP="003532D0">
      <w:pPr>
        <w:numPr>
          <w:ilvl w:val="0"/>
          <w:numId w:val="6"/>
        </w:num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All trial data will be stored in line with the Medicines for Human Use (Clinical Trials) Amended Regulations 2006 and the Data Protection Act.</w:t>
      </w:r>
    </w:p>
    <w:p w14:paraId="74CF7C2A"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and archived in line with the Medicines for Human Use (Clinical Trials) Amended Regulations 2006 as defined in the Clinical Trials Office Archiving SOP.</w:t>
      </w:r>
    </w:p>
    <w:p w14:paraId="56DB3AFC"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3372CCC2"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115" w:name="_Toc248735459"/>
      <w:bookmarkStart w:id="116" w:name="_Toc121909756"/>
      <w:r w:rsidRPr="003532D0">
        <w:rPr>
          <w:rFonts w:ascii="Arial" w:eastAsia="Times New Roman" w:hAnsi="Arial" w:cs="Arial"/>
          <w:b/>
          <w:sz w:val="26"/>
          <w:szCs w:val="26"/>
        </w:rPr>
        <w:t>15. Data Handling</w:t>
      </w:r>
      <w:bookmarkEnd w:id="115"/>
      <w:bookmarkEnd w:id="116"/>
    </w:p>
    <w:p w14:paraId="562607F1" w14:textId="77777777" w:rsidR="003532D0" w:rsidRPr="003532D0" w:rsidRDefault="003532D0" w:rsidP="003532D0">
      <w:pPr>
        <w:spacing w:before="120" w:after="120" w:line="240" w:lineRule="auto"/>
        <w:contextualSpacing/>
        <w:rPr>
          <w:rFonts w:ascii="Times New Roman" w:eastAsia="Times New Roman" w:hAnsi="Times New Roman" w:cs="Arial"/>
          <w:bCs/>
          <w:sz w:val="20"/>
          <w:szCs w:val="20"/>
        </w:rPr>
      </w:pPr>
      <w:r w:rsidRPr="003532D0">
        <w:rPr>
          <w:rFonts w:ascii="Arial" w:eastAsia="Times New Roman" w:hAnsi="Arial" w:cs="Arial"/>
          <w:bCs/>
          <w:sz w:val="20"/>
          <w:szCs w:val="20"/>
        </w:rPr>
        <w:t xml:space="preserve">Research data will be collected at sites onto source data worksheets, which will form part of the NHS medical notes. Clinical and research data will be transcribed from the medical notes and source data worksheets to the study eCRF system, hosted at the King’s Clinical Trials Unit, KCL. The eCRF (InferMed MACRO) is GCP and FDA 21 CFR Part 11 compliant with e-signatures for site PI confirmation of each eCRF at end of study. Data entry staff at site will be provided with unique usernames and passwords to the system and will be trained in data entry by the trial manager. Study monitors will be given access to review data on the system, raise discrepancies and confirm source data verification checks. The study trial manager and data manager will have access to review data on the system and raise discrepancies. All requests for access to the data entry system must be authorised by the trial manager. All requests for data exports must be authorised by the trial statistician. </w:t>
      </w:r>
    </w:p>
    <w:p w14:paraId="0C0B7DBF"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117" w:name="_Toc248735460"/>
      <w:bookmarkStart w:id="118" w:name="_Toc121909757"/>
      <w:r w:rsidRPr="003532D0">
        <w:rPr>
          <w:rFonts w:ascii="Arial" w:eastAsia="Times New Roman" w:hAnsi="Arial" w:cs="Arial"/>
          <w:b/>
          <w:sz w:val="26"/>
          <w:szCs w:val="26"/>
        </w:rPr>
        <w:t>16. Publication Policy</w:t>
      </w:r>
      <w:bookmarkEnd w:id="117"/>
      <w:bookmarkEnd w:id="118"/>
    </w:p>
    <w:p w14:paraId="2FE3D005"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It is intended that the results of the study will be reported and disseminated at international conferences and in peer-reviewed scientific journals.</w:t>
      </w:r>
    </w:p>
    <w:p w14:paraId="51B01C2B"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119" w:name="_Toc248735461"/>
      <w:bookmarkStart w:id="120" w:name="_Toc121909758"/>
      <w:r w:rsidRPr="003532D0">
        <w:rPr>
          <w:rFonts w:ascii="Arial" w:eastAsia="Times New Roman" w:hAnsi="Arial" w:cs="Arial"/>
          <w:b/>
          <w:sz w:val="26"/>
          <w:szCs w:val="26"/>
        </w:rPr>
        <w:lastRenderedPageBreak/>
        <w:t>17. Insurance / Indemnity</w:t>
      </w:r>
      <w:bookmarkEnd w:id="119"/>
      <w:bookmarkEnd w:id="120"/>
    </w:p>
    <w:p w14:paraId="6C357AFB"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study will be indemnified by King’s College London for negligent and non-negligent harm.  In addition, the Chief Investigator and local Principal Investigators (the clinicians) also have independent insurance with medical defence societies.</w:t>
      </w:r>
    </w:p>
    <w:p w14:paraId="5ABBD576" w14:textId="77777777" w:rsidR="003532D0" w:rsidRPr="003532D0" w:rsidRDefault="003532D0" w:rsidP="003532D0">
      <w:pPr>
        <w:spacing w:before="120" w:after="120" w:line="240" w:lineRule="auto"/>
        <w:contextualSpacing/>
        <w:rPr>
          <w:rFonts w:ascii="Arial" w:eastAsia="Times New Roman" w:hAnsi="Arial" w:cs="Arial"/>
          <w:bCs/>
          <w:sz w:val="20"/>
          <w:szCs w:val="20"/>
        </w:rPr>
      </w:pPr>
    </w:p>
    <w:p w14:paraId="72F8E775"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121" w:name="_Toc248735462"/>
      <w:bookmarkStart w:id="122" w:name="_Toc121909759"/>
      <w:r w:rsidRPr="003532D0">
        <w:rPr>
          <w:rFonts w:ascii="Arial" w:eastAsia="Times New Roman" w:hAnsi="Arial" w:cs="Arial"/>
          <w:b/>
          <w:sz w:val="26"/>
          <w:szCs w:val="26"/>
        </w:rPr>
        <w:t>18. Financial Aspects</w:t>
      </w:r>
      <w:bookmarkEnd w:id="121"/>
      <w:bookmarkEnd w:id="122"/>
    </w:p>
    <w:p w14:paraId="51D45A4E" w14:textId="77777777" w:rsidR="003532D0" w:rsidRPr="003532D0" w:rsidRDefault="003532D0" w:rsidP="003532D0">
      <w:pPr>
        <w:spacing w:before="120" w:after="120" w:line="240" w:lineRule="auto"/>
        <w:contextualSpacing/>
        <w:rPr>
          <w:rFonts w:ascii="Arial" w:eastAsia="Times New Roman" w:hAnsi="Arial" w:cs="Arial"/>
          <w:bCs/>
          <w:sz w:val="20"/>
          <w:szCs w:val="20"/>
        </w:rPr>
      </w:pPr>
      <w:r w:rsidRPr="003532D0">
        <w:rPr>
          <w:rFonts w:ascii="Arial" w:eastAsia="Times New Roman" w:hAnsi="Arial" w:cs="Arial"/>
          <w:bCs/>
          <w:sz w:val="20"/>
          <w:szCs w:val="20"/>
        </w:rPr>
        <w:t>The NIHR have supported the study through an EME programme grant award. The scientific analyses of stored blood samples will be funded separately.  The analysis of adherence and perceived risk will be funded separately via a PhD fellowship application by Professor Rob Horne.</w:t>
      </w:r>
    </w:p>
    <w:p w14:paraId="5A994444" w14:textId="77777777" w:rsidR="003532D0" w:rsidRPr="003532D0" w:rsidRDefault="003532D0" w:rsidP="003532D0">
      <w:pPr>
        <w:spacing w:before="120" w:after="120" w:line="240" w:lineRule="auto"/>
        <w:contextualSpacing/>
        <w:jc w:val="both"/>
        <w:rPr>
          <w:rFonts w:ascii="Arial" w:eastAsia="Times New Roman" w:hAnsi="Arial" w:cs="Arial"/>
          <w:bCs/>
          <w:color w:val="000080"/>
          <w:sz w:val="20"/>
          <w:szCs w:val="20"/>
        </w:rPr>
      </w:pPr>
    </w:p>
    <w:p w14:paraId="44DCCE0D"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rPr>
      </w:pPr>
      <w:bookmarkStart w:id="123" w:name="_Toc248735463"/>
      <w:bookmarkStart w:id="124" w:name="_Toc121909760"/>
      <w:r w:rsidRPr="003532D0">
        <w:rPr>
          <w:rFonts w:ascii="Arial" w:eastAsia="Times New Roman" w:hAnsi="Arial" w:cs="Arial"/>
          <w:b/>
          <w:sz w:val="26"/>
          <w:szCs w:val="26"/>
        </w:rPr>
        <w:t>19. Signatures</w:t>
      </w:r>
      <w:bookmarkEnd w:id="123"/>
      <w:bookmarkEnd w:id="124"/>
    </w:p>
    <w:p w14:paraId="65D9B165" w14:textId="77777777" w:rsidR="003532D0" w:rsidRPr="003532D0" w:rsidRDefault="003532D0" w:rsidP="003532D0">
      <w:pPr>
        <w:spacing w:before="120" w:after="120" w:line="240" w:lineRule="auto"/>
        <w:contextualSpacing/>
        <w:jc w:val="both"/>
        <w:rPr>
          <w:rFonts w:ascii="Arial" w:eastAsia="Times New Roman" w:hAnsi="Arial" w:cs="Arial"/>
          <w:bCs/>
          <w:color w:val="000080"/>
          <w:sz w:val="20"/>
          <w:szCs w:val="20"/>
        </w:rPr>
      </w:pPr>
    </w:p>
    <w:p w14:paraId="6B776660" w14:textId="77777777" w:rsidR="003532D0" w:rsidRPr="003532D0" w:rsidRDefault="003532D0" w:rsidP="003532D0">
      <w:pPr>
        <w:spacing w:before="120" w:after="120" w:line="240" w:lineRule="auto"/>
        <w:contextualSpacing/>
        <w:jc w:val="both"/>
        <w:rPr>
          <w:rFonts w:ascii="Arial" w:eastAsia="Times New Roman" w:hAnsi="Arial" w:cs="Arial"/>
          <w:bCs/>
          <w:color w:val="000080"/>
          <w:sz w:val="20"/>
          <w:szCs w:val="20"/>
        </w:rPr>
      </w:pPr>
    </w:p>
    <w:p w14:paraId="5E9F6649" w14:textId="77777777" w:rsidR="003532D0" w:rsidRPr="003532D0" w:rsidRDefault="003532D0" w:rsidP="003532D0">
      <w:pPr>
        <w:spacing w:before="120" w:after="120" w:line="240" w:lineRule="auto"/>
        <w:contextualSpacing/>
        <w:jc w:val="both"/>
        <w:rPr>
          <w:rFonts w:ascii="Arial" w:eastAsia="Times New Roman" w:hAnsi="Arial" w:cs="Arial"/>
          <w:bCs/>
          <w:sz w:val="20"/>
          <w:szCs w:val="20"/>
        </w:rPr>
      </w:pPr>
      <w:r w:rsidRPr="003532D0">
        <w:rPr>
          <w:rFonts w:ascii="Arial" w:eastAsia="Times New Roman" w:hAnsi="Arial" w:cs="Arial"/>
          <w:bCs/>
          <w:noProof/>
          <w:color w:val="000080"/>
          <w:sz w:val="20"/>
          <w:szCs w:val="20"/>
          <w:lang w:eastAsia="en-GB"/>
        </w:rPr>
        <w:drawing>
          <wp:inline distT="0" distB="0" distL="0" distR="0" wp14:anchorId="03216A36" wp14:editId="33F45230">
            <wp:extent cx="944880" cy="467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4880" cy="467360"/>
                    </a:xfrm>
                    <a:prstGeom prst="rect">
                      <a:avLst/>
                    </a:prstGeom>
                    <a:noFill/>
                    <a:ln>
                      <a:noFill/>
                    </a:ln>
                  </pic:spPr>
                </pic:pic>
              </a:graphicData>
            </a:graphic>
          </wp:inline>
        </w:drawing>
      </w:r>
      <w:r w:rsidRPr="003532D0">
        <w:rPr>
          <w:rFonts w:ascii="Arial" w:eastAsia="Times New Roman" w:hAnsi="Arial" w:cs="Arial"/>
          <w:bCs/>
          <w:color w:val="000080"/>
          <w:sz w:val="20"/>
          <w:szCs w:val="20"/>
        </w:rPr>
        <w:tab/>
      </w:r>
      <w:r w:rsidRPr="003532D0">
        <w:rPr>
          <w:rFonts w:ascii="Arial" w:eastAsia="Times New Roman" w:hAnsi="Arial" w:cs="Arial"/>
          <w:bCs/>
          <w:color w:val="000080"/>
          <w:sz w:val="20"/>
          <w:szCs w:val="20"/>
        </w:rPr>
        <w:tab/>
      </w:r>
      <w:r w:rsidRPr="003532D0">
        <w:rPr>
          <w:rFonts w:ascii="Arial" w:eastAsia="Times New Roman" w:hAnsi="Arial" w:cs="Arial"/>
          <w:bCs/>
          <w:color w:val="000080"/>
          <w:sz w:val="20"/>
          <w:szCs w:val="20"/>
        </w:rPr>
        <w:tab/>
      </w:r>
      <w:r w:rsidRPr="003532D0">
        <w:rPr>
          <w:rFonts w:ascii="Arial" w:eastAsia="Times New Roman" w:hAnsi="Arial" w:cs="Arial"/>
          <w:bCs/>
          <w:color w:val="000080"/>
          <w:sz w:val="20"/>
          <w:szCs w:val="20"/>
        </w:rPr>
        <w:tab/>
      </w:r>
      <w:r w:rsidRPr="003532D0">
        <w:rPr>
          <w:rFonts w:ascii="Arial" w:eastAsia="Times New Roman" w:hAnsi="Arial" w:cs="Arial"/>
          <w:bCs/>
          <w:color w:val="000080"/>
          <w:sz w:val="20"/>
          <w:szCs w:val="20"/>
        </w:rPr>
        <w:tab/>
      </w:r>
      <w:r w:rsidRPr="003532D0">
        <w:rPr>
          <w:rFonts w:ascii="Arial" w:eastAsia="Times New Roman" w:hAnsi="Arial" w:cs="Arial"/>
          <w:bCs/>
          <w:sz w:val="20"/>
          <w:szCs w:val="20"/>
        </w:rPr>
        <w:t xml:space="preserve">08/07/2020 </w:t>
      </w:r>
    </w:p>
    <w:p w14:paraId="2423F0A3" w14:textId="77777777" w:rsidR="003532D0" w:rsidRPr="003532D0" w:rsidRDefault="003532D0" w:rsidP="003532D0">
      <w:pPr>
        <w:spacing w:before="120" w:after="120" w:line="240" w:lineRule="auto"/>
        <w:contextualSpacing/>
        <w:jc w:val="both"/>
        <w:rPr>
          <w:rFonts w:ascii="Arial" w:eastAsia="Times New Roman" w:hAnsi="Arial" w:cs="Arial"/>
          <w:bCs/>
          <w:sz w:val="20"/>
          <w:szCs w:val="20"/>
        </w:rPr>
      </w:pPr>
      <w:r w:rsidRPr="003532D0">
        <w:rPr>
          <w:rFonts w:ascii="Arial" w:eastAsia="Times New Roman" w:hAnsi="Arial" w:cs="Arial"/>
          <w:bCs/>
          <w:sz w:val="20"/>
          <w:szCs w:val="20"/>
        </w:rPr>
        <w:t>______________________________________</w:t>
      </w:r>
      <w:r w:rsidRPr="003532D0">
        <w:rPr>
          <w:rFonts w:ascii="Arial" w:eastAsia="Times New Roman" w:hAnsi="Arial" w:cs="Arial"/>
          <w:bCs/>
          <w:sz w:val="20"/>
          <w:szCs w:val="20"/>
        </w:rPr>
        <w:tab/>
      </w:r>
      <w:r w:rsidRPr="003532D0">
        <w:rPr>
          <w:rFonts w:ascii="Arial" w:eastAsia="Times New Roman" w:hAnsi="Arial" w:cs="Arial"/>
          <w:bCs/>
          <w:sz w:val="20"/>
          <w:szCs w:val="20"/>
        </w:rPr>
        <w:tab/>
        <w:t>_________________________</w:t>
      </w:r>
    </w:p>
    <w:p w14:paraId="11D36932" w14:textId="77777777" w:rsidR="003532D0" w:rsidRPr="003532D0" w:rsidRDefault="003532D0" w:rsidP="003532D0">
      <w:pPr>
        <w:spacing w:before="120" w:after="120" w:line="240" w:lineRule="auto"/>
        <w:contextualSpacing/>
        <w:jc w:val="both"/>
        <w:rPr>
          <w:rFonts w:ascii="Arial" w:eastAsia="Times New Roman" w:hAnsi="Arial" w:cs="Arial"/>
          <w:bCs/>
          <w:sz w:val="20"/>
          <w:szCs w:val="20"/>
        </w:rPr>
      </w:pPr>
      <w:r w:rsidRPr="003532D0">
        <w:rPr>
          <w:rFonts w:ascii="Arial" w:eastAsia="Times New Roman" w:hAnsi="Arial" w:cs="Arial"/>
          <w:bCs/>
          <w:sz w:val="20"/>
          <w:szCs w:val="20"/>
        </w:rPr>
        <w:t>Chief Investigator</w:t>
      </w:r>
      <w:r w:rsidRPr="003532D0">
        <w:rPr>
          <w:rFonts w:ascii="Arial" w:eastAsia="Times New Roman" w:hAnsi="Arial" w:cs="Arial"/>
          <w:bCs/>
          <w:sz w:val="20"/>
          <w:szCs w:val="20"/>
        </w:rPr>
        <w:tab/>
      </w:r>
      <w:r w:rsidRPr="003532D0">
        <w:rPr>
          <w:rFonts w:ascii="Arial" w:eastAsia="Times New Roman" w:hAnsi="Arial" w:cs="Arial"/>
          <w:bCs/>
          <w:sz w:val="20"/>
          <w:szCs w:val="20"/>
        </w:rPr>
        <w:tab/>
      </w:r>
      <w:r w:rsidRPr="003532D0">
        <w:rPr>
          <w:rFonts w:ascii="Arial" w:eastAsia="Times New Roman" w:hAnsi="Arial" w:cs="Arial"/>
          <w:bCs/>
          <w:sz w:val="20"/>
          <w:szCs w:val="20"/>
        </w:rPr>
        <w:tab/>
      </w:r>
      <w:r w:rsidRPr="003532D0">
        <w:rPr>
          <w:rFonts w:ascii="Arial" w:eastAsia="Times New Roman" w:hAnsi="Arial" w:cs="Arial"/>
          <w:bCs/>
          <w:sz w:val="20"/>
          <w:szCs w:val="20"/>
        </w:rPr>
        <w:tab/>
      </w:r>
      <w:r w:rsidRPr="003532D0">
        <w:rPr>
          <w:rFonts w:ascii="Arial" w:eastAsia="Times New Roman" w:hAnsi="Arial" w:cs="Arial"/>
          <w:bCs/>
          <w:sz w:val="20"/>
          <w:szCs w:val="20"/>
        </w:rPr>
        <w:tab/>
      </w:r>
      <w:r w:rsidRPr="003532D0">
        <w:rPr>
          <w:rFonts w:ascii="Arial" w:eastAsia="Times New Roman" w:hAnsi="Arial" w:cs="Arial"/>
          <w:bCs/>
          <w:sz w:val="20"/>
          <w:szCs w:val="20"/>
        </w:rPr>
        <w:tab/>
        <w:t>Date</w:t>
      </w:r>
    </w:p>
    <w:p w14:paraId="76775DAE" w14:textId="77777777" w:rsidR="003532D0" w:rsidRPr="003532D0" w:rsidRDefault="003532D0" w:rsidP="003532D0">
      <w:pPr>
        <w:spacing w:before="120" w:after="120" w:line="240" w:lineRule="auto"/>
        <w:contextualSpacing/>
        <w:jc w:val="both"/>
        <w:rPr>
          <w:rFonts w:ascii="Arial" w:eastAsia="Times New Roman" w:hAnsi="Arial" w:cs="Arial"/>
          <w:bCs/>
          <w:sz w:val="20"/>
          <w:szCs w:val="20"/>
        </w:rPr>
      </w:pPr>
      <w:r w:rsidRPr="003532D0">
        <w:rPr>
          <w:rFonts w:ascii="Arial" w:eastAsia="Times New Roman" w:hAnsi="Arial" w:cs="Arial"/>
          <w:bCs/>
          <w:sz w:val="20"/>
          <w:szCs w:val="20"/>
        </w:rPr>
        <w:t>Print name</w:t>
      </w:r>
    </w:p>
    <w:p w14:paraId="5C51D718" w14:textId="77777777" w:rsidR="003532D0" w:rsidRPr="003532D0" w:rsidRDefault="003532D0" w:rsidP="003532D0">
      <w:pPr>
        <w:spacing w:before="120" w:after="120" w:line="240" w:lineRule="auto"/>
        <w:contextualSpacing/>
        <w:jc w:val="both"/>
        <w:rPr>
          <w:rFonts w:ascii="Arial" w:eastAsia="Times New Roman" w:hAnsi="Arial" w:cs="Arial"/>
          <w:bCs/>
          <w:color w:val="000080"/>
          <w:sz w:val="20"/>
          <w:szCs w:val="20"/>
        </w:rPr>
      </w:pPr>
    </w:p>
    <w:p w14:paraId="4AB5895D" w14:textId="77777777" w:rsidR="003532D0" w:rsidRPr="003532D0" w:rsidRDefault="003532D0" w:rsidP="003532D0">
      <w:pPr>
        <w:spacing w:before="120" w:after="120" w:line="240" w:lineRule="auto"/>
        <w:contextualSpacing/>
        <w:jc w:val="both"/>
        <w:rPr>
          <w:rFonts w:ascii="Arial" w:eastAsia="Times New Roman" w:hAnsi="Arial" w:cs="Arial"/>
          <w:bCs/>
          <w:color w:val="000080"/>
          <w:sz w:val="20"/>
          <w:szCs w:val="20"/>
        </w:rPr>
      </w:pPr>
    </w:p>
    <w:p w14:paraId="31637FDD" w14:textId="77777777" w:rsidR="003532D0" w:rsidRPr="003532D0" w:rsidRDefault="003532D0" w:rsidP="003532D0">
      <w:pPr>
        <w:spacing w:before="120" w:after="120" w:line="240" w:lineRule="auto"/>
        <w:contextualSpacing/>
        <w:jc w:val="both"/>
        <w:rPr>
          <w:rFonts w:ascii="Arial" w:eastAsia="Times New Roman" w:hAnsi="Arial" w:cs="Arial"/>
          <w:bCs/>
          <w:color w:val="000080"/>
          <w:sz w:val="20"/>
          <w:szCs w:val="20"/>
        </w:rPr>
      </w:pPr>
    </w:p>
    <w:p w14:paraId="512D1B46" w14:textId="77777777" w:rsidR="003532D0" w:rsidRPr="003532D0" w:rsidRDefault="003532D0" w:rsidP="003532D0">
      <w:pPr>
        <w:keepNext/>
        <w:spacing w:before="240" w:after="60" w:line="240" w:lineRule="auto"/>
        <w:contextualSpacing/>
        <w:outlineLvl w:val="2"/>
        <w:rPr>
          <w:rFonts w:ascii="Arial" w:eastAsia="Times New Roman" w:hAnsi="Arial" w:cs="Arial"/>
          <w:b/>
          <w:sz w:val="26"/>
          <w:szCs w:val="26"/>
          <w:lang w:val="en-US"/>
        </w:rPr>
      </w:pPr>
      <w:r w:rsidRPr="003532D0">
        <w:rPr>
          <w:rFonts w:ascii="Arial" w:eastAsia="Times New Roman" w:hAnsi="Arial" w:cs="Arial"/>
          <w:b/>
          <w:sz w:val="26"/>
          <w:szCs w:val="26"/>
        </w:rPr>
        <w:br w:type="page"/>
      </w:r>
      <w:bookmarkStart w:id="125" w:name="_Toc248735464"/>
      <w:bookmarkStart w:id="126" w:name="_Toc121909761"/>
      <w:r w:rsidRPr="003532D0">
        <w:rPr>
          <w:rFonts w:ascii="Arial" w:eastAsia="Times New Roman" w:hAnsi="Arial" w:cs="Arial"/>
          <w:b/>
          <w:sz w:val="26"/>
          <w:szCs w:val="26"/>
          <w:lang w:val="en-US"/>
        </w:rPr>
        <w:lastRenderedPageBreak/>
        <w:t>Appendix 1</w:t>
      </w:r>
      <w:bookmarkEnd w:id="125"/>
      <w:bookmarkEnd w:id="126"/>
    </w:p>
    <w:p w14:paraId="4A7C2C0A"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
          <w:lang w:val="en-US"/>
        </w:rPr>
      </w:pPr>
      <w:r w:rsidRPr="003532D0">
        <w:rPr>
          <w:rFonts w:ascii="Arial" w:eastAsia="Times New Roman" w:hAnsi="Arial" w:cs="Arial"/>
          <w:b/>
          <w:bCs/>
          <w:lang w:val="en-US"/>
        </w:rPr>
        <w:t>Adverse drug reactions mentioned in the SmPCs for the IMPS.  These combine pre- and post-marketing experience.  These do not require reporting as adverse events in OuTSMART unless resulting in an SAE.</w:t>
      </w:r>
    </w:p>
    <w:p w14:paraId="18B24CC8"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
          <w:lang w:val="en-US"/>
        </w:rPr>
      </w:pPr>
    </w:p>
    <w:p w14:paraId="0B3863A2"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
          <w:lang w:val="en-US"/>
        </w:rPr>
      </w:pPr>
      <w:r w:rsidRPr="003532D0">
        <w:rPr>
          <w:rFonts w:ascii="Arial" w:eastAsia="Times New Roman" w:hAnsi="Arial" w:cs="Arial"/>
          <w:b/>
          <w:bCs/>
          <w:lang w:val="en-US"/>
        </w:rPr>
        <w:t>MMF</w:t>
      </w:r>
    </w:p>
    <w:p w14:paraId="0D530290"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Infections and infestations:</w:t>
      </w:r>
      <w:r w:rsidRPr="003532D0">
        <w:rPr>
          <w:rFonts w:ascii="Arial" w:eastAsia="Times New Roman" w:hAnsi="Arial" w:cs="Times New Roman"/>
          <w:bCs/>
          <w:i/>
          <w:vertAlign w:val="superscript"/>
          <w:lang w:val="en-US"/>
        </w:rPr>
        <w:footnoteReference w:id="15"/>
      </w:r>
      <w:r w:rsidRPr="003532D0">
        <w:rPr>
          <w:rFonts w:ascii="Arial" w:eastAsia="Times New Roman" w:hAnsi="Arial" w:cs="Arial"/>
          <w:bCs/>
          <w:i/>
          <w:lang w:val="en-US"/>
        </w:rPr>
        <w:t xml:space="preserve"> </w:t>
      </w:r>
    </w:p>
    <w:p w14:paraId="4496177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Very common Sepsis, gastrointestinal candidiasis, urinary tract infection, herpes simplex, herpes zoster</w:t>
      </w:r>
    </w:p>
    <w:p w14:paraId="4D0E2EAE"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Pneumonia, influenza, respiratory tract infection, respiratory moniliasis, gastrointestinal infection, candidiasis, gastroenteritis, infection, bronchitis, pharyngitis, sinusitis, fungal skin infection, skin candida, vaginal candidiasis, rhinitis</w:t>
      </w:r>
    </w:p>
    <w:p w14:paraId="3421A0E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The most serious infections including meningitis, endocarditis, tuberculosis and</w:t>
      </w:r>
    </w:p>
    <w:p w14:paraId="09259F26"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atypical mycobacterial infection. Cases of BK virus associated nephropathy, as well as cases of JC virus associated progressive multifocal leukoencephalopathy (PML), have been reported in patients treated with immunosuppressants, including MMF.</w:t>
      </w:r>
    </w:p>
    <w:p w14:paraId="03572C4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42497CF9"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Neoplasms:</w:t>
      </w:r>
      <w:r w:rsidRPr="003532D0">
        <w:rPr>
          <w:rFonts w:ascii="Arial" w:eastAsia="Times New Roman" w:hAnsi="Arial" w:cs="Times New Roman"/>
          <w:bCs/>
          <w:i/>
          <w:vertAlign w:val="superscript"/>
          <w:lang w:val="en-US"/>
        </w:rPr>
        <w:footnoteReference w:id="16"/>
      </w:r>
    </w:p>
    <w:p w14:paraId="184C419D"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Skin cancer, benign neoplasm of skin</w:t>
      </w:r>
    </w:p>
    <w:p w14:paraId="407DDFC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37FDC009"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 xml:space="preserve">Blood and lymphatic system disorders: </w:t>
      </w:r>
    </w:p>
    <w:p w14:paraId="1CBCF9B4"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Very common Leukopenia, thrombocytopenia, anaemia</w:t>
      </w:r>
    </w:p>
    <w:p w14:paraId="18C43F77"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Pancytopenia, leukocytosis</w:t>
      </w:r>
    </w:p>
    <w:p w14:paraId="3BC3803D"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Agranulocytosis and neutropenia have been reported; therefore, regular monitoring of patients taking MMF is advised</w:t>
      </w:r>
      <w:r w:rsidRPr="003532D0">
        <w:rPr>
          <w:rFonts w:ascii="Arial" w:eastAsia="Times New Roman" w:hAnsi="Arial" w:cs="Times New Roman"/>
          <w:bCs/>
          <w:vertAlign w:val="superscript"/>
          <w:lang w:val="en-US"/>
        </w:rPr>
        <w:footnoteReference w:id="17"/>
      </w:r>
      <w:r w:rsidRPr="003532D0">
        <w:rPr>
          <w:rFonts w:ascii="Arial" w:eastAsia="Times New Roman" w:hAnsi="Arial" w:cs="Arial"/>
          <w:bCs/>
          <w:lang w:val="en-US"/>
        </w:rPr>
        <w:t>. There have been reports of aplastic anaemia and bone marrow depression in patients treated with MMF, some of which have been fatal.</w:t>
      </w:r>
    </w:p>
    <w:p w14:paraId="561B6CFD"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Cases of pure red cell aplasia (PRCA) have been reported in patients treated with MMF. Isolated cases of abnormal neutrophil morphology, including the acquired Pelger-Huet anomaly, have been observed in patients treated with MMF. These changes are not associated with impaired neutrophil function. These changes may suggest a 'left shift' in the maturity of neutrophils in haematological investigations, which may be mistakenly interpreted as a sign of infection in immunosuppressed patients such as those that receive MMF.</w:t>
      </w:r>
    </w:p>
    <w:p w14:paraId="75311507"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Uncommon Pseudolymphoma and bone marrow failure.</w:t>
      </w:r>
    </w:p>
    <w:p w14:paraId="770095B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6C7B93B8"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Metabolism and nutrition disorders:</w:t>
      </w:r>
    </w:p>
    <w:p w14:paraId="5BDEF3C0"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Acidosis, hyperkalaemia, hypokalaemia, hyperglycaemia, hypomagnesaemia, hypocalcaemia, hypercholesterolaemia, hyperlipidaemia, hypophosphataemia, hyperuricaemia, gout, anorexia</w:t>
      </w:r>
    </w:p>
    <w:p w14:paraId="1339FAF9"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325DDD5A"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Psychiatric disorders:</w:t>
      </w:r>
    </w:p>
    <w:p w14:paraId="560196B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Agitation, confusional state, depression, anxiety, thinking abnormal, insomnia</w:t>
      </w:r>
    </w:p>
    <w:p w14:paraId="15FEEBB4"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6FA52557"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Nervous system disorders:</w:t>
      </w:r>
    </w:p>
    <w:p w14:paraId="2D96695A"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Convulsion, hypertonia, tremor, somnolence, myasthenic syndrome, dizziness, headache, paraesthesia, dysgeusia</w:t>
      </w:r>
    </w:p>
    <w:p w14:paraId="7E546726"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07062B9F"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 xml:space="preserve">Cardiac disorders: </w:t>
      </w:r>
    </w:p>
    <w:p w14:paraId="12C42E55"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Tachycardia</w:t>
      </w:r>
    </w:p>
    <w:p w14:paraId="0B3235DE"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204947F6"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 xml:space="preserve">Vascular disorders: </w:t>
      </w:r>
    </w:p>
    <w:p w14:paraId="365A78B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Hypotension, hypertension, vasodilatation, venous thrombosis</w:t>
      </w:r>
    </w:p>
    <w:p w14:paraId="47D4ED5A"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Uncommon Lymphocele</w:t>
      </w:r>
    </w:p>
    <w:p w14:paraId="4EA2615F"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467E64E2"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Respiratory, thoracic and mediastinal disorders:</w:t>
      </w:r>
    </w:p>
    <w:p w14:paraId="79F1171A"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Pleural effusion, dyspnoea, cough</w:t>
      </w:r>
    </w:p>
    <w:p w14:paraId="31103AF4"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There have been isolated reports of interstitial lung disease and pulmonary fibrosis in patients treated with MMF in combination with other immunosuppressants, some of which have been fatal. There have also been report of bronchiectasis in children and adults.</w:t>
      </w:r>
    </w:p>
    <w:p w14:paraId="56B27BE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18474D65"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 xml:space="preserve">Gastrointestinal disorders: </w:t>
      </w:r>
    </w:p>
    <w:p w14:paraId="0270C954"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Very common Vomiting, abdominal pain, diarrhoea, nausea, constipation, dyspepsia</w:t>
      </w:r>
    </w:p>
    <w:p w14:paraId="3BE84062"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Gastrointestinal haemorrhage, peritonitis, ileus, colitis, gastric ulcer, duodenal ulcer, gastritis, oesophagitis, stomatitis, flatulence, eructation, gingival hyperplasia, colitis including cytomegalovirus colitis</w:t>
      </w:r>
      <w:r w:rsidRPr="003532D0">
        <w:rPr>
          <w:rFonts w:ascii="Arial" w:eastAsia="Times New Roman" w:hAnsi="Arial" w:cs="Times New Roman"/>
          <w:bCs/>
          <w:vertAlign w:val="superscript"/>
          <w:lang w:val="en-US"/>
        </w:rPr>
        <w:footnoteReference w:id="18"/>
      </w:r>
      <w:r w:rsidRPr="003532D0">
        <w:rPr>
          <w:rFonts w:ascii="Arial" w:eastAsia="Times New Roman" w:hAnsi="Arial" w:cs="Arial"/>
          <w:bCs/>
          <w:lang w:val="en-US"/>
        </w:rPr>
        <w:t>, pancreatitis and intestinal villous atrophy.</w:t>
      </w:r>
    </w:p>
    <w:p w14:paraId="57FAB12A"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476B86A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 xml:space="preserve">Hepatobiliary disorders: </w:t>
      </w:r>
    </w:p>
    <w:p w14:paraId="03189753"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Hepatitis, jaundice, hyperbilirubinaemia</w:t>
      </w:r>
    </w:p>
    <w:p w14:paraId="6171ED8B"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6AB2D5A5"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Skin and subcutaneous tissue disorders:</w:t>
      </w:r>
    </w:p>
    <w:p w14:paraId="69BB1E37"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Skin hypertrophy, rash, acne, alopecia,</w:t>
      </w:r>
    </w:p>
    <w:p w14:paraId="4A8306D0"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1FA92372"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Musculoskeletal and connective tissue disorders:</w:t>
      </w:r>
    </w:p>
    <w:p w14:paraId="36C183A3"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Arthralgia</w:t>
      </w:r>
    </w:p>
    <w:p w14:paraId="38E3D909"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1809F96D"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Renal and urinary disorders:</w:t>
      </w:r>
    </w:p>
    <w:p w14:paraId="51B2853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Renal impairment</w:t>
      </w:r>
    </w:p>
    <w:p w14:paraId="48AC844A"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1D5BDC68"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General disorders and administration site conditions:</w:t>
      </w:r>
    </w:p>
    <w:p w14:paraId="68234D3B"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shd w:val="clear" w:color="auto" w:fill="FFFFFF"/>
        </w:rPr>
        <w:t>Oedema, including peripheral, face and scrotal oedema, was reported very commonly during the pivotal trials. Musculoskeletal pain such as myalgia, and neck and back pain were also very commonly reported.</w:t>
      </w:r>
    </w:p>
    <w:p w14:paraId="2D56CD44"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760D74B4"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iCs/>
          <w:lang w:val="en-US"/>
        </w:rPr>
      </w:pPr>
      <w:r w:rsidRPr="003532D0">
        <w:rPr>
          <w:rFonts w:ascii="Arial" w:eastAsia="Times New Roman" w:hAnsi="Arial" w:cs="Arial"/>
          <w:bCs/>
          <w:i/>
          <w:iCs/>
          <w:lang w:val="en-US"/>
        </w:rPr>
        <w:t>Immune system disorders</w:t>
      </w:r>
    </w:p>
    <w:p w14:paraId="7D4316C5" w14:textId="77777777" w:rsidR="003532D0" w:rsidRPr="003532D0" w:rsidRDefault="003532D0" w:rsidP="003532D0">
      <w:pPr>
        <w:shd w:val="clear" w:color="auto" w:fill="FFFFFF"/>
        <w:spacing w:after="0" w:line="240" w:lineRule="auto"/>
        <w:rPr>
          <w:rFonts w:ascii="Arial" w:eastAsia="Times New Roman" w:hAnsi="Arial" w:cs="Arial"/>
          <w:bCs/>
          <w:lang w:val="en-US"/>
        </w:rPr>
      </w:pPr>
      <w:r w:rsidRPr="003532D0">
        <w:rPr>
          <w:rFonts w:ascii="Arial" w:eastAsia="Times New Roman" w:hAnsi="Arial" w:cs="Arial"/>
          <w:bCs/>
          <w:lang w:val="en-US"/>
        </w:rPr>
        <w:t>Hypogammaglobulinaemia has been reported in patients receiving CellCept in combination with other immunosuppressants.</w:t>
      </w:r>
    </w:p>
    <w:p w14:paraId="11CD8DAA"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15C05D3F"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0FC5ECFE"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Investigations:</w:t>
      </w:r>
    </w:p>
    <w:p w14:paraId="37217B1B"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Hepatic enzyme increased, blood creatinine increased, blood lactate dehydrogenase increased, blood urea increased, blood alkaline phosphatase increased, weight decreased</w:t>
      </w:r>
    </w:p>
    <w:p w14:paraId="1A7C827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35A4F567"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Hypersensitivity:</w:t>
      </w:r>
      <w:r w:rsidRPr="003532D0">
        <w:rPr>
          <w:rFonts w:ascii="Arial" w:eastAsia="Times New Roman" w:hAnsi="Arial" w:cs="Times New Roman"/>
          <w:bCs/>
          <w:i/>
          <w:vertAlign w:val="superscript"/>
          <w:lang w:val="en-US"/>
        </w:rPr>
        <w:footnoteReference w:id="19"/>
      </w:r>
      <w:r w:rsidRPr="003532D0">
        <w:rPr>
          <w:rFonts w:ascii="Arial" w:eastAsia="Times New Roman" w:hAnsi="Arial" w:cs="Arial"/>
          <w:bCs/>
          <w:i/>
          <w:lang w:val="en-US"/>
        </w:rPr>
        <w:t xml:space="preserve"> </w:t>
      </w:r>
    </w:p>
    <w:p w14:paraId="14674DC8"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Hypersensitivity reactions, including angioneurotic oedema and anaphylactic reaction have been reported.</w:t>
      </w:r>
    </w:p>
    <w:p w14:paraId="5A1FB192" w14:textId="77777777" w:rsidR="003532D0" w:rsidRPr="003532D0" w:rsidRDefault="003532D0" w:rsidP="003532D0">
      <w:pPr>
        <w:spacing w:before="120" w:after="120" w:line="240" w:lineRule="auto"/>
        <w:contextualSpacing/>
        <w:rPr>
          <w:rFonts w:ascii="Arial" w:eastAsia="Times New Roman" w:hAnsi="Arial" w:cs="Arial"/>
          <w:bCs/>
        </w:rPr>
      </w:pPr>
      <w:r w:rsidRPr="003532D0">
        <w:rPr>
          <w:rFonts w:ascii="Arial" w:eastAsia="Times New Roman" w:hAnsi="Arial" w:cs="Arial"/>
          <w:bCs/>
        </w:rPr>
        <w:br w:type="page"/>
      </w:r>
    </w:p>
    <w:p w14:paraId="0CEC058F"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
          <w:lang w:val="en-US"/>
        </w:rPr>
      </w:pPr>
      <w:r w:rsidRPr="003532D0">
        <w:rPr>
          <w:rFonts w:ascii="Arial" w:eastAsia="Times New Roman" w:hAnsi="Arial" w:cs="Arial"/>
          <w:b/>
          <w:bCs/>
          <w:lang w:val="en-US"/>
        </w:rPr>
        <w:lastRenderedPageBreak/>
        <w:t>Tacrolimus</w:t>
      </w:r>
    </w:p>
    <w:p w14:paraId="559DF86B"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Infections and infestations:</w:t>
      </w:r>
      <w:r w:rsidRPr="003532D0">
        <w:rPr>
          <w:rFonts w:ascii="Arial" w:eastAsia="Times New Roman" w:hAnsi="Arial" w:cs="Times New Roman"/>
          <w:bCs/>
          <w:i/>
          <w:vertAlign w:val="superscript"/>
          <w:lang w:val="en-US"/>
        </w:rPr>
        <w:footnoteReference w:id="20"/>
      </w:r>
      <w:r w:rsidRPr="003532D0">
        <w:rPr>
          <w:rFonts w:ascii="Arial" w:eastAsia="Times New Roman" w:hAnsi="Arial" w:cs="Arial"/>
          <w:bCs/>
          <w:i/>
          <w:lang w:val="en-US"/>
        </w:rPr>
        <w:t xml:space="preserve"> </w:t>
      </w:r>
    </w:p>
    <w:p w14:paraId="285006ED"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As is well known for other potent immunosuppressive agents, patients receiving tacrolimus are frequently at increased risk for infections (viral, bacterial, fungal, protozoal). The course of pre-existing infections may be aggravated. Both generalised and localised infections can occur. Cases of BK virus associated nephropathy, as well as cases of JC virus associated progressive multifocal leukoencephalopathy (PML), have been reported in patients treated with immunosuppressants, including tacrolimus.</w:t>
      </w:r>
    </w:p>
    <w:p w14:paraId="212674B6"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p>
    <w:p w14:paraId="5B582FF3"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Neoplasms:</w:t>
      </w:r>
      <w:r w:rsidRPr="003532D0">
        <w:rPr>
          <w:rFonts w:ascii="Arial" w:eastAsia="Times New Roman" w:hAnsi="Arial" w:cs="Times New Roman"/>
          <w:bCs/>
          <w:i/>
          <w:vertAlign w:val="superscript"/>
          <w:lang w:val="en-US"/>
        </w:rPr>
        <w:footnoteReference w:id="21"/>
      </w:r>
    </w:p>
    <w:p w14:paraId="61346234"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Patients receiving immunosuppressive therapy are at increased risk of developing malignancies. Benign as well as malignant neoplasms including EBV-associated lymphoproliferative disorders and skin malignancies have been reported in association with tacrolimus treatment.</w:t>
      </w:r>
    </w:p>
    <w:p w14:paraId="31A8586E"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p>
    <w:p w14:paraId="22555140"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 xml:space="preserve">Blood and lymphatic system disorders: </w:t>
      </w:r>
    </w:p>
    <w:p w14:paraId="3E1ABD32"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anaemia, leukopenia, thrombocytopenia, leukocytosis, red blood cell analyses abnormal</w:t>
      </w:r>
    </w:p>
    <w:p w14:paraId="22D902CE"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Uncommon: coagulopathies, coagulation and bleeding analyses abnormal, pancytopenia, neutropenia</w:t>
      </w:r>
    </w:p>
    <w:p w14:paraId="7A4D51EE"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Rare: thrombotic thrombocytopenic purpura, hypo-prothrombinaemia, thrombotic microangiopathy</w:t>
      </w:r>
    </w:p>
    <w:p w14:paraId="034D010A"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rPr>
      </w:pPr>
      <w:r w:rsidRPr="003532D0">
        <w:rPr>
          <w:rFonts w:ascii="Arial" w:eastAsia="Times New Roman" w:hAnsi="Arial" w:cs="Arial"/>
        </w:rPr>
        <w:t>Not known: pure red cell aplasia, agranulocytosis, haemolytic anaemia.</w:t>
      </w:r>
    </w:p>
    <w:p w14:paraId="3C2D8D90"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3A9C983E"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Immune system disorders:</w:t>
      </w:r>
      <w:r w:rsidRPr="003532D0">
        <w:rPr>
          <w:rFonts w:ascii="Arial" w:eastAsia="Times New Roman" w:hAnsi="Arial" w:cs="Times New Roman"/>
          <w:bCs/>
          <w:i/>
          <w:vertAlign w:val="superscript"/>
          <w:lang w:val="en-US"/>
        </w:rPr>
        <w:footnoteReference w:id="22"/>
      </w:r>
    </w:p>
    <w:p w14:paraId="24896595"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Allergic and anaphylactoid reactions have been observed in patients receiving tacrolimus</w:t>
      </w:r>
    </w:p>
    <w:p w14:paraId="460ABD8D"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25169B72"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Endocrine disorders:</w:t>
      </w:r>
    </w:p>
    <w:p w14:paraId="6F563A5B"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Rare: hirsuitism</w:t>
      </w:r>
    </w:p>
    <w:p w14:paraId="5A099C02"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3DB2E8BF"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Metabolism and nutrition disorders:</w:t>
      </w:r>
    </w:p>
    <w:p w14:paraId="1397B012"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Very common: hyperglycaemic conditions, diabetes mellitus</w:t>
      </w:r>
      <w:r w:rsidRPr="003532D0">
        <w:rPr>
          <w:rFonts w:ascii="Arial" w:eastAsia="Times New Roman" w:hAnsi="Arial" w:cs="Times New Roman"/>
          <w:bCs/>
          <w:vertAlign w:val="superscript"/>
          <w:lang w:val="en-US"/>
        </w:rPr>
        <w:footnoteReference w:id="23"/>
      </w:r>
      <w:r w:rsidRPr="003532D0">
        <w:rPr>
          <w:rFonts w:ascii="Arial" w:eastAsia="Times New Roman" w:hAnsi="Arial" w:cs="Arial"/>
          <w:bCs/>
          <w:lang w:val="en-US"/>
        </w:rPr>
        <w:t>, hyperkalaemia</w:t>
      </w:r>
    </w:p>
    <w:p w14:paraId="3D4A5D5C"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hypomagnesaemia, hypophosphataemia, hypokalaemia, hypocalcaemia, hyponatraemia, fluid overload, hyperuricaemia, appetite decreased, anorexia, metabolic acidoses, hyperlipidaemia, hypercholesterolaemia, hypertriglyceridaemia, other electrolyte abnormalities</w:t>
      </w:r>
    </w:p>
    <w:p w14:paraId="68EC5C73"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Uncommon: dehydration, hypoproteinaemia, hyperphosphataemia, hypoglycaemia</w:t>
      </w:r>
    </w:p>
    <w:p w14:paraId="4EA3934D"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7456BD8C"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Psychiatric disorders:</w:t>
      </w:r>
    </w:p>
    <w:p w14:paraId="3EB29620"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Very common: insomnia</w:t>
      </w:r>
    </w:p>
    <w:p w14:paraId="6436239D"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anxiety symptoms, confusion and disorientation, depression, depressed mood, mood disorders and disturbances, nightmare, hallucination, mental disorders</w:t>
      </w:r>
    </w:p>
    <w:p w14:paraId="0C011DA6"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Uncommon: psychotic disorder</w:t>
      </w:r>
    </w:p>
    <w:p w14:paraId="21DB1417"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p>
    <w:p w14:paraId="6C9E8554"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Nervous system disorders:</w:t>
      </w:r>
    </w:p>
    <w:p w14:paraId="186DD297"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Very common: tremor, headache</w:t>
      </w:r>
    </w:p>
    <w:p w14:paraId="4834B40F"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seizures, disturbances in consciousness, paraesthesias and dysaesthesias, peripheral neuropathies, dizziness, writing impaired, nervous system disorders</w:t>
      </w:r>
    </w:p>
    <w:p w14:paraId="28EC8F0C"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lastRenderedPageBreak/>
        <w:t>Uncommon: coma, central nervous system haemorrhages and cerebrovascular accidents, paralysis and paresis, encephalopathy, speech and language abnormalities, amnesia</w:t>
      </w:r>
    </w:p>
    <w:p w14:paraId="163892E8"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Rare: hypertonia</w:t>
      </w:r>
    </w:p>
    <w:p w14:paraId="1368961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Very rare: myasthenia</w:t>
      </w:r>
    </w:p>
    <w:p w14:paraId="2E51BE1A"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10F6C09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Eye disorders:</w:t>
      </w:r>
    </w:p>
    <w:p w14:paraId="65463B56"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vision blurred, photophobia, eye disorders</w:t>
      </w:r>
    </w:p>
    <w:p w14:paraId="525F4914"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Uncommon: cataract</w:t>
      </w:r>
    </w:p>
    <w:p w14:paraId="2C83614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Rare: blindness</w:t>
      </w:r>
    </w:p>
    <w:p w14:paraId="4736BE0C"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Not known: optic neuropathy</w:t>
      </w:r>
    </w:p>
    <w:p w14:paraId="1A25BE7C"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350952A5"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Ear and labyrinth disorders:</w:t>
      </w:r>
    </w:p>
    <w:p w14:paraId="41B4553D"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tinnitus</w:t>
      </w:r>
    </w:p>
    <w:p w14:paraId="3E36E212"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Uncommon: hypoacusis</w:t>
      </w:r>
    </w:p>
    <w:p w14:paraId="5A8BAF5E"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Rare: deafness neurosensory</w:t>
      </w:r>
    </w:p>
    <w:p w14:paraId="3BD39964"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Very rare: hearing impaired</w:t>
      </w:r>
    </w:p>
    <w:p w14:paraId="3FB06EEA"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p>
    <w:p w14:paraId="6E9BDBD3"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 xml:space="preserve">Cardiac disorders: </w:t>
      </w:r>
    </w:p>
    <w:p w14:paraId="6C4D1F2B"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ischaemic coronary artery disorders, tachycardia</w:t>
      </w:r>
    </w:p>
    <w:p w14:paraId="65B195A7"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Uncommon: ventricular arrhythmias and cardiac arrest, heart failures, cardiomyopathies, ventricular hypertrophy, supraventricular arrhythmias, palpitations, Rare: pericardial effusion</w:t>
      </w:r>
    </w:p>
    <w:p w14:paraId="68C70A32"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 xml:space="preserve">Very rare: </w:t>
      </w:r>
      <w:r w:rsidRPr="003532D0">
        <w:rPr>
          <w:rFonts w:ascii="Arial" w:eastAsia="Times New Roman" w:hAnsi="Arial" w:cs="Arial"/>
          <w:bCs/>
          <w:i/>
          <w:iCs/>
          <w:color w:val="000000"/>
          <w:shd w:val="clear" w:color="auto" w:fill="FFFFFF"/>
        </w:rPr>
        <w:t>Torsades de Pointes</w:t>
      </w:r>
    </w:p>
    <w:p w14:paraId="36DF1AE6"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2817B143"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 xml:space="preserve">Vascular disorders: </w:t>
      </w:r>
    </w:p>
    <w:p w14:paraId="2FF82AA9"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Very common: hypertension</w:t>
      </w:r>
    </w:p>
    <w:p w14:paraId="5E896EA2"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haemorrhage, thrombembolic and ischaemic events, peripheral vascular disorders, vascular hypotensive disorders</w:t>
      </w:r>
    </w:p>
    <w:p w14:paraId="5966238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Uncommon: infarction, venous thrombosis deep limb, shock</w:t>
      </w:r>
    </w:p>
    <w:p w14:paraId="3E6CDFDC"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71D4C626"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Respiratory, thoracic and mediastinal disorders:</w:t>
      </w:r>
    </w:p>
    <w:p w14:paraId="0AC287BC"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dyspnoea, parenchymal lung disorders, pleural effusion, pharyngitis, cough, nasal congestion and inflammations</w:t>
      </w:r>
    </w:p>
    <w:p w14:paraId="63DDE860"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Uncommon: respiratory failures, respiratory tract disorders, asthma</w:t>
      </w:r>
    </w:p>
    <w:p w14:paraId="532883BD"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Rare: acute respiratory distress syndrome</w:t>
      </w:r>
    </w:p>
    <w:p w14:paraId="5452D3D5"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08957AFC"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 xml:space="preserve">Gastrointestinal disorders: </w:t>
      </w:r>
    </w:p>
    <w:p w14:paraId="699BB889"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Very common: diarrhoea, nausea</w:t>
      </w:r>
    </w:p>
    <w:p w14:paraId="1603594E"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gastrointestinal inflammatory conditions, gastrointestinal ulceration and perforation, gastrointestinal haemorrhages, stomatitis and ulceration, ascites, vomiting, gastrointestinal and abdominal pains, dyspeptic signs and symptoms, constipation, flatulence, bloating and distension, loose stools, gastrointestinal signs and symptoms</w:t>
      </w:r>
    </w:p>
    <w:p w14:paraId="1985D0A4"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Uncommon: ileus paralytic, peritonitis, acute and chronic pancreatitis, blood amylase increased, gastrooesophageal reflux disease, impaired gastric emptying</w:t>
      </w:r>
    </w:p>
    <w:p w14:paraId="3DA1EC1C"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Rare: subileus, pancreatic pseudocyst</w:t>
      </w:r>
    </w:p>
    <w:p w14:paraId="07EBC16C"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7A67F824"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 xml:space="preserve">Hepatobiliary disorders: </w:t>
      </w:r>
    </w:p>
    <w:p w14:paraId="01A767DB"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cholestasis and jaundice, hepatocellular damage and hepatitis, cholangitis</w:t>
      </w:r>
      <w:r w:rsidRPr="003532D0">
        <w:rPr>
          <w:rFonts w:ascii="Arial" w:eastAsia="Times New Roman" w:hAnsi="Arial" w:cs="Times New Roman"/>
          <w:bCs/>
          <w:i/>
          <w:vertAlign w:val="superscript"/>
          <w:lang w:val="en-US"/>
        </w:rPr>
        <w:footnoteReference w:id="24"/>
      </w:r>
    </w:p>
    <w:p w14:paraId="0E47E9E5"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Rare: hepatitic artery thrombosis, venoocclusive liver disease</w:t>
      </w:r>
    </w:p>
    <w:p w14:paraId="77E4A58B"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Very rare: hepatic failure, bile duct stenosis</w:t>
      </w:r>
    </w:p>
    <w:p w14:paraId="19AFC969"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07CE7F6A"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Skin and subcutaneous tissue disorders:</w:t>
      </w:r>
    </w:p>
    <w:p w14:paraId="17FAB6D0"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pruritus, rash, alopecias, acne, sweating increased</w:t>
      </w:r>
    </w:p>
    <w:p w14:paraId="084410F9"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Uncommon: dermatitis, photosensitivity</w:t>
      </w:r>
    </w:p>
    <w:p w14:paraId="364BD7E8"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Rare: toxic epidermal necrolysis (Lyell's syndrome)</w:t>
      </w:r>
    </w:p>
    <w:p w14:paraId="16A6A2A5"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Very rare: Stevens Johnson syndrome</w:t>
      </w:r>
    </w:p>
    <w:p w14:paraId="11BA52BC"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3404B204"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Musculoskeletal and connective tissue disorders:</w:t>
      </w:r>
    </w:p>
    <w:p w14:paraId="332E1460"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arthralgia, muscle spasms, pain in extremity, back pain</w:t>
      </w:r>
    </w:p>
    <w:p w14:paraId="09D08750"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Uncommon: joint disorders</w:t>
      </w:r>
    </w:p>
    <w:p w14:paraId="1FE3B2C6"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Rare: mobility decreased</w:t>
      </w:r>
    </w:p>
    <w:p w14:paraId="7D4E1DEF"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38DF4905"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Renal and urinary disorders:</w:t>
      </w:r>
    </w:p>
    <w:p w14:paraId="69010D92"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Very common: renal impairment</w:t>
      </w:r>
    </w:p>
    <w:p w14:paraId="68728230"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renal failure, renal failure acute, oliguria, renal tubular necrosis, nephropathy toxic, urinary abnormalities, bladder and urethral symptoms</w:t>
      </w:r>
    </w:p>
    <w:p w14:paraId="0BF957B6"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Uncommon: anuria, haemolytic uraemic syndrome</w:t>
      </w:r>
    </w:p>
    <w:p w14:paraId="77A6A6A6"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Very rare: nephropathy, cystitis haemorrhagic</w:t>
      </w:r>
    </w:p>
    <w:p w14:paraId="4F541DB9"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69051FF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Reproductive system and breast disorders:</w:t>
      </w:r>
    </w:p>
    <w:p w14:paraId="04A7434F"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Uncommon: dysmenorrhoea and uterine bleeding</w:t>
      </w:r>
    </w:p>
    <w:p w14:paraId="1FCDF09D"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3A947261"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i/>
          <w:lang w:val="en-US"/>
        </w:rPr>
      </w:pPr>
      <w:r w:rsidRPr="003532D0">
        <w:rPr>
          <w:rFonts w:ascii="Arial" w:eastAsia="Times New Roman" w:hAnsi="Arial" w:cs="Arial"/>
          <w:bCs/>
          <w:i/>
          <w:lang w:val="en-US"/>
        </w:rPr>
        <w:t>General Disorders and administration site conditions:</w:t>
      </w:r>
    </w:p>
    <w:p w14:paraId="6BF4C7AE"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Common: asthenic conditions, febrile disorders, oedema, pain and discomfort, body temperature perception disturbed</w:t>
      </w:r>
    </w:p>
    <w:p w14:paraId="289D5340"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 xml:space="preserve">Uncommon: multi-organ failure, influenza like illness, temperature intolerance, chest pressure sensation, feeling jittery, feeling abnormal, </w:t>
      </w:r>
    </w:p>
    <w:p w14:paraId="368F8D9A"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Rare: thirst, fall, chest tightness, ulcer</w:t>
      </w:r>
    </w:p>
    <w:p w14:paraId="3C380E22"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r w:rsidRPr="003532D0">
        <w:rPr>
          <w:rFonts w:ascii="Arial" w:eastAsia="Times New Roman" w:hAnsi="Arial" w:cs="Arial"/>
          <w:bCs/>
          <w:lang w:val="en-US"/>
        </w:rPr>
        <w:t>Very rare: fat tissue increased</w:t>
      </w:r>
    </w:p>
    <w:p w14:paraId="4D83093D" w14:textId="77777777" w:rsidR="003532D0" w:rsidRPr="003532D0" w:rsidRDefault="003532D0" w:rsidP="003532D0">
      <w:pPr>
        <w:widowControl w:val="0"/>
        <w:autoSpaceDE w:val="0"/>
        <w:autoSpaceDN w:val="0"/>
        <w:adjustRightInd w:val="0"/>
        <w:spacing w:before="120" w:after="0" w:line="240" w:lineRule="auto"/>
        <w:contextualSpacing/>
        <w:rPr>
          <w:rFonts w:ascii="Arial" w:eastAsia="Times New Roman" w:hAnsi="Arial" w:cs="Arial"/>
          <w:bCs/>
          <w:lang w:val="en-US"/>
        </w:rPr>
      </w:pPr>
    </w:p>
    <w:p w14:paraId="37064FAA" w14:textId="77777777" w:rsidR="003532D0" w:rsidRPr="003532D0" w:rsidRDefault="003532D0" w:rsidP="003532D0">
      <w:pPr>
        <w:autoSpaceDE w:val="0"/>
        <w:autoSpaceDN w:val="0"/>
        <w:adjustRightInd w:val="0"/>
        <w:spacing w:after="0" w:line="240" w:lineRule="auto"/>
        <w:rPr>
          <w:rFonts w:ascii="ArialMT" w:eastAsia="Times New Roman" w:hAnsi="Times New Roman" w:cs="ArialMT"/>
          <w:sz w:val="19"/>
          <w:szCs w:val="19"/>
        </w:rPr>
      </w:pPr>
      <w:r w:rsidRPr="003532D0">
        <w:rPr>
          <w:rFonts w:ascii="Arial" w:eastAsia="Times New Roman" w:hAnsi="Arial" w:cs="Arial"/>
          <w:bCs/>
          <w:i/>
          <w:lang w:val="en-US"/>
        </w:rPr>
        <w:t>Investigations:</w:t>
      </w:r>
      <w:r w:rsidRPr="003532D0">
        <w:rPr>
          <w:rFonts w:ascii="ArialMT" w:eastAsia="Times New Roman" w:hAnsi="Times New Roman" w:cs="ArialMT"/>
          <w:sz w:val="19"/>
          <w:szCs w:val="19"/>
        </w:rPr>
        <w:t xml:space="preserve"> </w:t>
      </w:r>
    </w:p>
    <w:p w14:paraId="082AF2D2" w14:textId="77777777" w:rsidR="003532D0" w:rsidRPr="003532D0" w:rsidRDefault="003532D0" w:rsidP="003532D0">
      <w:pPr>
        <w:autoSpaceDE w:val="0"/>
        <w:autoSpaceDN w:val="0"/>
        <w:adjustRightInd w:val="0"/>
        <w:spacing w:after="0" w:line="240" w:lineRule="auto"/>
        <w:rPr>
          <w:rFonts w:ascii="Arial" w:eastAsia="Times New Roman" w:hAnsi="Arial" w:cs="Arial"/>
        </w:rPr>
      </w:pPr>
      <w:r w:rsidRPr="003532D0">
        <w:rPr>
          <w:rFonts w:ascii="Arial" w:eastAsia="Times New Roman" w:hAnsi="Arial" w:cs="Arial"/>
        </w:rPr>
        <w:t>common: hepatic enzymes and function abnormalities, blood alkaline phosphatase increased, weight increased</w:t>
      </w:r>
    </w:p>
    <w:p w14:paraId="72B20F65" w14:textId="77777777" w:rsidR="003532D0" w:rsidRPr="003532D0" w:rsidRDefault="003532D0" w:rsidP="003532D0">
      <w:pPr>
        <w:autoSpaceDE w:val="0"/>
        <w:autoSpaceDN w:val="0"/>
        <w:adjustRightInd w:val="0"/>
        <w:spacing w:after="0" w:line="240" w:lineRule="auto"/>
        <w:rPr>
          <w:rFonts w:ascii="Arial" w:eastAsia="Times New Roman" w:hAnsi="Arial" w:cs="Arial"/>
        </w:rPr>
      </w:pPr>
      <w:r w:rsidRPr="003532D0">
        <w:rPr>
          <w:rFonts w:ascii="Arial" w:eastAsia="Times New Roman" w:hAnsi="Arial" w:cs="Arial"/>
        </w:rPr>
        <w:t>uncommon: amylase increased, ECG investigations abnormal, heart rate and pulse investigations abnormal, weight decreased, blood lactate dehydrogenase increased</w:t>
      </w:r>
    </w:p>
    <w:p w14:paraId="34057CDE" w14:textId="77777777" w:rsidR="003532D0" w:rsidRPr="003532D0" w:rsidRDefault="003532D0" w:rsidP="003532D0">
      <w:pPr>
        <w:spacing w:before="120" w:after="120" w:line="240" w:lineRule="auto"/>
        <w:contextualSpacing/>
        <w:rPr>
          <w:rFonts w:ascii="Arial" w:eastAsia="Times New Roman" w:hAnsi="Arial" w:cs="Arial"/>
          <w:bCs/>
        </w:rPr>
      </w:pPr>
      <w:r w:rsidRPr="003532D0">
        <w:rPr>
          <w:rFonts w:ascii="Arial" w:eastAsia="Times New Roman" w:hAnsi="Arial" w:cs="Arial"/>
        </w:rPr>
        <w:t>very rare: echocardiogram abnormal, electrocardiogram QT prolonged</w:t>
      </w:r>
    </w:p>
    <w:p w14:paraId="51942F22" w14:textId="77777777" w:rsidR="003532D0" w:rsidRPr="003532D0" w:rsidRDefault="003532D0" w:rsidP="003532D0">
      <w:pPr>
        <w:spacing w:before="120" w:after="120" w:line="240" w:lineRule="auto"/>
        <w:contextualSpacing/>
        <w:rPr>
          <w:rFonts w:ascii="Arial" w:eastAsia="Times New Roman" w:hAnsi="Arial" w:cs="Arial"/>
          <w:bCs/>
        </w:rPr>
      </w:pPr>
    </w:p>
    <w:p w14:paraId="3CE10710" w14:textId="77777777" w:rsidR="003532D0" w:rsidRPr="003532D0" w:rsidRDefault="003532D0" w:rsidP="003532D0">
      <w:pPr>
        <w:autoSpaceDE w:val="0"/>
        <w:autoSpaceDN w:val="0"/>
        <w:adjustRightInd w:val="0"/>
        <w:spacing w:after="0" w:line="240" w:lineRule="auto"/>
        <w:rPr>
          <w:rFonts w:ascii="Arial" w:eastAsia="Times New Roman" w:hAnsi="Arial" w:cs="Arial"/>
          <w:i/>
          <w:iCs/>
        </w:rPr>
      </w:pPr>
      <w:r w:rsidRPr="003532D0">
        <w:rPr>
          <w:rFonts w:ascii="Arial" w:eastAsia="Times New Roman" w:hAnsi="Arial" w:cs="Arial"/>
          <w:i/>
          <w:iCs/>
        </w:rPr>
        <w:t>Description of selected adverse reactions:</w:t>
      </w:r>
    </w:p>
    <w:p w14:paraId="1FD8D73E" w14:textId="77777777" w:rsidR="003532D0" w:rsidRPr="003532D0" w:rsidRDefault="003532D0" w:rsidP="003532D0">
      <w:pPr>
        <w:spacing w:before="120" w:after="120" w:line="240" w:lineRule="auto"/>
        <w:contextualSpacing/>
        <w:rPr>
          <w:rFonts w:ascii="Arial" w:eastAsia="Times New Roman" w:hAnsi="Arial" w:cs="Arial"/>
          <w:bCs/>
        </w:rPr>
      </w:pPr>
      <w:r w:rsidRPr="003532D0">
        <w:rPr>
          <w:rFonts w:ascii="Arial" w:eastAsia="Times New Roman" w:hAnsi="Arial" w:cs="Arial"/>
        </w:rPr>
        <w:t>Pain in extremity has been described in a number of published case reports as part of Calcineurin-Inhibitor Induced Pain Syndrome (CIPS). This typically presents as a bilateral and symmetrical, severe, ascending pain in the lower extremities and may be associated with supra-therapeutic levels of tacrolimus. The syndrome may respond to tacrolimus dose reduction. In some cases, it was necessary to switch to alternative immunosuppression.</w:t>
      </w:r>
      <w:r w:rsidRPr="003532D0">
        <w:rPr>
          <w:rFonts w:ascii="Arial" w:eastAsia="Times New Roman" w:hAnsi="Arial" w:cs="Arial"/>
          <w:bCs/>
        </w:rPr>
        <w:br w:type="page"/>
      </w:r>
    </w:p>
    <w:p w14:paraId="5CC6249D" w14:textId="77777777" w:rsidR="003532D0" w:rsidRPr="003532D0" w:rsidRDefault="003532D0" w:rsidP="003532D0">
      <w:pPr>
        <w:spacing w:before="120" w:after="120" w:line="240" w:lineRule="auto"/>
        <w:contextualSpacing/>
        <w:rPr>
          <w:rFonts w:ascii="Arial" w:eastAsia="Times New Roman" w:hAnsi="Arial" w:cs="Arial"/>
          <w:b/>
          <w:bCs/>
        </w:rPr>
      </w:pPr>
      <w:r w:rsidRPr="003532D0">
        <w:rPr>
          <w:rFonts w:ascii="Arial" w:eastAsia="Times New Roman" w:hAnsi="Arial" w:cs="Arial"/>
          <w:b/>
          <w:bCs/>
        </w:rPr>
        <w:lastRenderedPageBreak/>
        <w:t>Prednisolone</w:t>
      </w:r>
    </w:p>
    <w:p w14:paraId="387772A1" w14:textId="77777777" w:rsidR="003532D0" w:rsidRPr="003532D0" w:rsidRDefault="003532D0" w:rsidP="003532D0">
      <w:pPr>
        <w:spacing w:before="120" w:after="120" w:line="240" w:lineRule="auto"/>
        <w:contextualSpacing/>
        <w:rPr>
          <w:rFonts w:ascii="Arial" w:eastAsia="Times New Roman" w:hAnsi="Arial" w:cs="Arial"/>
          <w:bCs/>
          <w:i/>
          <w:iCs/>
          <w:lang w:val="en-US"/>
        </w:rPr>
      </w:pPr>
      <w:r w:rsidRPr="003532D0">
        <w:rPr>
          <w:rFonts w:ascii="Arial" w:eastAsia="Times New Roman" w:hAnsi="Arial" w:cs="Arial"/>
          <w:bCs/>
          <w:i/>
          <w:iCs/>
          <w:lang w:val="en-US"/>
        </w:rPr>
        <w:t xml:space="preserve">Infections and infestations: </w:t>
      </w:r>
    </w:p>
    <w:p w14:paraId="59754AED" w14:textId="77777777" w:rsidR="003532D0" w:rsidRPr="003532D0" w:rsidRDefault="003532D0" w:rsidP="003532D0">
      <w:pPr>
        <w:spacing w:before="120" w:after="120" w:line="240" w:lineRule="auto"/>
        <w:contextualSpacing/>
        <w:rPr>
          <w:rFonts w:ascii="Arial" w:eastAsia="Times New Roman" w:hAnsi="Arial" w:cs="Arial"/>
          <w:bCs/>
          <w:lang w:val="en-US"/>
        </w:rPr>
      </w:pPr>
      <w:r w:rsidRPr="003532D0">
        <w:rPr>
          <w:rFonts w:ascii="Arial" w:eastAsia="Times New Roman" w:hAnsi="Arial" w:cs="Arial"/>
          <w:bCs/>
          <w:lang w:val="en-US"/>
        </w:rPr>
        <w:t>Increased susceptibility and severity of infections</w:t>
      </w:r>
      <w:r w:rsidRPr="003532D0">
        <w:rPr>
          <w:rFonts w:ascii="Arial" w:eastAsia="Times New Roman" w:hAnsi="Arial" w:cs="Times New Roman"/>
          <w:bCs/>
          <w:i/>
          <w:vertAlign w:val="superscript"/>
          <w:lang w:val="en-US"/>
        </w:rPr>
        <w:footnoteReference w:id="25"/>
      </w:r>
      <w:r w:rsidRPr="003532D0">
        <w:rPr>
          <w:rFonts w:ascii="Arial" w:eastAsia="Times New Roman" w:hAnsi="Arial" w:cs="Arial"/>
          <w:bCs/>
          <w:lang w:val="en-US"/>
        </w:rPr>
        <w:t xml:space="preserve"> with suppression of clinical symptoms</w:t>
      </w:r>
    </w:p>
    <w:p w14:paraId="03C84808" w14:textId="77777777" w:rsidR="003532D0" w:rsidRPr="003532D0" w:rsidRDefault="003532D0" w:rsidP="003532D0">
      <w:pPr>
        <w:spacing w:before="120" w:after="120" w:line="240" w:lineRule="auto"/>
        <w:contextualSpacing/>
        <w:rPr>
          <w:rFonts w:ascii="Arial" w:eastAsia="Times New Roman" w:hAnsi="Arial" w:cs="Arial"/>
          <w:bCs/>
          <w:lang w:val="en-US"/>
        </w:rPr>
      </w:pPr>
      <w:r w:rsidRPr="003532D0">
        <w:rPr>
          <w:rFonts w:ascii="Arial" w:eastAsia="Times New Roman" w:hAnsi="Arial" w:cs="Arial"/>
          <w:bCs/>
          <w:lang w:val="en-US"/>
        </w:rPr>
        <w:t>and signs, opportunistic infections, recurrence of dormant tuberculosis.</w:t>
      </w:r>
    </w:p>
    <w:p w14:paraId="35801DE5" w14:textId="77777777" w:rsidR="003532D0" w:rsidRPr="003532D0" w:rsidRDefault="003532D0" w:rsidP="003532D0">
      <w:pPr>
        <w:spacing w:before="120" w:after="120" w:line="240" w:lineRule="auto"/>
        <w:contextualSpacing/>
        <w:rPr>
          <w:rFonts w:ascii="Arial" w:eastAsia="Times New Roman" w:hAnsi="Arial" w:cs="Arial"/>
          <w:bCs/>
          <w:i/>
          <w:iCs/>
          <w:lang w:val="en-US"/>
        </w:rPr>
      </w:pPr>
    </w:p>
    <w:p w14:paraId="0F079C82" w14:textId="77777777" w:rsidR="003532D0" w:rsidRPr="003532D0" w:rsidRDefault="003532D0" w:rsidP="003532D0">
      <w:pPr>
        <w:spacing w:before="120" w:after="120" w:line="240" w:lineRule="auto"/>
        <w:contextualSpacing/>
        <w:rPr>
          <w:rFonts w:ascii="Arial" w:eastAsia="Times New Roman" w:hAnsi="Arial" w:cs="Arial"/>
          <w:bCs/>
          <w:i/>
          <w:iCs/>
          <w:lang w:val="en-US"/>
        </w:rPr>
      </w:pPr>
      <w:r w:rsidRPr="003532D0">
        <w:rPr>
          <w:rFonts w:ascii="Arial" w:eastAsia="Times New Roman" w:hAnsi="Arial" w:cs="Arial"/>
          <w:bCs/>
          <w:i/>
          <w:iCs/>
          <w:lang w:val="en-US"/>
        </w:rPr>
        <w:t>Blood and lymphatic system disorders:</w:t>
      </w:r>
    </w:p>
    <w:p w14:paraId="320BD130" w14:textId="77777777" w:rsidR="003532D0" w:rsidRPr="003532D0" w:rsidRDefault="003532D0" w:rsidP="003532D0">
      <w:pPr>
        <w:spacing w:before="120" w:after="120" w:line="240" w:lineRule="auto"/>
        <w:contextualSpacing/>
        <w:rPr>
          <w:rFonts w:ascii="Arial" w:eastAsia="Times New Roman" w:hAnsi="Arial" w:cs="Arial"/>
          <w:bCs/>
          <w:lang w:val="en-US"/>
        </w:rPr>
      </w:pPr>
      <w:r w:rsidRPr="003532D0">
        <w:rPr>
          <w:rFonts w:ascii="Arial" w:eastAsia="Times New Roman" w:hAnsi="Arial" w:cs="Arial"/>
          <w:bCs/>
          <w:lang w:val="en-US"/>
        </w:rPr>
        <w:t>Leukocytosis</w:t>
      </w:r>
    </w:p>
    <w:p w14:paraId="0A64ED7E" w14:textId="77777777" w:rsidR="003532D0" w:rsidRPr="003532D0" w:rsidRDefault="003532D0" w:rsidP="003532D0">
      <w:pPr>
        <w:spacing w:before="120" w:after="120" w:line="240" w:lineRule="auto"/>
        <w:contextualSpacing/>
        <w:rPr>
          <w:rFonts w:ascii="Arial" w:eastAsia="Times New Roman" w:hAnsi="Arial" w:cs="Arial"/>
          <w:bCs/>
          <w:i/>
          <w:iCs/>
          <w:lang w:val="en-US"/>
        </w:rPr>
      </w:pPr>
    </w:p>
    <w:p w14:paraId="5CF7A016" w14:textId="77777777" w:rsidR="003532D0" w:rsidRPr="003532D0" w:rsidRDefault="003532D0" w:rsidP="003532D0">
      <w:pPr>
        <w:spacing w:before="120" w:after="120" w:line="240" w:lineRule="auto"/>
        <w:contextualSpacing/>
        <w:rPr>
          <w:rFonts w:ascii="Arial" w:eastAsia="Times New Roman" w:hAnsi="Arial" w:cs="Arial"/>
          <w:bCs/>
          <w:i/>
          <w:iCs/>
          <w:lang w:val="en-US"/>
        </w:rPr>
      </w:pPr>
      <w:r w:rsidRPr="003532D0">
        <w:rPr>
          <w:rFonts w:ascii="Arial" w:eastAsia="Times New Roman" w:hAnsi="Arial" w:cs="Arial"/>
          <w:bCs/>
          <w:i/>
          <w:iCs/>
          <w:lang w:val="en-US"/>
        </w:rPr>
        <w:t>Immune system disorders:</w:t>
      </w:r>
    </w:p>
    <w:p w14:paraId="22C5575E" w14:textId="77777777" w:rsidR="003532D0" w:rsidRPr="003532D0" w:rsidRDefault="003532D0" w:rsidP="003532D0">
      <w:pPr>
        <w:spacing w:before="120" w:after="120" w:line="240" w:lineRule="auto"/>
        <w:contextualSpacing/>
        <w:rPr>
          <w:rFonts w:ascii="Arial" w:eastAsia="Times New Roman" w:hAnsi="Arial" w:cs="Arial"/>
          <w:bCs/>
          <w:lang w:val="en-US"/>
        </w:rPr>
      </w:pPr>
      <w:r w:rsidRPr="003532D0">
        <w:rPr>
          <w:rFonts w:ascii="Arial" w:eastAsia="Times New Roman" w:hAnsi="Arial" w:cs="Arial"/>
          <w:bCs/>
          <w:lang w:val="en-US"/>
        </w:rPr>
        <w:t>Hypersensitivity including anaphylaxis, fatigue and malaise</w:t>
      </w:r>
    </w:p>
    <w:p w14:paraId="07B56FCB" w14:textId="77777777" w:rsidR="003532D0" w:rsidRPr="003532D0" w:rsidRDefault="003532D0" w:rsidP="003532D0">
      <w:pPr>
        <w:spacing w:before="120" w:after="120" w:line="240" w:lineRule="auto"/>
        <w:contextualSpacing/>
        <w:rPr>
          <w:rFonts w:ascii="Arial" w:eastAsia="Times New Roman" w:hAnsi="Arial" w:cs="Arial"/>
          <w:bCs/>
          <w:i/>
          <w:iCs/>
          <w:lang w:val="en-US"/>
        </w:rPr>
      </w:pPr>
    </w:p>
    <w:p w14:paraId="568E6C87" w14:textId="77777777" w:rsidR="003532D0" w:rsidRPr="003532D0" w:rsidRDefault="003532D0" w:rsidP="003532D0">
      <w:pPr>
        <w:spacing w:before="120" w:after="120" w:line="240" w:lineRule="auto"/>
        <w:contextualSpacing/>
        <w:rPr>
          <w:rFonts w:ascii="Arial" w:eastAsia="Times New Roman" w:hAnsi="Arial" w:cs="Arial"/>
          <w:bCs/>
          <w:i/>
          <w:iCs/>
          <w:lang w:val="en-US"/>
        </w:rPr>
      </w:pPr>
      <w:r w:rsidRPr="003532D0">
        <w:rPr>
          <w:rFonts w:ascii="Arial" w:eastAsia="Times New Roman" w:hAnsi="Arial" w:cs="Arial"/>
          <w:bCs/>
          <w:i/>
          <w:iCs/>
          <w:lang w:val="en-US"/>
        </w:rPr>
        <w:t xml:space="preserve">Endocrine disorders: </w:t>
      </w:r>
    </w:p>
    <w:p w14:paraId="30E65035" w14:textId="77777777" w:rsidR="003532D0" w:rsidRPr="003532D0" w:rsidRDefault="003532D0" w:rsidP="003532D0">
      <w:pPr>
        <w:spacing w:before="120" w:after="120" w:line="240" w:lineRule="auto"/>
        <w:contextualSpacing/>
        <w:rPr>
          <w:rFonts w:ascii="Arial" w:eastAsia="Times New Roman" w:hAnsi="Arial" w:cs="Arial"/>
          <w:bCs/>
          <w:lang w:val="en-US"/>
        </w:rPr>
      </w:pPr>
      <w:r w:rsidRPr="003532D0">
        <w:rPr>
          <w:rFonts w:ascii="Arial" w:eastAsia="Times New Roman" w:hAnsi="Arial" w:cs="Arial"/>
          <w:bCs/>
          <w:lang w:val="en-US"/>
        </w:rPr>
        <w:t xml:space="preserve">Cushing syndrome, Cushingoid facies, weight gain, impaired carbohydrate tolerance with increased requirement for antidiabetic therapy, manifestation of latent diabetes mellitus, menstrual irregularity and amenorrhea. </w:t>
      </w:r>
    </w:p>
    <w:p w14:paraId="0E9FE0F1" w14:textId="77777777" w:rsidR="003532D0" w:rsidRPr="003532D0" w:rsidRDefault="003532D0" w:rsidP="003532D0">
      <w:pPr>
        <w:spacing w:before="120" w:after="120" w:line="240" w:lineRule="auto"/>
        <w:contextualSpacing/>
        <w:rPr>
          <w:rFonts w:ascii="Arial" w:eastAsia="Times New Roman" w:hAnsi="Arial" w:cs="Arial"/>
          <w:bCs/>
          <w:lang w:val="en-US"/>
        </w:rPr>
      </w:pPr>
    </w:p>
    <w:p w14:paraId="26852F4E" w14:textId="77777777" w:rsidR="003532D0" w:rsidRPr="003532D0" w:rsidRDefault="003532D0" w:rsidP="003532D0">
      <w:pPr>
        <w:spacing w:before="120" w:after="120" w:line="240" w:lineRule="auto"/>
        <w:contextualSpacing/>
        <w:rPr>
          <w:rFonts w:ascii="Arial" w:eastAsia="Times New Roman" w:hAnsi="Arial" w:cs="Arial"/>
          <w:bCs/>
          <w:i/>
          <w:iCs/>
          <w:lang w:val="en-US"/>
        </w:rPr>
      </w:pPr>
      <w:r w:rsidRPr="003532D0">
        <w:rPr>
          <w:rFonts w:ascii="Arial" w:eastAsia="Times New Roman" w:hAnsi="Arial" w:cs="Arial"/>
          <w:bCs/>
          <w:i/>
          <w:iCs/>
          <w:lang w:val="en-US"/>
        </w:rPr>
        <w:t>Metabolism and nutrition disorders:</w:t>
      </w:r>
    </w:p>
    <w:p w14:paraId="5E748E30" w14:textId="77777777" w:rsidR="003532D0" w:rsidRPr="003532D0" w:rsidRDefault="003532D0" w:rsidP="003532D0">
      <w:pPr>
        <w:spacing w:before="120" w:after="120" w:line="240" w:lineRule="auto"/>
        <w:contextualSpacing/>
        <w:rPr>
          <w:rFonts w:ascii="Arial" w:eastAsia="Times New Roman" w:hAnsi="Arial" w:cs="Arial"/>
          <w:bCs/>
          <w:lang w:val="en-US"/>
        </w:rPr>
      </w:pPr>
      <w:r w:rsidRPr="003532D0">
        <w:rPr>
          <w:rFonts w:ascii="Arial" w:eastAsia="Times New Roman" w:hAnsi="Arial" w:cs="Arial"/>
          <w:bCs/>
          <w:lang w:val="en-US"/>
        </w:rPr>
        <w:t>Sodium and water retention, hypokalaemic alkalosis, potassium loss, negative nitrogen and calcium balance.</w:t>
      </w:r>
    </w:p>
    <w:p w14:paraId="387FB2E3" w14:textId="77777777" w:rsidR="003532D0" w:rsidRPr="003532D0" w:rsidRDefault="003532D0" w:rsidP="003532D0">
      <w:pPr>
        <w:spacing w:before="120" w:after="120" w:line="240" w:lineRule="auto"/>
        <w:contextualSpacing/>
        <w:rPr>
          <w:rFonts w:ascii="Arial" w:eastAsia="Times New Roman" w:hAnsi="Arial" w:cs="Arial"/>
          <w:bCs/>
          <w:i/>
          <w:iCs/>
          <w:lang w:val="en-US"/>
        </w:rPr>
      </w:pPr>
    </w:p>
    <w:p w14:paraId="15FE7413" w14:textId="77777777" w:rsidR="003532D0" w:rsidRPr="003532D0" w:rsidRDefault="003532D0" w:rsidP="003532D0">
      <w:pPr>
        <w:autoSpaceDE w:val="0"/>
        <w:autoSpaceDN w:val="0"/>
        <w:adjustRightInd w:val="0"/>
        <w:spacing w:after="0" w:line="240" w:lineRule="auto"/>
        <w:rPr>
          <w:rFonts w:ascii="Arial" w:eastAsia="Times New Roman" w:hAnsi="Arial" w:cs="Arial"/>
          <w:bCs/>
          <w:i/>
          <w:iCs/>
          <w:lang w:val="en-US"/>
        </w:rPr>
      </w:pPr>
      <w:r w:rsidRPr="003532D0">
        <w:rPr>
          <w:rFonts w:ascii="Arial" w:eastAsia="Times New Roman" w:hAnsi="Arial" w:cs="Arial"/>
          <w:bCs/>
          <w:i/>
          <w:iCs/>
          <w:lang w:val="en-US"/>
        </w:rPr>
        <w:t>Psychiatric disorders:</w:t>
      </w:r>
    </w:p>
    <w:p w14:paraId="5DB7CCED" w14:textId="77777777" w:rsidR="003532D0" w:rsidRPr="003532D0" w:rsidRDefault="003532D0" w:rsidP="003532D0">
      <w:pPr>
        <w:autoSpaceDE w:val="0"/>
        <w:autoSpaceDN w:val="0"/>
        <w:adjustRightInd w:val="0"/>
        <w:spacing w:after="0" w:line="240" w:lineRule="auto"/>
        <w:rPr>
          <w:rFonts w:ascii="Arial" w:eastAsia="Times New Roman" w:hAnsi="Arial" w:cs="Arial"/>
          <w:bCs/>
          <w:lang w:val="en-US"/>
        </w:rPr>
      </w:pPr>
      <w:r w:rsidRPr="003532D0">
        <w:rPr>
          <w:rFonts w:ascii="Arial" w:eastAsia="Times New Roman" w:hAnsi="Arial" w:cs="Arial"/>
          <w:bCs/>
          <w:lang w:val="en-US"/>
        </w:rPr>
        <w:t xml:space="preserve">A wide range of psychiatric reactions including affective disorders (such as irritable, euphoric, depressed and labile mood, and suicidal thoughts), psychotic reactions (including mania, delusions, hallucinations, and aggravation of schizophrenia), </w:t>
      </w:r>
      <w:r w:rsidRPr="003532D0">
        <w:rPr>
          <w:rFonts w:ascii="Arial" w:eastAsia="Times New Roman" w:hAnsi="Arial" w:cs="Arial"/>
        </w:rPr>
        <w:t xml:space="preserve">marked euphoria leading to dependence; aggravation of epilepsy, </w:t>
      </w:r>
      <w:r w:rsidRPr="003532D0">
        <w:rPr>
          <w:rFonts w:ascii="Arial" w:eastAsia="Times New Roman" w:hAnsi="Arial" w:cs="Arial"/>
          <w:bCs/>
          <w:lang w:val="en-US"/>
        </w:rPr>
        <w:t xml:space="preserve">behavioural disturbances, irritability, nervousness, anxiety, sleep disturbances, and cognitive dysfunction including confusion and amnesia have been reported. Reactions are common and may occur in both adults and children. In adults, the frequency of severe reactions has been estimated to be 5-6%. Psychological effects have been reported on withdrawal of corticosteroids; the frequency is unknown. </w:t>
      </w:r>
      <w:r w:rsidRPr="003532D0">
        <w:rPr>
          <w:rFonts w:ascii="ArialMT" w:eastAsia="Times New Roman" w:hAnsi="Times New Roman" w:cs="ArialMT"/>
          <w:sz w:val="19"/>
          <w:szCs w:val="19"/>
        </w:rPr>
        <w:t>P</w:t>
      </w:r>
      <w:r w:rsidRPr="003532D0">
        <w:rPr>
          <w:rFonts w:ascii="Arial" w:eastAsia="Times New Roman" w:hAnsi="Arial" w:cs="Arial"/>
        </w:rPr>
        <w:t>sychological dependence, dizziness, headache, vertigo.</w:t>
      </w:r>
    </w:p>
    <w:p w14:paraId="6F3D79A2" w14:textId="77777777" w:rsidR="003532D0" w:rsidRPr="003532D0" w:rsidRDefault="003532D0" w:rsidP="003532D0">
      <w:pPr>
        <w:spacing w:before="120" w:after="120" w:line="240" w:lineRule="auto"/>
        <w:contextualSpacing/>
        <w:rPr>
          <w:rFonts w:ascii="Arial" w:eastAsia="Times New Roman" w:hAnsi="Arial" w:cs="Arial"/>
          <w:b/>
          <w:lang w:val="en-US"/>
        </w:rPr>
      </w:pPr>
    </w:p>
    <w:p w14:paraId="24703E61" w14:textId="77777777" w:rsidR="003532D0" w:rsidRPr="003532D0" w:rsidRDefault="003532D0" w:rsidP="003532D0">
      <w:pPr>
        <w:spacing w:before="120" w:after="120" w:line="240" w:lineRule="auto"/>
        <w:contextualSpacing/>
        <w:rPr>
          <w:rFonts w:ascii="Arial" w:eastAsia="Times New Roman" w:hAnsi="Arial" w:cs="Arial"/>
          <w:bCs/>
          <w:i/>
          <w:iCs/>
          <w:lang w:val="en-US"/>
        </w:rPr>
      </w:pPr>
      <w:r w:rsidRPr="003532D0">
        <w:rPr>
          <w:rFonts w:ascii="Arial" w:eastAsia="Times New Roman" w:hAnsi="Arial" w:cs="Arial"/>
          <w:bCs/>
          <w:i/>
          <w:iCs/>
          <w:lang w:val="en-US"/>
        </w:rPr>
        <w:t>Eye disorders:</w:t>
      </w:r>
    </w:p>
    <w:p w14:paraId="0115D2E7" w14:textId="77777777" w:rsidR="003532D0" w:rsidRPr="003532D0" w:rsidRDefault="003532D0" w:rsidP="003532D0">
      <w:pPr>
        <w:autoSpaceDE w:val="0"/>
        <w:autoSpaceDN w:val="0"/>
        <w:adjustRightInd w:val="0"/>
        <w:spacing w:after="0" w:line="240" w:lineRule="auto"/>
        <w:rPr>
          <w:rFonts w:ascii="Arial" w:eastAsia="Times New Roman" w:hAnsi="Arial" w:cs="Arial"/>
        </w:rPr>
      </w:pPr>
      <w:r w:rsidRPr="003532D0">
        <w:rPr>
          <w:rFonts w:ascii="Arial" w:eastAsia="Times New Roman" w:hAnsi="Arial" w:cs="Arial"/>
        </w:rPr>
        <w:t>Increased intra-ocular pressure, glaucoma, papilloedema, posterior subcapsular cataracts, central serous chorioretinopathy, exophthalmos, corneal or scleral</w:t>
      </w:r>
    </w:p>
    <w:p w14:paraId="3D489C38" w14:textId="77777777" w:rsidR="003532D0" w:rsidRPr="003532D0" w:rsidRDefault="003532D0" w:rsidP="003532D0">
      <w:pPr>
        <w:autoSpaceDE w:val="0"/>
        <w:autoSpaceDN w:val="0"/>
        <w:adjustRightInd w:val="0"/>
        <w:spacing w:after="0" w:line="240" w:lineRule="auto"/>
        <w:rPr>
          <w:rFonts w:ascii="Arial" w:eastAsia="Times New Roman" w:hAnsi="Arial" w:cs="Arial"/>
        </w:rPr>
      </w:pPr>
      <w:r w:rsidRPr="003532D0">
        <w:rPr>
          <w:rFonts w:ascii="Arial" w:eastAsia="Times New Roman" w:hAnsi="Arial" w:cs="Arial"/>
        </w:rPr>
        <w:t>thinning, scleral perforation, exacerbation of ophthalmic viral or fungal disease and vision, blurred.</w:t>
      </w:r>
    </w:p>
    <w:p w14:paraId="259DE1F2" w14:textId="77777777" w:rsidR="003532D0" w:rsidRPr="003532D0" w:rsidRDefault="003532D0" w:rsidP="003532D0">
      <w:pPr>
        <w:spacing w:before="120" w:after="120" w:line="240" w:lineRule="auto"/>
        <w:contextualSpacing/>
        <w:rPr>
          <w:rFonts w:ascii="Arial" w:eastAsia="Times New Roman" w:hAnsi="Arial" w:cs="Arial"/>
          <w:bCs/>
          <w:lang w:val="en-US"/>
        </w:rPr>
      </w:pPr>
    </w:p>
    <w:p w14:paraId="34F1B870" w14:textId="77777777" w:rsidR="003532D0" w:rsidRPr="003532D0" w:rsidRDefault="003532D0" w:rsidP="003532D0">
      <w:pPr>
        <w:spacing w:before="120" w:after="120" w:line="240" w:lineRule="auto"/>
        <w:contextualSpacing/>
        <w:rPr>
          <w:rFonts w:ascii="Arial" w:eastAsia="Times New Roman" w:hAnsi="Arial" w:cs="Arial"/>
          <w:bCs/>
          <w:i/>
          <w:iCs/>
          <w:lang w:val="en-US"/>
        </w:rPr>
      </w:pPr>
      <w:r w:rsidRPr="003532D0">
        <w:rPr>
          <w:rFonts w:ascii="Arial" w:eastAsia="Times New Roman" w:hAnsi="Arial" w:cs="Arial"/>
          <w:bCs/>
          <w:i/>
          <w:iCs/>
          <w:lang w:val="en-US"/>
        </w:rPr>
        <w:t>Cardiac disorders:</w:t>
      </w:r>
    </w:p>
    <w:p w14:paraId="383D6B04" w14:textId="77777777" w:rsidR="003532D0" w:rsidRPr="003532D0" w:rsidRDefault="003532D0" w:rsidP="003532D0">
      <w:pPr>
        <w:spacing w:before="120" w:after="120" w:line="240" w:lineRule="auto"/>
        <w:contextualSpacing/>
        <w:rPr>
          <w:rFonts w:ascii="Arial" w:eastAsia="Times New Roman" w:hAnsi="Arial" w:cs="Arial"/>
          <w:bCs/>
          <w:i/>
          <w:iCs/>
          <w:lang w:val="en-US"/>
        </w:rPr>
      </w:pPr>
      <w:r w:rsidRPr="003532D0">
        <w:rPr>
          <w:rFonts w:ascii="Arial" w:eastAsia="Times New Roman" w:hAnsi="Arial" w:cs="Arial"/>
          <w:bCs/>
          <w:lang w:val="en-US"/>
        </w:rPr>
        <w:t xml:space="preserve">Congestive heart failure in susceptible patients, hypertension. </w:t>
      </w:r>
      <w:r w:rsidRPr="003532D0">
        <w:rPr>
          <w:rFonts w:ascii="Arial" w:eastAsia="Times New Roman" w:hAnsi="Arial" w:cs="Arial"/>
          <w:bCs/>
          <w:i/>
          <w:iCs/>
          <w:lang w:val="en-US"/>
        </w:rPr>
        <w:t xml:space="preserve"> </w:t>
      </w:r>
    </w:p>
    <w:p w14:paraId="273F597D" w14:textId="77777777" w:rsidR="003532D0" w:rsidRPr="003532D0" w:rsidRDefault="003532D0" w:rsidP="003532D0">
      <w:pPr>
        <w:spacing w:before="120" w:after="120" w:line="240" w:lineRule="auto"/>
        <w:contextualSpacing/>
        <w:rPr>
          <w:rFonts w:ascii="Arial" w:eastAsia="Times New Roman" w:hAnsi="Arial" w:cs="Arial"/>
          <w:bCs/>
          <w:i/>
          <w:iCs/>
          <w:lang w:val="en-US"/>
        </w:rPr>
      </w:pPr>
    </w:p>
    <w:p w14:paraId="4458CC81" w14:textId="77777777" w:rsidR="003532D0" w:rsidRPr="003532D0" w:rsidRDefault="003532D0" w:rsidP="003532D0">
      <w:pPr>
        <w:spacing w:before="120" w:after="120" w:line="240" w:lineRule="auto"/>
        <w:contextualSpacing/>
        <w:rPr>
          <w:rFonts w:ascii="Arial" w:eastAsia="Times New Roman" w:hAnsi="Arial" w:cs="Arial"/>
          <w:bCs/>
          <w:i/>
          <w:iCs/>
          <w:lang w:val="en-US"/>
        </w:rPr>
      </w:pPr>
      <w:r w:rsidRPr="003532D0">
        <w:rPr>
          <w:rFonts w:ascii="Arial" w:eastAsia="Times New Roman" w:hAnsi="Arial" w:cs="Arial"/>
          <w:bCs/>
          <w:i/>
          <w:iCs/>
          <w:lang w:val="en-US"/>
        </w:rPr>
        <w:t>Vascular disorders:</w:t>
      </w:r>
    </w:p>
    <w:p w14:paraId="1DAA3E44" w14:textId="77777777" w:rsidR="003532D0" w:rsidRPr="003532D0" w:rsidRDefault="003532D0" w:rsidP="003532D0">
      <w:pPr>
        <w:spacing w:before="120" w:after="120" w:line="240" w:lineRule="auto"/>
        <w:contextualSpacing/>
        <w:rPr>
          <w:rFonts w:ascii="Arial" w:eastAsia="Times New Roman" w:hAnsi="Arial" w:cs="Arial"/>
          <w:bCs/>
          <w:lang w:val="en-US"/>
        </w:rPr>
      </w:pPr>
      <w:r w:rsidRPr="003532D0">
        <w:rPr>
          <w:rFonts w:ascii="Arial" w:eastAsia="Times New Roman" w:hAnsi="Arial" w:cs="Arial"/>
          <w:bCs/>
          <w:lang w:val="en-US"/>
        </w:rPr>
        <w:t>Thromboembolism</w:t>
      </w:r>
    </w:p>
    <w:p w14:paraId="27238288" w14:textId="77777777" w:rsidR="003532D0" w:rsidRPr="003532D0" w:rsidRDefault="003532D0" w:rsidP="003532D0">
      <w:pPr>
        <w:spacing w:before="120" w:after="120" w:line="240" w:lineRule="auto"/>
        <w:contextualSpacing/>
        <w:rPr>
          <w:rFonts w:ascii="Arial" w:eastAsia="Times New Roman" w:hAnsi="Arial" w:cs="Arial"/>
          <w:bCs/>
          <w:lang w:val="en-US"/>
        </w:rPr>
      </w:pPr>
    </w:p>
    <w:p w14:paraId="18536E5B" w14:textId="77777777" w:rsidR="003532D0" w:rsidRPr="003532D0" w:rsidRDefault="003532D0" w:rsidP="003532D0">
      <w:pPr>
        <w:spacing w:before="120" w:after="120" w:line="240" w:lineRule="auto"/>
        <w:contextualSpacing/>
        <w:rPr>
          <w:rFonts w:ascii="Arial" w:eastAsia="Times New Roman" w:hAnsi="Arial" w:cs="Arial"/>
          <w:bCs/>
          <w:i/>
          <w:iCs/>
          <w:lang w:val="en-US"/>
        </w:rPr>
      </w:pPr>
      <w:r w:rsidRPr="003532D0">
        <w:rPr>
          <w:rFonts w:ascii="Arial" w:eastAsia="Times New Roman" w:hAnsi="Arial" w:cs="Arial"/>
          <w:bCs/>
          <w:i/>
          <w:iCs/>
          <w:lang w:val="en-US"/>
        </w:rPr>
        <w:t xml:space="preserve">Gastrointestinal: </w:t>
      </w:r>
    </w:p>
    <w:p w14:paraId="53BD4F75" w14:textId="77777777" w:rsidR="003532D0" w:rsidRPr="003532D0" w:rsidRDefault="003532D0" w:rsidP="003532D0">
      <w:pPr>
        <w:spacing w:before="120" w:after="120" w:line="240" w:lineRule="auto"/>
        <w:contextualSpacing/>
        <w:rPr>
          <w:rFonts w:ascii="Arial" w:eastAsia="Times New Roman" w:hAnsi="Arial" w:cs="Arial"/>
          <w:bCs/>
          <w:lang w:val="en-US"/>
        </w:rPr>
      </w:pPr>
      <w:r w:rsidRPr="003532D0">
        <w:rPr>
          <w:rFonts w:ascii="Arial" w:eastAsia="Times New Roman" w:hAnsi="Arial" w:cs="Arial"/>
          <w:bCs/>
          <w:lang w:val="en-US"/>
        </w:rPr>
        <w:t xml:space="preserve">Dyspepsia, nausea, peptic ulceration with perforation and hemorrhage, abdominal distension, abdominal pain, increased appetite, oesophageal candidiasis, oesophageal ulceration, acute pancreatitis, perforation of the small bowel, particularly in patients with inflammatory bowel disease. </w:t>
      </w:r>
    </w:p>
    <w:p w14:paraId="209E1066" w14:textId="77777777" w:rsidR="003532D0" w:rsidRPr="003532D0" w:rsidRDefault="003532D0" w:rsidP="003532D0">
      <w:pPr>
        <w:spacing w:before="120" w:after="120" w:line="240" w:lineRule="auto"/>
        <w:contextualSpacing/>
        <w:rPr>
          <w:rFonts w:ascii="Arial" w:eastAsia="Times New Roman" w:hAnsi="Arial" w:cs="Arial"/>
          <w:bCs/>
          <w:lang w:val="en-US"/>
        </w:rPr>
      </w:pPr>
    </w:p>
    <w:p w14:paraId="6AE7EB2C" w14:textId="77777777" w:rsidR="003532D0" w:rsidRPr="003532D0" w:rsidRDefault="003532D0" w:rsidP="003532D0">
      <w:pPr>
        <w:spacing w:before="120" w:after="120" w:line="240" w:lineRule="auto"/>
        <w:contextualSpacing/>
        <w:rPr>
          <w:rFonts w:ascii="Arial" w:eastAsia="Times New Roman" w:hAnsi="Arial" w:cs="Arial"/>
          <w:bCs/>
          <w:lang w:val="en-US"/>
        </w:rPr>
      </w:pPr>
    </w:p>
    <w:p w14:paraId="5E35FA2F" w14:textId="77777777" w:rsidR="003532D0" w:rsidRPr="003532D0" w:rsidRDefault="003532D0" w:rsidP="003532D0">
      <w:pPr>
        <w:spacing w:before="120" w:after="120" w:line="240" w:lineRule="auto"/>
        <w:contextualSpacing/>
        <w:rPr>
          <w:rFonts w:ascii="Arial" w:eastAsia="Times New Roman" w:hAnsi="Arial" w:cs="Arial"/>
          <w:bCs/>
          <w:i/>
          <w:iCs/>
          <w:lang w:val="en-US"/>
        </w:rPr>
      </w:pPr>
      <w:r w:rsidRPr="003532D0">
        <w:rPr>
          <w:rFonts w:ascii="Arial" w:eastAsia="Times New Roman" w:hAnsi="Arial" w:cs="Arial"/>
          <w:bCs/>
          <w:i/>
          <w:iCs/>
          <w:lang w:val="en-US"/>
        </w:rPr>
        <w:t xml:space="preserve">Skin and subcutaneous tissue disorders: </w:t>
      </w:r>
    </w:p>
    <w:p w14:paraId="57CBB903" w14:textId="77777777" w:rsidR="003532D0" w:rsidRPr="003532D0" w:rsidRDefault="003532D0" w:rsidP="003532D0">
      <w:pPr>
        <w:autoSpaceDE w:val="0"/>
        <w:autoSpaceDN w:val="0"/>
        <w:adjustRightInd w:val="0"/>
        <w:spacing w:after="0" w:line="240" w:lineRule="auto"/>
        <w:rPr>
          <w:rFonts w:ascii="Arial" w:eastAsia="Times New Roman" w:hAnsi="Arial" w:cs="Arial"/>
          <w:bCs/>
          <w:lang w:val="en-US"/>
        </w:rPr>
      </w:pPr>
      <w:r w:rsidRPr="003532D0">
        <w:rPr>
          <w:rFonts w:ascii="Arial" w:eastAsia="Times New Roman" w:hAnsi="Arial" w:cs="Arial"/>
        </w:rPr>
        <w:lastRenderedPageBreak/>
        <w:t>Hirsutism, skin atrophy, bruising, impaired healing, striae, telangiectasia, acne, increased sweating, may suppress reactions to skin tests, pruritis, rash, urticaria</w:t>
      </w:r>
    </w:p>
    <w:p w14:paraId="3D857D0F" w14:textId="77777777" w:rsidR="003532D0" w:rsidRPr="003532D0" w:rsidRDefault="003532D0" w:rsidP="003532D0">
      <w:pPr>
        <w:spacing w:before="120" w:after="120" w:line="240" w:lineRule="auto"/>
        <w:contextualSpacing/>
        <w:rPr>
          <w:rFonts w:ascii="Arial" w:eastAsia="Times New Roman" w:hAnsi="Arial" w:cs="Arial"/>
          <w:bCs/>
          <w:lang w:val="en-US"/>
        </w:rPr>
      </w:pPr>
    </w:p>
    <w:p w14:paraId="451B818A" w14:textId="77777777" w:rsidR="003532D0" w:rsidRPr="003532D0" w:rsidRDefault="003532D0" w:rsidP="003532D0">
      <w:pPr>
        <w:spacing w:before="120" w:after="120" w:line="240" w:lineRule="auto"/>
        <w:contextualSpacing/>
        <w:rPr>
          <w:rFonts w:ascii="Arial" w:eastAsia="Times New Roman" w:hAnsi="Arial" w:cs="Arial"/>
          <w:bCs/>
          <w:i/>
          <w:iCs/>
          <w:lang w:val="en-US"/>
        </w:rPr>
      </w:pPr>
      <w:r w:rsidRPr="003532D0">
        <w:rPr>
          <w:rFonts w:ascii="Arial" w:eastAsia="Times New Roman" w:hAnsi="Arial" w:cs="Arial"/>
          <w:bCs/>
          <w:i/>
          <w:iCs/>
          <w:lang w:val="en-US"/>
        </w:rPr>
        <w:t>Musculoskeletal and connective tissue disorders:</w:t>
      </w:r>
    </w:p>
    <w:p w14:paraId="4B4563D9" w14:textId="77777777" w:rsidR="003532D0" w:rsidRPr="003532D0" w:rsidRDefault="003532D0" w:rsidP="003532D0">
      <w:pPr>
        <w:spacing w:before="120" w:after="120" w:line="240" w:lineRule="auto"/>
        <w:contextualSpacing/>
        <w:rPr>
          <w:rFonts w:ascii="Arial" w:eastAsia="Times New Roman" w:hAnsi="Arial" w:cs="Arial"/>
          <w:bCs/>
          <w:lang w:val="en-US"/>
        </w:rPr>
      </w:pPr>
      <w:r w:rsidRPr="003532D0">
        <w:rPr>
          <w:rFonts w:ascii="Arial" w:eastAsia="Times New Roman" w:hAnsi="Arial" w:cs="Arial"/>
          <w:bCs/>
          <w:lang w:val="en-US"/>
        </w:rPr>
        <w:t>Proximal myopathy, osteoporosis, vertebral and long bone fractures</w:t>
      </w:r>
      <w:r w:rsidRPr="003532D0" w:rsidDel="0049565F">
        <w:rPr>
          <w:rFonts w:ascii="Arial" w:eastAsia="Times New Roman" w:hAnsi="Arial" w:cs="Arial"/>
          <w:bCs/>
          <w:lang w:val="en-US"/>
        </w:rPr>
        <w:t xml:space="preserve"> </w:t>
      </w:r>
      <w:r w:rsidRPr="003532D0">
        <w:rPr>
          <w:rFonts w:ascii="Arial" w:eastAsia="Times New Roman" w:hAnsi="Arial" w:cs="Arial"/>
          <w:bCs/>
          <w:lang w:val="en-US"/>
        </w:rPr>
        <w:t>, avascular osteonecrosis, tendon rupture, myalgia, muscle weakness, wasting and loss of muscle mass.</w:t>
      </w:r>
    </w:p>
    <w:p w14:paraId="40145812" w14:textId="77777777" w:rsidR="003532D0" w:rsidRPr="003532D0" w:rsidRDefault="003532D0" w:rsidP="003532D0">
      <w:pPr>
        <w:spacing w:before="120" w:after="120" w:line="240" w:lineRule="auto"/>
        <w:contextualSpacing/>
        <w:rPr>
          <w:rFonts w:ascii="Arial" w:eastAsia="Times New Roman" w:hAnsi="Arial" w:cs="Arial"/>
          <w:bCs/>
          <w:lang w:val="en-US"/>
        </w:rPr>
      </w:pPr>
    </w:p>
    <w:p w14:paraId="67837504" w14:textId="77777777" w:rsidR="003532D0" w:rsidRPr="003532D0" w:rsidRDefault="003532D0" w:rsidP="003532D0">
      <w:pPr>
        <w:spacing w:before="120" w:after="120" w:line="240" w:lineRule="auto"/>
        <w:contextualSpacing/>
        <w:rPr>
          <w:rFonts w:ascii="Arial" w:eastAsia="Times New Roman" w:hAnsi="Arial" w:cs="Arial"/>
          <w:bCs/>
          <w:i/>
          <w:iCs/>
          <w:lang w:val="en-US"/>
        </w:rPr>
      </w:pPr>
      <w:r w:rsidRPr="003532D0">
        <w:rPr>
          <w:rFonts w:ascii="Arial" w:eastAsia="Times New Roman" w:hAnsi="Arial" w:cs="Arial"/>
          <w:bCs/>
          <w:i/>
          <w:iCs/>
          <w:lang w:val="en-US"/>
        </w:rPr>
        <w:t>Renal and urinary disorders:</w:t>
      </w:r>
    </w:p>
    <w:p w14:paraId="392D096C" w14:textId="77777777" w:rsidR="003532D0" w:rsidRPr="003532D0" w:rsidRDefault="003532D0" w:rsidP="003532D0">
      <w:pPr>
        <w:autoSpaceDE w:val="0"/>
        <w:autoSpaceDN w:val="0"/>
        <w:adjustRightInd w:val="0"/>
        <w:spacing w:after="0" w:line="240" w:lineRule="auto"/>
        <w:rPr>
          <w:rFonts w:ascii="Arial" w:eastAsia="Times New Roman" w:hAnsi="Arial" w:cs="Arial"/>
          <w:bCs/>
          <w:lang w:val="en-US"/>
        </w:rPr>
      </w:pPr>
      <w:r w:rsidRPr="003532D0">
        <w:rPr>
          <w:rFonts w:ascii="Arial" w:eastAsia="Times New Roman" w:hAnsi="Arial" w:cs="Arial"/>
          <w:bCs/>
          <w:lang w:val="en-US"/>
        </w:rPr>
        <w:t>Nocturia, scleroderma renal crisis (</w:t>
      </w:r>
      <w:r w:rsidRPr="003532D0">
        <w:rPr>
          <w:rFonts w:ascii="Arial" w:eastAsia="Times New Roman" w:hAnsi="Arial" w:cs="Arial"/>
        </w:rPr>
        <w:t>Amongst the different subpopulations the occurrence of scleroderma renal crisis varies. The highest risk has been reported in patients with diffuse systemic sclerosis. The lowest risk has been reported in patients with limited systemic sclerosis (2%) and juvenile onset systemic sclerosis (1%))</w:t>
      </w:r>
    </w:p>
    <w:p w14:paraId="0FCF4E74" w14:textId="77777777" w:rsidR="003532D0" w:rsidRPr="003532D0" w:rsidRDefault="003532D0" w:rsidP="003532D0">
      <w:pPr>
        <w:spacing w:before="120" w:after="120" w:line="240" w:lineRule="auto"/>
        <w:contextualSpacing/>
        <w:rPr>
          <w:rFonts w:ascii="Arial" w:eastAsia="Times New Roman" w:hAnsi="Arial" w:cs="Arial"/>
          <w:bCs/>
          <w:i/>
          <w:iCs/>
          <w:lang w:val="en-US"/>
        </w:rPr>
      </w:pPr>
    </w:p>
    <w:p w14:paraId="1F015FEE" w14:textId="77777777" w:rsidR="003532D0" w:rsidRPr="003532D0" w:rsidRDefault="003532D0" w:rsidP="003532D0">
      <w:pPr>
        <w:spacing w:before="120" w:after="120" w:line="240" w:lineRule="auto"/>
        <w:contextualSpacing/>
        <w:rPr>
          <w:rFonts w:ascii="Arial" w:eastAsia="Times New Roman" w:hAnsi="Arial" w:cs="Arial"/>
          <w:bCs/>
          <w:i/>
          <w:iCs/>
          <w:lang w:val="en-US"/>
        </w:rPr>
      </w:pPr>
      <w:r w:rsidRPr="003532D0">
        <w:rPr>
          <w:rFonts w:ascii="Arial" w:eastAsia="Times New Roman" w:hAnsi="Arial" w:cs="Arial"/>
          <w:bCs/>
          <w:i/>
          <w:iCs/>
          <w:lang w:val="en-US"/>
        </w:rPr>
        <w:t xml:space="preserve">General disorders and administration site conditions: </w:t>
      </w:r>
    </w:p>
    <w:p w14:paraId="12C9F240" w14:textId="77777777" w:rsidR="003532D0" w:rsidRPr="003532D0" w:rsidRDefault="003532D0" w:rsidP="003532D0">
      <w:pPr>
        <w:spacing w:before="120" w:after="120" w:line="240" w:lineRule="auto"/>
        <w:contextualSpacing/>
        <w:rPr>
          <w:rFonts w:ascii="Arial" w:eastAsia="Times New Roman" w:hAnsi="Arial" w:cs="Arial"/>
          <w:bCs/>
          <w:lang w:val="en-US"/>
        </w:rPr>
      </w:pPr>
      <w:r w:rsidRPr="003532D0">
        <w:rPr>
          <w:rFonts w:ascii="Arial" w:eastAsia="Times New Roman" w:hAnsi="Arial" w:cs="Arial"/>
          <w:bCs/>
          <w:lang w:val="en-US"/>
        </w:rPr>
        <w:t>Impaired healing and withdrawal symptoms</w:t>
      </w:r>
    </w:p>
    <w:p w14:paraId="685F2AFC" w14:textId="77777777" w:rsidR="003532D0" w:rsidRPr="003532D0" w:rsidRDefault="003532D0" w:rsidP="003532D0">
      <w:pPr>
        <w:spacing w:before="120" w:after="120" w:line="240" w:lineRule="auto"/>
        <w:contextualSpacing/>
        <w:rPr>
          <w:rFonts w:ascii="Arial" w:eastAsia="Times New Roman" w:hAnsi="Arial" w:cs="Arial"/>
          <w:bCs/>
          <w:lang w:val="en-US"/>
        </w:rPr>
      </w:pPr>
    </w:p>
    <w:p w14:paraId="2600E60E" w14:textId="77777777" w:rsidR="003532D0" w:rsidRPr="003532D0" w:rsidRDefault="003532D0" w:rsidP="003532D0">
      <w:pPr>
        <w:spacing w:before="120" w:after="120" w:line="240" w:lineRule="auto"/>
        <w:contextualSpacing/>
        <w:rPr>
          <w:rFonts w:ascii="Arial" w:eastAsia="Times New Roman" w:hAnsi="Arial" w:cs="Arial"/>
          <w:bCs/>
          <w:i/>
          <w:iCs/>
          <w:lang w:val="en-US"/>
        </w:rPr>
      </w:pPr>
      <w:r w:rsidRPr="003532D0">
        <w:rPr>
          <w:rFonts w:ascii="Arial" w:eastAsia="Times New Roman" w:hAnsi="Arial" w:cs="Arial"/>
          <w:bCs/>
          <w:i/>
          <w:iCs/>
          <w:lang w:val="en-US"/>
        </w:rPr>
        <w:t>Withdrawal symptoms:</w:t>
      </w:r>
    </w:p>
    <w:p w14:paraId="0B867F21" w14:textId="77777777" w:rsidR="003532D0" w:rsidRPr="003532D0" w:rsidRDefault="003532D0" w:rsidP="003532D0">
      <w:pPr>
        <w:spacing w:before="120" w:after="120" w:line="240" w:lineRule="auto"/>
        <w:contextualSpacing/>
        <w:rPr>
          <w:rFonts w:ascii="Arial" w:eastAsia="Times New Roman" w:hAnsi="Arial" w:cs="Arial"/>
          <w:bCs/>
          <w:lang w:val="en-US"/>
        </w:rPr>
      </w:pPr>
      <w:r w:rsidRPr="003532D0">
        <w:rPr>
          <w:rFonts w:ascii="Arial" w:eastAsia="Times New Roman" w:hAnsi="Arial" w:cs="Arial"/>
          <w:bCs/>
          <w:lang w:val="en-US"/>
        </w:rPr>
        <w:t>Too rapid a reduction of corticosteroid dosage following prolonged treatment can lead to acute adrenal insufficiency, hypotension and death. A “withdrawal syndrome” seemingly unrelated to adrenocortical insufficiency may also occur</w:t>
      </w:r>
      <w:r w:rsidRPr="003532D0">
        <w:rPr>
          <w:rFonts w:ascii="Arial" w:eastAsia="Times New Roman" w:hAnsi="Arial" w:cs="Arial"/>
        </w:rPr>
        <w:t xml:space="preserve"> following abrupt discontinuance of glucocorticoids.</w:t>
      </w:r>
      <w:r w:rsidRPr="003532D0">
        <w:rPr>
          <w:rFonts w:ascii="Arial" w:eastAsia="Times New Roman" w:hAnsi="Arial" w:cs="Arial"/>
          <w:bCs/>
          <w:lang w:val="en-US"/>
        </w:rPr>
        <w:t xml:space="preserve"> This syndrome includes symptoms such as: anorexia, nausea, vomiting, lethargy, headache, fever, joint pain, desquamation, myalgia, arthralgia, rhinitis, conjunctivitis, painful itchy skin, weight loss and or hypotension. These effects are thought to be due to the sudden change in glucocorticoid concentration rather than too low corticosteroid levels.</w:t>
      </w:r>
    </w:p>
    <w:p w14:paraId="41C7D8E0" w14:textId="77777777" w:rsidR="003532D0" w:rsidRPr="003532D0" w:rsidRDefault="003532D0" w:rsidP="003532D0">
      <w:pPr>
        <w:spacing w:before="120" w:after="120" w:line="240" w:lineRule="auto"/>
        <w:contextualSpacing/>
        <w:rPr>
          <w:rFonts w:ascii="Arial" w:eastAsia="Times New Roman" w:hAnsi="Arial" w:cs="Arial"/>
          <w:bCs/>
        </w:rPr>
      </w:pPr>
    </w:p>
    <w:p w14:paraId="2AD7D295" w14:textId="77777777" w:rsidR="003532D0" w:rsidRPr="003532D0" w:rsidRDefault="003532D0" w:rsidP="003532D0">
      <w:pPr>
        <w:autoSpaceDE w:val="0"/>
        <w:autoSpaceDN w:val="0"/>
        <w:adjustRightInd w:val="0"/>
        <w:spacing w:after="0" w:line="240" w:lineRule="auto"/>
        <w:rPr>
          <w:rFonts w:ascii="Arial" w:eastAsia="Times New Roman" w:hAnsi="Arial" w:cs="Arial"/>
          <w:i/>
          <w:iCs/>
        </w:rPr>
      </w:pPr>
      <w:r w:rsidRPr="003532D0">
        <w:rPr>
          <w:rFonts w:ascii="Arial" w:eastAsia="Times New Roman" w:hAnsi="Arial" w:cs="Arial"/>
          <w:i/>
          <w:iCs/>
        </w:rPr>
        <w:t>Additional side effects in children and adolescents:</w:t>
      </w:r>
    </w:p>
    <w:p w14:paraId="34B6635D" w14:textId="77777777" w:rsidR="003532D0" w:rsidRPr="003532D0" w:rsidRDefault="003532D0" w:rsidP="003532D0">
      <w:pPr>
        <w:autoSpaceDE w:val="0"/>
        <w:autoSpaceDN w:val="0"/>
        <w:adjustRightInd w:val="0"/>
        <w:spacing w:after="0" w:line="240" w:lineRule="auto"/>
        <w:rPr>
          <w:rFonts w:ascii="Arial" w:eastAsia="Times New Roman" w:hAnsi="Arial" w:cs="Arial"/>
        </w:rPr>
      </w:pPr>
      <w:r w:rsidRPr="003532D0">
        <w:rPr>
          <w:rFonts w:ascii="Arial" w:eastAsia="Times New Roman" w:hAnsi="Arial" w:cs="Arial"/>
        </w:rPr>
        <w:t>Suppression of the hypothalamo-pituitary adrenal axis particularly in times of stress, as in trauma, surgery or illness, growth suppression in infancy, childhood and adolescence. Raised intracranial pressure with papilloedema (pseudotumor cerebri) in children, usually after treatment withdrawal.</w:t>
      </w:r>
    </w:p>
    <w:p w14:paraId="540EBA54" w14:textId="77777777" w:rsidR="003532D0" w:rsidRPr="003532D0" w:rsidRDefault="003532D0" w:rsidP="003532D0">
      <w:pPr>
        <w:spacing w:before="120" w:after="120" w:line="240" w:lineRule="auto"/>
        <w:contextualSpacing/>
        <w:jc w:val="both"/>
        <w:rPr>
          <w:rFonts w:ascii="Arial" w:eastAsia="Times New Roman" w:hAnsi="Arial" w:cs="Arial"/>
          <w:bCs/>
          <w:color w:val="000080"/>
          <w:sz w:val="20"/>
          <w:szCs w:val="20"/>
        </w:rPr>
      </w:pPr>
    </w:p>
    <w:p w14:paraId="540F16A9" w14:textId="77777777" w:rsidR="003532D0" w:rsidRPr="003532D0" w:rsidRDefault="003532D0" w:rsidP="003532D0">
      <w:pPr>
        <w:spacing w:after="0" w:line="240" w:lineRule="auto"/>
        <w:rPr>
          <w:rFonts w:ascii="Arial" w:eastAsia="Times New Roman" w:hAnsi="Arial" w:cs="Arial"/>
          <w:bCs/>
          <w:color w:val="000080"/>
          <w:sz w:val="20"/>
          <w:szCs w:val="20"/>
        </w:rPr>
      </w:pPr>
      <w:r w:rsidRPr="003532D0">
        <w:rPr>
          <w:rFonts w:ascii="Arial" w:eastAsia="Times New Roman" w:hAnsi="Arial" w:cs="Arial"/>
          <w:bCs/>
          <w:sz w:val="20"/>
          <w:szCs w:val="20"/>
        </w:rPr>
        <w:br w:type="page"/>
      </w:r>
    </w:p>
    <w:p w14:paraId="61E52BAE" w14:textId="77777777" w:rsidR="003532D0" w:rsidRPr="003532D0" w:rsidRDefault="003532D0" w:rsidP="003532D0">
      <w:pPr>
        <w:spacing w:before="120" w:after="120" w:line="240" w:lineRule="auto"/>
        <w:contextualSpacing/>
        <w:jc w:val="both"/>
        <w:rPr>
          <w:rFonts w:ascii="Arial" w:eastAsia="Times New Roman" w:hAnsi="Arial" w:cs="Arial"/>
          <w:bCs/>
          <w:color w:val="000080"/>
          <w:sz w:val="20"/>
          <w:szCs w:val="20"/>
        </w:rPr>
        <w:sectPr w:rsidR="003532D0" w:rsidRPr="003532D0" w:rsidSect="00EC6895">
          <w:headerReference w:type="default" r:id="rId19"/>
          <w:pgSz w:w="11899" w:h="16838"/>
          <w:pgMar w:top="1440" w:right="1800" w:bottom="1440" w:left="1800" w:header="720" w:footer="720" w:gutter="0"/>
          <w:cols w:space="720"/>
        </w:sectPr>
      </w:pPr>
    </w:p>
    <w:p w14:paraId="2FC9ADB2" w14:textId="77777777" w:rsidR="003532D0" w:rsidRPr="003532D0" w:rsidRDefault="003532D0" w:rsidP="00B875CF">
      <w:pPr>
        <w:pStyle w:val="Heading2"/>
        <w:rPr>
          <w:rFonts w:ascii="Arial" w:eastAsia="Times New Roman" w:hAnsi="Arial" w:cs="Arial"/>
          <w:b/>
          <w:color w:val="000000"/>
          <w:sz w:val="20"/>
          <w:szCs w:val="20"/>
        </w:rPr>
      </w:pPr>
      <w:bookmarkStart w:id="127" w:name="_Toc121909762"/>
      <w:r w:rsidRPr="003532D0">
        <w:rPr>
          <w:rFonts w:ascii="Arial" w:eastAsia="Times New Roman" w:hAnsi="Arial" w:cs="Arial"/>
          <w:b/>
          <w:color w:val="000000"/>
          <w:sz w:val="20"/>
          <w:szCs w:val="20"/>
        </w:rPr>
        <w:lastRenderedPageBreak/>
        <w:t>Summary of changes to protocol approved by the ethics committee</w:t>
      </w:r>
      <w:bookmarkEnd w:id="127"/>
    </w:p>
    <w:p w14:paraId="67194653"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All changes were discussed and approved by the Trial Steering committee or Chairman and, where appropriate, by the Data Monitoring Committee.</w:t>
      </w:r>
    </w:p>
    <w:p w14:paraId="4FABD4FD"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The changes made in Version 11 of the protocol reflect the major changes in the design and endpoints that are incorporated into the final version.</w:t>
      </w:r>
    </w:p>
    <w:p w14:paraId="0E16CAE6"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1B729CFE"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16FD8209" w14:textId="77777777" w:rsidR="003532D0" w:rsidRPr="003532D0" w:rsidRDefault="003532D0" w:rsidP="002B2E0D">
      <w:pPr>
        <w:pStyle w:val="Heading3"/>
        <w:rPr>
          <w:rFonts w:ascii="Arial" w:eastAsia="Times New Roman" w:hAnsi="Arial" w:cs="Arial"/>
          <w:bCs/>
          <w:i/>
          <w:iCs/>
          <w:color w:val="000000"/>
          <w:sz w:val="20"/>
          <w:szCs w:val="20"/>
        </w:rPr>
      </w:pPr>
      <w:bookmarkStart w:id="128" w:name="_Toc121909763"/>
      <w:r w:rsidRPr="003532D0">
        <w:rPr>
          <w:rFonts w:ascii="Arial" w:eastAsia="Times New Roman" w:hAnsi="Arial" w:cs="Arial"/>
          <w:bCs/>
          <w:i/>
          <w:iCs/>
          <w:color w:val="000000"/>
          <w:sz w:val="20"/>
          <w:szCs w:val="20"/>
        </w:rPr>
        <w:t>Version 2 07/11/12:</w:t>
      </w:r>
      <w:bookmarkEnd w:id="128"/>
    </w:p>
    <w:p w14:paraId="16724ADF"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•Change to section 3.1 to reflect that MMF was being used outside its marketing authorisation</w:t>
      </w:r>
    </w:p>
    <w:p w14:paraId="39AEF7F2"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086ADBD4"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0680107D" w14:textId="77777777" w:rsidR="003532D0" w:rsidRPr="003532D0" w:rsidRDefault="003532D0" w:rsidP="002B2E0D">
      <w:pPr>
        <w:pStyle w:val="Heading3"/>
        <w:rPr>
          <w:rFonts w:ascii="Arial" w:eastAsia="Times New Roman" w:hAnsi="Arial" w:cs="Arial"/>
          <w:bCs/>
          <w:i/>
          <w:iCs/>
          <w:color w:val="000000"/>
          <w:sz w:val="20"/>
          <w:szCs w:val="20"/>
        </w:rPr>
      </w:pPr>
      <w:bookmarkStart w:id="129" w:name="_Toc121909764"/>
      <w:r w:rsidRPr="003532D0">
        <w:rPr>
          <w:rFonts w:ascii="Arial" w:eastAsia="Times New Roman" w:hAnsi="Arial" w:cs="Arial"/>
          <w:bCs/>
          <w:i/>
          <w:iCs/>
          <w:color w:val="000000"/>
          <w:sz w:val="20"/>
          <w:szCs w:val="20"/>
        </w:rPr>
        <w:t>Version 3 29/1/2013</w:t>
      </w:r>
      <w:bookmarkEnd w:id="129"/>
    </w:p>
    <w:p w14:paraId="7A052EEC"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•Changes to sections 2.2.1 and 6.2 relating to assessment of adherence and risk perception. Rather than collecting prescription redemption data (version 1 and 2), we proposed tablet counts on randomly selected patients in addition to the use of iPads or similar tablets to collect the data, prior to electronic transfer to a secure server hosted by University College London. Thirdly, we proposed to pilot the questionnaires and perform quantitative interviews on a small number of participants initially recruited to Guy’s, to inform whether existing standardised questionnaires required change to suit this population.</w:t>
      </w:r>
    </w:p>
    <w:p w14:paraId="33E617AF"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•Change to section 7.3 relating to a change in the pharmacovigilance policy of the sponsor to ensure Important Medical Events are recorded as SAEs</w:t>
      </w:r>
    </w:p>
    <w:p w14:paraId="1D276978"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0C05F2B8"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5B3D3351" w14:textId="77777777" w:rsidR="003532D0" w:rsidRPr="003532D0" w:rsidRDefault="003532D0" w:rsidP="002B2E0D">
      <w:pPr>
        <w:pStyle w:val="Heading3"/>
        <w:rPr>
          <w:rFonts w:ascii="Arial" w:eastAsia="Times New Roman" w:hAnsi="Arial" w:cs="Arial"/>
          <w:bCs/>
          <w:i/>
          <w:iCs/>
          <w:color w:val="000000"/>
          <w:sz w:val="20"/>
          <w:szCs w:val="20"/>
        </w:rPr>
      </w:pPr>
      <w:bookmarkStart w:id="130" w:name="_Toc121909765"/>
      <w:r w:rsidRPr="003532D0">
        <w:rPr>
          <w:rFonts w:ascii="Arial" w:eastAsia="Times New Roman" w:hAnsi="Arial" w:cs="Arial"/>
          <w:bCs/>
          <w:i/>
          <w:iCs/>
          <w:color w:val="000000"/>
          <w:sz w:val="20"/>
          <w:szCs w:val="20"/>
        </w:rPr>
        <w:t>Version 4 13/5/2013</w:t>
      </w:r>
      <w:bookmarkEnd w:id="130"/>
    </w:p>
    <w:p w14:paraId="55E68649"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•Changes to sections 2.2 and 2.3 to clarify that randomisation will be stratified by site.</w:t>
      </w:r>
    </w:p>
    <w:p w14:paraId="07BA92E3"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•Change to section 4.1 to clarify that the estimated Glomerular filtration rate measurement on which eligibility will be assessed has to be within 1 month of signing consent.</w:t>
      </w:r>
    </w:p>
    <w:p w14:paraId="1BA1C551"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•Change to section 5.2.1 to clarify the definition of a positive HLA antibody test, which was confusing in the previous protocol versions.</w:t>
      </w:r>
    </w:p>
    <w:p w14:paraId="281B6668"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•Changes to mention of recruitment targets, shifting emphasis away from precise predictions towards a more pragmatic approach that highlights recruitment will stop once minimum numbers required for statistical power have been recruited to each of the individual groups.</w:t>
      </w:r>
    </w:p>
    <w:p w14:paraId="3E345D2D"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79E7666E"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3D51770F" w14:textId="77777777" w:rsidR="003532D0" w:rsidRPr="003532D0" w:rsidRDefault="003532D0" w:rsidP="002B2E0D">
      <w:pPr>
        <w:pStyle w:val="Heading3"/>
        <w:rPr>
          <w:rFonts w:ascii="Arial" w:eastAsia="Times New Roman" w:hAnsi="Arial" w:cs="Arial"/>
          <w:bCs/>
          <w:i/>
          <w:iCs/>
          <w:color w:val="000000"/>
          <w:sz w:val="20"/>
          <w:szCs w:val="20"/>
        </w:rPr>
      </w:pPr>
      <w:bookmarkStart w:id="131" w:name="_Toc121909766"/>
      <w:r w:rsidRPr="003532D0">
        <w:rPr>
          <w:rFonts w:ascii="Arial" w:eastAsia="Times New Roman" w:hAnsi="Arial" w:cs="Arial"/>
          <w:bCs/>
          <w:i/>
          <w:iCs/>
          <w:color w:val="000000"/>
          <w:sz w:val="20"/>
          <w:szCs w:val="20"/>
        </w:rPr>
        <w:t>Version 5 9/7/2013</w:t>
      </w:r>
      <w:bookmarkEnd w:id="131"/>
    </w:p>
    <w:p w14:paraId="79513FE8"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•Change to lab PI at the Royal London Hospital.</w:t>
      </w:r>
    </w:p>
    <w:p w14:paraId="3D0D8FBB"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•Change to section 3.1 clarifying the dosing of one the IMPs, Prednisolone.</w:t>
      </w:r>
    </w:p>
    <w:p w14:paraId="4C4FDADD"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•Change to reflect updated WHO definition of Diabetes mellitus (addition of HBA1C testing).</w:t>
      </w:r>
    </w:p>
    <w:p w14:paraId="2E8C39A3"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•Change to section 7.3.1, reflecting the fact that certain adverse events in this type A trial may not require reporting to the sponsor, but may still require recording in the eCRF.</w:t>
      </w:r>
    </w:p>
    <w:p w14:paraId="548BE487"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15CADF5E"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22E7E833" w14:textId="77777777" w:rsidR="003532D0" w:rsidRPr="003532D0" w:rsidRDefault="003532D0" w:rsidP="002B2E0D">
      <w:pPr>
        <w:pStyle w:val="Heading3"/>
        <w:rPr>
          <w:rFonts w:ascii="Arial" w:eastAsia="Times New Roman" w:hAnsi="Arial" w:cs="Arial"/>
          <w:bCs/>
          <w:i/>
          <w:iCs/>
          <w:color w:val="000000"/>
          <w:sz w:val="20"/>
          <w:szCs w:val="20"/>
        </w:rPr>
      </w:pPr>
      <w:bookmarkStart w:id="132" w:name="_Toc121909767"/>
      <w:r w:rsidRPr="003532D0">
        <w:rPr>
          <w:rFonts w:ascii="Arial" w:eastAsia="Times New Roman" w:hAnsi="Arial" w:cs="Arial"/>
          <w:bCs/>
          <w:i/>
          <w:iCs/>
          <w:color w:val="000000"/>
          <w:sz w:val="20"/>
          <w:szCs w:val="20"/>
        </w:rPr>
        <w:t>Version 6 6/12/2013</w:t>
      </w:r>
      <w:bookmarkEnd w:id="132"/>
    </w:p>
    <w:p w14:paraId="35C3B835"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•Change to abandon the requirement that recruits be tested for hepatitis B core antibody, as it was hindering collection of samples for scientific analysis. Since core antibody positivity was not a contraindication to optimization, and testing was not required by King’s College London, as the infectivity of samples from core antibody positive, surface antigen-negative samples is very low, this change was felt not to compromise the trial in any way but would enhance the number of scientific samples obtained at recruitment. </w:t>
      </w:r>
    </w:p>
    <w:p w14:paraId="307E8E44"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•Change to allow urine as well as blood testing to rule out pregnancy.</w:t>
      </w:r>
    </w:p>
    <w:p w14:paraId="02248559"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xml:space="preserve">•Changes relating to recruitment of live donors, to ensure they were tested for HIV and Hepatitis B &amp; C if not tested within the previous 5 years, to increase volume of blood taken to 80 mls and to allow consent to be obtained by non-clinicians be allowed to consent these patients. </w:t>
      </w:r>
    </w:p>
    <w:p w14:paraId="4E1C551D"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2FFA12B4"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27AC53B7" w14:textId="77777777" w:rsidR="003532D0" w:rsidRPr="003532D0" w:rsidRDefault="003532D0" w:rsidP="002B2E0D">
      <w:pPr>
        <w:pStyle w:val="Heading3"/>
        <w:rPr>
          <w:rFonts w:ascii="Arial" w:eastAsia="Times New Roman" w:hAnsi="Arial" w:cs="Arial"/>
          <w:bCs/>
          <w:i/>
          <w:iCs/>
          <w:color w:val="000000"/>
          <w:sz w:val="20"/>
          <w:szCs w:val="20"/>
        </w:rPr>
      </w:pPr>
      <w:bookmarkStart w:id="133" w:name="_Toc121909768"/>
      <w:r w:rsidRPr="003532D0">
        <w:rPr>
          <w:rFonts w:ascii="Arial" w:eastAsia="Times New Roman" w:hAnsi="Arial" w:cs="Arial"/>
          <w:bCs/>
          <w:i/>
          <w:iCs/>
          <w:color w:val="000000"/>
          <w:sz w:val="20"/>
          <w:szCs w:val="20"/>
        </w:rPr>
        <w:lastRenderedPageBreak/>
        <w:t>Version 7 7/4/2014</w:t>
      </w:r>
      <w:bookmarkEnd w:id="133"/>
    </w:p>
    <w:p w14:paraId="19146288"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A: Changes to maximise and standardise recruitment across sites:</w:t>
      </w:r>
    </w:p>
    <w:p w14:paraId="3E14C716" w14:textId="77777777" w:rsidR="003532D0" w:rsidRPr="003532D0" w:rsidRDefault="003532D0" w:rsidP="003532D0">
      <w:pPr>
        <w:adjustRightInd w:val="0"/>
        <w:snapToGrid w:val="0"/>
        <w:spacing w:before="120" w:after="120" w:line="240" w:lineRule="auto"/>
        <w:ind w:firstLine="720"/>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xml:space="preserve">•Removal of exclusion criteria “history of ongoing or previous infection that would prevent optimisation”. This criterion was vague (i.e. did not define which infections were important) and was being interpreted differently within and across sites. As the optimisation for each participant was optimised to that particular individual, immunosuppression could be tailored according to their medical history. </w:t>
      </w:r>
    </w:p>
    <w:p w14:paraId="3E265C00" w14:textId="77777777" w:rsidR="003532D0" w:rsidRPr="003532D0" w:rsidRDefault="003532D0" w:rsidP="003532D0">
      <w:pPr>
        <w:adjustRightInd w:val="0"/>
        <w:snapToGrid w:val="0"/>
        <w:spacing w:before="120" w:after="120" w:line="240" w:lineRule="auto"/>
        <w:ind w:firstLine="720"/>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•Increase in the gap for the testing of eGFR from within 1 month of signing consent to within the previous 6 months of signing the consent.  Participants had to have an eGRF≥30 to be eligible for the study, and by increasing the time-period to within the previous 6 months, screening for potential participants can be more efficient as measurements of eGFR from previous renal clinic appointments could be used.</w:t>
      </w:r>
    </w:p>
    <w:p w14:paraId="60A45100"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1AC46783"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B: Removal of need to perform total immunoglobulin testing.</w:t>
      </w:r>
    </w:p>
    <w:p w14:paraId="7BC3BF63" w14:textId="77777777" w:rsidR="003532D0" w:rsidRPr="003532D0" w:rsidRDefault="003532D0" w:rsidP="003532D0">
      <w:pPr>
        <w:adjustRightInd w:val="0"/>
        <w:snapToGrid w:val="0"/>
        <w:spacing w:before="120" w:after="120" w:line="240" w:lineRule="auto"/>
        <w:ind w:firstLine="720"/>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•This measurement proved to be a difficult and expensive test to perform and was not routinely performed by all hospital laboratories. This test had originally been incorporated into the study to ensure participants were not developing MMF-induced hypogammaglobulinemia. Fortunately, this could still be detected by maintaining requirement to test for IgG, IgM and IgA.</w:t>
      </w:r>
    </w:p>
    <w:p w14:paraId="1F923F04" w14:textId="77777777" w:rsidR="003532D0" w:rsidRPr="003532D0" w:rsidRDefault="003532D0" w:rsidP="003532D0">
      <w:pPr>
        <w:adjustRightInd w:val="0"/>
        <w:snapToGrid w:val="0"/>
        <w:spacing w:before="120" w:after="120" w:line="240" w:lineRule="auto"/>
        <w:ind w:firstLine="720"/>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•Testing and recording of IgG, IgM and IgA moved to every year instead of every four months. Testing for the levels of these immunoglobulins every 12 months was felt to be sufficient by the TSC sufficient for monitoring MMF-induced hypogammaglobulinemia. </w:t>
      </w:r>
    </w:p>
    <w:p w14:paraId="48882E48"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2B6451FB"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C: Clarification of and changes to follow up procedures:</w:t>
      </w:r>
    </w:p>
    <w:p w14:paraId="42A9CB26" w14:textId="77777777" w:rsidR="003532D0" w:rsidRPr="003532D0" w:rsidRDefault="003532D0" w:rsidP="003532D0">
      <w:pPr>
        <w:adjustRightInd w:val="0"/>
        <w:snapToGrid w:val="0"/>
        <w:spacing w:before="120" w:after="120" w:line="240" w:lineRule="auto"/>
        <w:ind w:firstLine="720"/>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Clarification that participants would see a research nurse for all trial-related procedures at follow up appointments, which will be held at the same time a participant is in routine clinic.</w:t>
      </w:r>
    </w:p>
    <w:p w14:paraId="06E336CB" w14:textId="77777777" w:rsidR="003532D0" w:rsidRPr="003532D0" w:rsidRDefault="003532D0" w:rsidP="003532D0">
      <w:pPr>
        <w:adjustRightInd w:val="0"/>
        <w:snapToGrid w:val="0"/>
        <w:spacing w:before="120" w:after="120" w:line="240" w:lineRule="auto"/>
        <w:ind w:firstLine="720"/>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•Details regarding the fact that only medications being taken at the time of the follow-up would be recorded.</w:t>
      </w:r>
    </w:p>
    <w:p w14:paraId="55B9AFE2" w14:textId="77777777" w:rsidR="003532D0" w:rsidRPr="003532D0" w:rsidRDefault="003532D0" w:rsidP="003532D0">
      <w:pPr>
        <w:adjustRightInd w:val="0"/>
        <w:snapToGrid w:val="0"/>
        <w:spacing w:before="120" w:after="120" w:line="240" w:lineRule="auto"/>
        <w:ind w:firstLine="720"/>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xml:space="preserve">• Clarification of the timings for questionnaire completion in table 2.2.1. </w:t>
      </w:r>
    </w:p>
    <w:p w14:paraId="4F9D5C66" w14:textId="77777777" w:rsidR="003532D0" w:rsidRPr="003532D0" w:rsidRDefault="003532D0" w:rsidP="003532D0">
      <w:pPr>
        <w:adjustRightInd w:val="0"/>
        <w:snapToGrid w:val="0"/>
        <w:spacing w:before="120" w:after="120" w:line="240" w:lineRule="auto"/>
        <w:ind w:firstLine="720"/>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Patients could be given an appointment slip containing a telephone number and/or an email address to contact research nurses if their routine appointments are rescheduled.</w:t>
      </w:r>
    </w:p>
    <w:p w14:paraId="62EE9316" w14:textId="77777777" w:rsidR="003532D0" w:rsidRPr="003532D0" w:rsidRDefault="003532D0" w:rsidP="003532D0">
      <w:pPr>
        <w:adjustRightInd w:val="0"/>
        <w:snapToGrid w:val="0"/>
        <w:spacing w:before="120" w:after="120" w:line="240" w:lineRule="auto"/>
        <w:ind w:firstLine="720"/>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xml:space="preserve">• Clarification of the time windows for follow up appointments that were allowed without deviation to the protocol. </w:t>
      </w:r>
    </w:p>
    <w:p w14:paraId="758DB19E"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57E3F98D"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D: Clarification of the optimisation process for participants allocated to the unblinded HLA antibody positive arm.</w:t>
      </w:r>
    </w:p>
    <w:p w14:paraId="5FE97980" w14:textId="77777777" w:rsidR="003532D0" w:rsidRPr="003532D0" w:rsidRDefault="003532D0" w:rsidP="003532D0">
      <w:pPr>
        <w:adjustRightInd w:val="0"/>
        <w:snapToGrid w:val="0"/>
        <w:spacing w:before="120" w:after="120" w:line="240" w:lineRule="auto"/>
        <w:ind w:firstLine="720"/>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xml:space="preserve">•Change of optimisation timing from within 3 months of HLA antibody positivity to </w:t>
      </w:r>
      <w:r w:rsidRPr="003532D0">
        <w:rPr>
          <w:rFonts w:ascii="Arial" w:eastAsia="Times New Roman" w:hAnsi="Arial" w:cs="Arial"/>
          <w:bCs/>
          <w:i/>
          <w:iCs/>
          <w:color w:val="000000"/>
          <w:sz w:val="20"/>
          <w:szCs w:val="20"/>
        </w:rPr>
        <w:t>ideally</w:t>
      </w:r>
      <w:r w:rsidRPr="003532D0">
        <w:rPr>
          <w:rFonts w:ascii="Arial" w:eastAsia="Times New Roman" w:hAnsi="Arial" w:cs="Arial"/>
          <w:bCs/>
          <w:color w:val="000000"/>
          <w:sz w:val="20"/>
          <w:szCs w:val="20"/>
        </w:rPr>
        <w:t xml:space="preserve"> within 3 months after positive screening for HLA antibody and allocation to the unblinded treatment arm or as soon as possible thereafter BUT within 8 months of positive screening. This coincided with the realisation that some patients were proving difficult to contact to arrange optimisation and the change was felt to enhance the optimsation process without affecting the outcome of the trial.</w:t>
      </w:r>
    </w:p>
    <w:p w14:paraId="1AE71731" w14:textId="77777777" w:rsidR="003532D0" w:rsidRPr="003532D0" w:rsidRDefault="003532D0" w:rsidP="003532D0">
      <w:pPr>
        <w:adjustRightInd w:val="0"/>
        <w:snapToGrid w:val="0"/>
        <w:spacing w:before="120" w:after="120" w:line="240" w:lineRule="auto"/>
        <w:ind w:firstLine="720"/>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Clarification of the way that patients will be informed about the group to which they have been allocated. Participants with HLA antibodies allocated to the unblinded arm will be told the results of this allocation as soon as possible and invited to undergo optimisation. This can be performed over the phone. Those participants in the blinded groups or in the unblinded HLA antibody negative group will be told the result of their randomisation at their next clinic visit.</w:t>
      </w:r>
    </w:p>
    <w:p w14:paraId="2E7177A9" w14:textId="77777777" w:rsidR="003532D0" w:rsidRPr="003532D0" w:rsidRDefault="003532D0" w:rsidP="003532D0">
      <w:pPr>
        <w:adjustRightInd w:val="0"/>
        <w:snapToGrid w:val="0"/>
        <w:spacing w:before="120" w:after="120" w:line="240" w:lineRule="auto"/>
        <w:ind w:firstLine="720"/>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Clarification that recording details of the optimisation process will be in an Optimisation Log at each site and not in the eCRF.</w:t>
      </w:r>
    </w:p>
    <w:p w14:paraId="52086576"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27293C41"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E: Addition of three new sites</w:t>
      </w:r>
    </w:p>
    <w:p w14:paraId="73F96207"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41328D45"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4B626B1B" w14:textId="77777777" w:rsidR="003532D0" w:rsidRPr="003532D0" w:rsidRDefault="003532D0" w:rsidP="002B2E0D">
      <w:pPr>
        <w:pStyle w:val="Heading3"/>
        <w:rPr>
          <w:rFonts w:ascii="Arial" w:eastAsia="Times New Roman" w:hAnsi="Arial" w:cs="Arial"/>
          <w:bCs/>
          <w:i/>
          <w:iCs/>
          <w:color w:val="000000"/>
          <w:sz w:val="20"/>
          <w:szCs w:val="20"/>
        </w:rPr>
      </w:pPr>
      <w:bookmarkStart w:id="134" w:name="_Toc121909769"/>
      <w:r w:rsidRPr="003532D0">
        <w:rPr>
          <w:rFonts w:ascii="Arial" w:eastAsia="Times New Roman" w:hAnsi="Arial" w:cs="Arial"/>
          <w:bCs/>
          <w:i/>
          <w:iCs/>
          <w:color w:val="000000"/>
          <w:sz w:val="20"/>
          <w:szCs w:val="20"/>
        </w:rPr>
        <w:t>Version 8 1/7/2014</w:t>
      </w:r>
      <w:bookmarkEnd w:id="134"/>
    </w:p>
    <w:p w14:paraId="19B3B8E3"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Extension to the time that tissue typing laboratories had to perform the randomisation of patients, from 28 to 56 days post consent. This was to optimise batching of patient serum for testing, reducing the number of experimental controls and HLA screening beads needed, and therefore the cost of screening.</w:t>
      </w:r>
    </w:p>
    <w:p w14:paraId="1EC89A48"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Clarification, in section 7.1, of when testing of HbA1Cshould occur.</w:t>
      </w:r>
    </w:p>
    <w:p w14:paraId="10D39061"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Clarification about tests to be performed to monitor for MMF-induced hypogammaglobulinemia.</w:t>
      </w:r>
    </w:p>
    <w:p w14:paraId="1F569303"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Changes to allow the use of results from routine clinic blood tests taken up to a week prior to consent, to minimise duplication of tests in sites where it was routine for patients to attend for blood tests prior to their clinic visit.</w:t>
      </w:r>
    </w:p>
    <w:p w14:paraId="57528F4A"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lastRenderedPageBreak/>
        <w:t>• Changes to allow study information to be collected via telephone to minimise time spent with each patient during busy routine clinics. </w:t>
      </w:r>
    </w:p>
    <w:p w14:paraId="154FE260"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34AC4435"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4FC17C18" w14:textId="77777777" w:rsidR="003532D0" w:rsidRPr="003532D0" w:rsidRDefault="003532D0" w:rsidP="002B2E0D">
      <w:pPr>
        <w:pStyle w:val="Heading3"/>
        <w:rPr>
          <w:rFonts w:ascii="Arial" w:eastAsia="Times New Roman" w:hAnsi="Arial" w:cs="Arial"/>
          <w:bCs/>
          <w:color w:val="000000"/>
          <w:sz w:val="20"/>
          <w:szCs w:val="20"/>
        </w:rPr>
      </w:pPr>
      <w:bookmarkStart w:id="135" w:name="_Toc121909770"/>
      <w:r w:rsidRPr="003532D0">
        <w:rPr>
          <w:rFonts w:ascii="Arial" w:eastAsia="Times New Roman" w:hAnsi="Arial" w:cs="Arial"/>
          <w:bCs/>
          <w:color w:val="000000"/>
          <w:sz w:val="20"/>
          <w:szCs w:val="20"/>
        </w:rPr>
        <w:t>Version 9 15/10/2014</w:t>
      </w:r>
      <w:bookmarkEnd w:id="135"/>
    </w:p>
    <w:p w14:paraId="4CC29290"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Clarification around timing and need for collection of experimental research samples (laboratory) at point of consent.</w:t>
      </w:r>
    </w:p>
    <w:p w14:paraId="5F7D8317"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Further clarification of the time windows for follow up appointments that were allowed without deviation to the protocol. Changes made to try to ensure collection of three study assessments per year.</w:t>
      </w:r>
    </w:p>
    <w:p w14:paraId="6D1AEEF5"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xml:space="preserve">• Change to reduce nurse paperwork: as a Type A trial with a large recruitment target, missing data around sample collection was to be coded in the eCRF but not recorded as a protocol deviation. </w:t>
      </w:r>
    </w:p>
    <w:p w14:paraId="3D4E1288"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Change to the principal investigator at one of the sites</w:t>
      </w:r>
    </w:p>
    <w:p w14:paraId="7729CA0A"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1938CB49"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32DB677E" w14:textId="77777777" w:rsidR="003532D0" w:rsidRPr="003532D0" w:rsidRDefault="003532D0" w:rsidP="002B2E0D">
      <w:pPr>
        <w:pStyle w:val="Heading3"/>
        <w:rPr>
          <w:rFonts w:ascii="Arial" w:eastAsia="Times New Roman" w:hAnsi="Arial" w:cs="Arial"/>
          <w:bCs/>
          <w:i/>
          <w:iCs/>
          <w:color w:val="000000"/>
          <w:sz w:val="20"/>
          <w:szCs w:val="20"/>
        </w:rPr>
      </w:pPr>
      <w:bookmarkStart w:id="136" w:name="_Toc121909771"/>
      <w:r w:rsidRPr="003532D0">
        <w:rPr>
          <w:rFonts w:ascii="Arial" w:eastAsia="Times New Roman" w:hAnsi="Arial" w:cs="Arial"/>
          <w:bCs/>
          <w:i/>
          <w:iCs/>
          <w:color w:val="000000"/>
          <w:sz w:val="20"/>
          <w:szCs w:val="20"/>
        </w:rPr>
        <w:t>Version 10 11/08/2015</w:t>
      </w:r>
      <w:bookmarkEnd w:id="136"/>
    </w:p>
    <w:p w14:paraId="261E1A8D"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Changes to two co-investigators in the Tissue Typing Laboratories and addition of three new sites.</w:t>
      </w:r>
    </w:p>
    <w:p w14:paraId="6BED5B87"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Change to eligibility age range, from 18-70 years to 18-75 years. Originally, we believed that non-transplant-related mortality may be higher in 71-75 year old age group, however this was re-considered and felt not to be an issue.</w:t>
      </w:r>
    </w:p>
    <w:p w14:paraId="0BDD2EC0"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Clarification of the inclusion criteria relating to timing of the eGFR used when considering eligibility.</w:t>
      </w:r>
    </w:p>
    <w:p w14:paraId="3F573406"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0F738D78"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5F06EC6A" w14:textId="77777777" w:rsidR="003532D0" w:rsidRPr="003532D0" w:rsidRDefault="003532D0" w:rsidP="002B2E0D">
      <w:pPr>
        <w:pStyle w:val="Heading3"/>
        <w:rPr>
          <w:rFonts w:ascii="Arial" w:eastAsia="Times New Roman" w:hAnsi="Arial" w:cs="Arial"/>
          <w:bCs/>
          <w:i/>
          <w:iCs/>
          <w:color w:val="000000"/>
          <w:sz w:val="20"/>
          <w:szCs w:val="20"/>
        </w:rPr>
      </w:pPr>
      <w:bookmarkStart w:id="137" w:name="_Toc121909772"/>
      <w:r w:rsidRPr="003532D0">
        <w:rPr>
          <w:rFonts w:ascii="Arial" w:eastAsia="Times New Roman" w:hAnsi="Arial" w:cs="Arial"/>
          <w:bCs/>
          <w:i/>
          <w:iCs/>
          <w:color w:val="000000"/>
          <w:sz w:val="20"/>
          <w:szCs w:val="20"/>
        </w:rPr>
        <w:t>Version 11 26/11/2015</w:t>
      </w:r>
      <w:bookmarkEnd w:id="137"/>
    </w:p>
    <w:p w14:paraId="27A884B6"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A: Change in primary endpoint </w:t>
      </w:r>
    </w:p>
    <w:p w14:paraId="06F80AAB" w14:textId="77777777" w:rsidR="003532D0" w:rsidRPr="003532D0" w:rsidRDefault="003532D0" w:rsidP="003532D0">
      <w:pPr>
        <w:adjustRightInd w:val="0"/>
        <w:snapToGrid w:val="0"/>
        <w:spacing w:before="120" w:after="120" w:line="240" w:lineRule="auto"/>
        <w:ind w:firstLine="720"/>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The primary endpoint of the trial was changed from “graft failure rates over three years” to “time to graft failure with variable follow up (with a minimum of 43 months post-randomization)”. This change was required to account for the low numbers of DSA positive participants being recruited to the trial. This change will allow for a reduction in the number of DSA patients to be recruited, and a significant shortening in the expected study duration whilst maintaining the power of the study. Section 8 on sample size and statistical analyses were changed accordingly. The new primary endpoint was to be assessed remotely from patient notes once 43 months post-randomisation was achieved by all.  All patients already recruited were to be re-consented to allow this change.</w:t>
      </w:r>
    </w:p>
    <w:p w14:paraId="74BDFFB6"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p>
    <w:p w14:paraId="3807CECC"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B: Changes to reduce costs associated with extension of the trial</w:t>
      </w:r>
    </w:p>
    <w:p w14:paraId="1E952E52" w14:textId="77777777" w:rsidR="003532D0" w:rsidRPr="003532D0" w:rsidRDefault="003532D0" w:rsidP="003532D0">
      <w:pPr>
        <w:adjustRightInd w:val="0"/>
        <w:snapToGrid w:val="0"/>
        <w:spacing w:before="120" w:after="120" w:line="240" w:lineRule="auto"/>
        <w:ind w:firstLine="720"/>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xml:space="preserve">• Follow-up visits changed from 4-monthly to 8-monthly to reduce nurse workload. </w:t>
      </w:r>
    </w:p>
    <w:p w14:paraId="5C1EBAD5" w14:textId="77777777" w:rsidR="003532D0" w:rsidRPr="003532D0" w:rsidRDefault="003532D0" w:rsidP="003532D0">
      <w:pPr>
        <w:adjustRightInd w:val="0"/>
        <w:snapToGrid w:val="0"/>
        <w:spacing w:before="120" w:after="120" w:line="240" w:lineRule="auto"/>
        <w:ind w:firstLine="720"/>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xml:space="preserve">• End visit for each participant changed from 36 to 32 months. </w:t>
      </w:r>
    </w:p>
    <w:p w14:paraId="21F25C51" w14:textId="77777777" w:rsidR="003532D0" w:rsidRPr="003532D0" w:rsidRDefault="003532D0" w:rsidP="003532D0">
      <w:pPr>
        <w:adjustRightInd w:val="0"/>
        <w:snapToGrid w:val="0"/>
        <w:spacing w:before="120" w:after="120" w:line="240" w:lineRule="auto"/>
        <w:ind w:firstLine="720"/>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Secondary endpoint assessment changed from 36 to 32 months, except for health economics which was moved from 36 to 16 months.</w:t>
      </w:r>
    </w:p>
    <w:p w14:paraId="69CC4838" w14:textId="77777777" w:rsidR="003532D0" w:rsidRPr="003532D0" w:rsidRDefault="003532D0" w:rsidP="003532D0">
      <w:pPr>
        <w:adjustRightInd w:val="0"/>
        <w:snapToGrid w:val="0"/>
        <w:spacing w:before="120" w:after="120" w:line="240" w:lineRule="auto"/>
        <w:ind w:firstLine="720"/>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Major reduction of SAE reporting to sponsor incorporated into sections 7.2 and 7.3</w:t>
      </w:r>
    </w:p>
    <w:p w14:paraId="5CFB8068"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p>
    <w:p w14:paraId="3779FD7C"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C: Change in trial statistician, change in site PIs and addition of a new site.</w:t>
      </w:r>
    </w:p>
    <w:p w14:paraId="5DFE4082"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7DFD997C"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04F61739" w14:textId="77777777" w:rsidR="003532D0" w:rsidRPr="003532D0" w:rsidRDefault="003532D0" w:rsidP="002B2E0D">
      <w:pPr>
        <w:pStyle w:val="Heading3"/>
        <w:rPr>
          <w:rFonts w:ascii="Arial" w:eastAsia="Times New Roman" w:hAnsi="Arial" w:cs="Arial"/>
          <w:bCs/>
          <w:i/>
          <w:iCs/>
          <w:color w:val="000000"/>
          <w:sz w:val="20"/>
          <w:szCs w:val="20"/>
        </w:rPr>
      </w:pPr>
      <w:bookmarkStart w:id="138" w:name="_Toc121909773"/>
      <w:r w:rsidRPr="003532D0">
        <w:rPr>
          <w:rFonts w:ascii="Arial" w:eastAsia="Times New Roman" w:hAnsi="Arial" w:cs="Arial"/>
          <w:bCs/>
          <w:i/>
          <w:iCs/>
          <w:color w:val="000000"/>
          <w:sz w:val="20"/>
          <w:szCs w:val="20"/>
        </w:rPr>
        <w:t>Version 12 1/12/16</w:t>
      </w:r>
      <w:bookmarkEnd w:id="138"/>
    </w:p>
    <w:p w14:paraId="6FE58BD8"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r w:rsidRPr="003532D0">
        <w:rPr>
          <w:rFonts w:ascii="Arial" w:eastAsia="Times New Roman" w:hAnsi="Arial" w:cs="Arial"/>
          <w:bCs/>
          <w:color w:val="000000"/>
          <w:sz w:val="20"/>
          <w:szCs w:val="20"/>
        </w:rPr>
        <w:t>• Cessation of collection of research blood samples, associated with removal of the secondary experimental ‘scientific’ endpoints.  This was required by the funder, who requested that the salary costs associated with the experimental aspects of the trial be re-allocated towards supporting the primary endpoint data collection.</w:t>
      </w:r>
    </w:p>
    <w:p w14:paraId="5432C8C4"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3B4CE53D"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10032D6E" w14:textId="77777777" w:rsidR="003532D0" w:rsidRPr="003532D0" w:rsidRDefault="003532D0" w:rsidP="002B2E0D">
      <w:pPr>
        <w:pStyle w:val="Heading3"/>
        <w:rPr>
          <w:rFonts w:ascii="Arial" w:eastAsia="Times New Roman" w:hAnsi="Arial" w:cs="Arial"/>
          <w:bCs/>
          <w:i/>
          <w:iCs/>
          <w:color w:val="000000"/>
          <w:sz w:val="20"/>
          <w:szCs w:val="20"/>
        </w:rPr>
      </w:pPr>
      <w:bookmarkStart w:id="139" w:name="_Toc121909774"/>
      <w:r w:rsidRPr="003532D0">
        <w:rPr>
          <w:rFonts w:ascii="Arial" w:eastAsia="Times New Roman" w:hAnsi="Arial" w:cs="Arial"/>
          <w:bCs/>
          <w:i/>
          <w:iCs/>
          <w:color w:val="000000"/>
          <w:sz w:val="20"/>
          <w:szCs w:val="20"/>
        </w:rPr>
        <w:t>Version 13 21/11/18</w:t>
      </w:r>
      <w:bookmarkEnd w:id="139"/>
    </w:p>
    <w:p w14:paraId="64F28763"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Change to reflect inclusion of albumin:creatinine ratio as a measure of proteinuria in addition to protein:creatinine ratio and clarification that one or the other (not both) are required as one assessment of graft dysfunction.</w:t>
      </w:r>
    </w:p>
    <w:p w14:paraId="4740C42B"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xml:space="preserve">• Change to the way that change in eGFR was to be compared between arms. </w:t>
      </w:r>
    </w:p>
    <w:p w14:paraId="1AB29258"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Inclusion of proposed details for how the primary outcome data was to be collected during the period March 2020- June 2020.</w:t>
      </w:r>
    </w:p>
    <w:p w14:paraId="4FA502F3"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lastRenderedPageBreak/>
        <w:t>• Inclusion of collection of a final sample for HLA antibody screening from all participants at their final research clinic visit at month 32.</w:t>
      </w:r>
    </w:p>
    <w:p w14:paraId="086EFAF9"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Clarification that results from the trial will be presented as estimates and 95% confidence intervals </w:t>
      </w:r>
    </w:p>
    <w:p w14:paraId="249EDC01"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Clarification that baseline covariates were to be included in the statistical model for the primary outcome.</w:t>
      </w:r>
    </w:p>
    <w:p w14:paraId="7D6AD904"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071479AC" w14:textId="77777777" w:rsidR="003532D0" w:rsidRPr="003532D0" w:rsidRDefault="003532D0" w:rsidP="003532D0">
      <w:pPr>
        <w:adjustRightInd w:val="0"/>
        <w:snapToGrid w:val="0"/>
        <w:spacing w:before="120" w:after="120" w:line="240" w:lineRule="auto"/>
        <w:contextualSpacing/>
        <w:rPr>
          <w:rFonts w:ascii="Arial" w:eastAsia="Times New Roman" w:hAnsi="Arial" w:cs="Arial"/>
          <w:bCs/>
          <w:color w:val="000000"/>
          <w:sz w:val="20"/>
          <w:szCs w:val="20"/>
        </w:rPr>
      </w:pPr>
    </w:p>
    <w:p w14:paraId="378C81D8" w14:textId="77777777" w:rsidR="003532D0" w:rsidRPr="003532D0" w:rsidRDefault="003532D0" w:rsidP="002B2E0D">
      <w:pPr>
        <w:pStyle w:val="Heading3"/>
        <w:rPr>
          <w:rFonts w:ascii="Arial" w:eastAsia="Times New Roman" w:hAnsi="Arial" w:cs="Arial"/>
          <w:bCs/>
          <w:i/>
          <w:iCs/>
          <w:color w:val="000000"/>
          <w:sz w:val="20"/>
          <w:szCs w:val="20"/>
        </w:rPr>
      </w:pPr>
      <w:bookmarkStart w:id="140" w:name="_Toc121909775"/>
      <w:r w:rsidRPr="003532D0">
        <w:rPr>
          <w:rFonts w:ascii="Arial" w:eastAsia="Times New Roman" w:hAnsi="Arial" w:cs="Arial"/>
          <w:bCs/>
          <w:i/>
          <w:iCs/>
          <w:color w:val="000000"/>
          <w:sz w:val="20"/>
          <w:szCs w:val="20"/>
          <w:lang w:val="en-US"/>
        </w:rPr>
        <w:t xml:space="preserve">Version14 </w:t>
      </w:r>
      <w:r w:rsidRPr="003532D0">
        <w:rPr>
          <w:rFonts w:ascii="Arial" w:eastAsia="Times New Roman" w:hAnsi="Arial" w:cs="Arial"/>
          <w:bCs/>
          <w:i/>
          <w:iCs/>
          <w:color w:val="000000"/>
          <w:sz w:val="20"/>
          <w:szCs w:val="20"/>
        </w:rPr>
        <w:t>08/07/2020</w:t>
      </w:r>
      <w:bookmarkEnd w:id="140"/>
    </w:p>
    <w:p w14:paraId="245E0473"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Change to the timing of the collection of the primary endpoint as a result of the COVID-19 pandemic, in addition to the proposal to included additional sensitivity analysess for the primary endpoint and extension of the study end date.</w:t>
      </w:r>
    </w:p>
    <w:p w14:paraId="45DD8678"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pPr>
      <w:r w:rsidRPr="003532D0">
        <w:rPr>
          <w:rFonts w:ascii="Arial" w:eastAsia="Times New Roman" w:hAnsi="Arial" w:cs="Arial"/>
          <w:bCs/>
          <w:color w:val="000000"/>
          <w:sz w:val="20"/>
          <w:szCs w:val="20"/>
        </w:rPr>
        <w:t>• Inclusion of a thank you card for all participants who have taken part in the OuTSMART trial.</w:t>
      </w:r>
    </w:p>
    <w:p w14:paraId="5E7C8980" w14:textId="77777777" w:rsidR="003532D0" w:rsidRPr="003532D0" w:rsidRDefault="003532D0" w:rsidP="003532D0">
      <w:pPr>
        <w:spacing w:after="0" w:line="240" w:lineRule="auto"/>
        <w:rPr>
          <w:rFonts w:ascii="Arial" w:eastAsia="Times New Roman" w:hAnsi="Arial" w:cs="Arial"/>
          <w:bCs/>
          <w:color w:val="000000"/>
          <w:sz w:val="20"/>
          <w:szCs w:val="20"/>
        </w:rPr>
      </w:pPr>
      <w:r w:rsidRPr="003532D0">
        <w:rPr>
          <w:rFonts w:ascii="Arial" w:eastAsia="Times New Roman" w:hAnsi="Arial" w:cs="Arial"/>
          <w:bCs/>
          <w:color w:val="000000"/>
          <w:sz w:val="20"/>
          <w:szCs w:val="20"/>
        </w:rPr>
        <w:br w:type="page"/>
      </w:r>
    </w:p>
    <w:p w14:paraId="6AB3E085" w14:textId="77777777" w:rsidR="003532D0" w:rsidRPr="003532D0" w:rsidRDefault="003532D0" w:rsidP="003532D0">
      <w:pPr>
        <w:adjustRightInd w:val="0"/>
        <w:snapToGrid w:val="0"/>
        <w:spacing w:before="120" w:after="120" w:line="240" w:lineRule="auto"/>
        <w:contextualSpacing/>
        <w:jc w:val="both"/>
        <w:rPr>
          <w:rFonts w:ascii="Arial" w:eastAsia="Times New Roman" w:hAnsi="Arial" w:cs="Arial"/>
          <w:bCs/>
          <w:color w:val="000000"/>
          <w:sz w:val="20"/>
          <w:szCs w:val="20"/>
        </w:rPr>
        <w:sectPr w:rsidR="003532D0" w:rsidRPr="003532D0" w:rsidSect="00415D5E">
          <w:headerReference w:type="default" r:id="rId20"/>
          <w:type w:val="continuous"/>
          <w:pgSz w:w="11899" w:h="16838"/>
          <w:pgMar w:top="1134" w:right="1418" w:bottom="1134" w:left="1418" w:header="720" w:footer="720" w:gutter="0"/>
          <w:cols w:space="720"/>
        </w:sectPr>
      </w:pPr>
    </w:p>
    <w:p w14:paraId="62FAF308" w14:textId="77777777" w:rsidR="005E126D" w:rsidRPr="00710C30" w:rsidRDefault="005E126D" w:rsidP="005E126D">
      <w:pPr>
        <w:widowControl w:val="0"/>
        <w:autoSpaceDE w:val="0"/>
        <w:autoSpaceDN w:val="0"/>
        <w:adjustRightInd w:val="0"/>
        <w:spacing w:after="240"/>
        <w:jc w:val="center"/>
        <w:rPr>
          <w:rFonts w:asciiTheme="majorHAnsi" w:hAnsiTheme="majorHAnsi" w:cs="Arial"/>
          <w:sz w:val="40"/>
          <w:szCs w:val="40"/>
        </w:rPr>
      </w:pPr>
    </w:p>
    <w:p w14:paraId="504A6BA6" w14:textId="77777777" w:rsidR="005E126D" w:rsidRPr="00710C30" w:rsidRDefault="005E126D" w:rsidP="005E126D">
      <w:pPr>
        <w:widowControl w:val="0"/>
        <w:autoSpaceDE w:val="0"/>
        <w:autoSpaceDN w:val="0"/>
        <w:adjustRightInd w:val="0"/>
        <w:spacing w:after="240"/>
        <w:jc w:val="center"/>
        <w:rPr>
          <w:rFonts w:asciiTheme="majorHAnsi" w:hAnsiTheme="majorHAnsi" w:cs="Arial"/>
          <w:sz w:val="40"/>
          <w:szCs w:val="40"/>
        </w:rPr>
      </w:pPr>
    </w:p>
    <w:p w14:paraId="52108ECE" w14:textId="77777777" w:rsidR="005E126D" w:rsidRPr="00710C30" w:rsidRDefault="005E126D" w:rsidP="00EC4C53">
      <w:pPr>
        <w:pStyle w:val="Heading1"/>
        <w:rPr>
          <w:rFonts w:cs="Arial"/>
          <w:sz w:val="40"/>
          <w:szCs w:val="40"/>
        </w:rPr>
      </w:pPr>
      <w:bookmarkStart w:id="141" w:name="_Toc121909776"/>
      <w:r w:rsidRPr="00710C30">
        <w:rPr>
          <w:rFonts w:cs="Arial"/>
          <w:sz w:val="40"/>
          <w:szCs w:val="40"/>
        </w:rPr>
        <w:t>A randomised controlled trial of a combined screening /treatment programme to prevent premature failure of renal transplants due to chronic rejection in patients with HLA antibodies (OuTSMART trial)</w:t>
      </w:r>
      <w:bookmarkEnd w:id="141"/>
    </w:p>
    <w:p w14:paraId="604343F5" w14:textId="77777777" w:rsidR="005E126D" w:rsidRPr="00710C30" w:rsidRDefault="005E126D" w:rsidP="00EC4C53">
      <w:pPr>
        <w:pStyle w:val="Heading1"/>
        <w:rPr>
          <w:rFonts w:cs="Arial"/>
          <w:sz w:val="40"/>
          <w:szCs w:val="40"/>
        </w:rPr>
      </w:pPr>
    </w:p>
    <w:p w14:paraId="0F930704" w14:textId="77777777" w:rsidR="005E126D" w:rsidRPr="00710C30" w:rsidRDefault="005E126D" w:rsidP="00EC4C53">
      <w:pPr>
        <w:pStyle w:val="Heading1"/>
        <w:rPr>
          <w:rFonts w:cs="Arial"/>
          <w:sz w:val="40"/>
          <w:szCs w:val="40"/>
        </w:rPr>
      </w:pPr>
      <w:bookmarkStart w:id="142" w:name="_Toc121909777"/>
      <w:r w:rsidRPr="00710C30">
        <w:rPr>
          <w:rFonts w:cs="Arial"/>
          <w:sz w:val="40"/>
          <w:szCs w:val="40"/>
        </w:rPr>
        <w:t>Statistical Analysis Plan</w:t>
      </w:r>
      <w:bookmarkEnd w:id="142"/>
      <w:r w:rsidRPr="00710C30">
        <w:rPr>
          <w:rFonts w:cs="Arial"/>
          <w:sz w:val="40"/>
          <w:szCs w:val="40"/>
        </w:rPr>
        <w:t xml:space="preserve"> </w:t>
      </w:r>
    </w:p>
    <w:p w14:paraId="1680E558" w14:textId="77777777" w:rsidR="005E126D" w:rsidRPr="00710C30" w:rsidRDefault="005E126D" w:rsidP="00EC4C53">
      <w:pPr>
        <w:pStyle w:val="Heading1"/>
        <w:rPr>
          <w:rFonts w:cs="Arial"/>
          <w:sz w:val="40"/>
          <w:szCs w:val="40"/>
        </w:rPr>
      </w:pPr>
      <w:bookmarkStart w:id="143" w:name="_Toc121909778"/>
      <w:r w:rsidRPr="00710C30">
        <w:rPr>
          <w:rFonts w:cs="Arial"/>
          <w:sz w:val="40"/>
          <w:szCs w:val="40"/>
        </w:rPr>
        <w:t>Version 2.</w:t>
      </w:r>
      <w:r>
        <w:rPr>
          <w:rFonts w:cs="Arial"/>
          <w:sz w:val="40"/>
          <w:szCs w:val="40"/>
        </w:rPr>
        <w:t>4</w:t>
      </w:r>
      <w:bookmarkEnd w:id="143"/>
    </w:p>
    <w:p w14:paraId="69EB1FFB" w14:textId="77777777" w:rsidR="005E126D" w:rsidRPr="00710C30" w:rsidRDefault="005E126D" w:rsidP="00EC4C53">
      <w:pPr>
        <w:pStyle w:val="Heading1"/>
        <w:rPr>
          <w:rFonts w:cs="Arial"/>
          <w:sz w:val="40"/>
          <w:szCs w:val="40"/>
        </w:rPr>
      </w:pPr>
      <w:bookmarkStart w:id="144" w:name="_Toc121909779"/>
      <w:r w:rsidRPr="00710C30">
        <w:rPr>
          <w:rFonts w:cs="Arial"/>
          <w:sz w:val="40"/>
          <w:szCs w:val="40"/>
        </w:rPr>
        <w:t>Version 2.</w:t>
      </w:r>
      <w:r>
        <w:rPr>
          <w:rFonts w:cs="Arial"/>
          <w:sz w:val="40"/>
          <w:szCs w:val="40"/>
        </w:rPr>
        <w:t>4</w:t>
      </w:r>
      <w:r w:rsidRPr="00710C30">
        <w:rPr>
          <w:rFonts w:cs="Arial"/>
          <w:sz w:val="40"/>
          <w:szCs w:val="40"/>
        </w:rPr>
        <w:t xml:space="preserve"> started: </w:t>
      </w:r>
      <w:r>
        <w:rPr>
          <w:rFonts w:cs="Arial"/>
          <w:sz w:val="40"/>
          <w:szCs w:val="40"/>
        </w:rPr>
        <w:t>09/02/2021</w:t>
      </w:r>
      <w:bookmarkEnd w:id="144"/>
    </w:p>
    <w:p w14:paraId="7C36D72B" w14:textId="77777777" w:rsidR="005E126D" w:rsidRPr="00710C30" w:rsidRDefault="005E126D" w:rsidP="005E126D">
      <w:pPr>
        <w:widowControl w:val="0"/>
        <w:autoSpaceDE w:val="0"/>
        <w:autoSpaceDN w:val="0"/>
        <w:adjustRightInd w:val="0"/>
        <w:jc w:val="center"/>
        <w:rPr>
          <w:rFonts w:asciiTheme="majorHAnsi" w:hAnsiTheme="majorHAnsi" w:cs="Arial"/>
          <w:sz w:val="40"/>
          <w:szCs w:val="40"/>
        </w:rPr>
      </w:pPr>
    </w:p>
    <w:p w14:paraId="5EE9778B" w14:textId="77777777" w:rsidR="005E126D" w:rsidRPr="00710C30" w:rsidRDefault="005E126D" w:rsidP="005E126D">
      <w:pPr>
        <w:widowControl w:val="0"/>
        <w:autoSpaceDE w:val="0"/>
        <w:autoSpaceDN w:val="0"/>
        <w:adjustRightInd w:val="0"/>
        <w:spacing w:after="240"/>
        <w:jc w:val="center"/>
        <w:rPr>
          <w:rFonts w:asciiTheme="majorHAnsi" w:hAnsiTheme="majorHAnsi" w:cs="Arial"/>
          <w:color w:val="FF0000"/>
          <w:sz w:val="38"/>
          <w:szCs w:val="38"/>
        </w:rPr>
      </w:pPr>
      <w:r w:rsidRPr="00710C30">
        <w:rPr>
          <w:rFonts w:asciiTheme="majorHAnsi" w:hAnsiTheme="majorHAnsi" w:cs="Arial"/>
          <w:color w:val="FF0000"/>
          <w:sz w:val="38"/>
          <w:szCs w:val="38"/>
        </w:rPr>
        <w:t>ISRCTN number:  ISRCTN46157828</w:t>
      </w:r>
    </w:p>
    <w:p w14:paraId="3D9BF121" w14:textId="77777777" w:rsidR="005E126D" w:rsidRPr="00710C30" w:rsidRDefault="005E126D" w:rsidP="005E126D">
      <w:pPr>
        <w:widowControl w:val="0"/>
        <w:autoSpaceDE w:val="0"/>
        <w:autoSpaceDN w:val="0"/>
        <w:adjustRightInd w:val="0"/>
        <w:spacing w:after="240"/>
        <w:jc w:val="center"/>
        <w:rPr>
          <w:rFonts w:asciiTheme="majorHAnsi" w:hAnsiTheme="majorHAnsi" w:cs="Times"/>
          <w:color w:val="FF0000"/>
        </w:rPr>
      </w:pPr>
    </w:p>
    <w:p w14:paraId="227E4C77" w14:textId="77777777" w:rsidR="005E126D" w:rsidRPr="00710C30" w:rsidRDefault="005E126D" w:rsidP="005E126D">
      <w:pPr>
        <w:rPr>
          <w:rFonts w:asciiTheme="majorHAnsi" w:hAnsiTheme="majorHAnsi" w:cstheme="minorHAnsi"/>
          <w:sz w:val="28"/>
        </w:rPr>
      </w:pPr>
      <w:r w:rsidRPr="00710C30">
        <w:rPr>
          <w:rFonts w:asciiTheme="majorHAnsi" w:hAnsiTheme="majorHAnsi" w:cstheme="minorHAnsi"/>
        </w:rPr>
        <w:t>Trial Statistician: Dominic Stringer</w:t>
      </w:r>
    </w:p>
    <w:p w14:paraId="62484406" w14:textId="77777777" w:rsidR="005E126D" w:rsidRPr="00710C30" w:rsidRDefault="005E126D" w:rsidP="005E126D">
      <w:pPr>
        <w:rPr>
          <w:rFonts w:asciiTheme="majorHAnsi" w:hAnsiTheme="majorHAnsi" w:cstheme="minorHAnsi"/>
          <w:sz w:val="28"/>
        </w:rPr>
      </w:pPr>
    </w:p>
    <w:p w14:paraId="09668F5F" w14:textId="77777777" w:rsidR="005E126D" w:rsidRPr="00710C30" w:rsidRDefault="005E126D" w:rsidP="005E126D">
      <w:pPr>
        <w:rPr>
          <w:rFonts w:asciiTheme="majorHAnsi" w:hAnsiTheme="majorHAnsi" w:cstheme="minorHAnsi"/>
        </w:rPr>
      </w:pPr>
      <w:r w:rsidRPr="00710C30">
        <w:rPr>
          <w:rFonts w:asciiTheme="majorHAnsi" w:hAnsiTheme="majorHAnsi" w:cstheme="minorHAnsi"/>
        </w:rPr>
        <w:t>Signature.................................................   Date......................................</w:t>
      </w:r>
    </w:p>
    <w:p w14:paraId="3E96E649" w14:textId="77777777" w:rsidR="005E126D" w:rsidRPr="00710C30" w:rsidRDefault="005E126D" w:rsidP="005E126D">
      <w:pPr>
        <w:pStyle w:val="Default"/>
        <w:rPr>
          <w:rFonts w:asciiTheme="majorHAnsi" w:hAnsiTheme="majorHAnsi" w:cstheme="minorHAnsi"/>
        </w:rPr>
      </w:pPr>
      <w:r w:rsidRPr="00710C30">
        <w:rPr>
          <w:rFonts w:asciiTheme="majorHAnsi" w:hAnsiTheme="majorHAnsi" w:cstheme="minorHAnsi"/>
        </w:rPr>
        <w:t xml:space="preserve"> </w:t>
      </w:r>
    </w:p>
    <w:p w14:paraId="3E0D4FE4" w14:textId="77777777" w:rsidR="005E126D" w:rsidRPr="00710C30" w:rsidRDefault="005E126D" w:rsidP="005E126D">
      <w:pPr>
        <w:rPr>
          <w:rFonts w:asciiTheme="majorHAnsi" w:hAnsiTheme="majorHAnsi" w:cstheme="minorHAnsi"/>
        </w:rPr>
      </w:pPr>
    </w:p>
    <w:p w14:paraId="1FBEC1B6" w14:textId="77777777" w:rsidR="005E126D" w:rsidRPr="00710C30" w:rsidRDefault="005E126D" w:rsidP="005E126D">
      <w:pPr>
        <w:rPr>
          <w:rFonts w:asciiTheme="majorHAnsi" w:hAnsiTheme="majorHAnsi" w:cstheme="minorHAnsi"/>
        </w:rPr>
      </w:pPr>
      <w:r w:rsidRPr="00710C30">
        <w:rPr>
          <w:rFonts w:asciiTheme="majorHAnsi" w:hAnsiTheme="majorHAnsi" w:cstheme="minorHAnsi"/>
        </w:rPr>
        <w:t>Chief Investigator: Professor Anthony Dorling</w:t>
      </w:r>
    </w:p>
    <w:p w14:paraId="741A1B76" w14:textId="77777777" w:rsidR="005E126D" w:rsidRPr="00710C30" w:rsidRDefault="005E126D" w:rsidP="005E126D">
      <w:pPr>
        <w:rPr>
          <w:rFonts w:asciiTheme="majorHAnsi" w:hAnsiTheme="majorHAnsi" w:cstheme="minorHAnsi"/>
          <w:sz w:val="28"/>
        </w:rPr>
      </w:pPr>
    </w:p>
    <w:p w14:paraId="289C6E7C" w14:textId="77777777" w:rsidR="005E126D" w:rsidRPr="00710C30" w:rsidRDefault="005E126D" w:rsidP="005E126D">
      <w:pPr>
        <w:rPr>
          <w:rFonts w:asciiTheme="majorHAnsi" w:hAnsiTheme="majorHAnsi" w:cstheme="minorHAnsi"/>
          <w:sz w:val="28"/>
        </w:rPr>
      </w:pPr>
    </w:p>
    <w:p w14:paraId="14476530" w14:textId="77777777" w:rsidR="005E126D" w:rsidRPr="00710C30" w:rsidRDefault="005E126D" w:rsidP="005E126D">
      <w:pPr>
        <w:rPr>
          <w:rFonts w:asciiTheme="majorHAnsi" w:hAnsiTheme="majorHAnsi" w:cstheme="minorHAnsi"/>
        </w:rPr>
      </w:pPr>
      <w:r w:rsidRPr="00710C30">
        <w:rPr>
          <w:rFonts w:asciiTheme="majorHAnsi" w:hAnsiTheme="majorHAnsi" w:cstheme="minorHAnsi"/>
        </w:rPr>
        <w:lastRenderedPageBreak/>
        <w:t>Signature.................................................   Date......................................</w:t>
      </w:r>
    </w:p>
    <w:p w14:paraId="1201A99F" w14:textId="77777777" w:rsidR="005E126D" w:rsidRPr="00710C30" w:rsidRDefault="005E126D" w:rsidP="005E126D">
      <w:pPr>
        <w:rPr>
          <w:rFonts w:asciiTheme="majorHAnsi" w:hAnsiTheme="majorHAnsi" w:cstheme="minorHAnsi"/>
        </w:rPr>
      </w:pPr>
    </w:p>
    <w:p w14:paraId="64D501AA" w14:textId="77777777" w:rsidR="005E126D" w:rsidRPr="00710C30" w:rsidRDefault="005E126D" w:rsidP="005E126D">
      <w:pPr>
        <w:rPr>
          <w:rFonts w:asciiTheme="majorHAnsi" w:hAnsiTheme="majorHAnsi" w:cstheme="minorHAnsi"/>
        </w:rPr>
      </w:pPr>
    </w:p>
    <w:p w14:paraId="5AADCCD8" w14:textId="77777777" w:rsidR="005E126D" w:rsidRPr="00710C30" w:rsidRDefault="005E126D" w:rsidP="005E126D">
      <w:pPr>
        <w:rPr>
          <w:rFonts w:asciiTheme="majorHAnsi" w:hAnsiTheme="majorHAnsi" w:cstheme="minorHAnsi"/>
        </w:rPr>
      </w:pPr>
      <w:r w:rsidRPr="00710C30">
        <w:rPr>
          <w:rFonts w:asciiTheme="majorHAnsi" w:hAnsiTheme="majorHAnsi" w:cstheme="minorHAnsi"/>
        </w:rPr>
        <w:t>Trial Steering Committee Chair: Professor Chris Watson</w:t>
      </w:r>
    </w:p>
    <w:p w14:paraId="58985E7F" w14:textId="77777777" w:rsidR="005E126D" w:rsidRPr="00710C30" w:rsidRDefault="005E126D" w:rsidP="005E126D">
      <w:pPr>
        <w:rPr>
          <w:rFonts w:asciiTheme="majorHAnsi" w:hAnsiTheme="majorHAnsi" w:cstheme="minorHAnsi"/>
          <w:sz w:val="28"/>
        </w:rPr>
      </w:pPr>
    </w:p>
    <w:p w14:paraId="686E1AC8" w14:textId="77777777" w:rsidR="005E126D" w:rsidRPr="00710C30" w:rsidRDefault="005E126D" w:rsidP="005E126D">
      <w:pPr>
        <w:rPr>
          <w:rFonts w:asciiTheme="majorHAnsi" w:hAnsiTheme="majorHAnsi" w:cstheme="minorHAnsi"/>
          <w:sz w:val="28"/>
        </w:rPr>
      </w:pPr>
    </w:p>
    <w:p w14:paraId="63065308" w14:textId="77777777" w:rsidR="005E126D" w:rsidRPr="00710C30" w:rsidRDefault="005E126D" w:rsidP="005E126D">
      <w:pPr>
        <w:rPr>
          <w:rFonts w:asciiTheme="majorHAnsi" w:hAnsiTheme="majorHAnsi" w:cstheme="minorHAnsi"/>
        </w:rPr>
      </w:pPr>
      <w:r w:rsidRPr="00710C30">
        <w:rPr>
          <w:rFonts w:asciiTheme="majorHAnsi" w:hAnsiTheme="majorHAnsi" w:cstheme="minorHAnsi"/>
        </w:rPr>
        <w:t>Signature.................................................   Date......................................</w:t>
      </w:r>
    </w:p>
    <w:p w14:paraId="04AC34B9" w14:textId="77777777" w:rsidR="005E126D" w:rsidRPr="00710C30" w:rsidRDefault="005E126D" w:rsidP="00DE2239">
      <w:pPr>
        <w:pStyle w:val="NoSpacing"/>
        <w:outlineLvl w:val="1"/>
        <w:rPr>
          <w:rFonts w:asciiTheme="minorHAnsi" w:hAnsiTheme="minorHAnsi"/>
        </w:rPr>
      </w:pPr>
      <w:r w:rsidRPr="00710C30">
        <w:rPr>
          <w:rFonts w:asciiTheme="minorHAnsi" w:hAnsiTheme="minorHAnsi" w:cstheme="minorHAnsi"/>
          <w:sz w:val="40"/>
          <w:szCs w:val="40"/>
        </w:rPr>
        <w:br w:type="page"/>
      </w:r>
      <w:bookmarkStart w:id="145" w:name="_Toc121909780"/>
      <w:r w:rsidRPr="00710C30">
        <w:rPr>
          <w:rFonts w:asciiTheme="majorHAnsi" w:hAnsiTheme="majorHAnsi"/>
          <w:b/>
          <w:bCs/>
        </w:rPr>
        <w:lastRenderedPageBreak/>
        <w:t>Purpose and Scope of Statistical Analysis Strategy</w:t>
      </w:r>
      <w:bookmarkEnd w:id="145"/>
    </w:p>
    <w:p w14:paraId="5D6F5660" w14:textId="77777777" w:rsidR="005E126D" w:rsidRPr="00710C30" w:rsidRDefault="005E126D" w:rsidP="005E126D">
      <w:pPr>
        <w:rPr>
          <w:rFonts w:asciiTheme="majorHAnsi" w:hAnsiTheme="majorHAnsi"/>
          <w:b/>
          <w:bCs/>
        </w:rPr>
      </w:pPr>
    </w:p>
    <w:p w14:paraId="1351916C" w14:textId="77777777" w:rsidR="005E126D" w:rsidRPr="00710C30" w:rsidRDefault="005E126D" w:rsidP="005E126D">
      <w:pPr>
        <w:rPr>
          <w:rFonts w:asciiTheme="majorHAnsi" w:hAnsiTheme="majorHAnsi"/>
        </w:rPr>
      </w:pPr>
      <w:r w:rsidRPr="00710C30">
        <w:rPr>
          <w:rFonts w:asciiTheme="majorHAnsi" w:hAnsiTheme="majorHAnsi"/>
        </w:rPr>
        <w:t>This document details the presentation and analysis strategy for the primary papers reporting results from the OUTSMART trial. It is intended that the results reported in these papers will follow the strategy set out herein; subsequent papers of a more exploratory nature will not be bound by this strategy but will be expected to follow the broad principles laid down for the principal paper(s). These principles are not intended to curtail exploratory analysis or to prohibit sensible statistical and reporting practices, but they are intended to establish the strategy that will be followed as closely as possible, when analysing and reporting the trial. Reference was made to the trial protocol (OUTSMART Trial Protocol V1</w:t>
      </w:r>
      <w:r>
        <w:rPr>
          <w:rFonts w:asciiTheme="majorHAnsi" w:hAnsiTheme="majorHAnsi"/>
        </w:rPr>
        <w:t>4</w:t>
      </w:r>
      <w:r w:rsidRPr="00710C30">
        <w:rPr>
          <w:rFonts w:asciiTheme="majorHAnsi" w:hAnsiTheme="majorHAnsi"/>
        </w:rPr>
        <w:t xml:space="preserve"> </w:t>
      </w:r>
      <w:r>
        <w:rPr>
          <w:rFonts w:asciiTheme="majorHAnsi" w:hAnsiTheme="majorHAnsi"/>
        </w:rPr>
        <w:t>08_07_2020</w:t>
      </w:r>
      <w:r w:rsidRPr="00710C30">
        <w:rPr>
          <w:rFonts w:asciiTheme="majorHAnsi" w:hAnsiTheme="majorHAnsi"/>
        </w:rPr>
        <w:t xml:space="preserve">), ICH </w:t>
      </w:r>
      <w:r w:rsidRPr="00710C30">
        <w:rPr>
          <w:rFonts w:asciiTheme="majorHAnsi" w:hAnsiTheme="majorHAnsi"/>
        </w:rPr>
        <w:fldChar w:fldCharType="begin"/>
      </w:r>
      <w:r w:rsidRPr="00710C30">
        <w:rPr>
          <w:rFonts w:asciiTheme="majorHAnsi" w:hAnsiTheme="majorHAnsi"/>
        </w:rPr>
        <w:instrText xml:space="preserve"> ADDIN EN.CITE &lt;EndNote&gt;&lt;Cite&gt;&lt;Author&gt;EMEA&lt;/Author&gt;&lt;Year&gt;1998&lt;/Year&gt;&lt;RecNum&gt;17&lt;/RecNum&gt;&lt;DisplayText&gt;[1]&lt;/DisplayText&gt;&lt;record&gt;&lt;rec-number&gt;17&lt;/rec-number&gt;&lt;foreign-keys&gt;&lt;key app="EN" db-id="vvtsftethz9stmefrwppxwxq5zszw25prsvd"&gt;17&lt;/key&gt;&lt;/foreign-keys&gt;&lt;ref-type name="Report"&gt;27&lt;/ref-type&gt;&lt;contributors&gt;&lt;authors&gt;&lt;author&gt;EMEA&lt;/author&gt;&lt;/authors&gt;&lt;tertiary-authors&gt;&lt;author&gt;EMEA: European Medicines Adency&lt;/author&gt;&lt;/tertiary-authors&gt;&lt;/contributors&gt;&lt;titles&gt;&lt;title&gt;ICH Topic E 9 Statistical Principles for Clinical Trials&lt;/title&gt;&lt;/titles&gt;&lt;dates&gt;&lt;year&gt;1998&lt;/year&gt;&lt;/dates&gt;&lt;urls&gt;&lt;/urls&gt;&lt;/record&gt;&lt;/Cite&gt;&lt;/EndNote&gt;</w:instrText>
      </w:r>
      <w:r w:rsidRPr="00710C30">
        <w:rPr>
          <w:rFonts w:asciiTheme="majorHAnsi" w:hAnsiTheme="majorHAnsi"/>
        </w:rPr>
        <w:fldChar w:fldCharType="separate"/>
      </w:r>
      <w:r w:rsidRPr="00710C30">
        <w:rPr>
          <w:rFonts w:asciiTheme="majorHAnsi" w:hAnsiTheme="majorHAnsi"/>
          <w:noProof/>
        </w:rPr>
        <w:t>[</w:t>
      </w:r>
      <w:hyperlink w:anchor="_ENREF_1" w:tooltip="EMEA, 1998 #17" w:history="1">
        <w:r w:rsidRPr="00710C30">
          <w:rPr>
            <w:rFonts w:asciiTheme="majorHAnsi" w:hAnsiTheme="majorHAnsi"/>
            <w:noProof/>
          </w:rPr>
          <w:t>1</w:t>
        </w:r>
      </w:hyperlink>
      <w:r w:rsidRPr="00710C30">
        <w:rPr>
          <w:rFonts w:asciiTheme="majorHAnsi" w:hAnsiTheme="majorHAnsi"/>
          <w:noProof/>
        </w:rPr>
        <w:t>]</w:t>
      </w:r>
      <w:r w:rsidRPr="00710C30">
        <w:rPr>
          <w:rFonts w:asciiTheme="majorHAnsi" w:hAnsiTheme="majorHAnsi"/>
        </w:rPr>
        <w:fldChar w:fldCharType="end"/>
      </w:r>
      <w:r w:rsidRPr="00710C30">
        <w:rPr>
          <w:rFonts w:asciiTheme="majorHAnsi" w:hAnsiTheme="majorHAnsi"/>
        </w:rPr>
        <w:t xml:space="preserve"> guidelines on Statistical Principles (E9) and CONSORT </w:t>
      </w:r>
      <w:r w:rsidRPr="00710C30">
        <w:rPr>
          <w:rFonts w:asciiTheme="majorHAnsi" w:hAnsiTheme="majorHAnsi"/>
        </w:rPr>
        <w:fldChar w:fldCharType="begin"/>
      </w:r>
      <w:r w:rsidRPr="00710C30">
        <w:rPr>
          <w:rFonts w:asciiTheme="majorHAnsi" w:hAnsiTheme="majorHAnsi"/>
        </w:rPr>
        <w:instrText xml:space="preserve"> ADDIN EN.CITE &lt;EndNote&gt;&lt;Cite&gt;&lt;Author&gt;Moher&lt;/Author&gt;&lt;RecNum&gt;2&lt;/RecNum&gt;&lt;DisplayText&gt;[2]&lt;/DisplayText&gt;&lt;record&gt;&lt;rec-number&gt;2&lt;/rec-number&gt;&lt;foreign-keys&gt;&lt;key app="EN" db-id="fde2st0f3sf29oe0vrk5v9wur9x9f9ee0ssv"&gt;2&lt;/key&gt;&lt;/foreign-keys&gt;&lt;ref-type name="Journal Article"&gt;17&lt;/ref-type&gt;&lt;contributors&gt;&lt;authors&gt;&lt;author&gt;Moher, David&lt;/author&gt;&lt;author&gt;Hopewell, Sally&lt;/author&gt;&lt;author&gt;Schulz, Kenneth F.&lt;/author&gt;&lt;author&gt;Montori, Victor&lt;/author&gt;&lt;author&gt;Gotzsche, Peter C.&lt;/author&gt;&lt;author&gt;Devereaux, P. J.&lt;/author&gt;&lt;author&gt;Elbourne, Diana&lt;/author&gt;&lt;author&gt;Egger, Matthias&lt;/author&gt;&lt;author&gt;Altman, Douglas G.&lt;/author&gt;&lt;author&gt;Consolidated Standards of Reporting Trials, Group&lt;/author&gt;&lt;/authors&gt;&lt;/contributors&gt;&lt;titles&gt;&lt;title&gt;CONSORT 2010 Explanation and Elaboration: Updated guidelines for reporting parallel group randomised trials&lt;/title&gt;&lt;secondary-title&gt;Journal of clinical epidemiology&lt;/secondary-title&gt;&lt;/titles&gt;&lt;pages&gt;e1-37&lt;/pages&gt;&lt;volume&gt;63&lt;/volume&gt;&lt;number&gt;8&lt;/number&gt;&lt;dates&gt;&lt;pub-dates&gt;&lt;date&gt;2010-Aug&lt;/date&gt;&lt;/pub-dates&gt;&lt;/dates&gt;&lt;isbn&gt;1878-5921&lt;/isbn&gt;&lt;accession-num&gt;MEDLINE:20346624&lt;/accession-num&gt;&lt;urls&gt;&lt;related-urls&gt;&lt;url&gt;&amp;lt;Go to ISI&amp;gt;://MEDLINE:20346624&lt;/url&gt;&lt;/related-urls&gt;&lt;/urls&gt;&lt;electronic-resource-num&gt;10.1016/j.jclinepi.2010.03.004&lt;/electronic-resource-num&gt;&lt;/record&gt;&lt;/Cite&gt;&lt;/EndNote&gt;</w:instrText>
      </w:r>
      <w:r w:rsidRPr="00710C30">
        <w:rPr>
          <w:rFonts w:asciiTheme="majorHAnsi" w:hAnsiTheme="majorHAnsi"/>
        </w:rPr>
        <w:fldChar w:fldCharType="separate"/>
      </w:r>
      <w:r w:rsidRPr="00710C30">
        <w:rPr>
          <w:rFonts w:asciiTheme="majorHAnsi" w:hAnsiTheme="majorHAnsi"/>
          <w:noProof/>
        </w:rPr>
        <w:t>[</w:t>
      </w:r>
      <w:hyperlink w:anchor="_ENREF_2" w:tooltip="Moher,  #2" w:history="1">
        <w:r w:rsidRPr="00710C30">
          <w:rPr>
            <w:rFonts w:asciiTheme="majorHAnsi" w:hAnsiTheme="majorHAnsi"/>
            <w:noProof/>
          </w:rPr>
          <w:t>2</w:t>
        </w:r>
      </w:hyperlink>
      <w:r w:rsidRPr="00710C30">
        <w:rPr>
          <w:rFonts w:asciiTheme="majorHAnsi" w:hAnsiTheme="majorHAnsi"/>
          <w:noProof/>
        </w:rPr>
        <w:t>]</w:t>
      </w:r>
      <w:r w:rsidRPr="00710C30">
        <w:rPr>
          <w:rFonts w:asciiTheme="majorHAnsi" w:hAnsiTheme="majorHAnsi"/>
        </w:rPr>
        <w:fldChar w:fldCharType="end"/>
      </w:r>
      <w:r w:rsidRPr="00710C30">
        <w:rPr>
          <w:rFonts w:asciiTheme="majorHAnsi" w:hAnsiTheme="majorHAnsi"/>
        </w:rPr>
        <w:t xml:space="preserve"> guidelines.</w:t>
      </w:r>
    </w:p>
    <w:p w14:paraId="3B4488F8" w14:textId="77777777" w:rsidR="005E126D" w:rsidRPr="00710C30" w:rsidRDefault="005E126D" w:rsidP="005E126D">
      <w:pPr>
        <w:rPr>
          <w:rFonts w:asciiTheme="majorHAnsi" w:hAnsiTheme="majorHAnsi" w:cs="Times"/>
          <w:sz w:val="40"/>
          <w:szCs w:val="40"/>
        </w:rPr>
      </w:pPr>
      <w:r w:rsidRPr="00710C30">
        <w:rPr>
          <w:rFonts w:asciiTheme="majorHAnsi" w:hAnsiTheme="majorHAnsi" w:cs="Times"/>
          <w:sz w:val="40"/>
          <w:szCs w:val="40"/>
        </w:rPr>
        <w:br w:type="page"/>
      </w:r>
    </w:p>
    <w:bookmarkStart w:id="146" w:name="_Toc121909781" w:displacedByCustomXml="next"/>
    <w:sdt>
      <w:sdtPr>
        <w:rPr>
          <w:rFonts w:asciiTheme="minorHAnsi" w:eastAsiaTheme="minorEastAsia" w:hAnsiTheme="minorHAnsi" w:cstheme="minorBidi"/>
          <w:b/>
          <w:bCs/>
          <w:color w:val="auto"/>
          <w:sz w:val="22"/>
          <w:szCs w:val="24"/>
        </w:rPr>
        <w:id w:val="216855143"/>
        <w:docPartObj>
          <w:docPartGallery w:val="Table of Contents"/>
          <w:docPartUnique/>
        </w:docPartObj>
      </w:sdtPr>
      <w:sdtEndPr>
        <w:rPr>
          <w:rFonts w:eastAsiaTheme="minorHAnsi"/>
          <w:b w:val="0"/>
          <w:bCs w:val="0"/>
          <w:noProof/>
          <w:szCs w:val="22"/>
        </w:rPr>
      </w:sdtEndPr>
      <w:sdtContent>
        <w:p w14:paraId="4F47566E" w14:textId="77777777" w:rsidR="005E126D" w:rsidRPr="00710C30" w:rsidRDefault="005E126D" w:rsidP="00DE2239">
          <w:pPr>
            <w:pStyle w:val="TOCHeading"/>
            <w:outlineLvl w:val="1"/>
          </w:pPr>
          <w:r w:rsidRPr="00710C30">
            <w:t>Contents</w:t>
          </w:r>
          <w:bookmarkEnd w:id="146"/>
        </w:p>
        <w:p w14:paraId="7ECB869C" w14:textId="77777777" w:rsidR="005E126D" w:rsidRPr="00710C30" w:rsidRDefault="005E126D" w:rsidP="005E126D">
          <w:pPr>
            <w:pStyle w:val="TOC1"/>
            <w:tabs>
              <w:tab w:val="left" w:pos="480"/>
              <w:tab w:val="right" w:leader="dot" w:pos="8630"/>
            </w:tabs>
            <w:rPr>
              <w:noProof/>
              <w:lang w:eastAsia="en-GB"/>
            </w:rPr>
          </w:pPr>
          <w:r w:rsidRPr="00710C30">
            <w:rPr>
              <w:rFonts w:asciiTheme="majorHAnsi" w:hAnsiTheme="majorHAnsi"/>
            </w:rPr>
            <w:fldChar w:fldCharType="begin"/>
          </w:r>
          <w:r w:rsidRPr="00710C30">
            <w:rPr>
              <w:rFonts w:asciiTheme="majorHAnsi" w:hAnsiTheme="majorHAnsi"/>
            </w:rPr>
            <w:instrText xml:space="preserve"> TOC \o "1-3" \h \z \u </w:instrText>
          </w:r>
          <w:r w:rsidRPr="00710C30">
            <w:rPr>
              <w:rFonts w:asciiTheme="majorHAnsi" w:hAnsiTheme="majorHAnsi"/>
            </w:rPr>
            <w:fldChar w:fldCharType="separate"/>
          </w:r>
          <w:hyperlink w:anchor="_Toc531176976" w:history="1">
            <w:r w:rsidRPr="00710C30">
              <w:rPr>
                <w:rStyle w:val="Hyperlink"/>
                <w:noProof/>
              </w:rPr>
              <w:t>1</w:t>
            </w:r>
            <w:r w:rsidRPr="00710C30">
              <w:rPr>
                <w:noProof/>
                <w:lang w:eastAsia="en-GB"/>
              </w:rPr>
              <w:tab/>
            </w:r>
            <w:r w:rsidRPr="00710C30">
              <w:rPr>
                <w:rStyle w:val="Hyperlink"/>
                <w:noProof/>
              </w:rPr>
              <w:t>Description of the trial</w:t>
            </w:r>
            <w:r w:rsidRPr="00710C30">
              <w:rPr>
                <w:noProof/>
                <w:webHidden/>
              </w:rPr>
              <w:tab/>
            </w:r>
            <w:r w:rsidRPr="00710C30">
              <w:rPr>
                <w:noProof/>
                <w:webHidden/>
              </w:rPr>
              <w:fldChar w:fldCharType="begin"/>
            </w:r>
            <w:r w:rsidRPr="00710C30">
              <w:rPr>
                <w:noProof/>
                <w:webHidden/>
              </w:rPr>
              <w:instrText xml:space="preserve"> PAGEREF _Toc531176976 \h </w:instrText>
            </w:r>
            <w:r w:rsidRPr="00710C30">
              <w:rPr>
                <w:noProof/>
                <w:webHidden/>
              </w:rPr>
            </w:r>
            <w:r w:rsidRPr="00710C30">
              <w:rPr>
                <w:noProof/>
                <w:webHidden/>
              </w:rPr>
              <w:fldChar w:fldCharType="separate"/>
            </w:r>
            <w:r w:rsidRPr="00710C30">
              <w:rPr>
                <w:noProof/>
                <w:webHidden/>
              </w:rPr>
              <w:t>5</w:t>
            </w:r>
            <w:r w:rsidRPr="00710C30">
              <w:rPr>
                <w:noProof/>
                <w:webHidden/>
              </w:rPr>
              <w:fldChar w:fldCharType="end"/>
            </w:r>
          </w:hyperlink>
        </w:p>
        <w:p w14:paraId="60F807E7" w14:textId="77777777" w:rsidR="005E126D" w:rsidRPr="00710C30" w:rsidRDefault="00000000" w:rsidP="005E126D">
          <w:pPr>
            <w:pStyle w:val="TOC2"/>
            <w:tabs>
              <w:tab w:val="left" w:pos="880"/>
              <w:tab w:val="right" w:leader="dot" w:pos="8630"/>
            </w:tabs>
            <w:rPr>
              <w:noProof/>
              <w:lang w:eastAsia="en-GB"/>
            </w:rPr>
          </w:pPr>
          <w:hyperlink w:anchor="_Toc531176977" w:history="1">
            <w:r w:rsidR="005E126D" w:rsidRPr="00710C30">
              <w:rPr>
                <w:rStyle w:val="Hyperlink"/>
                <w:noProof/>
              </w:rPr>
              <w:t>1.1</w:t>
            </w:r>
            <w:r w:rsidR="005E126D" w:rsidRPr="00710C30">
              <w:rPr>
                <w:noProof/>
                <w:lang w:eastAsia="en-GB"/>
              </w:rPr>
              <w:tab/>
            </w:r>
            <w:r w:rsidR="005E126D" w:rsidRPr="00710C30">
              <w:rPr>
                <w:rStyle w:val="Hyperlink"/>
                <w:noProof/>
              </w:rPr>
              <w:t>Principal research objectives to be addressed</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_Toc531176977 \h </w:instrText>
            </w:r>
            <w:r w:rsidR="005E126D" w:rsidRPr="00710C30">
              <w:rPr>
                <w:noProof/>
                <w:webHidden/>
              </w:rPr>
            </w:r>
            <w:r w:rsidR="005E126D" w:rsidRPr="00710C30">
              <w:rPr>
                <w:noProof/>
                <w:webHidden/>
              </w:rPr>
              <w:fldChar w:fldCharType="separate"/>
            </w:r>
            <w:r w:rsidR="005E126D" w:rsidRPr="00710C30">
              <w:rPr>
                <w:noProof/>
                <w:webHidden/>
              </w:rPr>
              <w:t>5</w:t>
            </w:r>
            <w:r w:rsidR="005E126D" w:rsidRPr="00710C30">
              <w:rPr>
                <w:noProof/>
                <w:webHidden/>
              </w:rPr>
              <w:fldChar w:fldCharType="end"/>
            </w:r>
          </w:hyperlink>
        </w:p>
        <w:p w14:paraId="2654253A" w14:textId="77777777" w:rsidR="005E126D" w:rsidRPr="00710C30" w:rsidRDefault="00000000" w:rsidP="005E126D">
          <w:pPr>
            <w:pStyle w:val="TOC2"/>
            <w:tabs>
              <w:tab w:val="left" w:pos="880"/>
              <w:tab w:val="right" w:leader="dot" w:pos="8630"/>
            </w:tabs>
            <w:rPr>
              <w:noProof/>
              <w:lang w:eastAsia="en-GB"/>
            </w:rPr>
          </w:pPr>
          <w:hyperlink w:anchor="_Toc531176978" w:history="1">
            <w:r w:rsidR="005E126D" w:rsidRPr="00710C30">
              <w:rPr>
                <w:rStyle w:val="Hyperlink"/>
                <w:noProof/>
              </w:rPr>
              <w:t>1.2</w:t>
            </w:r>
            <w:r w:rsidR="005E126D" w:rsidRPr="00710C30">
              <w:rPr>
                <w:noProof/>
                <w:lang w:eastAsia="en-GB"/>
              </w:rPr>
              <w:tab/>
            </w:r>
            <w:r w:rsidR="005E126D" w:rsidRPr="00710C30">
              <w:rPr>
                <w:rStyle w:val="Hyperlink"/>
                <w:noProof/>
              </w:rPr>
              <w:t>Trial design including blinding</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_Toc531176978 \h </w:instrText>
            </w:r>
            <w:r w:rsidR="005E126D" w:rsidRPr="00710C30">
              <w:rPr>
                <w:noProof/>
                <w:webHidden/>
              </w:rPr>
            </w:r>
            <w:r w:rsidR="005E126D" w:rsidRPr="00710C30">
              <w:rPr>
                <w:noProof/>
                <w:webHidden/>
              </w:rPr>
              <w:fldChar w:fldCharType="separate"/>
            </w:r>
            <w:r w:rsidR="005E126D" w:rsidRPr="00710C30">
              <w:rPr>
                <w:noProof/>
                <w:webHidden/>
              </w:rPr>
              <w:t>5</w:t>
            </w:r>
            <w:r w:rsidR="005E126D" w:rsidRPr="00710C30">
              <w:rPr>
                <w:noProof/>
                <w:webHidden/>
              </w:rPr>
              <w:fldChar w:fldCharType="end"/>
            </w:r>
          </w:hyperlink>
        </w:p>
        <w:p w14:paraId="0524E2AA" w14:textId="77777777" w:rsidR="005E126D" w:rsidRPr="00710C30" w:rsidRDefault="00000000" w:rsidP="005E126D">
          <w:pPr>
            <w:pStyle w:val="TOC2"/>
            <w:tabs>
              <w:tab w:val="left" w:pos="880"/>
              <w:tab w:val="right" w:leader="dot" w:pos="8630"/>
            </w:tabs>
            <w:rPr>
              <w:noProof/>
              <w:lang w:eastAsia="en-GB"/>
            </w:rPr>
          </w:pPr>
          <w:hyperlink w:anchor="_Toc531176979" w:history="1">
            <w:r w:rsidR="005E126D" w:rsidRPr="00710C30">
              <w:rPr>
                <w:rStyle w:val="Hyperlink"/>
                <w:noProof/>
              </w:rPr>
              <w:t>1.3</w:t>
            </w:r>
            <w:r w:rsidR="005E126D" w:rsidRPr="00710C30">
              <w:rPr>
                <w:noProof/>
                <w:lang w:eastAsia="en-GB"/>
              </w:rPr>
              <w:tab/>
            </w:r>
            <w:r w:rsidR="005E126D" w:rsidRPr="00710C30">
              <w:rPr>
                <w:rStyle w:val="Hyperlink"/>
                <w:noProof/>
              </w:rPr>
              <w:t>Method of allocation of groups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_Toc531176979 \h </w:instrText>
            </w:r>
            <w:r w:rsidR="005E126D" w:rsidRPr="00710C30">
              <w:rPr>
                <w:noProof/>
                <w:webHidden/>
              </w:rPr>
            </w:r>
            <w:r w:rsidR="005E126D" w:rsidRPr="00710C30">
              <w:rPr>
                <w:noProof/>
                <w:webHidden/>
              </w:rPr>
              <w:fldChar w:fldCharType="separate"/>
            </w:r>
            <w:r w:rsidR="005E126D" w:rsidRPr="00710C30">
              <w:rPr>
                <w:noProof/>
                <w:webHidden/>
              </w:rPr>
              <w:t>7</w:t>
            </w:r>
            <w:r w:rsidR="005E126D" w:rsidRPr="00710C30">
              <w:rPr>
                <w:noProof/>
                <w:webHidden/>
              </w:rPr>
              <w:fldChar w:fldCharType="end"/>
            </w:r>
          </w:hyperlink>
        </w:p>
        <w:p w14:paraId="731836E5" w14:textId="77777777" w:rsidR="005E126D" w:rsidRPr="00710C30" w:rsidRDefault="00000000" w:rsidP="005E126D">
          <w:pPr>
            <w:pStyle w:val="TOC2"/>
            <w:tabs>
              <w:tab w:val="left" w:pos="880"/>
              <w:tab w:val="right" w:leader="dot" w:pos="8630"/>
            </w:tabs>
            <w:rPr>
              <w:noProof/>
              <w:lang w:eastAsia="en-GB"/>
            </w:rPr>
          </w:pPr>
          <w:hyperlink w:anchor="_Toc531176980" w:history="1">
            <w:r w:rsidR="005E126D" w:rsidRPr="00710C30">
              <w:rPr>
                <w:rStyle w:val="Hyperlink"/>
                <w:noProof/>
              </w:rPr>
              <w:t>1.4</w:t>
            </w:r>
            <w:r w:rsidR="005E126D" w:rsidRPr="00710C30">
              <w:rPr>
                <w:noProof/>
                <w:lang w:eastAsia="en-GB"/>
              </w:rPr>
              <w:tab/>
            </w:r>
            <w:r w:rsidR="005E126D" w:rsidRPr="00710C30">
              <w:rPr>
                <w:rStyle w:val="Hyperlink"/>
                <w:noProof/>
              </w:rPr>
              <w:t>Duration of the treatment period</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_Toc531176980 \h </w:instrText>
            </w:r>
            <w:r w:rsidR="005E126D" w:rsidRPr="00710C30">
              <w:rPr>
                <w:noProof/>
                <w:webHidden/>
              </w:rPr>
            </w:r>
            <w:r w:rsidR="005E126D" w:rsidRPr="00710C30">
              <w:rPr>
                <w:noProof/>
                <w:webHidden/>
              </w:rPr>
              <w:fldChar w:fldCharType="separate"/>
            </w:r>
            <w:r w:rsidR="005E126D" w:rsidRPr="00710C30">
              <w:rPr>
                <w:noProof/>
                <w:webHidden/>
              </w:rPr>
              <w:t>8</w:t>
            </w:r>
            <w:r w:rsidR="005E126D" w:rsidRPr="00710C30">
              <w:rPr>
                <w:noProof/>
                <w:webHidden/>
              </w:rPr>
              <w:fldChar w:fldCharType="end"/>
            </w:r>
          </w:hyperlink>
        </w:p>
        <w:p w14:paraId="02FEF6AA" w14:textId="77777777" w:rsidR="005E126D" w:rsidRPr="00710C30" w:rsidRDefault="00000000" w:rsidP="005E126D">
          <w:pPr>
            <w:pStyle w:val="TOC2"/>
            <w:tabs>
              <w:tab w:val="left" w:pos="880"/>
              <w:tab w:val="right" w:leader="dot" w:pos="8630"/>
            </w:tabs>
            <w:rPr>
              <w:noProof/>
              <w:lang w:eastAsia="en-GB"/>
            </w:rPr>
          </w:pPr>
          <w:hyperlink w:anchor="_Toc531176981" w:history="1">
            <w:r w:rsidR="005E126D" w:rsidRPr="00710C30">
              <w:rPr>
                <w:rStyle w:val="Hyperlink"/>
                <w:noProof/>
              </w:rPr>
              <w:t>1.5</w:t>
            </w:r>
            <w:r w:rsidR="005E126D" w:rsidRPr="00710C30">
              <w:rPr>
                <w:noProof/>
                <w:lang w:eastAsia="en-GB"/>
              </w:rPr>
              <w:tab/>
            </w:r>
            <w:r w:rsidR="005E126D" w:rsidRPr="00710C30">
              <w:rPr>
                <w:rStyle w:val="Hyperlink"/>
                <w:noProof/>
              </w:rPr>
              <w:t>Frequency and duration of follow-up</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_Toc531176981 \h </w:instrText>
            </w:r>
            <w:r w:rsidR="005E126D" w:rsidRPr="00710C30">
              <w:rPr>
                <w:noProof/>
                <w:webHidden/>
              </w:rPr>
            </w:r>
            <w:r w:rsidR="005E126D" w:rsidRPr="00710C30">
              <w:rPr>
                <w:noProof/>
                <w:webHidden/>
              </w:rPr>
              <w:fldChar w:fldCharType="separate"/>
            </w:r>
            <w:r w:rsidR="005E126D" w:rsidRPr="00710C30">
              <w:rPr>
                <w:noProof/>
                <w:webHidden/>
              </w:rPr>
              <w:t>8</w:t>
            </w:r>
            <w:r w:rsidR="005E126D" w:rsidRPr="00710C30">
              <w:rPr>
                <w:noProof/>
                <w:webHidden/>
              </w:rPr>
              <w:fldChar w:fldCharType="end"/>
            </w:r>
          </w:hyperlink>
        </w:p>
        <w:p w14:paraId="0A499AD2" w14:textId="77777777" w:rsidR="005E126D" w:rsidRPr="00710C30" w:rsidRDefault="00000000" w:rsidP="005E126D">
          <w:pPr>
            <w:pStyle w:val="TOC2"/>
            <w:tabs>
              <w:tab w:val="left" w:pos="880"/>
              <w:tab w:val="right" w:leader="dot" w:pos="8630"/>
            </w:tabs>
            <w:rPr>
              <w:noProof/>
              <w:lang w:eastAsia="en-GB"/>
            </w:rPr>
          </w:pPr>
          <w:hyperlink w:anchor="_Toc531176982" w:history="1">
            <w:r w:rsidR="005E126D" w:rsidRPr="00710C30">
              <w:rPr>
                <w:rStyle w:val="Hyperlink"/>
                <w:noProof/>
              </w:rPr>
              <w:t>1.6</w:t>
            </w:r>
            <w:r w:rsidR="005E126D" w:rsidRPr="00710C30">
              <w:rPr>
                <w:noProof/>
                <w:lang w:eastAsia="en-GB"/>
              </w:rPr>
              <w:tab/>
            </w:r>
            <w:r w:rsidR="005E126D" w:rsidRPr="00710C30">
              <w:rPr>
                <w:rStyle w:val="Hyperlink"/>
                <w:noProof/>
              </w:rPr>
              <w:t>Data collection</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_Toc531176982 \h </w:instrText>
            </w:r>
            <w:r w:rsidR="005E126D" w:rsidRPr="00710C30">
              <w:rPr>
                <w:noProof/>
                <w:webHidden/>
              </w:rPr>
            </w:r>
            <w:r w:rsidR="005E126D" w:rsidRPr="00710C30">
              <w:rPr>
                <w:noProof/>
                <w:webHidden/>
              </w:rPr>
              <w:fldChar w:fldCharType="separate"/>
            </w:r>
            <w:r w:rsidR="005E126D" w:rsidRPr="00710C30">
              <w:rPr>
                <w:noProof/>
                <w:webHidden/>
              </w:rPr>
              <w:t>9</w:t>
            </w:r>
            <w:r w:rsidR="005E126D" w:rsidRPr="00710C30">
              <w:rPr>
                <w:noProof/>
                <w:webHidden/>
              </w:rPr>
              <w:fldChar w:fldCharType="end"/>
            </w:r>
          </w:hyperlink>
        </w:p>
        <w:p w14:paraId="44C53392" w14:textId="77777777" w:rsidR="005E126D" w:rsidRPr="00710C30" w:rsidRDefault="00000000" w:rsidP="005E126D">
          <w:pPr>
            <w:pStyle w:val="TOC2"/>
            <w:tabs>
              <w:tab w:val="left" w:pos="880"/>
              <w:tab w:val="right" w:leader="dot" w:pos="8630"/>
            </w:tabs>
            <w:rPr>
              <w:noProof/>
              <w:lang w:eastAsia="en-GB"/>
            </w:rPr>
          </w:pPr>
          <w:hyperlink w:anchor="_Toc531176983" w:history="1">
            <w:r w:rsidR="005E126D" w:rsidRPr="00710C30">
              <w:rPr>
                <w:rStyle w:val="Hyperlink"/>
                <w:noProof/>
              </w:rPr>
              <w:t>1.7</w:t>
            </w:r>
            <w:r w:rsidR="005E126D" w:rsidRPr="00710C30">
              <w:rPr>
                <w:noProof/>
                <w:lang w:eastAsia="en-GB"/>
              </w:rPr>
              <w:tab/>
            </w:r>
            <w:r w:rsidR="005E126D" w:rsidRPr="00710C30">
              <w:rPr>
                <w:rStyle w:val="Hyperlink"/>
                <w:noProof/>
              </w:rPr>
              <w:t>Sample size estimation (including clinical significance)</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_Toc531176983 \h </w:instrText>
            </w:r>
            <w:r w:rsidR="005E126D" w:rsidRPr="00710C30">
              <w:rPr>
                <w:noProof/>
                <w:webHidden/>
              </w:rPr>
            </w:r>
            <w:r w:rsidR="005E126D" w:rsidRPr="00710C30">
              <w:rPr>
                <w:noProof/>
                <w:webHidden/>
              </w:rPr>
              <w:fldChar w:fldCharType="separate"/>
            </w:r>
            <w:r w:rsidR="005E126D" w:rsidRPr="00710C30">
              <w:rPr>
                <w:noProof/>
                <w:webHidden/>
              </w:rPr>
              <w:t>12</w:t>
            </w:r>
            <w:r w:rsidR="005E126D" w:rsidRPr="00710C30">
              <w:rPr>
                <w:noProof/>
                <w:webHidden/>
              </w:rPr>
              <w:fldChar w:fldCharType="end"/>
            </w:r>
          </w:hyperlink>
        </w:p>
        <w:p w14:paraId="5C584B3C" w14:textId="77777777" w:rsidR="005E126D" w:rsidRPr="00710C30" w:rsidRDefault="00000000" w:rsidP="005E126D">
          <w:pPr>
            <w:pStyle w:val="TOC2"/>
            <w:tabs>
              <w:tab w:val="left" w:pos="880"/>
              <w:tab w:val="right" w:leader="dot" w:pos="8630"/>
            </w:tabs>
            <w:rPr>
              <w:noProof/>
              <w:lang w:eastAsia="en-GB"/>
            </w:rPr>
          </w:pPr>
          <w:hyperlink w:anchor="_Toc531176984" w:history="1">
            <w:r w:rsidR="005E126D" w:rsidRPr="00710C30">
              <w:rPr>
                <w:rStyle w:val="Hyperlink"/>
                <w:noProof/>
              </w:rPr>
              <w:t>1.8</w:t>
            </w:r>
            <w:r w:rsidR="005E126D" w:rsidRPr="00710C30">
              <w:rPr>
                <w:noProof/>
                <w:lang w:eastAsia="en-GB"/>
              </w:rPr>
              <w:tab/>
            </w:r>
            <w:r w:rsidR="005E126D" w:rsidRPr="00710C30">
              <w:rPr>
                <w:rStyle w:val="Hyperlink"/>
                <w:noProof/>
              </w:rPr>
              <w:t>Brief description of proposed analyses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_Toc531176984 \h </w:instrText>
            </w:r>
            <w:r w:rsidR="005E126D" w:rsidRPr="00710C30">
              <w:rPr>
                <w:noProof/>
                <w:webHidden/>
              </w:rPr>
            </w:r>
            <w:r w:rsidR="005E126D" w:rsidRPr="00710C30">
              <w:rPr>
                <w:noProof/>
                <w:webHidden/>
              </w:rPr>
              <w:fldChar w:fldCharType="separate"/>
            </w:r>
            <w:r w:rsidR="005E126D" w:rsidRPr="00710C30">
              <w:rPr>
                <w:noProof/>
                <w:webHidden/>
              </w:rPr>
              <w:t>13</w:t>
            </w:r>
            <w:r w:rsidR="005E126D" w:rsidRPr="00710C30">
              <w:rPr>
                <w:noProof/>
                <w:webHidden/>
              </w:rPr>
              <w:fldChar w:fldCharType="end"/>
            </w:r>
          </w:hyperlink>
        </w:p>
        <w:p w14:paraId="424B1A3C" w14:textId="77777777" w:rsidR="005E126D" w:rsidRPr="00710C30" w:rsidRDefault="00000000" w:rsidP="005E126D">
          <w:pPr>
            <w:pStyle w:val="TOC1"/>
            <w:tabs>
              <w:tab w:val="left" w:pos="480"/>
              <w:tab w:val="right" w:leader="dot" w:pos="8630"/>
            </w:tabs>
            <w:rPr>
              <w:noProof/>
              <w:lang w:eastAsia="en-GB"/>
            </w:rPr>
          </w:pPr>
          <w:hyperlink w:anchor="_Toc531176985" w:history="1">
            <w:r w:rsidR="005E126D" w:rsidRPr="00710C30">
              <w:rPr>
                <w:rStyle w:val="Hyperlink"/>
                <w:noProof/>
              </w:rPr>
              <w:t>2</w:t>
            </w:r>
            <w:r w:rsidR="005E126D" w:rsidRPr="00710C30">
              <w:rPr>
                <w:noProof/>
                <w:lang w:eastAsia="en-GB"/>
              </w:rPr>
              <w:tab/>
            </w:r>
            <w:r w:rsidR="005E126D" w:rsidRPr="00710C30">
              <w:rPr>
                <w:rStyle w:val="Hyperlink"/>
                <w:noProof/>
              </w:rPr>
              <w:t>Data analysis plan – Data description</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_Toc531176985 \h </w:instrText>
            </w:r>
            <w:r w:rsidR="005E126D" w:rsidRPr="00710C30">
              <w:rPr>
                <w:noProof/>
                <w:webHidden/>
              </w:rPr>
            </w:r>
            <w:r w:rsidR="005E126D" w:rsidRPr="00710C30">
              <w:rPr>
                <w:noProof/>
                <w:webHidden/>
              </w:rPr>
              <w:fldChar w:fldCharType="separate"/>
            </w:r>
            <w:r w:rsidR="005E126D" w:rsidRPr="00710C30">
              <w:rPr>
                <w:noProof/>
                <w:webHidden/>
              </w:rPr>
              <w:t>14</w:t>
            </w:r>
            <w:r w:rsidR="005E126D" w:rsidRPr="00710C30">
              <w:rPr>
                <w:noProof/>
                <w:webHidden/>
              </w:rPr>
              <w:fldChar w:fldCharType="end"/>
            </w:r>
          </w:hyperlink>
        </w:p>
        <w:p w14:paraId="563A36AE" w14:textId="77777777" w:rsidR="005E126D" w:rsidRPr="00710C30" w:rsidRDefault="00000000" w:rsidP="005E126D">
          <w:pPr>
            <w:pStyle w:val="TOC2"/>
            <w:tabs>
              <w:tab w:val="left" w:pos="880"/>
              <w:tab w:val="right" w:leader="dot" w:pos="8630"/>
            </w:tabs>
            <w:rPr>
              <w:noProof/>
              <w:lang w:eastAsia="en-GB"/>
            </w:rPr>
          </w:pPr>
          <w:hyperlink w:anchor="_Toc531176986" w:history="1">
            <w:r w:rsidR="005E126D" w:rsidRPr="00710C30">
              <w:rPr>
                <w:rStyle w:val="Hyperlink"/>
                <w:noProof/>
              </w:rPr>
              <w:t>2.1</w:t>
            </w:r>
            <w:r w:rsidR="005E126D" w:rsidRPr="00710C30">
              <w:rPr>
                <w:noProof/>
                <w:lang w:eastAsia="en-GB"/>
              </w:rPr>
              <w:tab/>
            </w:r>
            <w:r w:rsidR="005E126D" w:rsidRPr="00710C30">
              <w:rPr>
                <w:rStyle w:val="Hyperlink"/>
                <w:noProof/>
              </w:rPr>
              <w:t>Descriptives by HLA status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_Toc531176986 \h </w:instrText>
            </w:r>
            <w:r w:rsidR="005E126D" w:rsidRPr="00710C30">
              <w:rPr>
                <w:noProof/>
                <w:webHidden/>
              </w:rPr>
            </w:r>
            <w:r w:rsidR="005E126D" w:rsidRPr="00710C30">
              <w:rPr>
                <w:noProof/>
                <w:webHidden/>
              </w:rPr>
              <w:fldChar w:fldCharType="separate"/>
            </w:r>
            <w:r w:rsidR="005E126D" w:rsidRPr="00710C30">
              <w:rPr>
                <w:noProof/>
                <w:webHidden/>
              </w:rPr>
              <w:t>14</w:t>
            </w:r>
            <w:r w:rsidR="005E126D" w:rsidRPr="00710C30">
              <w:rPr>
                <w:noProof/>
                <w:webHidden/>
              </w:rPr>
              <w:fldChar w:fldCharType="end"/>
            </w:r>
          </w:hyperlink>
        </w:p>
        <w:p w14:paraId="1250849C" w14:textId="77777777" w:rsidR="005E126D" w:rsidRPr="00710C30" w:rsidRDefault="00000000" w:rsidP="005E126D">
          <w:pPr>
            <w:pStyle w:val="TOC2"/>
            <w:tabs>
              <w:tab w:val="left" w:pos="880"/>
              <w:tab w:val="right" w:leader="dot" w:pos="8630"/>
            </w:tabs>
            <w:rPr>
              <w:noProof/>
              <w:lang w:eastAsia="en-GB"/>
            </w:rPr>
          </w:pPr>
          <w:hyperlink w:anchor="_Toc531176987" w:history="1">
            <w:r w:rsidR="005E126D" w:rsidRPr="00710C30">
              <w:rPr>
                <w:rStyle w:val="Hyperlink"/>
                <w:noProof/>
              </w:rPr>
              <w:t>2.2</w:t>
            </w:r>
            <w:r w:rsidR="005E126D" w:rsidRPr="00710C30">
              <w:rPr>
                <w:noProof/>
                <w:lang w:eastAsia="en-GB"/>
              </w:rPr>
              <w:tab/>
            </w:r>
            <w:r w:rsidR="005E126D" w:rsidRPr="00710C30">
              <w:rPr>
                <w:rStyle w:val="Hyperlink"/>
                <w:noProof/>
              </w:rPr>
              <w:t>Recruitment and representativeness of recruited patients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_Toc531176987 \h </w:instrText>
            </w:r>
            <w:r w:rsidR="005E126D" w:rsidRPr="00710C30">
              <w:rPr>
                <w:noProof/>
                <w:webHidden/>
              </w:rPr>
            </w:r>
            <w:r w:rsidR="005E126D" w:rsidRPr="00710C30">
              <w:rPr>
                <w:noProof/>
                <w:webHidden/>
              </w:rPr>
              <w:fldChar w:fldCharType="separate"/>
            </w:r>
            <w:r w:rsidR="005E126D" w:rsidRPr="00710C30">
              <w:rPr>
                <w:noProof/>
                <w:webHidden/>
              </w:rPr>
              <w:t>14</w:t>
            </w:r>
            <w:r w:rsidR="005E126D" w:rsidRPr="00710C30">
              <w:rPr>
                <w:noProof/>
                <w:webHidden/>
              </w:rPr>
              <w:fldChar w:fldCharType="end"/>
            </w:r>
          </w:hyperlink>
        </w:p>
        <w:p w14:paraId="35FC0E84" w14:textId="77777777" w:rsidR="005E126D" w:rsidRPr="00710C30" w:rsidRDefault="00000000" w:rsidP="005E126D">
          <w:pPr>
            <w:pStyle w:val="TOC2"/>
            <w:tabs>
              <w:tab w:val="left" w:pos="880"/>
              <w:tab w:val="right" w:leader="dot" w:pos="8630"/>
            </w:tabs>
            <w:rPr>
              <w:noProof/>
              <w:lang w:eastAsia="en-GB"/>
            </w:rPr>
          </w:pPr>
          <w:hyperlink w:anchor="_Toc531176988" w:history="1">
            <w:r w:rsidR="005E126D" w:rsidRPr="00710C30">
              <w:rPr>
                <w:rStyle w:val="Hyperlink"/>
                <w:noProof/>
              </w:rPr>
              <w:t>2.3</w:t>
            </w:r>
            <w:r w:rsidR="005E126D" w:rsidRPr="00710C30">
              <w:rPr>
                <w:noProof/>
                <w:lang w:eastAsia="en-GB"/>
              </w:rPr>
              <w:tab/>
            </w:r>
            <w:r w:rsidR="005E126D" w:rsidRPr="00710C30">
              <w:rPr>
                <w:rStyle w:val="Hyperlink"/>
                <w:noProof/>
              </w:rPr>
              <w:t>Baseline comparability of randomised groups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_Toc531176988 \h </w:instrText>
            </w:r>
            <w:r w:rsidR="005E126D" w:rsidRPr="00710C30">
              <w:rPr>
                <w:noProof/>
                <w:webHidden/>
              </w:rPr>
            </w:r>
            <w:r w:rsidR="005E126D" w:rsidRPr="00710C30">
              <w:rPr>
                <w:noProof/>
                <w:webHidden/>
              </w:rPr>
              <w:fldChar w:fldCharType="separate"/>
            </w:r>
            <w:r w:rsidR="005E126D" w:rsidRPr="00710C30">
              <w:rPr>
                <w:noProof/>
                <w:webHidden/>
              </w:rPr>
              <w:t>15</w:t>
            </w:r>
            <w:r w:rsidR="005E126D" w:rsidRPr="00710C30">
              <w:rPr>
                <w:noProof/>
                <w:webHidden/>
              </w:rPr>
              <w:fldChar w:fldCharType="end"/>
            </w:r>
          </w:hyperlink>
        </w:p>
        <w:p w14:paraId="21C5C07C" w14:textId="77777777" w:rsidR="005E126D" w:rsidRPr="00710C30" w:rsidRDefault="00000000" w:rsidP="005E126D">
          <w:pPr>
            <w:pStyle w:val="TOC2"/>
            <w:tabs>
              <w:tab w:val="left" w:pos="880"/>
              <w:tab w:val="right" w:leader="dot" w:pos="8630"/>
            </w:tabs>
            <w:rPr>
              <w:noProof/>
              <w:lang w:eastAsia="en-GB"/>
            </w:rPr>
          </w:pPr>
          <w:hyperlink w:anchor="_Toc531176989" w:history="1">
            <w:r w:rsidR="005E126D" w:rsidRPr="00710C30">
              <w:rPr>
                <w:rStyle w:val="Hyperlink"/>
                <w:noProof/>
              </w:rPr>
              <w:t>2.4</w:t>
            </w:r>
            <w:r w:rsidR="005E126D" w:rsidRPr="00710C30">
              <w:rPr>
                <w:noProof/>
                <w:lang w:eastAsia="en-GB"/>
              </w:rPr>
              <w:tab/>
            </w:r>
            <w:r w:rsidR="005E126D" w:rsidRPr="00710C30">
              <w:rPr>
                <w:rStyle w:val="Hyperlink"/>
                <w:noProof/>
              </w:rPr>
              <w:t>Adherence to allocated treatment and treatment fidelity</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_Toc531176989 \h </w:instrText>
            </w:r>
            <w:r w:rsidR="005E126D" w:rsidRPr="00710C30">
              <w:rPr>
                <w:noProof/>
                <w:webHidden/>
              </w:rPr>
            </w:r>
            <w:r w:rsidR="005E126D" w:rsidRPr="00710C30">
              <w:rPr>
                <w:noProof/>
                <w:webHidden/>
              </w:rPr>
              <w:fldChar w:fldCharType="separate"/>
            </w:r>
            <w:r w:rsidR="005E126D" w:rsidRPr="00710C30">
              <w:rPr>
                <w:noProof/>
                <w:webHidden/>
              </w:rPr>
              <w:t>15</w:t>
            </w:r>
            <w:r w:rsidR="005E126D" w:rsidRPr="00710C30">
              <w:rPr>
                <w:noProof/>
                <w:webHidden/>
              </w:rPr>
              <w:fldChar w:fldCharType="end"/>
            </w:r>
          </w:hyperlink>
        </w:p>
        <w:p w14:paraId="3A76296B" w14:textId="77777777" w:rsidR="005E126D" w:rsidRPr="00710C30" w:rsidRDefault="00000000" w:rsidP="005E126D">
          <w:pPr>
            <w:pStyle w:val="TOC2"/>
            <w:tabs>
              <w:tab w:val="left" w:pos="880"/>
              <w:tab w:val="right" w:leader="dot" w:pos="8630"/>
            </w:tabs>
            <w:rPr>
              <w:noProof/>
              <w:lang w:eastAsia="en-GB"/>
            </w:rPr>
          </w:pPr>
          <w:hyperlink w:anchor="_Toc531176990" w:history="1">
            <w:r w:rsidR="005E126D" w:rsidRPr="00710C30">
              <w:rPr>
                <w:rStyle w:val="Hyperlink"/>
                <w:noProof/>
              </w:rPr>
              <w:t>2.5</w:t>
            </w:r>
            <w:r w:rsidR="005E126D" w:rsidRPr="00710C30">
              <w:rPr>
                <w:noProof/>
                <w:lang w:eastAsia="en-GB"/>
              </w:rPr>
              <w:tab/>
            </w:r>
            <w:r w:rsidR="005E126D" w:rsidRPr="00710C30">
              <w:rPr>
                <w:rStyle w:val="Hyperlink"/>
                <w:noProof/>
              </w:rPr>
              <w:t>Loss to follow-up and other missing data</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_Toc531176990 \h </w:instrText>
            </w:r>
            <w:r w:rsidR="005E126D" w:rsidRPr="00710C30">
              <w:rPr>
                <w:noProof/>
                <w:webHidden/>
              </w:rPr>
            </w:r>
            <w:r w:rsidR="005E126D" w:rsidRPr="00710C30">
              <w:rPr>
                <w:noProof/>
                <w:webHidden/>
              </w:rPr>
              <w:fldChar w:fldCharType="separate"/>
            </w:r>
            <w:r w:rsidR="005E126D" w:rsidRPr="00710C30">
              <w:rPr>
                <w:noProof/>
                <w:webHidden/>
              </w:rPr>
              <w:t>16</w:t>
            </w:r>
            <w:r w:rsidR="005E126D" w:rsidRPr="00710C30">
              <w:rPr>
                <w:noProof/>
                <w:webHidden/>
              </w:rPr>
              <w:fldChar w:fldCharType="end"/>
            </w:r>
          </w:hyperlink>
        </w:p>
        <w:p w14:paraId="621FB593" w14:textId="77777777" w:rsidR="005E126D" w:rsidRPr="00710C30" w:rsidRDefault="00000000" w:rsidP="005E126D">
          <w:pPr>
            <w:pStyle w:val="TOC2"/>
            <w:tabs>
              <w:tab w:val="left" w:pos="880"/>
              <w:tab w:val="right" w:leader="dot" w:pos="8630"/>
            </w:tabs>
            <w:rPr>
              <w:noProof/>
              <w:lang w:eastAsia="en-GB"/>
            </w:rPr>
          </w:pPr>
          <w:hyperlink w:anchor="_Toc531176991" w:history="1">
            <w:r w:rsidR="005E126D" w:rsidRPr="00710C30">
              <w:rPr>
                <w:rStyle w:val="Hyperlink"/>
                <w:noProof/>
              </w:rPr>
              <w:t>2.6</w:t>
            </w:r>
            <w:r w:rsidR="005E126D" w:rsidRPr="00710C30">
              <w:rPr>
                <w:noProof/>
                <w:lang w:eastAsia="en-GB"/>
              </w:rPr>
              <w:tab/>
            </w:r>
            <w:r w:rsidR="005E126D" w:rsidRPr="00710C30">
              <w:rPr>
                <w:rStyle w:val="Hyperlink"/>
                <w:noProof/>
              </w:rPr>
              <w:t>Adverse event reporting</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_Toc531176991 \h </w:instrText>
            </w:r>
            <w:r w:rsidR="005E126D" w:rsidRPr="00710C30">
              <w:rPr>
                <w:noProof/>
                <w:webHidden/>
              </w:rPr>
            </w:r>
            <w:r w:rsidR="005E126D" w:rsidRPr="00710C30">
              <w:rPr>
                <w:noProof/>
                <w:webHidden/>
              </w:rPr>
              <w:fldChar w:fldCharType="separate"/>
            </w:r>
            <w:r w:rsidR="005E126D" w:rsidRPr="00710C30">
              <w:rPr>
                <w:noProof/>
                <w:webHidden/>
              </w:rPr>
              <w:t>16</w:t>
            </w:r>
            <w:r w:rsidR="005E126D" w:rsidRPr="00710C30">
              <w:rPr>
                <w:noProof/>
                <w:webHidden/>
              </w:rPr>
              <w:fldChar w:fldCharType="end"/>
            </w:r>
          </w:hyperlink>
        </w:p>
        <w:p w14:paraId="7585C215" w14:textId="77777777" w:rsidR="005E126D" w:rsidRPr="00710C30" w:rsidRDefault="00000000" w:rsidP="005E126D">
          <w:pPr>
            <w:pStyle w:val="TOC2"/>
            <w:tabs>
              <w:tab w:val="left" w:pos="880"/>
              <w:tab w:val="right" w:leader="dot" w:pos="8630"/>
            </w:tabs>
            <w:rPr>
              <w:noProof/>
              <w:lang w:eastAsia="en-GB"/>
            </w:rPr>
          </w:pPr>
          <w:hyperlink w:anchor="_Toc531176992" w:history="1">
            <w:r w:rsidR="005E126D" w:rsidRPr="00710C30">
              <w:rPr>
                <w:rStyle w:val="Hyperlink"/>
                <w:noProof/>
              </w:rPr>
              <w:t>2.7</w:t>
            </w:r>
            <w:r w:rsidR="005E126D" w:rsidRPr="00710C30">
              <w:rPr>
                <w:noProof/>
                <w:lang w:eastAsia="en-GB"/>
              </w:rPr>
              <w:tab/>
            </w:r>
            <w:r w:rsidR="005E126D" w:rsidRPr="00710C30">
              <w:rPr>
                <w:rStyle w:val="Hyperlink"/>
                <w:noProof/>
              </w:rPr>
              <w:t>Assessment of outcome measures (unblinding)</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_Toc531176992 \h </w:instrText>
            </w:r>
            <w:r w:rsidR="005E126D" w:rsidRPr="00710C30">
              <w:rPr>
                <w:noProof/>
                <w:webHidden/>
              </w:rPr>
            </w:r>
            <w:r w:rsidR="005E126D" w:rsidRPr="00710C30">
              <w:rPr>
                <w:noProof/>
                <w:webHidden/>
              </w:rPr>
              <w:fldChar w:fldCharType="separate"/>
            </w:r>
            <w:r w:rsidR="005E126D" w:rsidRPr="00710C30">
              <w:rPr>
                <w:noProof/>
                <w:webHidden/>
              </w:rPr>
              <w:t>16</w:t>
            </w:r>
            <w:r w:rsidR="005E126D" w:rsidRPr="00710C30">
              <w:rPr>
                <w:noProof/>
                <w:webHidden/>
              </w:rPr>
              <w:fldChar w:fldCharType="end"/>
            </w:r>
          </w:hyperlink>
        </w:p>
        <w:p w14:paraId="27739F3C" w14:textId="77777777" w:rsidR="005E126D" w:rsidRPr="00710C30" w:rsidRDefault="00000000" w:rsidP="005E126D">
          <w:pPr>
            <w:pStyle w:val="TOC2"/>
            <w:tabs>
              <w:tab w:val="left" w:pos="880"/>
              <w:tab w:val="right" w:leader="dot" w:pos="8630"/>
            </w:tabs>
            <w:rPr>
              <w:noProof/>
              <w:lang w:eastAsia="en-GB"/>
            </w:rPr>
          </w:pPr>
          <w:hyperlink w:anchor="_Toc531176993" w:history="1">
            <w:r w:rsidR="005E126D" w:rsidRPr="00710C30">
              <w:rPr>
                <w:rStyle w:val="Hyperlink"/>
                <w:noProof/>
              </w:rPr>
              <w:t>2.8</w:t>
            </w:r>
            <w:r w:rsidR="005E126D" w:rsidRPr="00710C30">
              <w:rPr>
                <w:noProof/>
                <w:lang w:eastAsia="en-GB"/>
              </w:rPr>
              <w:tab/>
            </w:r>
            <w:r w:rsidR="005E126D" w:rsidRPr="00710C30">
              <w:rPr>
                <w:rStyle w:val="Hyperlink"/>
                <w:noProof/>
              </w:rPr>
              <w:t>Descriptive statistics for outcome measures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_Toc531176993 \h </w:instrText>
            </w:r>
            <w:r w:rsidR="005E126D" w:rsidRPr="00710C30">
              <w:rPr>
                <w:noProof/>
                <w:webHidden/>
              </w:rPr>
            </w:r>
            <w:r w:rsidR="005E126D" w:rsidRPr="00710C30">
              <w:rPr>
                <w:noProof/>
                <w:webHidden/>
              </w:rPr>
              <w:fldChar w:fldCharType="separate"/>
            </w:r>
            <w:r w:rsidR="005E126D" w:rsidRPr="00710C30">
              <w:rPr>
                <w:noProof/>
                <w:webHidden/>
              </w:rPr>
              <w:t>16</w:t>
            </w:r>
            <w:r w:rsidR="005E126D" w:rsidRPr="00710C30">
              <w:rPr>
                <w:noProof/>
                <w:webHidden/>
              </w:rPr>
              <w:fldChar w:fldCharType="end"/>
            </w:r>
          </w:hyperlink>
        </w:p>
        <w:p w14:paraId="19B0812A" w14:textId="77777777" w:rsidR="005E126D" w:rsidRPr="00710C30" w:rsidRDefault="00000000" w:rsidP="005E126D">
          <w:pPr>
            <w:pStyle w:val="TOC2"/>
            <w:tabs>
              <w:tab w:val="left" w:pos="880"/>
              <w:tab w:val="right" w:leader="dot" w:pos="8630"/>
            </w:tabs>
            <w:rPr>
              <w:noProof/>
              <w:lang w:eastAsia="en-GB"/>
            </w:rPr>
          </w:pPr>
          <w:hyperlink w:anchor="_Toc531176994" w:history="1">
            <w:r w:rsidR="005E126D" w:rsidRPr="00710C30">
              <w:rPr>
                <w:rStyle w:val="Hyperlink"/>
                <w:noProof/>
              </w:rPr>
              <w:t>2.9</w:t>
            </w:r>
            <w:r w:rsidR="005E126D" w:rsidRPr="00710C30">
              <w:rPr>
                <w:noProof/>
                <w:lang w:eastAsia="en-GB"/>
              </w:rPr>
              <w:tab/>
            </w:r>
            <w:r w:rsidR="005E126D" w:rsidRPr="00710C30">
              <w:rPr>
                <w:rStyle w:val="Hyperlink"/>
                <w:noProof/>
              </w:rPr>
              <w:t>Description of therapists/therapies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_Toc531176994 \h </w:instrText>
            </w:r>
            <w:r w:rsidR="005E126D" w:rsidRPr="00710C30">
              <w:rPr>
                <w:noProof/>
                <w:webHidden/>
              </w:rPr>
            </w:r>
            <w:r w:rsidR="005E126D" w:rsidRPr="00710C30">
              <w:rPr>
                <w:noProof/>
                <w:webHidden/>
              </w:rPr>
              <w:fldChar w:fldCharType="separate"/>
            </w:r>
            <w:r w:rsidR="005E126D" w:rsidRPr="00710C30">
              <w:rPr>
                <w:noProof/>
                <w:webHidden/>
              </w:rPr>
              <w:t>16</w:t>
            </w:r>
            <w:r w:rsidR="005E126D" w:rsidRPr="00710C30">
              <w:rPr>
                <w:noProof/>
                <w:webHidden/>
              </w:rPr>
              <w:fldChar w:fldCharType="end"/>
            </w:r>
          </w:hyperlink>
        </w:p>
        <w:p w14:paraId="2357DCDC" w14:textId="77777777" w:rsidR="005E126D" w:rsidRPr="00710C30" w:rsidRDefault="00000000" w:rsidP="005E126D">
          <w:pPr>
            <w:pStyle w:val="TOC1"/>
            <w:tabs>
              <w:tab w:val="left" w:pos="480"/>
              <w:tab w:val="right" w:leader="dot" w:pos="8630"/>
            </w:tabs>
            <w:rPr>
              <w:noProof/>
              <w:lang w:eastAsia="en-GB"/>
            </w:rPr>
          </w:pPr>
          <w:hyperlink w:anchor="_Toc531176995" w:history="1">
            <w:r w:rsidR="005E126D" w:rsidRPr="00710C30">
              <w:rPr>
                <w:rStyle w:val="Hyperlink"/>
                <w:noProof/>
              </w:rPr>
              <w:t>3</w:t>
            </w:r>
            <w:r w:rsidR="005E126D" w:rsidRPr="00710C30">
              <w:rPr>
                <w:noProof/>
                <w:lang w:eastAsia="en-GB"/>
              </w:rPr>
              <w:tab/>
            </w:r>
            <w:r w:rsidR="005E126D" w:rsidRPr="00710C30">
              <w:rPr>
                <w:rStyle w:val="Hyperlink"/>
                <w:noProof/>
              </w:rPr>
              <w:t>Data analysis plan – Inferential analysis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_Toc531176995 \h </w:instrText>
            </w:r>
            <w:r w:rsidR="005E126D" w:rsidRPr="00710C30">
              <w:rPr>
                <w:noProof/>
                <w:webHidden/>
              </w:rPr>
            </w:r>
            <w:r w:rsidR="005E126D" w:rsidRPr="00710C30">
              <w:rPr>
                <w:noProof/>
                <w:webHidden/>
              </w:rPr>
              <w:fldChar w:fldCharType="separate"/>
            </w:r>
            <w:r w:rsidR="005E126D" w:rsidRPr="00710C30">
              <w:rPr>
                <w:noProof/>
                <w:webHidden/>
              </w:rPr>
              <w:t>16</w:t>
            </w:r>
            <w:r w:rsidR="005E126D" w:rsidRPr="00710C30">
              <w:rPr>
                <w:noProof/>
                <w:webHidden/>
              </w:rPr>
              <w:fldChar w:fldCharType="end"/>
            </w:r>
          </w:hyperlink>
        </w:p>
        <w:p w14:paraId="7CC0AB07" w14:textId="77777777" w:rsidR="005E126D" w:rsidRPr="00710C30" w:rsidRDefault="00000000" w:rsidP="005E126D">
          <w:pPr>
            <w:pStyle w:val="TOC2"/>
            <w:tabs>
              <w:tab w:val="left" w:pos="880"/>
              <w:tab w:val="right" w:leader="dot" w:pos="8630"/>
            </w:tabs>
            <w:rPr>
              <w:noProof/>
              <w:lang w:eastAsia="en-GB"/>
            </w:rPr>
          </w:pPr>
          <w:hyperlink w:anchor="_Toc531176996" w:history="1">
            <w:r w:rsidR="005E126D" w:rsidRPr="00710C30">
              <w:rPr>
                <w:rStyle w:val="Hyperlink"/>
                <w:noProof/>
              </w:rPr>
              <w:t>3.1</w:t>
            </w:r>
            <w:r w:rsidR="005E126D" w:rsidRPr="00710C30">
              <w:rPr>
                <w:noProof/>
                <w:lang w:eastAsia="en-GB"/>
              </w:rPr>
              <w:tab/>
            </w:r>
            <w:r w:rsidR="005E126D" w:rsidRPr="00710C30">
              <w:rPr>
                <w:rStyle w:val="Hyperlink"/>
                <w:noProof/>
              </w:rPr>
              <w:t>Main analysis of treatment differences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_Toc531176996 \h </w:instrText>
            </w:r>
            <w:r w:rsidR="005E126D" w:rsidRPr="00710C30">
              <w:rPr>
                <w:noProof/>
                <w:webHidden/>
              </w:rPr>
            </w:r>
            <w:r w:rsidR="005E126D" w:rsidRPr="00710C30">
              <w:rPr>
                <w:noProof/>
                <w:webHidden/>
              </w:rPr>
              <w:fldChar w:fldCharType="separate"/>
            </w:r>
            <w:r w:rsidR="005E126D" w:rsidRPr="00710C30">
              <w:rPr>
                <w:noProof/>
                <w:webHidden/>
              </w:rPr>
              <w:t>16</w:t>
            </w:r>
            <w:r w:rsidR="005E126D" w:rsidRPr="00710C30">
              <w:rPr>
                <w:noProof/>
                <w:webHidden/>
              </w:rPr>
              <w:fldChar w:fldCharType="end"/>
            </w:r>
          </w:hyperlink>
        </w:p>
        <w:p w14:paraId="066E13D9" w14:textId="77777777" w:rsidR="005E126D" w:rsidRPr="00710C30" w:rsidRDefault="00000000" w:rsidP="00F80D1E">
          <w:pPr>
            <w:pStyle w:val="TOC3"/>
            <w:rPr>
              <w:noProof/>
              <w:lang w:eastAsia="en-GB"/>
            </w:rPr>
          </w:pPr>
          <w:hyperlink w:anchor="_Toc531176997" w:history="1">
            <w:r w:rsidR="005E126D" w:rsidRPr="00710C30">
              <w:rPr>
                <w:rStyle w:val="Hyperlink"/>
                <w:noProof/>
              </w:rPr>
              <w:t>3.1.1</w:t>
            </w:r>
            <w:r w:rsidR="005E126D" w:rsidRPr="00710C30">
              <w:rPr>
                <w:noProof/>
                <w:lang w:eastAsia="en-GB"/>
              </w:rPr>
              <w:tab/>
            </w:r>
            <w:r w:rsidR="005E126D" w:rsidRPr="00710C30">
              <w:rPr>
                <w:rStyle w:val="Hyperlink"/>
                <w:noProof/>
              </w:rPr>
              <w:t>Analysis of primary outcomes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_Toc531176997 \h </w:instrText>
            </w:r>
            <w:r w:rsidR="005E126D" w:rsidRPr="00710C30">
              <w:rPr>
                <w:noProof/>
                <w:webHidden/>
              </w:rPr>
            </w:r>
            <w:r w:rsidR="005E126D" w:rsidRPr="00710C30">
              <w:rPr>
                <w:noProof/>
                <w:webHidden/>
              </w:rPr>
              <w:fldChar w:fldCharType="separate"/>
            </w:r>
            <w:r w:rsidR="005E126D" w:rsidRPr="00710C30">
              <w:rPr>
                <w:noProof/>
                <w:webHidden/>
              </w:rPr>
              <w:t>16</w:t>
            </w:r>
            <w:r w:rsidR="005E126D" w:rsidRPr="00710C30">
              <w:rPr>
                <w:noProof/>
                <w:webHidden/>
              </w:rPr>
              <w:fldChar w:fldCharType="end"/>
            </w:r>
          </w:hyperlink>
        </w:p>
        <w:p w14:paraId="47FC1950" w14:textId="77777777" w:rsidR="005E126D" w:rsidRPr="00710C30" w:rsidRDefault="00000000" w:rsidP="00F80D1E">
          <w:pPr>
            <w:pStyle w:val="TOC3"/>
            <w:rPr>
              <w:noProof/>
              <w:lang w:eastAsia="en-GB"/>
            </w:rPr>
          </w:pPr>
          <w:hyperlink w:anchor="_Toc531176998" w:history="1">
            <w:r w:rsidR="005E126D" w:rsidRPr="00710C30">
              <w:rPr>
                <w:rStyle w:val="Hyperlink"/>
                <w:noProof/>
              </w:rPr>
              <w:t>3.1.2</w:t>
            </w:r>
            <w:r w:rsidR="005E126D" w:rsidRPr="00710C30">
              <w:rPr>
                <w:noProof/>
                <w:lang w:eastAsia="en-GB"/>
              </w:rPr>
              <w:tab/>
            </w:r>
            <w:r w:rsidR="005E126D" w:rsidRPr="00710C30">
              <w:rPr>
                <w:rStyle w:val="Hyperlink"/>
                <w:noProof/>
              </w:rPr>
              <w:t>Analysis of secondary outcomes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_Toc531176998 \h </w:instrText>
            </w:r>
            <w:r w:rsidR="005E126D" w:rsidRPr="00710C30">
              <w:rPr>
                <w:noProof/>
                <w:webHidden/>
              </w:rPr>
            </w:r>
            <w:r w:rsidR="005E126D" w:rsidRPr="00710C30">
              <w:rPr>
                <w:noProof/>
                <w:webHidden/>
              </w:rPr>
              <w:fldChar w:fldCharType="separate"/>
            </w:r>
            <w:r w:rsidR="005E126D" w:rsidRPr="00710C30">
              <w:rPr>
                <w:noProof/>
                <w:webHidden/>
              </w:rPr>
              <w:t>17</w:t>
            </w:r>
            <w:r w:rsidR="005E126D" w:rsidRPr="00710C30">
              <w:rPr>
                <w:noProof/>
                <w:webHidden/>
              </w:rPr>
              <w:fldChar w:fldCharType="end"/>
            </w:r>
          </w:hyperlink>
        </w:p>
        <w:p w14:paraId="2D63F5B8" w14:textId="77777777" w:rsidR="005E126D" w:rsidRPr="00710C30" w:rsidRDefault="00000000" w:rsidP="00F80D1E">
          <w:pPr>
            <w:pStyle w:val="TOC3"/>
            <w:rPr>
              <w:noProof/>
              <w:lang w:eastAsia="en-GB"/>
            </w:rPr>
          </w:pPr>
          <w:hyperlink w:anchor="_Toc531176999" w:history="1">
            <w:r w:rsidR="005E126D" w:rsidRPr="00710C30">
              <w:rPr>
                <w:rStyle w:val="Hyperlink"/>
                <w:noProof/>
              </w:rPr>
              <w:t>3.1.3</w:t>
            </w:r>
            <w:r w:rsidR="005E126D" w:rsidRPr="00710C30">
              <w:rPr>
                <w:noProof/>
                <w:lang w:eastAsia="en-GB"/>
              </w:rPr>
              <w:tab/>
            </w:r>
            <w:r w:rsidR="005E126D" w:rsidRPr="00710C30">
              <w:rPr>
                <w:rStyle w:val="Hyperlink"/>
                <w:noProof/>
              </w:rPr>
              <w:t>Statistical considerations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_Toc531176999 \h </w:instrText>
            </w:r>
            <w:r w:rsidR="005E126D" w:rsidRPr="00710C30">
              <w:rPr>
                <w:noProof/>
                <w:webHidden/>
              </w:rPr>
            </w:r>
            <w:r w:rsidR="005E126D" w:rsidRPr="00710C30">
              <w:rPr>
                <w:noProof/>
                <w:webHidden/>
              </w:rPr>
              <w:fldChar w:fldCharType="separate"/>
            </w:r>
            <w:r w:rsidR="005E126D" w:rsidRPr="00710C30">
              <w:rPr>
                <w:noProof/>
                <w:webHidden/>
              </w:rPr>
              <w:t>17</w:t>
            </w:r>
            <w:r w:rsidR="005E126D" w:rsidRPr="00710C30">
              <w:rPr>
                <w:noProof/>
                <w:webHidden/>
              </w:rPr>
              <w:fldChar w:fldCharType="end"/>
            </w:r>
          </w:hyperlink>
        </w:p>
        <w:p w14:paraId="6ED65DA5" w14:textId="77777777" w:rsidR="005E126D" w:rsidRPr="00710C30" w:rsidRDefault="00000000" w:rsidP="00F80D1E">
          <w:pPr>
            <w:pStyle w:val="TOC3"/>
            <w:rPr>
              <w:noProof/>
              <w:lang w:eastAsia="en-GB"/>
            </w:rPr>
          </w:pPr>
          <w:hyperlink w:anchor="_Toc531177000" w:history="1">
            <w:r w:rsidR="005E126D" w:rsidRPr="00710C30">
              <w:rPr>
                <w:rStyle w:val="Hyperlink"/>
                <w:noProof/>
              </w:rPr>
              <w:t>3.1.4</w:t>
            </w:r>
            <w:r w:rsidR="005E126D" w:rsidRPr="00710C30">
              <w:rPr>
                <w:noProof/>
                <w:lang w:eastAsia="en-GB"/>
              </w:rPr>
              <w:tab/>
            </w:r>
            <w:r w:rsidR="005E126D" w:rsidRPr="00710C30">
              <w:rPr>
                <w:rStyle w:val="Hyperlink"/>
                <w:noProof/>
              </w:rPr>
              <w:t>Sensitivity analyses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_Toc531177000 \h </w:instrText>
            </w:r>
            <w:r w:rsidR="005E126D" w:rsidRPr="00710C30">
              <w:rPr>
                <w:noProof/>
                <w:webHidden/>
              </w:rPr>
            </w:r>
            <w:r w:rsidR="005E126D" w:rsidRPr="00710C30">
              <w:rPr>
                <w:noProof/>
                <w:webHidden/>
              </w:rPr>
              <w:fldChar w:fldCharType="separate"/>
            </w:r>
            <w:r w:rsidR="005E126D" w:rsidRPr="00710C30">
              <w:rPr>
                <w:noProof/>
                <w:webHidden/>
              </w:rPr>
              <w:t>18</w:t>
            </w:r>
            <w:r w:rsidR="005E126D" w:rsidRPr="00710C30">
              <w:rPr>
                <w:noProof/>
                <w:webHidden/>
              </w:rPr>
              <w:fldChar w:fldCharType="end"/>
            </w:r>
          </w:hyperlink>
        </w:p>
        <w:p w14:paraId="30D37FEC" w14:textId="77777777" w:rsidR="005E126D" w:rsidRPr="00710C30" w:rsidRDefault="00000000" w:rsidP="00F80D1E">
          <w:pPr>
            <w:pStyle w:val="TOC3"/>
            <w:rPr>
              <w:noProof/>
              <w:lang w:eastAsia="en-GB"/>
            </w:rPr>
          </w:pPr>
          <w:hyperlink w:anchor="_Toc531177001" w:history="1">
            <w:r w:rsidR="005E126D" w:rsidRPr="00710C30">
              <w:rPr>
                <w:rStyle w:val="Hyperlink"/>
                <w:noProof/>
              </w:rPr>
              <w:t>3.1.5</w:t>
            </w:r>
            <w:r w:rsidR="005E126D" w:rsidRPr="00710C30">
              <w:rPr>
                <w:noProof/>
                <w:lang w:eastAsia="en-GB"/>
              </w:rPr>
              <w:tab/>
            </w:r>
            <w:r w:rsidR="005E126D" w:rsidRPr="00710C30">
              <w:rPr>
                <w:rStyle w:val="Hyperlink"/>
                <w:noProof/>
              </w:rPr>
              <w:t>Planned subgroup analyses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_Toc531177001 \h </w:instrText>
            </w:r>
            <w:r w:rsidR="005E126D" w:rsidRPr="00710C30">
              <w:rPr>
                <w:noProof/>
                <w:webHidden/>
              </w:rPr>
            </w:r>
            <w:r w:rsidR="005E126D" w:rsidRPr="00710C30">
              <w:rPr>
                <w:noProof/>
                <w:webHidden/>
              </w:rPr>
              <w:fldChar w:fldCharType="separate"/>
            </w:r>
            <w:r w:rsidR="005E126D" w:rsidRPr="00710C30">
              <w:rPr>
                <w:noProof/>
                <w:webHidden/>
              </w:rPr>
              <w:t>18</w:t>
            </w:r>
            <w:r w:rsidR="005E126D" w:rsidRPr="00710C30">
              <w:rPr>
                <w:noProof/>
                <w:webHidden/>
              </w:rPr>
              <w:fldChar w:fldCharType="end"/>
            </w:r>
          </w:hyperlink>
        </w:p>
        <w:p w14:paraId="3CDF59AD" w14:textId="77777777" w:rsidR="005E126D" w:rsidRPr="00710C30" w:rsidRDefault="00000000" w:rsidP="005E126D">
          <w:pPr>
            <w:pStyle w:val="TOC2"/>
            <w:tabs>
              <w:tab w:val="left" w:pos="880"/>
              <w:tab w:val="right" w:leader="dot" w:pos="8630"/>
            </w:tabs>
            <w:rPr>
              <w:noProof/>
              <w:lang w:eastAsia="en-GB"/>
            </w:rPr>
          </w:pPr>
          <w:hyperlink w:anchor="_Toc531177002" w:history="1">
            <w:r w:rsidR="005E126D" w:rsidRPr="00710C30">
              <w:rPr>
                <w:rStyle w:val="Hyperlink"/>
                <w:noProof/>
              </w:rPr>
              <w:t>3.2</w:t>
            </w:r>
            <w:r w:rsidR="005E126D" w:rsidRPr="00710C30">
              <w:rPr>
                <w:noProof/>
                <w:lang w:eastAsia="en-GB"/>
              </w:rPr>
              <w:tab/>
            </w:r>
            <w:r w:rsidR="005E126D" w:rsidRPr="00710C30">
              <w:rPr>
                <w:rStyle w:val="Hyperlink"/>
                <w:noProof/>
              </w:rPr>
              <w:t>Exploratory analyses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_Toc531177002 \h </w:instrText>
            </w:r>
            <w:r w:rsidR="005E126D" w:rsidRPr="00710C30">
              <w:rPr>
                <w:noProof/>
                <w:webHidden/>
              </w:rPr>
            </w:r>
            <w:r w:rsidR="005E126D" w:rsidRPr="00710C30">
              <w:rPr>
                <w:noProof/>
                <w:webHidden/>
              </w:rPr>
              <w:fldChar w:fldCharType="separate"/>
            </w:r>
            <w:r w:rsidR="005E126D" w:rsidRPr="00710C30">
              <w:rPr>
                <w:noProof/>
                <w:webHidden/>
              </w:rPr>
              <w:t>18</w:t>
            </w:r>
            <w:r w:rsidR="005E126D" w:rsidRPr="00710C30">
              <w:rPr>
                <w:noProof/>
                <w:webHidden/>
              </w:rPr>
              <w:fldChar w:fldCharType="end"/>
            </w:r>
          </w:hyperlink>
        </w:p>
        <w:p w14:paraId="5F800CA0" w14:textId="77777777" w:rsidR="005E126D" w:rsidRPr="00710C30" w:rsidRDefault="00000000" w:rsidP="005E126D">
          <w:pPr>
            <w:pStyle w:val="TOC2"/>
            <w:tabs>
              <w:tab w:val="left" w:pos="880"/>
              <w:tab w:val="right" w:leader="dot" w:pos="8630"/>
            </w:tabs>
            <w:rPr>
              <w:noProof/>
              <w:lang w:eastAsia="en-GB"/>
            </w:rPr>
          </w:pPr>
          <w:hyperlink w:anchor="_Toc531177003" w:history="1">
            <w:r w:rsidR="005E126D" w:rsidRPr="00710C30">
              <w:rPr>
                <w:rStyle w:val="Hyperlink"/>
                <w:noProof/>
              </w:rPr>
              <w:t>3.3</w:t>
            </w:r>
            <w:r w:rsidR="005E126D" w:rsidRPr="00710C30">
              <w:rPr>
                <w:noProof/>
                <w:lang w:eastAsia="en-GB"/>
              </w:rPr>
              <w:tab/>
            </w:r>
            <w:r w:rsidR="005E126D" w:rsidRPr="00710C30">
              <w:rPr>
                <w:rStyle w:val="Hyperlink"/>
                <w:noProof/>
              </w:rPr>
              <w:t>Exploratory mediator and moderator analysis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_Toc531177003 \h </w:instrText>
            </w:r>
            <w:r w:rsidR="005E126D" w:rsidRPr="00710C30">
              <w:rPr>
                <w:noProof/>
                <w:webHidden/>
              </w:rPr>
            </w:r>
            <w:r w:rsidR="005E126D" w:rsidRPr="00710C30">
              <w:rPr>
                <w:noProof/>
                <w:webHidden/>
              </w:rPr>
              <w:fldChar w:fldCharType="separate"/>
            </w:r>
            <w:r w:rsidR="005E126D" w:rsidRPr="00710C30">
              <w:rPr>
                <w:noProof/>
                <w:webHidden/>
              </w:rPr>
              <w:t>18</w:t>
            </w:r>
            <w:r w:rsidR="005E126D" w:rsidRPr="00710C30">
              <w:rPr>
                <w:noProof/>
                <w:webHidden/>
              </w:rPr>
              <w:fldChar w:fldCharType="end"/>
            </w:r>
          </w:hyperlink>
        </w:p>
        <w:p w14:paraId="4E713A9A" w14:textId="77777777" w:rsidR="005E126D" w:rsidRPr="00710C30" w:rsidRDefault="00000000" w:rsidP="005E126D">
          <w:pPr>
            <w:pStyle w:val="TOC2"/>
            <w:tabs>
              <w:tab w:val="left" w:pos="880"/>
              <w:tab w:val="right" w:leader="dot" w:pos="8630"/>
            </w:tabs>
            <w:rPr>
              <w:noProof/>
              <w:lang w:eastAsia="en-GB"/>
            </w:rPr>
          </w:pPr>
          <w:hyperlink w:anchor="_Toc531177004" w:history="1">
            <w:r w:rsidR="005E126D" w:rsidRPr="00710C30">
              <w:rPr>
                <w:rStyle w:val="Hyperlink"/>
                <w:noProof/>
              </w:rPr>
              <w:t>3.4</w:t>
            </w:r>
            <w:r w:rsidR="005E126D" w:rsidRPr="00710C30">
              <w:rPr>
                <w:noProof/>
                <w:lang w:eastAsia="en-GB"/>
              </w:rPr>
              <w:tab/>
            </w:r>
            <w:r w:rsidR="005E126D" w:rsidRPr="00710C30">
              <w:rPr>
                <w:rStyle w:val="Hyperlink"/>
                <w:noProof/>
              </w:rPr>
              <w:t>Interim analysis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_Toc531177004 \h </w:instrText>
            </w:r>
            <w:r w:rsidR="005E126D" w:rsidRPr="00710C30">
              <w:rPr>
                <w:noProof/>
                <w:webHidden/>
              </w:rPr>
            </w:r>
            <w:r w:rsidR="005E126D" w:rsidRPr="00710C30">
              <w:rPr>
                <w:noProof/>
                <w:webHidden/>
              </w:rPr>
              <w:fldChar w:fldCharType="separate"/>
            </w:r>
            <w:r w:rsidR="005E126D" w:rsidRPr="00710C30">
              <w:rPr>
                <w:noProof/>
                <w:webHidden/>
              </w:rPr>
              <w:t>18</w:t>
            </w:r>
            <w:r w:rsidR="005E126D" w:rsidRPr="00710C30">
              <w:rPr>
                <w:noProof/>
                <w:webHidden/>
              </w:rPr>
              <w:fldChar w:fldCharType="end"/>
            </w:r>
          </w:hyperlink>
        </w:p>
        <w:p w14:paraId="68E21609" w14:textId="77777777" w:rsidR="005E126D" w:rsidRPr="00710C30" w:rsidRDefault="00000000" w:rsidP="005E126D">
          <w:pPr>
            <w:pStyle w:val="TOC1"/>
            <w:tabs>
              <w:tab w:val="left" w:pos="480"/>
              <w:tab w:val="right" w:leader="dot" w:pos="8630"/>
            </w:tabs>
            <w:rPr>
              <w:noProof/>
              <w:lang w:eastAsia="en-GB"/>
            </w:rPr>
          </w:pPr>
          <w:hyperlink w:anchor="_Toc531177005" w:history="1">
            <w:r w:rsidR="005E126D" w:rsidRPr="00710C30">
              <w:rPr>
                <w:rStyle w:val="Hyperlink"/>
                <w:noProof/>
              </w:rPr>
              <w:t>4</w:t>
            </w:r>
            <w:r w:rsidR="005E126D" w:rsidRPr="00710C30">
              <w:rPr>
                <w:noProof/>
                <w:lang w:eastAsia="en-GB"/>
              </w:rPr>
              <w:tab/>
            </w:r>
            <w:r w:rsidR="005E126D" w:rsidRPr="00710C30">
              <w:rPr>
                <w:rStyle w:val="Hyperlink"/>
                <w:noProof/>
              </w:rPr>
              <w:t>Software</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_Toc531177005 \h </w:instrText>
            </w:r>
            <w:r w:rsidR="005E126D" w:rsidRPr="00710C30">
              <w:rPr>
                <w:noProof/>
                <w:webHidden/>
              </w:rPr>
            </w:r>
            <w:r w:rsidR="005E126D" w:rsidRPr="00710C30">
              <w:rPr>
                <w:noProof/>
                <w:webHidden/>
              </w:rPr>
              <w:fldChar w:fldCharType="separate"/>
            </w:r>
            <w:r w:rsidR="005E126D" w:rsidRPr="00710C30">
              <w:rPr>
                <w:noProof/>
                <w:webHidden/>
              </w:rPr>
              <w:t>18</w:t>
            </w:r>
            <w:r w:rsidR="005E126D" w:rsidRPr="00710C30">
              <w:rPr>
                <w:noProof/>
                <w:webHidden/>
              </w:rPr>
              <w:fldChar w:fldCharType="end"/>
            </w:r>
          </w:hyperlink>
        </w:p>
        <w:p w14:paraId="44744D48" w14:textId="77777777" w:rsidR="005E126D" w:rsidRPr="00710C30" w:rsidRDefault="00000000" w:rsidP="005E126D">
          <w:pPr>
            <w:pStyle w:val="TOC1"/>
            <w:tabs>
              <w:tab w:val="right" w:leader="dot" w:pos="8630"/>
            </w:tabs>
            <w:rPr>
              <w:noProof/>
              <w:lang w:eastAsia="en-GB"/>
            </w:rPr>
          </w:pPr>
          <w:hyperlink w:anchor="_Toc531177006" w:history="1">
            <w:r w:rsidR="005E126D" w:rsidRPr="00710C30">
              <w:rPr>
                <w:rStyle w:val="Hyperlink"/>
                <w:noProof/>
              </w:rPr>
              <w:t>B) ECONOMIC ANALYSIS AND ADHERENCE/RISK ASSESSMENT PLANS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_Toc531177006 \h </w:instrText>
            </w:r>
            <w:r w:rsidR="005E126D" w:rsidRPr="00710C30">
              <w:rPr>
                <w:noProof/>
                <w:webHidden/>
              </w:rPr>
            </w:r>
            <w:r w:rsidR="005E126D" w:rsidRPr="00710C30">
              <w:rPr>
                <w:noProof/>
                <w:webHidden/>
              </w:rPr>
              <w:fldChar w:fldCharType="separate"/>
            </w:r>
            <w:r w:rsidR="005E126D" w:rsidRPr="00710C30">
              <w:rPr>
                <w:noProof/>
                <w:webHidden/>
              </w:rPr>
              <w:t>19</w:t>
            </w:r>
            <w:r w:rsidR="005E126D" w:rsidRPr="00710C30">
              <w:rPr>
                <w:noProof/>
                <w:webHidden/>
              </w:rPr>
              <w:fldChar w:fldCharType="end"/>
            </w:r>
          </w:hyperlink>
        </w:p>
        <w:p w14:paraId="3CC5A038" w14:textId="77777777" w:rsidR="005E126D" w:rsidRPr="00710C30" w:rsidRDefault="00000000" w:rsidP="005E126D">
          <w:pPr>
            <w:pStyle w:val="TOC1"/>
            <w:tabs>
              <w:tab w:val="right" w:leader="dot" w:pos="8630"/>
            </w:tabs>
            <w:rPr>
              <w:noProof/>
              <w:lang w:eastAsia="en-GB"/>
            </w:rPr>
          </w:pPr>
          <w:hyperlink w:anchor="_Toc531177007" w:history="1">
            <w:r w:rsidR="005E126D" w:rsidRPr="00710C30">
              <w:rPr>
                <w:rStyle w:val="Hyperlink"/>
                <w:noProof/>
              </w:rPr>
              <w:t>C) SCHEDULE OF ASSESSMENTS AND MEASURES</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_Toc531177007 \h </w:instrText>
            </w:r>
            <w:r w:rsidR="005E126D" w:rsidRPr="00710C30">
              <w:rPr>
                <w:noProof/>
                <w:webHidden/>
              </w:rPr>
            </w:r>
            <w:r w:rsidR="005E126D" w:rsidRPr="00710C30">
              <w:rPr>
                <w:noProof/>
                <w:webHidden/>
              </w:rPr>
              <w:fldChar w:fldCharType="separate"/>
            </w:r>
            <w:r w:rsidR="005E126D" w:rsidRPr="00710C30">
              <w:rPr>
                <w:noProof/>
                <w:webHidden/>
              </w:rPr>
              <w:t>21</w:t>
            </w:r>
            <w:r w:rsidR="005E126D" w:rsidRPr="00710C30">
              <w:rPr>
                <w:noProof/>
                <w:webHidden/>
              </w:rPr>
              <w:fldChar w:fldCharType="end"/>
            </w:r>
          </w:hyperlink>
        </w:p>
        <w:p w14:paraId="04A04EC0" w14:textId="77777777" w:rsidR="005E126D" w:rsidRPr="00710C30" w:rsidRDefault="00000000" w:rsidP="005E126D">
          <w:pPr>
            <w:pStyle w:val="TOC1"/>
            <w:tabs>
              <w:tab w:val="right" w:leader="dot" w:pos="8630"/>
            </w:tabs>
            <w:rPr>
              <w:noProof/>
              <w:lang w:eastAsia="en-GB"/>
            </w:rPr>
          </w:pPr>
          <w:hyperlink w:anchor="_Toc531177008" w:history="1">
            <w:r w:rsidR="005E126D" w:rsidRPr="00710C30">
              <w:rPr>
                <w:rStyle w:val="Hyperlink"/>
                <w:noProof/>
              </w:rPr>
              <w:t>D) Reference list</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_Toc531177008 \h </w:instrText>
            </w:r>
            <w:r w:rsidR="005E126D" w:rsidRPr="00710C30">
              <w:rPr>
                <w:noProof/>
                <w:webHidden/>
              </w:rPr>
            </w:r>
            <w:r w:rsidR="005E126D" w:rsidRPr="00710C30">
              <w:rPr>
                <w:noProof/>
                <w:webHidden/>
              </w:rPr>
              <w:fldChar w:fldCharType="separate"/>
            </w:r>
            <w:r w:rsidR="005E126D" w:rsidRPr="00710C30">
              <w:rPr>
                <w:noProof/>
                <w:webHidden/>
              </w:rPr>
              <w:t>24</w:t>
            </w:r>
            <w:r w:rsidR="005E126D" w:rsidRPr="00710C30">
              <w:rPr>
                <w:noProof/>
                <w:webHidden/>
              </w:rPr>
              <w:fldChar w:fldCharType="end"/>
            </w:r>
          </w:hyperlink>
        </w:p>
        <w:p w14:paraId="14F9DD64" w14:textId="77777777" w:rsidR="005E126D" w:rsidRPr="00710C30" w:rsidRDefault="00000000" w:rsidP="005E126D">
          <w:pPr>
            <w:pStyle w:val="TOC1"/>
            <w:tabs>
              <w:tab w:val="left" w:pos="480"/>
              <w:tab w:val="right" w:leader="dot" w:pos="8630"/>
            </w:tabs>
            <w:rPr>
              <w:noProof/>
              <w:lang w:eastAsia="en-GB"/>
            </w:rPr>
          </w:pPr>
          <w:hyperlink w:anchor="_Toc531177009" w:history="1">
            <w:r w:rsidR="005E126D" w:rsidRPr="00710C30">
              <w:rPr>
                <w:rStyle w:val="Hyperlink"/>
                <w:noProof/>
              </w:rPr>
              <w:t>E)</w:t>
            </w:r>
            <w:r w:rsidR="005E126D" w:rsidRPr="00710C30">
              <w:rPr>
                <w:noProof/>
                <w:lang w:eastAsia="en-GB"/>
              </w:rPr>
              <w:tab/>
            </w:r>
            <w:r w:rsidR="005E126D" w:rsidRPr="00710C30">
              <w:rPr>
                <w:rStyle w:val="Hyperlink"/>
                <w:noProof/>
              </w:rPr>
              <w:t>Amendments to version 1.0</w:t>
            </w:r>
            <w:r w:rsidR="005E126D" w:rsidRPr="00710C30">
              <w:rPr>
                <w:noProof/>
                <w:webHidden/>
              </w:rPr>
              <w:tab/>
            </w:r>
            <w:r w:rsidR="005E126D" w:rsidRPr="00710C30">
              <w:rPr>
                <w:noProof/>
                <w:webHidden/>
              </w:rPr>
              <w:fldChar w:fldCharType="begin"/>
            </w:r>
            <w:r w:rsidR="005E126D" w:rsidRPr="00710C30">
              <w:rPr>
                <w:noProof/>
                <w:webHidden/>
              </w:rPr>
              <w:instrText xml:space="preserve"> PAGEREF _Toc531177009 \h </w:instrText>
            </w:r>
            <w:r w:rsidR="005E126D" w:rsidRPr="00710C30">
              <w:rPr>
                <w:noProof/>
                <w:webHidden/>
              </w:rPr>
            </w:r>
            <w:r w:rsidR="005E126D" w:rsidRPr="00710C30">
              <w:rPr>
                <w:noProof/>
                <w:webHidden/>
              </w:rPr>
              <w:fldChar w:fldCharType="separate"/>
            </w:r>
            <w:r w:rsidR="005E126D" w:rsidRPr="00710C30">
              <w:rPr>
                <w:noProof/>
                <w:webHidden/>
              </w:rPr>
              <w:t>24</w:t>
            </w:r>
            <w:r w:rsidR="005E126D" w:rsidRPr="00710C30">
              <w:rPr>
                <w:noProof/>
                <w:webHidden/>
              </w:rPr>
              <w:fldChar w:fldCharType="end"/>
            </w:r>
          </w:hyperlink>
        </w:p>
        <w:p w14:paraId="50AEFD4D" w14:textId="77777777" w:rsidR="005E126D" w:rsidRPr="00710C30" w:rsidRDefault="005E126D" w:rsidP="005E126D">
          <w:pPr>
            <w:rPr>
              <w:rFonts w:asciiTheme="majorHAnsi" w:hAnsiTheme="majorHAnsi"/>
              <w:b/>
              <w:bCs/>
              <w:noProof/>
            </w:rPr>
          </w:pPr>
          <w:r w:rsidRPr="00710C30">
            <w:rPr>
              <w:rFonts w:asciiTheme="majorHAnsi" w:hAnsiTheme="majorHAnsi"/>
              <w:b/>
              <w:bCs/>
              <w:noProof/>
            </w:rPr>
            <w:fldChar w:fldCharType="end"/>
          </w:r>
        </w:p>
      </w:sdtContent>
    </w:sdt>
    <w:p w14:paraId="643840BF" w14:textId="77777777" w:rsidR="005E126D" w:rsidRPr="00710C30" w:rsidRDefault="005E126D" w:rsidP="003D54A9">
      <w:pPr>
        <w:pStyle w:val="Title"/>
        <w:outlineLvl w:val="0"/>
        <w:rPr>
          <w:lang w:val="en-GB"/>
        </w:rPr>
      </w:pPr>
      <w:bookmarkStart w:id="147" w:name="_Toc469317671"/>
      <w:bookmarkStart w:id="148" w:name="_Toc469318446"/>
      <w:bookmarkStart w:id="149" w:name="_Toc121909782"/>
      <w:bookmarkEnd w:id="147"/>
      <w:bookmarkEnd w:id="148"/>
      <w:r w:rsidRPr="00710C30">
        <w:rPr>
          <w:lang w:val="en-GB"/>
        </w:rPr>
        <w:t>A) QUANTITATIVE ANALYSIS PLAN</w:t>
      </w:r>
      <w:bookmarkEnd w:id="149"/>
      <w:r w:rsidRPr="00710C30">
        <w:rPr>
          <w:lang w:val="en-GB"/>
        </w:rPr>
        <w:t xml:space="preserve"> </w:t>
      </w:r>
    </w:p>
    <w:p w14:paraId="5D18CE0E" w14:textId="77777777" w:rsidR="005E126D" w:rsidRPr="00710C30" w:rsidRDefault="005E126D" w:rsidP="005E126D">
      <w:pPr>
        <w:widowControl w:val="0"/>
        <w:autoSpaceDE w:val="0"/>
        <w:autoSpaceDN w:val="0"/>
        <w:adjustRightInd w:val="0"/>
        <w:jc w:val="both"/>
        <w:rPr>
          <w:rFonts w:asciiTheme="majorHAnsi" w:hAnsiTheme="majorHAnsi" w:cs="Times"/>
          <w:sz w:val="24"/>
        </w:rPr>
      </w:pPr>
      <w:r w:rsidRPr="00710C30">
        <w:rPr>
          <w:rFonts w:asciiTheme="majorHAnsi" w:hAnsiTheme="majorHAnsi" w:cs="Times"/>
          <w:sz w:val="24"/>
        </w:rPr>
        <w:t>Investigators:</w:t>
      </w:r>
    </w:p>
    <w:p w14:paraId="1BA5D3CB" w14:textId="77777777" w:rsidR="005E126D" w:rsidRPr="00710C30" w:rsidRDefault="005E126D" w:rsidP="005E126D">
      <w:pPr>
        <w:widowControl w:val="0"/>
        <w:autoSpaceDE w:val="0"/>
        <w:autoSpaceDN w:val="0"/>
        <w:adjustRightInd w:val="0"/>
        <w:jc w:val="both"/>
        <w:rPr>
          <w:rFonts w:asciiTheme="majorHAnsi" w:hAnsiTheme="majorHAnsi" w:cs="Times"/>
          <w:sz w:val="24"/>
        </w:rPr>
      </w:pPr>
      <w:r w:rsidRPr="00710C30">
        <w:rPr>
          <w:rFonts w:asciiTheme="majorHAnsi" w:hAnsiTheme="majorHAnsi" w:cs="Times"/>
          <w:sz w:val="24"/>
        </w:rPr>
        <w:t>Principal investigator: Anthony Dorling</w:t>
      </w:r>
    </w:p>
    <w:p w14:paraId="43BACB04" w14:textId="77777777" w:rsidR="005E126D" w:rsidRPr="00710C30" w:rsidRDefault="005E126D" w:rsidP="005E126D">
      <w:pPr>
        <w:widowControl w:val="0"/>
        <w:autoSpaceDE w:val="0"/>
        <w:autoSpaceDN w:val="0"/>
        <w:adjustRightInd w:val="0"/>
        <w:jc w:val="both"/>
        <w:rPr>
          <w:rFonts w:asciiTheme="majorHAnsi" w:hAnsiTheme="majorHAnsi" w:cs="Times"/>
          <w:sz w:val="24"/>
        </w:rPr>
      </w:pPr>
      <w:r w:rsidRPr="00710C30">
        <w:rPr>
          <w:rFonts w:asciiTheme="majorHAnsi" w:hAnsiTheme="majorHAnsi" w:cs="Times"/>
          <w:sz w:val="24"/>
        </w:rPr>
        <w:t>Trial manager: Leanne Gardner</w:t>
      </w:r>
    </w:p>
    <w:p w14:paraId="700B4219" w14:textId="77777777" w:rsidR="005E126D" w:rsidRPr="00710C30" w:rsidRDefault="005E126D" w:rsidP="005E126D">
      <w:pPr>
        <w:widowControl w:val="0"/>
        <w:autoSpaceDE w:val="0"/>
        <w:autoSpaceDN w:val="0"/>
        <w:adjustRightInd w:val="0"/>
        <w:jc w:val="both"/>
        <w:rPr>
          <w:rFonts w:asciiTheme="majorHAnsi" w:hAnsiTheme="majorHAnsi" w:cs="Times"/>
          <w:sz w:val="24"/>
        </w:rPr>
      </w:pPr>
      <w:r w:rsidRPr="00710C30">
        <w:rPr>
          <w:rFonts w:asciiTheme="majorHAnsi" w:hAnsiTheme="majorHAnsi" w:cs="Times"/>
          <w:sz w:val="24"/>
        </w:rPr>
        <w:t>Trial statisticians: Dominic Stringer, Janet Peacock</w:t>
      </w:r>
    </w:p>
    <w:p w14:paraId="7AF3BDA0" w14:textId="77777777" w:rsidR="005E126D" w:rsidRPr="00710C30" w:rsidRDefault="005E126D" w:rsidP="005E126D">
      <w:pPr>
        <w:widowControl w:val="0"/>
        <w:autoSpaceDE w:val="0"/>
        <w:autoSpaceDN w:val="0"/>
        <w:adjustRightInd w:val="0"/>
        <w:jc w:val="both"/>
        <w:rPr>
          <w:rFonts w:asciiTheme="majorHAnsi" w:hAnsiTheme="majorHAnsi" w:cs="Times"/>
          <w:sz w:val="24"/>
        </w:rPr>
      </w:pPr>
      <w:r w:rsidRPr="00710C30">
        <w:rPr>
          <w:rFonts w:asciiTheme="majorHAnsi" w:hAnsiTheme="majorHAnsi" w:cs="Times"/>
          <w:sz w:val="24"/>
        </w:rPr>
        <w:t>Trial health economist: Paul McCrone</w:t>
      </w:r>
    </w:p>
    <w:p w14:paraId="73BEAFC3" w14:textId="77777777" w:rsidR="005E126D" w:rsidRPr="00710C30" w:rsidRDefault="005E126D" w:rsidP="00B64CB5">
      <w:pPr>
        <w:pStyle w:val="Heading2"/>
      </w:pPr>
      <w:bookmarkStart w:id="150" w:name="_Toc531176976"/>
      <w:bookmarkStart w:id="151" w:name="_Toc121909783"/>
      <w:r w:rsidRPr="00710C30">
        <w:t>Description of the trial</w:t>
      </w:r>
      <w:bookmarkEnd w:id="150"/>
      <w:bookmarkEnd w:id="151"/>
    </w:p>
    <w:p w14:paraId="7569C9CB" w14:textId="77777777" w:rsidR="005E126D" w:rsidRPr="00710C30" w:rsidRDefault="005E126D" w:rsidP="00B64CB5">
      <w:pPr>
        <w:pStyle w:val="Subtitle"/>
        <w:jc w:val="both"/>
        <w:outlineLvl w:val="2"/>
        <w:rPr>
          <w:lang w:val="en-GB"/>
        </w:rPr>
      </w:pPr>
      <w:bookmarkStart w:id="152" w:name="_Toc121909784"/>
      <w:r w:rsidRPr="00710C30">
        <w:rPr>
          <w:lang w:val="en-GB"/>
        </w:rPr>
        <w:t>Protocol Publication:</w:t>
      </w:r>
      <w:bookmarkEnd w:id="152"/>
    </w:p>
    <w:p w14:paraId="766F579F" w14:textId="77777777" w:rsidR="005E126D" w:rsidRPr="00710C30" w:rsidRDefault="005E126D" w:rsidP="005E126D">
      <w:pPr>
        <w:jc w:val="both"/>
        <w:rPr>
          <w:rFonts w:asciiTheme="majorHAnsi" w:hAnsiTheme="majorHAnsi"/>
        </w:rPr>
      </w:pPr>
      <w:r w:rsidRPr="00710C30">
        <w:rPr>
          <w:rFonts w:asciiTheme="majorHAnsi" w:hAnsiTheme="majorHAnsi"/>
        </w:rPr>
        <w:t>Anthony Dorling, Irene Rebollo Mesa, Rachel Hilton, Janet Peacock, Robert Vaughan, Richard Baker, Brendan Clarke, Raj Thuraisingham, Matthew Buckland, Michael Picton, Susan Martin, Richard Borrows, David Briggs, Robert Horne, Paul McCrone and Caroline Murphy.  Can a combined screening /treatment programme prevent premature failure of renal transplants due to chronic rejection in patients with HLA antibodies: Study protocol for the multicentre randomised controlled OuTSMART trial. (Trials. 2014 Jan 21; 15:30. doi: 10.1186/1745-6215-15-30)</w:t>
      </w:r>
      <w:r w:rsidRPr="00710C30" w:rsidDel="00C431BA">
        <w:rPr>
          <w:rFonts w:asciiTheme="majorHAnsi" w:hAnsiTheme="majorHAnsi"/>
        </w:rPr>
        <w:t xml:space="preserve"> </w:t>
      </w:r>
    </w:p>
    <w:p w14:paraId="288157BD" w14:textId="77777777" w:rsidR="005E126D" w:rsidRPr="00710C30" w:rsidRDefault="005E126D" w:rsidP="00BC6790">
      <w:pPr>
        <w:pStyle w:val="Heading3"/>
      </w:pPr>
      <w:bookmarkStart w:id="153" w:name="_Toc531176977"/>
      <w:bookmarkStart w:id="154" w:name="_Toc121909785"/>
      <w:r w:rsidRPr="00710C30">
        <w:t>Principal research objectives to be addressed</w:t>
      </w:r>
      <w:bookmarkEnd w:id="153"/>
      <w:bookmarkEnd w:id="154"/>
    </w:p>
    <w:p w14:paraId="050FB392" w14:textId="77777777" w:rsidR="005E126D" w:rsidRPr="00710C30" w:rsidRDefault="005E126D" w:rsidP="005E126D">
      <w:pPr>
        <w:jc w:val="both"/>
        <w:rPr>
          <w:rFonts w:asciiTheme="majorHAnsi" w:hAnsiTheme="majorHAnsi"/>
        </w:rPr>
      </w:pPr>
    </w:p>
    <w:p w14:paraId="4668AD93" w14:textId="77777777" w:rsidR="005E126D" w:rsidRPr="00710C30" w:rsidRDefault="005E126D" w:rsidP="00BC6790">
      <w:pPr>
        <w:pStyle w:val="Subtitle"/>
        <w:jc w:val="both"/>
        <w:outlineLvl w:val="3"/>
        <w:rPr>
          <w:lang w:val="en-GB"/>
        </w:rPr>
      </w:pPr>
      <w:r w:rsidRPr="00710C30">
        <w:rPr>
          <w:lang w:val="en-GB"/>
        </w:rPr>
        <w:t xml:space="preserve">Primary objective; </w:t>
      </w:r>
    </w:p>
    <w:p w14:paraId="38D7A975" w14:textId="77777777" w:rsidR="005E126D" w:rsidRPr="00710C30" w:rsidRDefault="005E126D" w:rsidP="005E126D">
      <w:pPr>
        <w:jc w:val="both"/>
        <w:rPr>
          <w:rFonts w:asciiTheme="majorHAnsi" w:hAnsiTheme="majorHAnsi"/>
        </w:rPr>
      </w:pPr>
      <w:r w:rsidRPr="00710C30">
        <w:rPr>
          <w:rFonts w:asciiTheme="majorHAnsi" w:hAnsiTheme="majorHAnsi"/>
        </w:rPr>
        <w:t>Compare the time to graft failure in patients with HLA Ab who receive an optimized anti-rejection medication intervention (‘treatment’), with that in a control group with HLA Ab who remain on their established immunotherapy and whose clinicians are not aware of their Ab status.</w:t>
      </w:r>
    </w:p>
    <w:p w14:paraId="448CCB2A" w14:textId="77777777" w:rsidR="005E126D" w:rsidRPr="00710C30" w:rsidRDefault="005E126D" w:rsidP="005E126D">
      <w:pPr>
        <w:jc w:val="both"/>
        <w:rPr>
          <w:rFonts w:asciiTheme="majorHAnsi" w:hAnsiTheme="majorHAnsi"/>
        </w:rPr>
      </w:pPr>
    </w:p>
    <w:p w14:paraId="685AE60B" w14:textId="77777777" w:rsidR="005E126D" w:rsidRPr="00710C30" w:rsidRDefault="005E126D" w:rsidP="00BC6790">
      <w:pPr>
        <w:pStyle w:val="Subtitle"/>
        <w:jc w:val="both"/>
        <w:outlineLvl w:val="3"/>
        <w:rPr>
          <w:lang w:val="en-GB"/>
        </w:rPr>
      </w:pPr>
      <w:r w:rsidRPr="00710C30">
        <w:rPr>
          <w:lang w:val="en-GB"/>
        </w:rPr>
        <w:t xml:space="preserve">Secondary objectives; </w:t>
      </w:r>
    </w:p>
    <w:p w14:paraId="02382165" w14:textId="77777777" w:rsidR="005E126D" w:rsidRPr="00710C30" w:rsidRDefault="005E126D" w:rsidP="005E126D">
      <w:pPr>
        <w:jc w:val="both"/>
        <w:rPr>
          <w:rFonts w:asciiTheme="majorHAnsi" w:hAnsiTheme="majorHAnsi"/>
        </w:rPr>
      </w:pPr>
      <w:r w:rsidRPr="00710C30">
        <w:rPr>
          <w:rFonts w:asciiTheme="majorHAnsi" w:hAnsiTheme="majorHAnsi"/>
        </w:rPr>
        <w:t>a) Determine the time to graft failure in patients randomized to ‘unblinded’ HLA Ab screening, compared to a control group randomized to ‘blinded’ HLA Ab screening.</w:t>
      </w:r>
    </w:p>
    <w:p w14:paraId="3E65DAA9" w14:textId="77777777" w:rsidR="005E126D" w:rsidRPr="00710C30" w:rsidRDefault="005E126D" w:rsidP="005E126D">
      <w:pPr>
        <w:jc w:val="both"/>
        <w:rPr>
          <w:rFonts w:asciiTheme="majorHAnsi" w:hAnsiTheme="majorHAnsi"/>
        </w:rPr>
      </w:pPr>
      <w:r w:rsidRPr="00710C30">
        <w:rPr>
          <w:rFonts w:asciiTheme="majorHAnsi" w:hAnsiTheme="majorHAnsi"/>
        </w:rPr>
        <w:t>b) Determine whether ‘treatment’ influences patient survival</w:t>
      </w:r>
    </w:p>
    <w:p w14:paraId="64825D5C" w14:textId="77777777" w:rsidR="005E126D" w:rsidRPr="00710C30" w:rsidRDefault="005E126D" w:rsidP="005E126D">
      <w:pPr>
        <w:jc w:val="both"/>
        <w:rPr>
          <w:rFonts w:asciiTheme="majorHAnsi" w:hAnsiTheme="majorHAnsi"/>
        </w:rPr>
      </w:pPr>
      <w:r w:rsidRPr="00710C30">
        <w:rPr>
          <w:rFonts w:asciiTheme="majorHAnsi" w:hAnsiTheme="majorHAnsi"/>
        </w:rPr>
        <w:lastRenderedPageBreak/>
        <w:t>c) Determine whether ‘treatment’ influences the development of graft dysfunction as assessed by presence of proteinuria (Protein:Creatinine Ratio &gt; 50 or Albumin:Creatinine Ratio &gt; 35) and change in estimated Glomerular Filtration Rate (eGFR).</w:t>
      </w:r>
    </w:p>
    <w:p w14:paraId="78448CB4" w14:textId="77777777" w:rsidR="005E126D" w:rsidRPr="00710C30" w:rsidRDefault="005E126D" w:rsidP="005E126D">
      <w:pPr>
        <w:jc w:val="both"/>
        <w:rPr>
          <w:rFonts w:asciiTheme="majorHAnsi" w:hAnsiTheme="majorHAnsi"/>
        </w:rPr>
      </w:pPr>
      <w:r w:rsidRPr="00710C30">
        <w:rPr>
          <w:rFonts w:asciiTheme="majorHAnsi" w:hAnsiTheme="majorHAnsi"/>
        </w:rPr>
        <w:t>d) Determine whether ‘treatment’ influences the rates of acute rejection in these groups</w:t>
      </w:r>
    </w:p>
    <w:p w14:paraId="78D6C003" w14:textId="77777777" w:rsidR="005E126D" w:rsidRPr="00710C30" w:rsidRDefault="005E126D" w:rsidP="005E126D">
      <w:pPr>
        <w:jc w:val="both"/>
        <w:rPr>
          <w:rFonts w:asciiTheme="majorHAnsi" w:hAnsiTheme="majorHAnsi"/>
        </w:rPr>
      </w:pPr>
      <w:r w:rsidRPr="00710C30">
        <w:rPr>
          <w:rFonts w:asciiTheme="majorHAnsi" w:hAnsiTheme="majorHAnsi"/>
        </w:rPr>
        <w:t>e) Determine the adverse effect profiles of ‘treatment’ in this group, in particular whether they are associated with increased risk of infection, malignancy or Diabetes Mellitus (DM).</w:t>
      </w:r>
    </w:p>
    <w:p w14:paraId="61911F36" w14:textId="77777777" w:rsidR="005E126D" w:rsidRPr="00710C30" w:rsidRDefault="005E126D" w:rsidP="005E126D">
      <w:pPr>
        <w:jc w:val="both"/>
        <w:rPr>
          <w:rFonts w:asciiTheme="majorHAnsi" w:hAnsiTheme="majorHAnsi"/>
        </w:rPr>
      </w:pPr>
      <w:r w:rsidRPr="00710C30">
        <w:rPr>
          <w:rFonts w:asciiTheme="majorHAnsi" w:hAnsiTheme="majorHAnsi"/>
        </w:rPr>
        <w:t>f) Determine the cost effectiveness of routine screening for HLA Ab and prolonging transplant survival using this screening/treatment protocol.</w:t>
      </w:r>
    </w:p>
    <w:p w14:paraId="176738A8" w14:textId="77777777" w:rsidR="005E126D" w:rsidRPr="00710C30" w:rsidRDefault="005E126D" w:rsidP="005E126D">
      <w:pPr>
        <w:jc w:val="both"/>
        <w:rPr>
          <w:rFonts w:asciiTheme="majorHAnsi" w:hAnsiTheme="majorHAnsi"/>
        </w:rPr>
      </w:pPr>
      <w:r w:rsidRPr="00710C30">
        <w:rPr>
          <w:rFonts w:asciiTheme="majorHAnsi" w:hAnsiTheme="majorHAnsi"/>
        </w:rPr>
        <w:t>g) Determine the impact of biomarker screening and “treatment” on the patients’ adherence to drug therapy and their perceptions of risk to the health of the transplant.</w:t>
      </w:r>
    </w:p>
    <w:p w14:paraId="6DF536EE" w14:textId="77777777" w:rsidR="005E126D" w:rsidRPr="00710C30" w:rsidRDefault="005E126D" w:rsidP="005E126D">
      <w:pPr>
        <w:widowControl w:val="0"/>
        <w:autoSpaceDE w:val="0"/>
        <w:autoSpaceDN w:val="0"/>
        <w:adjustRightInd w:val="0"/>
        <w:spacing w:after="240"/>
        <w:jc w:val="both"/>
        <w:rPr>
          <w:rFonts w:asciiTheme="majorHAnsi" w:hAnsiTheme="majorHAnsi" w:cs="Times"/>
        </w:rPr>
      </w:pPr>
    </w:p>
    <w:p w14:paraId="7349479D" w14:textId="77777777" w:rsidR="005E126D" w:rsidRPr="00710C30" w:rsidRDefault="005E126D" w:rsidP="00BC6790">
      <w:pPr>
        <w:pStyle w:val="Heading3"/>
      </w:pPr>
      <w:bookmarkStart w:id="155" w:name="_Toc531176978"/>
      <w:bookmarkStart w:id="156" w:name="_Toc121909786"/>
      <w:r w:rsidRPr="00710C30">
        <w:t>Trial design including blinding</w:t>
      </w:r>
      <w:bookmarkEnd w:id="155"/>
      <w:bookmarkEnd w:id="156"/>
    </w:p>
    <w:p w14:paraId="5D4D3550" w14:textId="77777777" w:rsidR="005E126D" w:rsidRPr="00710C30" w:rsidRDefault="005E126D" w:rsidP="005E126D">
      <w:pPr>
        <w:jc w:val="both"/>
        <w:rPr>
          <w:rFonts w:asciiTheme="majorHAnsi" w:hAnsiTheme="majorHAnsi"/>
        </w:rPr>
      </w:pPr>
    </w:p>
    <w:p w14:paraId="760331D3" w14:textId="77777777" w:rsidR="005E126D" w:rsidRPr="00710C30" w:rsidRDefault="005E126D" w:rsidP="005E126D">
      <w:pPr>
        <w:jc w:val="both"/>
        <w:rPr>
          <w:rFonts w:asciiTheme="majorHAnsi" w:hAnsiTheme="majorHAnsi"/>
        </w:rPr>
      </w:pPr>
      <w:r w:rsidRPr="00710C30">
        <w:rPr>
          <w:rFonts w:asciiTheme="majorHAnsi" w:hAnsiTheme="majorHAnsi"/>
        </w:rPr>
        <w:t xml:space="preserve">This is a prospective, open labelled, randomised marker-based strategy (hybrid) trial design, with two arms stratified by biomarker (HLA Ab) status. Recruitment will take place in 12 renal transplant units, recruiting for 45 months with recruits followed up intensively for at least 32 months (maximum 64 months) and primary endpoint assessed by remote evaluation after 43 months post-randomisation is achieved by all. The trial design is represented in the flow diagram in section 2.3, showing the number of patients anticipated to be in each group by the end of the trial, based on sample size calculations, consent rates, eligibility and estimated fall-out. Using the flow diagram (top-to-bottom) as a guide: recipients of cross-match negative transplants aged 18-75, &gt; 1-year post-transplant with an eGFR ≥ 30 will consent to the screening/treatment process. </w:t>
      </w:r>
    </w:p>
    <w:p w14:paraId="739B5DD7" w14:textId="77777777" w:rsidR="005E126D" w:rsidRPr="00710C30" w:rsidRDefault="005E126D" w:rsidP="005E126D">
      <w:pPr>
        <w:jc w:val="both"/>
        <w:rPr>
          <w:rFonts w:asciiTheme="majorHAnsi" w:hAnsiTheme="majorHAnsi"/>
        </w:rPr>
      </w:pPr>
    </w:p>
    <w:p w14:paraId="2A6BFA6B" w14:textId="77777777" w:rsidR="005E126D" w:rsidRPr="00710C30" w:rsidRDefault="005E126D" w:rsidP="005E126D">
      <w:pPr>
        <w:jc w:val="both"/>
        <w:rPr>
          <w:rFonts w:asciiTheme="majorHAnsi" w:hAnsiTheme="majorHAnsi"/>
        </w:rPr>
      </w:pPr>
      <w:r w:rsidRPr="00710C30">
        <w:rPr>
          <w:rFonts w:asciiTheme="majorHAnsi" w:hAnsiTheme="majorHAnsi"/>
        </w:rPr>
        <w:t>The first stratification will result from blood test screening for HLA Ab. Approximately 35% will be HLA positive, with ~65% negative. The HLA Ab+ patients will be further screened with single antigen beads to determine whether DSA are present (~1/6 DSA and 5/6 non-DSA). Thus, biomarker stratification leads to three groups (DSA+, non-DSA+ and HLA Ab-neg).</w:t>
      </w:r>
    </w:p>
    <w:p w14:paraId="0B729159" w14:textId="77777777" w:rsidR="005E126D" w:rsidRPr="00710C30" w:rsidRDefault="005E126D" w:rsidP="005E126D">
      <w:pPr>
        <w:jc w:val="both"/>
        <w:rPr>
          <w:rFonts w:asciiTheme="majorHAnsi" w:hAnsiTheme="majorHAnsi"/>
        </w:rPr>
      </w:pPr>
      <w:r w:rsidRPr="00710C30">
        <w:rPr>
          <w:rFonts w:asciiTheme="majorHAnsi" w:hAnsiTheme="majorHAnsi"/>
        </w:rPr>
        <w:t xml:space="preserve"> The second stratification will be based on current immunosuppression, to ensure balanced numbers already on Tac or MMF in each group. The final stratification will be by site. </w:t>
      </w:r>
    </w:p>
    <w:p w14:paraId="453EB8D5" w14:textId="77777777" w:rsidR="005E126D" w:rsidRPr="00710C30" w:rsidRDefault="005E126D" w:rsidP="005E126D">
      <w:pPr>
        <w:jc w:val="both"/>
        <w:rPr>
          <w:rFonts w:asciiTheme="majorHAnsi" w:hAnsiTheme="majorHAnsi"/>
        </w:rPr>
      </w:pPr>
    </w:p>
    <w:p w14:paraId="12459162" w14:textId="77777777" w:rsidR="005E126D" w:rsidRPr="00710C30" w:rsidRDefault="005E126D" w:rsidP="005E126D">
      <w:pPr>
        <w:jc w:val="both"/>
        <w:rPr>
          <w:rFonts w:asciiTheme="majorHAnsi" w:hAnsiTheme="majorHAnsi"/>
        </w:rPr>
      </w:pPr>
      <w:r w:rsidRPr="00710C30">
        <w:rPr>
          <w:rFonts w:asciiTheme="majorHAnsi" w:hAnsiTheme="majorHAnsi"/>
        </w:rPr>
        <w:t xml:space="preserve">HLA Ab positive patients will be randomized 1:1 into either Blinded Standard Care or Unblinded Biomarker led-care.  Patients in the former (groups A1 &amp; A2 in the flow chart in 2.3) will be blind to their biomarker status and will remain on baseline immunotherapy, whereas patients in the latter (groups B1 and B2 in the flow chart) will know their HLA Ab status and will be offered “treatment”. </w:t>
      </w:r>
    </w:p>
    <w:p w14:paraId="11E71374" w14:textId="77777777" w:rsidR="005E126D" w:rsidRPr="00710C30" w:rsidRDefault="005E126D" w:rsidP="005E126D">
      <w:pPr>
        <w:jc w:val="both"/>
        <w:rPr>
          <w:rFonts w:asciiTheme="majorHAnsi" w:hAnsiTheme="majorHAnsi"/>
        </w:rPr>
      </w:pPr>
    </w:p>
    <w:p w14:paraId="68E1FB1E" w14:textId="77777777" w:rsidR="005E126D" w:rsidRPr="00710C30" w:rsidRDefault="005E126D" w:rsidP="005E126D">
      <w:pPr>
        <w:jc w:val="both"/>
        <w:rPr>
          <w:rFonts w:asciiTheme="majorHAnsi" w:hAnsiTheme="majorHAnsi"/>
        </w:rPr>
      </w:pPr>
      <w:r w:rsidRPr="00710C30">
        <w:rPr>
          <w:rFonts w:asciiTheme="majorHAnsi" w:hAnsiTheme="majorHAnsi"/>
        </w:rPr>
        <w:lastRenderedPageBreak/>
        <w:t xml:space="preserve">HLA Ab-negative patients will remain on their existing immunotherapy and randomized 1:1 into either Blinded (group C) or Unblinded groups (D), with only the latter knowing their HLA Ab status. Both these groups will receive regular Ab status monitoring for the first 3 years. Those patients who become positive during subsequent screening rounds (~10% per year) will be moved to the appropriate HLA Ab positive groups (DSA+ or non-DSA+) for final data analysis. </w:t>
      </w:r>
    </w:p>
    <w:p w14:paraId="406B8DA8" w14:textId="77777777" w:rsidR="005E126D" w:rsidRPr="00710C30" w:rsidRDefault="005E126D" w:rsidP="005E126D">
      <w:pPr>
        <w:jc w:val="both"/>
        <w:rPr>
          <w:rFonts w:asciiTheme="majorHAnsi" w:hAnsiTheme="majorHAnsi"/>
        </w:rPr>
      </w:pPr>
    </w:p>
    <w:p w14:paraId="7926451D" w14:textId="77777777" w:rsidR="005E126D" w:rsidRPr="00710C30" w:rsidRDefault="005E126D" w:rsidP="005E126D">
      <w:pPr>
        <w:jc w:val="both"/>
        <w:rPr>
          <w:rFonts w:asciiTheme="majorHAnsi" w:hAnsiTheme="majorHAnsi"/>
        </w:rPr>
      </w:pPr>
      <w:r w:rsidRPr="00710C30">
        <w:rPr>
          <w:rFonts w:asciiTheme="majorHAnsi" w:hAnsiTheme="majorHAnsi"/>
        </w:rPr>
        <w:t>All patients in group D found to be positive on second or subsequent rounds will be offered the same “treatment” as those patients who were positive in the first screening round and be intensively followed up for an additional 32 months from the time they become positive. Thus, the maximum amount of time any single patient may remain in intensive follow up is 64 months</w:t>
      </w:r>
      <w:r w:rsidRPr="00710C30">
        <w:rPr>
          <w:rFonts w:asciiTheme="majorHAnsi" w:hAnsiTheme="majorHAnsi"/>
          <w:vertAlign w:val="superscript"/>
        </w:rPr>
        <w:footnoteReference w:id="26"/>
      </w:r>
      <w:r w:rsidRPr="00710C30">
        <w:rPr>
          <w:rFonts w:asciiTheme="majorHAnsi" w:hAnsiTheme="majorHAnsi"/>
        </w:rPr>
        <w:t>. New patients will be recruited to the study at each successive screening round.</w:t>
      </w:r>
    </w:p>
    <w:p w14:paraId="4C3656A1" w14:textId="77777777" w:rsidR="005E126D" w:rsidRPr="00710C30" w:rsidRDefault="005E126D" w:rsidP="005E126D">
      <w:pPr>
        <w:jc w:val="both"/>
        <w:rPr>
          <w:rFonts w:asciiTheme="majorHAnsi" w:hAnsiTheme="majorHAnsi"/>
        </w:rPr>
      </w:pPr>
    </w:p>
    <w:p w14:paraId="5BA64A4F" w14:textId="77777777" w:rsidR="005E126D" w:rsidRPr="00710C30" w:rsidRDefault="005E126D" w:rsidP="005E126D">
      <w:pPr>
        <w:widowControl w:val="0"/>
        <w:autoSpaceDE w:val="0"/>
        <w:autoSpaceDN w:val="0"/>
        <w:adjustRightInd w:val="0"/>
        <w:spacing w:after="240"/>
        <w:jc w:val="both"/>
        <w:rPr>
          <w:rFonts w:asciiTheme="majorHAnsi" w:hAnsiTheme="majorHAnsi" w:cs="Times"/>
          <w:sz w:val="32"/>
          <w:szCs w:val="32"/>
        </w:rPr>
      </w:pPr>
    </w:p>
    <w:p w14:paraId="157DA127" w14:textId="77777777" w:rsidR="005E126D" w:rsidRPr="00710C30" w:rsidRDefault="005E126D" w:rsidP="005E126D">
      <w:pPr>
        <w:widowControl w:val="0"/>
        <w:autoSpaceDE w:val="0"/>
        <w:autoSpaceDN w:val="0"/>
        <w:adjustRightInd w:val="0"/>
        <w:spacing w:after="240"/>
        <w:jc w:val="both"/>
        <w:rPr>
          <w:rFonts w:asciiTheme="majorHAnsi" w:hAnsiTheme="majorHAnsi" w:cs="Times"/>
          <w:sz w:val="32"/>
          <w:szCs w:val="32"/>
        </w:rPr>
      </w:pPr>
    </w:p>
    <w:p w14:paraId="0F9C1097" w14:textId="77777777" w:rsidR="005E126D" w:rsidRPr="00710C30" w:rsidRDefault="005E126D" w:rsidP="005E126D">
      <w:pPr>
        <w:widowControl w:val="0"/>
        <w:autoSpaceDE w:val="0"/>
        <w:autoSpaceDN w:val="0"/>
        <w:adjustRightInd w:val="0"/>
        <w:spacing w:after="240"/>
        <w:jc w:val="both"/>
        <w:rPr>
          <w:rFonts w:asciiTheme="majorHAnsi" w:hAnsiTheme="majorHAnsi" w:cs="Times"/>
          <w:sz w:val="32"/>
          <w:szCs w:val="32"/>
        </w:rPr>
      </w:pPr>
      <w:r w:rsidRPr="00710C30">
        <w:rPr>
          <w:rFonts w:asciiTheme="majorHAnsi" w:hAnsiTheme="majorHAnsi"/>
          <w:noProof/>
        </w:rPr>
        <w:drawing>
          <wp:inline distT="0" distB="0" distL="0" distR="0" wp14:anchorId="4E504EF1" wp14:editId="79F1443F">
            <wp:extent cx="5486400" cy="37982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798277"/>
                    </a:xfrm>
                    <a:prstGeom prst="rect">
                      <a:avLst/>
                    </a:prstGeom>
                    <a:noFill/>
                    <a:ln>
                      <a:noFill/>
                    </a:ln>
                  </pic:spPr>
                </pic:pic>
              </a:graphicData>
            </a:graphic>
          </wp:inline>
        </w:drawing>
      </w:r>
    </w:p>
    <w:p w14:paraId="713525E7" w14:textId="77777777" w:rsidR="005E126D" w:rsidRPr="00710C30" w:rsidRDefault="005E126D" w:rsidP="005E126D">
      <w:pPr>
        <w:jc w:val="both"/>
        <w:rPr>
          <w:rFonts w:asciiTheme="majorHAnsi" w:hAnsiTheme="majorHAnsi"/>
          <w:sz w:val="16"/>
          <w:szCs w:val="16"/>
        </w:rPr>
      </w:pPr>
      <w:r w:rsidRPr="00710C30">
        <w:rPr>
          <w:rFonts w:asciiTheme="majorHAnsi" w:hAnsiTheme="majorHAnsi"/>
          <w:sz w:val="16"/>
          <w:szCs w:val="16"/>
        </w:rPr>
        <w:lastRenderedPageBreak/>
        <w:t xml:space="preserve">*Randomisation performed on results of a recruit’s first screening test. Those with HLA Ab undergo no further screening as part of the trial (but serum will be stored for analysis of HLA Ab profiles later). </w:t>
      </w:r>
      <w:r w:rsidRPr="00710C30">
        <w:rPr>
          <w:rFonts w:asciiTheme="majorHAnsi" w:hAnsiTheme="majorHAnsi"/>
          <w:b/>
          <w:sz w:val="16"/>
          <w:szCs w:val="16"/>
          <w:vertAlign w:val="superscript"/>
        </w:rPr>
        <w:t>†</w:t>
      </w:r>
      <w:r w:rsidRPr="00710C30">
        <w:rPr>
          <w:rFonts w:asciiTheme="majorHAnsi" w:hAnsiTheme="majorHAnsi"/>
          <w:sz w:val="16"/>
          <w:szCs w:val="16"/>
        </w:rPr>
        <w:t xml:space="preserve">Those initially HLA Ab-negative undergo routine screening every 8 months. THERE IS NO SECOND RANDOMIZATION: If a recruit allocated to Blinded standard care (group C) becomes HLA Ab positive (black lines), he/she remains in Standard care group (group A1 or A2). If in unblinded standard care group (D), they change to unblinded biomarker-led treatment care (group B1 or B2) (orange lines). € Numbers in each group are those anticipated at the </w:t>
      </w:r>
      <w:bookmarkStart w:id="157" w:name="OLE_LINK1"/>
      <w:r w:rsidRPr="00710C30">
        <w:rPr>
          <w:rFonts w:asciiTheme="majorHAnsi" w:hAnsiTheme="majorHAnsi"/>
          <w:sz w:val="16"/>
          <w:szCs w:val="16"/>
        </w:rPr>
        <w:t>end of study.</w:t>
      </w:r>
      <w:bookmarkEnd w:id="157"/>
    </w:p>
    <w:p w14:paraId="1EFBFFD6" w14:textId="77777777" w:rsidR="005E126D" w:rsidRPr="00710C30" w:rsidRDefault="005E126D" w:rsidP="005E126D">
      <w:pPr>
        <w:widowControl w:val="0"/>
        <w:autoSpaceDE w:val="0"/>
        <w:autoSpaceDN w:val="0"/>
        <w:adjustRightInd w:val="0"/>
        <w:spacing w:after="240"/>
        <w:jc w:val="both"/>
        <w:rPr>
          <w:rFonts w:asciiTheme="majorHAnsi" w:hAnsiTheme="majorHAnsi" w:cs="Times"/>
          <w:sz w:val="32"/>
          <w:szCs w:val="32"/>
        </w:rPr>
      </w:pPr>
    </w:p>
    <w:p w14:paraId="44928464" w14:textId="77777777" w:rsidR="005E126D" w:rsidRPr="00710C30" w:rsidRDefault="005E126D" w:rsidP="005E126D">
      <w:pPr>
        <w:pStyle w:val="Caption"/>
        <w:jc w:val="both"/>
        <w:rPr>
          <w:rFonts w:asciiTheme="majorHAnsi" w:hAnsiTheme="majorHAnsi" w:cs="Times"/>
          <w:sz w:val="32"/>
          <w:szCs w:val="32"/>
        </w:rPr>
      </w:pPr>
      <w:r w:rsidRPr="00710C30">
        <w:rPr>
          <w:rFonts w:asciiTheme="majorHAnsi" w:hAnsiTheme="majorHAnsi"/>
        </w:rPr>
        <w:t xml:space="preserve">Figure </w:t>
      </w:r>
      <w:r w:rsidRPr="00710C30">
        <w:rPr>
          <w:rFonts w:asciiTheme="majorHAnsi" w:hAnsiTheme="majorHAnsi"/>
        </w:rPr>
        <w:fldChar w:fldCharType="begin"/>
      </w:r>
      <w:r w:rsidRPr="00710C30">
        <w:rPr>
          <w:rFonts w:asciiTheme="majorHAnsi" w:hAnsiTheme="majorHAnsi"/>
        </w:rPr>
        <w:instrText xml:space="preserve"> SEQ Figure \* ARABIC </w:instrText>
      </w:r>
      <w:r w:rsidRPr="00710C30">
        <w:rPr>
          <w:rFonts w:asciiTheme="majorHAnsi" w:hAnsiTheme="majorHAnsi"/>
        </w:rPr>
        <w:fldChar w:fldCharType="separate"/>
      </w:r>
      <w:r w:rsidRPr="00710C30">
        <w:rPr>
          <w:rFonts w:asciiTheme="majorHAnsi" w:hAnsiTheme="majorHAnsi"/>
          <w:noProof/>
        </w:rPr>
        <w:t>1</w:t>
      </w:r>
      <w:r w:rsidRPr="00710C30">
        <w:rPr>
          <w:rFonts w:asciiTheme="majorHAnsi" w:hAnsiTheme="majorHAnsi"/>
        </w:rPr>
        <w:fldChar w:fldCharType="end"/>
      </w:r>
      <w:r w:rsidRPr="00710C30">
        <w:rPr>
          <w:rFonts w:asciiTheme="majorHAnsi" w:hAnsiTheme="majorHAnsi"/>
        </w:rPr>
        <w:t>. Trial design flow diagram</w:t>
      </w:r>
    </w:p>
    <w:p w14:paraId="43EDCD64" w14:textId="77777777" w:rsidR="005E126D" w:rsidRPr="00710C30" w:rsidRDefault="005E126D" w:rsidP="00BC6790">
      <w:pPr>
        <w:pStyle w:val="Heading3"/>
      </w:pPr>
      <w:bookmarkStart w:id="158" w:name="_Toc531176979"/>
      <w:bookmarkStart w:id="159" w:name="_Toc121909787"/>
      <w:r w:rsidRPr="00710C30">
        <w:t>Method of allocation of groups</w:t>
      </w:r>
      <w:bookmarkEnd w:id="158"/>
      <w:bookmarkEnd w:id="159"/>
    </w:p>
    <w:p w14:paraId="14ED3FBC" w14:textId="77777777" w:rsidR="005E126D" w:rsidRPr="00710C30" w:rsidRDefault="005E126D" w:rsidP="005E126D">
      <w:pPr>
        <w:jc w:val="both"/>
        <w:rPr>
          <w:rFonts w:asciiTheme="majorHAnsi" w:hAnsiTheme="majorHAnsi"/>
        </w:rPr>
      </w:pPr>
      <w:r w:rsidRPr="00710C30">
        <w:rPr>
          <w:rFonts w:asciiTheme="majorHAnsi" w:hAnsiTheme="majorHAnsi"/>
        </w:rPr>
        <w:t xml:space="preserve">Prior to randomisation but after consent, site staff will register all recruits online and each will be assigned a MACRO PIN. Samples from all recruits will be sent to the HLA laboratory, along with this PIN and a sample request form containing other information required for randomisation. </w:t>
      </w:r>
    </w:p>
    <w:p w14:paraId="6CB2D0EF" w14:textId="77777777" w:rsidR="005E126D" w:rsidRPr="00710C30" w:rsidRDefault="005E126D" w:rsidP="005E126D">
      <w:pPr>
        <w:jc w:val="both"/>
        <w:rPr>
          <w:rFonts w:asciiTheme="majorHAnsi" w:hAnsiTheme="majorHAnsi"/>
        </w:rPr>
      </w:pPr>
    </w:p>
    <w:p w14:paraId="23063F29" w14:textId="77777777" w:rsidR="005E126D" w:rsidRPr="00710C30" w:rsidRDefault="005E126D" w:rsidP="005E126D">
      <w:pPr>
        <w:jc w:val="both"/>
        <w:rPr>
          <w:rFonts w:asciiTheme="majorHAnsi" w:hAnsiTheme="majorHAnsi"/>
        </w:rPr>
      </w:pPr>
      <w:r w:rsidRPr="00710C30">
        <w:rPr>
          <w:rFonts w:asciiTheme="majorHAnsi" w:hAnsiTheme="majorHAnsi"/>
        </w:rPr>
        <w:t xml:space="preserve">Laboratory staff will screen for HLA Ab and perform single antigen bead testing on positive screening samples to check for the presence of DSA. Once this information is known, the lab staff will access the randomisation system and randomise the patient, using the HLA Ab results and information on the sample form to stratify. Randomisation will be further stratified by centre and previous immunosuppression. In all sites, the PI’s and nurses will be automatically emailed and the system will tell them whether the patient is in the blinded or unblinded groups. If in the unblinded group, it will feed back HLA Ab status to the PI. Unblinded patients will be identified by blue stickers to be appended to the notes and all future clinical samples.  The system will tell the trial staff to enter HLA Ab-negative patients into the subsequent 8 monthly screening rounds, and also whether the patients have been selected to provide future samples for 4 monthly scientific analysis (for transfer to the CIs laboratory). This information will be relayed using a ‘star’ on the blue labels, appended to their laboratory request forms thereafter. </w:t>
      </w:r>
    </w:p>
    <w:p w14:paraId="41B1D5BF" w14:textId="77777777" w:rsidR="005E126D" w:rsidRPr="00710C30" w:rsidRDefault="005E126D" w:rsidP="005E126D">
      <w:pPr>
        <w:jc w:val="both"/>
        <w:rPr>
          <w:rFonts w:asciiTheme="majorHAnsi" w:hAnsiTheme="majorHAnsi"/>
        </w:rPr>
      </w:pPr>
    </w:p>
    <w:p w14:paraId="5E61CFA9" w14:textId="77777777" w:rsidR="005E126D" w:rsidRPr="00710C30" w:rsidRDefault="005E126D" w:rsidP="005E126D">
      <w:pPr>
        <w:jc w:val="both"/>
        <w:rPr>
          <w:rFonts w:asciiTheme="majorHAnsi" w:hAnsiTheme="majorHAnsi"/>
        </w:rPr>
      </w:pPr>
      <w:r w:rsidRPr="00710C30">
        <w:rPr>
          <w:rFonts w:asciiTheme="majorHAnsi" w:hAnsiTheme="majorHAnsi"/>
        </w:rPr>
        <w:t xml:space="preserve">Blinded patients will have green stickers/labels. HLA Ab status will not be fed back to the PIs or trial staff. A ‘star’ will be used to tell the trial staff which recruits have been selected to provide 4 monthly samples for transfer back to the CIs lab for scientific analysis.  All these patients will have samples taken 8 monthly for HLA Ab screening. Once inside the lab, the lab staff will use their knowledge of the HLA status to determine those from HLA Ab-negative patients which will undergo screening.  The samples from HLA Ab positive patients will be discarded. </w:t>
      </w:r>
    </w:p>
    <w:p w14:paraId="696866FA" w14:textId="77777777" w:rsidR="005E126D" w:rsidRPr="00710C30" w:rsidRDefault="005E126D" w:rsidP="005E126D">
      <w:pPr>
        <w:jc w:val="both"/>
        <w:rPr>
          <w:rFonts w:asciiTheme="majorHAnsi" w:hAnsiTheme="majorHAnsi"/>
        </w:rPr>
      </w:pPr>
    </w:p>
    <w:p w14:paraId="654363D4" w14:textId="77777777" w:rsidR="005E126D" w:rsidRPr="00710C30" w:rsidRDefault="005E126D" w:rsidP="005E126D">
      <w:pPr>
        <w:jc w:val="both"/>
        <w:rPr>
          <w:rFonts w:asciiTheme="majorHAnsi" w:hAnsiTheme="majorHAnsi"/>
        </w:rPr>
      </w:pPr>
      <w:r w:rsidRPr="00710C30">
        <w:rPr>
          <w:rFonts w:asciiTheme="majorHAnsi" w:hAnsiTheme="majorHAnsi"/>
        </w:rPr>
        <w:t>On the second and subsequent HLA Ab screening rounds, the lab staff will update the randomisation system. The results from patients in the unblinded groups only will be forwarded to the PI and laboratory staff, via email.  This will indicate whether status has changed and trigger the initiation of the treatment protocol in those that have changed from HLA Ab negative to positive.</w:t>
      </w:r>
    </w:p>
    <w:p w14:paraId="6559A224" w14:textId="77777777" w:rsidR="005E126D" w:rsidRPr="00710C30" w:rsidRDefault="005E126D" w:rsidP="005E126D">
      <w:pPr>
        <w:jc w:val="both"/>
        <w:rPr>
          <w:rFonts w:asciiTheme="majorHAnsi" w:hAnsiTheme="majorHAnsi"/>
        </w:rPr>
      </w:pPr>
    </w:p>
    <w:p w14:paraId="3AAE2F06" w14:textId="77777777" w:rsidR="005E126D" w:rsidRPr="00710C30" w:rsidRDefault="005E126D" w:rsidP="005E126D">
      <w:pPr>
        <w:jc w:val="both"/>
        <w:rPr>
          <w:rFonts w:asciiTheme="majorHAnsi" w:hAnsiTheme="majorHAnsi"/>
        </w:rPr>
      </w:pPr>
      <w:r w:rsidRPr="00710C30">
        <w:rPr>
          <w:rFonts w:asciiTheme="majorHAnsi" w:hAnsiTheme="majorHAnsi"/>
        </w:rPr>
        <w:t xml:space="preserve">Randomisation will be via the online King’s Clinical Trials Unit randomisation system. </w:t>
      </w:r>
    </w:p>
    <w:p w14:paraId="474EBAE4" w14:textId="77777777" w:rsidR="005E126D" w:rsidRPr="00710C30" w:rsidRDefault="005E126D" w:rsidP="005E126D">
      <w:pPr>
        <w:jc w:val="both"/>
        <w:rPr>
          <w:rFonts w:asciiTheme="majorHAnsi" w:hAnsiTheme="majorHAnsi"/>
        </w:rPr>
      </w:pPr>
    </w:p>
    <w:p w14:paraId="3264A222" w14:textId="77777777" w:rsidR="005E126D" w:rsidRPr="00710C30" w:rsidRDefault="005E126D" w:rsidP="005E126D">
      <w:pPr>
        <w:jc w:val="both"/>
        <w:rPr>
          <w:rFonts w:asciiTheme="majorHAnsi" w:hAnsiTheme="majorHAnsi"/>
        </w:rPr>
      </w:pPr>
      <w:r w:rsidRPr="00710C30">
        <w:rPr>
          <w:rFonts w:asciiTheme="majorHAnsi" w:hAnsiTheme="majorHAnsi"/>
        </w:rPr>
        <w:t xml:space="preserve">Laboratory staff at each recruiting site, with access to HLA Ab results, will be provided with a unique username and password to access the randomisation system. Password access must be authorised by the trial manager in all cases and request directly from sites will not be processed. Access to the system is via </w:t>
      </w:r>
      <w:hyperlink r:id="rId22" w:history="1">
        <w:r w:rsidRPr="00710C30">
          <w:rPr>
            <w:rStyle w:val="Hyperlink"/>
            <w:rFonts w:asciiTheme="majorHAnsi" w:hAnsiTheme="majorHAnsi"/>
          </w:rPr>
          <w:t>https://cturandomisation.iop.kcl.ac.uk/OUTSMART</w:t>
        </w:r>
      </w:hyperlink>
      <w:r w:rsidRPr="00710C30">
        <w:rPr>
          <w:rFonts w:asciiTheme="majorHAnsi" w:hAnsiTheme="majorHAnsi"/>
        </w:rPr>
        <w:t xml:space="preserve">, clicking the ‘randomisation – advanced’ link and selecting the OuTSMART Trial. </w:t>
      </w:r>
    </w:p>
    <w:p w14:paraId="59ACBC01" w14:textId="77777777" w:rsidR="005E126D" w:rsidRPr="00710C30" w:rsidRDefault="005E126D" w:rsidP="00BC6790">
      <w:pPr>
        <w:pStyle w:val="Heading3"/>
      </w:pPr>
      <w:bookmarkStart w:id="160" w:name="_Toc531176980"/>
      <w:bookmarkStart w:id="161" w:name="_Toc121909788"/>
      <w:r w:rsidRPr="00710C30">
        <w:t>Duration of the treatment period</w:t>
      </w:r>
      <w:bookmarkEnd w:id="160"/>
      <w:bookmarkEnd w:id="161"/>
      <w:r w:rsidRPr="00710C30">
        <w:t xml:space="preserve"> </w:t>
      </w:r>
    </w:p>
    <w:p w14:paraId="52B56168" w14:textId="77777777" w:rsidR="005E126D" w:rsidRPr="00710C30" w:rsidRDefault="005E126D" w:rsidP="005E126D">
      <w:pPr>
        <w:jc w:val="both"/>
        <w:rPr>
          <w:rFonts w:asciiTheme="majorHAnsi" w:hAnsiTheme="majorHAnsi"/>
        </w:rPr>
      </w:pPr>
      <w:r w:rsidRPr="00710C30">
        <w:rPr>
          <w:rFonts w:asciiTheme="majorHAnsi" w:hAnsiTheme="majorHAnsi"/>
        </w:rPr>
        <w:t>All treatments will be introduced on the basis that they will be tailored to the individual patient, according to compliance, tolerance and achievement of target levels (for Tac). Failure to tolerate one or more of the components of the protocol (or refusal to take any of the agents) will not be used as a reason for withdrawal from the study.</w:t>
      </w:r>
    </w:p>
    <w:p w14:paraId="1366B3F7" w14:textId="77777777" w:rsidR="005E126D" w:rsidRPr="00710C30" w:rsidRDefault="005E126D" w:rsidP="005E126D">
      <w:pPr>
        <w:jc w:val="both"/>
        <w:rPr>
          <w:rFonts w:asciiTheme="majorHAnsi" w:hAnsiTheme="majorHAnsi"/>
        </w:rPr>
      </w:pPr>
    </w:p>
    <w:p w14:paraId="6612D4C2" w14:textId="77777777" w:rsidR="005E126D" w:rsidRPr="00710C30" w:rsidRDefault="005E126D" w:rsidP="00BC6790">
      <w:pPr>
        <w:pStyle w:val="Heading3"/>
      </w:pPr>
      <w:r w:rsidRPr="00710C30">
        <w:t> </w:t>
      </w:r>
      <w:bookmarkStart w:id="162" w:name="_Toc531176981"/>
      <w:bookmarkStart w:id="163" w:name="_Ref63765184"/>
      <w:bookmarkStart w:id="164" w:name="_Toc121909789"/>
      <w:r w:rsidRPr="00710C30">
        <w:t>Frequency and duration of follow-up</w:t>
      </w:r>
      <w:bookmarkEnd w:id="162"/>
      <w:bookmarkEnd w:id="163"/>
      <w:bookmarkEnd w:id="164"/>
      <w:r w:rsidRPr="00710C30">
        <w:t xml:space="preserve"> </w:t>
      </w:r>
    </w:p>
    <w:p w14:paraId="7B7901FF" w14:textId="77777777" w:rsidR="005E126D" w:rsidRPr="00710C30" w:rsidRDefault="005E126D" w:rsidP="005E126D">
      <w:pPr>
        <w:jc w:val="both"/>
        <w:rPr>
          <w:rFonts w:asciiTheme="majorHAnsi" w:hAnsiTheme="majorHAnsi"/>
        </w:rPr>
      </w:pPr>
      <w:r w:rsidRPr="00710C30">
        <w:rPr>
          <w:rFonts w:asciiTheme="majorHAnsi" w:hAnsiTheme="majorHAnsi"/>
        </w:rPr>
        <w:t>Following recruitment to the trial, the patients will undergo 32 months of intensive follow up involving 8-monthly clinic visits post-randomisation, except in the following scenario; a patient in groups C or D who becomes Ab positive during the initial 32 months follow up will transfer to the relevant Ab+ group and undergo intensive follow up for a further 32 months from date of transfer.  Therefore, the maximum amount of time that any single patient may remain in intensive follow up is 64 months.</w:t>
      </w:r>
    </w:p>
    <w:p w14:paraId="6C4E8693" w14:textId="77777777" w:rsidR="005E126D" w:rsidRPr="00710C30" w:rsidRDefault="005E126D" w:rsidP="005E126D">
      <w:pPr>
        <w:jc w:val="both"/>
        <w:rPr>
          <w:rFonts w:asciiTheme="majorHAnsi" w:hAnsiTheme="majorHAnsi"/>
        </w:rPr>
      </w:pPr>
    </w:p>
    <w:p w14:paraId="1B8DA7D2" w14:textId="77777777" w:rsidR="005E126D" w:rsidRPr="00710C30" w:rsidRDefault="005E126D" w:rsidP="005E126D">
      <w:pPr>
        <w:jc w:val="both"/>
        <w:rPr>
          <w:rFonts w:asciiTheme="majorHAnsi" w:hAnsiTheme="majorHAnsi"/>
        </w:rPr>
      </w:pPr>
      <w:r w:rsidRPr="00710C30">
        <w:rPr>
          <w:rFonts w:asciiTheme="majorHAnsi" w:hAnsiTheme="majorHAnsi"/>
        </w:rPr>
        <w:t xml:space="preserve">The optimised treatment protocol will be introduced within the first 3 months in those HLA Ab+ patients allocated to this group. Recruits will be seen </w:t>
      </w:r>
      <w:r w:rsidRPr="00710C30">
        <w:rPr>
          <w:rFonts w:asciiTheme="majorHAnsi" w:hAnsiTheme="majorHAnsi"/>
          <w:i/>
        </w:rPr>
        <w:t>up to</w:t>
      </w:r>
      <w:r w:rsidRPr="00710C30">
        <w:rPr>
          <w:rFonts w:asciiTheme="majorHAnsi" w:hAnsiTheme="majorHAnsi"/>
        </w:rPr>
        <w:t xml:space="preserve"> twice weekly during this period (maximum of 6 extra clinic appointments are envisaged), though they should be on maintenance dose prednisolone 7 weeks after initiating optimisation. During this period, they will have full blood count (as above), creatinine, Na</w:t>
      </w:r>
      <w:r w:rsidRPr="00710C30">
        <w:rPr>
          <w:rFonts w:asciiTheme="majorHAnsi" w:hAnsiTheme="majorHAnsi"/>
          <w:vertAlign w:val="superscript"/>
        </w:rPr>
        <w:t>+</w:t>
      </w:r>
      <w:r w:rsidRPr="00710C30">
        <w:rPr>
          <w:rFonts w:asciiTheme="majorHAnsi" w:hAnsiTheme="majorHAnsi"/>
        </w:rPr>
        <w:t>, K</w:t>
      </w:r>
      <w:r w:rsidRPr="00710C30">
        <w:rPr>
          <w:rFonts w:asciiTheme="majorHAnsi" w:hAnsiTheme="majorHAnsi"/>
          <w:vertAlign w:val="superscript"/>
        </w:rPr>
        <w:t>+</w:t>
      </w:r>
      <w:r w:rsidRPr="00710C30">
        <w:rPr>
          <w:rFonts w:asciiTheme="majorHAnsi" w:hAnsiTheme="majorHAnsi"/>
        </w:rPr>
        <w:t>, glucose, calcineurin inhibitor trough levels and blood pressure monitored according to the trial protocol. Once stabilized, they will be seen at least 8 monthlies in transplant clinic. Patients allocated to all other groups will be seen at least every 8 months in transplant clinic for formal study assessments.  Patients may be seen at other times during this period, according to clinical need, but study assessments should be done within the time parameters established in the protocol.</w:t>
      </w:r>
    </w:p>
    <w:p w14:paraId="246BE4DA" w14:textId="77777777" w:rsidR="005E126D" w:rsidRPr="00710C30" w:rsidRDefault="005E126D" w:rsidP="005E126D">
      <w:pPr>
        <w:jc w:val="both"/>
        <w:rPr>
          <w:rFonts w:asciiTheme="majorHAnsi" w:hAnsiTheme="majorHAnsi"/>
        </w:rPr>
      </w:pPr>
    </w:p>
    <w:p w14:paraId="5A37568F" w14:textId="77777777" w:rsidR="005E126D" w:rsidRPr="00710C30" w:rsidRDefault="005E126D" w:rsidP="005E126D">
      <w:pPr>
        <w:jc w:val="both"/>
        <w:rPr>
          <w:rFonts w:asciiTheme="majorHAnsi" w:hAnsiTheme="majorHAnsi"/>
        </w:rPr>
      </w:pPr>
      <w:r w:rsidRPr="00710C30">
        <w:rPr>
          <w:rFonts w:asciiTheme="majorHAnsi" w:hAnsiTheme="majorHAnsi"/>
        </w:rPr>
        <w:t>Once every 8 months the following will be recorded. a) Weight and bp; b) Full blood count (minimum Hb, WCC, platelets); c) Biochemical series (creatinine, Na</w:t>
      </w:r>
      <w:r w:rsidRPr="00710C30">
        <w:rPr>
          <w:rFonts w:asciiTheme="majorHAnsi" w:hAnsiTheme="majorHAnsi"/>
          <w:vertAlign w:val="superscript"/>
        </w:rPr>
        <w:t>+</w:t>
      </w:r>
      <w:r w:rsidRPr="00710C30">
        <w:rPr>
          <w:rFonts w:asciiTheme="majorHAnsi" w:hAnsiTheme="majorHAnsi"/>
        </w:rPr>
        <w:t>, K</w:t>
      </w:r>
      <w:r w:rsidRPr="00710C30">
        <w:rPr>
          <w:rFonts w:asciiTheme="majorHAnsi" w:hAnsiTheme="majorHAnsi"/>
          <w:vertAlign w:val="superscript"/>
        </w:rPr>
        <w:t>+</w:t>
      </w:r>
      <w:r w:rsidRPr="00710C30">
        <w:rPr>
          <w:rFonts w:asciiTheme="majorHAnsi" w:hAnsiTheme="majorHAnsi"/>
        </w:rPr>
        <w:t>, bicarbonate, calcium, CRP, glucose); d) MDRD eGFR on latest creatinine; e) calcineurin inhibitor trough levels; f) protein: creatinine ratio on urine sample; g) total immunoglobulin levels; h) episodes of infection, malignancy or new DM; i) episodes considered to be adverse events.  Every 16 months a lipid profile will be performed.</w:t>
      </w:r>
    </w:p>
    <w:p w14:paraId="1800A436" w14:textId="77777777" w:rsidR="005E126D" w:rsidRPr="00710C30" w:rsidRDefault="005E126D" w:rsidP="005E126D">
      <w:pPr>
        <w:jc w:val="both"/>
        <w:rPr>
          <w:rFonts w:asciiTheme="majorHAnsi" w:hAnsiTheme="majorHAnsi"/>
        </w:rPr>
      </w:pPr>
    </w:p>
    <w:p w14:paraId="6BA8738C" w14:textId="77777777" w:rsidR="005E126D" w:rsidRPr="00710C30" w:rsidRDefault="005E126D" w:rsidP="005E126D">
      <w:pPr>
        <w:jc w:val="both"/>
        <w:rPr>
          <w:rFonts w:asciiTheme="majorHAnsi" w:hAnsiTheme="majorHAnsi"/>
        </w:rPr>
      </w:pPr>
      <w:r w:rsidRPr="00710C30">
        <w:rPr>
          <w:rFonts w:asciiTheme="majorHAnsi" w:hAnsiTheme="majorHAnsi"/>
        </w:rPr>
        <w:lastRenderedPageBreak/>
        <w:t>Once every 8 months, HLA Ab-negative patients will undergo further screening for HLA Ab (see above). At the end of the study, all patients will undergo a final test for HLA Ab status.</w:t>
      </w:r>
    </w:p>
    <w:p w14:paraId="3865AA16" w14:textId="77777777" w:rsidR="005E126D" w:rsidRDefault="005E126D" w:rsidP="005E126D">
      <w:pPr>
        <w:jc w:val="both"/>
        <w:rPr>
          <w:rFonts w:asciiTheme="majorHAnsi" w:hAnsiTheme="majorHAnsi"/>
        </w:rPr>
      </w:pPr>
    </w:p>
    <w:p w14:paraId="2F3ADAF2" w14:textId="77777777" w:rsidR="005E126D" w:rsidRPr="00710C30" w:rsidRDefault="005E126D" w:rsidP="005E126D">
      <w:pPr>
        <w:jc w:val="both"/>
        <w:rPr>
          <w:rFonts w:asciiTheme="majorHAnsi" w:hAnsiTheme="majorHAnsi"/>
        </w:rPr>
      </w:pPr>
    </w:p>
    <w:p w14:paraId="7FEE3E4B" w14:textId="77777777" w:rsidR="005E126D" w:rsidRDefault="005E126D" w:rsidP="005E126D">
      <w:pPr>
        <w:jc w:val="both"/>
        <w:rPr>
          <w:rFonts w:asciiTheme="majorHAnsi" w:hAnsiTheme="majorHAnsi"/>
        </w:rPr>
      </w:pPr>
      <w:r w:rsidRPr="00710C30">
        <w:rPr>
          <w:rFonts w:asciiTheme="majorHAnsi" w:hAnsiTheme="majorHAnsi"/>
        </w:rPr>
        <w:t xml:space="preserve">Upon completion of the 32- to 64-month intensive follow up, consisting of 8-monthly research visits, the participants will be told by the research nurses that they no longer need to attend to clinic for research visits, but their regular clinic visits will continue. At the last intensive follow up visit a HLA Ab sample will be collected from all participants. </w:t>
      </w:r>
      <w:r>
        <w:rPr>
          <w:rFonts w:asciiTheme="majorHAnsi" w:hAnsiTheme="majorHAnsi"/>
        </w:rPr>
        <w:t>The original plan was for the study to conclude once the final participant</w:t>
      </w:r>
      <w:r w:rsidRPr="00710C30">
        <w:rPr>
          <w:rFonts w:asciiTheme="majorHAnsi" w:hAnsiTheme="majorHAnsi"/>
        </w:rPr>
        <w:t xml:space="preserve"> reach</w:t>
      </w:r>
      <w:r>
        <w:rPr>
          <w:rFonts w:asciiTheme="majorHAnsi" w:hAnsiTheme="majorHAnsi"/>
        </w:rPr>
        <w:t>ed</w:t>
      </w:r>
      <w:r w:rsidRPr="00710C30">
        <w:rPr>
          <w:rFonts w:asciiTheme="majorHAnsi" w:hAnsiTheme="majorHAnsi"/>
        </w:rPr>
        <w:t xml:space="preserve"> 43 months post-randomisation in June 2020</w:t>
      </w:r>
      <w:r>
        <w:rPr>
          <w:rFonts w:asciiTheme="majorHAnsi" w:hAnsiTheme="majorHAnsi"/>
        </w:rPr>
        <w:t xml:space="preserve"> and</w:t>
      </w:r>
      <w:r w:rsidRPr="00710C30">
        <w:rPr>
          <w:rFonts w:asciiTheme="majorHAnsi" w:hAnsiTheme="majorHAnsi"/>
        </w:rPr>
        <w:t xml:space="preserve"> </w:t>
      </w:r>
      <w:r>
        <w:rPr>
          <w:rFonts w:asciiTheme="majorHAnsi" w:hAnsiTheme="majorHAnsi"/>
        </w:rPr>
        <w:t>i</w:t>
      </w:r>
      <w:r w:rsidRPr="00710C30">
        <w:rPr>
          <w:rFonts w:asciiTheme="majorHAnsi" w:hAnsiTheme="majorHAnsi"/>
        </w:rPr>
        <w:t xml:space="preserve">n the three months prior to the conclusion of the study, data regarding the primary endpoint </w:t>
      </w:r>
      <w:r>
        <w:rPr>
          <w:rFonts w:asciiTheme="majorHAnsi" w:hAnsiTheme="majorHAnsi"/>
        </w:rPr>
        <w:t>was to</w:t>
      </w:r>
      <w:r w:rsidRPr="00710C30">
        <w:rPr>
          <w:rFonts w:asciiTheme="majorHAnsi" w:hAnsiTheme="majorHAnsi"/>
        </w:rPr>
        <w:t xml:space="preserve"> be collected from patient notes for all participants </w:t>
      </w:r>
    </w:p>
    <w:p w14:paraId="71D8AEEA" w14:textId="77777777" w:rsidR="005E126D" w:rsidRDefault="005E126D" w:rsidP="005E126D">
      <w:pPr>
        <w:jc w:val="both"/>
        <w:rPr>
          <w:rFonts w:asciiTheme="majorHAnsi" w:hAnsiTheme="majorHAnsi"/>
        </w:rPr>
      </w:pPr>
    </w:p>
    <w:p w14:paraId="20BB47F6" w14:textId="77777777" w:rsidR="005E126D" w:rsidRPr="00BF5A50" w:rsidRDefault="005E126D" w:rsidP="005E126D">
      <w:pPr>
        <w:rPr>
          <w:rFonts w:asciiTheme="majorHAnsi" w:hAnsiTheme="majorHAnsi"/>
        </w:rPr>
      </w:pPr>
      <w:r w:rsidRPr="00BF5A50">
        <w:rPr>
          <w:rFonts w:asciiTheme="majorHAnsi" w:hAnsiTheme="majorHAnsi"/>
        </w:rPr>
        <w:t>Due to the coronavirus pandemic in the UK in 2020 most clinical trial activity, including this trial, was severely limited and so it was not possible to rely on the original plan to obtain the primary endpoint data between April and June 2020. For this reason, the best alternative was to obtain the primary endpoint data from patients’ clinic notes</w:t>
      </w:r>
      <w:r>
        <w:rPr>
          <w:rFonts w:asciiTheme="majorHAnsi" w:hAnsiTheme="majorHAnsi"/>
        </w:rPr>
        <w:t xml:space="preserve"> once the coronavirus situation had eased and clinical trial activity re-started nationwide</w:t>
      </w:r>
      <w:r w:rsidRPr="00BF5A50">
        <w:rPr>
          <w:rFonts w:asciiTheme="majorHAnsi" w:hAnsiTheme="majorHAnsi"/>
        </w:rPr>
        <w:t xml:space="preserve">. Evidence for graft failure or death will </w:t>
      </w:r>
      <w:r>
        <w:rPr>
          <w:rFonts w:asciiTheme="majorHAnsi" w:hAnsiTheme="majorHAnsi"/>
        </w:rPr>
        <w:t xml:space="preserve">now </w:t>
      </w:r>
      <w:r w:rsidRPr="00BF5A50">
        <w:rPr>
          <w:rFonts w:asciiTheme="majorHAnsi" w:hAnsiTheme="majorHAnsi"/>
        </w:rPr>
        <w:t>be taken from the participants’ last hospital contact prior to March 16</w:t>
      </w:r>
      <w:r>
        <w:rPr>
          <w:rFonts w:asciiTheme="majorHAnsi" w:hAnsiTheme="majorHAnsi"/>
        </w:rPr>
        <w:t>th</w:t>
      </w:r>
      <w:r w:rsidRPr="00AF1080">
        <w:rPr>
          <w:rFonts w:asciiTheme="majorHAnsi" w:hAnsiTheme="majorHAnsi"/>
        </w:rPr>
        <w:t>, 2020</w:t>
      </w:r>
      <w:r w:rsidRPr="00BF5A50">
        <w:rPr>
          <w:rFonts w:asciiTheme="majorHAnsi" w:hAnsiTheme="majorHAnsi"/>
        </w:rPr>
        <w:t>. These data, which will reflect participants’ pre-COVID status, will be used for the primary endpoint analysis. Evidence of graft failure or death will also be taken from participants’ notes from their most recent hospital contact at the point of a final assessment between September 1</w:t>
      </w:r>
      <w:r>
        <w:rPr>
          <w:rFonts w:asciiTheme="majorHAnsi" w:hAnsiTheme="majorHAnsi"/>
        </w:rPr>
        <w:t>st</w:t>
      </w:r>
      <w:r w:rsidRPr="00AF1080">
        <w:rPr>
          <w:rFonts w:asciiTheme="majorHAnsi" w:hAnsiTheme="majorHAnsi"/>
        </w:rPr>
        <w:t>, 2020</w:t>
      </w:r>
      <w:r w:rsidRPr="00BF5A50">
        <w:rPr>
          <w:rFonts w:asciiTheme="majorHAnsi" w:hAnsiTheme="majorHAnsi"/>
        </w:rPr>
        <w:t xml:space="preserve"> and November 30</w:t>
      </w:r>
      <w:r>
        <w:rPr>
          <w:rFonts w:asciiTheme="majorHAnsi" w:hAnsiTheme="majorHAnsi"/>
        </w:rPr>
        <w:t>th</w:t>
      </w:r>
      <w:r w:rsidRPr="00BF5A50">
        <w:rPr>
          <w:rFonts w:asciiTheme="majorHAnsi" w:hAnsiTheme="majorHAnsi"/>
        </w:rPr>
        <w:t>, 2020. During this designated three-month window, endpoint data will be collected from each patient</w:t>
      </w:r>
      <w:r>
        <w:rPr>
          <w:rFonts w:asciiTheme="majorHAnsi" w:hAnsiTheme="majorHAnsi"/>
        </w:rPr>
        <w:t>’</w:t>
      </w:r>
      <w:r w:rsidRPr="00BF5A50">
        <w:rPr>
          <w:rFonts w:asciiTheme="majorHAnsi" w:hAnsiTheme="majorHAnsi"/>
        </w:rPr>
        <w:t>s notes only once</w:t>
      </w:r>
      <w:r>
        <w:rPr>
          <w:rFonts w:asciiTheme="majorHAnsi" w:hAnsiTheme="majorHAnsi"/>
        </w:rPr>
        <w:t>; the window is simply for pragmatic reasons to allow centre research staff sufficient time to check all patients’ notes</w:t>
      </w:r>
      <w:r w:rsidRPr="00BF5A50">
        <w:rPr>
          <w:rFonts w:asciiTheme="majorHAnsi" w:hAnsiTheme="majorHAnsi"/>
        </w:rPr>
        <w:t>. These data, reflecting status post-onset of COVID crisis, will be used for a sensitivity analysis. The trial will conclude on November 30</w:t>
      </w:r>
      <w:r>
        <w:rPr>
          <w:rFonts w:asciiTheme="majorHAnsi" w:hAnsiTheme="majorHAnsi"/>
        </w:rPr>
        <w:t>th</w:t>
      </w:r>
      <w:r w:rsidRPr="00CF1605">
        <w:rPr>
          <w:rFonts w:asciiTheme="majorHAnsi" w:hAnsiTheme="majorHAnsi"/>
        </w:rPr>
        <w:t>, 2020</w:t>
      </w:r>
      <w:r w:rsidRPr="00BF5A50">
        <w:rPr>
          <w:rFonts w:asciiTheme="majorHAnsi" w:hAnsiTheme="majorHAnsi"/>
        </w:rPr>
        <w:t xml:space="preserve">. </w:t>
      </w:r>
    </w:p>
    <w:p w14:paraId="4BC47312" w14:textId="77777777" w:rsidR="005E126D" w:rsidRDefault="005E126D" w:rsidP="005E126D">
      <w:pPr>
        <w:jc w:val="both"/>
        <w:rPr>
          <w:rFonts w:asciiTheme="majorHAnsi" w:hAnsiTheme="majorHAnsi"/>
        </w:rPr>
      </w:pPr>
    </w:p>
    <w:p w14:paraId="4A7F570D" w14:textId="77777777" w:rsidR="005E126D" w:rsidRPr="00710C30" w:rsidRDefault="005E126D" w:rsidP="005E126D">
      <w:pPr>
        <w:jc w:val="both"/>
        <w:rPr>
          <w:rFonts w:asciiTheme="majorHAnsi" w:hAnsiTheme="majorHAnsi"/>
        </w:rPr>
      </w:pPr>
    </w:p>
    <w:p w14:paraId="123B5B94" w14:textId="77777777" w:rsidR="005E126D" w:rsidRPr="00710C30" w:rsidRDefault="005E126D" w:rsidP="00BC6790">
      <w:pPr>
        <w:pStyle w:val="Heading3"/>
      </w:pPr>
      <w:r w:rsidRPr="00710C30">
        <w:t> </w:t>
      </w:r>
      <w:bookmarkStart w:id="165" w:name="_Toc531176982"/>
      <w:bookmarkStart w:id="166" w:name="_Toc121909790"/>
      <w:r w:rsidRPr="00710C30">
        <w:t>Data collection</w:t>
      </w:r>
      <w:bookmarkEnd w:id="165"/>
      <w:bookmarkEnd w:id="166"/>
      <w:r w:rsidRPr="00710C30">
        <w:t xml:space="preserve"> </w:t>
      </w:r>
    </w:p>
    <w:p w14:paraId="0A34E5AE" w14:textId="77777777" w:rsidR="005E126D" w:rsidRPr="00710C30" w:rsidRDefault="005E126D" w:rsidP="00BC6790">
      <w:pPr>
        <w:pStyle w:val="Subtitle"/>
        <w:jc w:val="both"/>
        <w:outlineLvl w:val="3"/>
        <w:rPr>
          <w:lang w:val="en-GB"/>
        </w:rPr>
      </w:pPr>
      <w:r w:rsidRPr="00710C30">
        <w:rPr>
          <w:lang w:val="en-GB"/>
        </w:rPr>
        <w:t>Eligibility Screening</w:t>
      </w:r>
    </w:p>
    <w:p w14:paraId="2A5BFE6F"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r w:rsidRPr="00710C30">
        <w:rPr>
          <w:rFonts w:asciiTheme="majorHAnsi" w:hAnsiTheme="majorHAnsi"/>
        </w:rPr>
        <w:t>Potentially eligible patients will be approached at a routine clinic appointment by the PI or research nurses and given printed and verbal information about the trial. They will have the opportunity to return for a second consultation within a few days to give informed consent for recruitment into the study or to do this on their next routine appointment.  Alternatively, eligible patients will be sent information about the study through the post, for discussion and consent at their next routine appointment.  Following consent, full eligibility criteria will be reviewed. This may include testing for chronic viral disease (if no such test within last 5 years) or pregnancy (if history suggests possibility of pregnancy).</w:t>
      </w:r>
    </w:p>
    <w:p w14:paraId="263CA0F9"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p>
    <w:p w14:paraId="7EF83038" w14:textId="77777777" w:rsidR="005E126D" w:rsidRPr="00710C30" w:rsidRDefault="005E126D" w:rsidP="00BC6790">
      <w:pPr>
        <w:pStyle w:val="Subtitle"/>
        <w:jc w:val="both"/>
        <w:outlineLvl w:val="3"/>
        <w:rPr>
          <w:lang w:val="en-GB"/>
        </w:rPr>
      </w:pPr>
      <w:bookmarkStart w:id="167" w:name="_Toc221669035"/>
      <w:r w:rsidRPr="00710C30">
        <w:rPr>
          <w:lang w:val="en-GB"/>
        </w:rPr>
        <w:t>Inclusion Criteria</w:t>
      </w:r>
      <w:bookmarkEnd w:id="167"/>
    </w:p>
    <w:p w14:paraId="125EC44A"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r w:rsidRPr="00710C30">
        <w:rPr>
          <w:rFonts w:asciiTheme="majorHAnsi" w:hAnsiTheme="majorHAnsi"/>
        </w:rPr>
        <w:lastRenderedPageBreak/>
        <w:t>• Sufficient grasp of English to enable written and witnessed informed consent to participate.</w:t>
      </w:r>
    </w:p>
    <w:p w14:paraId="589D0CBE"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r w:rsidRPr="00710C30">
        <w:rPr>
          <w:rFonts w:asciiTheme="majorHAnsi" w:hAnsiTheme="majorHAnsi"/>
        </w:rPr>
        <w:t>• Renal transplant recipients &gt;1 year post-transplantation, male or female</w:t>
      </w:r>
    </w:p>
    <w:p w14:paraId="1BFEC844"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r w:rsidRPr="00710C30">
        <w:rPr>
          <w:rFonts w:asciiTheme="majorHAnsi" w:hAnsiTheme="majorHAnsi"/>
        </w:rPr>
        <w:t>• Aged 18-75 years</w:t>
      </w:r>
    </w:p>
    <w:p w14:paraId="18559A1E"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r w:rsidRPr="00710C30">
        <w:rPr>
          <w:rFonts w:asciiTheme="majorHAnsi" w:hAnsiTheme="majorHAnsi"/>
        </w:rPr>
        <w:t>• Estimated glomerular filtration rate (eGFR by 4 variable MDRD) of ≥30 (within the previous 6 months of signing consent or taken at screening if not done in the previous 6 months).</w:t>
      </w:r>
    </w:p>
    <w:p w14:paraId="27063A54"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p>
    <w:p w14:paraId="34F882A8" w14:textId="77777777" w:rsidR="005E126D" w:rsidRPr="00710C30" w:rsidRDefault="005E126D" w:rsidP="005E126D">
      <w:pPr>
        <w:pStyle w:val="Subtitle"/>
        <w:jc w:val="both"/>
        <w:rPr>
          <w:lang w:val="en-GB"/>
        </w:rPr>
      </w:pPr>
      <w:bookmarkStart w:id="168" w:name="_Toc221669036"/>
      <w:r w:rsidRPr="00710C30">
        <w:rPr>
          <w:lang w:val="en-GB"/>
        </w:rPr>
        <w:t>Exclusion Criteria</w:t>
      </w:r>
      <w:bookmarkEnd w:id="168"/>
    </w:p>
    <w:p w14:paraId="3CB92E37"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r w:rsidRPr="00710C30">
        <w:rPr>
          <w:rFonts w:asciiTheme="majorHAnsi" w:hAnsiTheme="majorHAnsi"/>
        </w:rPr>
        <w:t>• Recipient requiring HLA desensitisation to remove antibody for a positive XM transplant</w:t>
      </w:r>
    </w:p>
    <w:p w14:paraId="272EBCE3"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r w:rsidRPr="00710C30">
        <w:rPr>
          <w:rFonts w:asciiTheme="majorHAnsi" w:hAnsiTheme="majorHAnsi"/>
        </w:rPr>
        <w:t>• Recipient known already to have HLA antibody WHO HAS RECEIVED specific intervention for that antibody or for CAMR/chronic rejection</w:t>
      </w:r>
    </w:p>
    <w:p w14:paraId="47112030"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r w:rsidRPr="00710C30">
        <w:rPr>
          <w:rFonts w:asciiTheme="majorHAnsi" w:hAnsiTheme="majorHAnsi"/>
        </w:rPr>
        <w:t>• Recipient of additional solid organ transplants (e.g. pancreas, heart, etc.).</w:t>
      </w:r>
    </w:p>
    <w:p w14:paraId="770CB577"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r w:rsidRPr="00710C30">
        <w:rPr>
          <w:rFonts w:asciiTheme="majorHAnsi" w:hAnsiTheme="majorHAnsi"/>
        </w:rPr>
        <w:t>• History of malignancy in previous 5 years (excluding non-melanomatous tumours limited to skin)</w:t>
      </w:r>
    </w:p>
    <w:p w14:paraId="3D9A82E1"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r w:rsidRPr="00710C30">
        <w:rPr>
          <w:rFonts w:asciiTheme="majorHAnsi" w:hAnsiTheme="majorHAnsi"/>
        </w:rPr>
        <w:t>• HBsAg+, HepC IgG+ or HIV+ recipient (on test performed within previous 5 years)</w:t>
      </w:r>
    </w:p>
    <w:p w14:paraId="6B9BB3E6"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r w:rsidRPr="00710C30">
        <w:rPr>
          <w:rFonts w:asciiTheme="majorHAnsi" w:hAnsiTheme="majorHAnsi"/>
        </w:rPr>
        <w:t>• History of acute rejection requiring escalation of immunosuppression in the 6 months prior to screening.</w:t>
      </w:r>
    </w:p>
    <w:p w14:paraId="4F51674E"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r w:rsidRPr="00710C30">
        <w:rPr>
          <w:rFonts w:asciiTheme="majorHAnsi" w:hAnsiTheme="majorHAnsi"/>
        </w:rPr>
        <w:t>• Patient enrolled in any other studies involving administration of another IMP at time of recruitment</w:t>
      </w:r>
    </w:p>
    <w:p w14:paraId="00F4F2C8" w14:textId="77777777" w:rsidR="005E126D" w:rsidRPr="00710C30" w:rsidRDefault="005E126D" w:rsidP="005E126D">
      <w:pPr>
        <w:pStyle w:val="ListParagraph"/>
        <w:numPr>
          <w:ilvl w:val="0"/>
          <w:numId w:val="30"/>
        </w:numPr>
        <w:spacing w:after="0" w:line="240" w:lineRule="auto"/>
        <w:jc w:val="both"/>
        <w:rPr>
          <w:rFonts w:asciiTheme="majorHAnsi" w:hAnsiTheme="majorHAnsi"/>
          <w:i/>
        </w:rPr>
      </w:pPr>
      <w:r w:rsidRPr="00710C30">
        <w:rPr>
          <w:rFonts w:asciiTheme="majorHAnsi" w:hAnsiTheme="majorHAnsi"/>
          <w:i/>
        </w:rPr>
        <w:t>The following exclusion criteria are based on information contained within the SMPcs of the IMPs</w:t>
      </w:r>
    </w:p>
    <w:p w14:paraId="50129528"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r w:rsidRPr="00710C30">
        <w:rPr>
          <w:rFonts w:asciiTheme="majorHAnsi" w:hAnsiTheme="majorHAnsi"/>
        </w:rPr>
        <w:t>• Known hypersensitivity to any of the IMPs</w:t>
      </w:r>
    </w:p>
    <w:p w14:paraId="73F109B4"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r w:rsidRPr="00710C30">
        <w:rPr>
          <w:rFonts w:asciiTheme="majorHAnsi" w:hAnsiTheme="majorHAnsi"/>
        </w:rPr>
        <w:t>• Known hereditary disorders of carbohydrate metabolism</w:t>
      </w:r>
    </w:p>
    <w:p w14:paraId="010E3275"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r w:rsidRPr="00710C30">
        <w:rPr>
          <w:rFonts w:asciiTheme="majorHAnsi" w:hAnsiTheme="majorHAnsi"/>
        </w:rPr>
        <w:t>• Pregnancy or breastfeeding females (based on verbal history of recipient)</w:t>
      </w:r>
    </w:p>
    <w:p w14:paraId="18B273EB"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r w:rsidRPr="00710C30">
        <w:rPr>
          <w:rFonts w:asciiTheme="majorHAnsi" w:hAnsiTheme="majorHAnsi"/>
        </w:rPr>
        <w:t>• Pre-menopausal females who refuse to consent to using suitable methods of contraception throughout the trial.</w:t>
      </w:r>
    </w:p>
    <w:p w14:paraId="1115C7CE" w14:textId="77777777" w:rsidR="005E126D" w:rsidRPr="00710C30" w:rsidRDefault="005E126D" w:rsidP="005E126D">
      <w:pPr>
        <w:pStyle w:val="ListParagraph"/>
        <w:numPr>
          <w:ilvl w:val="0"/>
          <w:numId w:val="30"/>
        </w:numPr>
        <w:spacing w:after="0" w:line="240" w:lineRule="auto"/>
        <w:jc w:val="both"/>
        <w:rPr>
          <w:rFonts w:asciiTheme="majorHAnsi" w:hAnsiTheme="majorHAnsi"/>
        </w:rPr>
      </w:pPr>
    </w:p>
    <w:p w14:paraId="0B9EE91E" w14:textId="77777777" w:rsidR="005E126D" w:rsidRPr="00710C30" w:rsidRDefault="005E126D" w:rsidP="00BC6790">
      <w:pPr>
        <w:pStyle w:val="Subtitle"/>
        <w:jc w:val="both"/>
        <w:outlineLvl w:val="3"/>
        <w:rPr>
          <w:lang w:val="en-GB"/>
        </w:rPr>
      </w:pPr>
      <w:r w:rsidRPr="00710C30">
        <w:rPr>
          <w:lang w:val="en-GB"/>
        </w:rPr>
        <w:t>Baseline</w:t>
      </w:r>
    </w:p>
    <w:p w14:paraId="6A61D35D" w14:textId="77777777" w:rsidR="005E126D" w:rsidRPr="00710C30" w:rsidRDefault="005E126D" w:rsidP="005E126D">
      <w:pPr>
        <w:jc w:val="both"/>
        <w:rPr>
          <w:rFonts w:asciiTheme="majorHAnsi" w:hAnsiTheme="majorHAnsi"/>
        </w:rPr>
      </w:pPr>
      <w:r w:rsidRPr="00710C30">
        <w:rPr>
          <w:rFonts w:asciiTheme="majorHAnsi" w:hAnsiTheme="majorHAnsi"/>
        </w:rPr>
        <w:t xml:space="preserve">Post consent, patients who have not been screened for HIV or hepatitis B/C within the last 5 years will need to have additional screening tests for these viruses.  Female patients who report they may be pregnant will have a blood test for beta-HCG levels. Once eligibility criteria have been met, the following baseline data will be recorded at recruitment: </w:t>
      </w:r>
    </w:p>
    <w:p w14:paraId="45F68677" w14:textId="77777777" w:rsidR="005E126D" w:rsidRPr="00710C30" w:rsidRDefault="005E126D" w:rsidP="005E126D">
      <w:pPr>
        <w:jc w:val="both"/>
        <w:rPr>
          <w:rFonts w:asciiTheme="majorHAnsi" w:hAnsiTheme="majorHAnsi"/>
        </w:rPr>
      </w:pPr>
      <w:r w:rsidRPr="00710C30">
        <w:rPr>
          <w:rFonts w:asciiTheme="majorHAnsi" w:hAnsiTheme="majorHAnsi"/>
        </w:rPr>
        <w:t xml:space="preserve">a) Weight and bp; </w:t>
      </w:r>
    </w:p>
    <w:p w14:paraId="1D916623" w14:textId="77777777" w:rsidR="005E126D" w:rsidRPr="00710C30" w:rsidRDefault="005E126D" w:rsidP="005E126D">
      <w:pPr>
        <w:jc w:val="both"/>
        <w:rPr>
          <w:rFonts w:asciiTheme="majorHAnsi" w:hAnsiTheme="majorHAnsi"/>
        </w:rPr>
      </w:pPr>
      <w:r w:rsidRPr="00710C30">
        <w:rPr>
          <w:rFonts w:asciiTheme="majorHAnsi" w:hAnsiTheme="majorHAnsi"/>
        </w:rPr>
        <w:t>b) Sex and ethnicity;</w:t>
      </w:r>
    </w:p>
    <w:p w14:paraId="6E081D8F" w14:textId="77777777" w:rsidR="005E126D" w:rsidRPr="00710C30" w:rsidRDefault="005E126D" w:rsidP="005E126D">
      <w:pPr>
        <w:jc w:val="both"/>
        <w:rPr>
          <w:rFonts w:asciiTheme="majorHAnsi" w:hAnsiTheme="majorHAnsi"/>
        </w:rPr>
      </w:pPr>
      <w:r w:rsidRPr="00710C30">
        <w:rPr>
          <w:rFonts w:asciiTheme="majorHAnsi" w:hAnsiTheme="majorHAnsi"/>
        </w:rPr>
        <w:t xml:space="preserve">c) Age and date of birth; </w:t>
      </w:r>
    </w:p>
    <w:p w14:paraId="4862F6C7" w14:textId="77777777" w:rsidR="005E126D" w:rsidRPr="00710C30" w:rsidRDefault="005E126D" w:rsidP="005E126D">
      <w:pPr>
        <w:jc w:val="both"/>
        <w:rPr>
          <w:rFonts w:asciiTheme="majorHAnsi" w:hAnsiTheme="majorHAnsi"/>
        </w:rPr>
      </w:pPr>
      <w:r w:rsidRPr="00710C30">
        <w:rPr>
          <w:rFonts w:asciiTheme="majorHAnsi" w:hAnsiTheme="majorHAnsi"/>
        </w:rPr>
        <w:t xml:space="preserve">d) HLA type and that of donor kidney (if known); </w:t>
      </w:r>
    </w:p>
    <w:p w14:paraId="17A205A4" w14:textId="77777777" w:rsidR="005E126D" w:rsidRPr="00710C30" w:rsidRDefault="005E126D" w:rsidP="005E126D">
      <w:pPr>
        <w:jc w:val="both"/>
        <w:rPr>
          <w:rFonts w:asciiTheme="majorHAnsi" w:hAnsiTheme="majorHAnsi"/>
        </w:rPr>
      </w:pPr>
      <w:r w:rsidRPr="00710C30">
        <w:rPr>
          <w:rFonts w:asciiTheme="majorHAnsi" w:hAnsiTheme="majorHAnsi"/>
        </w:rPr>
        <w:t xml:space="preserve">e) Any significant past medical history, including history of diabetes mellitus, cause of renal failure, details of previous transplants and cause of graft loss, evidence of sensitisation pre-transplantation (panel reactive antibody and antibody specificities if known); </w:t>
      </w:r>
    </w:p>
    <w:p w14:paraId="3DBF13C9" w14:textId="77777777" w:rsidR="005E126D" w:rsidRPr="00710C30" w:rsidRDefault="005E126D" w:rsidP="005E126D">
      <w:pPr>
        <w:jc w:val="both"/>
        <w:rPr>
          <w:rFonts w:asciiTheme="majorHAnsi" w:hAnsiTheme="majorHAnsi"/>
        </w:rPr>
      </w:pPr>
      <w:r w:rsidRPr="00710C30">
        <w:rPr>
          <w:rFonts w:asciiTheme="majorHAnsi" w:hAnsiTheme="majorHAnsi"/>
        </w:rPr>
        <w:t>f) medication list and doses;</w:t>
      </w:r>
    </w:p>
    <w:p w14:paraId="6666CA21" w14:textId="77777777" w:rsidR="005E126D" w:rsidRPr="00710C30" w:rsidRDefault="005E126D" w:rsidP="005E126D">
      <w:pPr>
        <w:jc w:val="both"/>
        <w:rPr>
          <w:rFonts w:asciiTheme="majorHAnsi" w:hAnsiTheme="majorHAnsi"/>
        </w:rPr>
      </w:pPr>
      <w:r w:rsidRPr="00710C30">
        <w:rPr>
          <w:rFonts w:asciiTheme="majorHAnsi" w:hAnsiTheme="majorHAnsi"/>
        </w:rPr>
        <w:lastRenderedPageBreak/>
        <w:t>g) PCR on urine sample</w:t>
      </w:r>
    </w:p>
    <w:p w14:paraId="1065321A" w14:textId="77777777" w:rsidR="005E126D" w:rsidRPr="00710C30" w:rsidRDefault="005E126D" w:rsidP="005E126D">
      <w:pPr>
        <w:jc w:val="both"/>
        <w:rPr>
          <w:rFonts w:asciiTheme="majorHAnsi" w:hAnsiTheme="majorHAnsi"/>
        </w:rPr>
      </w:pPr>
    </w:p>
    <w:p w14:paraId="153FC852" w14:textId="77777777" w:rsidR="005E126D" w:rsidRPr="00710C30" w:rsidRDefault="005E126D" w:rsidP="005E126D">
      <w:pPr>
        <w:jc w:val="both"/>
        <w:rPr>
          <w:rFonts w:asciiTheme="majorHAnsi" w:hAnsiTheme="majorHAnsi"/>
        </w:rPr>
      </w:pPr>
      <w:r w:rsidRPr="00710C30">
        <w:rPr>
          <w:rFonts w:asciiTheme="majorHAnsi" w:hAnsiTheme="majorHAnsi"/>
        </w:rPr>
        <w:t>All patients will then have blood taken for;</w:t>
      </w:r>
    </w:p>
    <w:p w14:paraId="4AF4A018" w14:textId="77777777" w:rsidR="005E126D" w:rsidRPr="00710C30" w:rsidRDefault="005E126D" w:rsidP="005E126D">
      <w:pPr>
        <w:jc w:val="both"/>
        <w:rPr>
          <w:rFonts w:asciiTheme="majorHAnsi" w:hAnsiTheme="majorHAnsi"/>
        </w:rPr>
      </w:pPr>
      <w:r w:rsidRPr="00710C30">
        <w:rPr>
          <w:rFonts w:asciiTheme="majorHAnsi" w:hAnsiTheme="majorHAnsi"/>
        </w:rPr>
        <w:t>i) Baseline clinical parameters: a) Full blood count (minimum Hb, WCC, platelets); b) Biochemical series (creatinine, Na</w:t>
      </w:r>
      <w:r w:rsidRPr="00710C30">
        <w:rPr>
          <w:rFonts w:asciiTheme="majorHAnsi" w:hAnsiTheme="majorHAnsi"/>
          <w:vertAlign w:val="superscript"/>
        </w:rPr>
        <w:t>+</w:t>
      </w:r>
      <w:r w:rsidRPr="00710C30">
        <w:rPr>
          <w:rFonts w:asciiTheme="majorHAnsi" w:hAnsiTheme="majorHAnsi"/>
        </w:rPr>
        <w:t>, K</w:t>
      </w:r>
      <w:r w:rsidRPr="00710C30">
        <w:rPr>
          <w:rFonts w:asciiTheme="majorHAnsi" w:hAnsiTheme="majorHAnsi"/>
          <w:vertAlign w:val="superscript"/>
        </w:rPr>
        <w:t>+</w:t>
      </w:r>
      <w:r w:rsidRPr="00710C30">
        <w:rPr>
          <w:rFonts w:asciiTheme="majorHAnsi" w:hAnsiTheme="majorHAnsi"/>
        </w:rPr>
        <w:t>, bicarbonate, calcium, CRP, lipid profile, glucose); c) MDRD eGFR on latest creatinine; d) current calcineurin inhibitor 12 hour trough levels (as appropriate); e) Total Immunoglobulin levels</w:t>
      </w:r>
    </w:p>
    <w:p w14:paraId="25AE9C4D" w14:textId="77777777" w:rsidR="005E126D" w:rsidRPr="00710C30" w:rsidRDefault="005E126D" w:rsidP="005E126D">
      <w:pPr>
        <w:jc w:val="both"/>
        <w:rPr>
          <w:rFonts w:asciiTheme="majorHAnsi" w:hAnsiTheme="majorHAnsi"/>
        </w:rPr>
      </w:pPr>
      <w:r w:rsidRPr="00710C30">
        <w:rPr>
          <w:rFonts w:asciiTheme="majorHAnsi" w:hAnsiTheme="majorHAnsi"/>
        </w:rPr>
        <w:t>ii) Scientific analyses: 50-60 mls blood for separation of PBMC and 20mls for serum storage.</w:t>
      </w:r>
    </w:p>
    <w:p w14:paraId="36AEF8CF" w14:textId="77777777" w:rsidR="005E126D" w:rsidRPr="00710C30" w:rsidRDefault="005E126D" w:rsidP="005E126D">
      <w:pPr>
        <w:jc w:val="both"/>
        <w:rPr>
          <w:rFonts w:asciiTheme="majorHAnsi" w:hAnsiTheme="majorHAnsi"/>
        </w:rPr>
      </w:pPr>
      <w:r w:rsidRPr="00710C30">
        <w:rPr>
          <w:rFonts w:asciiTheme="majorHAnsi" w:hAnsiTheme="majorHAnsi"/>
        </w:rPr>
        <w:t>iii) Analysis of HLA Ab status (10mls clotted blood), as described above, which will allow randomization to proceed.</w:t>
      </w:r>
    </w:p>
    <w:p w14:paraId="718BF7EF" w14:textId="77777777" w:rsidR="005E126D" w:rsidRPr="00710C30" w:rsidRDefault="005E126D" w:rsidP="005E126D">
      <w:pPr>
        <w:jc w:val="both"/>
        <w:rPr>
          <w:rFonts w:asciiTheme="majorHAnsi" w:hAnsiTheme="majorHAnsi"/>
        </w:rPr>
      </w:pPr>
    </w:p>
    <w:p w14:paraId="21B38AC1" w14:textId="77777777" w:rsidR="005E126D" w:rsidRPr="00710C30" w:rsidRDefault="005E126D" w:rsidP="005E126D">
      <w:pPr>
        <w:jc w:val="both"/>
        <w:rPr>
          <w:rFonts w:asciiTheme="majorHAnsi" w:hAnsiTheme="majorHAnsi"/>
        </w:rPr>
      </w:pPr>
      <w:r w:rsidRPr="00710C30">
        <w:rPr>
          <w:rFonts w:asciiTheme="majorHAnsi" w:hAnsiTheme="majorHAnsi"/>
        </w:rPr>
        <w:t>All patients will be asked to complete questionnaires to assess attitudes to risk/adherence</w:t>
      </w:r>
      <w:r>
        <w:rPr>
          <w:rFonts w:asciiTheme="majorHAnsi" w:hAnsiTheme="majorHAnsi"/>
        </w:rPr>
        <w:t>.</w:t>
      </w:r>
    </w:p>
    <w:p w14:paraId="7FDEDC8F" w14:textId="77777777" w:rsidR="005E126D" w:rsidRPr="00710C30" w:rsidRDefault="005E126D" w:rsidP="005E126D">
      <w:pPr>
        <w:jc w:val="both"/>
        <w:rPr>
          <w:rFonts w:asciiTheme="majorHAnsi" w:hAnsiTheme="majorHAnsi"/>
        </w:rPr>
      </w:pPr>
    </w:p>
    <w:p w14:paraId="23C060F9" w14:textId="77777777" w:rsidR="005E126D" w:rsidRPr="00710C30" w:rsidRDefault="005E126D" w:rsidP="00BC6790">
      <w:pPr>
        <w:pStyle w:val="Subtitle"/>
        <w:jc w:val="both"/>
        <w:outlineLvl w:val="3"/>
        <w:rPr>
          <w:lang w:val="en-GB"/>
        </w:rPr>
      </w:pPr>
      <w:r w:rsidRPr="00710C30">
        <w:rPr>
          <w:lang w:val="en-GB"/>
        </w:rPr>
        <w:t>Primary outcome measures</w:t>
      </w:r>
    </w:p>
    <w:p w14:paraId="2654F039" w14:textId="77777777" w:rsidR="005E126D" w:rsidRPr="00710C30" w:rsidRDefault="005E126D" w:rsidP="005E126D">
      <w:pPr>
        <w:jc w:val="both"/>
        <w:rPr>
          <w:rFonts w:asciiTheme="majorHAnsi" w:hAnsiTheme="majorHAnsi"/>
        </w:rPr>
      </w:pPr>
      <w:bookmarkStart w:id="169" w:name="_Toc221669025"/>
      <w:r w:rsidRPr="00710C30">
        <w:rPr>
          <w:rFonts w:asciiTheme="majorHAnsi" w:hAnsiTheme="majorHAnsi"/>
        </w:rPr>
        <w:t>The primary endpoint is time to graft failure in HLA Ab positive patients randomized to biomarker led care groups vs. time to graft failure in HLA Ab + patients randomized to standard care groups assessed at a minimum of 43 months post-randomisation achieved by all</w:t>
      </w:r>
      <w:r>
        <w:rPr>
          <w:rFonts w:asciiTheme="majorHAnsi" w:hAnsiTheme="majorHAnsi"/>
        </w:rPr>
        <w:t xml:space="preserve"> (see above Section 1.5)  for adjustment to final data collection following the coronavirus pandemic, consequently a few participants may not reach the minimum of 43 months for the primary endpoint.</w:t>
      </w:r>
      <w:r w:rsidRPr="00710C30">
        <w:rPr>
          <w:rFonts w:asciiTheme="majorHAnsi" w:hAnsiTheme="majorHAnsi"/>
        </w:rPr>
        <w:t xml:space="preserve"> Graft failure will be defined as re-starting dialysis or requiring a new transplant.</w:t>
      </w:r>
    </w:p>
    <w:bookmarkEnd w:id="169"/>
    <w:p w14:paraId="2390844A" w14:textId="77777777" w:rsidR="005E126D" w:rsidRPr="00710C30" w:rsidRDefault="005E126D" w:rsidP="00BC6790">
      <w:pPr>
        <w:pStyle w:val="Subtitle"/>
        <w:jc w:val="both"/>
        <w:outlineLvl w:val="3"/>
        <w:rPr>
          <w:lang w:val="en-GB"/>
        </w:rPr>
      </w:pPr>
      <w:r w:rsidRPr="00710C30">
        <w:rPr>
          <w:lang w:val="en-GB"/>
        </w:rPr>
        <w:t>Secondary outcome measures</w:t>
      </w:r>
    </w:p>
    <w:p w14:paraId="7A2FCC97" w14:textId="77777777" w:rsidR="005E126D" w:rsidRPr="00710C30" w:rsidRDefault="005E126D" w:rsidP="005E126D"/>
    <w:p w14:paraId="16C8C886" w14:textId="77777777" w:rsidR="005E126D" w:rsidRPr="00710C30" w:rsidRDefault="005E126D" w:rsidP="005E126D">
      <w:pPr>
        <w:jc w:val="both"/>
        <w:rPr>
          <w:rFonts w:asciiTheme="majorHAnsi" w:hAnsiTheme="majorHAnsi"/>
        </w:rPr>
      </w:pPr>
      <w:r w:rsidRPr="00710C30">
        <w:rPr>
          <w:rFonts w:asciiTheme="majorHAnsi" w:hAnsiTheme="majorHAnsi"/>
        </w:rPr>
        <w:t>The secondary clinical endpoints are:</w:t>
      </w:r>
    </w:p>
    <w:p w14:paraId="2FC18656" w14:textId="77777777" w:rsidR="005E126D" w:rsidRPr="00710C30" w:rsidRDefault="005E126D" w:rsidP="005E126D">
      <w:pPr>
        <w:pStyle w:val="Subtitle"/>
        <w:jc w:val="both"/>
        <w:rPr>
          <w:rFonts w:eastAsiaTheme="minorEastAsia" w:cstheme="minorBidi"/>
          <w:i w:val="0"/>
          <w:iCs w:val="0"/>
          <w:color w:val="auto"/>
          <w:spacing w:val="0"/>
          <w:lang w:val="en-GB"/>
        </w:rPr>
      </w:pPr>
      <w:r w:rsidRPr="00710C30">
        <w:rPr>
          <w:rFonts w:eastAsiaTheme="minorEastAsia" w:cstheme="minorBidi"/>
          <w:i w:val="0"/>
          <w:iCs w:val="0"/>
          <w:color w:val="auto"/>
          <w:spacing w:val="0"/>
          <w:lang w:val="en-GB"/>
        </w:rPr>
        <w:t xml:space="preserve">• </w:t>
      </w:r>
      <w:bookmarkStart w:id="170" w:name="_Hlk528157201"/>
      <w:bookmarkStart w:id="171" w:name="_Hlk528157243"/>
      <w:r w:rsidRPr="00710C30">
        <w:rPr>
          <w:rFonts w:eastAsiaTheme="minorEastAsia" w:cstheme="minorBidi"/>
          <w:i w:val="0"/>
          <w:iCs w:val="0"/>
          <w:color w:val="auto"/>
          <w:spacing w:val="0"/>
          <w:lang w:val="en-GB"/>
        </w:rPr>
        <w:t>Time to graft failure in patients randomized to blinded HLA Ab screening vs those randomized to unblinded screening</w:t>
      </w:r>
      <w:bookmarkEnd w:id="170"/>
      <w:r w:rsidRPr="00710C30">
        <w:rPr>
          <w:rFonts w:eastAsiaTheme="minorEastAsia" w:cstheme="minorBidi"/>
          <w:i w:val="0"/>
          <w:iCs w:val="0"/>
          <w:color w:val="auto"/>
          <w:spacing w:val="0"/>
          <w:lang w:val="en-GB"/>
        </w:rPr>
        <w:t>. Graft failure will be defined as re-starting dialysis or requiring a new transplant.</w:t>
      </w:r>
      <w:bookmarkEnd w:id="171"/>
    </w:p>
    <w:p w14:paraId="2E4B59ED" w14:textId="77777777" w:rsidR="005E126D" w:rsidRPr="00710C30" w:rsidRDefault="005E126D" w:rsidP="005E126D"/>
    <w:p w14:paraId="1BC593EB" w14:textId="77777777" w:rsidR="005E126D" w:rsidRPr="00710C30" w:rsidRDefault="005E126D" w:rsidP="005E126D">
      <w:pPr>
        <w:pStyle w:val="Subtitle"/>
        <w:jc w:val="both"/>
        <w:rPr>
          <w:rFonts w:eastAsiaTheme="minorEastAsia" w:cstheme="minorBidi"/>
          <w:i w:val="0"/>
          <w:iCs w:val="0"/>
          <w:color w:val="auto"/>
          <w:spacing w:val="0"/>
          <w:lang w:val="en-GB"/>
        </w:rPr>
      </w:pPr>
      <w:r w:rsidRPr="00710C30">
        <w:rPr>
          <w:rFonts w:eastAsiaTheme="minorEastAsia" w:cstheme="minorBidi"/>
          <w:i w:val="0"/>
          <w:iCs w:val="0"/>
          <w:color w:val="auto"/>
          <w:spacing w:val="0"/>
          <w:lang w:val="en-GB"/>
        </w:rPr>
        <w:t>The following endpoints will be assessed at end of intensive follow up (32 months):</w:t>
      </w:r>
    </w:p>
    <w:p w14:paraId="05C86867" w14:textId="77777777" w:rsidR="005E126D" w:rsidRPr="00710C30" w:rsidRDefault="005E126D" w:rsidP="005E126D">
      <w:pPr>
        <w:pStyle w:val="Subtitle"/>
        <w:rPr>
          <w:rFonts w:eastAsiaTheme="minorEastAsia" w:cstheme="minorBidi"/>
          <w:i w:val="0"/>
          <w:iCs w:val="0"/>
          <w:color w:val="auto"/>
          <w:spacing w:val="0"/>
          <w:lang w:val="en-GB"/>
        </w:rPr>
      </w:pPr>
      <w:r w:rsidRPr="00710C30">
        <w:rPr>
          <w:rFonts w:eastAsiaTheme="minorEastAsia" w:cstheme="minorBidi"/>
          <w:i w:val="0"/>
          <w:iCs w:val="0"/>
          <w:color w:val="auto"/>
          <w:spacing w:val="0"/>
          <w:lang w:val="en-GB"/>
        </w:rPr>
        <w:t>• Patient survival.</w:t>
      </w:r>
    </w:p>
    <w:p w14:paraId="7459FC93" w14:textId="77777777" w:rsidR="005E126D" w:rsidRPr="00710C30" w:rsidRDefault="005E126D" w:rsidP="005E126D">
      <w:pPr>
        <w:pStyle w:val="Subtitle"/>
        <w:rPr>
          <w:rFonts w:eastAsiaTheme="minorEastAsia" w:cstheme="minorBidi"/>
          <w:i w:val="0"/>
          <w:iCs w:val="0"/>
          <w:color w:val="auto"/>
          <w:spacing w:val="0"/>
          <w:lang w:val="en-GB"/>
        </w:rPr>
      </w:pPr>
      <w:r w:rsidRPr="00710C30">
        <w:rPr>
          <w:rFonts w:eastAsiaTheme="minorEastAsia" w:cstheme="minorBidi"/>
          <w:i w:val="0"/>
          <w:iCs w:val="0"/>
          <w:color w:val="auto"/>
          <w:spacing w:val="0"/>
          <w:lang w:val="en-GB"/>
        </w:rPr>
        <w:t xml:space="preserve">• </w:t>
      </w:r>
      <w:bookmarkStart w:id="172" w:name="_Hlk528157133"/>
      <w:r w:rsidRPr="00710C30">
        <w:rPr>
          <w:rFonts w:eastAsiaTheme="minorEastAsia" w:cstheme="minorBidi"/>
          <w:i w:val="0"/>
          <w:iCs w:val="0"/>
          <w:color w:val="auto"/>
          <w:spacing w:val="0"/>
          <w:lang w:val="en-GB"/>
        </w:rPr>
        <w:t>Graft dysfunction, as assessed by two separate measures, presence of proteinuria (Protein Creatinine Ratio &gt;50 or Albumin/Creatinine Ratio &gt; 35) and change in estimated Glomerular Filtration Rates over 32 months.</w:t>
      </w:r>
      <w:bookmarkEnd w:id="172"/>
    </w:p>
    <w:p w14:paraId="3B3B8658" w14:textId="77777777" w:rsidR="005E126D" w:rsidRPr="00710C30" w:rsidRDefault="005E126D" w:rsidP="005E126D">
      <w:pPr>
        <w:pStyle w:val="Subtitle"/>
        <w:rPr>
          <w:rFonts w:eastAsiaTheme="minorEastAsia" w:cstheme="minorBidi"/>
          <w:i w:val="0"/>
          <w:iCs w:val="0"/>
          <w:color w:val="auto"/>
          <w:spacing w:val="0"/>
          <w:lang w:val="en-GB"/>
        </w:rPr>
      </w:pPr>
      <w:r w:rsidRPr="00710C30">
        <w:rPr>
          <w:rFonts w:eastAsiaTheme="minorEastAsia" w:cstheme="minorBidi"/>
          <w:i w:val="0"/>
          <w:iCs w:val="0"/>
          <w:color w:val="auto"/>
          <w:spacing w:val="0"/>
          <w:lang w:val="en-GB"/>
        </w:rPr>
        <w:t>• Rates of biopsy-proven rejection.</w:t>
      </w:r>
    </w:p>
    <w:p w14:paraId="759DAA05" w14:textId="77777777" w:rsidR="005E126D" w:rsidRPr="00710C30" w:rsidRDefault="005E126D" w:rsidP="005E126D">
      <w:pPr>
        <w:pStyle w:val="Subtitle"/>
        <w:rPr>
          <w:rFonts w:eastAsiaTheme="minorEastAsia" w:cstheme="minorBidi"/>
          <w:i w:val="0"/>
          <w:iCs w:val="0"/>
          <w:color w:val="auto"/>
          <w:spacing w:val="0"/>
          <w:lang w:val="en-GB"/>
        </w:rPr>
      </w:pPr>
      <w:r w:rsidRPr="00710C30">
        <w:rPr>
          <w:rFonts w:eastAsiaTheme="minorEastAsia" w:cstheme="minorBidi"/>
          <w:i w:val="0"/>
          <w:iCs w:val="0"/>
          <w:color w:val="auto"/>
          <w:spacing w:val="0"/>
          <w:lang w:val="en-GB"/>
        </w:rPr>
        <w:lastRenderedPageBreak/>
        <w:t>• Rates of culture- or polymerase chain reaction (PCR)-positive infection, biopsy-proven malignancy and DM.</w:t>
      </w:r>
    </w:p>
    <w:p w14:paraId="3C9069AB" w14:textId="77777777" w:rsidR="005E126D" w:rsidRPr="00710C30" w:rsidRDefault="005E126D" w:rsidP="005E126D">
      <w:pPr>
        <w:pStyle w:val="Subtitle"/>
        <w:rPr>
          <w:rFonts w:eastAsiaTheme="minorEastAsia" w:cstheme="minorBidi"/>
          <w:i w:val="0"/>
          <w:iCs w:val="0"/>
          <w:color w:val="auto"/>
          <w:spacing w:val="0"/>
          <w:lang w:val="en-GB"/>
        </w:rPr>
      </w:pPr>
      <w:r w:rsidRPr="00710C30">
        <w:rPr>
          <w:rFonts w:eastAsiaTheme="minorEastAsia" w:cstheme="minorBidi"/>
          <w:i w:val="0"/>
          <w:iCs w:val="0"/>
          <w:color w:val="auto"/>
          <w:spacing w:val="0"/>
          <w:lang w:val="en-GB"/>
        </w:rPr>
        <w:t>• Health economic analysis of outcomes in intervention vs. control groups.</w:t>
      </w:r>
    </w:p>
    <w:p w14:paraId="0B3295AC" w14:textId="77777777" w:rsidR="005E126D" w:rsidRPr="00710C30" w:rsidRDefault="005E126D" w:rsidP="005E126D">
      <w:pPr>
        <w:pStyle w:val="Subtitle"/>
        <w:rPr>
          <w:rFonts w:eastAsiaTheme="minorEastAsia" w:cstheme="minorBidi"/>
          <w:i w:val="0"/>
          <w:iCs w:val="0"/>
          <w:color w:val="auto"/>
          <w:spacing w:val="0"/>
          <w:lang w:val="en-GB"/>
        </w:rPr>
      </w:pPr>
      <w:r w:rsidRPr="00710C30">
        <w:rPr>
          <w:rFonts w:eastAsiaTheme="minorEastAsia" w:cstheme="minorBidi"/>
          <w:i w:val="0"/>
          <w:iCs w:val="0"/>
          <w:color w:val="auto"/>
          <w:spacing w:val="0"/>
          <w:lang w:val="en-GB"/>
        </w:rPr>
        <w:t>• Analysis of adherence and perceptions of risk in BLC groups.</w:t>
      </w:r>
    </w:p>
    <w:p w14:paraId="2EA4A514" w14:textId="77777777" w:rsidR="005E126D" w:rsidRPr="00710C30" w:rsidRDefault="005E126D" w:rsidP="005E126D"/>
    <w:p w14:paraId="7D5DAF94" w14:textId="77777777" w:rsidR="005E126D" w:rsidRPr="00710C30" w:rsidRDefault="005E126D" w:rsidP="00BC6790">
      <w:pPr>
        <w:pStyle w:val="Subtitle"/>
        <w:jc w:val="both"/>
        <w:outlineLvl w:val="3"/>
        <w:rPr>
          <w:lang w:val="en-GB"/>
        </w:rPr>
      </w:pPr>
      <w:r w:rsidRPr="00710C30">
        <w:rPr>
          <w:lang w:val="en-GB"/>
        </w:rPr>
        <w:t>Adverse Events</w:t>
      </w:r>
    </w:p>
    <w:p w14:paraId="0E25AD44" w14:textId="77777777" w:rsidR="005E126D" w:rsidRPr="00710C30" w:rsidRDefault="005E126D" w:rsidP="005E126D">
      <w:pPr>
        <w:jc w:val="both"/>
        <w:rPr>
          <w:rFonts w:asciiTheme="majorHAnsi" w:hAnsiTheme="majorHAnsi"/>
        </w:rPr>
      </w:pPr>
      <w:r w:rsidRPr="00710C30">
        <w:rPr>
          <w:rFonts w:asciiTheme="majorHAnsi" w:hAnsiTheme="majorHAnsi"/>
        </w:rPr>
        <w:t>This trial fulfils the criteria for a ‘Type A’ trial (i.e. risk no higher than that of standard care) Therefore, there will be reduced reporting of adverse events.  Definitions of expectedness reported below are based on those listed in the SmPC for each IMP.</w:t>
      </w:r>
    </w:p>
    <w:p w14:paraId="5674BDC7" w14:textId="77777777" w:rsidR="005E126D" w:rsidRPr="00710C30" w:rsidRDefault="005E126D" w:rsidP="005E126D">
      <w:pPr>
        <w:jc w:val="both"/>
        <w:rPr>
          <w:rFonts w:asciiTheme="majorHAnsi" w:hAnsiTheme="majorHAnsi"/>
        </w:rPr>
      </w:pPr>
    </w:p>
    <w:p w14:paraId="57A15E59" w14:textId="77777777" w:rsidR="005E126D" w:rsidRPr="00710C30" w:rsidRDefault="005E126D" w:rsidP="005E126D">
      <w:pPr>
        <w:jc w:val="both"/>
        <w:rPr>
          <w:rFonts w:asciiTheme="majorHAnsi" w:hAnsiTheme="majorHAnsi"/>
        </w:rPr>
      </w:pPr>
      <w:r w:rsidRPr="00710C30">
        <w:rPr>
          <w:rFonts w:asciiTheme="majorHAnsi" w:hAnsiTheme="majorHAnsi"/>
          <w:b/>
        </w:rPr>
        <w:t>Adverse Event (AE)</w:t>
      </w:r>
      <w:r w:rsidRPr="00710C30">
        <w:rPr>
          <w:rFonts w:asciiTheme="majorHAnsi" w:hAnsiTheme="majorHAnsi"/>
        </w:rPr>
        <w:t>: Any untoward medical occurrence in a subject to whom a medicinal product has been administered including occurrences which are not necessarily caused by or related to that product.</w:t>
      </w:r>
    </w:p>
    <w:p w14:paraId="64AD5B1D" w14:textId="77777777" w:rsidR="005E126D" w:rsidRPr="00710C30" w:rsidRDefault="005E126D" w:rsidP="005E126D">
      <w:pPr>
        <w:jc w:val="both"/>
        <w:rPr>
          <w:rFonts w:asciiTheme="majorHAnsi" w:hAnsiTheme="majorHAnsi"/>
        </w:rPr>
      </w:pPr>
      <w:r w:rsidRPr="00710C30">
        <w:rPr>
          <w:rFonts w:asciiTheme="majorHAnsi" w:hAnsiTheme="majorHAnsi"/>
          <w:b/>
        </w:rPr>
        <w:t>Adverse Reaction (AR)</w:t>
      </w:r>
      <w:r w:rsidRPr="00710C30">
        <w:rPr>
          <w:rFonts w:asciiTheme="majorHAnsi" w:hAnsiTheme="majorHAnsi"/>
        </w:rPr>
        <w:t>: Any untoward and unintended response in a subject to an investigational medicinal product which is related to any dose administered to that subject.</w:t>
      </w:r>
    </w:p>
    <w:p w14:paraId="698D5F1E" w14:textId="77777777" w:rsidR="005E126D" w:rsidRPr="00710C30" w:rsidRDefault="005E126D" w:rsidP="005E126D">
      <w:pPr>
        <w:jc w:val="both"/>
        <w:rPr>
          <w:rFonts w:asciiTheme="majorHAnsi" w:hAnsiTheme="majorHAnsi"/>
        </w:rPr>
      </w:pPr>
      <w:r w:rsidRPr="00710C30">
        <w:rPr>
          <w:rFonts w:asciiTheme="majorHAnsi" w:hAnsiTheme="majorHAnsi"/>
          <w:b/>
        </w:rPr>
        <w:t>Unexpected Adverse Reaction (UAR)</w:t>
      </w:r>
      <w:r w:rsidRPr="00710C30">
        <w:rPr>
          <w:rFonts w:asciiTheme="majorHAnsi" w:hAnsiTheme="majorHAnsi"/>
        </w:rPr>
        <w:t>: An adverse reaction the nature and severity of which is not consistent with the information about the medicinal product in question set out in the summary of product characteristics (SmPC) for that product.</w:t>
      </w:r>
    </w:p>
    <w:p w14:paraId="6F86FE34" w14:textId="77777777" w:rsidR="005E126D" w:rsidRPr="00710C30" w:rsidRDefault="005E126D" w:rsidP="005E126D">
      <w:pPr>
        <w:jc w:val="both"/>
        <w:rPr>
          <w:rFonts w:asciiTheme="majorHAnsi" w:hAnsiTheme="majorHAnsi"/>
        </w:rPr>
      </w:pPr>
      <w:r w:rsidRPr="00710C30">
        <w:rPr>
          <w:rFonts w:asciiTheme="majorHAnsi" w:hAnsiTheme="majorHAnsi"/>
          <w:b/>
        </w:rPr>
        <w:t>Serious adverse Event (SAE)</w:t>
      </w:r>
      <w:r w:rsidRPr="00710C30">
        <w:rPr>
          <w:rFonts w:asciiTheme="majorHAnsi" w:hAnsiTheme="majorHAnsi"/>
        </w:rPr>
        <w:t xml:space="preserve">: Serious Adverse Reaction (SAR) or Unexpected </w:t>
      </w:r>
      <w:r w:rsidRPr="00710C30">
        <w:rPr>
          <w:rFonts w:asciiTheme="majorHAnsi" w:hAnsiTheme="majorHAnsi"/>
          <w:b/>
        </w:rPr>
        <w:t>Serious Adverse Reaction (USAR)</w:t>
      </w:r>
      <w:r w:rsidRPr="00710C30">
        <w:rPr>
          <w:rFonts w:asciiTheme="majorHAnsi" w:hAnsiTheme="majorHAnsi"/>
        </w:rPr>
        <w:t>: Any adverse event, adverse reaction or unexpected adverse reaction, respectively, that</w:t>
      </w:r>
    </w:p>
    <w:p w14:paraId="28D2F7D8" w14:textId="77777777" w:rsidR="005E126D" w:rsidRPr="00710C30" w:rsidRDefault="005E126D" w:rsidP="005E126D">
      <w:pPr>
        <w:jc w:val="both"/>
        <w:rPr>
          <w:rFonts w:asciiTheme="majorHAnsi" w:hAnsiTheme="majorHAnsi"/>
        </w:rPr>
      </w:pPr>
      <w:r w:rsidRPr="00710C30">
        <w:rPr>
          <w:rFonts w:asciiTheme="majorHAnsi" w:hAnsiTheme="majorHAnsi"/>
        </w:rPr>
        <w:tab/>
        <w:t>Results in death;</w:t>
      </w:r>
    </w:p>
    <w:p w14:paraId="407AE320" w14:textId="77777777" w:rsidR="005E126D" w:rsidRPr="00710C30" w:rsidRDefault="005E126D" w:rsidP="005E126D">
      <w:pPr>
        <w:jc w:val="both"/>
        <w:rPr>
          <w:rFonts w:asciiTheme="majorHAnsi" w:hAnsiTheme="majorHAnsi"/>
        </w:rPr>
      </w:pPr>
      <w:r w:rsidRPr="00710C30">
        <w:rPr>
          <w:rFonts w:asciiTheme="majorHAnsi" w:hAnsiTheme="majorHAnsi"/>
        </w:rPr>
        <w:tab/>
        <w:t>Is life-threatening;</w:t>
      </w:r>
    </w:p>
    <w:p w14:paraId="45680B4E" w14:textId="77777777" w:rsidR="005E126D" w:rsidRPr="00710C30" w:rsidRDefault="005E126D" w:rsidP="005E126D">
      <w:pPr>
        <w:jc w:val="both"/>
        <w:rPr>
          <w:rFonts w:asciiTheme="majorHAnsi" w:hAnsiTheme="majorHAnsi"/>
        </w:rPr>
      </w:pPr>
      <w:r w:rsidRPr="00710C30">
        <w:rPr>
          <w:rFonts w:asciiTheme="majorHAnsi" w:hAnsiTheme="majorHAnsi"/>
        </w:rPr>
        <w:tab/>
        <w:t>Required hospitalisation or prolongation of existing hospitalisation;</w:t>
      </w:r>
    </w:p>
    <w:p w14:paraId="43869085" w14:textId="77777777" w:rsidR="005E126D" w:rsidRPr="00710C30" w:rsidRDefault="005E126D" w:rsidP="005E126D">
      <w:pPr>
        <w:jc w:val="both"/>
        <w:rPr>
          <w:rFonts w:asciiTheme="majorHAnsi" w:hAnsiTheme="majorHAnsi"/>
        </w:rPr>
      </w:pPr>
      <w:r w:rsidRPr="00710C30">
        <w:rPr>
          <w:rFonts w:asciiTheme="majorHAnsi" w:hAnsiTheme="majorHAnsi"/>
        </w:rPr>
        <w:tab/>
        <w:t>Results in persistent or significant disability or incapacity;</w:t>
      </w:r>
    </w:p>
    <w:p w14:paraId="1C630859" w14:textId="77777777" w:rsidR="005E126D" w:rsidRPr="00710C30" w:rsidRDefault="005E126D" w:rsidP="005E126D">
      <w:pPr>
        <w:jc w:val="both"/>
        <w:rPr>
          <w:rFonts w:asciiTheme="majorHAnsi" w:hAnsiTheme="majorHAnsi"/>
        </w:rPr>
      </w:pPr>
      <w:r w:rsidRPr="00710C30">
        <w:rPr>
          <w:rFonts w:asciiTheme="majorHAnsi" w:hAnsiTheme="majorHAnsi"/>
        </w:rPr>
        <w:tab/>
        <w:t>Consists of a congenital anomaly or birth defect.</w:t>
      </w:r>
    </w:p>
    <w:p w14:paraId="1E44037E" w14:textId="77777777" w:rsidR="005E126D" w:rsidRPr="00710C30" w:rsidRDefault="005E126D" w:rsidP="005E126D">
      <w:pPr>
        <w:jc w:val="both"/>
        <w:rPr>
          <w:rFonts w:asciiTheme="majorHAnsi" w:hAnsiTheme="majorHAnsi"/>
        </w:rPr>
      </w:pPr>
    </w:p>
    <w:p w14:paraId="3246C55A" w14:textId="77777777" w:rsidR="005E126D" w:rsidRPr="00710C30" w:rsidRDefault="005E126D" w:rsidP="005E126D">
      <w:pPr>
        <w:jc w:val="both"/>
        <w:rPr>
          <w:rFonts w:asciiTheme="majorHAnsi" w:hAnsiTheme="majorHAnsi"/>
        </w:rPr>
      </w:pPr>
      <w:r w:rsidRPr="00710C30">
        <w:rPr>
          <w:rFonts w:asciiTheme="majorHAnsi" w:hAnsiTheme="majorHAnsi"/>
        </w:rPr>
        <w:t>Although not a serious adverse event, any unplanned pregnancy should be reported via the SAE reporting system as stated below.</w:t>
      </w:r>
    </w:p>
    <w:p w14:paraId="600DD999" w14:textId="77777777" w:rsidR="005E126D" w:rsidRPr="00710C30" w:rsidRDefault="005E126D" w:rsidP="005E126D">
      <w:pPr>
        <w:pStyle w:val="Subtitle"/>
        <w:jc w:val="both"/>
        <w:rPr>
          <w:rFonts w:cs="Times"/>
          <w:lang w:val="en-GB"/>
        </w:rPr>
      </w:pPr>
      <w:r w:rsidRPr="00710C30">
        <w:rPr>
          <w:lang w:val="en-GB"/>
        </w:rPr>
        <w:t xml:space="preserve"> </w:t>
      </w:r>
    </w:p>
    <w:p w14:paraId="0E619C80" w14:textId="77777777" w:rsidR="005E126D" w:rsidRPr="00710C30" w:rsidRDefault="005E126D" w:rsidP="00BC6790">
      <w:pPr>
        <w:pStyle w:val="Heading3"/>
      </w:pPr>
      <w:r w:rsidRPr="00710C30">
        <w:t> </w:t>
      </w:r>
      <w:bookmarkStart w:id="173" w:name="_Toc531176983"/>
      <w:bookmarkStart w:id="174" w:name="_Toc121909791"/>
      <w:r w:rsidRPr="00710C30">
        <w:t>Sample size estimation (including clinical significance)</w:t>
      </w:r>
      <w:bookmarkEnd w:id="173"/>
      <w:bookmarkEnd w:id="174"/>
      <w:r w:rsidRPr="00710C30">
        <w:t xml:space="preserve"> </w:t>
      </w:r>
    </w:p>
    <w:p w14:paraId="51BD8CC7" w14:textId="77777777" w:rsidR="005E126D" w:rsidRPr="00710C30" w:rsidRDefault="005E126D" w:rsidP="005E126D">
      <w:pPr>
        <w:jc w:val="both"/>
        <w:rPr>
          <w:rFonts w:asciiTheme="majorHAnsi" w:hAnsiTheme="majorHAnsi"/>
        </w:rPr>
      </w:pPr>
      <w:r w:rsidRPr="00710C30">
        <w:rPr>
          <w:rFonts w:asciiTheme="majorHAnsi" w:hAnsiTheme="majorHAnsi"/>
        </w:rPr>
        <w:t xml:space="preserve">The primary purpose of this trial is to demonstrate superior outcomes using a defined treatment strategy in biomarker (HLA Ab) positive patients and at the same time demonstrate non-inferior </w:t>
      </w:r>
      <w:r w:rsidRPr="00710C30">
        <w:rPr>
          <w:rFonts w:asciiTheme="majorHAnsi" w:hAnsiTheme="majorHAnsi"/>
        </w:rPr>
        <w:lastRenderedPageBreak/>
        <w:t>outcomes when the unblinded screening strategy is applied to the entire patient population. Time to graft failure has been chosen as a clinically relevant primary outcome. As a reference for power calculations, we have used the observed failure rates reported by Lachmann et al. [8] for HLA Ab+ and HLA Ab-neg patients. Since failure rates differ between DSA+ and non-DSA+ patients, sample size calculations have been carried out separately for these groups. Following these calculations, we have estimated the number to be screened, based on expected drop out rates, expected screening results and eligibility criteria (see below).</w:t>
      </w:r>
    </w:p>
    <w:p w14:paraId="6FCE838F" w14:textId="77777777" w:rsidR="005E126D" w:rsidRPr="00710C30" w:rsidRDefault="005E126D" w:rsidP="005E126D">
      <w:pPr>
        <w:jc w:val="both"/>
        <w:rPr>
          <w:rFonts w:asciiTheme="majorHAnsi" w:hAnsiTheme="majorHAnsi"/>
        </w:rPr>
      </w:pPr>
    </w:p>
    <w:p w14:paraId="6099F9E9" w14:textId="77777777" w:rsidR="005E126D" w:rsidRPr="00710C30" w:rsidRDefault="005E126D" w:rsidP="005E126D">
      <w:pPr>
        <w:jc w:val="both"/>
        <w:rPr>
          <w:rFonts w:asciiTheme="majorHAnsi" w:hAnsiTheme="majorHAnsi"/>
        </w:rPr>
      </w:pPr>
      <w:r w:rsidRPr="00710C30">
        <w:rPr>
          <w:rFonts w:asciiTheme="majorHAnsi" w:hAnsiTheme="majorHAnsi"/>
        </w:rPr>
        <w:t xml:space="preserve"> We have based our estimates of the differences in primary outcome between groups on two things; first, the results of our preliminary data from patients with CR treated with a similar regime as used here; second, our assessment that large differences in primary outcome will be needed to make the screening programme cost-effective.</w:t>
      </w:r>
    </w:p>
    <w:p w14:paraId="0E154E51" w14:textId="77777777" w:rsidR="005E126D" w:rsidRPr="00710C30" w:rsidRDefault="005E126D" w:rsidP="005E126D">
      <w:pPr>
        <w:jc w:val="both"/>
        <w:rPr>
          <w:rFonts w:asciiTheme="majorHAnsi" w:hAnsiTheme="majorHAnsi"/>
        </w:rPr>
      </w:pPr>
    </w:p>
    <w:p w14:paraId="626A37C4" w14:textId="77777777" w:rsidR="005E126D" w:rsidRPr="00710C30" w:rsidRDefault="005E126D" w:rsidP="00BC6790">
      <w:pPr>
        <w:pStyle w:val="Subtitle"/>
        <w:jc w:val="both"/>
        <w:outlineLvl w:val="3"/>
        <w:rPr>
          <w:lang w:val="en-GB"/>
        </w:rPr>
      </w:pPr>
      <w:r w:rsidRPr="00710C30">
        <w:rPr>
          <w:lang w:val="en-GB"/>
        </w:rPr>
        <w:t>Hypotheses and power calculations:</w:t>
      </w:r>
    </w:p>
    <w:p w14:paraId="1FEA38D7" w14:textId="77777777" w:rsidR="005E126D" w:rsidRPr="00710C30" w:rsidRDefault="005E126D" w:rsidP="005E126D">
      <w:pPr>
        <w:jc w:val="both"/>
        <w:rPr>
          <w:rFonts w:asciiTheme="majorHAnsi" w:hAnsiTheme="majorHAnsi"/>
        </w:rPr>
      </w:pPr>
      <w:r w:rsidRPr="00710C30">
        <w:rPr>
          <w:rFonts w:asciiTheme="majorHAnsi" w:hAnsiTheme="majorHAnsi"/>
        </w:rPr>
        <w:t>1) Superiority on Biomarker Positive Patients:</w:t>
      </w:r>
    </w:p>
    <w:p w14:paraId="77935363" w14:textId="77777777" w:rsidR="005E126D" w:rsidRPr="00710C30" w:rsidRDefault="005E126D" w:rsidP="005E126D">
      <w:pPr>
        <w:pStyle w:val="Subtitle"/>
        <w:jc w:val="both"/>
        <w:rPr>
          <w:lang w:val="en-GB"/>
        </w:rPr>
      </w:pPr>
      <w:r w:rsidRPr="00710C30">
        <w:rPr>
          <w:lang w:val="en-GB"/>
        </w:rPr>
        <w:t>1.1) A1&gt;B1:</w:t>
      </w:r>
    </w:p>
    <w:p w14:paraId="69F30183" w14:textId="77777777" w:rsidR="005E126D" w:rsidRPr="00710C30" w:rsidRDefault="005E126D" w:rsidP="005E126D">
      <w:pPr>
        <w:jc w:val="both"/>
        <w:rPr>
          <w:rFonts w:asciiTheme="majorHAnsi" w:hAnsiTheme="majorHAnsi"/>
        </w:rPr>
      </w:pPr>
      <w:r w:rsidRPr="00710C30">
        <w:rPr>
          <w:rFonts w:asciiTheme="majorHAnsi" w:hAnsiTheme="majorHAnsi"/>
        </w:rPr>
        <w:t xml:space="preserve">HLA Ab+ patients, with DSA, randomized to standard care (A1) will show higher graft failure rates than patients randomized to biomarker-led care (B1). We hypothesize that the experimental treatment will bring the failure rate in group B1 down to that of non-DSA patients in standard care (A2). Assuming that 30% of patients with DSA randomised to standard care (A1) will have experienced chronic rejection (CR) by 3-years follow up, we expect treatment optimisation to reduce the rate of CR in DSA patients randomised to group B1 down to 16% at 3-years follow up (rate observed in patients with non-DSA). This corresponds to a Hazard ratio (HR) of 0.489. The expectation is for 11% and 21% of CR among patients with DSA in in group A1 at 1 and 2-years follow up respectively (as in [8]), and extrapolating based on a HR of .489, we expect BLC to reduce those CR to 5.5%, and 10.89% at 1 and 2-years. </w:t>
      </w:r>
    </w:p>
    <w:p w14:paraId="2A8DE4DE" w14:textId="77777777" w:rsidR="005E126D" w:rsidRPr="00710C30" w:rsidRDefault="005E126D" w:rsidP="005E126D">
      <w:pPr>
        <w:jc w:val="both"/>
        <w:rPr>
          <w:rFonts w:asciiTheme="majorHAnsi" w:hAnsiTheme="majorHAnsi"/>
        </w:rPr>
      </w:pPr>
    </w:p>
    <w:p w14:paraId="2091F02B" w14:textId="77777777" w:rsidR="005E126D" w:rsidRPr="00710C30" w:rsidRDefault="005E126D" w:rsidP="005E126D">
      <w:pPr>
        <w:jc w:val="both"/>
        <w:rPr>
          <w:rFonts w:asciiTheme="majorHAnsi" w:hAnsiTheme="majorHAnsi"/>
        </w:rPr>
      </w:pPr>
      <w:r w:rsidRPr="00710C30">
        <w:rPr>
          <w:rFonts w:asciiTheme="majorHAnsi" w:hAnsiTheme="majorHAnsi"/>
        </w:rPr>
        <w:t xml:space="preserve">Using a variable follow up design assuming an average accrual monthly rate of 3.6 patients per month, and a minimum follow up time of 43 months, recruiting 165 patients with DSA would allow us to observe 23/83 (28%) events of CR in patients under biomarker led care (B1), and 39/82 (47%) in the standard care group (A1). This would provide 80% power and 5% type I error, for a two-sided log-rank test.  </w:t>
      </w:r>
    </w:p>
    <w:p w14:paraId="19B75B18" w14:textId="77777777" w:rsidR="005E126D" w:rsidRPr="00710C30" w:rsidRDefault="005E126D" w:rsidP="005E126D">
      <w:pPr>
        <w:numPr>
          <w:ilvl w:val="1"/>
          <w:numId w:val="31"/>
        </w:numPr>
        <w:tabs>
          <w:tab w:val="num" w:pos="792"/>
        </w:tabs>
        <w:spacing w:after="0" w:line="240" w:lineRule="auto"/>
        <w:jc w:val="both"/>
        <w:rPr>
          <w:rFonts w:asciiTheme="majorHAnsi" w:hAnsiTheme="majorHAnsi"/>
        </w:rPr>
      </w:pPr>
    </w:p>
    <w:p w14:paraId="2A2E6769" w14:textId="77777777" w:rsidR="005E126D" w:rsidRPr="00710C30" w:rsidRDefault="005E126D" w:rsidP="005E126D">
      <w:pPr>
        <w:pStyle w:val="Subtitle"/>
        <w:jc w:val="both"/>
        <w:rPr>
          <w:lang w:val="en-GB"/>
        </w:rPr>
      </w:pPr>
      <w:r w:rsidRPr="00710C30">
        <w:rPr>
          <w:lang w:val="en-GB"/>
        </w:rPr>
        <w:t>1.2) A2&gt;B2:</w:t>
      </w:r>
    </w:p>
    <w:p w14:paraId="5141E9C1" w14:textId="77777777" w:rsidR="005E126D" w:rsidRPr="00710C30" w:rsidRDefault="005E126D" w:rsidP="005E126D">
      <w:pPr>
        <w:pStyle w:val="Subtitle"/>
        <w:jc w:val="both"/>
        <w:rPr>
          <w:rFonts w:eastAsiaTheme="minorEastAsia" w:cstheme="minorBidi"/>
          <w:i w:val="0"/>
          <w:iCs w:val="0"/>
          <w:color w:val="auto"/>
          <w:spacing w:val="0"/>
          <w:lang w:val="en-GB"/>
        </w:rPr>
      </w:pPr>
      <w:r w:rsidRPr="00710C30">
        <w:rPr>
          <w:rFonts w:eastAsiaTheme="minorEastAsia" w:cstheme="minorBidi"/>
          <w:i w:val="0"/>
          <w:iCs w:val="0"/>
          <w:color w:val="auto"/>
          <w:spacing w:val="0"/>
          <w:lang w:val="en-GB"/>
        </w:rPr>
        <w:t xml:space="preserve">HLA Ab+ patients, with non-DSA, randomized to standard care (A2) will show higher graft failure rate than patients randomized to biomarker-led care (B2). We hypothesize that the experimental treatment will bring the failure rate in group B2 down to that of biomarker negative patients in standard care (C). Assuming that 16% of patients with </w:t>
      </w:r>
      <w:r w:rsidRPr="00710C30">
        <w:rPr>
          <w:rFonts w:eastAsiaTheme="minorEastAsia" w:cstheme="minorBidi"/>
          <w:i w:val="0"/>
          <w:iCs w:val="0"/>
          <w:color w:val="auto"/>
          <w:spacing w:val="0"/>
          <w:lang w:val="en-GB"/>
        </w:rPr>
        <w:lastRenderedPageBreak/>
        <w:t xml:space="preserve">NDSA randomised to SoC will have experienced chronic rejection (CR) by 3-years follow up, we expect treatment optimisation to reduce the rate of CR in NDSA patients randomised to BLC down to 6% at 3-years follow up (rate observed in patients without HLA antibodies). </w:t>
      </w:r>
    </w:p>
    <w:p w14:paraId="68B17D4F" w14:textId="77777777" w:rsidR="005E126D" w:rsidRPr="00710C30" w:rsidRDefault="005E126D" w:rsidP="005E126D">
      <w:pPr>
        <w:jc w:val="both"/>
        <w:rPr>
          <w:rFonts w:asciiTheme="majorHAnsi" w:hAnsiTheme="majorHAnsi"/>
        </w:rPr>
      </w:pPr>
    </w:p>
    <w:p w14:paraId="7C2124A0" w14:textId="77777777" w:rsidR="005E126D" w:rsidRPr="00710C30" w:rsidRDefault="005E126D" w:rsidP="005E126D">
      <w:pPr>
        <w:jc w:val="both"/>
        <w:rPr>
          <w:rFonts w:asciiTheme="majorHAnsi" w:hAnsiTheme="majorHAnsi"/>
        </w:rPr>
      </w:pPr>
      <w:r w:rsidRPr="00710C30">
        <w:rPr>
          <w:rFonts w:asciiTheme="majorHAnsi" w:hAnsiTheme="majorHAnsi"/>
        </w:rPr>
        <w:t xml:space="preserve">This corresponds to a Hazard ratio of 0.351. Based on Lachman et al. the expectation is for 3% and 11% of CR among patients with NDSA in SoC at 1 and 2-years follow up respectively, and extrapolating based on a HR of 0.351, we expect BLC to reduce those CR to 1.1%, and 4.1% at 1 and 2-years. </w:t>
      </w:r>
    </w:p>
    <w:p w14:paraId="1E8701AB" w14:textId="77777777" w:rsidR="005E126D" w:rsidRPr="00710C30" w:rsidRDefault="005E126D" w:rsidP="005E126D">
      <w:pPr>
        <w:jc w:val="both"/>
        <w:rPr>
          <w:rFonts w:asciiTheme="majorHAnsi" w:hAnsiTheme="majorHAnsi"/>
        </w:rPr>
      </w:pPr>
    </w:p>
    <w:p w14:paraId="3C57B432" w14:textId="77777777" w:rsidR="005E126D" w:rsidRPr="00710C30" w:rsidRDefault="005E126D" w:rsidP="005E126D">
      <w:pPr>
        <w:jc w:val="both"/>
        <w:rPr>
          <w:rFonts w:asciiTheme="majorHAnsi" w:hAnsiTheme="majorHAnsi"/>
        </w:rPr>
      </w:pPr>
      <w:r w:rsidRPr="00710C30">
        <w:rPr>
          <w:rFonts w:asciiTheme="majorHAnsi" w:hAnsiTheme="majorHAnsi"/>
        </w:rPr>
        <w:t xml:space="preserve">Using a variable follow-up design (patients followed until failure, drop out or end of minimum follow up), assuming an average accrual monthly rate of 15.5 patients per month, and a minimum follow up time of 22.4 months, recruiting 296 patients with NDSA, would allow us to observe 8/149 (5.3%) events of CR in patients under BLC, and 21/147 (14%) in the SoC group (total duration = 41.5 months). This would provide 80% power to determine a statistically significant difference between SoC and BLC, using a log-rank test, with a 2-sided type-I error rate of 5%. </w:t>
      </w:r>
    </w:p>
    <w:p w14:paraId="0BA8A90D" w14:textId="77777777" w:rsidR="005E126D" w:rsidRPr="00710C30" w:rsidRDefault="005E126D" w:rsidP="005E126D">
      <w:pPr>
        <w:jc w:val="both"/>
        <w:rPr>
          <w:rFonts w:asciiTheme="majorHAnsi" w:hAnsiTheme="majorHAnsi"/>
        </w:rPr>
      </w:pPr>
      <w:r w:rsidRPr="00710C30">
        <w:rPr>
          <w:rFonts w:asciiTheme="majorHAnsi" w:hAnsiTheme="majorHAnsi"/>
        </w:rPr>
        <w:t>The numbers enrolled in groups A &amp; B include those patients initially enrolled in groups C or D who become HLA Ab+ during re-screening.</w:t>
      </w:r>
    </w:p>
    <w:p w14:paraId="606A04C1" w14:textId="77777777" w:rsidR="005E126D" w:rsidRPr="00710C30" w:rsidRDefault="005E126D" w:rsidP="005E126D">
      <w:pPr>
        <w:pStyle w:val="Subtitle"/>
        <w:jc w:val="both"/>
        <w:rPr>
          <w:lang w:val="en-GB"/>
        </w:rPr>
      </w:pPr>
    </w:p>
    <w:p w14:paraId="5E454052" w14:textId="77777777" w:rsidR="005E126D" w:rsidRPr="00710C30" w:rsidRDefault="005E126D" w:rsidP="005E126D">
      <w:pPr>
        <w:pStyle w:val="Subtitle"/>
        <w:jc w:val="both"/>
        <w:rPr>
          <w:lang w:val="en-GB"/>
        </w:rPr>
      </w:pPr>
      <w:r w:rsidRPr="00710C30">
        <w:rPr>
          <w:lang w:val="en-GB"/>
        </w:rPr>
        <w:t>2) Non-inferiority of all Unblinded patients compared to all Blinded patients:</w:t>
      </w:r>
    </w:p>
    <w:p w14:paraId="21C16C52" w14:textId="77777777" w:rsidR="005E126D" w:rsidRPr="00710C30" w:rsidRDefault="005E126D" w:rsidP="005E126D">
      <w:pPr>
        <w:pStyle w:val="Subtitle"/>
        <w:jc w:val="both"/>
        <w:rPr>
          <w:lang w:val="en-GB"/>
        </w:rPr>
      </w:pPr>
    </w:p>
    <w:p w14:paraId="14655A29" w14:textId="77777777" w:rsidR="005E126D" w:rsidRPr="00710C30" w:rsidRDefault="005E126D" w:rsidP="005E126D">
      <w:pPr>
        <w:pStyle w:val="Subtitle"/>
        <w:jc w:val="both"/>
        <w:rPr>
          <w:lang w:val="en-GB"/>
        </w:rPr>
      </w:pPr>
      <w:r w:rsidRPr="00710C30">
        <w:rPr>
          <w:lang w:val="en-GB"/>
        </w:rPr>
        <w:t>2.1) A1+A2+C ≥ B1+B2+D:</w:t>
      </w:r>
    </w:p>
    <w:p w14:paraId="0F409E9B" w14:textId="77777777" w:rsidR="005E126D" w:rsidRPr="00710C30" w:rsidRDefault="005E126D" w:rsidP="005E126D">
      <w:pPr>
        <w:spacing w:after="120"/>
        <w:contextualSpacing/>
        <w:jc w:val="both"/>
        <w:rPr>
          <w:rFonts w:asciiTheme="majorHAnsi" w:hAnsiTheme="majorHAnsi"/>
        </w:rPr>
      </w:pPr>
      <w:r w:rsidRPr="00710C30">
        <w:rPr>
          <w:rFonts w:asciiTheme="majorHAnsi" w:hAnsiTheme="majorHAnsi"/>
        </w:rPr>
        <w:t xml:space="preserve">All patients randomized to unblinded screening will show equal or lower graft failure rates than all patients randomized to blinded screening, irrespective of biomarker status. At the end of the trial, we expect 58% of patients to be in the HLA Ab negative groups, 7% DSA+ groups and 35% non-DSA+ groups (after drop-outs). At the time of planning the OuTSMART study, we calculated that based on all assumptions above, all patients randomised to SoC combined would experience 13.9% of CR. </w:t>
      </w:r>
    </w:p>
    <w:p w14:paraId="3D114D44" w14:textId="77777777" w:rsidR="005E126D" w:rsidRPr="00710C30" w:rsidRDefault="005E126D" w:rsidP="005E126D">
      <w:pPr>
        <w:spacing w:after="120"/>
        <w:contextualSpacing/>
        <w:jc w:val="both"/>
        <w:rPr>
          <w:rFonts w:asciiTheme="majorHAnsi" w:hAnsiTheme="majorHAnsi"/>
        </w:rPr>
      </w:pPr>
    </w:p>
    <w:p w14:paraId="5BCE02F1" w14:textId="77777777" w:rsidR="005E126D" w:rsidRPr="00710C30" w:rsidRDefault="005E126D" w:rsidP="005E126D">
      <w:pPr>
        <w:spacing w:after="120"/>
        <w:contextualSpacing/>
        <w:jc w:val="both"/>
        <w:rPr>
          <w:rFonts w:asciiTheme="majorHAnsi" w:hAnsiTheme="majorHAnsi"/>
        </w:rPr>
      </w:pPr>
      <w:r w:rsidRPr="00710C30">
        <w:rPr>
          <w:rFonts w:asciiTheme="majorHAnsi" w:hAnsiTheme="majorHAnsi"/>
        </w:rPr>
        <w:t xml:space="preserve">We established a non-inferiority limit of 5% absolute difference in rate of CR at 3-years, so that the BLC group would be considered inferior to SoC with a CR rate of 18.9% or higher (expectation under the null hypothesis). This corresponds to a HR of 1.4 under the null hypothesis, and a HR of 0.63 under the alternative. Recruiting 672 patients over a period of 13.2 months, at an average accrual rate of 51 patients per month, and a minimum follow up of 18.21 months, would allow us to observe 22/337 (6.5%) events of CR in the SoC group, and 32/335 (9.5%) in the BLC group. </w:t>
      </w:r>
    </w:p>
    <w:p w14:paraId="0953BE35" w14:textId="77777777" w:rsidR="005E126D" w:rsidRPr="00710C30" w:rsidRDefault="005E126D" w:rsidP="005E126D">
      <w:pPr>
        <w:spacing w:after="120"/>
        <w:contextualSpacing/>
        <w:jc w:val="both"/>
        <w:rPr>
          <w:rFonts w:asciiTheme="majorHAnsi" w:hAnsiTheme="majorHAnsi"/>
        </w:rPr>
      </w:pPr>
    </w:p>
    <w:p w14:paraId="6CB4A4E2" w14:textId="77777777" w:rsidR="005E126D" w:rsidRPr="00710C30" w:rsidRDefault="005E126D" w:rsidP="005E126D">
      <w:pPr>
        <w:spacing w:after="120"/>
        <w:contextualSpacing/>
        <w:jc w:val="both"/>
        <w:rPr>
          <w:rFonts w:asciiTheme="majorHAnsi" w:hAnsiTheme="majorHAnsi"/>
        </w:rPr>
      </w:pPr>
      <w:r w:rsidRPr="00710C30">
        <w:rPr>
          <w:rFonts w:asciiTheme="majorHAnsi" w:hAnsiTheme="majorHAnsi"/>
        </w:rPr>
        <w:t xml:space="preserve">This would provide 90% power to demonstrate non-inferiority with a one-sided 95% Confidence Interval of the HR estimated using a Cox regression model. Given the above proportions, this </w:t>
      </w:r>
      <w:r w:rsidRPr="00710C30">
        <w:rPr>
          <w:rFonts w:asciiTheme="majorHAnsi" w:hAnsiTheme="majorHAnsi"/>
        </w:rPr>
        <w:lastRenderedPageBreak/>
        <w:t xml:space="preserve">requires enrolling 336 patients in each of groups C and D and this should allow 423 total patients to reach the primary endpoint (i.e. remain negative (after dropouts) at the end of their three year follow-up).  </w:t>
      </w:r>
    </w:p>
    <w:p w14:paraId="692663B1" w14:textId="77777777" w:rsidR="005E126D" w:rsidRPr="00710C30" w:rsidRDefault="005E126D" w:rsidP="005E126D">
      <w:pPr>
        <w:jc w:val="both"/>
        <w:rPr>
          <w:rFonts w:asciiTheme="majorHAnsi" w:hAnsiTheme="majorHAnsi"/>
        </w:rPr>
      </w:pPr>
    </w:p>
    <w:p w14:paraId="00CB653B" w14:textId="77777777" w:rsidR="005E126D" w:rsidRPr="00710C30" w:rsidRDefault="005E126D" w:rsidP="005E126D">
      <w:pPr>
        <w:jc w:val="both"/>
        <w:rPr>
          <w:rFonts w:asciiTheme="majorHAnsi" w:hAnsiTheme="majorHAnsi"/>
        </w:rPr>
      </w:pPr>
      <w:r w:rsidRPr="00710C30">
        <w:rPr>
          <w:rFonts w:asciiTheme="majorHAnsi" w:hAnsiTheme="majorHAnsi"/>
        </w:rPr>
        <w:t>Based on an overall expected proportion of 7% DSA participants (including from re-screening rounds) we will need to recruit 2357 patients overall to recruit the target of 165 DSA patients. Because of this requirement to recruit sufficient DSA participants, the recruits to the other groups are likely to be more than the minimum required for at least 80% statistical power for the individual hypotheses.</w:t>
      </w:r>
    </w:p>
    <w:p w14:paraId="15F73971" w14:textId="77777777" w:rsidR="005E126D" w:rsidRPr="00710C30" w:rsidRDefault="005E126D" w:rsidP="005E126D">
      <w:pPr>
        <w:jc w:val="both"/>
        <w:rPr>
          <w:rFonts w:asciiTheme="majorHAnsi" w:hAnsiTheme="majorHAnsi"/>
        </w:rPr>
      </w:pPr>
    </w:p>
    <w:p w14:paraId="48634F96" w14:textId="77777777" w:rsidR="005E126D" w:rsidRPr="00710C30" w:rsidRDefault="005E126D" w:rsidP="00BC6790">
      <w:pPr>
        <w:pStyle w:val="Heading3"/>
      </w:pPr>
      <w:bookmarkStart w:id="175" w:name="_Toc531176984"/>
      <w:bookmarkStart w:id="176" w:name="_Toc121909792"/>
      <w:r w:rsidRPr="00710C30">
        <w:t>Brief description of proposed analyses</w:t>
      </w:r>
      <w:bookmarkEnd w:id="175"/>
      <w:bookmarkEnd w:id="176"/>
      <w:r w:rsidRPr="00710C30">
        <w:t xml:space="preserve"> </w:t>
      </w:r>
    </w:p>
    <w:p w14:paraId="24F100ED" w14:textId="77777777" w:rsidR="005E126D" w:rsidRPr="00710C30" w:rsidRDefault="005E126D" w:rsidP="005E126D">
      <w:pPr>
        <w:jc w:val="both"/>
        <w:rPr>
          <w:rFonts w:asciiTheme="majorHAnsi" w:hAnsiTheme="majorHAnsi"/>
        </w:rPr>
      </w:pPr>
      <w:r w:rsidRPr="00710C30">
        <w:rPr>
          <w:rFonts w:asciiTheme="majorHAnsi" w:hAnsiTheme="majorHAnsi"/>
        </w:rPr>
        <w:t>Analyses will be carried out by the trial statistician. In the first instance data will be analysed under intention-to-treat assumptions (i.e. analyse all those with data in groups as randomised irrespective of treatment received). As per Section 1.7, in addition using all participants, all outcomes will be analysed separately within the subgroups of HLA Positive DSA participants and HLA Positive Non-DSA participants.</w:t>
      </w:r>
    </w:p>
    <w:p w14:paraId="4CBD5492" w14:textId="77777777" w:rsidR="005E126D" w:rsidRDefault="005E126D" w:rsidP="005E126D">
      <w:pPr>
        <w:jc w:val="both"/>
        <w:rPr>
          <w:rFonts w:asciiTheme="majorHAnsi" w:hAnsiTheme="majorHAnsi"/>
        </w:rPr>
      </w:pPr>
      <w:r w:rsidRPr="00710C30">
        <w:rPr>
          <w:rFonts w:asciiTheme="majorHAnsi" w:hAnsiTheme="majorHAnsi"/>
        </w:rPr>
        <w:t xml:space="preserve">Those patients who become positive during subsequent screening rounds will be moved to the appropriate HLA Ab positive groups (DSA+ or non-DSA+) for analysis. These participants will be included from the time they became HLA Ab positive (date sample for screening was taken).  </w:t>
      </w:r>
      <w:bookmarkStart w:id="177" w:name="_Hlk531178049"/>
      <w:r w:rsidRPr="00710C30">
        <w:rPr>
          <w:rFonts w:asciiTheme="majorHAnsi" w:hAnsiTheme="majorHAnsi"/>
        </w:rPr>
        <w:t>For the analysis using all participants, these participants will be included from the time of randomisation.</w:t>
      </w:r>
    </w:p>
    <w:p w14:paraId="16624207" w14:textId="77777777" w:rsidR="005E126D" w:rsidRDefault="005E126D" w:rsidP="005E126D">
      <w:pPr>
        <w:jc w:val="both"/>
        <w:rPr>
          <w:rFonts w:asciiTheme="majorHAnsi" w:hAnsiTheme="majorHAnsi"/>
        </w:rPr>
      </w:pPr>
    </w:p>
    <w:p w14:paraId="528BC9FA" w14:textId="77777777" w:rsidR="005E126D" w:rsidRDefault="005E126D" w:rsidP="005E126D">
      <w:pPr>
        <w:pStyle w:val="Heading3"/>
        <w:numPr>
          <w:ilvl w:val="0"/>
          <w:numId w:val="42"/>
        </w:numPr>
        <w:ind w:left="0" w:firstLine="0"/>
        <w:jc w:val="both"/>
      </w:pPr>
      <w:bookmarkStart w:id="178" w:name="_Toc121909793"/>
      <w:r>
        <w:t>Further changes in procedures in response to Covid-19</w:t>
      </w:r>
      <w:bookmarkEnd w:id="178"/>
      <w:r>
        <w:t xml:space="preserve"> </w:t>
      </w:r>
    </w:p>
    <w:p w14:paraId="57D067F1" w14:textId="77777777" w:rsidR="005E126D" w:rsidRDefault="005E126D" w:rsidP="005E126D">
      <w:pPr>
        <w:jc w:val="both"/>
        <w:rPr>
          <w:rFonts w:asciiTheme="majorHAnsi" w:hAnsiTheme="majorHAnsi"/>
        </w:rPr>
      </w:pPr>
    </w:p>
    <w:p w14:paraId="71306682" w14:textId="77777777" w:rsidR="005E126D" w:rsidRPr="004959EF" w:rsidRDefault="005E126D" w:rsidP="005E126D">
      <w:pPr>
        <w:jc w:val="both"/>
        <w:rPr>
          <w:rFonts w:asciiTheme="majorHAnsi" w:hAnsiTheme="majorHAnsi"/>
        </w:rPr>
      </w:pPr>
      <w:r>
        <w:rPr>
          <w:rFonts w:asciiTheme="majorHAnsi" w:hAnsiTheme="majorHAnsi"/>
        </w:rPr>
        <w:t xml:space="preserve">Subsequent to the changes outlined in Section </w:t>
      </w:r>
      <w:r>
        <w:rPr>
          <w:rFonts w:asciiTheme="majorHAnsi" w:hAnsiTheme="majorHAnsi"/>
        </w:rPr>
        <w:fldChar w:fldCharType="begin"/>
      </w:r>
      <w:r>
        <w:rPr>
          <w:rFonts w:asciiTheme="majorHAnsi" w:hAnsiTheme="majorHAnsi"/>
        </w:rPr>
        <w:instrText xml:space="preserve"> REF _Ref63765184 \n \h </w:instrText>
      </w:r>
      <w:r>
        <w:rPr>
          <w:rFonts w:asciiTheme="majorHAnsi" w:hAnsiTheme="majorHAnsi"/>
        </w:rPr>
      </w:r>
      <w:r>
        <w:rPr>
          <w:rFonts w:asciiTheme="majorHAnsi" w:hAnsiTheme="majorHAnsi"/>
        </w:rPr>
        <w:fldChar w:fldCharType="separate"/>
      </w:r>
      <w:r>
        <w:rPr>
          <w:rFonts w:asciiTheme="majorHAnsi" w:hAnsiTheme="majorHAnsi"/>
        </w:rPr>
        <w:t>1.5</w:t>
      </w:r>
      <w:r>
        <w:rPr>
          <w:rFonts w:asciiTheme="majorHAnsi" w:hAnsiTheme="majorHAnsi"/>
        </w:rPr>
        <w:fldChar w:fldCharType="end"/>
      </w:r>
      <w:r>
        <w:rPr>
          <w:rFonts w:asciiTheme="majorHAnsi" w:hAnsiTheme="majorHAnsi"/>
        </w:rPr>
        <w:t xml:space="preserve"> (which detail changes made to primary endpoint collection following the COVID-19 pandemic), database lock was intended to be completed in February 2021, and the analysis completed by April 2021, with end date for OUTSMART the 30</w:t>
      </w:r>
      <w:r w:rsidRPr="00AA7B1A">
        <w:rPr>
          <w:rFonts w:asciiTheme="majorHAnsi" w:hAnsiTheme="majorHAnsi"/>
          <w:vertAlign w:val="superscript"/>
        </w:rPr>
        <w:t>th</w:t>
      </w:r>
      <w:r>
        <w:rPr>
          <w:rFonts w:asciiTheme="majorHAnsi" w:hAnsiTheme="majorHAnsi"/>
        </w:rPr>
        <w:t xml:space="preserve"> April 2021. The remaining requirements prior to  database lock taking place and analysis starting were i) that all data had been cleaned and ii) that </w:t>
      </w:r>
      <w:r w:rsidRPr="002F3441">
        <w:rPr>
          <w:rFonts w:asciiTheme="majorHAnsi" w:hAnsiTheme="majorHAnsi"/>
        </w:rPr>
        <w:t>final</w:t>
      </w:r>
      <w:r>
        <w:rPr>
          <w:rFonts w:asciiTheme="majorHAnsi" w:hAnsiTheme="majorHAnsi"/>
        </w:rPr>
        <w:t xml:space="preserve"> </w:t>
      </w:r>
      <w:r w:rsidRPr="002F3441">
        <w:rPr>
          <w:rFonts w:asciiTheme="majorHAnsi" w:hAnsiTheme="majorHAnsi"/>
        </w:rPr>
        <w:t xml:space="preserve">monitoring/source data verification of the primary endpoint </w:t>
      </w:r>
      <w:r>
        <w:rPr>
          <w:rFonts w:asciiTheme="majorHAnsi" w:hAnsiTheme="majorHAnsi"/>
        </w:rPr>
        <w:t xml:space="preserve">had been completed as planned (100% of all graft failures, 25% of remaining participants). The monitoring is undertaken by </w:t>
      </w:r>
      <w:r w:rsidRPr="002F3441">
        <w:rPr>
          <w:rFonts w:asciiTheme="majorHAnsi" w:hAnsiTheme="majorHAnsi"/>
        </w:rPr>
        <w:t xml:space="preserve"> </w:t>
      </w:r>
      <w:r>
        <w:rPr>
          <w:rFonts w:asciiTheme="majorHAnsi" w:hAnsiTheme="majorHAnsi"/>
        </w:rPr>
        <w:t xml:space="preserve">King’s Health Partners Clinical Trials Office (KHP-CTO). The KHP-CTO had intended to visit all sites to finish final monitoring of the primary endpoint (graft failure) data by the end of January 2021. However, monitoring was suspended as the latest wave of the COVID-19 pandemic occurred in Winter 2020/2021 and this  meant that research nurse teams who were responsible for </w:t>
      </w:r>
      <w:r w:rsidRPr="004959EF">
        <w:rPr>
          <w:rFonts w:asciiTheme="majorHAnsi" w:hAnsiTheme="majorHAnsi"/>
        </w:rPr>
        <w:t xml:space="preserve">making source data available for monitoring in each centre were again redeployed.  For these reasons,  it was foreseen that the database lock could not be completed according to the planned timeline. </w:t>
      </w:r>
    </w:p>
    <w:p w14:paraId="68D980E3" w14:textId="77777777" w:rsidR="005E126D" w:rsidRPr="004959EF" w:rsidRDefault="005E126D" w:rsidP="005E126D">
      <w:pPr>
        <w:jc w:val="both"/>
        <w:rPr>
          <w:rFonts w:asciiTheme="majorHAnsi" w:hAnsiTheme="majorHAnsi"/>
        </w:rPr>
      </w:pPr>
    </w:p>
    <w:p w14:paraId="7B326173" w14:textId="77777777" w:rsidR="005E126D" w:rsidRDefault="005E126D" w:rsidP="005E126D">
      <w:pPr>
        <w:jc w:val="both"/>
        <w:rPr>
          <w:rFonts w:asciiTheme="majorHAnsi" w:hAnsiTheme="majorHAnsi"/>
        </w:rPr>
      </w:pPr>
      <w:r w:rsidRPr="004959EF">
        <w:rPr>
          <w:rFonts w:asciiTheme="majorHAnsi" w:hAnsiTheme="majorHAnsi"/>
        </w:rPr>
        <w:lastRenderedPageBreak/>
        <w:t>A 6 month no-cost extension to the project to 31</w:t>
      </w:r>
      <w:r w:rsidRPr="004959EF">
        <w:rPr>
          <w:rFonts w:asciiTheme="majorHAnsi" w:hAnsiTheme="majorHAnsi"/>
          <w:vertAlign w:val="superscript"/>
        </w:rPr>
        <w:t>st</w:t>
      </w:r>
      <w:r w:rsidRPr="004959EF">
        <w:rPr>
          <w:rFonts w:asciiTheme="majorHAnsi" w:hAnsiTheme="majorHAnsi"/>
        </w:rPr>
        <w:t xml:space="preserve"> October 2021 was granted from the trial funder, National Institute for Health Research Efficacy and Mechanism Evaluation Programme (NIHR EME),  with the intention that monitoring would re-commence once possible.</w:t>
      </w:r>
      <w:r>
        <w:rPr>
          <w:rFonts w:asciiTheme="majorHAnsi" w:hAnsiTheme="majorHAnsi"/>
        </w:rPr>
        <w:t xml:space="preserve"> However, the shift in timelines meant that the final cleaning and statistical analysis would be delayed which in turn impacted staffing, specifically the Trial Manager and Statistician, both essential at this key end stage of the trial but whose input could not be guaranteed through to the new study end.  For these reasons a new plan was devised that optimised the time that the  trial manager  and statistician had available:</w:t>
      </w:r>
    </w:p>
    <w:p w14:paraId="56D16293" w14:textId="77777777" w:rsidR="005E126D" w:rsidRDefault="005E126D" w:rsidP="005E126D">
      <w:pPr>
        <w:jc w:val="both"/>
        <w:rPr>
          <w:rFonts w:asciiTheme="majorHAnsi" w:hAnsiTheme="majorHAnsi"/>
        </w:rPr>
      </w:pPr>
    </w:p>
    <w:p w14:paraId="39BF8D86" w14:textId="77777777" w:rsidR="005E126D" w:rsidRPr="00AA7B1A" w:rsidRDefault="005E126D" w:rsidP="005E126D">
      <w:pPr>
        <w:pStyle w:val="ListParagraph"/>
        <w:numPr>
          <w:ilvl w:val="0"/>
          <w:numId w:val="48"/>
        </w:numPr>
        <w:spacing w:after="0" w:line="240" w:lineRule="auto"/>
        <w:jc w:val="both"/>
        <w:rPr>
          <w:rFonts w:asciiTheme="majorHAnsi" w:hAnsiTheme="majorHAnsi"/>
        </w:rPr>
      </w:pPr>
      <w:r w:rsidRPr="00AA7B1A">
        <w:rPr>
          <w:rFonts w:asciiTheme="majorHAnsi" w:hAnsiTheme="majorHAnsi"/>
        </w:rPr>
        <w:t xml:space="preserve">The database will be </w:t>
      </w:r>
      <w:r>
        <w:rPr>
          <w:rFonts w:asciiTheme="majorHAnsi" w:hAnsiTheme="majorHAnsi"/>
        </w:rPr>
        <w:t>‘</w:t>
      </w:r>
      <w:r w:rsidRPr="00AA7B1A">
        <w:rPr>
          <w:rFonts w:asciiTheme="majorHAnsi" w:hAnsiTheme="majorHAnsi"/>
        </w:rPr>
        <w:t>frozen</w:t>
      </w:r>
      <w:r>
        <w:rPr>
          <w:rFonts w:asciiTheme="majorHAnsi" w:hAnsiTheme="majorHAnsi"/>
        </w:rPr>
        <w:t xml:space="preserve">’ (temporarily locked) </w:t>
      </w:r>
      <w:r w:rsidRPr="00AA7B1A">
        <w:rPr>
          <w:rFonts w:asciiTheme="majorHAnsi" w:hAnsiTheme="majorHAnsi"/>
        </w:rPr>
        <w:t xml:space="preserve">following completion of </w:t>
      </w:r>
      <w:r>
        <w:rPr>
          <w:rFonts w:asciiTheme="majorHAnsi" w:hAnsiTheme="majorHAnsi"/>
        </w:rPr>
        <w:t xml:space="preserve">all </w:t>
      </w:r>
      <w:r w:rsidRPr="00AA7B1A">
        <w:rPr>
          <w:rFonts w:asciiTheme="majorHAnsi" w:hAnsiTheme="majorHAnsi"/>
        </w:rPr>
        <w:t xml:space="preserve">data checking </w:t>
      </w:r>
      <w:r>
        <w:rPr>
          <w:rFonts w:asciiTheme="majorHAnsi" w:hAnsiTheme="majorHAnsi"/>
        </w:rPr>
        <w:t xml:space="preserve">apart from the remaining </w:t>
      </w:r>
      <w:r w:rsidRPr="00AA7B1A">
        <w:rPr>
          <w:rFonts w:asciiTheme="majorHAnsi" w:hAnsiTheme="majorHAnsi"/>
        </w:rPr>
        <w:t>KHP monitoring</w:t>
      </w:r>
      <w:r>
        <w:rPr>
          <w:rFonts w:asciiTheme="majorHAnsi" w:hAnsiTheme="majorHAnsi"/>
        </w:rPr>
        <w:t xml:space="preserve">. This will </w:t>
      </w:r>
      <w:r w:rsidRPr="00AA7B1A">
        <w:rPr>
          <w:rFonts w:asciiTheme="majorHAnsi" w:hAnsiTheme="majorHAnsi"/>
        </w:rPr>
        <w:t xml:space="preserve"> allow the statisticians to run the analyses unblinded</w:t>
      </w:r>
      <w:r>
        <w:rPr>
          <w:rFonts w:asciiTheme="majorHAnsi" w:hAnsiTheme="majorHAnsi"/>
        </w:rPr>
        <w:t xml:space="preserve">  with the aim of completing them in April 2021 in keeping with the  existing timeline.</w:t>
      </w:r>
    </w:p>
    <w:p w14:paraId="04A52BA5" w14:textId="77777777" w:rsidR="005E126D" w:rsidRDefault="005E126D" w:rsidP="005E126D">
      <w:pPr>
        <w:pStyle w:val="ListParagraph"/>
        <w:numPr>
          <w:ilvl w:val="0"/>
          <w:numId w:val="48"/>
        </w:numPr>
        <w:spacing w:after="0" w:line="240" w:lineRule="auto"/>
        <w:jc w:val="both"/>
        <w:rPr>
          <w:rFonts w:asciiTheme="majorHAnsi" w:hAnsiTheme="majorHAnsi"/>
        </w:rPr>
      </w:pPr>
      <w:r w:rsidRPr="00AA7B1A">
        <w:rPr>
          <w:rFonts w:asciiTheme="majorHAnsi" w:hAnsiTheme="majorHAnsi"/>
        </w:rPr>
        <w:t xml:space="preserve">The </w:t>
      </w:r>
      <w:r>
        <w:rPr>
          <w:rFonts w:asciiTheme="majorHAnsi" w:hAnsiTheme="majorHAnsi"/>
        </w:rPr>
        <w:t xml:space="preserve">dated </w:t>
      </w:r>
      <w:r w:rsidRPr="00AA7B1A">
        <w:rPr>
          <w:rFonts w:asciiTheme="majorHAnsi" w:hAnsiTheme="majorHAnsi"/>
        </w:rPr>
        <w:t>statistical report will be generated from these analyses</w:t>
      </w:r>
      <w:r>
        <w:rPr>
          <w:rFonts w:asciiTheme="majorHAnsi" w:hAnsiTheme="majorHAnsi"/>
        </w:rPr>
        <w:t xml:space="preserve"> and sent to the DMEC so they can attest to the validity of the process and confirm they are happy for this report to be shared with  the Chief Investigator.</w:t>
      </w:r>
    </w:p>
    <w:p w14:paraId="4F8803E0" w14:textId="77777777" w:rsidR="005E126D" w:rsidRDefault="005E126D" w:rsidP="005E126D">
      <w:pPr>
        <w:pStyle w:val="ListParagraph"/>
        <w:numPr>
          <w:ilvl w:val="0"/>
          <w:numId w:val="48"/>
        </w:numPr>
        <w:spacing w:after="0" w:line="240" w:lineRule="auto"/>
        <w:jc w:val="both"/>
        <w:rPr>
          <w:rFonts w:asciiTheme="majorHAnsi" w:hAnsiTheme="majorHAnsi"/>
        </w:rPr>
      </w:pPr>
      <w:r>
        <w:rPr>
          <w:rFonts w:asciiTheme="majorHAnsi" w:hAnsiTheme="majorHAnsi"/>
        </w:rPr>
        <w:t>The Chief Investigator will then receive the report in order for the team to draft a preliminary Clinical Study Report and preliminary primary publication. These will not be finalised, however.</w:t>
      </w:r>
    </w:p>
    <w:p w14:paraId="3009854A" w14:textId="77777777" w:rsidR="005E126D" w:rsidRDefault="005E126D" w:rsidP="005E126D">
      <w:pPr>
        <w:pStyle w:val="ListParagraph"/>
        <w:numPr>
          <w:ilvl w:val="0"/>
          <w:numId w:val="48"/>
        </w:numPr>
        <w:spacing w:after="0" w:line="240" w:lineRule="auto"/>
        <w:jc w:val="both"/>
        <w:rPr>
          <w:rFonts w:asciiTheme="majorHAnsi" w:hAnsiTheme="majorHAnsi"/>
        </w:rPr>
      </w:pPr>
      <w:r>
        <w:rPr>
          <w:rFonts w:asciiTheme="majorHAnsi" w:hAnsiTheme="majorHAnsi"/>
        </w:rPr>
        <w:t xml:space="preserve">Once KHP monitoring of the primary endpoint is able to be completed and any queries resolved, the database will be finally locked and the analyses re-run. </w:t>
      </w:r>
    </w:p>
    <w:p w14:paraId="784B2459" w14:textId="77777777" w:rsidR="005E126D" w:rsidRPr="00AA7B1A" w:rsidRDefault="005E126D" w:rsidP="005E126D">
      <w:pPr>
        <w:pStyle w:val="ListParagraph"/>
        <w:numPr>
          <w:ilvl w:val="0"/>
          <w:numId w:val="48"/>
        </w:numPr>
        <w:spacing w:after="0" w:line="240" w:lineRule="auto"/>
        <w:jc w:val="both"/>
        <w:rPr>
          <w:rFonts w:asciiTheme="majorHAnsi" w:hAnsiTheme="majorHAnsi"/>
        </w:rPr>
      </w:pPr>
      <w:r>
        <w:rPr>
          <w:rFonts w:asciiTheme="majorHAnsi" w:hAnsiTheme="majorHAnsi"/>
        </w:rPr>
        <w:t xml:space="preserve">It is expected that at most there would only be minor changes to the database following monitoring queries from the KHP-CTO, and so the results and their interpretation are very unlikely to change. It will be ensured that  changes to the data are </w:t>
      </w:r>
      <w:r w:rsidRPr="00AA7B1A">
        <w:rPr>
          <w:rFonts w:asciiTheme="majorHAnsi" w:hAnsiTheme="majorHAnsi"/>
        </w:rPr>
        <w:t>only</w:t>
      </w:r>
      <w:r>
        <w:rPr>
          <w:rFonts w:asciiTheme="majorHAnsi" w:hAnsiTheme="majorHAnsi"/>
        </w:rPr>
        <w:t xml:space="preserve"> made</w:t>
      </w:r>
      <w:r w:rsidRPr="00AA7B1A">
        <w:rPr>
          <w:rFonts w:asciiTheme="majorHAnsi" w:hAnsiTheme="majorHAnsi"/>
        </w:rPr>
        <w:t xml:space="preserve"> in response to monitoring queries raised by the KHP-CTO CRA.   The MACRO EDC system has functionality to </w:t>
      </w:r>
      <w:r>
        <w:rPr>
          <w:rFonts w:asciiTheme="majorHAnsi" w:hAnsiTheme="majorHAnsi"/>
        </w:rPr>
        <w:t xml:space="preserve">record </w:t>
      </w:r>
      <w:r w:rsidRPr="00AA7B1A">
        <w:rPr>
          <w:rFonts w:asciiTheme="majorHAnsi" w:hAnsiTheme="majorHAnsi"/>
        </w:rPr>
        <w:t>any changes made between the data</w:t>
      </w:r>
      <w:r>
        <w:rPr>
          <w:rFonts w:asciiTheme="majorHAnsi" w:hAnsiTheme="majorHAnsi"/>
        </w:rPr>
        <w:t>base</w:t>
      </w:r>
      <w:r w:rsidRPr="00AA7B1A">
        <w:rPr>
          <w:rFonts w:asciiTheme="majorHAnsi" w:hAnsiTheme="majorHAnsi"/>
        </w:rPr>
        <w:t xml:space="preserve"> being frozen and final data</w:t>
      </w:r>
      <w:r>
        <w:rPr>
          <w:rFonts w:asciiTheme="majorHAnsi" w:hAnsiTheme="majorHAnsi"/>
        </w:rPr>
        <w:t xml:space="preserve">base </w:t>
      </w:r>
      <w:r w:rsidRPr="00AA7B1A">
        <w:rPr>
          <w:rFonts w:asciiTheme="majorHAnsi" w:hAnsiTheme="majorHAnsi"/>
        </w:rPr>
        <w:t xml:space="preserve"> lock</w:t>
      </w:r>
      <w:r>
        <w:rPr>
          <w:rFonts w:asciiTheme="majorHAnsi" w:hAnsiTheme="majorHAnsi"/>
        </w:rPr>
        <w:t xml:space="preserve"> and these will be checked by the KHP-CTO to confirm that all changes were made in response to monitoring queries only.</w:t>
      </w:r>
    </w:p>
    <w:p w14:paraId="75BE5A92" w14:textId="77777777" w:rsidR="005E126D" w:rsidRPr="00AA7B1A" w:rsidRDefault="005E126D" w:rsidP="005E126D">
      <w:pPr>
        <w:pStyle w:val="ListParagraph"/>
        <w:numPr>
          <w:ilvl w:val="0"/>
          <w:numId w:val="48"/>
        </w:numPr>
        <w:spacing w:after="0" w:line="240" w:lineRule="auto"/>
        <w:jc w:val="both"/>
        <w:rPr>
          <w:rFonts w:asciiTheme="majorHAnsi" w:hAnsiTheme="majorHAnsi"/>
        </w:rPr>
      </w:pPr>
      <w:r>
        <w:rPr>
          <w:rFonts w:asciiTheme="majorHAnsi" w:hAnsiTheme="majorHAnsi"/>
        </w:rPr>
        <w:t xml:space="preserve">The drafts of the preliminary clinical study report and preliminary primary publication will be updated with final results post database lock. The preliminary report  results will be included as an </w:t>
      </w:r>
      <w:r w:rsidRPr="00AA7B1A">
        <w:rPr>
          <w:rFonts w:asciiTheme="majorHAnsi" w:hAnsiTheme="majorHAnsi"/>
        </w:rPr>
        <w:t xml:space="preserve">appendix </w:t>
      </w:r>
      <w:r>
        <w:rPr>
          <w:rFonts w:asciiTheme="majorHAnsi" w:hAnsiTheme="majorHAnsi"/>
        </w:rPr>
        <w:t>in</w:t>
      </w:r>
      <w:r w:rsidRPr="00AA7B1A">
        <w:rPr>
          <w:rFonts w:asciiTheme="majorHAnsi" w:hAnsiTheme="majorHAnsi"/>
        </w:rPr>
        <w:t xml:space="preserve"> </w:t>
      </w:r>
      <w:r>
        <w:rPr>
          <w:rFonts w:asciiTheme="majorHAnsi" w:hAnsiTheme="majorHAnsi"/>
        </w:rPr>
        <w:t xml:space="preserve">both </w:t>
      </w:r>
      <w:r w:rsidRPr="00AA7B1A">
        <w:rPr>
          <w:rFonts w:asciiTheme="majorHAnsi" w:hAnsiTheme="majorHAnsi"/>
        </w:rPr>
        <w:t>the final clinical study report and primary publication</w:t>
      </w:r>
      <w:r>
        <w:rPr>
          <w:rFonts w:asciiTheme="majorHAnsi" w:hAnsiTheme="majorHAnsi"/>
        </w:rPr>
        <w:t xml:space="preserve"> to ensure transparency.</w:t>
      </w:r>
    </w:p>
    <w:p w14:paraId="22A59724" w14:textId="77777777" w:rsidR="005E126D" w:rsidRDefault="005E126D" w:rsidP="005E126D">
      <w:pPr>
        <w:jc w:val="both"/>
        <w:rPr>
          <w:rFonts w:asciiTheme="majorHAnsi" w:hAnsiTheme="majorHAnsi"/>
        </w:rPr>
      </w:pPr>
    </w:p>
    <w:p w14:paraId="45A3FC8C" w14:textId="77777777" w:rsidR="005E126D" w:rsidRPr="00710C30" w:rsidRDefault="005E126D" w:rsidP="003D54A9">
      <w:pPr>
        <w:pStyle w:val="Heading2"/>
      </w:pPr>
      <w:bookmarkStart w:id="179" w:name="_Toc531176985"/>
      <w:bookmarkStart w:id="180" w:name="_Toc121909794"/>
      <w:bookmarkEnd w:id="177"/>
      <w:r w:rsidRPr="00710C30">
        <w:t>Data analysis plan – Data description</w:t>
      </w:r>
      <w:bookmarkEnd w:id="179"/>
      <w:bookmarkEnd w:id="180"/>
    </w:p>
    <w:p w14:paraId="3F1C50BD" w14:textId="77777777" w:rsidR="005E126D" w:rsidRPr="00710C30" w:rsidRDefault="005E126D" w:rsidP="007B2073">
      <w:pPr>
        <w:pStyle w:val="Heading3"/>
      </w:pPr>
      <w:bookmarkStart w:id="181" w:name="_Toc531176986"/>
      <w:bookmarkStart w:id="182" w:name="_Toc121909795"/>
      <w:r w:rsidRPr="00710C30">
        <w:t>Descriptives by HLA status</w:t>
      </w:r>
      <w:bookmarkEnd w:id="181"/>
      <w:bookmarkEnd w:id="182"/>
    </w:p>
    <w:p w14:paraId="3C52403F" w14:textId="77777777" w:rsidR="005E126D" w:rsidRPr="00710C30" w:rsidRDefault="005E126D" w:rsidP="005E126D">
      <w:pPr>
        <w:rPr>
          <w:rFonts w:asciiTheme="majorHAnsi" w:hAnsiTheme="majorHAnsi"/>
        </w:rPr>
      </w:pPr>
    </w:p>
    <w:p w14:paraId="3A7785B5" w14:textId="77777777" w:rsidR="005E126D" w:rsidRPr="00710C30" w:rsidRDefault="005E126D" w:rsidP="005E126D">
      <w:pPr>
        <w:jc w:val="both"/>
        <w:rPr>
          <w:rFonts w:asciiTheme="majorHAnsi" w:hAnsiTheme="majorHAnsi"/>
        </w:rPr>
      </w:pPr>
      <w:bookmarkStart w:id="183" w:name="_Toc531176987"/>
      <w:r w:rsidRPr="00710C30">
        <w:rPr>
          <w:rFonts w:asciiTheme="majorHAnsi" w:hAnsiTheme="majorHAnsi"/>
        </w:rPr>
        <w:t>All descriptives will be broken down by HLA status. Where appropriate, descriptives for HLA Ab Positive participants may be further broken down by whether they were HLA Positive at randomisation or through re-screening. Those who became HLA Ab Positive at re-screening may also be described separately prior to becoming HLA Ab Positive and after becoming HLA Ab Positive.</w:t>
      </w:r>
    </w:p>
    <w:p w14:paraId="16513BE9" w14:textId="77777777" w:rsidR="005E126D" w:rsidRPr="00710C30" w:rsidRDefault="005E126D" w:rsidP="007B2073">
      <w:pPr>
        <w:pStyle w:val="Heading3"/>
      </w:pPr>
      <w:bookmarkStart w:id="184" w:name="_Toc121909796"/>
      <w:r w:rsidRPr="00710C30">
        <w:lastRenderedPageBreak/>
        <w:t>Recruitment and representativeness of recruited patients</w:t>
      </w:r>
      <w:bookmarkEnd w:id="183"/>
      <w:bookmarkEnd w:id="184"/>
    </w:p>
    <w:p w14:paraId="4574143D" w14:textId="77777777" w:rsidR="005E126D" w:rsidRPr="00710C30" w:rsidRDefault="005E126D" w:rsidP="005E126D">
      <w:pPr>
        <w:widowControl w:val="0"/>
        <w:autoSpaceDE w:val="0"/>
        <w:autoSpaceDN w:val="0"/>
        <w:adjustRightInd w:val="0"/>
        <w:spacing w:after="240"/>
        <w:jc w:val="both"/>
        <w:rPr>
          <w:rFonts w:asciiTheme="majorHAnsi" w:hAnsiTheme="majorHAnsi"/>
        </w:rPr>
      </w:pPr>
      <w:r w:rsidRPr="00710C30">
        <w:rPr>
          <w:rFonts w:asciiTheme="majorHAnsi" w:hAnsiTheme="majorHAnsi"/>
        </w:rPr>
        <w:t>CONSORT flow chart will be constructed (1) – see Figure 2. This will include the number of eligible patients, number of patients agreeing to enter the trial, number of patients refusing; number of HLA Ab positive and negative patients, then by treatment arm: the number continuing through the trial, the number withdrawn or lost to follow-up and the numbers excluded/analysed.</w:t>
      </w:r>
    </w:p>
    <w:p w14:paraId="113943A7" w14:textId="77777777" w:rsidR="005E126D" w:rsidRPr="00710C30" w:rsidRDefault="005E126D" w:rsidP="005E126D">
      <w:pPr>
        <w:widowControl w:val="0"/>
        <w:autoSpaceDE w:val="0"/>
        <w:autoSpaceDN w:val="0"/>
        <w:adjustRightInd w:val="0"/>
        <w:spacing w:after="240"/>
        <w:jc w:val="both"/>
        <w:rPr>
          <w:rFonts w:asciiTheme="majorHAnsi" w:hAnsiTheme="majorHAnsi" w:cs="Times"/>
        </w:rPr>
      </w:pPr>
    </w:p>
    <w:p w14:paraId="5CE508D3" w14:textId="77777777" w:rsidR="005E126D" w:rsidRPr="00710C30" w:rsidRDefault="005E126D" w:rsidP="005E126D">
      <w:pPr>
        <w:widowControl w:val="0"/>
        <w:autoSpaceDE w:val="0"/>
        <w:autoSpaceDN w:val="0"/>
        <w:adjustRightInd w:val="0"/>
        <w:spacing w:after="240"/>
        <w:jc w:val="both"/>
        <w:rPr>
          <w:rFonts w:asciiTheme="majorHAnsi" w:hAnsiTheme="majorHAnsi" w:cs="Times"/>
        </w:rPr>
      </w:pPr>
      <w:r w:rsidRPr="00710C30">
        <w:rPr>
          <w:rFonts w:asciiTheme="majorHAnsi" w:hAnsiTheme="majorHAnsi"/>
          <w:noProof/>
        </w:rPr>
        <w:drawing>
          <wp:inline distT="0" distB="0" distL="0" distR="0" wp14:anchorId="37D416C7" wp14:editId="5E7AADBA">
            <wp:extent cx="5486400" cy="601957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6019578"/>
                    </a:xfrm>
                    <a:prstGeom prst="rect">
                      <a:avLst/>
                    </a:prstGeom>
                    <a:noFill/>
                    <a:ln>
                      <a:noFill/>
                    </a:ln>
                  </pic:spPr>
                </pic:pic>
              </a:graphicData>
            </a:graphic>
          </wp:inline>
        </w:drawing>
      </w:r>
    </w:p>
    <w:p w14:paraId="59907878" w14:textId="77777777" w:rsidR="005E126D" w:rsidRPr="00710C30" w:rsidRDefault="005E126D" w:rsidP="005E126D">
      <w:pPr>
        <w:pStyle w:val="Caption"/>
        <w:jc w:val="both"/>
        <w:rPr>
          <w:rFonts w:asciiTheme="majorHAnsi" w:hAnsiTheme="majorHAnsi" w:cs="Times"/>
          <w:sz w:val="32"/>
          <w:szCs w:val="32"/>
        </w:rPr>
      </w:pPr>
      <w:r w:rsidRPr="00710C30">
        <w:rPr>
          <w:rFonts w:asciiTheme="majorHAnsi" w:hAnsiTheme="majorHAnsi"/>
        </w:rPr>
        <w:t xml:space="preserve">Figure </w:t>
      </w:r>
      <w:r w:rsidRPr="00710C30">
        <w:rPr>
          <w:rFonts w:asciiTheme="majorHAnsi" w:hAnsiTheme="majorHAnsi"/>
        </w:rPr>
        <w:fldChar w:fldCharType="begin"/>
      </w:r>
      <w:r w:rsidRPr="00710C30">
        <w:rPr>
          <w:rFonts w:asciiTheme="majorHAnsi" w:hAnsiTheme="majorHAnsi"/>
        </w:rPr>
        <w:instrText xml:space="preserve"> SEQ Figure \* ARABIC </w:instrText>
      </w:r>
      <w:r w:rsidRPr="00710C30">
        <w:rPr>
          <w:rFonts w:asciiTheme="majorHAnsi" w:hAnsiTheme="majorHAnsi"/>
        </w:rPr>
        <w:fldChar w:fldCharType="separate"/>
      </w:r>
      <w:r w:rsidRPr="00710C30">
        <w:rPr>
          <w:rFonts w:asciiTheme="majorHAnsi" w:hAnsiTheme="majorHAnsi"/>
          <w:noProof/>
        </w:rPr>
        <w:t>2</w:t>
      </w:r>
      <w:r w:rsidRPr="00710C30">
        <w:rPr>
          <w:rFonts w:asciiTheme="majorHAnsi" w:hAnsiTheme="majorHAnsi"/>
        </w:rPr>
        <w:fldChar w:fldCharType="end"/>
      </w:r>
      <w:r w:rsidRPr="00710C30">
        <w:rPr>
          <w:rFonts w:asciiTheme="majorHAnsi" w:hAnsiTheme="majorHAnsi"/>
        </w:rPr>
        <w:t>. Template CONSORT diagram for OuTSMART trial</w:t>
      </w:r>
    </w:p>
    <w:p w14:paraId="166A6A10" w14:textId="77777777" w:rsidR="005E126D" w:rsidRPr="00710C30" w:rsidRDefault="005E126D" w:rsidP="007B2073">
      <w:pPr>
        <w:pStyle w:val="Heading3"/>
      </w:pPr>
      <w:bookmarkStart w:id="185" w:name="_Toc531176988"/>
      <w:bookmarkStart w:id="186" w:name="_Toc121909797"/>
      <w:r w:rsidRPr="00710C30">
        <w:lastRenderedPageBreak/>
        <w:t>Baseline comparability of randomised groups</w:t>
      </w:r>
      <w:bookmarkEnd w:id="185"/>
      <w:bookmarkEnd w:id="186"/>
    </w:p>
    <w:p w14:paraId="0B73B2D2" w14:textId="77777777" w:rsidR="005E126D" w:rsidRPr="00710C30" w:rsidRDefault="005E126D" w:rsidP="005E126D">
      <w:pPr>
        <w:jc w:val="both"/>
        <w:rPr>
          <w:rFonts w:asciiTheme="majorHAnsi" w:hAnsiTheme="majorHAnsi" w:cs="Times"/>
        </w:rPr>
      </w:pPr>
      <w:r w:rsidRPr="00710C30">
        <w:rPr>
          <w:rFonts w:asciiTheme="majorHAnsi" w:hAnsiTheme="majorHAnsi"/>
        </w:rPr>
        <w:t>Baseline descriptions of participants by trial arm within HLA status and overall: means and standard deviation or numbers and proportions as appropriate. Especially relevant factors are age, sex, HLA mismatches, baseline eGFR, site, previous treatment, and time from transplantation. No significance testing will be performed.</w:t>
      </w:r>
    </w:p>
    <w:p w14:paraId="709FCEF2" w14:textId="77777777" w:rsidR="005E126D" w:rsidRPr="00710C30" w:rsidRDefault="005E126D" w:rsidP="007B2073">
      <w:pPr>
        <w:pStyle w:val="Heading3"/>
      </w:pPr>
      <w:bookmarkStart w:id="187" w:name="_Toc531176989"/>
      <w:bookmarkStart w:id="188" w:name="_Toc121909798"/>
      <w:r w:rsidRPr="00710C30">
        <w:t>Adherence to allocated treatment and treatment fidelity</w:t>
      </w:r>
      <w:bookmarkEnd w:id="187"/>
      <w:bookmarkEnd w:id="188"/>
    </w:p>
    <w:p w14:paraId="3DD2FDA5" w14:textId="77777777" w:rsidR="005E126D" w:rsidRPr="00710C30" w:rsidRDefault="005E126D" w:rsidP="005E126D">
      <w:pPr>
        <w:jc w:val="both"/>
        <w:rPr>
          <w:rFonts w:asciiTheme="majorHAnsi" w:hAnsiTheme="majorHAnsi"/>
        </w:rPr>
      </w:pPr>
      <w:r w:rsidRPr="00710C30">
        <w:rPr>
          <w:rFonts w:asciiTheme="majorHAnsi" w:hAnsiTheme="majorHAnsi"/>
        </w:rPr>
        <w:t>Antibody positive patients randomized to biomarker led care who take the full optimization protocol (three drugs) will be compared to those who don’t take the full protocol (less than three drugs) with respect to baseline variables and outcomes.</w:t>
      </w:r>
    </w:p>
    <w:p w14:paraId="625973CA" w14:textId="77777777" w:rsidR="005E126D" w:rsidRPr="00710C30" w:rsidRDefault="005E126D" w:rsidP="007B2073">
      <w:pPr>
        <w:pStyle w:val="Heading3"/>
      </w:pPr>
      <w:bookmarkStart w:id="189" w:name="_Toc531176990"/>
      <w:bookmarkStart w:id="190" w:name="_Toc121909799"/>
      <w:r w:rsidRPr="00710C30">
        <w:t>Loss to follow-up and other missing data</w:t>
      </w:r>
      <w:bookmarkEnd w:id="189"/>
      <w:bookmarkEnd w:id="190"/>
    </w:p>
    <w:p w14:paraId="1CBBE5DA" w14:textId="77777777" w:rsidR="005E126D" w:rsidRPr="00710C30" w:rsidRDefault="005E126D" w:rsidP="005E126D">
      <w:pPr>
        <w:jc w:val="both"/>
        <w:rPr>
          <w:rFonts w:asciiTheme="majorHAnsi" w:hAnsiTheme="majorHAnsi" w:cs="Times"/>
        </w:rPr>
      </w:pPr>
      <w:r w:rsidRPr="00710C30">
        <w:rPr>
          <w:rFonts w:asciiTheme="majorHAnsi" w:hAnsiTheme="majorHAnsi"/>
        </w:rPr>
        <w:t xml:space="preserve">The proportions of participants with missing data for each variable will be summarised in each arm and at each time point. </w:t>
      </w:r>
      <w:r w:rsidRPr="00710C30">
        <w:rPr>
          <w:rFonts w:asciiTheme="majorHAnsi" w:hAnsiTheme="majorHAnsi" w:cs="Times"/>
        </w:rPr>
        <w:t xml:space="preserve">The baseline characteristics of those missing follow up will be compared to those with complete follow up. </w:t>
      </w:r>
      <w:r w:rsidRPr="00710C30">
        <w:rPr>
          <w:rFonts w:asciiTheme="majorHAnsi" w:hAnsiTheme="majorHAnsi"/>
        </w:rPr>
        <w:t>The reasons for withdrawal from the trial will be summarised.</w:t>
      </w:r>
    </w:p>
    <w:p w14:paraId="6F6D8B06" w14:textId="77777777" w:rsidR="005E126D" w:rsidRPr="00710C30" w:rsidRDefault="005E126D" w:rsidP="007B2073">
      <w:pPr>
        <w:pStyle w:val="Heading3"/>
      </w:pPr>
      <w:bookmarkStart w:id="191" w:name="_Toc531176991"/>
      <w:bookmarkStart w:id="192" w:name="_Toc121909800"/>
      <w:r w:rsidRPr="00710C30">
        <w:t>Adverse event reporting</w:t>
      </w:r>
      <w:bookmarkEnd w:id="191"/>
      <w:bookmarkEnd w:id="192"/>
    </w:p>
    <w:p w14:paraId="587B532C" w14:textId="77777777" w:rsidR="005E126D" w:rsidRPr="00710C30" w:rsidRDefault="005E126D" w:rsidP="005E126D">
      <w:pPr>
        <w:jc w:val="both"/>
        <w:rPr>
          <w:rFonts w:asciiTheme="majorHAnsi" w:hAnsiTheme="majorHAnsi"/>
        </w:rPr>
      </w:pPr>
      <w:r w:rsidRPr="00710C30">
        <w:rPr>
          <w:rFonts w:asciiTheme="majorHAnsi" w:hAnsiTheme="majorHAnsi"/>
        </w:rPr>
        <w:t>Adverse events (AE), adverse reactions (AR), serious adverse events (SAE) and serious adverse reactions (SAR) will be summarised by group (within trial arm and HLA status) as proportions and 95% confidence intervals.</w:t>
      </w:r>
    </w:p>
    <w:p w14:paraId="0E32B1B4" w14:textId="77777777" w:rsidR="005E126D" w:rsidRPr="00710C30" w:rsidRDefault="005E126D" w:rsidP="005E126D">
      <w:pPr>
        <w:jc w:val="both"/>
        <w:rPr>
          <w:rFonts w:asciiTheme="majorHAnsi" w:hAnsiTheme="majorHAnsi" w:cs="Times"/>
        </w:rPr>
      </w:pPr>
    </w:p>
    <w:p w14:paraId="49D7FD63" w14:textId="77777777" w:rsidR="005E126D" w:rsidRPr="00710C30" w:rsidRDefault="005E126D" w:rsidP="007B2073">
      <w:pPr>
        <w:pStyle w:val="Heading3"/>
      </w:pPr>
      <w:bookmarkStart w:id="193" w:name="_Toc531176992"/>
      <w:bookmarkStart w:id="194" w:name="_Toc121909801"/>
      <w:r w:rsidRPr="00710C30">
        <w:t>Assessment of outcome measures (unblinding)</w:t>
      </w:r>
      <w:bookmarkEnd w:id="193"/>
      <w:bookmarkEnd w:id="194"/>
    </w:p>
    <w:p w14:paraId="7E20A53D" w14:textId="77777777" w:rsidR="005E126D" w:rsidRPr="00710C30" w:rsidRDefault="005E126D" w:rsidP="005E126D">
      <w:r w:rsidRPr="00710C30">
        <w:rPr>
          <w:rFonts w:asciiTheme="majorHAnsi" w:hAnsiTheme="majorHAnsi"/>
        </w:rPr>
        <w:t>Evidence for unblinding of HLA status (within blinded arm) will not be assessed. </w:t>
      </w:r>
    </w:p>
    <w:p w14:paraId="4570130A" w14:textId="77777777" w:rsidR="005E126D" w:rsidRPr="00710C30" w:rsidRDefault="005E126D" w:rsidP="007B2073">
      <w:pPr>
        <w:pStyle w:val="Heading3"/>
      </w:pPr>
      <w:bookmarkStart w:id="195" w:name="_Toc531176993"/>
      <w:bookmarkStart w:id="196" w:name="_Toc121909802"/>
      <w:r w:rsidRPr="00710C30">
        <w:t>Descriptive statistics for outcome measures</w:t>
      </w:r>
      <w:bookmarkEnd w:id="195"/>
      <w:bookmarkEnd w:id="196"/>
      <w:r w:rsidRPr="00710C30">
        <w:t xml:space="preserve"> </w:t>
      </w:r>
    </w:p>
    <w:p w14:paraId="77974677" w14:textId="77777777" w:rsidR="005E126D" w:rsidRPr="00710C30" w:rsidRDefault="005E126D" w:rsidP="005E126D">
      <w:pPr>
        <w:jc w:val="both"/>
        <w:rPr>
          <w:rFonts w:asciiTheme="majorHAnsi" w:hAnsiTheme="majorHAnsi"/>
        </w:rPr>
      </w:pPr>
      <w:r w:rsidRPr="00710C30">
        <w:rPr>
          <w:rFonts w:asciiTheme="majorHAnsi" w:hAnsiTheme="majorHAnsi"/>
        </w:rPr>
        <w:t xml:space="preserve">Frequencies and descriptive statistics of all primary and secondary outcome measures will be reported with estimates and 95% confidence intervals. </w:t>
      </w:r>
    </w:p>
    <w:p w14:paraId="01772949" w14:textId="77777777" w:rsidR="005E126D" w:rsidRPr="00710C30" w:rsidRDefault="005E126D" w:rsidP="007B2073">
      <w:pPr>
        <w:pStyle w:val="Heading3"/>
      </w:pPr>
      <w:bookmarkStart w:id="197" w:name="_Toc531176994"/>
      <w:bookmarkStart w:id="198" w:name="_Toc121909803"/>
      <w:r w:rsidRPr="00710C30">
        <w:t>Description of therapists/therapies</w:t>
      </w:r>
      <w:bookmarkEnd w:id="197"/>
      <w:bookmarkEnd w:id="198"/>
      <w:r w:rsidRPr="00710C30">
        <w:t xml:space="preserve"> </w:t>
      </w:r>
    </w:p>
    <w:p w14:paraId="53779848" w14:textId="77777777" w:rsidR="005E126D" w:rsidRPr="00710C30" w:rsidRDefault="005E126D" w:rsidP="005E126D">
      <w:pPr>
        <w:jc w:val="both"/>
        <w:rPr>
          <w:rFonts w:asciiTheme="majorHAnsi" w:hAnsiTheme="majorHAnsi"/>
        </w:rPr>
      </w:pPr>
      <w:r w:rsidRPr="00710C30">
        <w:rPr>
          <w:rFonts w:asciiTheme="majorHAnsi" w:hAnsiTheme="majorHAnsi"/>
        </w:rPr>
        <w:t xml:space="preserve">Immunosuppressive drugs and doses prescribed to each group of patients will be summarized. </w:t>
      </w:r>
    </w:p>
    <w:p w14:paraId="2E19D5EE" w14:textId="77777777" w:rsidR="005E126D" w:rsidRPr="00710C30" w:rsidRDefault="005E126D" w:rsidP="003D54A9">
      <w:pPr>
        <w:pStyle w:val="Heading2"/>
      </w:pPr>
      <w:bookmarkStart w:id="199" w:name="_Toc531176995"/>
      <w:bookmarkStart w:id="200" w:name="_Toc121909804"/>
      <w:r w:rsidRPr="00710C30">
        <w:t>Data analysis plan – Inferential analysis</w:t>
      </w:r>
      <w:bookmarkEnd w:id="199"/>
      <w:bookmarkEnd w:id="200"/>
    </w:p>
    <w:p w14:paraId="3030CD40" w14:textId="77777777" w:rsidR="005E126D" w:rsidRPr="00710C30" w:rsidRDefault="005E126D" w:rsidP="007B1DF7">
      <w:pPr>
        <w:pStyle w:val="Heading3"/>
      </w:pPr>
      <w:bookmarkStart w:id="201" w:name="_Toc531176996"/>
      <w:bookmarkStart w:id="202" w:name="_Toc121909805"/>
      <w:r w:rsidRPr="00710C30">
        <w:t>Main analysis of treatment differences</w:t>
      </w:r>
      <w:bookmarkEnd w:id="201"/>
      <w:bookmarkEnd w:id="202"/>
    </w:p>
    <w:p w14:paraId="5B3ED628" w14:textId="77777777" w:rsidR="005E126D" w:rsidRPr="00710C30" w:rsidRDefault="005E126D" w:rsidP="007B1DF7">
      <w:pPr>
        <w:pStyle w:val="Heading4"/>
      </w:pPr>
      <w:bookmarkStart w:id="203" w:name="_Toc531176997"/>
      <w:r w:rsidRPr="00710C30">
        <w:t>Analysis of primary outcomes</w:t>
      </w:r>
      <w:bookmarkEnd w:id="203"/>
      <w:r w:rsidRPr="00710C30">
        <w:t xml:space="preserve"> </w:t>
      </w:r>
    </w:p>
    <w:p w14:paraId="14AAA86E" w14:textId="77777777" w:rsidR="005E126D" w:rsidRPr="00710C30" w:rsidRDefault="005E126D" w:rsidP="005E126D">
      <w:pPr>
        <w:jc w:val="both"/>
        <w:rPr>
          <w:rFonts w:asciiTheme="majorHAnsi" w:hAnsiTheme="majorHAnsi"/>
        </w:rPr>
      </w:pPr>
      <w:r w:rsidRPr="00710C30">
        <w:rPr>
          <w:rFonts w:asciiTheme="majorHAnsi" w:hAnsiTheme="majorHAnsi"/>
        </w:rPr>
        <w:t xml:space="preserve">Statistical analysis will be on an intention to treat basis. Patients who become positive during the follow up will be included in the appropriate group (group labels refer to flow diagram in figure 1). </w:t>
      </w:r>
    </w:p>
    <w:p w14:paraId="720C4D03" w14:textId="77777777" w:rsidR="005E126D" w:rsidRPr="00710C30" w:rsidRDefault="005E126D" w:rsidP="005E126D">
      <w:pPr>
        <w:spacing w:before="120" w:after="120"/>
        <w:contextualSpacing/>
        <w:jc w:val="both"/>
        <w:rPr>
          <w:rFonts w:asciiTheme="majorHAnsi" w:hAnsiTheme="majorHAnsi"/>
        </w:rPr>
      </w:pPr>
    </w:p>
    <w:p w14:paraId="5CF3701D" w14:textId="77777777" w:rsidR="005E126D" w:rsidRPr="00710C30" w:rsidRDefault="005E126D" w:rsidP="005E126D">
      <w:pPr>
        <w:pStyle w:val="ListParagraph"/>
        <w:numPr>
          <w:ilvl w:val="0"/>
          <w:numId w:val="45"/>
        </w:numPr>
        <w:spacing w:before="120" w:after="120" w:line="240" w:lineRule="auto"/>
        <w:ind w:left="426" w:hanging="426"/>
        <w:jc w:val="both"/>
        <w:rPr>
          <w:rFonts w:asciiTheme="majorHAnsi" w:hAnsiTheme="majorHAnsi"/>
        </w:rPr>
      </w:pPr>
      <w:r w:rsidRPr="00710C30">
        <w:rPr>
          <w:rFonts w:asciiTheme="majorHAnsi" w:hAnsiTheme="majorHAnsi"/>
        </w:rPr>
        <w:t>Superiority:</w:t>
      </w:r>
    </w:p>
    <w:p w14:paraId="0220E47A" w14:textId="77777777" w:rsidR="005E126D" w:rsidRPr="00710C30" w:rsidRDefault="005E126D" w:rsidP="005E126D">
      <w:pPr>
        <w:jc w:val="both"/>
        <w:rPr>
          <w:rFonts w:asciiTheme="majorHAnsi" w:hAnsiTheme="majorHAnsi"/>
        </w:rPr>
      </w:pPr>
      <w:r w:rsidRPr="00710C30">
        <w:rPr>
          <w:rFonts w:asciiTheme="majorHAnsi" w:hAnsiTheme="majorHAnsi"/>
        </w:rPr>
        <w:t>H</w:t>
      </w:r>
      <w:r w:rsidRPr="00710C30">
        <w:rPr>
          <w:rFonts w:asciiTheme="majorHAnsi" w:hAnsiTheme="majorHAnsi"/>
          <w:vertAlign w:val="subscript"/>
        </w:rPr>
        <w:t>0</w:t>
      </w:r>
      <w:r w:rsidRPr="00710C30">
        <w:rPr>
          <w:rFonts w:asciiTheme="majorHAnsi" w:hAnsiTheme="majorHAnsi"/>
        </w:rPr>
        <w:t>: h</w:t>
      </w:r>
      <w:r w:rsidRPr="00710C30">
        <w:rPr>
          <w:rFonts w:asciiTheme="majorHAnsi" w:hAnsiTheme="majorHAnsi"/>
          <w:vertAlign w:val="subscript"/>
        </w:rPr>
        <w:t>A1</w:t>
      </w:r>
      <w:r w:rsidRPr="00710C30">
        <w:rPr>
          <w:rFonts w:asciiTheme="majorHAnsi" w:hAnsiTheme="majorHAnsi"/>
        </w:rPr>
        <w:t>(t)= h</w:t>
      </w:r>
      <w:r w:rsidRPr="00710C30">
        <w:rPr>
          <w:rFonts w:asciiTheme="majorHAnsi" w:hAnsiTheme="majorHAnsi"/>
          <w:vertAlign w:val="subscript"/>
        </w:rPr>
        <w:t>B1</w:t>
      </w:r>
      <w:r w:rsidRPr="00710C30">
        <w:rPr>
          <w:rFonts w:asciiTheme="majorHAnsi" w:hAnsiTheme="majorHAnsi"/>
        </w:rPr>
        <w:t>(t) &amp; h</w:t>
      </w:r>
      <w:r w:rsidRPr="00710C30">
        <w:rPr>
          <w:rFonts w:asciiTheme="majorHAnsi" w:hAnsiTheme="majorHAnsi"/>
          <w:vertAlign w:val="subscript"/>
        </w:rPr>
        <w:t>A2</w:t>
      </w:r>
      <w:r w:rsidRPr="00710C30">
        <w:rPr>
          <w:rFonts w:asciiTheme="majorHAnsi" w:hAnsiTheme="majorHAnsi"/>
        </w:rPr>
        <w:t>(t)= h</w:t>
      </w:r>
      <w:r w:rsidRPr="00710C30">
        <w:rPr>
          <w:rFonts w:asciiTheme="majorHAnsi" w:hAnsiTheme="majorHAnsi"/>
          <w:vertAlign w:val="subscript"/>
        </w:rPr>
        <w:t>B2</w:t>
      </w:r>
      <w:r w:rsidRPr="00710C30">
        <w:rPr>
          <w:rFonts w:asciiTheme="majorHAnsi" w:hAnsiTheme="majorHAnsi"/>
        </w:rPr>
        <w:t xml:space="preserve">(t) </w:t>
      </w:r>
    </w:p>
    <w:p w14:paraId="42E9CAED" w14:textId="77777777" w:rsidR="005E126D" w:rsidRPr="00710C30" w:rsidRDefault="005E126D" w:rsidP="005E126D">
      <w:pPr>
        <w:jc w:val="both"/>
        <w:rPr>
          <w:rFonts w:asciiTheme="majorHAnsi" w:hAnsiTheme="majorHAnsi"/>
        </w:rPr>
      </w:pPr>
      <w:r w:rsidRPr="00710C30">
        <w:rPr>
          <w:rFonts w:asciiTheme="majorHAnsi" w:hAnsiTheme="majorHAnsi"/>
        </w:rPr>
        <w:t>H</w:t>
      </w:r>
      <w:r w:rsidRPr="00710C30">
        <w:rPr>
          <w:rFonts w:asciiTheme="majorHAnsi" w:hAnsiTheme="majorHAnsi"/>
          <w:vertAlign w:val="subscript"/>
        </w:rPr>
        <w:t>1</w:t>
      </w:r>
      <w:r w:rsidRPr="00710C30">
        <w:rPr>
          <w:rFonts w:asciiTheme="majorHAnsi" w:hAnsiTheme="majorHAnsi"/>
        </w:rPr>
        <w:t>: h</w:t>
      </w:r>
      <w:r w:rsidRPr="00710C30">
        <w:rPr>
          <w:rFonts w:asciiTheme="majorHAnsi" w:hAnsiTheme="majorHAnsi"/>
          <w:vertAlign w:val="subscript"/>
        </w:rPr>
        <w:t>A1</w:t>
      </w:r>
      <w:r w:rsidRPr="00710C30">
        <w:rPr>
          <w:rFonts w:asciiTheme="majorHAnsi" w:hAnsiTheme="majorHAnsi"/>
        </w:rPr>
        <w:t>(t)≠ h</w:t>
      </w:r>
      <w:r w:rsidRPr="00710C30">
        <w:rPr>
          <w:rFonts w:asciiTheme="majorHAnsi" w:hAnsiTheme="majorHAnsi"/>
          <w:vertAlign w:val="subscript"/>
        </w:rPr>
        <w:t>B1</w:t>
      </w:r>
      <w:r w:rsidRPr="00710C30">
        <w:rPr>
          <w:rFonts w:asciiTheme="majorHAnsi" w:hAnsiTheme="majorHAnsi"/>
        </w:rPr>
        <w:t>(t) &amp; h</w:t>
      </w:r>
      <w:r w:rsidRPr="00710C30">
        <w:rPr>
          <w:rFonts w:asciiTheme="majorHAnsi" w:hAnsiTheme="majorHAnsi"/>
          <w:vertAlign w:val="subscript"/>
        </w:rPr>
        <w:t>A2</w:t>
      </w:r>
      <w:r w:rsidRPr="00710C30">
        <w:rPr>
          <w:rFonts w:asciiTheme="majorHAnsi" w:hAnsiTheme="majorHAnsi"/>
        </w:rPr>
        <w:t>(t)≠ h</w:t>
      </w:r>
      <w:r w:rsidRPr="00710C30">
        <w:rPr>
          <w:rFonts w:asciiTheme="majorHAnsi" w:hAnsiTheme="majorHAnsi"/>
          <w:vertAlign w:val="subscript"/>
        </w:rPr>
        <w:t>B2</w:t>
      </w:r>
      <w:r w:rsidRPr="00710C30">
        <w:rPr>
          <w:rFonts w:asciiTheme="majorHAnsi" w:hAnsiTheme="majorHAnsi"/>
        </w:rPr>
        <w:t>(t)</w:t>
      </w:r>
    </w:p>
    <w:p w14:paraId="1E1ABF31" w14:textId="77777777" w:rsidR="005E126D" w:rsidRPr="00710C30" w:rsidRDefault="005E126D" w:rsidP="005E126D">
      <w:pPr>
        <w:jc w:val="both"/>
        <w:rPr>
          <w:rFonts w:asciiTheme="majorHAnsi" w:hAnsiTheme="majorHAnsi"/>
        </w:rPr>
      </w:pPr>
    </w:p>
    <w:p w14:paraId="03258429" w14:textId="77777777" w:rsidR="005E126D" w:rsidRPr="00710C30" w:rsidRDefault="005E126D" w:rsidP="005E126D">
      <w:pPr>
        <w:jc w:val="both"/>
        <w:rPr>
          <w:rFonts w:asciiTheme="majorHAnsi" w:hAnsiTheme="majorHAnsi"/>
        </w:rPr>
      </w:pPr>
      <w:r w:rsidRPr="00710C30">
        <w:rPr>
          <w:rFonts w:asciiTheme="majorHAnsi" w:hAnsiTheme="majorHAnsi"/>
        </w:rPr>
        <w:lastRenderedPageBreak/>
        <w:t>In order to test superiority for the primary outcome in the Biomarker (HLA Ab) positive groups (Hypothesis 1.1 and 1.2), we will use Cox proportional hazards regression models to estimate the graft failure hazard ratio between the biomarker led care and standard care groups and test at the 5% level of significance. Results will be given as estimates and 95% CIs.  Within the model, we will adjust for previous immunosuppression regimen and research site (as these are the randomisation stratification factors) for increased statistical efficiency.</w:t>
      </w:r>
    </w:p>
    <w:p w14:paraId="514BC5B3" w14:textId="77777777" w:rsidR="005E126D" w:rsidRPr="00710C30" w:rsidRDefault="005E126D" w:rsidP="005E126D">
      <w:pPr>
        <w:jc w:val="both"/>
        <w:rPr>
          <w:rFonts w:asciiTheme="majorHAnsi" w:hAnsiTheme="majorHAnsi"/>
        </w:rPr>
      </w:pPr>
    </w:p>
    <w:p w14:paraId="62EC55B2" w14:textId="77777777" w:rsidR="005E126D" w:rsidRPr="00710C30" w:rsidRDefault="005E126D" w:rsidP="005E126D">
      <w:pPr>
        <w:spacing w:before="120" w:after="120"/>
        <w:contextualSpacing/>
        <w:jc w:val="both"/>
        <w:rPr>
          <w:rFonts w:asciiTheme="majorHAnsi" w:hAnsiTheme="majorHAnsi"/>
          <w:vertAlign w:val="subscript"/>
        </w:rPr>
      </w:pPr>
      <w:r w:rsidRPr="00710C30">
        <w:rPr>
          <w:rFonts w:asciiTheme="majorHAnsi" w:hAnsiTheme="majorHAnsi"/>
        </w:rPr>
        <w:t xml:space="preserve">We will check the proportional hazards assumption by examining Kaplan-Meier plots and by testing for an interaction between group (BLC or SC) and time to graft failure within the model. </w:t>
      </w:r>
    </w:p>
    <w:p w14:paraId="1FA06D33" w14:textId="77777777" w:rsidR="005E126D" w:rsidRPr="00710C30" w:rsidRDefault="005E126D" w:rsidP="005E126D">
      <w:pPr>
        <w:spacing w:before="120" w:after="120"/>
        <w:contextualSpacing/>
        <w:jc w:val="both"/>
        <w:rPr>
          <w:rFonts w:asciiTheme="majorHAnsi" w:hAnsiTheme="majorHAnsi"/>
        </w:rPr>
      </w:pPr>
    </w:p>
    <w:p w14:paraId="688A07B4" w14:textId="77777777" w:rsidR="005E126D" w:rsidRPr="00710C30" w:rsidRDefault="005E126D" w:rsidP="005E126D">
      <w:pPr>
        <w:pStyle w:val="ListParagraph"/>
        <w:numPr>
          <w:ilvl w:val="0"/>
          <w:numId w:val="45"/>
        </w:numPr>
        <w:spacing w:after="0" w:line="240" w:lineRule="auto"/>
        <w:ind w:left="426" w:hanging="426"/>
        <w:jc w:val="both"/>
        <w:rPr>
          <w:rFonts w:asciiTheme="majorHAnsi" w:hAnsiTheme="majorHAnsi"/>
        </w:rPr>
      </w:pPr>
      <w:r w:rsidRPr="00710C30">
        <w:rPr>
          <w:rFonts w:asciiTheme="majorHAnsi" w:hAnsiTheme="majorHAnsi"/>
        </w:rPr>
        <w:t>Non-inferiority:</w:t>
      </w:r>
    </w:p>
    <w:p w14:paraId="12567DDA" w14:textId="77777777" w:rsidR="005E126D" w:rsidRPr="00710C30" w:rsidRDefault="005E126D" w:rsidP="005E126D">
      <w:pPr>
        <w:spacing w:before="120"/>
        <w:jc w:val="both"/>
        <w:rPr>
          <w:rFonts w:asciiTheme="majorHAnsi" w:hAnsiTheme="majorHAnsi"/>
        </w:rPr>
      </w:pPr>
      <w:r w:rsidRPr="00710C30">
        <w:rPr>
          <w:rFonts w:asciiTheme="majorHAnsi" w:hAnsiTheme="majorHAnsi"/>
        </w:rPr>
        <w:t>H</w:t>
      </w:r>
      <w:r w:rsidRPr="00710C30">
        <w:rPr>
          <w:rFonts w:asciiTheme="majorHAnsi" w:hAnsiTheme="majorHAnsi"/>
          <w:vertAlign w:val="subscript"/>
        </w:rPr>
        <w:t>0</w:t>
      </w:r>
      <w:r w:rsidRPr="00710C30">
        <w:rPr>
          <w:rFonts w:asciiTheme="majorHAnsi" w:hAnsiTheme="majorHAnsi"/>
        </w:rPr>
        <w:t>:  h</w:t>
      </w:r>
      <w:r w:rsidRPr="00710C30">
        <w:rPr>
          <w:rFonts w:asciiTheme="majorHAnsi" w:hAnsiTheme="majorHAnsi"/>
          <w:vertAlign w:val="subscript"/>
        </w:rPr>
        <w:t>Unblind</w:t>
      </w:r>
      <w:r w:rsidRPr="00710C30">
        <w:rPr>
          <w:rFonts w:asciiTheme="majorHAnsi" w:hAnsiTheme="majorHAnsi"/>
        </w:rPr>
        <w:t>(t) / h</w:t>
      </w:r>
      <w:r w:rsidRPr="00710C30">
        <w:rPr>
          <w:rFonts w:asciiTheme="majorHAnsi" w:hAnsiTheme="majorHAnsi"/>
          <w:vertAlign w:val="subscript"/>
        </w:rPr>
        <w:t>Blind</w:t>
      </w:r>
      <w:r w:rsidRPr="00710C30">
        <w:rPr>
          <w:rFonts w:asciiTheme="majorHAnsi" w:hAnsiTheme="majorHAnsi"/>
        </w:rPr>
        <w:t xml:space="preserve">(t) ≥ δ </w:t>
      </w:r>
    </w:p>
    <w:p w14:paraId="1B26D888" w14:textId="77777777" w:rsidR="005E126D" w:rsidRPr="00710C30" w:rsidRDefault="005E126D" w:rsidP="005E126D">
      <w:pPr>
        <w:jc w:val="both"/>
        <w:rPr>
          <w:rFonts w:asciiTheme="majorHAnsi" w:hAnsiTheme="majorHAnsi"/>
        </w:rPr>
      </w:pPr>
      <w:r w:rsidRPr="00710C30">
        <w:rPr>
          <w:rFonts w:asciiTheme="majorHAnsi" w:hAnsiTheme="majorHAnsi"/>
        </w:rPr>
        <w:t>H</w:t>
      </w:r>
      <w:r w:rsidRPr="00710C30">
        <w:rPr>
          <w:rFonts w:asciiTheme="majorHAnsi" w:hAnsiTheme="majorHAnsi"/>
          <w:vertAlign w:val="subscript"/>
        </w:rPr>
        <w:t>1</w:t>
      </w:r>
      <w:r w:rsidRPr="00710C30">
        <w:rPr>
          <w:rFonts w:asciiTheme="majorHAnsi" w:hAnsiTheme="majorHAnsi"/>
        </w:rPr>
        <w:t>: h</w:t>
      </w:r>
      <w:r w:rsidRPr="00710C30">
        <w:rPr>
          <w:rFonts w:asciiTheme="majorHAnsi" w:hAnsiTheme="majorHAnsi"/>
          <w:vertAlign w:val="subscript"/>
        </w:rPr>
        <w:t>Unblind</w:t>
      </w:r>
      <w:r w:rsidRPr="00710C30">
        <w:rPr>
          <w:rFonts w:asciiTheme="majorHAnsi" w:hAnsiTheme="majorHAnsi"/>
        </w:rPr>
        <w:t>(t) / h</w:t>
      </w:r>
      <w:r w:rsidRPr="00710C30">
        <w:rPr>
          <w:rFonts w:asciiTheme="majorHAnsi" w:hAnsiTheme="majorHAnsi"/>
          <w:vertAlign w:val="subscript"/>
        </w:rPr>
        <w:t>Blind</w:t>
      </w:r>
      <w:r w:rsidRPr="00710C30">
        <w:rPr>
          <w:rFonts w:asciiTheme="majorHAnsi" w:hAnsiTheme="majorHAnsi"/>
        </w:rPr>
        <w:t>(t) &lt; δ</w:t>
      </w:r>
    </w:p>
    <w:p w14:paraId="3C4DA60F" w14:textId="77777777" w:rsidR="005E126D" w:rsidRPr="00710C30" w:rsidRDefault="005E126D" w:rsidP="005E126D">
      <w:pPr>
        <w:jc w:val="both"/>
        <w:rPr>
          <w:rFonts w:asciiTheme="majorHAnsi" w:hAnsiTheme="majorHAnsi"/>
        </w:rPr>
      </w:pPr>
    </w:p>
    <w:p w14:paraId="09E86053" w14:textId="77777777" w:rsidR="005E126D" w:rsidRPr="00710C30" w:rsidRDefault="005E126D" w:rsidP="005E126D">
      <w:pPr>
        <w:jc w:val="both"/>
        <w:rPr>
          <w:rFonts w:asciiTheme="majorHAnsi" w:hAnsiTheme="majorHAnsi"/>
        </w:rPr>
      </w:pPr>
      <w:r w:rsidRPr="00710C30">
        <w:rPr>
          <w:rFonts w:asciiTheme="majorHAnsi" w:hAnsiTheme="majorHAnsi"/>
        </w:rPr>
        <w:t>In order to test for non-inferiority of the unblinded groups compared to the blinded groups (hypothesis 2.1), we will use Cox proportional hazards regression models to estimate the graft failure hazard ratio. We will adjust for the stratification factors in the model as outlined above and check the proportional hazards assumption by examining Kaplan Meier plots and by testing for an interaction between unblinded/blinded group and time to graft failure. We will conclude non-inferiority if H</w:t>
      </w:r>
      <w:r w:rsidRPr="00710C30">
        <w:rPr>
          <w:rFonts w:asciiTheme="majorHAnsi" w:hAnsiTheme="majorHAnsi"/>
          <w:vertAlign w:val="subscript"/>
        </w:rPr>
        <w:t>0</w:t>
      </w:r>
      <w:r w:rsidRPr="00710C30">
        <w:rPr>
          <w:rFonts w:asciiTheme="majorHAnsi" w:hAnsiTheme="majorHAnsi"/>
        </w:rPr>
        <w:t xml:space="preserve"> gets rejected at 5% significance, and the corresponding upper bound of the 95% CI for the hazard ratio excludes the limit δ (hazard ratio of 1.4).  </w:t>
      </w:r>
    </w:p>
    <w:p w14:paraId="32C3FF95" w14:textId="77777777" w:rsidR="005E126D" w:rsidRPr="00710C30" w:rsidRDefault="005E126D" w:rsidP="005E126D">
      <w:pPr>
        <w:jc w:val="both"/>
        <w:rPr>
          <w:rFonts w:asciiTheme="majorHAnsi" w:hAnsiTheme="majorHAnsi"/>
        </w:rPr>
      </w:pPr>
    </w:p>
    <w:p w14:paraId="2430D025" w14:textId="77777777" w:rsidR="005E126D" w:rsidRPr="00710C30" w:rsidRDefault="005E126D" w:rsidP="007B1DF7">
      <w:pPr>
        <w:pStyle w:val="Heading4"/>
      </w:pPr>
      <w:r w:rsidRPr="00710C30">
        <w:t> </w:t>
      </w:r>
      <w:bookmarkStart w:id="204" w:name="_Toc531176998"/>
      <w:r w:rsidRPr="00710C30">
        <w:t>Analysis of secondary outcomes</w:t>
      </w:r>
      <w:bookmarkEnd w:id="204"/>
      <w:r w:rsidRPr="00710C30">
        <w:t xml:space="preserve"> </w:t>
      </w:r>
    </w:p>
    <w:p w14:paraId="7FADED2F" w14:textId="77777777" w:rsidR="005E126D" w:rsidRPr="00710C30" w:rsidRDefault="005E126D" w:rsidP="005E126D">
      <w:pPr>
        <w:jc w:val="both"/>
        <w:rPr>
          <w:rFonts w:asciiTheme="majorHAnsi" w:hAnsiTheme="majorHAnsi"/>
        </w:rPr>
      </w:pPr>
      <w:r w:rsidRPr="00710C30">
        <w:rPr>
          <w:rFonts w:asciiTheme="majorHAnsi" w:hAnsiTheme="majorHAnsi"/>
        </w:rPr>
        <w:t xml:space="preserve">All secondary outcomes </w:t>
      </w:r>
      <w:bookmarkStart w:id="205" w:name="_Hlk531180110"/>
      <w:r w:rsidRPr="00710C30">
        <w:rPr>
          <w:rFonts w:asciiTheme="majorHAnsi" w:hAnsiTheme="majorHAnsi"/>
        </w:rPr>
        <w:t>will be analysed comparing standard care versus biomarker led care groups within the HLA positive DSA participants and within HLA positive non-DSA participants as well as between unblinded and blinded groups overal</w:t>
      </w:r>
      <w:bookmarkEnd w:id="205"/>
      <w:r w:rsidRPr="00710C30">
        <w:rPr>
          <w:rFonts w:asciiTheme="majorHAnsi" w:hAnsiTheme="majorHAnsi"/>
        </w:rPr>
        <w:t xml:space="preserve">l, as per the primary outcome analysis. We will use a similar procedure using Cox proportional hazards regression for the analysis of secondary time to event (survival) outcomes.  Where numbers allow, secondary binary outcomes will be analysed using logistic regression with adjustment for stratification factors. Where numbers are too small for this, the Z-test or Fisher’s exact will be used. </w:t>
      </w:r>
      <w:bookmarkStart w:id="206" w:name="_Hlk516584715"/>
      <w:r w:rsidRPr="00710C30">
        <w:rPr>
          <w:rFonts w:asciiTheme="majorHAnsi" w:hAnsiTheme="majorHAnsi"/>
        </w:rPr>
        <w:t xml:space="preserve">For continuous secondary outcomes, linear regression will be used (or linear mixed models where accounting for repeated measures), adjusting for baseline values of the outcome and stratification factors. Transformations will be considered where data is skewed. </w:t>
      </w:r>
      <w:bookmarkEnd w:id="206"/>
    </w:p>
    <w:p w14:paraId="4E712ACB" w14:textId="77777777" w:rsidR="005E126D" w:rsidRPr="00710C30" w:rsidRDefault="005E126D" w:rsidP="005E126D">
      <w:pPr>
        <w:jc w:val="both"/>
        <w:rPr>
          <w:rFonts w:asciiTheme="majorHAnsi" w:hAnsiTheme="majorHAnsi"/>
        </w:rPr>
      </w:pPr>
      <w:r w:rsidRPr="00710C30">
        <w:rPr>
          <w:rFonts w:asciiTheme="majorHAnsi" w:hAnsiTheme="majorHAnsi"/>
        </w:rPr>
        <w:t xml:space="preserve">Results will be given as estimates (odds ratios or differences in proportions) and 95% CIs. </w:t>
      </w:r>
    </w:p>
    <w:p w14:paraId="66839E5C" w14:textId="77777777" w:rsidR="005E126D" w:rsidRPr="00710C30" w:rsidRDefault="005E126D" w:rsidP="005E126D">
      <w:pPr>
        <w:jc w:val="both"/>
        <w:rPr>
          <w:rFonts w:asciiTheme="majorHAnsi" w:hAnsiTheme="majorHAnsi"/>
        </w:rPr>
      </w:pPr>
    </w:p>
    <w:p w14:paraId="625F2FD9" w14:textId="77777777" w:rsidR="005E126D" w:rsidRPr="00710C30" w:rsidRDefault="005E126D" w:rsidP="007B1DF7">
      <w:pPr>
        <w:pStyle w:val="Heading4"/>
      </w:pPr>
      <w:bookmarkStart w:id="207" w:name="_Toc531176999"/>
      <w:r w:rsidRPr="00710C30">
        <w:t>Statistical considerations</w:t>
      </w:r>
      <w:bookmarkEnd w:id="207"/>
      <w:r w:rsidRPr="00710C30">
        <w:t xml:space="preserve"> </w:t>
      </w:r>
    </w:p>
    <w:p w14:paraId="78BB7E68" w14:textId="77777777" w:rsidR="005E126D" w:rsidRPr="00710C30" w:rsidRDefault="005E126D" w:rsidP="005E126D">
      <w:pPr>
        <w:pStyle w:val="Subtitle"/>
        <w:jc w:val="both"/>
        <w:rPr>
          <w:lang w:val="en-GB"/>
        </w:rPr>
      </w:pPr>
      <w:r w:rsidRPr="00710C30">
        <w:rPr>
          <w:lang w:val="en-GB"/>
        </w:rPr>
        <w:t>Missing baseline data</w:t>
      </w:r>
    </w:p>
    <w:p w14:paraId="4BED4F2C" w14:textId="77777777" w:rsidR="005E126D" w:rsidRPr="00710C30" w:rsidRDefault="005E126D" w:rsidP="005E126D">
      <w:pPr>
        <w:jc w:val="both"/>
        <w:rPr>
          <w:rFonts w:asciiTheme="majorHAnsi" w:hAnsiTheme="majorHAnsi"/>
        </w:rPr>
      </w:pPr>
      <w:r w:rsidRPr="00710C30">
        <w:rPr>
          <w:rFonts w:asciiTheme="majorHAnsi" w:hAnsiTheme="majorHAnsi"/>
        </w:rPr>
        <w:lastRenderedPageBreak/>
        <w:t>Missing baseline data should not be an issue for the primary analysis. Some extensions to this analysis may use other baseline variables; if these contain missing data, the number with complete data will be reported and they will be imputed using a method suitable to the variable as per the recommendations of White and Thompson (2).</w:t>
      </w:r>
    </w:p>
    <w:p w14:paraId="6A031A55" w14:textId="77777777" w:rsidR="005E126D" w:rsidRPr="00710C30" w:rsidRDefault="005E126D" w:rsidP="005E126D">
      <w:pPr>
        <w:jc w:val="both"/>
        <w:rPr>
          <w:rFonts w:asciiTheme="majorHAnsi" w:hAnsiTheme="majorHAnsi" w:cs="Times"/>
        </w:rPr>
      </w:pPr>
    </w:p>
    <w:p w14:paraId="1416166F" w14:textId="77777777" w:rsidR="005E126D" w:rsidRPr="00710C30" w:rsidRDefault="005E126D" w:rsidP="005E126D">
      <w:pPr>
        <w:pStyle w:val="Subtitle"/>
        <w:jc w:val="both"/>
        <w:rPr>
          <w:lang w:val="en-GB"/>
        </w:rPr>
      </w:pPr>
      <w:r w:rsidRPr="00710C30">
        <w:rPr>
          <w:lang w:val="en-GB"/>
        </w:rPr>
        <w:t>Missing outcome data</w:t>
      </w:r>
    </w:p>
    <w:p w14:paraId="2E6754DA" w14:textId="77777777" w:rsidR="005E126D" w:rsidRPr="00710C30" w:rsidRDefault="005E126D" w:rsidP="005E126D">
      <w:pPr>
        <w:jc w:val="both"/>
        <w:rPr>
          <w:rFonts w:asciiTheme="majorHAnsi" w:hAnsiTheme="majorHAnsi"/>
        </w:rPr>
      </w:pPr>
      <w:r w:rsidRPr="00710C30">
        <w:rPr>
          <w:rFonts w:asciiTheme="majorHAnsi" w:hAnsiTheme="majorHAnsi"/>
        </w:rPr>
        <w:t>If post treatment variables such as compliance with treatment are found to be predictive of drop out, multiple imputation will be considered.</w:t>
      </w:r>
    </w:p>
    <w:p w14:paraId="4D2EEF55" w14:textId="77777777" w:rsidR="005E126D" w:rsidRPr="00710C30" w:rsidRDefault="005E126D" w:rsidP="005E126D">
      <w:pPr>
        <w:jc w:val="both"/>
        <w:rPr>
          <w:rFonts w:asciiTheme="majorHAnsi" w:hAnsiTheme="majorHAnsi" w:cs="Times"/>
        </w:rPr>
      </w:pPr>
    </w:p>
    <w:p w14:paraId="1CA07C4D" w14:textId="77777777" w:rsidR="005E126D" w:rsidRPr="00710C30" w:rsidRDefault="005E126D" w:rsidP="005E126D">
      <w:pPr>
        <w:pStyle w:val="Subtitle"/>
        <w:jc w:val="both"/>
        <w:rPr>
          <w:lang w:val="en-GB"/>
        </w:rPr>
      </w:pPr>
      <w:r w:rsidRPr="00710C30">
        <w:rPr>
          <w:lang w:val="en-GB"/>
        </w:rPr>
        <w:t>Method for handling multiple comparisons</w:t>
      </w:r>
    </w:p>
    <w:p w14:paraId="53CD6971" w14:textId="77777777" w:rsidR="005E126D" w:rsidRPr="00710C30" w:rsidRDefault="005E126D" w:rsidP="005E126D">
      <w:pPr>
        <w:jc w:val="both"/>
        <w:rPr>
          <w:rFonts w:asciiTheme="majorHAnsi" w:hAnsiTheme="majorHAnsi"/>
        </w:rPr>
      </w:pPr>
      <w:r w:rsidRPr="00710C30">
        <w:rPr>
          <w:rFonts w:asciiTheme="majorHAnsi" w:hAnsiTheme="majorHAnsi"/>
        </w:rPr>
        <w:t>No formal adjustment of p-values for multiple testing is necessary. However, care will be given to the interpretation of inference for the numerous secondary outcomes.</w:t>
      </w:r>
    </w:p>
    <w:p w14:paraId="0A52FB3B" w14:textId="77777777" w:rsidR="005E126D" w:rsidRPr="00710C30" w:rsidRDefault="005E126D" w:rsidP="005E126D">
      <w:pPr>
        <w:jc w:val="both"/>
        <w:rPr>
          <w:rFonts w:asciiTheme="majorHAnsi" w:hAnsiTheme="majorHAnsi" w:cs="Times"/>
        </w:rPr>
      </w:pPr>
    </w:p>
    <w:p w14:paraId="2C7CBE7B" w14:textId="77777777" w:rsidR="005E126D" w:rsidRPr="00710C30" w:rsidRDefault="005E126D" w:rsidP="005E126D">
      <w:pPr>
        <w:pStyle w:val="Subtitle"/>
        <w:jc w:val="both"/>
        <w:rPr>
          <w:lang w:val="en-GB"/>
        </w:rPr>
      </w:pPr>
      <w:r w:rsidRPr="00710C30">
        <w:rPr>
          <w:lang w:val="en-GB"/>
        </w:rPr>
        <w:t>Method for handling non-compliance (per protocol/CACE analyses)</w:t>
      </w:r>
    </w:p>
    <w:p w14:paraId="48A4496D" w14:textId="77777777" w:rsidR="005E126D" w:rsidRPr="00710C30" w:rsidRDefault="005E126D" w:rsidP="005E126D">
      <w:pPr>
        <w:jc w:val="both"/>
        <w:rPr>
          <w:rFonts w:asciiTheme="majorHAnsi" w:hAnsiTheme="majorHAnsi"/>
        </w:rPr>
      </w:pPr>
      <w:r w:rsidRPr="00710C30">
        <w:rPr>
          <w:rFonts w:asciiTheme="majorHAnsi" w:hAnsiTheme="majorHAnsi"/>
        </w:rPr>
        <w:t xml:space="preserve">An exploratory per protocol analysis will be carried out comparing time to graft failure in only those participants who were optimised to the full treatment protocol (as defined in Section 3.1 of the Trial Protocol) in the unblinded arm against all blinded participants, within both the HLA Ab+ DSA and HLA Ab+ non-DSA groups. These analyses will be clearly stated as exploratory in the primary paper/report and will be interpreted accordingly. </w:t>
      </w:r>
    </w:p>
    <w:p w14:paraId="61A1C525" w14:textId="77777777" w:rsidR="005E126D" w:rsidRPr="00710C30" w:rsidRDefault="005E126D" w:rsidP="005E126D">
      <w:pPr>
        <w:jc w:val="both"/>
        <w:rPr>
          <w:rFonts w:asciiTheme="majorHAnsi" w:hAnsiTheme="majorHAnsi"/>
        </w:rPr>
      </w:pPr>
    </w:p>
    <w:p w14:paraId="16150186" w14:textId="77777777" w:rsidR="005E126D" w:rsidRPr="00710C30" w:rsidRDefault="005E126D" w:rsidP="005E126D">
      <w:pPr>
        <w:jc w:val="both"/>
        <w:rPr>
          <w:rFonts w:asciiTheme="majorHAnsi" w:hAnsiTheme="majorHAnsi"/>
        </w:rPr>
      </w:pPr>
      <w:r w:rsidRPr="00710C30">
        <w:rPr>
          <w:rFonts w:asciiTheme="majorHAnsi" w:hAnsiTheme="majorHAnsi"/>
        </w:rPr>
        <w:t>If there are concerns about compliance, complier average causal effect (CACE) analysis will also be performed.</w:t>
      </w:r>
    </w:p>
    <w:p w14:paraId="3EE8266E" w14:textId="77777777" w:rsidR="005E126D" w:rsidRPr="00710C30" w:rsidRDefault="005E126D" w:rsidP="005E126D">
      <w:pPr>
        <w:jc w:val="both"/>
        <w:rPr>
          <w:rFonts w:asciiTheme="majorHAnsi" w:hAnsiTheme="majorHAnsi"/>
        </w:rPr>
      </w:pPr>
    </w:p>
    <w:p w14:paraId="6B171F01" w14:textId="77777777" w:rsidR="005E126D" w:rsidRPr="00710C30" w:rsidRDefault="005E126D" w:rsidP="005E126D">
      <w:pPr>
        <w:pStyle w:val="Subtitle"/>
        <w:jc w:val="both"/>
        <w:rPr>
          <w:lang w:val="en-GB"/>
        </w:rPr>
      </w:pPr>
      <w:r w:rsidRPr="00710C30">
        <w:rPr>
          <w:lang w:val="en-GB"/>
        </w:rPr>
        <w:t>Model assumption checks</w:t>
      </w:r>
    </w:p>
    <w:p w14:paraId="710D496B" w14:textId="77777777" w:rsidR="005E126D" w:rsidRPr="00710C30" w:rsidRDefault="005E126D" w:rsidP="005E126D">
      <w:pPr>
        <w:jc w:val="both"/>
        <w:rPr>
          <w:rFonts w:asciiTheme="majorHAnsi" w:hAnsiTheme="majorHAnsi" w:cs="Times"/>
        </w:rPr>
      </w:pPr>
      <w:r w:rsidRPr="00710C30">
        <w:rPr>
          <w:rFonts w:asciiTheme="majorHAnsi" w:hAnsiTheme="majorHAnsi"/>
        </w:rPr>
        <w:t>The proportional hazards assumption will be checked for the primary outcome model by testing for an interaction with time. For secondary outcomes, where we assume normally distributed outcomes; this will have been checked when describing the data and if substantial departures from normality occur, transformations will be considered. Residuals will be plotted to check for normality and inspected for outliers.</w:t>
      </w:r>
    </w:p>
    <w:p w14:paraId="25C688FB" w14:textId="77777777" w:rsidR="005E126D" w:rsidRPr="00710C30" w:rsidRDefault="005E126D" w:rsidP="007B1DF7">
      <w:pPr>
        <w:pStyle w:val="Heading4"/>
      </w:pPr>
      <w:r w:rsidRPr="00710C30">
        <w:t> </w:t>
      </w:r>
      <w:bookmarkStart w:id="208" w:name="_Toc531177000"/>
      <w:r w:rsidRPr="00710C30">
        <w:t>Sensitivity analyses</w:t>
      </w:r>
      <w:bookmarkEnd w:id="208"/>
      <w:r w:rsidRPr="00710C30">
        <w:t xml:space="preserve"> </w:t>
      </w:r>
    </w:p>
    <w:p w14:paraId="4C81C971" w14:textId="77777777" w:rsidR="005E126D" w:rsidRDefault="005E126D" w:rsidP="005E126D">
      <w:pPr>
        <w:jc w:val="both"/>
        <w:rPr>
          <w:rFonts w:asciiTheme="majorHAnsi" w:hAnsiTheme="majorHAnsi"/>
        </w:rPr>
      </w:pPr>
      <w:r>
        <w:rPr>
          <w:rFonts w:asciiTheme="majorHAnsi" w:hAnsiTheme="majorHAnsi"/>
        </w:rPr>
        <w:t>Due to the COVID-19 pandemic, the original primary outcome endpoint was moved forward and will be collected from notes to prior to March 2020 (</w:t>
      </w:r>
      <w:r w:rsidRPr="006F0ECF">
        <w:rPr>
          <w:rFonts w:asciiTheme="majorHAnsi" w:hAnsiTheme="majorHAnsi"/>
        </w:rPr>
        <w:t>see section 1.5)</w:t>
      </w:r>
      <w:r>
        <w:rPr>
          <w:rFonts w:asciiTheme="majorHAnsi" w:hAnsiTheme="majorHAnsi"/>
        </w:rPr>
        <w:t xml:space="preserve">. This unavoidable protocol change may lead to a slight reduction in statistical  power for the primary analysis. </w:t>
      </w:r>
      <w:r w:rsidRPr="001C3301">
        <w:rPr>
          <w:rFonts w:asciiTheme="majorHAnsi" w:hAnsiTheme="majorHAnsi"/>
        </w:rPr>
        <w:t>A sensitivity analysis will be carried out for the primary outcome using, additionally, data from participants’ most recent hospital contact as of the assessment period between September 1</w:t>
      </w:r>
      <w:r>
        <w:rPr>
          <w:rFonts w:asciiTheme="majorHAnsi" w:hAnsiTheme="majorHAnsi"/>
        </w:rPr>
        <w:t>st</w:t>
      </w:r>
      <w:r w:rsidRPr="001C3301">
        <w:rPr>
          <w:rFonts w:asciiTheme="majorHAnsi" w:hAnsiTheme="majorHAnsi"/>
        </w:rPr>
        <w:t>, 2020 and November 30</w:t>
      </w:r>
      <w:r>
        <w:rPr>
          <w:rFonts w:asciiTheme="majorHAnsi" w:hAnsiTheme="majorHAnsi"/>
        </w:rPr>
        <w:t>th</w:t>
      </w:r>
      <w:r w:rsidRPr="001C3301">
        <w:rPr>
          <w:rFonts w:asciiTheme="majorHAnsi" w:hAnsiTheme="majorHAnsi"/>
        </w:rPr>
        <w:t>, 2020.</w:t>
      </w:r>
      <w:r>
        <w:rPr>
          <w:rFonts w:asciiTheme="majorHAnsi" w:hAnsiTheme="majorHAnsi"/>
        </w:rPr>
        <w:t xml:space="preserve"> This sensitivity analysis may  have increased power to detect a difference </w:t>
      </w:r>
      <w:r>
        <w:rPr>
          <w:rFonts w:asciiTheme="majorHAnsi" w:hAnsiTheme="majorHAnsi"/>
        </w:rPr>
        <w:lastRenderedPageBreak/>
        <w:t>due to the longer observation time but might be biased due to the effects of the pandemic on the study participants.</w:t>
      </w:r>
      <w:r w:rsidRPr="001C3301">
        <w:rPr>
          <w:rFonts w:asciiTheme="majorHAnsi" w:hAnsiTheme="majorHAnsi"/>
        </w:rPr>
        <w:t xml:space="preserve"> The sensitivity analysis will otherwise be carried out in exactly the same way for each of the hypotheses</w:t>
      </w:r>
      <w:r>
        <w:rPr>
          <w:rFonts w:asciiTheme="majorHAnsi" w:hAnsiTheme="majorHAnsi"/>
        </w:rPr>
        <w:t xml:space="preserve"> (for the primary outcome only).</w:t>
      </w:r>
      <w:r w:rsidRPr="00BF5A50">
        <w:rPr>
          <w:rFonts w:asciiTheme="majorHAnsi" w:hAnsiTheme="majorHAnsi"/>
        </w:rPr>
        <w:t> </w:t>
      </w:r>
      <w:bookmarkStart w:id="209" w:name="_Toc531177001"/>
    </w:p>
    <w:p w14:paraId="2A19E019" w14:textId="77777777" w:rsidR="005E126D" w:rsidRDefault="005E126D" w:rsidP="005E126D">
      <w:pPr>
        <w:jc w:val="both"/>
        <w:rPr>
          <w:rFonts w:asciiTheme="majorHAnsi" w:hAnsiTheme="majorHAnsi"/>
        </w:rPr>
      </w:pPr>
    </w:p>
    <w:p w14:paraId="3DB6F613" w14:textId="77777777" w:rsidR="005E126D" w:rsidRPr="00BF5A50" w:rsidRDefault="005E126D" w:rsidP="007B1DF7">
      <w:pPr>
        <w:pStyle w:val="Heading4"/>
      </w:pPr>
      <w:r w:rsidRPr="00BF5A50">
        <w:t>Planned subgroup analyses</w:t>
      </w:r>
      <w:bookmarkEnd w:id="209"/>
      <w:r w:rsidRPr="00BF5A50">
        <w:t xml:space="preserve"> </w:t>
      </w:r>
    </w:p>
    <w:p w14:paraId="2F0B0C52" w14:textId="77777777" w:rsidR="005E126D" w:rsidRPr="00710C30" w:rsidRDefault="005E126D" w:rsidP="005E126D">
      <w:pPr>
        <w:jc w:val="both"/>
        <w:rPr>
          <w:rFonts w:asciiTheme="majorHAnsi" w:hAnsiTheme="majorHAnsi"/>
        </w:rPr>
      </w:pPr>
      <w:r w:rsidRPr="00710C30">
        <w:rPr>
          <w:rFonts w:asciiTheme="majorHAnsi" w:hAnsiTheme="majorHAnsi"/>
        </w:rPr>
        <w:t xml:space="preserve">An exploratory subgroup analysis will be carried out within the HLA Ab+ non-DSA group using only those participants within this group that have definite non-DSA (as opposed to those participants who are classified as non-DSA as it is unknown whether they had DSA) This analysis will be clearly stated as exploratory in the primary paper/report and will be interpreted accordingly. </w:t>
      </w:r>
    </w:p>
    <w:p w14:paraId="55E48253" w14:textId="77777777" w:rsidR="005E126D" w:rsidRPr="00710C30" w:rsidRDefault="005E126D" w:rsidP="005E126D">
      <w:pPr>
        <w:jc w:val="both"/>
        <w:rPr>
          <w:rFonts w:asciiTheme="majorHAnsi" w:hAnsiTheme="majorHAnsi"/>
        </w:rPr>
      </w:pPr>
      <w:r w:rsidRPr="00710C30">
        <w:rPr>
          <w:rFonts w:asciiTheme="majorHAnsi" w:hAnsiTheme="majorHAnsi"/>
        </w:rPr>
        <w:t xml:space="preserve">There are no other planned subgroup analyses beyond those described by the stratifiers. </w:t>
      </w:r>
    </w:p>
    <w:p w14:paraId="3A689081" w14:textId="77777777" w:rsidR="005E126D" w:rsidRPr="00710C30" w:rsidRDefault="005E126D" w:rsidP="007B1DF7">
      <w:pPr>
        <w:pStyle w:val="Heading3"/>
      </w:pPr>
      <w:r w:rsidRPr="00710C30">
        <w:t> </w:t>
      </w:r>
      <w:bookmarkStart w:id="210" w:name="_Toc531177002"/>
      <w:bookmarkStart w:id="211" w:name="_Toc121909806"/>
      <w:r w:rsidRPr="00710C30">
        <w:t>Exploratory analyses</w:t>
      </w:r>
      <w:bookmarkEnd w:id="210"/>
      <w:bookmarkEnd w:id="211"/>
      <w:r w:rsidRPr="00710C30">
        <w:t xml:space="preserve"> </w:t>
      </w:r>
    </w:p>
    <w:p w14:paraId="587C8359" w14:textId="77777777" w:rsidR="005E126D" w:rsidRPr="00710C30" w:rsidRDefault="005E126D" w:rsidP="005E126D">
      <w:pPr>
        <w:rPr>
          <w:rFonts w:asciiTheme="majorHAnsi" w:hAnsiTheme="majorHAnsi"/>
        </w:rPr>
      </w:pPr>
      <w:r w:rsidRPr="00710C30">
        <w:rPr>
          <w:rFonts w:asciiTheme="majorHAnsi" w:hAnsiTheme="majorHAnsi"/>
        </w:rPr>
        <w:t>There will be no other exploratory analyses in the primary paper.</w:t>
      </w:r>
    </w:p>
    <w:p w14:paraId="3BC7C90B" w14:textId="77777777" w:rsidR="005E126D" w:rsidRPr="00710C30" w:rsidRDefault="005E126D" w:rsidP="007B1DF7">
      <w:pPr>
        <w:pStyle w:val="Heading3"/>
      </w:pPr>
      <w:bookmarkStart w:id="212" w:name="_Toc531177003"/>
      <w:bookmarkStart w:id="213" w:name="_Toc121909807"/>
      <w:r w:rsidRPr="00710C30">
        <w:t>Exploratory mediator and moderator analysis</w:t>
      </w:r>
      <w:bookmarkEnd w:id="212"/>
      <w:bookmarkEnd w:id="213"/>
      <w:r w:rsidRPr="00710C30">
        <w:t xml:space="preserve"> </w:t>
      </w:r>
    </w:p>
    <w:p w14:paraId="7A78916B" w14:textId="77777777" w:rsidR="005E126D" w:rsidRPr="00710C30" w:rsidRDefault="005E126D" w:rsidP="005E126D">
      <w:pPr>
        <w:jc w:val="both"/>
        <w:rPr>
          <w:rFonts w:asciiTheme="majorHAnsi" w:hAnsiTheme="majorHAnsi"/>
        </w:rPr>
      </w:pPr>
      <w:r w:rsidRPr="00710C30">
        <w:rPr>
          <w:rFonts w:asciiTheme="majorHAnsi" w:hAnsiTheme="majorHAnsi"/>
        </w:rPr>
        <w:t>There will be no exploratory mediator or moderator analyses in the primary paper and so these will not be covered here; subsequent papers may explore this.</w:t>
      </w:r>
      <w:r w:rsidRPr="00710C30" w:rsidDel="00E94D55">
        <w:rPr>
          <w:rFonts w:asciiTheme="majorHAnsi" w:hAnsiTheme="majorHAnsi"/>
        </w:rPr>
        <w:t xml:space="preserve"> </w:t>
      </w:r>
    </w:p>
    <w:p w14:paraId="7E6FC1AF" w14:textId="77777777" w:rsidR="005E126D" w:rsidRPr="00710C30" w:rsidRDefault="005E126D" w:rsidP="007B1DF7">
      <w:pPr>
        <w:pStyle w:val="Heading3"/>
      </w:pPr>
      <w:bookmarkStart w:id="214" w:name="_Toc531177004"/>
      <w:bookmarkStart w:id="215" w:name="_Toc121909808"/>
      <w:r w:rsidRPr="00710C30">
        <w:t>Interim analysis</w:t>
      </w:r>
      <w:bookmarkEnd w:id="214"/>
      <w:bookmarkEnd w:id="215"/>
    </w:p>
    <w:p w14:paraId="206654AE" w14:textId="77777777" w:rsidR="005E126D" w:rsidRPr="00710C30" w:rsidRDefault="005E126D" w:rsidP="005E126D">
      <w:pPr>
        <w:jc w:val="both"/>
        <w:rPr>
          <w:rFonts w:asciiTheme="majorHAnsi" w:hAnsiTheme="majorHAnsi"/>
        </w:rPr>
      </w:pPr>
      <w:r w:rsidRPr="00710C30">
        <w:rPr>
          <w:rFonts w:asciiTheme="majorHAnsi" w:hAnsiTheme="majorHAnsi"/>
        </w:rPr>
        <w:t xml:space="preserve"> There are no planned interim analyses of the primary outcome, but the statistician will carry out descriptive analysis of demographic variables, adverse events and other relevant factors to report during DMC meetings. The </w:t>
      </w:r>
      <w:bookmarkStart w:id="216" w:name="_Hlk516585502"/>
      <w:r w:rsidRPr="00710C30">
        <w:rPr>
          <w:rFonts w:asciiTheme="majorHAnsi" w:hAnsiTheme="majorHAnsi"/>
        </w:rPr>
        <w:t xml:space="preserve">proportions of patients presenting HLA antibodies will be closely monitored to check that assumptions on which sample size calculations are made hold.  </w:t>
      </w:r>
      <w:bookmarkEnd w:id="216"/>
    </w:p>
    <w:p w14:paraId="10CB65AA" w14:textId="77777777" w:rsidR="005E126D" w:rsidRPr="00710C30" w:rsidRDefault="005E126D" w:rsidP="007B1DF7">
      <w:pPr>
        <w:pStyle w:val="Heading2"/>
      </w:pPr>
      <w:bookmarkStart w:id="217" w:name="_Toc531177005"/>
      <w:bookmarkStart w:id="218" w:name="_Toc121909809"/>
      <w:r w:rsidRPr="00710C30">
        <w:t>Software</w:t>
      </w:r>
      <w:bookmarkEnd w:id="217"/>
      <w:bookmarkEnd w:id="218"/>
    </w:p>
    <w:p w14:paraId="6607E50D" w14:textId="77777777" w:rsidR="005E126D" w:rsidRPr="00710C30" w:rsidRDefault="005E126D" w:rsidP="005E126D">
      <w:pPr>
        <w:jc w:val="both"/>
        <w:rPr>
          <w:rFonts w:asciiTheme="majorHAnsi" w:hAnsiTheme="majorHAnsi"/>
        </w:rPr>
      </w:pPr>
      <w:bookmarkStart w:id="219" w:name="_Hlk516586320"/>
      <w:r w:rsidRPr="00710C30">
        <w:rPr>
          <w:rFonts w:asciiTheme="majorHAnsi" w:hAnsiTheme="majorHAnsi"/>
        </w:rPr>
        <w:t>Data management: An online data collection system for clinical trials (MACRO; Elsevier) will be used. This is hosted on a dedicated server at KCL and managed by the KCTU. The KCTU Data Manager will extract data periodically as needed and provide these in comma separated (.csv) format.</w:t>
      </w:r>
    </w:p>
    <w:p w14:paraId="57EB09B3" w14:textId="77777777" w:rsidR="005E126D" w:rsidRPr="00710C30" w:rsidRDefault="005E126D" w:rsidP="005E126D">
      <w:pPr>
        <w:jc w:val="both"/>
        <w:rPr>
          <w:rFonts w:asciiTheme="majorHAnsi" w:hAnsiTheme="majorHAnsi" w:cs="Times"/>
        </w:rPr>
      </w:pPr>
    </w:p>
    <w:p w14:paraId="6EDFFA08" w14:textId="77777777" w:rsidR="005E126D" w:rsidRPr="00710C30" w:rsidRDefault="005E126D" w:rsidP="005E126D">
      <w:pPr>
        <w:jc w:val="both"/>
        <w:rPr>
          <w:rFonts w:asciiTheme="majorHAnsi" w:hAnsiTheme="majorHAnsi"/>
        </w:rPr>
      </w:pPr>
      <w:r w:rsidRPr="00710C30">
        <w:rPr>
          <w:rFonts w:asciiTheme="majorHAnsi" w:hAnsiTheme="majorHAnsi"/>
        </w:rPr>
        <w:t xml:space="preserve">Statistical analysis: Stata version 15.1 and/or R will be used for all statistical analyses. </w:t>
      </w:r>
    </w:p>
    <w:bookmarkEnd w:id="219"/>
    <w:p w14:paraId="2187F53A" w14:textId="77777777" w:rsidR="005E126D" w:rsidRPr="00710C30" w:rsidRDefault="005E126D" w:rsidP="005E126D">
      <w:pPr>
        <w:jc w:val="both"/>
        <w:rPr>
          <w:rFonts w:asciiTheme="majorHAnsi" w:hAnsiTheme="majorHAnsi" w:cs="Times"/>
        </w:rPr>
      </w:pPr>
    </w:p>
    <w:p w14:paraId="77D77055" w14:textId="77777777" w:rsidR="005E126D" w:rsidRPr="00710C30" w:rsidRDefault="005E126D" w:rsidP="005E126D">
      <w:pPr>
        <w:pStyle w:val="Heading1"/>
      </w:pPr>
      <w:bookmarkStart w:id="220" w:name="_Toc531177006"/>
      <w:bookmarkStart w:id="221" w:name="_Toc121909810"/>
      <w:r w:rsidRPr="00710C30">
        <w:t>B) ECONOMIC ANALYSIS AND ADHERENCE/RISK ASSESSMENT PLANS</w:t>
      </w:r>
      <w:bookmarkEnd w:id="220"/>
      <w:bookmarkEnd w:id="221"/>
    </w:p>
    <w:p w14:paraId="1EFD6AE9" w14:textId="77777777" w:rsidR="005E126D" w:rsidRPr="00710C30" w:rsidRDefault="005E126D" w:rsidP="005E126D">
      <w:pPr>
        <w:widowControl w:val="0"/>
        <w:autoSpaceDE w:val="0"/>
        <w:autoSpaceDN w:val="0"/>
        <w:adjustRightInd w:val="0"/>
        <w:spacing w:after="240"/>
        <w:jc w:val="both"/>
        <w:rPr>
          <w:rFonts w:asciiTheme="majorHAnsi" w:hAnsiTheme="majorHAnsi" w:cs="Times"/>
          <w:sz w:val="26"/>
          <w:szCs w:val="26"/>
          <w:u w:val="single"/>
        </w:rPr>
      </w:pPr>
      <w:r w:rsidRPr="00710C30">
        <w:rPr>
          <w:rFonts w:asciiTheme="majorHAnsi" w:hAnsiTheme="majorHAnsi" w:cs="Times"/>
          <w:sz w:val="26"/>
          <w:szCs w:val="26"/>
          <w:u w:val="single"/>
        </w:rPr>
        <w:t xml:space="preserve">Heath economic objectives </w:t>
      </w:r>
    </w:p>
    <w:p w14:paraId="7AFB3433" w14:textId="77777777" w:rsidR="005E126D" w:rsidRPr="00710C30" w:rsidRDefault="005E126D" w:rsidP="005E126D">
      <w:pPr>
        <w:widowControl w:val="0"/>
        <w:autoSpaceDE w:val="0"/>
        <w:autoSpaceDN w:val="0"/>
        <w:adjustRightInd w:val="0"/>
        <w:spacing w:after="240"/>
        <w:jc w:val="both"/>
        <w:rPr>
          <w:rFonts w:asciiTheme="majorHAnsi" w:hAnsiTheme="majorHAnsi" w:cs="Times"/>
          <w:sz w:val="26"/>
          <w:szCs w:val="26"/>
          <w:u w:val="single"/>
        </w:rPr>
      </w:pPr>
      <w:r w:rsidRPr="00710C30">
        <w:rPr>
          <w:rFonts w:asciiTheme="majorHAnsi" w:hAnsiTheme="majorHAnsi" w:cs="Times"/>
          <w:sz w:val="26"/>
          <w:szCs w:val="26"/>
          <w:u w:val="single"/>
        </w:rPr>
        <w:t>Economic measures</w:t>
      </w:r>
    </w:p>
    <w:p w14:paraId="120E7447" w14:textId="77777777" w:rsidR="005E126D" w:rsidRPr="00710C30" w:rsidRDefault="005E126D" w:rsidP="005E126D">
      <w:pPr>
        <w:jc w:val="both"/>
        <w:rPr>
          <w:rFonts w:asciiTheme="majorHAnsi" w:hAnsiTheme="majorHAnsi"/>
        </w:rPr>
      </w:pPr>
      <w:r w:rsidRPr="00710C30">
        <w:rPr>
          <w:rFonts w:asciiTheme="majorHAnsi" w:hAnsiTheme="majorHAnsi"/>
        </w:rPr>
        <w:t xml:space="preserve">Effectiveness: The economic evaluation will adopt an NHS perspective. Costs of intervention include the cost of screening beads and enhanced drug costs. Other costs will be calculated by combining service use data measured with the Client Service Receipt Inventory and hospital </w:t>
      </w:r>
      <w:r w:rsidRPr="00710C30">
        <w:rPr>
          <w:rFonts w:asciiTheme="majorHAnsi" w:hAnsiTheme="majorHAnsi"/>
        </w:rPr>
        <w:lastRenderedPageBreak/>
        <w:t xml:space="preserve">records where available with appropriate unit cost information. Costs will be compared between groups using bootstrap methods to take account of likely skewed data distributions. Costs will be combined with clinical outcomes ((1) graft failure; (2) patient survival (3) graft dysfunction (see defn. above); (4) acute rejection; (5) culture-positive infection, malignancy or diabetes) and (6) QALYs derived from the EQ-5D, a health-related quality of life measure Incremental cost-effectiveness ratios will be computed to indicate the extra cost incurred to achieve an extra unit of outcome. Uncertainty around these ratios will be assessed using cost-effectiveness planes. Net benefit per patient will be calculated by multiplying QALY gains by the assumed maximum willingness-to-pay for a QALY (£20,000) and subtracting costs. Alternative values for a QALY will also be used and a cost-effectiveness acceptability curve derived. </w:t>
      </w:r>
    </w:p>
    <w:p w14:paraId="4F8F8310" w14:textId="77777777" w:rsidR="005E126D" w:rsidRPr="00710C30" w:rsidRDefault="005E126D" w:rsidP="005E126D">
      <w:pPr>
        <w:widowControl w:val="0"/>
        <w:autoSpaceDE w:val="0"/>
        <w:autoSpaceDN w:val="0"/>
        <w:adjustRightInd w:val="0"/>
        <w:spacing w:after="240"/>
        <w:jc w:val="both"/>
        <w:rPr>
          <w:rFonts w:asciiTheme="majorHAnsi" w:hAnsiTheme="majorHAnsi" w:cs="Times"/>
          <w:sz w:val="26"/>
          <w:szCs w:val="26"/>
          <w:u w:val="single"/>
        </w:rPr>
      </w:pPr>
    </w:p>
    <w:p w14:paraId="4FA3CA4A" w14:textId="77777777" w:rsidR="005E126D" w:rsidRPr="00710C30" w:rsidRDefault="005E126D" w:rsidP="005E126D">
      <w:pPr>
        <w:widowControl w:val="0"/>
        <w:autoSpaceDE w:val="0"/>
        <w:autoSpaceDN w:val="0"/>
        <w:adjustRightInd w:val="0"/>
        <w:spacing w:after="240"/>
        <w:jc w:val="both"/>
        <w:rPr>
          <w:rFonts w:asciiTheme="majorHAnsi" w:hAnsiTheme="majorHAnsi" w:cs="Times"/>
          <w:sz w:val="26"/>
          <w:szCs w:val="26"/>
          <w:u w:val="single"/>
        </w:rPr>
      </w:pPr>
      <w:r w:rsidRPr="00710C30">
        <w:rPr>
          <w:rFonts w:asciiTheme="majorHAnsi" w:hAnsiTheme="majorHAnsi" w:cs="Times"/>
          <w:sz w:val="26"/>
          <w:szCs w:val="26"/>
          <w:u w:val="single"/>
        </w:rPr>
        <w:t>Adherence and Risk Assessment.</w:t>
      </w:r>
    </w:p>
    <w:p w14:paraId="59944BAD" w14:textId="77777777" w:rsidR="005E126D" w:rsidRPr="00710C30" w:rsidRDefault="005E126D" w:rsidP="005E126D">
      <w:pPr>
        <w:jc w:val="both"/>
        <w:rPr>
          <w:rFonts w:asciiTheme="majorHAnsi" w:hAnsiTheme="majorHAnsi"/>
        </w:rPr>
      </w:pPr>
      <w:r w:rsidRPr="00710C30">
        <w:rPr>
          <w:rFonts w:asciiTheme="majorHAnsi" w:hAnsiTheme="majorHAnsi"/>
        </w:rPr>
        <w:t>Perceived risk of transplant failure will be measured using a specifically adapted version of the illness perceptions questionnaire (IPQ-brief).  Inferential statistics (independent t-test if data is approximately normally distributed, Mann-Whitney U test otherwise) will be used to determine if a difference exists between Ab positive unblinded and blinded participants.  Differences between the blinded and unblinded HLA Ab screening groups will also be investigated.</w:t>
      </w:r>
    </w:p>
    <w:p w14:paraId="2928210A" w14:textId="77777777" w:rsidR="005E126D" w:rsidRPr="00710C30" w:rsidRDefault="005E126D" w:rsidP="005E126D">
      <w:pPr>
        <w:jc w:val="both"/>
        <w:rPr>
          <w:rFonts w:asciiTheme="majorHAnsi" w:hAnsiTheme="majorHAnsi"/>
        </w:rPr>
      </w:pPr>
    </w:p>
    <w:p w14:paraId="03883369" w14:textId="77777777" w:rsidR="005E126D" w:rsidRPr="00710C30" w:rsidRDefault="005E126D" w:rsidP="005E126D">
      <w:pPr>
        <w:jc w:val="both"/>
        <w:rPr>
          <w:rFonts w:asciiTheme="majorHAnsi" w:hAnsiTheme="majorHAnsi"/>
        </w:rPr>
      </w:pPr>
      <w:r w:rsidRPr="00710C30">
        <w:rPr>
          <w:rFonts w:asciiTheme="majorHAnsi" w:hAnsiTheme="majorHAnsi"/>
        </w:rPr>
        <w:t>Participants’ report of adherence behaviour will be assessed using the Medicines Adherence Report Scale (MARS), a valid and reliable scale that has been previously used to assess adherence in renal transplant recipients. Self-report measures have the advantage of being inexpensive and non-intrusive. However, it is known that self-report underestimates the true extent of nonadherence because of inherent self-presentational and recall biases. Self-presentational bias occurs when respondents may be reluctant to admit to nonadherence because they perceive a social contract where the expectation is one of high adherence. The MARS takes steps to diminish this bias by sanctioning and normalising reports of nonadherence. However, this does not totally remove the effect self-presentational and recall biases that are inherent in all self-report measures.</w:t>
      </w:r>
    </w:p>
    <w:p w14:paraId="1B28EE28" w14:textId="77777777" w:rsidR="005E126D" w:rsidRPr="00710C30" w:rsidRDefault="005E126D" w:rsidP="005E126D">
      <w:pPr>
        <w:jc w:val="both"/>
        <w:rPr>
          <w:rFonts w:asciiTheme="majorHAnsi" w:hAnsiTheme="majorHAnsi"/>
        </w:rPr>
      </w:pPr>
    </w:p>
    <w:p w14:paraId="0C45320D" w14:textId="77777777" w:rsidR="005E126D" w:rsidRPr="00710C30" w:rsidRDefault="005E126D" w:rsidP="005E126D">
      <w:pPr>
        <w:jc w:val="both"/>
        <w:rPr>
          <w:rFonts w:asciiTheme="majorHAnsi" w:hAnsiTheme="majorHAnsi"/>
          <w:bCs/>
          <w:color w:val="0B5AB2"/>
        </w:rPr>
      </w:pPr>
      <w:r w:rsidRPr="00710C30">
        <w:rPr>
          <w:rFonts w:asciiTheme="majorHAnsi" w:hAnsiTheme="majorHAnsi"/>
        </w:rPr>
        <w:t xml:space="preserve"> For this reason, we will apply a combined approach to adherence assessment, where initial categorisation of patients into high vs. low on the basis of self-report is revised based on calcineurin inhibitor (CNI) blood monitoring (carried out in routine management for patients prescribed tacrolimus or ciclosporin).  In this approach, reports of low adherence are accepted as self-presentational biases act in the opposite direction (reports of low adherence are more reliable than reports of high adherence). Patients who report high adherence are reclassified to low adherence on the basis of CNI results (e.g. if levels are undetectable then participant is assumed to be nonadherent)).</w:t>
      </w:r>
      <w:r w:rsidRPr="00710C30">
        <w:rPr>
          <w:rFonts w:asciiTheme="majorHAnsi" w:hAnsiTheme="majorHAnsi"/>
          <w:bCs/>
          <w:sz w:val="26"/>
          <w:szCs w:val="26"/>
        </w:rPr>
        <w:t xml:space="preserve"> </w:t>
      </w:r>
      <w:r w:rsidRPr="00710C30">
        <w:rPr>
          <w:rFonts w:asciiTheme="majorHAnsi" w:hAnsiTheme="majorHAnsi"/>
          <w:bCs/>
        </w:rPr>
        <w:t>Inferential statistics (</w:t>
      </w:r>
      <w:r w:rsidRPr="00710C30">
        <w:rPr>
          <w:rFonts w:asciiTheme="majorHAnsi" w:hAnsiTheme="majorHAnsi"/>
        </w:rPr>
        <w:t>independent t-test if data is approximately normally distributed, Mann-Whitney U test otherwise</w:t>
      </w:r>
      <w:r w:rsidRPr="00710C30">
        <w:rPr>
          <w:rFonts w:asciiTheme="majorHAnsi" w:hAnsiTheme="majorHAnsi"/>
          <w:bCs/>
        </w:rPr>
        <w:t>) will be used to determine if a difference exists between the adherence to immunosuppressive medication by Ab positive unblinded and blinded participants.</w:t>
      </w:r>
    </w:p>
    <w:p w14:paraId="559DD511" w14:textId="77777777" w:rsidR="005E126D" w:rsidRPr="00710C30" w:rsidRDefault="005E126D" w:rsidP="005E126D">
      <w:pPr>
        <w:jc w:val="both"/>
        <w:rPr>
          <w:rFonts w:asciiTheme="majorHAnsi" w:hAnsiTheme="majorHAnsi"/>
          <w:bCs/>
          <w:color w:val="0B5AB2"/>
          <w:sz w:val="26"/>
          <w:szCs w:val="26"/>
        </w:rPr>
      </w:pPr>
    </w:p>
    <w:p w14:paraId="2303DDCC" w14:textId="77777777" w:rsidR="005E126D" w:rsidRPr="00710C30" w:rsidRDefault="005E126D" w:rsidP="005E126D">
      <w:pPr>
        <w:jc w:val="both"/>
        <w:rPr>
          <w:rFonts w:asciiTheme="majorHAnsi" w:hAnsiTheme="majorHAnsi"/>
        </w:rPr>
      </w:pPr>
      <w:r w:rsidRPr="00710C30">
        <w:rPr>
          <w:rFonts w:asciiTheme="majorHAnsi" w:hAnsiTheme="majorHAnsi"/>
        </w:rPr>
        <w:t>In order to explore the potential antecedents to participants’ adherence behaviours, they will also be asked to complete specially adapted versions of questionnaires relating to treatment intrusiveness (TIQ), symptoms associated with immunosuppressants (SAQ), beliefs about medicines (BMQ), and whether they are feeling anxious and/or depressed (HADS).  Inferential statistics (independent t-test if data is approximately normally distributed, Mann-Whitney U test otherwise) will be used to determine whether systematic differences exist between Ab positive unblinded and blinded participants. Differences between the blinded and unblinded HLA Ab screening groups will also be investigated.</w:t>
      </w:r>
    </w:p>
    <w:p w14:paraId="66608ECF" w14:textId="77777777" w:rsidR="005E126D" w:rsidRPr="00710C30" w:rsidRDefault="005E126D" w:rsidP="005E126D">
      <w:pPr>
        <w:jc w:val="both"/>
        <w:rPr>
          <w:rFonts w:asciiTheme="majorHAnsi" w:hAnsiTheme="majorHAnsi"/>
        </w:rPr>
      </w:pPr>
    </w:p>
    <w:p w14:paraId="215381C7" w14:textId="77777777" w:rsidR="005E126D" w:rsidRPr="00710C30" w:rsidRDefault="005E126D" w:rsidP="005E126D">
      <w:pPr>
        <w:jc w:val="both"/>
        <w:rPr>
          <w:rFonts w:asciiTheme="majorHAnsi" w:hAnsiTheme="majorHAnsi"/>
        </w:rPr>
      </w:pPr>
      <w:r w:rsidRPr="00710C30">
        <w:rPr>
          <w:rFonts w:asciiTheme="majorHAnsi" w:hAnsiTheme="majorHAnsi"/>
        </w:rPr>
        <w:t>Adherence and perceptual data will also be linked with clinical outcome data (graft failure, patient survival, graft dysfunction, acute rejection, culture positive infection, malignancy or diabetes) in order to determine any relationships.  A regression model will be used for this analysis.</w:t>
      </w:r>
    </w:p>
    <w:p w14:paraId="1BA67C52" w14:textId="77777777" w:rsidR="005E126D" w:rsidRPr="00710C30" w:rsidRDefault="005E126D" w:rsidP="005E126D">
      <w:pPr>
        <w:jc w:val="both"/>
        <w:rPr>
          <w:rFonts w:asciiTheme="majorHAnsi" w:hAnsiTheme="majorHAnsi"/>
        </w:rPr>
      </w:pPr>
    </w:p>
    <w:p w14:paraId="5CFC2523" w14:textId="77777777" w:rsidR="005E126D" w:rsidRPr="00710C30" w:rsidRDefault="005E126D" w:rsidP="005E126D">
      <w:pPr>
        <w:jc w:val="both"/>
        <w:rPr>
          <w:rFonts w:asciiTheme="majorHAnsi" w:hAnsiTheme="majorHAnsi"/>
        </w:rPr>
      </w:pPr>
    </w:p>
    <w:p w14:paraId="50299744" w14:textId="77777777" w:rsidR="005E126D" w:rsidRPr="00710C30" w:rsidRDefault="005E126D" w:rsidP="005E126D">
      <w:pPr>
        <w:jc w:val="both"/>
        <w:rPr>
          <w:rFonts w:asciiTheme="majorHAnsi" w:hAnsiTheme="majorHAnsi" w:cs="Times"/>
          <w:sz w:val="26"/>
          <w:szCs w:val="26"/>
        </w:rPr>
      </w:pPr>
      <w:r w:rsidRPr="00710C30">
        <w:rPr>
          <w:rFonts w:asciiTheme="majorHAnsi" w:hAnsiTheme="majorHAnsi"/>
        </w:rPr>
        <w:t xml:space="preserve">All patients taking part in the trial will be asked to complete the questionnaires at baseline and then at 24 months.  Participants in whom the ‘clock is reset’ will also complete the questionnaire 24 months after this point in time. Questionnaires will be administered electronically.  </w:t>
      </w:r>
    </w:p>
    <w:p w14:paraId="669CE697" w14:textId="77777777" w:rsidR="005E126D" w:rsidRPr="00710C30" w:rsidRDefault="005E126D" w:rsidP="005E126D">
      <w:pPr>
        <w:widowControl w:val="0"/>
        <w:autoSpaceDE w:val="0"/>
        <w:autoSpaceDN w:val="0"/>
        <w:adjustRightInd w:val="0"/>
        <w:spacing w:after="240"/>
        <w:jc w:val="both"/>
        <w:rPr>
          <w:rFonts w:asciiTheme="majorHAnsi" w:hAnsiTheme="majorHAnsi" w:cs="Times"/>
        </w:rPr>
        <w:sectPr w:rsidR="005E126D" w:rsidRPr="00710C30" w:rsidSect="001112A6">
          <w:headerReference w:type="default" r:id="rId24"/>
          <w:footerReference w:type="default" r:id="rId25"/>
          <w:pgSz w:w="12240" w:h="15840"/>
          <w:pgMar w:top="1440" w:right="1800" w:bottom="1440" w:left="1800" w:header="720" w:footer="720" w:gutter="0"/>
          <w:cols w:space="720"/>
          <w:noEndnote/>
        </w:sectPr>
      </w:pPr>
    </w:p>
    <w:p w14:paraId="2C47155C" w14:textId="77777777" w:rsidR="005E126D" w:rsidRPr="00710C30" w:rsidRDefault="005E126D" w:rsidP="005E126D">
      <w:pPr>
        <w:pStyle w:val="Heading1"/>
      </w:pPr>
      <w:bookmarkStart w:id="222" w:name="_Toc531177007"/>
      <w:bookmarkStart w:id="223" w:name="_Toc121909811"/>
      <w:r w:rsidRPr="00710C30">
        <w:lastRenderedPageBreak/>
        <w:t>C) SCHEDULE OF ASSESSMENTS AND MEASURES</w:t>
      </w:r>
      <w:bookmarkEnd w:id="222"/>
      <w:bookmarkEnd w:id="223"/>
      <w:r w:rsidRPr="00710C30">
        <w:t xml:space="preserve"> </w:t>
      </w:r>
    </w:p>
    <w:tbl>
      <w:tblPr>
        <w:tblW w:w="13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34"/>
        <w:gridCol w:w="1459"/>
        <w:gridCol w:w="851"/>
        <w:gridCol w:w="851"/>
        <w:gridCol w:w="851"/>
        <w:gridCol w:w="851"/>
        <w:gridCol w:w="851"/>
        <w:gridCol w:w="851"/>
        <w:gridCol w:w="851"/>
        <w:gridCol w:w="851"/>
        <w:gridCol w:w="851"/>
        <w:gridCol w:w="68"/>
        <w:gridCol w:w="796"/>
        <w:gridCol w:w="54"/>
        <w:gridCol w:w="953"/>
        <w:gridCol w:w="43"/>
      </w:tblGrid>
      <w:tr w:rsidR="005E126D" w:rsidRPr="00710C30" w14:paraId="6BFFE4FB" w14:textId="77777777" w:rsidTr="006A0512">
        <w:trPr>
          <w:gridAfter w:val="1"/>
          <w:wAfter w:w="43" w:type="dxa"/>
          <w:trHeight w:hRule="exact" w:val="397"/>
          <w:jc w:val="center"/>
        </w:trPr>
        <w:tc>
          <w:tcPr>
            <w:tcW w:w="2434" w:type="dxa"/>
            <w:vMerge w:val="restart"/>
            <w:tcBorders>
              <w:top w:val="single" w:sz="4" w:space="0" w:color="auto"/>
              <w:left w:val="single" w:sz="4" w:space="0" w:color="auto"/>
              <w:right w:val="single" w:sz="4" w:space="0" w:color="auto"/>
            </w:tcBorders>
            <w:shd w:val="clear" w:color="auto" w:fill="F3F3F3"/>
            <w:vAlign w:val="center"/>
          </w:tcPr>
          <w:p w14:paraId="3E0B307B"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Phase</w:t>
            </w:r>
          </w:p>
        </w:tc>
        <w:tc>
          <w:tcPr>
            <w:tcW w:w="1459" w:type="dxa"/>
            <w:vMerge w:val="restart"/>
            <w:tcBorders>
              <w:top w:val="single" w:sz="4" w:space="0" w:color="auto"/>
              <w:left w:val="single" w:sz="4" w:space="0" w:color="auto"/>
              <w:right w:val="single" w:sz="4" w:space="0" w:color="auto"/>
            </w:tcBorders>
            <w:shd w:val="clear" w:color="auto" w:fill="F3F3F3"/>
            <w:vAlign w:val="center"/>
          </w:tcPr>
          <w:p w14:paraId="4E4FB227"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Peri-Randomization</w:t>
            </w:r>
          </w:p>
        </w:tc>
        <w:tc>
          <w:tcPr>
            <w:tcW w:w="8577" w:type="dxa"/>
            <w:gridSpan w:val="12"/>
            <w:tcBorders>
              <w:top w:val="single" w:sz="4" w:space="0" w:color="auto"/>
              <w:left w:val="single" w:sz="4" w:space="0" w:color="auto"/>
              <w:bottom w:val="single" w:sz="4" w:space="0" w:color="auto"/>
              <w:right w:val="nil"/>
            </w:tcBorders>
            <w:shd w:val="clear" w:color="auto" w:fill="F3F3F3"/>
            <w:vAlign w:val="center"/>
          </w:tcPr>
          <w:p w14:paraId="62726958"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Post-Randomization</w:t>
            </w:r>
          </w:p>
        </w:tc>
        <w:tc>
          <w:tcPr>
            <w:tcW w:w="953" w:type="dxa"/>
            <w:tcBorders>
              <w:top w:val="single" w:sz="4" w:space="0" w:color="auto"/>
              <w:left w:val="nil"/>
              <w:bottom w:val="single" w:sz="4" w:space="0" w:color="auto"/>
              <w:right w:val="single" w:sz="4" w:space="0" w:color="auto"/>
            </w:tcBorders>
            <w:shd w:val="clear" w:color="auto" w:fill="F3F3F3"/>
            <w:vAlign w:val="center"/>
          </w:tcPr>
          <w:p w14:paraId="5A403361" w14:textId="77777777" w:rsidR="005E126D" w:rsidRPr="00710C30" w:rsidRDefault="005E126D" w:rsidP="006A0512">
            <w:pPr>
              <w:jc w:val="center"/>
              <w:rPr>
                <w:rFonts w:asciiTheme="majorHAnsi" w:hAnsiTheme="majorHAnsi"/>
                <w:b/>
                <w:sz w:val="18"/>
              </w:rPr>
            </w:pPr>
          </w:p>
        </w:tc>
      </w:tr>
      <w:tr w:rsidR="005E126D" w:rsidRPr="00710C30" w14:paraId="0E23C870" w14:textId="77777777" w:rsidTr="006A0512">
        <w:trPr>
          <w:gridAfter w:val="1"/>
          <w:wAfter w:w="43" w:type="dxa"/>
          <w:trHeight w:hRule="exact" w:val="747"/>
          <w:jc w:val="center"/>
        </w:trPr>
        <w:tc>
          <w:tcPr>
            <w:tcW w:w="2434" w:type="dxa"/>
            <w:vMerge/>
            <w:tcBorders>
              <w:left w:val="single" w:sz="4" w:space="0" w:color="auto"/>
              <w:bottom w:val="double" w:sz="4" w:space="0" w:color="auto"/>
              <w:right w:val="single" w:sz="4" w:space="0" w:color="auto"/>
            </w:tcBorders>
            <w:shd w:val="clear" w:color="auto" w:fill="F3F3F3"/>
            <w:vAlign w:val="center"/>
          </w:tcPr>
          <w:p w14:paraId="53005BBB" w14:textId="77777777" w:rsidR="005E126D" w:rsidRPr="00710C30" w:rsidRDefault="005E126D" w:rsidP="006A0512">
            <w:pPr>
              <w:jc w:val="center"/>
              <w:rPr>
                <w:rFonts w:asciiTheme="majorHAnsi" w:hAnsiTheme="majorHAnsi"/>
                <w:sz w:val="18"/>
              </w:rPr>
            </w:pPr>
          </w:p>
        </w:tc>
        <w:tc>
          <w:tcPr>
            <w:tcW w:w="1459" w:type="dxa"/>
            <w:vMerge/>
            <w:tcBorders>
              <w:left w:val="single" w:sz="4" w:space="0" w:color="auto"/>
              <w:bottom w:val="double" w:sz="4" w:space="0" w:color="auto"/>
              <w:right w:val="single" w:sz="4" w:space="0" w:color="auto"/>
            </w:tcBorders>
            <w:shd w:val="clear" w:color="auto" w:fill="F3F3F3"/>
            <w:vAlign w:val="center"/>
          </w:tcPr>
          <w:p w14:paraId="4FCBFA29" w14:textId="77777777" w:rsidR="005E126D" w:rsidRPr="00710C30" w:rsidRDefault="005E126D" w:rsidP="006A0512">
            <w:pPr>
              <w:jc w:val="center"/>
              <w:rPr>
                <w:rFonts w:asciiTheme="majorHAnsi" w:hAnsiTheme="majorHAnsi"/>
                <w:sz w:val="18"/>
              </w:rPr>
            </w:pPr>
          </w:p>
        </w:tc>
        <w:tc>
          <w:tcPr>
            <w:tcW w:w="5106" w:type="dxa"/>
            <w:gridSpan w:val="6"/>
            <w:tcBorders>
              <w:top w:val="single" w:sz="4" w:space="0" w:color="auto"/>
              <w:left w:val="single" w:sz="4" w:space="0" w:color="auto"/>
              <w:bottom w:val="double" w:sz="4" w:space="0" w:color="auto"/>
              <w:right w:val="single" w:sz="4" w:space="0" w:color="auto"/>
            </w:tcBorders>
            <w:shd w:val="clear" w:color="auto" w:fill="F3F3F3"/>
            <w:vAlign w:val="center"/>
          </w:tcPr>
          <w:p w14:paraId="5F48DFF1"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Unblinded HLA Ab+ groups – Approximate times of assessment (+/- 1 week). Once stabilised, go to month 4 assessment</w:t>
            </w:r>
          </w:p>
        </w:tc>
        <w:tc>
          <w:tcPr>
            <w:tcW w:w="4424" w:type="dxa"/>
            <w:gridSpan w:val="7"/>
            <w:tcBorders>
              <w:top w:val="single" w:sz="4" w:space="0" w:color="auto"/>
              <w:left w:val="single" w:sz="4" w:space="0" w:color="auto"/>
              <w:bottom w:val="double" w:sz="4" w:space="0" w:color="auto"/>
              <w:right w:val="single" w:sz="4" w:space="0" w:color="auto"/>
            </w:tcBorders>
            <w:shd w:val="clear" w:color="auto" w:fill="F3F3F3"/>
            <w:vAlign w:val="center"/>
          </w:tcPr>
          <w:p w14:paraId="09C413B8"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All Groups – Approximate times of assessment</w:t>
            </w:r>
          </w:p>
          <w:p w14:paraId="4235344A"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(+/- 3 months)</w:t>
            </w:r>
          </w:p>
        </w:tc>
      </w:tr>
      <w:tr w:rsidR="005E126D" w:rsidRPr="00710C30" w14:paraId="4567A4EB" w14:textId="77777777" w:rsidTr="006A0512">
        <w:trPr>
          <w:gridAfter w:val="1"/>
          <w:wAfter w:w="43" w:type="dxa"/>
          <w:cantSplit/>
          <w:trHeight w:hRule="exact" w:val="567"/>
          <w:jc w:val="center"/>
        </w:trPr>
        <w:tc>
          <w:tcPr>
            <w:tcW w:w="2434" w:type="dxa"/>
            <w:tcBorders>
              <w:top w:val="double" w:sz="4" w:space="0" w:color="auto"/>
              <w:left w:val="single" w:sz="4" w:space="0" w:color="auto"/>
              <w:bottom w:val="single" w:sz="4" w:space="0" w:color="auto"/>
              <w:right w:val="single" w:sz="4" w:space="0" w:color="auto"/>
            </w:tcBorders>
            <w:shd w:val="clear" w:color="auto" w:fill="E0E0E0"/>
            <w:vAlign w:val="center"/>
          </w:tcPr>
          <w:p w14:paraId="0DCD2417"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Study Week/month</w:t>
            </w:r>
          </w:p>
        </w:tc>
        <w:tc>
          <w:tcPr>
            <w:tcW w:w="1459" w:type="dxa"/>
            <w:tcBorders>
              <w:top w:val="double" w:sz="4" w:space="0" w:color="auto"/>
              <w:left w:val="single" w:sz="4" w:space="0" w:color="auto"/>
              <w:bottom w:val="single" w:sz="4" w:space="0" w:color="auto"/>
              <w:right w:val="single" w:sz="4" w:space="0" w:color="auto"/>
            </w:tcBorders>
            <w:shd w:val="clear" w:color="auto" w:fill="D9D9D9"/>
            <w:vAlign w:val="center"/>
          </w:tcPr>
          <w:p w14:paraId="11EE5110"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Day -56 to 0</w:t>
            </w:r>
          </w:p>
        </w:tc>
        <w:tc>
          <w:tcPr>
            <w:tcW w:w="851" w:type="dxa"/>
            <w:tcBorders>
              <w:top w:val="double" w:sz="4" w:space="0" w:color="auto"/>
              <w:left w:val="single" w:sz="4" w:space="0" w:color="auto"/>
              <w:bottom w:val="single" w:sz="4" w:space="0" w:color="auto"/>
              <w:right w:val="single" w:sz="4" w:space="0" w:color="auto"/>
            </w:tcBorders>
            <w:shd w:val="clear" w:color="auto" w:fill="D9D9D9"/>
            <w:vAlign w:val="center"/>
          </w:tcPr>
          <w:p w14:paraId="7EA889F5"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Wk 2</w:t>
            </w:r>
          </w:p>
        </w:tc>
        <w:tc>
          <w:tcPr>
            <w:tcW w:w="851" w:type="dxa"/>
            <w:tcBorders>
              <w:top w:val="double" w:sz="4" w:space="0" w:color="auto"/>
              <w:left w:val="single" w:sz="4" w:space="0" w:color="auto"/>
              <w:bottom w:val="single" w:sz="4" w:space="0" w:color="auto"/>
              <w:right w:val="single" w:sz="4" w:space="0" w:color="auto"/>
            </w:tcBorders>
            <w:shd w:val="clear" w:color="auto" w:fill="D9D9D9"/>
            <w:vAlign w:val="center"/>
          </w:tcPr>
          <w:p w14:paraId="22C17038"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Wk 4</w:t>
            </w:r>
          </w:p>
        </w:tc>
        <w:tc>
          <w:tcPr>
            <w:tcW w:w="851" w:type="dxa"/>
            <w:tcBorders>
              <w:top w:val="double" w:sz="4" w:space="0" w:color="auto"/>
              <w:left w:val="single" w:sz="4" w:space="0" w:color="auto"/>
              <w:bottom w:val="single" w:sz="4" w:space="0" w:color="auto"/>
              <w:right w:val="single" w:sz="4" w:space="0" w:color="auto"/>
            </w:tcBorders>
            <w:shd w:val="clear" w:color="auto" w:fill="D9D9D9"/>
            <w:vAlign w:val="center"/>
          </w:tcPr>
          <w:p w14:paraId="71FAE3B1"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Wk 6</w:t>
            </w:r>
          </w:p>
        </w:tc>
        <w:tc>
          <w:tcPr>
            <w:tcW w:w="851" w:type="dxa"/>
            <w:tcBorders>
              <w:top w:val="double" w:sz="4" w:space="0" w:color="auto"/>
              <w:left w:val="single" w:sz="4" w:space="0" w:color="auto"/>
              <w:bottom w:val="single" w:sz="4" w:space="0" w:color="auto"/>
              <w:right w:val="single" w:sz="4" w:space="0" w:color="auto"/>
            </w:tcBorders>
            <w:shd w:val="clear" w:color="auto" w:fill="D9D9D9"/>
            <w:vAlign w:val="center"/>
          </w:tcPr>
          <w:p w14:paraId="40FDE4DA"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Wk 8</w:t>
            </w:r>
          </w:p>
        </w:tc>
        <w:tc>
          <w:tcPr>
            <w:tcW w:w="851" w:type="dxa"/>
            <w:tcBorders>
              <w:top w:val="double" w:sz="4" w:space="0" w:color="auto"/>
              <w:left w:val="single" w:sz="4" w:space="0" w:color="auto"/>
              <w:bottom w:val="single" w:sz="4" w:space="0" w:color="auto"/>
              <w:right w:val="single" w:sz="4" w:space="0" w:color="auto"/>
            </w:tcBorders>
            <w:shd w:val="clear" w:color="auto" w:fill="D9D9D9"/>
            <w:vAlign w:val="center"/>
          </w:tcPr>
          <w:p w14:paraId="67415A3B"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Wk 10</w:t>
            </w:r>
          </w:p>
        </w:tc>
        <w:tc>
          <w:tcPr>
            <w:tcW w:w="851" w:type="dxa"/>
            <w:tcBorders>
              <w:top w:val="double" w:sz="4" w:space="0" w:color="auto"/>
              <w:left w:val="single" w:sz="4" w:space="0" w:color="auto"/>
              <w:bottom w:val="single" w:sz="4" w:space="0" w:color="auto"/>
              <w:right w:val="single" w:sz="4" w:space="0" w:color="auto"/>
            </w:tcBorders>
            <w:shd w:val="clear" w:color="auto" w:fill="D9D9D9"/>
            <w:vAlign w:val="center"/>
          </w:tcPr>
          <w:p w14:paraId="512F7DDF"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Wk 12</w:t>
            </w:r>
          </w:p>
        </w:tc>
        <w:tc>
          <w:tcPr>
            <w:tcW w:w="851" w:type="dxa"/>
            <w:tcBorders>
              <w:top w:val="double" w:sz="4" w:space="0" w:color="auto"/>
              <w:left w:val="single" w:sz="4" w:space="0" w:color="auto"/>
              <w:bottom w:val="nil"/>
              <w:right w:val="single" w:sz="4" w:space="0" w:color="auto"/>
            </w:tcBorders>
            <w:shd w:val="clear" w:color="auto" w:fill="D9D9D9"/>
            <w:vAlign w:val="center"/>
          </w:tcPr>
          <w:p w14:paraId="25FCB831"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Month</w:t>
            </w:r>
          </w:p>
          <w:p w14:paraId="6B330405"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8</w:t>
            </w:r>
          </w:p>
        </w:tc>
        <w:tc>
          <w:tcPr>
            <w:tcW w:w="851" w:type="dxa"/>
            <w:tcBorders>
              <w:top w:val="double" w:sz="4" w:space="0" w:color="auto"/>
              <w:left w:val="single" w:sz="4" w:space="0" w:color="auto"/>
              <w:bottom w:val="nil"/>
              <w:right w:val="single" w:sz="4" w:space="0" w:color="auto"/>
            </w:tcBorders>
            <w:shd w:val="clear" w:color="auto" w:fill="D9D9D9"/>
            <w:vAlign w:val="center"/>
          </w:tcPr>
          <w:p w14:paraId="1F2E13F4"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Month 16</w:t>
            </w:r>
          </w:p>
        </w:tc>
        <w:tc>
          <w:tcPr>
            <w:tcW w:w="919" w:type="dxa"/>
            <w:gridSpan w:val="2"/>
            <w:tcBorders>
              <w:top w:val="double" w:sz="4" w:space="0" w:color="auto"/>
              <w:left w:val="single" w:sz="4" w:space="0" w:color="auto"/>
              <w:bottom w:val="single" w:sz="4" w:space="0" w:color="auto"/>
              <w:right w:val="single" w:sz="4" w:space="0" w:color="auto"/>
            </w:tcBorders>
            <w:shd w:val="clear" w:color="auto" w:fill="D9D9D9"/>
            <w:vAlign w:val="center"/>
          </w:tcPr>
          <w:p w14:paraId="45C02CEA"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Month</w:t>
            </w:r>
          </w:p>
          <w:p w14:paraId="7887EC77"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24</w:t>
            </w:r>
          </w:p>
        </w:tc>
        <w:tc>
          <w:tcPr>
            <w:tcW w:w="850" w:type="dxa"/>
            <w:gridSpan w:val="2"/>
            <w:tcBorders>
              <w:top w:val="double" w:sz="4" w:space="0" w:color="auto"/>
              <w:left w:val="single" w:sz="4" w:space="0" w:color="auto"/>
              <w:bottom w:val="single" w:sz="4" w:space="0" w:color="auto"/>
              <w:right w:val="single" w:sz="4" w:space="0" w:color="auto"/>
            </w:tcBorders>
            <w:shd w:val="clear" w:color="auto" w:fill="D9D9D9"/>
            <w:vAlign w:val="center"/>
          </w:tcPr>
          <w:p w14:paraId="11877ACF"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Month 32</w:t>
            </w:r>
          </w:p>
        </w:tc>
        <w:tc>
          <w:tcPr>
            <w:tcW w:w="953" w:type="dxa"/>
            <w:tcBorders>
              <w:top w:val="double" w:sz="4" w:space="0" w:color="auto"/>
              <w:left w:val="single" w:sz="4" w:space="0" w:color="auto"/>
              <w:bottom w:val="single" w:sz="4" w:space="0" w:color="auto"/>
              <w:right w:val="single" w:sz="4" w:space="0" w:color="auto"/>
            </w:tcBorders>
            <w:shd w:val="clear" w:color="auto" w:fill="D9D9D9"/>
            <w:vAlign w:val="center"/>
          </w:tcPr>
          <w:p w14:paraId="157F0821" w14:textId="77777777" w:rsidR="005E126D" w:rsidRPr="00710C30" w:rsidRDefault="005E126D" w:rsidP="006A0512">
            <w:pPr>
              <w:jc w:val="center"/>
              <w:rPr>
                <w:rFonts w:asciiTheme="majorHAnsi" w:hAnsiTheme="majorHAnsi"/>
                <w:b/>
                <w:sz w:val="18"/>
              </w:rPr>
            </w:pPr>
            <w:r w:rsidRPr="00710C30">
              <w:rPr>
                <w:rFonts w:asciiTheme="majorHAnsi" w:hAnsiTheme="majorHAnsi"/>
                <w:sz w:val="18"/>
              </w:rPr>
              <w:t>Min 43 months</w:t>
            </w:r>
          </w:p>
        </w:tc>
      </w:tr>
      <w:tr w:rsidR="005E126D" w:rsidRPr="00710C30" w14:paraId="47D36F2B" w14:textId="77777777" w:rsidTr="006A0512">
        <w:trPr>
          <w:gridAfter w:val="1"/>
          <w:wAfter w:w="43" w:type="dxa"/>
          <w:cantSplit/>
          <w:trHeight w:hRule="exact" w:val="397"/>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342E976D"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Informed consent</w:t>
            </w:r>
          </w:p>
        </w:tc>
        <w:tc>
          <w:tcPr>
            <w:tcW w:w="1459" w:type="dxa"/>
            <w:tcBorders>
              <w:top w:val="single" w:sz="4" w:space="0" w:color="auto"/>
              <w:left w:val="single" w:sz="4" w:space="0" w:color="auto"/>
              <w:bottom w:val="single" w:sz="4" w:space="0" w:color="auto"/>
              <w:right w:val="single" w:sz="4" w:space="0" w:color="auto"/>
            </w:tcBorders>
            <w:vAlign w:val="center"/>
          </w:tcPr>
          <w:p w14:paraId="7A73F215"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4D1B0664"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0D1006C"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D09FDC3"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358E31A"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40D3E4E"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B1BF25A"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A2D537D"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E8D8BA" w14:textId="77777777" w:rsidR="005E126D" w:rsidRPr="00710C30" w:rsidRDefault="005E126D" w:rsidP="006A0512">
            <w:pPr>
              <w:jc w:val="center"/>
              <w:rPr>
                <w:rFonts w:asciiTheme="majorHAnsi" w:hAnsiTheme="majorHAnsi"/>
                <w:sz w:val="18"/>
              </w:rPr>
            </w:pP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5ACF03C7" w14:textId="77777777" w:rsidR="005E126D" w:rsidRPr="00710C30" w:rsidRDefault="005E126D" w:rsidP="006A0512">
            <w:pPr>
              <w:jc w:val="center"/>
              <w:rPr>
                <w:rFonts w:asciiTheme="majorHAnsi" w:hAnsiTheme="majorHAnsi"/>
                <w:sz w:val="18"/>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2D0C993" w14:textId="77777777" w:rsidR="005E126D" w:rsidRPr="00710C30" w:rsidRDefault="005E126D" w:rsidP="006A0512">
            <w:pPr>
              <w:jc w:val="center"/>
              <w:rPr>
                <w:rFonts w:asciiTheme="majorHAnsi" w:hAnsiTheme="majorHAnsi"/>
                <w:sz w:val="18"/>
              </w:rPr>
            </w:pPr>
          </w:p>
        </w:tc>
        <w:tc>
          <w:tcPr>
            <w:tcW w:w="953" w:type="dxa"/>
            <w:tcBorders>
              <w:top w:val="single" w:sz="4" w:space="0" w:color="auto"/>
              <w:left w:val="single" w:sz="4" w:space="0" w:color="auto"/>
              <w:bottom w:val="single" w:sz="4" w:space="0" w:color="auto"/>
              <w:right w:val="single" w:sz="4" w:space="0" w:color="auto"/>
            </w:tcBorders>
            <w:vAlign w:val="center"/>
          </w:tcPr>
          <w:p w14:paraId="2ED1F5E7" w14:textId="77777777" w:rsidR="005E126D" w:rsidRPr="00710C30" w:rsidRDefault="005E126D" w:rsidP="006A0512">
            <w:pPr>
              <w:jc w:val="center"/>
              <w:rPr>
                <w:rFonts w:asciiTheme="majorHAnsi" w:hAnsiTheme="majorHAnsi"/>
                <w:b/>
                <w:sz w:val="18"/>
              </w:rPr>
            </w:pPr>
          </w:p>
        </w:tc>
      </w:tr>
      <w:tr w:rsidR="005E126D" w:rsidRPr="00710C30" w14:paraId="644FE8BE" w14:textId="77777777" w:rsidTr="006A0512">
        <w:trPr>
          <w:gridAfter w:val="1"/>
          <w:wAfter w:w="43" w:type="dxa"/>
          <w:cantSplit/>
          <w:trHeight w:hRule="exact" w:val="567"/>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155C8CB4"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Inclusion/Exclusion Criteria</w:t>
            </w:r>
          </w:p>
        </w:tc>
        <w:tc>
          <w:tcPr>
            <w:tcW w:w="1459" w:type="dxa"/>
            <w:tcBorders>
              <w:top w:val="single" w:sz="4" w:space="0" w:color="auto"/>
              <w:left w:val="single" w:sz="4" w:space="0" w:color="auto"/>
              <w:bottom w:val="single" w:sz="4" w:space="0" w:color="auto"/>
              <w:right w:val="single" w:sz="4" w:space="0" w:color="auto"/>
            </w:tcBorders>
            <w:vAlign w:val="center"/>
          </w:tcPr>
          <w:p w14:paraId="1A8EA531"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footnoteReference w:id="27"/>
            </w:r>
          </w:p>
        </w:tc>
        <w:tc>
          <w:tcPr>
            <w:tcW w:w="851" w:type="dxa"/>
            <w:tcBorders>
              <w:top w:val="single" w:sz="4" w:space="0" w:color="auto"/>
              <w:left w:val="single" w:sz="4" w:space="0" w:color="auto"/>
              <w:bottom w:val="single" w:sz="4" w:space="0" w:color="auto"/>
              <w:right w:val="single" w:sz="4" w:space="0" w:color="auto"/>
            </w:tcBorders>
            <w:vAlign w:val="center"/>
          </w:tcPr>
          <w:p w14:paraId="6D640D6F"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26443DA"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B8BC4A8"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C043F4A"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9FCE70D"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638D083"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CA415EB"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DE9BA88" w14:textId="77777777" w:rsidR="005E126D" w:rsidRPr="00710C30" w:rsidRDefault="005E126D" w:rsidP="006A0512">
            <w:pPr>
              <w:jc w:val="center"/>
              <w:rPr>
                <w:rFonts w:asciiTheme="majorHAnsi" w:hAnsiTheme="majorHAnsi"/>
                <w:sz w:val="18"/>
              </w:rPr>
            </w:pP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2AA5A4EF" w14:textId="77777777" w:rsidR="005E126D" w:rsidRPr="00710C30" w:rsidRDefault="005E126D" w:rsidP="006A0512">
            <w:pPr>
              <w:jc w:val="center"/>
              <w:rPr>
                <w:rFonts w:asciiTheme="majorHAnsi" w:hAnsiTheme="majorHAnsi"/>
                <w:sz w:val="18"/>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FB54123" w14:textId="77777777" w:rsidR="005E126D" w:rsidRPr="00710C30" w:rsidRDefault="005E126D" w:rsidP="006A0512">
            <w:pPr>
              <w:jc w:val="center"/>
              <w:rPr>
                <w:rFonts w:asciiTheme="majorHAnsi" w:hAnsiTheme="majorHAnsi"/>
                <w:sz w:val="18"/>
              </w:rPr>
            </w:pPr>
          </w:p>
        </w:tc>
        <w:tc>
          <w:tcPr>
            <w:tcW w:w="953" w:type="dxa"/>
            <w:tcBorders>
              <w:top w:val="single" w:sz="4" w:space="0" w:color="auto"/>
              <w:left w:val="single" w:sz="4" w:space="0" w:color="auto"/>
              <w:bottom w:val="single" w:sz="4" w:space="0" w:color="auto"/>
              <w:right w:val="single" w:sz="4" w:space="0" w:color="auto"/>
            </w:tcBorders>
            <w:vAlign w:val="center"/>
          </w:tcPr>
          <w:p w14:paraId="5790AD29" w14:textId="77777777" w:rsidR="005E126D" w:rsidRPr="00710C30" w:rsidRDefault="005E126D" w:rsidP="006A0512">
            <w:pPr>
              <w:jc w:val="center"/>
              <w:rPr>
                <w:rFonts w:asciiTheme="majorHAnsi" w:hAnsiTheme="majorHAnsi"/>
                <w:b/>
                <w:sz w:val="18"/>
              </w:rPr>
            </w:pPr>
          </w:p>
        </w:tc>
      </w:tr>
      <w:tr w:rsidR="005E126D" w:rsidRPr="00710C30" w14:paraId="6F6E2B07" w14:textId="77777777" w:rsidTr="006A0512">
        <w:trPr>
          <w:gridAfter w:val="1"/>
          <w:wAfter w:w="43" w:type="dxa"/>
          <w:cantSplit/>
          <w:trHeight w:hRule="exact" w:val="567"/>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68A09B9C"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Medical History inc. Drugs</w:t>
            </w:r>
          </w:p>
        </w:tc>
        <w:tc>
          <w:tcPr>
            <w:tcW w:w="1459" w:type="dxa"/>
            <w:tcBorders>
              <w:top w:val="single" w:sz="4" w:space="0" w:color="auto"/>
              <w:left w:val="single" w:sz="4" w:space="0" w:color="auto"/>
              <w:bottom w:val="single" w:sz="4" w:space="0" w:color="auto"/>
              <w:right w:val="single" w:sz="4" w:space="0" w:color="auto"/>
            </w:tcBorders>
            <w:vAlign w:val="center"/>
          </w:tcPr>
          <w:p w14:paraId="747EA0A9"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footnoteReference w:id="28"/>
            </w:r>
          </w:p>
        </w:tc>
        <w:tc>
          <w:tcPr>
            <w:tcW w:w="851" w:type="dxa"/>
            <w:tcBorders>
              <w:top w:val="single" w:sz="4" w:space="0" w:color="auto"/>
              <w:left w:val="single" w:sz="4" w:space="0" w:color="auto"/>
              <w:bottom w:val="single" w:sz="4" w:space="0" w:color="auto"/>
              <w:right w:val="single" w:sz="4" w:space="0" w:color="auto"/>
            </w:tcBorders>
            <w:vAlign w:val="center"/>
          </w:tcPr>
          <w:p w14:paraId="38E6704D"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B6F0C04"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E2CF1AF"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D40A6B5"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4484964"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43460CA"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871E899"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4F4E670" w14:textId="77777777" w:rsidR="005E126D" w:rsidRPr="00710C30" w:rsidRDefault="005E126D" w:rsidP="006A0512">
            <w:pPr>
              <w:jc w:val="center"/>
              <w:rPr>
                <w:rFonts w:asciiTheme="majorHAnsi" w:hAnsiTheme="majorHAnsi"/>
                <w:sz w:val="18"/>
              </w:rPr>
            </w:pP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12391AA7" w14:textId="77777777" w:rsidR="005E126D" w:rsidRPr="00710C30" w:rsidRDefault="005E126D" w:rsidP="006A0512">
            <w:pPr>
              <w:jc w:val="center"/>
              <w:rPr>
                <w:rFonts w:asciiTheme="majorHAnsi" w:hAnsiTheme="majorHAnsi"/>
                <w:sz w:val="18"/>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3C0227B" w14:textId="77777777" w:rsidR="005E126D" w:rsidRPr="00710C30" w:rsidRDefault="005E126D" w:rsidP="006A0512">
            <w:pPr>
              <w:jc w:val="center"/>
              <w:rPr>
                <w:rFonts w:asciiTheme="majorHAnsi" w:hAnsiTheme="majorHAnsi"/>
                <w:sz w:val="18"/>
              </w:rPr>
            </w:pPr>
          </w:p>
        </w:tc>
        <w:tc>
          <w:tcPr>
            <w:tcW w:w="953" w:type="dxa"/>
            <w:tcBorders>
              <w:top w:val="single" w:sz="4" w:space="0" w:color="auto"/>
              <w:left w:val="single" w:sz="4" w:space="0" w:color="auto"/>
              <w:bottom w:val="single" w:sz="4" w:space="0" w:color="auto"/>
              <w:right w:val="single" w:sz="4" w:space="0" w:color="auto"/>
            </w:tcBorders>
            <w:vAlign w:val="center"/>
          </w:tcPr>
          <w:p w14:paraId="6CF789CB" w14:textId="77777777" w:rsidR="005E126D" w:rsidRPr="00710C30" w:rsidRDefault="005E126D" w:rsidP="006A0512">
            <w:pPr>
              <w:jc w:val="center"/>
              <w:rPr>
                <w:rFonts w:asciiTheme="majorHAnsi" w:hAnsiTheme="majorHAnsi"/>
                <w:b/>
                <w:sz w:val="18"/>
              </w:rPr>
            </w:pPr>
          </w:p>
        </w:tc>
      </w:tr>
      <w:tr w:rsidR="005E126D" w:rsidRPr="00710C30" w14:paraId="12011016" w14:textId="77777777" w:rsidTr="006A0512">
        <w:trPr>
          <w:gridAfter w:val="1"/>
          <w:wAfter w:w="43" w:type="dxa"/>
          <w:cantSplit/>
          <w:trHeight w:hRule="exact" w:val="567"/>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7075962A"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Transplant / sensitisation Hx</w:t>
            </w:r>
          </w:p>
        </w:tc>
        <w:tc>
          <w:tcPr>
            <w:tcW w:w="1459" w:type="dxa"/>
            <w:tcBorders>
              <w:top w:val="single" w:sz="4" w:space="0" w:color="auto"/>
              <w:left w:val="single" w:sz="4" w:space="0" w:color="auto"/>
              <w:bottom w:val="single" w:sz="4" w:space="0" w:color="auto"/>
              <w:right w:val="single" w:sz="4" w:space="0" w:color="auto"/>
            </w:tcBorders>
            <w:vAlign w:val="center"/>
          </w:tcPr>
          <w:p w14:paraId="6A0EB561"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51512846"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182DDB2"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47FCE75"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6201B59"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8C5EBB2"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BEFAE48"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4FDD6DA"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92822BE" w14:textId="77777777" w:rsidR="005E126D" w:rsidRPr="00710C30" w:rsidRDefault="005E126D" w:rsidP="006A0512">
            <w:pPr>
              <w:jc w:val="center"/>
              <w:rPr>
                <w:rFonts w:asciiTheme="majorHAnsi" w:hAnsiTheme="majorHAnsi"/>
                <w:sz w:val="18"/>
              </w:rPr>
            </w:pP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53C999AE" w14:textId="77777777" w:rsidR="005E126D" w:rsidRPr="00710C30" w:rsidRDefault="005E126D" w:rsidP="006A0512">
            <w:pPr>
              <w:jc w:val="center"/>
              <w:rPr>
                <w:rFonts w:asciiTheme="majorHAnsi" w:hAnsiTheme="majorHAnsi"/>
                <w:sz w:val="18"/>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8198D10" w14:textId="77777777" w:rsidR="005E126D" w:rsidRPr="00710C30" w:rsidRDefault="005E126D" w:rsidP="006A0512">
            <w:pPr>
              <w:jc w:val="center"/>
              <w:rPr>
                <w:rFonts w:asciiTheme="majorHAnsi" w:hAnsiTheme="majorHAnsi"/>
                <w:sz w:val="18"/>
              </w:rPr>
            </w:pPr>
          </w:p>
        </w:tc>
        <w:tc>
          <w:tcPr>
            <w:tcW w:w="953" w:type="dxa"/>
            <w:tcBorders>
              <w:top w:val="single" w:sz="4" w:space="0" w:color="auto"/>
              <w:left w:val="single" w:sz="4" w:space="0" w:color="auto"/>
              <w:bottom w:val="single" w:sz="4" w:space="0" w:color="auto"/>
              <w:right w:val="single" w:sz="4" w:space="0" w:color="auto"/>
            </w:tcBorders>
            <w:vAlign w:val="center"/>
          </w:tcPr>
          <w:p w14:paraId="07458B63" w14:textId="77777777" w:rsidR="005E126D" w:rsidRPr="00710C30" w:rsidRDefault="005E126D" w:rsidP="006A0512">
            <w:pPr>
              <w:jc w:val="center"/>
              <w:rPr>
                <w:rFonts w:asciiTheme="majorHAnsi" w:hAnsiTheme="majorHAnsi"/>
                <w:b/>
                <w:sz w:val="18"/>
              </w:rPr>
            </w:pPr>
          </w:p>
        </w:tc>
      </w:tr>
      <w:tr w:rsidR="005E126D" w:rsidRPr="00710C30" w14:paraId="7837B26F" w14:textId="77777777" w:rsidTr="006A0512">
        <w:trPr>
          <w:gridAfter w:val="1"/>
          <w:wAfter w:w="43" w:type="dxa"/>
          <w:cantSplit/>
          <w:trHeight w:hRule="exact" w:val="567"/>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4DD2DB88"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Registration / Demographics</w:t>
            </w:r>
          </w:p>
        </w:tc>
        <w:tc>
          <w:tcPr>
            <w:tcW w:w="1459" w:type="dxa"/>
            <w:tcBorders>
              <w:top w:val="single" w:sz="4" w:space="0" w:color="auto"/>
              <w:left w:val="single" w:sz="4" w:space="0" w:color="auto"/>
              <w:bottom w:val="single" w:sz="4" w:space="0" w:color="auto"/>
              <w:right w:val="single" w:sz="4" w:space="0" w:color="auto"/>
            </w:tcBorders>
            <w:vAlign w:val="center"/>
          </w:tcPr>
          <w:p w14:paraId="2D3CCB72"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footnoteReference w:id="29"/>
            </w:r>
          </w:p>
        </w:tc>
        <w:tc>
          <w:tcPr>
            <w:tcW w:w="851" w:type="dxa"/>
            <w:tcBorders>
              <w:top w:val="single" w:sz="4" w:space="0" w:color="auto"/>
              <w:left w:val="single" w:sz="4" w:space="0" w:color="auto"/>
              <w:bottom w:val="single" w:sz="4" w:space="0" w:color="auto"/>
              <w:right w:val="single" w:sz="4" w:space="0" w:color="auto"/>
            </w:tcBorders>
            <w:vAlign w:val="center"/>
          </w:tcPr>
          <w:p w14:paraId="1055A27E"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0477997"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1106A14"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DC23B09"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F5FA3D5"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31CFADE"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9D10458"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A07AD0" w14:textId="77777777" w:rsidR="005E126D" w:rsidRPr="00710C30" w:rsidRDefault="005E126D" w:rsidP="006A0512">
            <w:pPr>
              <w:jc w:val="center"/>
              <w:rPr>
                <w:rFonts w:asciiTheme="majorHAnsi" w:hAnsiTheme="majorHAnsi"/>
                <w:sz w:val="18"/>
              </w:rPr>
            </w:pP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0194450C" w14:textId="77777777" w:rsidR="005E126D" w:rsidRPr="00710C30" w:rsidRDefault="005E126D" w:rsidP="006A0512">
            <w:pPr>
              <w:jc w:val="center"/>
              <w:rPr>
                <w:rFonts w:asciiTheme="majorHAnsi" w:hAnsiTheme="majorHAnsi"/>
                <w:sz w:val="18"/>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0299BC7" w14:textId="77777777" w:rsidR="005E126D" w:rsidRPr="00710C30" w:rsidRDefault="005E126D" w:rsidP="006A0512">
            <w:pPr>
              <w:jc w:val="center"/>
              <w:rPr>
                <w:rFonts w:asciiTheme="majorHAnsi" w:hAnsiTheme="majorHAnsi"/>
                <w:sz w:val="18"/>
              </w:rPr>
            </w:pPr>
          </w:p>
        </w:tc>
        <w:tc>
          <w:tcPr>
            <w:tcW w:w="953" w:type="dxa"/>
            <w:tcBorders>
              <w:top w:val="single" w:sz="4" w:space="0" w:color="auto"/>
              <w:left w:val="single" w:sz="4" w:space="0" w:color="auto"/>
              <w:bottom w:val="single" w:sz="4" w:space="0" w:color="auto"/>
              <w:right w:val="single" w:sz="4" w:space="0" w:color="auto"/>
            </w:tcBorders>
            <w:vAlign w:val="center"/>
          </w:tcPr>
          <w:p w14:paraId="4749E089" w14:textId="77777777" w:rsidR="005E126D" w:rsidRPr="00710C30" w:rsidRDefault="005E126D" w:rsidP="006A0512">
            <w:pPr>
              <w:jc w:val="center"/>
              <w:rPr>
                <w:rFonts w:asciiTheme="majorHAnsi" w:hAnsiTheme="majorHAnsi"/>
                <w:b/>
                <w:sz w:val="18"/>
              </w:rPr>
            </w:pPr>
          </w:p>
        </w:tc>
      </w:tr>
      <w:tr w:rsidR="005E126D" w:rsidRPr="00710C30" w14:paraId="3D08FAAD" w14:textId="77777777" w:rsidTr="006A0512">
        <w:trPr>
          <w:gridAfter w:val="1"/>
          <w:wAfter w:w="43" w:type="dxa"/>
          <w:cantSplit/>
          <w:trHeight w:hRule="exact" w:val="397"/>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0BC53993"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Weight / BP</w:t>
            </w:r>
          </w:p>
        </w:tc>
        <w:tc>
          <w:tcPr>
            <w:tcW w:w="1459" w:type="dxa"/>
            <w:tcBorders>
              <w:top w:val="single" w:sz="4" w:space="0" w:color="auto"/>
              <w:left w:val="single" w:sz="4" w:space="0" w:color="auto"/>
              <w:bottom w:val="single" w:sz="4" w:space="0" w:color="auto"/>
              <w:right w:val="single" w:sz="4" w:space="0" w:color="auto"/>
            </w:tcBorders>
            <w:vAlign w:val="center"/>
          </w:tcPr>
          <w:p w14:paraId="283E6996"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7D656745"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637C2B8"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435E20A"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22D6143"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1F93A0E"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1350885"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A94C390"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481F3EB5"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71B585F6"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BE110E6"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953" w:type="dxa"/>
            <w:tcBorders>
              <w:top w:val="single" w:sz="4" w:space="0" w:color="auto"/>
              <w:left w:val="single" w:sz="4" w:space="0" w:color="auto"/>
              <w:bottom w:val="single" w:sz="4" w:space="0" w:color="auto"/>
              <w:right w:val="single" w:sz="4" w:space="0" w:color="auto"/>
            </w:tcBorders>
            <w:vAlign w:val="center"/>
          </w:tcPr>
          <w:p w14:paraId="64521BFF" w14:textId="77777777" w:rsidR="005E126D" w:rsidRPr="00710C30" w:rsidRDefault="005E126D" w:rsidP="006A0512">
            <w:pPr>
              <w:jc w:val="center"/>
              <w:rPr>
                <w:rFonts w:asciiTheme="majorHAnsi" w:hAnsiTheme="majorHAnsi"/>
                <w:b/>
                <w:sz w:val="18"/>
              </w:rPr>
            </w:pPr>
          </w:p>
        </w:tc>
      </w:tr>
      <w:tr w:rsidR="005E126D" w:rsidRPr="00710C30" w14:paraId="4D8B42C0" w14:textId="77777777" w:rsidTr="006A0512">
        <w:trPr>
          <w:gridAfter w:val="1"/>
          <w:wAfter w:w="43" w:type="dxa"/>
          <w:cantSplit/>
          <w:trHeight w:hRule="exact" w:val="397"/>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1C858E0D"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Urine PCR</w:t>
            </w:r>
          </w:p>
        </w:tc>
        <w:tc>
          <w:tcPr>
            <w:tcW w:w="1459" w:type="dxa"/>
            <w:tcBorders>
              <w:top w:val="single" w:sz="4" w:space="0" w:color="auto"/>
              <w:left w:val="single" w:sz="4" w:space="0" w:color="auto"/>
              <w:bottom w:val="single" w:sz="4" w:space="0" w:color="auto"/>
              <w:right w:val="single" w:sz="4" w:space="0" w:color="auto"/>
            </w:tcBorders>
            <w:vAlign w:val="center"/>
          </w:tcPr>
          <w:p w14:paraId="4AA73BF9"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0CB4A297"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8CE3A40"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A9D4FFC"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12733B"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EDB5B80"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05218C3"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88CD3D1"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4DA6F71B"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19629C28"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70D59BC"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953" w:type="dxa"/>
            <w:tcBorders>
              <w:top w:val="single" w:sz="4" w:space="0" w:color="auto"/>
              <w:left w:val="single" w:sz="4" w:space="0" w:color="auto"/>
              <w:bottom w:val="single" w:sz="4" w:space="0" w:color="auto"/>
              <w:right w:val="single" w:sz="4" w:space="0" w:color="auto"/>
            </w:tcBorders>
            <w:vAlign w:val="center"/>
          </w:tcPr>
          <w:p w14:paraId="56386BC5" w14:textId="77777777" w:rsidR="005E126D" w:rsidRPr="00710C30" w:rsidRDefault="005E126D" w:rsidP="006A0512">
            <w:pPr>
              <w:jc w:val="center"/>
              <w:rPr>
                <w:rFonts w:asciiTheme="majorHAnsi" w:hAnsiTheme="majorHAnsi"/>
                <w:b/>
                <w:sz w:val="18"/>
              </w:rPr>
            </w:pPr>
          </w:p>
        </w:tc>
      </w:tr>
      <w:tr w:rsidR="005E126D" w:rsidRPr="00710C30" w14:paraId="1274AEC4" w14:textId="77777777" w:rsidTr="006A0512">
        <w:trPr>
          <w:gridAfter w:val="1"/>
          <w:wAfter w:w="43" w:type="dxa"/>
          <w:cantSplit/>
          <w:trHeight w:hRule="exact" w:val="397"/>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728CA5F3"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Haematology</w:t>
            </w:r>
            <w:r w:rsidRPr="00710C30">
              <w:rPr>
                <w:rStyle w:val="FootnoteReference"/>
                <w:rFonts w:asciiTheme="majorHAnsi" w:hAnsiTheme="majorHAnsi"/>
                <w:sz w:val="18"/>
              </w:rPr>
              <w:footnoteReference w:id="30"/>
            </w:r>
          </w:p>
        </w:tc>
        <w:tc>
          <w:tcPr>
            <w:tcW w:w="1459" w:type="dxa"/>
            <w:tcBorders>
              <w:top w:val="single" w:sz="4" w:space="0" w:color="auto"/>
              <w:left w:val="single" w:sz="4" w:space="0" w:color="auto"/>
              <w:bottom w:val="single" w:sz="4" w:space="0" w:color="auto"/>
              <w:right w:val="single" w:sz="4" w:space="0" w:color="auto"/>
            </w:tcBorders>
            <w:vAlign w:val="center"/>
          </w:tcPr>
          <w:p w14:paraId="18C75231"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31A8DF78"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691C4E1"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113AADC1"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3287991"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12CC68D9"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6DF1703"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7782A12F"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696E72C5"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4D35E295"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7424100"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953" w:type="dxa"/>
            <w:tcBorders>
              <w:top w:val="single" w:sz="4" w:space="0" w:color="auto"/>
              <w:left w:val="single" w:sz="4" w:space="0" w:color="auto"/>
              <w:bottom w:val="single" w:sz="4" w:space="0" w:color="auto"/>
              <w:right w:val="single" w:sz="4" w:space="0" w:color="auto"/>
            </w:tcBorders>
            <w:vAlign w:val="center"/>
          </w:tcPr>
          <w:p w14:paraId="33C472CB" w14:textId="77777777" w:rsidR="005E126D" w:rsidRPr="00710C30" w:rsidRDefault="005E126D" w:rsidP="006A0512">
            <w:pPr>
              <w:jc w:val="center"/>
              <w:rPr>
                <w:rFonts w:asciiTheme="majorHAnsi" w:hAnsiTheme="majorHAnsi"/>
                <w:b/>
                <w:sz w:val="18"/>
              </w:rPr>
            </w:pPr>
          </w:p>
        </w:tc>
      </w:tr>
      <w:tr w:rsidR="005E126D" w:rsidRPr="00710C30" w14:paraId="26626E17" w14:textId="77777777" w:rsidTr="006A0512">
        <w:trPr>
          <w:gridAfter w:val="1"/>
          <w:wAfter w:w="43" w:type="dxa"/>
          <w:cantSplit/>
          <w:trHeight w:hRule="exact" w:val="397"/>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21614097"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Biochemistry</w:t>
            </w:r>
          </w:p>
        </w:tc>
        <w:tc>
          <w:tcPr>
            <w:tcW w:w="1459" w:type="dxa"/>
            <w:tcBorders>
              <w:top w:val="single" w:sz="4" w:space="0" w:color="auto"/>
              <w:left w:val="single" w:sz="4" w:space="0" w:color="auto"/>
              <w:bottom w:val="single" w:sz="4" w:space="0" w:color="auto"/>
              <w:right w:val="single" w:sz="4" w:space="0" w:color="auto"/>
            </w:tcBorders>
            <w:vAlign w:val="center"/>
          </w:tcPr>
          <w:p w14:paraId="2AF79ADA"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Style w:val="FootnoteReference"/>
                <w:rFonts w:asciiTheme="majorHAnsi" w:hAnsiTheme="majorHAnsi"/>
                <w:sz w:val="18"/>
              </w:rPr>
              <w:footnoteReference w:id="31"/>
            </w:r>
          </w:p>
        </w:tc>
        <w:tc>
          <w:tcPr>
            <w:tcW w:w="851" w:type="dxa"/>
            <w:tcBorders>
              <w:top w:val="single" w:sz="4" w:space="0" w:color="auto"/>
              <w:left w:val="single" w:sz="4" w:space="0" w:color="auto"/>
              <w:bottom w:val="single" w:sz="4" w:space="0" w:color="auto"/>
              <w:right w:val="single" w:sz="4" w:space="0" w:color="auto"/>
            </w:tcBorders>
            <w:vAlign w:val="center"/>
          </w:tcPr>
          <w:p w14:paraId="77FC674C"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913C11A"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Style w:val="FootnoteReference"/>
                <w:rFonts w:asciiTheme="majorHAnsi" w:hAnsiTheme="majorHAnsi"/>
                <w:sz w:val="18"/>
              </w:rPr>
              <w:footnoteReference w:id="32"/>
            </w:r>
          </w:p>
        </w:tc>
        <w:tc>
          <w:tcPr>
            <w:tcW w:w="851" w:type="dxa"/>
            <w:tcBorders>
              <w:top w:val="single" w:sz="4" w:space="0" w:color="auto"/>
              <w:left w:val="single" w:sz="4" w:space="0" w:color="auto"/>
              <w:bottom w:val="single" w:sz="4" w:space="0" w:color="auto"/>
              <w:right w:val="single" w:sz="4" w:space="0" w:color="auto"/>
            </w:tcBorders>
            <w:vAlign w:val="center"/>
          </w:tcPr>
          <w:p w14:paraId="75E3CAE6"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EEBCC32"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t>8</w:t>
            </w:r>
          </w:p>
        </w:tc>
        <w:tc>
          <w:tcPr>
            <w:tcW w:w="851" w:type="dxa"/>
            <w:tcBorders>
              <w:top w:val="single" w:sz="4" w:space="0" w:color="auto"/>
              <w:left w:val="single" w:sz="4" w:space="0" w:color="auto"/>
              <w:bottom w:val="single" w:sz="4" w:space="0" w:color="auto"/>
              <w:right w:val="single" w:sz="4" w:space="0" w:color="auto"/>
            </w:tcBorders>
            <w:vAlign w:val="center"/>
          </w:tcPr>
          <w:p w14:paraId="770570B4"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6C1A1BA"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t>8</w:t>
            </w:r>
          </w:p>
        </w:tc>
        <w:tc>
          <w:tcPr>
            <w:tcW w:w="851" w:type="dxa"/>
            <w:tcBorders>
              <w:top w:val="single" w:sz="4" w:space="0" w:color="auto"/>
              <w:left w:val="single" w:sz="4" w:space="0" w:color="auto"/>
              <w:bottom w:val="single" w:sz="4" w:space="0" w:color="auto"/>
              <w:right w:val="single" w:sz="4" w:space="0" w:color="auto"/>
            </w:tcBorders>
            <w:vAlign w:val="center"/>
          </w:tcPr>
          <w:p w14:paraId="6D662B9E"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Style w:val="FootnoteReference"/>
                <w:rFonts w:asciiTheme="majorHAnsi" w:hAnsiTheme="majorHAnsi"/>
                <w:sz w:val="18"/>
              </w:rPr>
              <w:footnoteReference w:id="33"/>
            </w:r>
          </w:p>
        </w:tc>
        <w:tc>
          <w:tcPr>
            <w:tcW w:w="851" w:type="dxa"/>
            <w:tcBorders>
              <w:top w:val="single" w:sz="4" w:space="0" w:color="auto"/>
              <w:left w:val="single" w:sz="4" w:space="0" w:color="auto"/>
              <w:bottom w:val="single" w:sz="4" w:space="0" w:color="auto"/>
              <w:right w:val="single" w:sz="4" w:space="0" w:color="auto"/>
            </w:tcBorders>
            <w:vAlign w:val="center"/>
          </w:tcPr>
          <w:p w14:paraId="03A43E71"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Style w:val="FootnoteReference"/>
                <w:rFonts w:asciiTheme="majorHAnsi" w:hAnsiTheme="majorHAnsi"/>
                <w:sz w:val="18"/>
              </w:rPr>
              <w:footnoteReference w:id="34"/>
            </w: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4EFC3A36"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t>9</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D51F632"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t>10</w:t>
            </w:r>
          </w:p>
        </w:tc>
        <w:tc>
          <w:tcPr>
            <w:tcW w:w="953" w:type="dxa"/>
            <w:tcBorders>
              <w:top w:val="single" w:sz="4" w:space="0" w:color="auto"/>
              <w:left w:val="single" w:sz="4" w:space="0" w:color="auto"/>
              <w:bottom w:val="single" w:sz="4" w:space="0" w:color="auto"/>
              <w:right w:val="single" w:sz="4" w:space="0" w:color="auto"/>
            </w:tcBorders>
            <w:vAlign w:val="center"/>
          </w:tcPr>
          <w:p w14:paraId="0C5EA812" w14:textId="77777777" w:rsidR="005E126D" w:rsidRPr="00710C30" w:rsidRDefault="005E126D" w:rsidP="006A0512">
            <w:pPr>
              <w:jc w:val="center"/>
              <w:rPr>
                <w:rFonts w:asciiTheme="majorHAnsi" w:hAnsiTheme="majorHAnsi"/>
                <w:b/>
                <w:sz w:val="18"/>
              </w:rPr>
            </w:pPr>
          </w:p>
        </w:tc>
      </w:tr>
      <w:tr w:rsidR="005E126D" w:rsidRPr="00710C30" w14:paraId="0841D79D" w14:textId="77777777" w:rsidTr="006A0512">
        <w:trPr>
          <w:gridAfter w:val="1"/>
          <w:wAfter w:w="43" w:type="dxa"/>
          <w:cantSplit/>
          <w:trHeight w:hRule="exact" w:val="567"/>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292640FF"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lastRenderedPageBreak/>
              <w:t>[Calcineurin inhibitor] trough</w:t>
            </w:r>
          </w:p>
        </w:tc>
        <w:tc>
          <w:tcPr>
            <w:tcW w:w="1459" w:type="dxa"/>
            <w:tcBorders>
              <w:top w:val="single" w:sz="4" w:space="0" w:color="auto"/>
              <w:left w:val="single" w:sz="4" w:space="0" w:color="auto"/>
              <w:bottom w:val="single" w:sz="4" w:space="0" w:color="auto"/>
              <w:right w:val="single" w:sz="4" w:space="0" w:color="auto"/>
            </w:tcBorders>
            <w:vAlign w:val="center"/>
          </w:tcPr>
          <w:p w14:paraId="3B984BE8"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5CA4D1E1"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footnoteReference w:id="35"/>
            </w:r>
          </w:p>
        </w:tc>
        <w:tc>
          <w:tcPr>
            <w:tcW w:w="851" w:type="dxa"/>
            <w:tcBorders>
              <w:top w:val="single" w:sz="4" w:space="0" w:color="auto"/>
              <w:left w:val="single" w:sz="4" w:space="0" w:color="auto"/>
              <w:bottom w:val="single" w:sz="4" w:space="0" w:color="auto"/>
              <w:right w:val="single" w:sz="4" w:space="0" w:color="auto"/>
            </w:tcBorders>
            <w:vAlign w:val="center"/>
          </w:tcPr>
          <w:p w14:paraId="3A149355"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4265019D"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37FBC6CB"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51061CA8"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72863ABC"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2288391B"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5F038F8F"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26A7371E"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7FA4F63"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953" w:type="dxa"/>
            <w:tcBorders>
              <w:top w:val="single" w:sz="4" w:space="0" w:color="auto"/>
              <w:left w:val="single" w:sz="4" w:space="0" w:color="auto"/>
              <w:bottom w:val="single" w:sz="4" w:space="0" w:color="auto"/>
              <w:right w:val="single" w:sz="4" w:space="0" w:color="auto"/>
            </w:tcBorders>
            <w:vAlign w:val="center"/>
          </w:tcPr>
          <w:p w14:paraId="58C492D5" w14:textId="77777777" w:rsidR="005E126D" w:rsidRPr="00710C30" w:rsidRDefault="005E126D" w:rsidP="006A0512">
            <w:pPr>
              <w:jc w:val="center"/>
              <w:rPr>
                <w:rFonts w:asciiTheme="majorHAnsi" w:hAnsiTheme="majorHAnsi"/>
                <w:b/>
                <w:sz w:val="18"/>
              </w:rPr>
            </w:pPr>
          </w:p>
        </w:tc>
      </w:tr>
      <w:tr w:rsidR="005E126D" w:rsidRPr="00710C30" w14:paraId="388387D9" w14:textId="77777777" w:rsidTr="006A0512">
        <w:trPr>
          <w:cantSplit/>
          <w:trHeight w:hRule="exact" w:val="567"/>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60F95A88"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Total immunoglobulin</w:t>
            </w:r>
          </w:p>
          <w:p w14:paraId="5912EB98"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(or IgG, IgM +/- IgA)</w:t>
            </w:r>
          </w:p>
        </w:tc>
        <w:tc>
          <w:tcPr>
            <w:tcW w:w="1459" w:type="dxa"/>
            <w:tcBorders>
              <w:top w:val="single" w:sz="4" w:space="0" w:color="auto"/>
              <w:left w:val="single" w:sz="4" w:space="0" w:color="auto"/>
              <w:bottom w:val="single" w:sz="4" w:space="0" w:color="auto"/>
              <w:right w:val="single" w:sz="4" w:space="0" w:color="auto"/>
            </w:tcBorders>
            <w:vAlign w:val="center"/>
          </w:tcPr>
          <w:p w14:paraId="45E51E67"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01CC3CC0"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343315F"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3C9D605"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1243364"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4D4584C"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14C34B4"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38E8FBE"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F2D4842"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373A0849" w14:textId="77777777" w:rsidR="005E126D" w:rsidRPr="00710C30" w:rsidRDefault="005E126D" w:rsidP="006A0512">
            <w:pPr>
              <w:jc w:val="center"/>
              <w:rPr>
                <w:rFonts w:asciiTheme="majorHAnsi" w:hAnsiTheme="majorHAnsi"/>
                <w:sz w:val="18"/>
              </w:rPr>
            </w:pP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485C992F"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236D708D" w14:textId="77777777" w:rsidR="005E126D" w:rsidRPr="00710C30" w:rsidRDefault="005E126D" w:rsidP="006A0512">
            <w:pPr>
              <w:jc w:val="center"/>
              <w:rPr>
                <w:rFonts w:asciiTheme="majorHAnsi" w:hAnsiTheme="majorHAnsi"/>
                <w:sz w:val="18"/>
              </w:rPr>
            </w:pPr>
          </w:p>
        </w:tc>
      </w:tr>
      <w:tr w:rsidR="005E126D" w:rsidRPr="00710C30" w14:paraId="5ACE3549" w14:textId="77777777" w:rsidTr="006A0512">
        <w:trPr>
          <w:cantSplit/>
          <w:trHeight w:hRule="exact" w:val="567"/>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28FF5345"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HLA antibody screening</w:t>
            </w:r>
          </w:p>
        </w:tc>
        <w:tc>
          <w:tcPr>
            <w:tcW w:w="1459" w:type="dxa"/>
            <w:tcBorders>
              <w:top w:val="single" w:sz="4" w:space="0" w:color="auto"/>
              <w:left w:val="single" w:sz="4" w:space="0" w:color="auto"/>
              <w:bottom w:val="single" w:sz="4" w:space="0" w:color="auto"/>
              <w:right w:val="single" w:sz="4" w:space="0" w:color="auto"/>
            </w:tcBorders>
            <w:vAlign w:val="center"/>
          </w:tcPr>
          <w:p w14:paraId="662A43D3"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footnoteReference w:id="36"/>
            </w:r>
          </w:p>
        </w:tc>
        <w:tc>
          <w:tcPr>
            <w:tcW w:w="851" w:type="dxa"/>
            <w:tcBorders>
              <w:top w:val="single" w:sz="4" w:space="0" w:color="auto"/>
              <w:left w:val="single" w:sz="4" w:space="0" w:color="auto"/>
              <w:bottom w:val="single" w:sz="4" w:space="0" w:color="auto"/>
              <w:right w:val="single" w:sz="4" w:space="0" w:color="auto"/>
            </w:tcBorders>
            <w:vAlign w:val="center"/>
          </w:tcPr>
          <w:p w14:paraId="7E78D39C"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C5AFF54"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A023CDD"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2E5D428"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608F59F"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C3AE9A"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E0E1B9E"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t>12</w:t>
            </w:r>
          </w:p>
        </w:tc>
        <w:tc>
          <w:tcPr>
            <w:tcW w:w="851" w:type="dxa"/>
            <w:tcBorders>
              <w:top w:val="single" w:sz="4" w:space="0" w:color="auto"/>
              <w:left w:val="single" w:sz="4" w:space="0" w:color="auto"/>
              <w:bottom w:val="single" w:sz="4" w:space="0" w:color="auto"/>
              <w:right w:val="single" w:sz="4" w:space="0" w:color="auto"/>
            </w:tcBorders>
            <w:vAlign w:val="center"/>
          </w:tcPr>
          <w:p w14:paraId="5E4655C9"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t>12</w:t>
            </w:r>
          </w:p>
        </w:tc>
        <w:tc>
          <w:tcPr>
            <w:tcW w:w="851" w:type="dxa"/>
            <w:tcBorders>
              <w:top w:val="single" w:sz="4" w:space="0" w:color="auto"/>
              <w:left w:val="single" w:sz="4" w:space="0" w:color="auto"/>
              <w:bottom w:val="single" w:sz="4" w:space="0" w:color="auto"/>
              <w:right w:val="single" w:sz="4" w:space="0" w:color="auto"/>
            </w:tcBorders>
            <w:vAlign w:val="center"/>
          </w:tcPr>
          <w:p w14:paraId="4B55F49C"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t>12</w:t>
            </w: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3B95D06D"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t>12</w:t>
            </w: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7D69B192" w14:textId="77777777" w:rsidR="005E126D" w:rsidRPr="00710C30" w:rsidRDefault="005E126D" w:rsidP="006A0512">
            <w:pPr>
              <w:jc w:val="center"/>
              <w:rPr>
                <w:rFonts w:asciiTheme="majorHAnsi" w:hAnsiTheme="majorHAnsi"/>
                <w:sz w:val="18"/>
              </w:rPr>
            </w:pPr>
          </w:p>
        </w:tc>
      </w:tr>
      <w:tr w:rsidR="005E126D" w:rsidRPr="00710C30" w14:paraId="4CAB5867" w14:textId="77777777" w:rsidTr="006A0512">
        <w:trPr>
          <w:cantSplit/>
          <w:trHeight w:hRule="exact" w:val="567"/>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33DF061D"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Samples for scientific analysis</w:t>
            </w:r>
          </w:p>
        </w:tc>
        <w:tc>
          <w:tcPr>
            <w:tcW w:w="1459" w:type="dxa"/>
            <w:tcBorders>
              <w:top w:val="single" w:sz="4" w:space="0" w:color="auto"/>
              <w:left w:val="single" w:sz="4" w:space="0" w:color="auto"/>
              <w:bottom w:val="single" w:sz="4" w:space="0" w:color="auto"/>
              <w:right w:val="single" w:sz="4" w:space="0" w:color="auto"/>
            </w:tcBorders>
            <w:vAlign w:val="center"/>
          </w:tcPr>
          <w:p w14:paraId="0DFA6326"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footnoteReference w:id="37"/>
            </w:r>
          </w:p>
        </w:tc>
        <w:tc>
          <w:tcPr>
            <w:tcW w:w="851" w:type="dxa"/>
            <w:tcBorders>
              <w:top w:val="single" w:sz="4" w:space="0" w:color="auto"/>
              <w:left w:val="single" w:sz="4" w:space="0" w:color="auto"/>
              <w:bottom w:val="single" w:sz="4" w:space="0" w:color="auto"/>
              <w:right w:val="single" w:sz="4" w:space="0" w:color="auto"/>
            </w:tcBorders>
            <w:vAlign w:val="center"/>
          </w:tcPr>
          <w:p w14:paraId="59BA6FC3"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05E6634"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083B4FB"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7C2BDB9"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4F5596C"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3743769"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C7E934F"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t>13</w:t>
            </w:r>
          </w:p>
        </w:tc>
        <w:tc>
          <w:tcPr>
            <w:tcW w:w="851" w:type="dxa"/>
            <w:tcBorders>
              <w:top w:val="single" w:sz="4" w:space="0" w:color="auto"/>
              <w:left w:val="single" w:sz="4" w:space="0" w:color="auto"/>
              <w:bottom w:val="single" w:sz="4" w:space="0" w:color="auto"/>
              <w:right w:val="single" w:sz="4" w:space="0" w:color="auto"/>
            </w:tcBorders>
            <w:vAlign w:val="center"/>
          </w:tcPr>
          <w:p w14:paraId="0EE60137"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t>13</w:t>
            </w:r>
          </w:p>
        </w:tc>
        <w:tc>
          <w:tcPr>
            <w:tcW w:w="851" w:type="dxa"/>
            <w:tcBorders>
              <w:top w:val="single" w:sz="4" w:space="0" w:color="auto"/>
              <w:left w:val="single" w:sz="4" w:space="0" w:color="auto"/>
              <w:bottom w:val="single" w:sz="4" w:space="0" w:color="auto"/>
              <w:right w:val="single" w:sz="4" w:space="0" w:color="auto"/>
            </w:tcBorders>
            <w:vAlign w:val="center"/>
          </w:tcPr>
          <w:p w14:paraId="28C94158"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t>13</w:t>
            </w: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4BDCA6CF"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r w:rsidRPr="00710C30">
              <w:rPr>
                <w:rFonts w:asciiTheme="majorHAnsi" w:hAnsiTheme="majorHAnsi"/>
                <w:sz w:val="18"/>
                <w:vertAlign w:val="superscript"/>
              </w:rPr>
              <w:t>13</w:t>
            </w: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6AF824DE" w14:textId="77777777" w:rsidR="005E126D" w:rsidRPr="00710C30" w:rsidRDefault="005E126D" w:rsidP="006A0512">
            <w:pPr>
              <w:jc w:val="center"/>
              <w:rPr>
                <w:rFonts w:asciiTheme="majorHAnsi" w:hAnsiTheme="majorHAnsi"/>
                <w:sz w:val="18"/>
              </w:rPr>
            </w:pPr>
          </w:p>
        </w:tc>
      </w:tr>
      <w:tr w:rsidR="005E126D" w:rsidRPr="00710C30" w14:paraId="502A7628" w14:textId="77777777" w:rsidTr="006A0512">
        <w:trPr>
          <w:cantSplit/>
          <w:trHeight w:hRule="exact" w:val="567"/>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646B35B7" w14:textId="77777777" w:rsidR="005E126D" w:rsidRPr="00710C30" w:rsidRDefault="005E126D" w:rsidP="006A0512">
            <w:pPr>
              <w:jc w:val="center"/>
              <w:rPr>
                <w:rFonts w:asciiTheme="majorHAnsi" w:hAnsiTheme="majorHAnsi"/>
                <w:sz w:val="18"/>
                <w:vertAlign w:val="superscript"/>
              </w:rPr>
            </w:pPr>
            <w:r w:rsidRPr="00710C30">
              <w:rPr>
                <w:rFonts w:asciiTheme="majorHAnsi" w:hAnsiTheme="majorHAnsi"/>
                <w:sz w:val="18"/>
              </w:rPr>
              <w:t>Apply optimized treatment protocol</w:t>
            </w:r>
            <w:r w:rsidRPr="00710C30">
              <w:rPr>
                <w:rStyle w:val="FootnoteReference"/>
                <w:rFonts w:asciiTheme="majorHAnsi" w:hAnsiTheme="majorHAnsi"/>
                <w:sz w:val="18"/>
              </w:rPr>
              <w:footnoteReference w:id="38"/>
            </w:r>
          </w:p>
        </w:tc>
        <w:tc>
          <w:tcPr>
            <w:tcW w:w="1459" w:type="dxa"/>
            <w:tcBorders>
              <w:top w:val="single" w:sz="4" w:space="0" w:color="auto"/>
              <w:left w:val="single" w:sz="4" w:space="0" w:color="auto"/>
              <w:bottom w:val="single" w:sz="4" w:space="0" w:color="auto"/>
              <w:right w:val="single" w:sz="4" w:space="0" w:color="auto"/>
            </w:tcBorders>
            <w:vAlign w:val="center"/>
          </w:tcPr>
          <w:p w14:paraId="7FF8A690"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11AD089"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7CBED2BC"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3FA774A1"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16320CF2"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19276C32"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186E6A32"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5EECC433"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C2FAFAB"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C73167B" w14:textId="77777777" w:rsidR="005E126D" w:rsidRPr="00710C30" w:rsidRDefault="005E126D" w:rsidP="006A0512">
            <w:pPr>
              <w:jc w:val="center"/>
              <w:rPr>
                <w:rFonts w:asciiTheme="majorHAnsi" w:hAnsiTheme="majorHAnsi"/>
                <w:sz w:val="18"/>
              </w:rPr>
            </w:pP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36321A9E" w14:textId="77777777" w:rsidR="005E126D" w:rsidRPr="00710C30" w:rsidRDefault="005E126D" w:rsidP="006A0512">
            <w:pPr>
              <w:jc w:val="center"/>
              <w:rPr>
                <w:rFonts w:asciiTheme="majorHAnsi" w:hAnsiTheme="majorHAnsi"/>
                <w:sz w:val="18"/>
              </w:rPr>
            </w:pP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3B33E023" w14:textId="77777777" w:rsidR="005E126D" w:rsidRPr="00710C30" w:rsidRDefault="005E126D" w:rsidP="006A0512">
            <w:pPr>
              <w:jc w:val="center"/>
              <w:rPr>
                <w:rFonts w:asciiTheme="majorHAnsi" w:hAnsiTheme="majorHAnsi"/>
                <w:sz w:val="18"/>
              </w:rPr>
            </w:pPr>
          </w:p>
        </w:tc>
      </w:tr>
      <w:tr w:rsidR="005E126D" w:rsidRPr="00710C30" w14:paraId="29CC0BF2" w14:textId="77777777" w:rsidTr="006A0512">
        <w:trPr>
          <w:cantSplit/>
          <w:trHeight w:hRule="exact" w:val="397"/>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0803B566"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See Trial-specific Nurse</w:t>
            </w:r>
          </w:p>
        </w:tc>
        <w:tc>
          <w:tcPr>
            <w:tcW w:w="1459" w:type="dxa"/>
            <w:tcBorders>
              <w:top w:val="single" w:sz="4" w:space="0" w:color="auto"/>
              <w:left w:val="single" w:sz="4" w:space="0" w:color="auto"/>
              <w:bottom w:val="single" w:sz="4" w:space="0" w:color="auto"/>
              <w:right w:val="single" w:sz="4" w:space="0" w:color="auto"/>
            </w:tcBorders>
            <w:vAlign w:val="center"/>
          </w:tcPr>
          <w:p w14:paraId="1152CDDE"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30B07FE3"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E26F0D1"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6F17B76"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91A2951"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BB00542"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AC67FFB"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C289334"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4BA4159F"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70DE4588"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1A1E6B45"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1C05E918" w14:textId="77777777" w:rsidR="005E126D" w:rsidRPr="00710C30" w:rsidRDefault="005E126D" w:rsidP="006A0512">
            <w:pPr>
              <w:jc w:val="center"/>
              <w:rPr>
                <w:rFonts w:asciiTheme="majorHAnsi" w:hAnsiTheme="majorHAnsi"/>
                <w:sz w:val="18"/>
              </w:rPr>
            </w:pPr>
          </w:p>
        </w:tc>
      </w:tr>
      <w:tr w:rsidR="005E126D" w:rsidRPr="00710C30" w14:paraId="20E7BB7F" w14:textId="77777777" w:rsidTr="006A0512">
        <w:trPr>
          <w:cantSplit/>
          <w:trHeight w:hRule="exact" w:val="567"/>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13F30EAB"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Record Medications</w:t>
            </w:r>
          </w:p>
        </w:tc>
        <w:tc>
          <w:tcPr>
            <w:tcW w:w="1459" w:type="dxa"/>
            <w:tcBorders>
              <w:top w:val="single" w:sz="4" w:space="0" w:color="auto"/>
              <w:left w:val="single" w:sz="4" w:space="0" w:color="auto"/>
              <w:bottom w:val="single" w:sz="4" w:space="0" w:color="auto"/>
              <w:right w:val="single" w:sz="4" w:space="0" w:color="auto"/>
            </w:tcBorders>
            <w:vAlign w:val="center"/>
          </w:tcPr>
          <w:p w14:paraId="6E868219"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3939D9F7"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B6BAD52"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CE525C3"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9729"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241DA56"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361D1EF"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ABF9C9C"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33E7F4E6"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64AAE86E"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0BA3ABBD"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21003B18" w14:textId="77777777" w:rsidR="005E126D" w:rsidRPr="00710C30" w:rsidRDefault="005E126D" w:rsidP="006A0512">
            <w:pPr>
              <w:jc w:val="center"/>
              <w:rPr>
                <w:rFonts w:asciiTheme="majorHAnsi" w:hAnsiTheme="majorHAnsi"/>
                <w:sz w:val="18"/>
              </w:rPr>
            </w:pPr>
          </w:p>
        </w:tc>
      </w:tr>
      <w:tr w:rsidR="005E126D" w:rsidRPr="00710C30" w14:paraId="7BB97FB1" w14:textId="77777777" w:rsidTr="006A0512">
        <w:trPr>
          <w:cantSplit/>
          <w:trHeight w:hRule="exact" w:val="436"/>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7510BE51"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Adverse Events Form</w:t>
            </w:r>
          </w:p>
        </w:tc>
        <w:tc>
          <w:tcPr>
            <w:tcW w:w="1459" w:type="dxa"/>
            <w:tcBorders>
              <w:top w:val="single" w:sz="4" w:space="0" w:color="auto"/>
              <w:left w:val="single" w:sz="4" w:space="0" w:color="auto"/>
              <w:bottom w:val="single" w:sz="4" w:space="0" w:color="auto"/>
              <w:right w:val="single" w:sz="4" w:space="0" w:color="auto"/>
            </w:tcBorders>
            <w:vAlign w:val="center"/>
          </w:tcPr>
          <w:p w14:paraId="1E6218B2"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45A3477"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039B7DDE"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7F386FCE"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332640F3"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5D9681B8"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71FB48B5"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502131ED"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248539C6"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26063141"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569C59A9"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47289A6F" w14:textId="77777777" w:rsidR="005E126D" w:rsidRPr="00710C30" w:rsidRDefault="005E126D" w:rsidP="006A0512">
            <w:pPr>
              <w:jc w:val="center"/>
              <w:rPr>
                <w:rFonts w:asciiTheme="majorHAnsi" w:hAnsiTheme="majorHAnsi"/>
                <w:sz w:val="18"/>
              </w:rPr>
            </w:pPr>
          </w:p>
        </w:tc>
      </w:tr>
      <w:tr w:rsidR="005E126D" w:rsidRPr="00710C30" w14:paraId="039D3697" w14:textId="77777777" w:rsidTr="006A0512">
        <w:trPr>
          <w:cantSplit/>
          <w:trHeight w:hRule="exact" w:val="572"/>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1664B4AC"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Questionnaire for analysis of adherence / risk</w:t>
            </w:r>
          </w:p>
        </w:tc>
        <w:tc>
          <w:tcPr>
            <w:tcW w:w="1459" w:type="dxa"/>
            <w:tcBorders>
              <w:top w:val="single" w:sz="4" w:space="0" w:color="auto"/>
              <w:left w:val="single" w:sz="4" w:space="0" w:color="auto"/>
              <w:bottom w:val="single" w:sz="4" w:space="0" w:color="auto"/>
              <w:right w:val="single" w:sz="4" w:space="0" w:color="auto"/>
            </w:tcBorders>
            <w:vAlign w:val="center"/>
          </w:tcPr>
          <w:p w14:paraId="3073D844"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673C81DE"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4F0156"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CF2F1FE"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F3A8E7E"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4793CDC"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A208987"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48F66E"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322B380"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54D11A9"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38AB6A45" w14:textId="77777777" w:rsidR="005E126D" w:rsidRPr="00710C30" w:rsidRDefault="005E126D" w:rsidP="006A0512">
            <w:pPr>
              <w:jc w:val="center"/>
              <w:rPr>
                <w:rFonts w:asciiTheme="majorHAnsi" w:hAnsiTheme="majorHAnsi"/>
                <w:sz w:val="18"/>
              </w:rPr>
            </w:pP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2318A5CC" w14:textId="77777777" w:rsidR="005E126D" w:rsidRPr="00710C30" w:rsidRDefault="005E126D" w:rsidP="006A0512">
            <w:pPr>
              <w:jc w:val="center"/>
              <w:rPr>
                <w:rFonts w:asciiTheme="majorHAnsi" w:hAnsiTheme="majorHAnsi"/>
                <w:sz w:val="18"/>
              </w:rPr>
            </w:pPr>
          </w:p>
        </w:tc>
      </w:tr>
      <w:tr w:rsidR="005E126D" w:rsidRPr="00710C30" w14:paraId="214CC7C1" w14:textId="77777777" w:rsidTr="006A0512">
        <w:trPr>
          <w:cantSplit/>
          <w:trHeight w:hRule="exact" w:val="438"/>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4143EA2A"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Questionnaire for health economics</w:t>
            </w:r>
          </w:p>
        </w:tc>
        <w:tc>
          <w:tcPr>
            <w:tcW w:w="1459" w:type="dxa"/>
            <w:tcBorders>
              <w:top w:val="single" w:sz="4" w:space="0" w:color="auto"/>
              <w:left w:val="single" w:sz="4" w:space="0" w:color="auto"/>
              <w:bottom w:val="single" w:sz="4" w:space="0" w:color="auto"/>
              <w:right w:val="single" w:sz="4" w:space="0" w:color="auto"/>
            </w:tcBorders>
            <w:vAlign w:val="center"/>
          </w:tcPr>
          <w:p w14:paraId="657B26A5"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40867C88"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264392A"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9F1A5DF"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6753CE6"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AAE08B6"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1912110"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7AE0881"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A88FE5A"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64929E8E" w14:textId="77777777" w:rsidR="005E126D" w:rsidRPr="00710C30" w:rsidRDefault="005E126D" w:rsidP="006A0512">
            <w:pPr>
              <w:jc w:val="center"/>
              <w:rPr>
                <w:rFonts w:asciiTheme="majorHAnsi" w:hAnsiTheme="majorHAnsi"/>
                <w:sz w:val="18"/>
              </w:rPr>
            </w:pP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67D9A1F3" w14:textId="77777777" w:rsidR="005E126D" w:rsidRPr="00710C30" w:rsidRDefault="005E126D" w:rsidP="006A0512">
            <w:pPr>
              <w:jc w:val="center"/>
              <w:rPr>
                <w:rFonts w:asciiTheme="majorHAnsi" w:hAnsiTheme="majorHAnsi"/>
                <w:sz w:val="18"/>
              </w:rPr>
            </w:pP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2326C47D" w14:textId="77777777" w:rsidR="005E126D" w:rsidRPr="00710C30" w:rsidRDefault="005E126D" w:rsidP="006A0512">
            <w:pPr>
              <w:jc w:val="center"/>
              <w:rPr>
                <w:rFonts w:asciiTheme="majorHAnsi" w:hAnsiTheme="majorHAnsi"/>
                <w:sz w:val="18"/>
              </w:rPr>
            </w:pPr>
          </w:p>
        </w:tc>
      </w:tr>
      <w:tr w:rsidR="005E126D" w:rsidRPr="00710C30" w14:paraId="3AEC2757" w14:textId="77777777" w:rsidTr="006A0512">
        <w:trPr>
          <w:cantSplit/>
          <w:trHeight w:hRule="exact" w:val="558"/>
          <w:jc w:val="center"/>
        </w:trPr>
        <w:tc>
          <w:tcPr>
            <w:tcW w:w="2434" w:type="dxa"/>
            <w:tcBorders>
              <w:top w:val="single" w:sz="4" w:space="0" w:color="auto"/>
              <w:left w:val="single" w:sz="4" w:space="0" w:color="auto"/>
              <w:bottom w:val="single" w:sz="4" w:space="0" w:color="auto"/>
              <w:right w:val="single" w:sz="4" w:space="0" w:color="auto"/>
            </w:tcBorders>
            <w:shd w:val="clear" w:color="auto" w:fill="E0E0E0"/>
            <w:vAlign w:val="center"/>
          </w:tcPr>
          <w:p w14:paraId="1997F083"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Primary Endpoint</w:t>
            </w:r>
          </w:p>
          <w:p w14:paraId="74F28A4F"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(remote data collection)</w:t>
            </w:r>
          </w:p>
        </w:tc>
        <w:tc>
          <w:tcPr>
            <w:tcW w:w="1459" w:type="dxa"/>
            <w:tcBorders>
              <w:top w:val="single" w:sz="4" w:space="0" w:color="auto"/>
              <w:left w:val="single" w:sz="4" w:space="0" w:color="auto"/>
              <w:bottom w:val="single" w:sz="4" w:space="0" w:color="auto"/>
              <w:right w:val="single" w:sz="4" w:space="0" w:color="auto"/>
            </w:tcBorders>
            <w:vAlign w:val="center"/>
          </w:tcPr>
          <w:p w14:paraId="17B0E5CC"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86C8891"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6C00B1F"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077AC8E"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A23AD02"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5B1155E"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58DA9B8"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6B4A0E8"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A8DAC6F" w14:textId="77777777" w:rsidR="005E126D" w:rsidRPr="00710C30" w:rsidRDefault="005E126D" w:rsidP="006A0512">
            <w:pPr>
              <w:jc w:val="center"/>
              <w:rPr>
                <w:rFonts w:asciiTheme="majorHAnsi" w:hAnsiTheme="majorHAnsi"/>
                <w:sz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81D1B75" w14:textId="77777777" w:rsidR="005E126D" w:rsidRPr="00710C30" w:rsidRDefault="005E126D" w:rsidP="006A0512">
            <w:pPr>
              <w:jc w:val="center"/>
              <w:rPr>
                <w:rFonts w:asciiTheme="majorHAnsi" w:hAnsiTheme="majorHAnsi"/>
                <w:sz w:val="18"/>
              </w:rPr>
            </w:pP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7FB3182A" w14:textId="77777777" w:rsidR="005E126D" w:rsidRPr="00710C30" w:rsidRDefault="005E126D" w:rsidP="006A0512">
            <w:pPr>
              <w:jc w:val="center"/>
              <w:rPr>
                <w:rFonts w:asciiTheme="majorHAnsi" w:hAnsiTheme="majorHAnsi"/>
                <w:sz w:val="18"/>
              </w:rPr>
            </w:pP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14B2FA19" w14:textId="77777777" w:rsidR="005E126D" w:rsidRPr="00710C30" w:rsidRDefault="005E126D" w:rsidP="006A0512">
            <w:pPr>
              <w:jc w:val="center"/>
              <w:rPr>
                <w:rFonts w:asciiTheme="majorHAnsi" w:hAnsiTheme="majorHAnsi"/>
                <w:sz w:val="18"/>
              </w:rPr>
            </w:pPr>
          </w:p>
          <w:p w14:paraId="313147DB" w14:textId="77777777" w:rsidR="005E126D" w:rsidRPr="00710C30" w:rsidRDefault="005E126D" w:rsidP="006A0512">
            <w:pPr>
              <w:jc w:val="center"/>
              <w:rPr>
                <w:rFonts w:asciiTheme="majorHAnsi" w:hAnsiTheme="majorHAnsi"/>
                <w:sz w:val="18"/>
              </w:rPr>
            </w:pPr>
          </w:p>
          <w:p w14:paraId="4A9E6DEE" w14:textId="77777777" w:rsidR="005E126D" w:rsidRPr="00710C30" w:rsidRDefault="005E126D" w:rsidP="006A0512">
            <w:pPr>
              <w:jc w:val="center"/>
              <w:rPr>
                <w:rFonts w:asciiTheme="majorHAnsi" w:hAnsiTheme="majorHAnsi"/>
                <w:sz w:val="18"/>
              </w:rPr>
            </w:pPr>
            <w:r w:rsidRPr="00710C30">
              <w:rPr>
                <w:rFonts w:asciiTheme="majorHAnsi" w:hAnsiTheme="majorHAnsi"/>
                <w:sz w:val="18"/>
              </w:rPr>
              <w:t>x</w:t>
            </w:r>
          </w:p>
        </w:tc>
      </w:tr>
    </w:tbl>
    <w:p w14:paraId="10AE1351" w14:textId="77777777" w:rsidR="005E126D" w:rsidRPr="00710C30" w:rsidRDefault="005E126D" w:rsidP="005E126D">
      <w:pPr>
        <w:widowControl w:val="0"/>
        <w:autoSpaceDE w:val="0"/>
        <w:autoSpaceDN w:val="0"/>
        <w:adjustRightInd w:val="0"/>
        <w:spacing w:after="240"/>
        <w:jc w:val="both"/>
        <w:rPr>
          <w:rFonts w:asciiTheme="majorHAnsi" w:hAnsiTheme="majorHAnsi" w:cs="Times"/>
          <w:sz w:val="26"/>
          <w:szCs w:val="26"/>
        </w:rPr>
      </w:pPr>
    </w:p>
    <w:p w14:paraId="0127D4AF" w14:textId="77777777" w:rsidR="005E126D" w:rsidRPr="00710C30" w:rsidRDefault="005E126D" w:rsidP="005E126D">
      <w:pPr>
        <w:widowControl w:val="0"/>
        <w:autoSpaceDE w:val="0"/>
        <w:autoSpaceDN w:val="0"/>
        <w:adjustRightInd w:val="0"/>
        <w:spacing w:after="240"/>
        <w:jc w:val="both"/>
        <w:rPr>
          <w:rFonts w:asciiTheme="majorHAnsi" w:hAnsiTheme="majorHAnsi" w:cs="Times"/>
          <w:sz w:val="26"/>
          <w:szCs w:val="26"/>
        </w:rPr>
      </w:pPr>
    </w:p>
    <w:p w14:paraId="7016F146" w14:textId="77777777" w:rsidR="005E126D" w:rsidRPr="00710C30" w:rsidRDefault="005E126D" w:rsidP="005E126D">
      <w:pPr>
        <w:tabs>
          <w:tab w:val="left" w:pos="937"/>
        </w:tabs>
        <w:rPr>
          <w:rFonts w:asciiTheme="majorHAnsi" w:hAnsiTheme="majorHAnsi" w:cs="Times"/>
          <w:sz w:val="26"/>
          <w:szCs w:val="26"/>
        </w:rPr>
        <w:sectPr w:rsidR="005E126D" w:rsidRPr="00710C30" w:rsidSect="00BF28E4">
          <w:pgSz w:w="15840" w:h="12240" w:orient="landscape"/>
          <w:pgMar w:top="1800" w:right="1440" w:bottom="1800" w:left="1440" w:header="720" w:footer="720" w:gutter="0"/>
          <w:cols w:space="720"/>
          <w:noEndnote/>
          <w:docGrid w:linePitch="326"/>
        </w:sectPr>
      </w:pPr>
    </w:p>
    <w:p w14:paraId="3B32F102" w14:textId="77777777" w:rsidR="005E126D" w:rsidRPr="00710C30" w:rsidRDefault="005E126D" w:rsidP="005E126D">
      <w:pPr>
        <w:widowControl w:val="0"/>
        <w:autoSpaceDE w:val="0"/>
        <w:autoSpaceDN w:val="0"/>
        <w:adjustRightInd w:val="0"/>
        <w:spacing w:after="240"/>
        <w:jc w:val="both"/>
        <w:rPr>
          <w:rFonts w:asciiTheme="majorHAnsi" w:hAnsiTheme="majorHAnsi" w:cs="Times"/>
        </w:rPr>
      </w:pPr>
    </w:p>
    <w:p w14:paraId="2C54B25E" w14:textId="77777777" w:rsidR="005E126D" w:rsidRPr="00710C30" w:rsidRDefault="005E126D" w:rsidP="005E126D">
      <w:pPr>
        <w:pStyle w:val="Heading1"/>
      </w:pPr>
      <w:bookmarkStart w:id="224" w:name="_Toc531177008"/>
      <w:bookmarkStart w:id="225" w:name="_Toc121909812"/>
      <w:r w:rsidRPr="00710C30">
        <w:t>D) Reference list</w:t>
      </w:r>
      <w:bookmarkEnd w:id="224"/>
      <w:bookmarkEnd w:id="225"/>
    </w:p>
    <w:p w14:paraId="484B956B" w14:textId="77777777" w:rsidR="005E126D" w:rsidRPr="00710C30" w:rsidRDefault="005E126D" w:rsidP="005E126D">
      <w:pPr>
        <w:widowControl w:val="0"/>
        <w:autoSpaceDE w:val="0"/>
        <w:autoSpaceDN w:val="0"/>
        <w:adjustRightInd w:val="0"/>
        <w:spacing w:after="240"/>
        <w:jc w:val="both"/>
        <w:rPr>
          <w:rFonts w:asciiTheme="majorHAnsi" w:hAnsiTheme="majorHAnsi" w:cs="Times"/>
        </w:rPr>
      </w:pPr>
      <w:r w:rsidRPr="00710C30">
        <w:rPr>
          <w:rFonts w:asciiTheme="majorHAnsi" w:hAnsiTheme="majorHAnsi" w:cs="Arial"/>
        </w:rPr>
        <w:t>(1) Moher D, Schulz KF, Altman DG. The CONSORT statement: revised recommendations for improving the quality of reports of parallel-group randomised trials. Lancet 2001 Apr 14;357(9263):1191-4.</w:t>
      </w:r>
    </w:p>
    <w:p w14:paraId="16AFF879" w14:textId="77777777" w:rsidR="005E126D" w:rsidRPr="00710C30" w:rsidRDefault="005E126D" w:rsidP="005E126D">
      <w:pPr>
        <w:widowControl w:val="0"/>
        <w:autoSpaceDE w:val="0"/>
        <w:autoSpaceDN w:val="0"/>
        <w:adjustRightInd w:val="0"/>
        <w:spacing w:after="240"/>
        <w:jc w:val="both"/>
        <w:rPr>
          <w:rFonts w:asciiTheme="majorHAnsi" w:hAnsiTheme="majorHAnsi" w:cs="Times"/>
        </w:rPr>
      </w:pPr>
      <w:r w:rsidRPr="00710C30">
        <w:rPr>
          <w:rFonts w:asciiTheme="majorHAnsi" w:hAnsiTheme="majorHAnsi" w:cs="Arial"/>
        </w:rPr>
        <w:t>(2) White IR, Thompson SG. Adjusting for partially missing baseline measurements in randomized trials. Stat Med 2005 Apr 15;24(7):993-1007.</w:t>
      </w:r>
    </w:p>
    <w:p w14:paraId="77DC022F" w14:textId="77777777" w:rsidR="005E126D" w:rsidRPr="00710C30" w:rsidRDefault="005E126D" w:rsidP="005E126D">
      <w:pPr>
        <w:pStyle w:val="Heading1"/>
        <w:numPr>
          <w:ilvl w:val="0"/>
          <w:numId w:val="46"/>
        </w:numPr>
        <w:tabs>
          <w:tab w:val="num" w:pos="720"/>
        </w:tabs>
        <w:ind w:left="426" w:hanging="426"/>
      </w:pPr>
      <w:bookmarkStart w:id="226" w:name="_Toc531177009"/>
      <w:bookmarkStart w:id="227" w:name="_Toc121909813"/>
      <w:r w:rsidRPr="00710C30">
        <w:t>Amendments to version 1.0</w:t>
      </w:r>
      <w:bookmarkEnd w:id="226"/>
      <w:bookmarkEnd w:id="227"/>
    </w:p>
    <w:p w14:paraId="4E4CC92C" w14:textId="77777777" w:rsidR="005E126D" w:rsidRPr="00710C30" w:rsidRDefault="005E126D" w:rsidP="005E126D">
      <w:pPr>
        <w:widowControl w:val="0"/>
        <w:autoSpaceDE w:val="0"/>
        <w:autoSpaceDN w:val="0"/>
        <w:adjustRightInd w:val="0"/>
        <w:spacing w:after="240"/>
        <w:jc w:val="both"/>
        <w:rPr>
          <w:rFonts w:asciiTheme="majorHAnsi" w:hAnsiTheme="majorHAnsi" w:cs="Arial"/>
        </w:rPr>
      </w:pPr>
      <w:r w:rsidRPr="00710C30">
        <w:rPr>
          <w:rFonts w:asciiTheme="majorHAnsi" w:hAnsiTheme="majorHAnsi" w:cs="Arial"/>
        </w:rPr>
        <w:t>Version 2.0:</w:t>
      </w:r>
    </w:p>
    <w:p w14:paraId="72CE7FD0" w14:textId="77777777" w:rsidR="005E126D" w:rsidRPr="00710C30" w:rsidRDefault="005E126D" w:rsidP="005E126D">
      <w:pPr>
        <w:widowControl w:val="0"/>
        <w:autoSpaceDE w:val="0"/>
        <w:autoSpaceDN w:val="0"/>
        <w:adjustRightInd w:val="0"/>
        <w:spacing w:after="240"/>
        <w:jc w:val="both"/>
        <w:rPr>
          <w:rFonts w:asciiTheme="majorHAnsi" w:hAnsiTheme="majorHAnsi" w:cs="Arial"/>
        </w:rPr>
      </w:pPr>
      <w:r w:rsidRPr="00710C30">
        <w:rPr>
          <w:rFonts w:asciiTheme="majorHAnsi" w:hAnsiTheme="majorHAnsi" w:cs="Arial"/>
        </w:rPr>
        <w:t xml:space="preserve">Primary endpoint was changed from graft failure rates at 3 years to time to graft failure as per OUTSMART protocol V11 26_11_2015. Changes were made to this document throughout to reflect this; the sample size calculation was amended, and the primary analysis was changed to use a Cox proportional hazards model. Changes were also made to reflect the change as per the protocol of 8-monthly follow up visits instead of 4-monthly follow up visits. </w:t>
      </w:r>
    </w:p>
    <w:p w14:paraId="770A3ECD" w14:textId="77777777" w:rsidR="005E126D" w:rsidRPr="00710C30" w:rsidRDefault="005E126D" w:rsidP="005E126D">
      <w:pPr>
        <w:widowControl w:val="0"/>
        <w:autoSpaceDE w:val="0"/>
        <w:autoSpaceDN w:val="0"/>
        <w:adjustRightInd w:val="0"/>
        <w:spacing w:after="240"/>
        <w:jc w:val="both"/>
        <w:rPr>
          <w:rFonts w:asciiTheme="majorHAnsi" w:hAnsiTheme="majorHAnsi" w:cs="Arial"/>
        </w:rPr>
      </w:pPr>
      <w:r w:rsidRPr="00710C30">
        <w:rPr>
          <w:rFonts w:asciiTheme="majorHAnsi" w:hAnsiTheme="majorHAnsi" w:cs="Arial"/>
        </w:rPr>
        <w:t>Version 2.1:</w:t>
      </w:r>
    </w:p>
    <w:p w14:paraId="5F184292" w14:textId="77777777" w:rsidR="005E126D" w:rsidRPr="00710C30" w:rsidRDefault="005E126D" w:rsidP="005E126D">
      <w:pPr>
        <w:widowControl w:val="0"/>
        <w:autoSpaceDE w:val="0"/>
        <w:autoSpaceDN w:val="0"/>
        <w:adjustRightInd w:val="0"/>
        <w:spacing w:after="240"/>
        <w:jc w:val="both"/>
        <w:rPr>
          <w:rFonts w:asciiTheme="majorHAnsi" w:hAnsiTheme="majorHAnsi" w:cs="Arial"/>
        </w:rPr>
      </w:pPr>
      <w:r w:rsidRPr="00710C30">
        <w:rPr>
          <w:rFonts w:asciiTheme="majorHAnsi" w:hAnsiTheme="majorHAnsi" w:cs="Arial"/>
        </w:rPr>
        <w:t>Changes were made to the definition and analysis of the graft dysfunction secondary outcome. The exploratory analyses were clarified. Amendments were made to the Adherence and Risk assessment analyses. Minor changes to wording to bring in line with OUTSMART protocol.</w:t>
      </w:r>
    </w:p>
    <w:p w14:paraId="40BEBDDF" w14:textId="77777777" w:rsidR="005E126D" w:rsidRPr="00710C30" w:rsidRDefault="005E126D" w:rsidP="005E126D">
      <w:pPr>
        <w:widowControl w:val="0"/>
        <w:autoSpaceDE w:val="0"/>
        <w:autoSpaceDN w:val="0"/>
        <w:adjustRightInd w:val="0"/>
        <w:spacing w:after="240"/>
        <w:jc w:val="both"/>
        <w:rPr>
          <w:rFonts w:asciiTheme="majorHAnsi" w:hAnsiTheme="majorHAnsi" w:cs="Arial"/>
        </w:rPr>
      </w:pPr>
      <w:r w:rsidRPr="00710C30">
        <w:rPr>
          <w:rFonts w:asciiTheme="majorHAnsi" w:hAnsiTheme="majorHAnsi" w:cs="Arial"/>
        </w:rPr>
        <w:t>Version 2.2:</w:t>
      </w:r>
    </w:p>
    <w:p w14:paraId="7086DDE3" w14:textId="77777777" w:rsidR="005E126D" w:rsidRDefault="005E126D" w:rsidP="005E126D">
      <w:pPr>
        <w:widowControl w:val="0"/>
        <w:autoSpaceDE w:val="0"/>
        <w:autoSpaceDN w:val="0"/>
        <w:adjustRightInd w:val="0"/>
        <w:spacing w:after="240"/>
        <w:jc w:val="both"/>
        <w:rPr>
          <w:rFonts w:asciiTheme="majorHAnsi" w:hAnsiTheme="majorHAnsi" w:cs="Arial"/>
        </w:rPr>
      </w:pPr>
      <w:r w:rsidRPr="00710C30">
        <w:rPr>
          <w:rFonts w:asciiTheme="majorHAnsi" w:hAnsiTheme="majorHAnsi" w:cs="Arial"/>
        </w:rPr>
        <w:t>Clarified in some sections the three separate groups being analysed (HLA +ve DSA, HLA +ve NDSA and overall). Added more information on descriptives by HLA Status for participants who became HLA +ve through re-screening. Other minor changes to wording as per DMC comments.</w:t>
      </w:r>
    </w:p>
    <w:p w14:paraId="00FB516B" w14:textId="77777777" w:rsidR="005E126D" w:rsidRDefault="005E126D" w:rsidP="005E126D">
      <w:pPr>
        <w:widowControl w:val="0"/>
        <w:autoSpaceDE w:val="0"/>
        <w:autoSpaceDN w:val="0"/>
        <w:adjustRightInd w:val="0"/>
        <w:spacing w:after="240"/>
        <w:jc w:val="both"/>
        <w:rPr>
          <w:rFonts w:asciiTheme="majorHAnsi" w:hAnsiTheme="majorHAnsi" w:cs="Arial"/>
        </w:rPr>
      </w:pPr>
      <w:r>
        <w:rPr>
          <w:rFonts w:asciiTheme="majorHAnsi" w:hAnsiTheme="majorHAnsi" w:cs="Arial"/>
        </w:rPr>
        <w:t>Version 2.3:</w:t>
      </w:r>
    </w:p>
    <w:p w14:paraId="446F2467" w14:textId="77777777" w:rsidR="005E126D" w:rsidRPr="00710C30" w:rsidRDefault="005E126D" w:rsidP="005E126D">
      <w:pPr>
        <w:widowControl w:val="0"/>
        <w:autoSpaceDE w:val="0"/>
        <w:autoSpaceDN w:val="0"/>
        <w:adjustRightInd w:val="0"/>
        <w:spacing w:after="240"/>
        <w:jc w:val="both"/>
        <w:rPr>
          <w:rFonts w:asciiTheme="majorHAnsi" w:hAnsiTheme="majorHAnsi" w:cs="Arial"/>
        </w:rPr>
      </w:pPr>
      <w:r>
        <w:rPr>
          <w:rFonts w:asciiTheme="majorHAnsi" w:hAnsiTheme="majorHAnsi" w:cs="Arial"/>
        </w:rPr>
        <w:t>Amendments made to primary analysis following the COVID-19 pandemic; change to final data collection of the primary endpoint and addition of sensitivity analysis for later data collection.</w:t>
      </w:r>
    </w:p>
    <w:p w14:paraId="76D4558A" w14:textId="77777777" w:rsidR="005E126D" w:rsidRDefault="005E126D" w:rsidP="005E126D">
      <w:pPr>
        <w:widowControl w:val="0"/>
        <w:autoSpaceDE w:val="0"/>
        <w:autoSpaceDN w:val="0"/>
        <w:adjustRightInd w:val="0"/>
        <w:spacing w:after="240"/>
        <w:jc w:val="both"/>
        <w:rPr>
          <w:rFonts w:asciiTheme="majorHAnsi" w:hAnsiTheme="majorHAnsi" w:cs="Arial"/>
        </w:rPr>
      </w:pPr>
      <w:r>
        <w:rPr>
          <w:rFonts w:asciiTheme="majorHAnsi" w:hAnsiTheme="majorHAnsi" w:cs="Arial"/>
        </w:rPr>
        <w:t>Version 2.4:</w:t>
      </w:r>
    </w:p>
    <w:p w14:paraId="4AE2776F" w14:textId="77777777" w:rsidR="005E126D" w:rsidRDefault="005E126D" w:rsidP="005E126D">
      <w:pPr>
        <w:widowControl w:val="0"/>
        <w:autoSpaceDE w:val="0"/>
        <w:autoSpaceDN w:val="0"/>
        <w:adjustRightInd w:val="0"/>
        <w:spacing w:after="240"/>
        <w:jc w:val="both"/>
        <w:rPr>
          <w:rFonts w:asciiTheme="majorHAnsi" w:hAnsiTheme="majorHAnsi" w:cs="Arial"/>
        </w:rPr>
      </w:pPr>
      <w:r>
        <w:rPr>
          <w:rFonts w:asciiTheme="majorHAnsi" w:hAnsiTheme="majorHAnsi" w:cs="Arial"/>
        </w:rPr>
        <w:t>Amendment to clarify change to analysis timing (pre and post data lock) following impact of COVID-19 pandemic on KHP-CTO monitoring of primary endpoint and subsequently database lock (see section 1.8.1).</w:t>
      </w:r>
    </w:p>
    <w:p w14:paraId="6D0CB12B" w14:textId="77777777" w:rsidR="005E126D" w:rsidRPr="00710C30" w:rsidRDefault="005E126D" w:rsidP="005E126D">
      <w:pPr>
        <w:widowControl w:val="0"/>
        <w:autoSpaceDE w:val="0"/>
        <w:autoSpaceDN w:val="0"/>
        <w:adjustRightInd w:val="0"/>
        <w:spacing w:after="240"/>
        <w:jc w:val="both"/>
        <w:rPr>
          <w:rFonts w:asciiTheme="majorHAnsi" w:hAnsiTheme="majorHAnsi" w:cs="Arial"/>
          <w:sz w:val="26"/>
          <w:szCs w:val="26"/>
        </w:rPr>
      </w:pPr>
    </w:p>
    <w:p w14:paraId="1AF5A247" w14:textId="77777777" w:rsidR="005E126D" w:rsidRPr="00710C30" w:rsidRDefault="005E126D" w:rsidP="005E126D">
      <w:pPr>
        <w:widowControl w:val="0"/>
        <w:autoSpaceDE w:val="0"/>
        <w:autoSpaceDN w:val="0"/>
        <w:adjustRightInd w:val="0"/>
        <w:spacing w:after="240"/>
        <w:jc w:val="both"/>
        <w:rPr>
          <w:rFonts w:asciiTheme="majorHAnsi" w:hAnsiTheme="majorHAnsi" w:cs="Arial"/>
          <w:sz w:val="26"/>
          <w:szCs w:val="26"/>
        </w:rPr>
      </w:pPr>
    </w:p>
    <w:p w14:paraId="5C5F47BF" w14:textId="77777777" w:rsidR="005E126D" w:rsidRPr="00710C30" w:rsidRDefault="005E126D" w:rsidP="005E126D">
      <w:pPr>
        <w:jc w:val="both"/>
        <w:rPr>
          <w:rFonts w:asciiTheme="majorHAnsi" w:hAnsiTheme="majorHAnsi"/>
        </w:rPr>
      </w:pPr>
    </w:p>
    <w:p w14:paraId="57BA18ED" w14:textId="77777777" w:rsidR="00601B5B" w:rsidRDefault="00601B5B">
      <w:pPr>
        <w:rPr>
          <w:rFonts w:ascii="Arial" w:eastAsiaTheme="majorEastAsia" w:hAnsi="Arial" w:cs="Arial"/>
          <w:color w:val="2F5496" w:themeColor="accent1" w:themeShade="BF"/>
          <w:sz w:val="24"/>
          <w:szCs w:val="24"/>
          <w:u w:val="single"/>
        </w:rPr>
      </w:pPr>
    </w:p>
    <w:p w14:paraId="22C181B7" w14:textId="77777777" w:rsidR="00601B5B" w:rsidRDefault="0042452E">
      <w:pPr>
        <w:rPr>
          <w:rFonts w:ascii="Arial" w:eastAsiaTheme="majorEastAsia" w:hAnsi="Arial" w:cs="Arial"/>
          <w:color w:val="2F5496" w:themeColor="accent1" w:themeShade="BF"/>
          <w:sz w:val="24"/>
          <w:szCs w:val="24"/>
          <w:u w:val="single"/>
        </w:rPr>
        <w:sectPr w:rsidR="00601B5B" w:rsidSect="00E268AF">
          <w:pgSz w:w="11906" w:h="16838"/>
          <w:pgMar w:top="1440" w:right="1440" w:bottom="1440" w:left="1440" w:header="708" w:footer="708" w:gutter="0"/>
          <w:cols w:space="708"/>
          <w:docGrid w:linePitch="360"/>
        </w:sectPr>
      </w:pPr>
      <w:r>
        <w:rPr>
          <w:rFonts w:ascii="Arial" w:eastAsiaTheme="majorEastAsia" w:hAnsi="Arial" w:cs="Arial"/>
          <w:color w:val="2F5496" w:themeColor="accent1" w:themeShade="BF"/>
          <w:sz w:val="24"/>
          <w:szCs w:val="24"/>
          <w:u w:val="single"/>
        </w:rPr>
        <w:br w:type="page"/>
      </w:r>
    </w:p>
    <w:p w14:paraId="1794D829" w14:textId="2D4AD187" w:rsidR="0042452E" w:rsidRDefault="0042452E">
      <w:pPr>
        <w:rPr>
          <w:rFonts w:ascii="Arial" w:eastAsiaTheme="majorEastAsia" w:hAnsi="Arial" w:cs="Arial"/>
          <w:color w:val="2F5496" w:themeColor="accent1" w:themeShade="BF"/>
          <w:sz w:val="24"/>
          <w:szCs w:val="24"/>
          <w:u w:val="single"/>
        </w:rPr>
      </w:pPr>
    </w:p>
    <w:p w14:paraId="2A5501A9" w14:textId="77777777" w:rsidR="009124BE" w:rsidRDefault="009124BE">
      <w:pPr>
        <w:rPr>
          <w:rFonts w:ascii="Arial" w:eastAsiaTheme="majorEastAsia" w:hAnsi="Arial" w:cs="Arial"/>
          <w:color w:val="2F5496" w:themeColor="accent1" w:themeShade="BF"/>
          <w:sz w:val="24"/>
          <w:szCs w:val="24"/>
          <w:u w:val="single"/>
        </w:rPr>
      </w:pPr>
    </w:p>
    <w:p w14:paraId="6C77A69E" w14:textId="77777777" w:rsidR="00141060" w:rsidRDefault="00141060" w:rsidP="00A95698">
      <w:pPr>
        <w:pStyle w:val="Heading2"/>
        <w:rPr>
          <w:rFonts w:ascii="Arial" w:hAnsi="Arial" w:cs="Arial"/>
          <w:sz w:val="24"/>
          <w:szCs w:val="24"/>
          <w:u w:val="single"/>
        </w:rPr>
      </w:pPr>
    </w:p>
    <w:p w14:paraId="7479B505" w14:textId="099BEC04" w:rsidR="00A30939" w:rsidRPr="0034040B" w:rsidRDefault="00BD6FD8" w:rsidP="00A95698">
      <w:pPr>
        <w:pStyle w:val="Heading2"/>
        <w:rPr>
          <w:rFonts w:ascii="Arial" w:hAnsi="Arial" w:cs="Arial"/>
          <w:sz w:val="24"/>
          <w:szCs w:val="24"/>
          <w:u w:val="single"/>
        </w:rPr>
      </w:pPr>
      <w:bookmarkStart w:id="228" w:name="_Toc121909814"/>
      <w:r w:rsidRPr="0034040B">
        <w:rPr>
          <w:rFonts w:ascii="Arial" w:hAnsi="Arial" w:cs="Arial"/>
          <w:sz w:val="24"/>
          <w:szCs w:val="24"/>
          <w:u w:val="single"/>
        </w:rPr>
        <w:t>SOP relating to HLA antibody determination</w:t>
      </w:r>
      <w:bookmarkEnd w:id="228"/>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3150"/>
        <w:gridCol w:w="2250"/>
        <w:gridCol w:w="2520"/>
      </w:tblGrid>
      <w:tr w:rsidR="003E794A" w:rsidRPr="00F930CA" w14:paraId="7BB23283" w14:textId="77777777">
        <w:trPr>
          <w:cantSplit/>
          <w:trHeight w:val="692"/>
        </w:trPr>
        <w:tc>
          <w:tcPr>
            <w:tcW w:w="1638" w:type="dxa"/>
          </w:tcPr>
          <w:p w14:paraId="1D544DAC" w14:textId="77777777" w:rsidR="003E794A" w:rsidRPr="00F930CA" w:rsidRDefault="003E794A">
            <w:pPr>
              <w:rPr>
                <w:color w:val="000000"/>
                <w:sz w:val="20"/>
                <w:szCs w:val="20"/>
              </w:rPr>
            </w:pPr>
            <w:r w:rsidRPr="00F930CA">
              <w:rPr>
                <w:b/>
                <w:bCs/>
                <w:color w:val="000000"/>
                <w:sz w:val="20"/>
                <w:szCs w:val="20"/>
              </w:rPr>
              <w:t>CATEGORY</w:t>
            </w:r>
            <w:r w:rsidRPr="00F930CA">
              <w:rPr>
                <w:color w:val="000000"/>
                <w:sz w:val="20"/>
                <w:szCs w:val="20"/>
              </w:rPr>
              <w:t>:</w:t>
            </w:r>
          </w:p>
        </w:tc>
        <w:tc>
          <w:tcPr>
            <w:tcW w:w="3150" w:type="dxa"/>
          </w:tcPr>
          <w:p w14:paraId="463475F5" w14:textId="77777777" w:rsidR="003E794A" w:rsidRPr="00F930CA" w:rsidRDefault="003E794A">
            <w:pPr>
              <w:rPr>
                <w:color w:val="000000"/>
                <w:sz w:val="20"/>
                <w:szCs w:val="20"/>
              </w:rPr>
            </w:pPr>
            <w:r w:rsidRPr="00F930CA">
              <w:rPr>
                <w:color w:val="000000"/>
                <w:sz w:val="20"/>
                <w:szCs w:val="20"/>
              </w:rPr>
              <w:t>Tissue Typing Laboratory Work Instructions</w:t>
            </w:r>
          </w:p>
        </w:tc>
        <w:tc>
          <w:tcPr>
            <w:tcW w:w="2250" w:type="dxa"/>
          </w:tcPr>
          <w:p w14:paraId="659E13DD" w14:textId="77777777" w:rsidR="003E794A" w:rsidRPr="00F930CA" w:rsidRDefault="003E794A" w:rsidP="007C5CB3">
            <w:pPr>
              <w:rPr>
                <w:color w:val="000000"/>
                <w:sz w:val="20"/>
                <w:szCs w:val="20"/>
              </w:rPr>
            </w:pPr>
            <w:r w:rsidRPr="00F930CA">
              <w:rPr>
                <w:b/>
                <w:bCs/>
                <w:color w:val="000000"/>
                <w:sz w:val="20"/>
                <w:szCs w:val="20"/>
              </w:rPr>
              <w:t>SOP</w:t>
            </w:r>
            <w:r w:rsidRPr="00F930CA">
              <w:rPr>
                <w:color w:val="000000"/>
                <w:sz w:val="20"/>
                <w:szCs w:val="20"/>
              </w:rPr>
              <w:t xml:space="preserve"> </w:t>
            </w:r>
            <w:r w:rsidRPr="00F930CA">
              <w:rPr>
                <w:b/>
                <w:bCs/>
                <w:color w:val="000000"/>
                <w:sz w:val="20"/>
                <w:szCs w:val="20"/>
              </w:rPr>
              <w:t>Number</w:t>
            </w:r>
            <w:r w:rsidRPr="00F930CA">
              <w:rPr>
                <w:color w:val="000000"/>
                <w:sz w:val="20"/>
                <w:szCs w:val="20"/>
              </w:rPr>
              <w:t>: 5</w:t>
            </w:r>
          </w:p>
        </w:tc>
        <w:tc>
          <w:tcPr>
            <w:tcW w:w="2520" w:type="dxa"/>
          </w:tcPr>
          <w:p w14:paraId="7C6CF9A5" w14:textId="77777777" w:rsidR="003E794A" w:rsidRPr="00F930CA" w:rsidRDefault="003E794A" w:rsidP="00F377F3">
            <w:pPr>
              <w:rPr>
                <w:color w:val="000000"/>
                <w:sz w:val="20"/>
                <w:szCs w:val="20"/>
              </w:rPr>
            </w:pPr>
            <w:r w:rsidRPr="00F930CA">
              <w:rPr>
                <w:b/>
                <w:bCs/>
                <w:color w:val="000000"/>
                <w:sz w:val="20"/>
                <w:szCs w:val="20"/>
              </w:rPr>
              <w:t xml:space="preserve">Version </w:t>
            </w:r>
            <w:r w:rsidRPr="00F930CA">
              <w:rPr>
                <w:color w:val="000000"/>
                <w:sz w:val="20"/>
                <w:szCs w:val="20"/>
              </w:rPr>
              <w:t>6.0 (30/09/2019)</w:t>
            </w:r>
          </w:p>
        </w:tc>
      </w:tr>
      <w:tr w:rsidR="003E794A" w:rsidRPr="00F930CA" w14:paraId="21690865" w14:textId="77777777">
        <w:trPr>
          <w:cantSplit/>
        </w:trPr>
        <w:tc>
          <w:tcPr>
            <w:tcW w:w="1638" w:type="dxa"/>
          </w:tcPr>
          <w:p w14:paraId="7E48CA4A" w14:textId="77777777" w:rsidR="003E794A" w:rsidRPr="00F930CA" w:rsidRDefault="003E794A">
            <w:pPr>
              <w:rPr>
                <w:color w:val="000000"/>
                <w:sz w:val="20"/>
                <w:szCs w:val="20"/>
              </w:rPr>
            </w:pPr>
            <w:r w:rsidRPr="00F930CA">
              <w:rPr>
                <w:b/>
                <w:bCs/>
                <w:color w:val="000000"/>
                <w:sz w:val="20"/>
                <w:szCs w:val="20"/>
              </w:rPr>
              <w:t>TITLE</w:t>
            </w:r>
            <w:r w:rsidRPr="00F930CA">
              <w:rPr>
                <w:color w:val="000000"/>
                <w:sz w:val="20"/>
                <w:szCs w:val="20"/>
              </w:rPr>
              <w:t xml:space="preserve">:  </w:t>
            </w:r>
          </w:p>
        </w:tc>
        <w:tc>
          <w:tcPr>
            <w:tcW w:w="7920" w:type="dxa"/>
            <w:gridSpan w:val="3"/>
          </w:tcPr>
          <w:p w14:paraId="49857F14" w14:textId="77777777" w:rsidR="003E794A" w:rsidRPr="00F930CA" w:rsidRDefault="003E794A" w:rsidP="002E657C">
            <w:pPr>
              <w:pStyle w:val="Header"/>
              <w:rPr>
                <w:b/>
                <w:bCs/>
                <w:color w:val="000000"/>
                <w:sz w:val="20"/>
                <w:szCs w:val="20"/>
              </w:rPr>
            </w:pPr>
            <w:r w:rsidRPr="00F930CA">
              <w:rPr>
                <w:b/>
                <w:bCs/>
                <w:color w:val="000000"/>
                <w:sz w:val="20"/>
                <w:szCs w:val="20"/>
              </w:rPr>
              <w:t>Detection of HLA Antibodies in Participant Samples for OuTSMART study</w:t>
            </w:r>
          </w:p>
        </w:tc>
      </w:tr>
    </w:tbl>
    <w:p w14:paraId="5573D445" w14:textId="77777777" w:rsidR="003E794A" w:rsidRPr="00F930CA" w:rsidRDefault="003E794A">
      <w:pPr>
        <w:pStyle w:val="Header"/>
        <w:rPr>
          <w:color w:val="000000"/>
          <w:sz w:val="20"/>
          <w:szCs w:val="20"/>
        </w:rPr>
      </w:pPr>
    </w:p>
    <w:tbl>
      <w:tblPr>
        <w:tblW w:w="0" w:type="auto"/>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3150"/>
        <w:gridCol w:w="5580"/>
      </w:tblGrid>
      <w:tr w:rsidR="003E794A" w:rsidRPr="00F930CA" w14:paraId="7C62F641" w14:textId="77777777">
        <w:trPr>
          <w:gridAfter w:val="1"/>
          <w:wAfter w:w="5580" w:type="dxa"/>
          <w:cantSplit/>
        </w:trPr>
        <w:tc>
          <w:tcPr>
            <w:tcW w:w="738" w:type="dxa"/>
          </w:tcPr>
          <w:p w14:paraId="57A34324" w14:textId="77777777" w:rsidR="003E794A" w:rsidRPr="00F930CA" w:rsidRDefault="003E794A">
            <w:pPr>
              <w:rPr>
                <w:b/>
                <w:bCs/>
                <w:color w:val="000000"/>
                <w:sz w:val="20"/>
                <w:szCs w:val="20"/>
              </w:rPr>
            </w:pPr>
            <w:r w:rsidRPr="00F930CA">
              <w:rPr>
                <w:b/>
                <w:bCs/>
                <w:color w:val="000000"/>
                <w:sz w:val="20"/>
                <w:szCs w:val="20"/>
              </w:rPr>
              <w:br w:type="page"/>
            </w:r>
            <w:bookmarkStart w:id="229" w:name="_Toc486840169"/>
            <w:r w:rsidRPr="00F930CA">
              <w:rPr>
                <w:b/>
                <w:bCs/>
                <w:color w:val="000000"/>
                <w:sz w:val="20"/>
                <w:szCs w:val="20"/>
              </w:rPr>
              <w:t>1.0</w:t>
            </w:r>
          </w:p>
        </w:tc>
        <w:tc>
          <w:tcPr>
            <w:tcW w:w="3150" w:type="dxa"/>
          </w:tcPr>
          <w:p w14:paraId="2D53A162" w14:textId="77777777" w:rsidR="003E794A" w:rsidRPr="00F930CA" w:rsidRDefault="003E794A">
            <w:pPr>
              <w:rPr>
                <w:b/>
                <w:bCs/>
                <w:color w:val="000000"/>
                <w:sz w:val="20"/>
                <w:szCs w:val="20"/>
              </w:rPr>
            </w:pPr>
            <w:r w:rsidRPr="00F930CA">
              <w:rPr>
                <w:b/>
                <w:bCs/>
                <w:color w:val="000000"/>
                <w:sz w:val="20"/>
                <w:szCs w:val="20"/>
              </w:rPr>
              <w:t>Title</w:t>
            </w:r>
          </w:p>
        </w:tc>
      </w:tr>
      <w:tr w:rsidR="003E794A" w:rsidRPr="00F930CA" w14:paraId="73E9B7D3" w14:textId="77777777">
        <w:trPr>
          <w:cantSplit/>
          <w:trHeight w:val="450"/>
        </w:trPr>
        <w:tc>
          <w:tcPr>
            <w:tcW w:w="738" w:type="dxa"/>
          </w:tcPr>
          <w:p w14:paraId="7B8E0AA7" w14:textId="77777777" w:rsidR="003E794A" w:rsidRPr="00F930CA" w:rsidRDefault="003E794A">
            <w:pPr>
              <w:rPr>
                <w:color w:val="000000"/>
                <w:sz w:val="20"/>
                <w:szCs w:val="20"/>
              </w:rPr>
            </w:pPr>
          </w:p>
        </w:tc>
        <w:tc>
          <w:tcPr>
            <w:tcW w:w="8730" w:type="dxa"/>
            <w:gridSpan w:val="2"/>
          </w:tcPr>
          <w:p w14:paraId="133BB05E" w14:textId="77777777" w:rsidR="003E794A" w:rsidRPr="00F930CA" w:rsidRDefault="003E794A">
            <w:pPr>
              <w:rPr>
                <w:b/>
                <w:bCs/>
                <w:color w:val="000000"/>
                <w:sz w:val="20"/>
                <w:szCs w:val="20"/>
              </w:rPr>
            </w:pPr>
            <w:r w:rsidRPr="00F930CA">
              <w:rPr>
                <w:b/>
                <w:bCs/>
                <w:color w:val="000000"/>
                <w:sz w:val="20"/>
                <w:szCs w:val="20"/>
              </w:rPr>
              <w:t>Tissue typing for OuTSMART Trial project</w:t>
            </w:r>
          </w:p>
        </w:tc>
      </w:tr>
    </w:tbl>
    <w:p w14:paraId="683E03E6" w14:textId="77777777" w:rsidR="003E794A" w:rsidRPr="00F930CA" w:rsidRDefault="003E794A">
      <w:pPr>
        <w:pStyle w:val="Header"/>
        <w:rPr>
          <w:color w:val="000000"/>
          <w:sz w:val="20"/>
          <w:szCs w:val="20"/>
        </w:rPr>
      </w:pPr>
    </w:p>
    <w:bookmarkEnd w:id="229"/>
    <w:tbl>
      <w:tblPr>
        <w:tblW w:w="0" w:type="auto"/>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3150"/>
        <w:gridCol w:w="5580"/>
      </w:tblGrid>
      <w:tr w:rsidR="003E794A" w:rsidRPr="00F930CA" w14:paraId="0D4CDD40" w14:textId="77777777">
        <w:trPr>
          <w:gridAfter w:val="1"/>
          <w:wAfter w:w="5580" w:type="dxa"/>
          <w:cantSplit/>
        </w:trPr>
        <w:tc>
          <w:tcPr>
            <w:tcW w:w="738" w:type="dxa"/>
          </w:tcPr>
          <w:p w14:paraId="2E287E46" w14:textId="77777777" w:rsidR="003E794A" w:rsidRPr="00F930CA" w:rsidRDefault="003E794A">
            <w:pPr>
              <w:rPr>
                <w:b/>
                <w:bCs/>
                <w:color w:val="000000"/>
                <w:sz w:val="20"/>
                <w:szCs w:val="20"/>
              </w:rPr>
            </w:pPr>
            <w:r w:rsidRPr="00F930CA">
              <w:rPr>
                <w:b/>
                <w:bCs/>
                <w:color w:val="000000"/>
                <w:sz w:val="20"/>
                <w:szCs w:val="20"/>
              </w:rPr>
              <w:br w:type="page"/>
              <w:t>2.0</w:t>
            </w:r>
          </w:p>
        </w:tc>
        <w:tc>
          <w:tcPr>
            <w:tcW w:w="3150" w:type="dxa"/>
          </w:tcPr>
          <w:p w14:paraId="62811699" w14:textId="77777777" w:rsidR="003E794A" w:rsidRPr="00F930CA" w:rsidRDefault="003E794A">
            <w:pPr>
              <w:rPr>
                <w:b/>
                <w:bCs/>
                <w:color w:val="000000"/>
                <w:sz w:val="20"/>
                <w:szCs w:val="20"/>
              </w:rPr>
            </w:pPr>
            <w:r w:rsidRPr="00F930CA">
              <w:rPr>
                <w:b/>
                <w:bCs/>
                <w:color w:val="000000"/>
                <w:sz w:val="20"/>
                <w:szCs w:val="20"/>
              </w:rPr>
              <w:t>Purpose</w:t>
            </w:r>
          </w:p>
        </w:tc>
      </w:tr>
      <w:tr w:rsidR="003E794A" w:rsidRPr="00F930CA" w14:paraId="73B91730" w14:textId="77777777">
        <w:trPr>
          <w:cantSplit/>
        </w:trPr>
        <w:tc>
          <w:tcPr>
            <w:tcW w:w="738" w:type="dxa"/>
          </w:tcPr>
          <w:p w14:paraId="58D0A8C8" w14:textId="77777777" w:rsidR="003E794A" w:rsidRPr="00F930CA" w:rsidRDefault="003E794A">
            <w:pPr>
              <w:rPr>
                <w:color w:val="000000"/>
                <w:sz w:val="20"/>
                <w:szCs w:val="20"/>
              </w:rPr>
            </w:pPr>
          </w:p>
        </w:tc>
        <w:tc>
          <w:tcPr>
            <w:tcW w:w="8730" w:type="dxa"/>
            <w:gridSpan w:val="2"/>
          </w:tcPr>
          <w:p w14:paraId="57E7D3E7" w14:textId="77777777" w:rsidR="003E794A" w:rsidRPr="00F930CA" w:rsidRDefault="003E794A" w:rsidP="002E657C">
            <w:pPr>
              <w:rPr>
                <w:color w:val="000000"/>
                <w:sz w:val="20"/>
                <w:szCs w:val="20"/>
              </w:rPr>
            </w:pPr>
            <w:r w:rsidRPr="00F930CA">
              <w:rPr>
                <w:b/>
                <w:bCs/>
                <w:color w:val="000000"/>
                <w:sz w:val="20"/>
                <w:szCs w:val="20"/>
              </w:rPr>
              <w:t>To describe the procedure for detection of HLA antibodies in participant samples for the OuTSMART Trial</w:t>
            </w:r>
          </w:p>
        </w:tc>
      </w:tr>
      <w:tr w:rsidR="003E794A" w:rsidRPr="00F930CA" w14:paraId="5D9FA0C7" w14:textId="77777777">
        <w:trPr>
          <w:cantSplit/>
        </w:trPr>
        <w:tc>
          <w:tcPr>
            <w:tcW w:w="738" w:type="dxa"/>
          </w:tcPr>
          <w:p w14:paraId="1EBB7736" w14:textId="77777777" w:rsidR="003E794A" w:rsidRPr="00F930CA" w:rsidRDefault="003E794A">
            <w:pPr>
              <w:rPr>
                <w:color w:val="000000"/>
                <w:sz w:val="20"/>
                <w:szCs w:val="20"/>
              </w:rPr>
            </w:pPr>
          </w:p>
        </w:tc>
        <w:tc>
          <w:tcPr>
            <w:tcW w:w="8730" w:type="dxa"/>
            <w:gridSpan w:val="2"/>
          </w:tcPr>
          <w:p w14:paraId="18D92651" w14:textId="77777777" w:rsidR="003E794A" w:rsidRPr="00F930CA" w:rsidRDefault="003E794A" w:rsidP="00EB11BA">
            <w:pPr>
              <w:rPr>
                <w:color w:val="000000"/>
                <w:sz w:val="20"/>
                <w:szCs w:val="20"/>
              </w:rPr>
            </w:pPr>
            <w:r w:rsidRPr="00F930CA">
              <w:rPr>
                <w:color w:val="000000"/>
                <w:sz w:val="20"/>
                <w:szCs w:val="20"/>
              </w:rPr>
              <w:t xml:space="preserve">Serum is collected from whole blood by centrifugation and frozen. An aliquot is taken and analysed for the presence of HLA class I and II antibodies. </w:t>
            </w:r>
          </w:p>
        </w:tc>
      </w:tr>
    </w:tbl>
    <w:p w14:paraId="4FE7EAB4" w14:textId="77777777" w:rsidR="003E794A" w:rsidRPr="00F930CA" w:rsidRDefault="003E794A">
      <w:pPr>
        <w:rPr>
          <w:color w:val="000000"/>
          <w:sz w:val="20"/>
          <w:szCs w:val="2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980"/>
        <w:gridCol w:w="1710"/>
        <w:gridCol w:w="5040"/>
      </w:tblGrid>
      <w:tr w:rsidR="003E794A" w:rsidRPr="00F930CA" w14:paraId="16D49AFF" w14:textId="77777777" w:rsidTr="00BD6189">
        <w:trPr>
          <w:gridAfter w:val="1"/>
          <w:wAfter w:w="5040" w:type="dxa"/>
          <w:cantSplit/>
        </w:trPr>
        <w:tc>
          <w:tcPr>
            <w:tcW w:w="738" w:type="dxa"/>
          </w:tcPr>
          <w:p w14:paraId="0F23D143" w14:textId="77777777" w:rsidR="003E794A" w:rsidRPr="00F930CA" w:rsidRDefault="003E794A" w:rsidP="00BD6189">
            <w:pPr>
              <w:rPr>
                <w:b/>
                <w:bCs/>
                <w:color w:val="000000"/>
                <w:sz w:val="20"/>
                <w:szCs w:val="20"/>
              </w:rPr>
            </w:pPr>
            <w:r w:rsidRPr="00F930CA">
              <w:rPr>
                <w:b/>
                <w:bCs/>
                <w:color w:val="000000"/>
                <w:sz w:val="20"/>
                <w:szCs w:val="20"/>
              </w:rPr>
              <w:t>3.0</w:t>
            </w:r>
          </w:p>
        </w:tc>
        <w:tc>
          <w:tcPr>
            <w:tcW w:w="3690" w:type="dxa"/>
            <w:gridSpan w:val="2"/>
          </w:tcPr>
          <w:p w14:paraId="6C1FB0F5" w14:textId="77777777" w:rsidR="003E794A" w:rsidRPr="00F930CA" w:rsidRDefault="003E794A" w:rsidP="00BD6189">
            <w:pPr>
              <w:rPr>
                <w:b/>
                <w:bCs/>
                <w:color w:val="000000"/>
                <w:sz w:val="20"/>
                <w:szCs w:val="20"/>
              </w:rPr>
            </w:pPr>
            <w:r w:rsidRPr="00F930CA">
              <w:rPr>
                <w:b/>
                <w:bCs/>
                <w:color w:val="000000"/>
                <w:sz w:val="20"/>
                <w:szCs w:val="20"/>
              </w:rPr>
              <w:t>Definitions and Abbreviations</w:t>
            </w:r>
          </w:p>
        </w:tc>
      </w:tr>
      <w:tr w:rsidR="003E794A" w:rsidRPr="00F930CA" w14:paraId="13F3C291" w14:textId="77777777" w:rsidTr="00BD6189">
        <w:trPr>
          <w:cantSplit/>
          <w:trHeight w:val="260"/>
        </w:trPr>
        <w:tc>
          <w:tcPr>
            <w:tcW w:w="738" w:type="dxa"/>
          </w:tcPr>
          <w:p w14:paraId="754AE301" w14:textId="77777777" w:rsidR="003E794A" w:rsidRPr="00F930CA" w:rsidRDefault="003E794A" w:rsidP="00BD6189">
            <w:pPr>
              <w:rPr>
                <w:color w:val="000000"/>
                <w:sz w:val="20"/>
                <w:szCs w:val="20"/>
              </w:rPr>
            </w:pPr>
          </w:p>
        </w:tc>
        <w:tc>
          <w:tcPr>
            <w:tcW w:w="1980" w:type="dxa"/>
          </w:tcPr>
          <w:p w14:paraId="54F38A4F" w14:textId="77777777" w:rsidR="003E794A" w:rsidRPr="00F930CA" w:rsidRDefault="003E794A" w:rsidP="00BD6189">
            <w:pPr>
              <w:rPr>
                <w:color w:val="000000"/>
                <w:sz w:val="20"/>
                <w:szCs w:val="20"/>
              </w:rPr>
            </w:pPr>
            <w:r w:rsidRPr="00F930CA">
              <w:rPr>
                <w:color w:val="000000"/>
                <w:sz w:val="20"/>
                <w:szCs w:val="20"/>
              </w:rPr>
              <w:t>IgG/PE</w:t>
            </w:r>
          </w:p>
        </w:tc>
        <w:tc>
          <w:tcPr>
            <w:tcW w:w="6750" w:type="dxa"/>
            <w:gridSpan w:val="2"/>
          </w:tcPr>
          <w:p w14:paraId="1E0DD6BD" w14:textId="77777777" w:rsidR="003E794A" w:rsidRPr="00F930CA" w:rsidRDefault="003E794A" w:rsidP="00BD6189">
            <w:pPr>
              <w:rPr>
                <w:color w:val="000000"/>
                <w:sz w:val="20"/>
                <w:szCs w:val="20"/>
              </w:rPr>
            </w:pPr>
            <w:r w:rsidRPr="00F930CA">
              <w:rPr>
                <w:color w:val="000000"/>
                <w:sz w:val="20"/>
                <w:szCs w:val="20"/>
              </w:rPr>
              <w:t>Goat anti-human IgG Conjugated to phycoerythrin</w:t>
            </w:r>
          </w:p>
        </w:tc>
      </w:tr>
      <w:tr w:rsidR="003E794A" w:rsidRPr="00F930CA" w14:paraId="50EFD999" w14:textId="77777777" w:rsidTr="00BD6189">
        <w:trPr>
          <w:cantSplit/>
        </w:trPr>
        <w:tc>
          <w:tcPr>
            <w:tcW w:w="738" w:type="dxa"/>
          </w:tcPr>
          <w:p w14:paraId="097BE71B" w14:textId="77777777" w:rsidR="003E794A" w:rsidRPr="00F930CA" w:rsidRDefault="003E794A" w:rsidP="00BD6189">
            <w:pPr>
              <w:rPr>
                <w:color w:val="000000"/>
                <w:sz w:val="20"/>
                <w:szCs w:val="20"/>
              </w:rPr>
            </w:pPr>
          </w:p>
        </w:tc>
        <w:tc>
          <w:tcPr>
            <w:tcW w:w="1980" w:type="dxa"/>
          </w:tcPr>
          <w:p w14:paraId="715DB3A6" w14:textId="77777777" w:rsidR="003E794A" w:rsidRPr="00F930CA" w:rsidRDefault="003E794A" w:rsidP="00BD6189">
            <w:pPr>
              <w:rPr>
                <w:color w:val="000000"/>
                <w:sz w:val="20"/>
                <w:szCs w:val="20"/>
              </w:rPr>
            </w:pPr>
            <w:r w:rsidRPr="00F930CA">
              <w:rPr>
                <w:color w:val="000000"/>
                <w:sz w:val="20"/>
                <w:szCs w:val="20"/>
              </w:rPr>
              <w:t>PBS</w:t>
            </w:r>
          </w:p>
        </w:tc>
        <w:tc>
          <w:tcPr>
            <w:tcW w:w="6750" w:type="dxa"/>
            <w:gridSpan w:val="2"/>
          </w:tcPr>
          <w:p w14:paraId="32C1D407" w14:textId="77777777" w:rsidR="003E794A" w:rsidRPr="00F930CA" w:rsidRDefault="003E794A" w:rsidP="00BD6189">
            <w:pPr>
              <w:rPr>
                <w:color w:val="000000"/>
                <w:sz w:val="20"/>
                <w:szCs w:val="20"/>
              </w:rPr>
            </w:pPr>
            <w:r w:rsidRPr="00F930CA">
              <w:rPr>
                <w:color w:val="000000"/>
                <w:sz w:val="20"/>
                <w:szCs w:val="20"/>
              </w:rPr>
              <w:t>Phosphate Buffer Saline</w:t>
            </w:r>
          </w:p>
        </w:tc>
      </w:tr>
      <w:tr w:rsidR="003E794A" w:rsidRPr="00F930CA" w14:paraId="1C03A40E" w14:textId="77777777" w:rsidTr="00BD6189">
        <w:trPr>
          <w:cantSplit/>
        </w:trPr>
        <w:tc>
          <w:tcPr>
            <w:tcW w:w="738" w:type="dxa"/>
          </w:tcPr>
          <w:p w14:paraId="1C7BA03F" w14:textId="77777777" w:rsidR="003E794A" w:rsidRPr="00F930CA" w:rsidRDefault="003E794A" w:rsidP="00BD6189">
            <w:pPr>
              <w:rPr>
                <w:color w:val="000000"/>
                <w:sz w:val="20"/>
                <w:szCs w:val="20"/>
              </w:rPr>
            </w:pPr>
          </w:p>
        </w:tc>
        <w:tc>
          <w:tcPr>
            <w:tcW w:w="1980" w:type="dxa"/>
          </w:tcPr>
          <w:p w14:paraId="4DBF464F" w14:textId="77777777" w:rsidR="003E794A" w:rsidRPr="00F930CA" w:rsidRDefault="003E794A" w:rsidP="00BD6189">
            <w:pPr>
              <w:rPr>
                <w:color w:val="000000"/>
                <w:sz w:val="20"/>
                <w:szCs w:val="20"/>
              </w:rPr>
            </w:pPr>
            <w:r w:rsidRPr="00F930CA">
              <w:rPr>
                <w:color w:val="000000"/>
                <w:sz w:val="20"/>
                <w:szCs w:val="20"/>
              </w:rPr>
              <w:t>NC</w:t>
            </w:r>
          </w:p>
        </w:tc>
        <w:tc>
          <w:tcPr>
            <w:tcW w:w="6750" w:type="dxa"/>
            <w:gridSpan w:val="2"/>
          </w:tcPr>
          <w:p w14:paraId="3DF93218" w14:textId="77777777" w:rsidR="003E794A" w:rsidRPr="00F930CA" w:rsidRDefault="003E794A" w:rsidP="00BD6189">
            <w:pPr>
              <w:rPr>
                <w:color w:val="000000"/>
                <w:sz w:val="20"/>
                <w:szCs w:val="20"/>
              </w:rPr>
            </w:pPr>
            <w:r w:rsidRPr="00F930CA">
              <w:rPr>
                <w:color w:val="000000"/>
                <w:sz w:val="20"/>
                <w:szCs w:val="20"/>
              </w:rPr>
              <w:t>Negative control</w:t>
            </w:r>
          </w:p>
        </w:tc>
      </w:tr>
      <w:tr w:rsidR="003E794A" w:rsidRPr="00F930CA" w14:paraId="4B78C958" w14:textId="77777777" w:rsidTr="00BD6189">
        <w:trPr>
          <w:cantSplit/>
        </w:trPr>
        <w:tc>
          <w:tcPr>
            <w:tcW w:w="738" w:type="dxa"/>
          </w:tcPr>
          <w:p w14:paraId="52B95EB0" w14:textId="77777777" w:rsidR="003E794A" w:rsidRPr="00F930CA" w:rsidRDefault="003E794A" w:rsidP="00BD6189">
            <w:pPr>
              <w:rPr>
                <w:color w:val="000000"/>
                <w:sz w:val="20"/>
                <w:szCs w:val="20"/>
              </w:rPr>
            </w:pPr>
          </w:p>
        </w:tc>
        <w:tc>
          <w:tcPr>
            <w:tcW w:w="1980" w:type="dxa"/>
          </w:tcPr>
          <w:p w14:paraId="2C726938" w14:textId="77777777" w:rsidR="003E794A" w:rsidRPr="00F930CA" w:rsidRDefault="003E794A" w:rsidP="00BD6189">
            <w:pPr>
              <w:rPr>
                <w:color w:val="000000"/>
                <w:sz w:val="20"/>
                <w:szCs w:val="20"/>
              </w:rPr>
            </w:pPr>
            <w:r w:rsidRPr="00F930CA">
              <w:rPr>
                <w:color w:val="000000"/>
                <w:sz w:val="20"/>
                <w:szCs w:val="20"/>
              </w:rPr>
              <w:t>PC</w:t>
            </w:r>
          </w:p>
        </w:tc>
        <w:tc>
          <w:tcPr>
            <w:tcW w:w="6750" w:type="dxa"/>
            <w:gridSpan w:val="2"/>
          </w:tcPr>
          <w:p w14:paraId="3C3B56AC" w14:textId="77777777" w:rsidR="003E794A" w:rsidRPr="00F930CA" w:rsidRDefault="003E794A" w:rsidP="00BD6189">
            <w:pPr>
              <w:rPr>
                <w:color w:val="000000"/>
                <w:sz w:val="20"/>
                <w:szCs w:val="20"/>
              </w:rPr>
            </w:pPr>
            <w:r w:rsidRPr="00F930CA">
              <w:rPr>
                <w:color w:val="000000"/>
                <w:sz w:val="20"/>
                <w:szCs w:val="20"/>
              </w:rPr>
              <w:t>Positive control</w:t>
            </w:r>
          </w:p>
        </w:tc>
      </w:tr>
      <w:tr w:rsidR="003E794A" w:rsidRPr="00F930CA" w14:paraId="5B6C8603" w14:textId="77777777" w:rsidTr="00BD6189">
        <w:trPr>
          <w:cantSplit/>
        </w:trPr>
        <w:tc>
          <w:tcPr>
            <w:tcW w:w="738" w:type="dxa"/>
          </w:tcPr>
          <w:p w14:paraId="73D10C08" w14:textId="77777777" w:rsidR="003E794A" w:rsidRPr="00F930CA" w:rsidRDefault="003E794A" w:rsidP="00BD6189">
            <w:pPr>
              <w:rPr>
                <w:color w:val="000000"/>
                <w:sz w:val="20"/>
                <w:szCs w:val="20"/>
              </w:rPr>
            </w:pPr>
          </w:p>
        </w:tc>
        <w:tc>
          <w:tcPr>
            <w:tcW w:w="1980" w:type="dxa"/>
          </w:tcPr>
          <w:p w14:paraId="35C791A8" w14:textId="77777777" w:rsidR="003E794A" w:rsidRPr="00F930CA" w:rsidRDefault="003E794A" w:rsidP="00BD6189">
            <w:pPr>
              <w:rPr>
                <w:color w:val="000000"/>
                <w:sz w:val="20"/>
                <w:szCs w:val="20"/>
              </w:rPr>
            </w:pPr>
            <w:r w:rsidRPr="00F930CA">
              <w:rPr>
                <w:color w:val="000000"/>
                <w:sz w:val="20"/>
                <w:szCs w:val="20"/>
              </w:rPr>
              <w:t>MFI</w:t>
            </w:r>
          </w:p>
        </w:tc>
        <w:tc>
          <w:tcPr>
            <w:tcW w:w="6750" w:type="dxa"/>
            <w:gridSpan w:val="2"/>
          </w:tcPr>
          <w:p w14:paraId="442BB286" w14:textId="77777777" w:rsidR="003E794A" w:rsidRPr="00F930CA" w:rsidRDefault="003E794A" w:rsidP="00BD6189">
            <w:pPr>
              <w:rPr>
                <w:color w:val="000000"/>
                <w:sz w:val="20"/>
                <w:szCs w:val="20"/>
              </w:rPr>
            </w:pPr>
            <w:r w:rsidRPr="00F930CA">
              <w:rPr>
                <w:color w:val="000000"/>
                <w:sz w:val="20"/>
                <w:szCs w:val="20"/>
              </w:rPr>
              <w:t>Mean fluorescence intensity</w:t>
            </w:r>
          </w:p>
        </w:tc>
      </w:tr>
    </w:tbl>
    <w:p w14:paraId="6D5DF7EE" w14:textId="77777777" w:rsidR="003E794A" w:rsidRPr="00F930CA" w:rsidRDefault="003E794A">
      <w:pPr>
        <w:pStyle w:val="Header"/>
        <w:rPr>
          <w:color w:val="000000"/>
          <w:sz w:val="20"/>
          <w:szCs w:val="20"/>
        </w:rPr>
      </w:pPr>
      <w:r w:rsidRPr="00F930CA">
        <w:rPr>
          <w:color w:val="000000"/>
          <w:sz w:val="20"/>
          <w:szCs w:val="20"/>
        </w:rPr>
        <w:br w:type="textWrapping" w:clear="all"/>
      </w:r>
    </w:p>
    <w:p w14:paraId="48FD534E" w14:textId="77777777" w:rsidR="003E794A" w:rsidRPr="00F930CA" w:rsidRDefault="003E794A">
      <w:pPr>
        <w:pStyle w:val="Header"/>
        <w:rPr>
          <w:color w:val="000000"/>
          <w:sz w:val="20"/>
          <w:szCs w:val="20"/>
        </w:rPr>
      </w:pP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720"/>
        <w:gridCol w:w="900"/>
        <w:gridCol w:w="90"/>
        <w:gridCol w:w="1710"/>
        <w:gridCol w:w="912"/>
        <w:gridCol w:w="78"/>
        <w:gridCol w:w="1710"/>
        <w:gridCol w:w="54"/>
        <w:gridCol w:w="2736"/>
      </w:tblGrid>
      <w:tr w:rsidR="003E794A" w:rsidRPr="00F930CA" w14:paraId="322F1A06" w14:textId="77777777">
        <w:trPr>
          <w:gridAfter w:val="5"/>
          <w:wAfter w:w="5490" w:type="dxa"/>
          <w:cantSplit/>
        </w:trPr>
        <w:tc>
          <w:tcPr>
            <w:tcW w:w="738" w:type="dxa"/>
          </w:tcPr>
          <w:p w14:paraId="3971BC44" w14:textId="77777777" w:rsidR="003E794A" w:rsidRPr="00F930CA" w:rsidRDefault="003E794A">
            <w:pPr>
              <w:rPr>
                <w:b/>
                <w:bCs/>
                <w:color w:val="000000"/>
                <w:sz w:val="20"/>
                <w:szCs w:val="20"/>
              </w:rPr>
            </w:pPr>
            <w:r w:rsidRPr="00F930CA">
              <w:rPr>
                <w:b/>
                <w:bCs/>
                <w:color w:val="000000"/>
                <w:sz w:val="20"/>
                <w:szCs w:val="20"/>
              </w:rPr>
              <w:t>4.0</w:t>
            </w:r>
          </w:p>
        </w:tc>
        <w:tc>
          <w:tcPr>
            <w:tcW w:w="3420" w:type="dxa"/>
            <w:gridSpan w:val="4"/>
          </w:tcPr>
          <w:p w14:paraId="5B5049E1" w14:textId="77777777" w:rsidR="003E794A" w:rsidRPr="00F930CA" w:rsidRDefault="003E794A">
            <w:pPr>
              <w:rPr>
                <w:b/>
                <w:bCs/>
                <w:color w:val="000000"/>
                <w:sz w:val="20"/>
                <w:szCs w:val="20"/>
              </w:rPr>
            </w:pPr>
            <w:r w:rsidRPr="00F930CA">
              <w:rPr>
                <w:b/>
                <w:bCs/>
                <w:color w:val="000000"/>
                <w:sz w:val="20"/>
                <w:szCs w:val="20"/>
              </w:rPr>
              <w:t xml:space="preserve">Equipment and Reagents </w:t>
            </w:r>
          </w:p>
        </w:tc>
      </w:tr>
      <w:tr w:rsidR="003E794A" w:rsidRPr="00F930CA" w14:paraId="3841FC80" w14:textId="77777777">
        <w:trPr>
          <w:cantSplit/>
        </w:trPr>
        <w:tc>
          <w:tcPr>
            <w:tcW w:w="738" w:type="dxa"/>
          </w:tcPr>
          <w:p w14:paraId="5406377D" w14:textId="77777777" w:rsidR="003E794A" w:rsidRPr="00F930CA" w:rsidRDefault="003E794A">
            <w:pPr>
              <w:spacing w:before="60"/>
              <w:rPr>
                <w:color w:val="000000"/>
                <w:sz w:val="20"/>
                <w:szCs w:val="20"/>
              </w:rPr>
            </w:pPr>
          </w:p>
        </w:tc>
        <w:tc>
          <w:tcPr>
            <w:tcW w:w="720" w:type="dxa"/>
          </w:tcPr>
          <w:p w14:paraId="0D8B920D" w14:textId="77777777" w:rsidR="003E794A" w:rsidRPr="00F930CA" w:rsidRDefault="003E794A">
            <w:pPr>
              <w:pStyle w:val="Header"/>
              <w:spacing w:before="60"/>
              <w:rPr>
                <w:color w:val="000000"/>
                <w:sz w:val="20"/>
                <w:szCs w:val="20"/>
              </w:rPr>
            </w:pPr>
            <w:r w:rsidRPr="00F930CA">
              <w:rPr>
                <w:color w:val="000000"/>
                <w:sz w:val="20"/>
                <w:szCs w:val="20"/>
              </w:rPr>
              <w:t>4.1</w:t>
            </w:r>
          </w:p>
        </w:tc>
        <w:tc>
          <w:tcPr>
            <w:tcW w:w="8190" w:type="dxa"/>
            <w:gridSpan w:val="8"/>
          </w:tcPr>
          <w:p w14:paraId="3E6EB5D2" w14:textId="77777777" w:rsidR="003E794A" w:rsidRPr="00F930CA" w:rsidRDefault="003E794A">
            <w:pPr>
              <w:rPr>
                <w:i/>
                <w:iCs/>
                <w:color w:val="000000"/>
                <w:sz w:val="20"/>
                <w:szCs w:val="20"/>
              </w:rPr>
            </w:pPr>
            <w:r w:rsidRPr="00F930CA">
              <w:rPr>
                <w:color w:val="000000"/>
                <w:sz w:val="20"/>
                <w:szCs w:val="20"/>
              </w:rPr>
              <w:t xml:space="preserve">Equipment </w:t>
            </w:r>
          </w:p>
        </w:tc>
      </w:tr>
      <w:tr w:rsidR="003E794A" w:rsidRPr="00F930CA" w14:paraId="168B593B" w14:textId="77777777" w:rsidTr="00AA77AE">
        <w:trPr>
          <w:cantSplit/>
        </w:trPr>
        <w:tc>
          <w:tcPr>
            <w:tcW w:w="738" w:type="dxa"/>
          </w:tcPr>
          <w:p w14:paraId="568091B7" w14:textId="77777777" w:rsidR="003E794A" w:rsidRPr="00F930CA" w:rsidRDefault="003E794A">
            <w:pPr>
              <w:spacing w:before="60"/>
              <w:rPr>
                <w:color w:val="000000"/>
                <w:sz w:val="20"/>
                <w:szCs w:val="20"/>
              </w:rPr>
            </w:pPr>
          </w:p>
        </w:tc>
        <w:tc>
          <w:tcPr>
            <w:tcW w:w="720" w:type="dxa"/>
          </w:tcPr>
          <w:p w14:paraId="1D6303CE" w14:textId="77777777" w:rsidR="003E794A" w:rsidRPr="00F930CA" w:rsidRDefault="003E794A">
            <w:pPr>
              <w:pStyle w:val="Header"/>
              <w:spacing w:before="60"/>
              <w:rPr>
                <w:color w:val="000000"/>
                <w:sz w:val="20"/>
                <w:szCs w:val="20"/>
              </w:rPr>
            </w:pPr>
          </w:p>
        </w:tc>
        <w:tc>
          <w:tcPr>
            <w:tcW w:w="900" w:type="dxa"/>
            <w:vAlign w:val="center"/>
          </w:tcPr>
          <w:p w14:paraId="7A95C602" w14:textId="77777777" w:rsidR="003E794A" w:rsidRPr="00F930CA" w:rsidRDefault="003E794A">
            <w:pPr>
              <w:pStyle w:val="Header"/>
              <w:spacing w:before="60"/>
              <w:rPr>
                <w:color w:val="000000"/>
                <w:sz w:val="20"/>
                <w:szCs w:val="20"/>
              </w:rPr>
            </w:pPr>
            <w:r w:rsidRPr="00F930CA">
              <w:rPr>
                <w:color w:val="000000"/>
                <w:sz w:val="20"/>
                <w:szCs w:val="20"/>
              </w:rPr>
              <w:t>4.1.1</w:t>
            </w:r>
          </w:p>
        </w:tc>
        <w:tc>
          <w:tcPr>
            <w:tcW w:w="2790" w:type="dxa"/>
            <w:gridSpan w:val="4"/>
          </w:tcPr>
          <w:p w14:paraId="5EDA2233" w14:textId="77777777" w:rsidR="003E794A" w:rsidRPr="00F930CA" w:rsidRDefault="003E794A" w:rsidP="0005264C">
            <w:pPr>
              <w:pStyle w:val="Header"/>
              <w:rPr>
                <w:color w:val="000000"/>
                <w:sz w:val="20"/>
                <w:szCs w:val="20"/>
              </w:rPr>
            </w:pPr>
            <w:r w:rsidRPr="00F930CA">
              <w:rPr>
                <w:color w:val="000000"/>
                <w:sz w:val="20"/>
                <w:szCs w:val="20"/>
              </w:rPr>
              <w:t>Vacuum manifold and pump</w:t>
            </w:r>
          </w:p>
        </w:tc>
        <w:tc>
          <w:tcPr>
            <w:tcW w:w="1710" w:type="dxa"/>
          </w:tcPr>
          <w:p w14:paraId="715EF8E2" w14:textId="77777777" w:rsidR="003E794A" w:rsidRPr="00F930CA" w:rsidRDefault="003E794A">
            <w:pPr>
              <w:pStyle w:val="Header"/>
              <w:rPr>
                <w:color w:val="000000"/>
                <w:sz w:val="20"/>
                <w:szCs w:val="20"/>
              </w:rPr>
            </w:pPr>
          </w:p>
        </w:tc>
        <w:tc>
          <w:tcPr>
            <w:tcW w:w="2790" w:type="dxa"/>
            <w:gridSpan w:val="2"/>
          </w:tcPr>
          <w:p w14:paraId="637EE7B1" w14:textId="77777777" w:rsidR="003E794A" w:rsidRPr="00F930CA" w:rsidRDefault="003E794A">
            <w:pPr>
              <w:pStyle w:val="Header"/>
              <w:rPr>
                <w:color w:val="000000"/>
                <w:sz w:val="20"/>
                <w:szCs w:val="20"/>
              </w:rPr>
            </w:pPr>
            <w:r w:rsidRPr="00F930CA">
              <w:rPr>
                <w:color w:val="000000"/>
                <w:sz w:val="20"/>
                <w:szCs w:val="20"/>
              </w:rPr>
              <w:t>For filter plate method</w:t>
            </w:r>
          </w:p>
        </w:tc>
      </w:tr>
      <w:tr w:rsidR="003E794A" w:rsidRPr="00F930CA" w14:paraId="2BB14846" w14:textId="77777777" w:rsidTr="00AA77AE">
        <w:trPr>
          <w:cantSplit/>
        </w:trPr>
        <w:tc>
          <w:tcPr>
            <w:tcW w:w="738" w:type="dxa"/>
          </w:tcPr>
          <w:p w14:paraId="7AEADD6F" w14:textId="77777777" w:rsidR="003E794A" w:rsidRPr="00F930CA" w:rsidRDefault="003E794A">
            <w:pPr>
              <w:spacing w:before="60"/>
              <w:rPr>
                <w:color w:val="000000"/>
                <w:sz w:val="20"/>
                <w:szCs w:val="20"/>
              </w:rPr>
            </w:pPr>
          </w:p>
        </w:tc>
        <w:tc>
          <w:tcPr>
            <w:tcW w:w="720" w:type="dxa"/>
          </w:tcPr>
          <w:p w14:paraId="1F3DE396" w14:textId="77777777" w:rsidR="003E794A" w:rsidRPr="00F930CA" w:rsidRDefault="003E794A">
            <w:pPr>
              <w:pStyle w:val="Header"/>
              <w:spacing w:before="60"/>
              <w:rPr>
                <w:color w:val="000000"/>
                <w:sz w:val="20"/>
                <w:szCs w:val="20"/>
              </w:rPr>
            </w:pPr>
          </w:p>
        </w:tc>
        <w:tc>
          <w:tcPr>
            <w:tcW w:w="900" w:type="dxa"/>
            <w:vAlign w:val="center"/>
          </w:tcPr>
          <w:p w14:paraId="2450B980" w14:textId="77777777" w:rsidR="003E794A" w:rsidRPr="00F930CA" w:rsidRDefault="003E794A">
            <w:pPr>
              <w:pStyle w:val="Header"/>
              <w:rPr>
                <w:color w:val="000000"/>
                <w:sz w:val="20"/>
                <w:szCs w:val="20"/>
              </w:rPr>
            </w:pPr>
            <w:r w:rsidRPr="00F930CA">
              <w:rPr>
                <w:color w:val="000000"/>
                <w:sz w:val="20"/>
                <w:szCs w:val="20"/>
              </w:rPr>
              <w:t>4.1.2</w:t>
            </w:r>
          </w:p>
        </w:tc>
        <w:tc>
          <w:tcPr>
            <w:tcW w:w="2790" w:type="dxa"/>
            <w:gridSpan w:val="4"/>
          </w:tcPr>
          <w:p w14:paraId="47E92C55" w14:textId="77777777" w:rsidR="003E794A" w:rsidRPr="00F930CA" w:rsidRDefault="003E794A">
            <w:pPr>
              <w:pStyle w:val="Header"/>
              <w:rPr>
                <w:color w:val="000000"/>
                <w:sz w:val="20"/>
                <w:szCs w:val="20"/>
                <w:lang w:val="it-IT"/>
              </w:rPr>
            </w:pPr>
            <w:r w:rsidRPr="00F930CA">
              <w:rPr>
                <w:color w:val="000000"/>
                <w:sz w:val="20"/>
                <w:szCs w:val="20"/>
                <w:lang w:val="it-IT"/>
              </w:rPr>
              <w:t>Orbital Mixer</w:t>
            </w:r>
          </w:p>
        </w:tc>
        <w:tc>
          <w:tcPr>
            <w:tcW w:w="1710" w:type="dxa"/>
          </w:tcPr>
          <w:p w14:paraId="575681A2" w14:textId="77777777" w:rsidR="003E794A" w:rsidRPr="00F930CA" w:rsidRDefault="003E794A">
            <w:pPr>
              <w:pStyle w:val="Header"/>
              <w:rPr>
                <w:color w:val="000000"/>
                <w:sz w:val="20"/>
                <w:szCs w:val="20"/>
              </w:rPr>
            </w:pPr>
          </w:p>
        </w:tc>
        <w:tc>
          <w:tcPr>
            <w:tcW w:w="2790" w:type="dxa"/>
            <w:gridSpan w:val="2"/>
          </w:tcPr>
          <w:p w14:paraId="2CB80C01" w14:textId="77777777" w:rsidR="003E794A" w:rsidRPr="00F930CA" w:rsidRDefault="003E794A">
            <w:pPr>
              <w:pStyle w:val="Header"/>
              <w:rPr>
                <w:color w:val="000000"/>
                <w:sz w:val="20"/>
                <w:szCs w:val="20"/>
              </w:rPr>
            </w:pPr>
          </w:p>
        </w:tc>
      </w:tr>
      <w:tr w:rsidR="003E794A" w:rsidRPr="00F930CA" w14:paraId="1AA71C21" w14:textId="77777777" w:rsidTr="00AA77AE">
        <w:trPr>
          <w:cantSplit/>
        </w:trPr>
        <w:tc>
          <w:tcPr>
            <w:tcW w:w="738" w:type="dxa"/>
          </w:tcPr>
          <w:p w14:paraId="4B2E6AF6" w14:textId="77777777" w:rsidR="003E794A" w:rsidRPr="00F930CA" w:rsidRDefault="003E794A">
            <w:pPr>
              <w:spacing w:before="60"/>
              <w:rPr>
                <w:color w:val="000000"/>
                <w:sz w:val="20"/>
                <w:szCs w:val="20"/>
              </w:rPr>
            </w:pPr>
          </w:p>
        </w:tc>
        <w:tc>
          <w:tcPr>
            <w:tcW w:w="720" w:type="dxa"/>
          </w:tcPr>
          <w:p w14:paraId="4ECA4EC9" w14:textId="77777777" w:rsidR="003E794A" w:rsidRPr="00F930CA" w:rsidRDefault="003E794A">
            <w:pPr>
              <w:pStyle w:val="Header"/>
              <w:spacing w:before="60"/>
              <w:rPr>
                <w:color w:val="000000"/>
                <w:sz w:val="20"/>
                <w:szCs w:val="20"/>
              </w:rPr>
            </w:pPr>
          </w:p>
        </w:tc>
        <w:tc>
          <w:tcPr>
            <w:tcW w:w="900" w:type="dxa"/>
            <w:vAlign w:val="center"/>
          </w:tcPr>
          <w:p w14:paraId="423D52AE" w14:textId="77777777" w:rsidR="003E794A" w:rsidRPr="00F930CA" w:rsidRDefault="003E794A">
            <w:pPr>
              <w:pStyle w:val="Header"/>
              <w:rPr>
                <w:color w:val="000000"/>
                <w:sz w:val="20"/>
                <w:szCs w:val="20"/>
              </w:rPr>
            </w:pPr>
            <w:r w:rsidRPr="00F930CA">
              <w:rPr>
                <w:color w:val="000000"/>
                <w:sz w:val="20"/>
                <w:szCs w:val="20"/>
              </w:rPr>
              <w:t>4.1.3</w:t>
            </w:r>
          </w:p>
        </w:tc>
        <w:tc>
          <w:tcPr>
            <w:tcW w:w="2790" w:type="dxa"/>
            <w:gridSpan w:val="4"/>
          </w:tcPr>
          <w:p w14:paraId="4599B900" w14:textId="77777777" w:rsidR="003E794A" w:rsidRPr="00F930CA" w:rsidRDefault="003E794A">
            <w:pPr>
              <w:pStyle w:val="Header"/>
              <w:rPr>
                <w:color w:val="000000"/>
                <w:sz w:val="20"/>
                <w:szCs w:val="20"/>
                <w:lang w:val="it-IT"/>
              </w:rPr>
            </w:pPr>
            <w:r w:rsidRPr="00F930CA">
              <w:rPr>
                <w:color w:val="000000"/>
                <w:sz w:val="20"/>
                <w:szCs w:val="20"/>
                <w:lang w:val="it-IT"/>
              </w:rPr>
              <w:t>Luminex Analyser</w:t>
            </w:r>
          </w:p>
        </w:tc>
        <w:tc>
          <w:tcPr>
            <w:tcW w:w="1710" w:type="dxa"/>
          </w:tcPr>
          <w:p w14:paraId="355AFC08" w14:textId="77777777" w:rsidR="003E794A" w:rsidRPr="00F930CA" w:rsidRDefault="003E794A">
            <w:pPr>
              <w:pStyle w:val="Header"/>
              <w:rPr>
                <w:color w:val="000000"/>
                <w:sz w:val="20"/>
                <w:szCs w:val="20"/>
              </w:rPr>
            </w:pPr>
          </w:p>
        </w:tc>
        <w:tc>
          <w:tcPr>
            <w:tcW w:w="2790" w:type="dxa"/>
            <w:gridSpan w:val="2"/>
          </w:tcPr>
          <w:p w14:paraId="7E83A03C" w14:textId="77777777" w:rsidR="003E794A" w:rsidRPr="00F930CA" w:rsidRDefault="003E794A">
            <w:pPr>
              <w:pStyle w:val="Header"/>
              <w:rPr>
                <w:color w:val="000000"/>
                <w:sz w:val="20"/>
                <w:szCs w:val="20"/>
              </w:rPr>
            </w:pPr>
          </w:p>
        </w:tc>
      </w:tr>
      <w:tr w:rsidR="003E794A" w:rsidRPr="00F930CA" w14:paraId="3D8940A3" w14:textId="77777777" w:rsidTr="00AA77AE">
        <w:trPr>
          <w:cantSplit/>
        </w:trPr>
        <w:tc>
          <w:tcPr>
            <w:tcW w:w="738" w:type="dxa"/>
          </w:tcPr>
          <w:p w14:paraId="17EEDB0F" w14:textId="77777777" w:rsidR="003E794A" w:rsidRPr="00F930CA" w:rsidRDefault="003E794A">
            <w:pPr>
              <w:spacing w:before="60"/>
              <w:rPr>
                <w:color w:val="000000"/>
                <w:sz w:val="20"/>
                <w:szCs w:val="20"/>
              </w:rPr>
            </w:pPr>
          </w:p>
        </w:tc>
        <w:tc>
          <w:tcPr>
            <w:tcW w:w="720" w:type="dxa"/>
          </w:tcPr>
          <w:p w14:paraId="41568359" w14:textId="77777777" w:rsidR="003E794A" w:rsidRPr="00F930CA" w:rsidRDefault="003E794A">
            <w:pPr>
              <w:pStyle w:val="Header"/>
              <w:spacing w:before="60"/>
              <w:rPr>
                <w:color w:val="000000"/>
                <w:sz w:val="20"/>
                <w:szCs w:val="20"/>
              </w:rPr>
            </w:pPr>
          </w:p>
        </w:tc>
        <w:tc>
          <w:tcPr>
            <w:tcW w:w="900" w:type="dxa"/>
            <w:vAlign w:val="center"/>
          </w:tcPr>
          <w:p w14:paraId="2EF9D050" w14:textId="77777777" w:rsidR="003E794A" w:rsidRPr="00F930CA" w:rsidRDefault="003E794A">
            <w:pPr>
              <w:rPr>
                <w:color w:val="000000"/>
                <w:sz w:val="20"/>
                <w:szCs w:val="20"/>
              </w:rPr>
            </w:pPr>
            <w:r w:rsidRPr="00F930CA">
              <w:rPr>
                <w:color w:val="000000"/>
                <w:sz w:val="20"/>
                <w:szCs w:val="20"/>
              </w:rPr>
              <w:t>4.1.4</w:t>
            </w:r>
          </w:p>
        </w:tc>
        <w:tc>
          <w:tcPr>
            <w:tcW w:w="2790" w:type="dxa"/>
            <w:gridSpan w:val="4"/>
          </w:tcPr>
          <w:p w14:paraId="40B964E1" w14:textId="77777777" w:rsidR="003E794A" w:rsidRPr="00F930CA" w:rsidRDefault="003E794A">
            <w:pPr>
              <w:rPr>
                <w:color w:val="000000"/>
                <w:sz w:val="20"/>
                <w:szCs w:val="20"/>
              </w:rPr>
            </w:pPr>
            <w:r w:rsidRPr="00F930CA">
              <w:rPr>
                <w:color w:val="000000"/>
                <w:sz w:val="20"/>
                <w:szCs w:val="20"/>
              </w:rPr>
              <w:t>Bench top microcentrifuge</w:t>
            </w:r>
          </w:p>
        </w:tc>
        <w:tc>
          <w:tcPr>
            <w:tcW w:w="1710" w:type="dxa"/>
          </w:tcPr>
          <w:p w14:paraId="235FE115" w14:textId="77777777" w:rsidR="003E794A" w:rsidRPr="00F930CA" w:rsidRDefault="003E794A">
            <w:pPr>
              <w:rPr>
                <w:color w:val="000000"/>
                <w:sz w:val="20"/>
                <w:szCs w:val="20"/>
              </w:rPr>
            </w:pPr>
          </w:p>
        </w:tc>
        <w:tc>
          <w:tcPr>
            <w:tcW w:w="2790" w:type="dxa"/>
            <w:gridSpan w:val="2"/>
          </w:tcPr>
          <w:p w14:paraId="304AB833" w14:textId="77777777" w:rsidR="003E794A" w:rsidRPr="00F930CA" w:rsidRDefault="003E794A">
            <w:pPr>
              <w:rPr>
                <w:color w:val="000000"/>
                <w:sz w:val="20"/>
                <w:szCs w:val="20"/>
              </w:rPr>
            </w:pPr>
          </w:p>
        </w:tc>
      </w:tr>
      <w:tr w:rsidR="003E794A" w:rsidRPr="00F930CA" w14:paraId="1101AEC9" w14:textId="77777777">
        <w:trPr>
          <w:cantSplit/>
        </w:trPr>
        <w:tc>
          <w:tcPr>
            <w:tcW w:w="738" w:type="dxa"/>
          </w:tcPr>
          <w:p w14:paraId="55818B53" w14:textId="77777777" w:rsidR="003E794A" w:rsidRPr="00F930CA" w:rsidRDefault="003E794A">
            <w:pPr>
              <w:spacing w:before="60"/>
              <w:rPr>
                <w:color w:val="000000"/>
                <w:sz w:val="20"/>
                <w:szCs w:val="20"/>
              </w:rPr>
            </w:pPr>
          </w:p>
        </w:tc>
        <w:tc>
          <w:tcPr>
            <w:tcW w:w="720" w:type="dxa"/>
          </w:tcPr>
          <w:p w14:paraId="65CACE62" w14:textId="77777777" w:rsidR="003E794A" w:rsidRPr="00F930CA" w:rsidRDefault="003E794A">
            <w:pPr>
              <w:pStyle w:val="Header"/>
              <w:spacing w:before="60"/>
              <w:rPr>
                <w:color w:val="000000"/>
                <w:sz w:val="20"/>
                <w:szCs w:val="20"/>
              </w:rPr>
            </w:pPr>
          </w:p>
        </w:tc>
        <w:tc>
          <w:tcPr>
            <w:tcW w:w="900" w:type="dxa"/>
            <w:vAlign w:val="center"/>
          </w:tcPr>
          <w:p w14:paraId="305C80A3" w14:textId="77777777" w:rsidR="003E794A" w:rsidRPr="00F930CA" w:rsidRDefault="003E794A">
            <w:pPr>
              <w:rPr>
                <w:color w:val="000000"/>
                <w:sz w:val="20"/>
                <w:szCs w:val="20"/>
              </w:rPr>
            </w:pPr>
            <w:r w:rsidRPr="00F930CA">
              <w:rPr>
                <w:color w:val="000000"/>
                <w:sz w:val="20"/>
                <w:szCs w:val="20"/>
              </w:rPr>
              <w:t>4.1.5</w:t>
            </w:r>
          </w:p>
        </w:tc>
        <w:tc>
          <w:tcPr>
            <w:tcW w:w="2790" w:type="dxa"/>
            <w:gridSpan w:val="4"/>
          </w:tcPr>
          <w:p w14:paraId="67BFAA6E" w14:textId="77777777" w:rsidR="003E794A" w:rsidRPr="00F930CA" w:rsidRDefault="003E794A">
            <w:pPr>
              <w:rPr>
                <w:color w:val="000000"/>
                <w:sz w:val="20"/>
                <w:szCs w:val="20"/>
              </w:rPr>
            </w:pPr>
            <w:r w:rsidRPr="00F930CA">
              <w:rPr>
                <w:color w:val="000000"/>
                <w:sz w:val="20"/>
                <w:szCs w:val="20"/>
              </w:rPr>
              <w:t>Filter Plates</w:t>
            </w:r>
          </w:p>
          <w:p w14:paraId="3EFA2729" w14:textId="77777777" w:rsidR="003E794A" w:rsidRPr="00F930CA" w:rsidRDefault="003E794A" w:rsidP="00E33B2F">
            <w:pPr>
              <w:jc w:val="center"/>
              <w:rPr>
                <w:sz w:val="20"/>
                <w:szCs w:val="20"/>
              </w:rPr>
            </w:pPr>
          </w:p>
        </w:tc>
        <w:tc>
          <w:tcPr>
            <w:tcW w:w="1710" w:type="dxa"/>
            <w:shd w:val="clear" w:color="auto" w:fill="FFFFFF"/>
          </w:tcPr>
          <w:p w14:paraId="1DBD2AA3" w14:textId="77777777" w:rsidR="003E794A" w:rsidRPr="00F930CA" w:rsidRDefault="003E794A">
            <w:pPr>
              <w:rPr>
                <w:color w:val="000000"/>
                <w:sz w:val="20"/>
                <w:szCs w:val="20"/>
              </w:rPr>
            </w:pPr>
            <w:r w:rsidRPr="00F930CA">
              <w:rPr>
                <w:color w:val="000000"/>
                <w:sz w:val="20"/>
                <w:szCs w:val="20"/>
              </w:rPr>
              <w:t>Millipore Multiscreen filter plates</w:t>
            </w:r>
          </w:p>
          <w:p w14:paraId="7D19616A" w14:textId="77777777" w:rsidR="003E794A" w:rsidRPr="00F930CA" w:rsidRDefault="003E794A">
            <w:pPr>
              <w:rPr>
                <w:color w:val="000000"/>
                <w:sz w:val="20"/>
                <w:szCs w:val="20"/>
              </w:rPr>
            </w:pPr>
            <w:r w:rsidRPr="00F930CA">
              <w:rPr>
                <w:color w:val="000000"/>
                <w:sz w:val="20"/>
                <w:szCs w:val="20"/>
              </w:rPr>
              <w:t>Cat no: MABVN1250</w:t>
            </w:r>
          </w:p>
        </w:tc>
        <w:tc>
          <w:tcPr>
            <w:tcW w:w="2790" w:type="dxa"/>
            <w:gridSpan w:val="2"/>
            <w:shd w:val="clear" w:color="auto" w:fill="FFFFFF"/>
          </w:tcPr>
          <w:p w14:paraId="51BB142C" w14:textId="77777777" w:rsidR="003E794A" w:rsidRPr="00F930CA" w:rsidRDefault="003E794A">
            <w:pPr>
              <w:rPr>
                <w:color w:val="000000"/>
                <w:sz w:val="20"/>
                <w:szCs w:val="20"/>
              </w:rPr>
            </w:pPr>
            <w:r w:rsidRPr="00F930CA">
              <w:rPr>
                <w:color w:val="000000"/>
                <w:sz w:val="20"/>
                <w:szCs w:val="20"/>
              </w:rPr>
              <w:t>For filter plate method</w:t>
            </w:r>
          </w:p>
        </w:tc>
      </w:tr>
      <w:tr w:rsidR="003E794A" w:rsidRPr="00F930CA" w14:paraId="5EAD88BF" w14:textId="77777777">
        <w:trPr>
          <w:cantSplit/>
        </w:trPr>
        <w:tc>
          <w:tcPr>
            <w:tcW w:w="738" w:type="dxa"/>
          </w:tcPr>
          <w:p w14:paraId="089AFD7C" w14:textId="77777777" w:rsidR="003E794A" w:rsidRPr="00F930CA" w:rsidRDefault="003E794A">
            <w:pPr>
              <w:spacing w:before="60"/>
              <w:rPr>
                <w:color w:val="000000"/>
                <w:sz w:val="20"/>
                <w:szCs w:val="20"/>
              </w:rPr>
            </w:pPr>
          </w:p>
        </w:tc>
        <w:tc>
          <w:tcPr>
            <w:tcW w:w="720" w:type="dxa"/>
          </w:tcPr>
          <w:p w14:paraId="3CFB34D2" w14:textId="77777777" w:rsidR="003E794A" w:rsidRPr="00F930CA" w:rsidRDefault="003E794A">
            <w:pPr>
              <w:pStyle w:val="Header"/>
              <w:spacing w:before="60"/>
              <w:rPr>
                <w:color w:val="000000"/>
                <w:sz w:val="20"/>
                <w:szCs w:val="20"/>
              </w:rPr>
            </w:pPr>
          </w:p>
        </w:tc>
        <w:tc>
          <w:tcPr>
            <w:tcW w:w="900" w:type="dxa"/>
            <w:vAlign w:val="center"/>
          </w:tcPr>
          <w:p w14:paraId="0C262DAA" w14:textId="77777777" w:rsidR="003E794A" w:rsidRPr="00F930CA" w:rsidRDefault="003E794A">
            <w:pPr>
              <w:rPr>
                <w:color w:val="000000"/>
                <w:sz w:val="20"/>
                <w:szCs w:val="20"/>
              </w:rPr>
            </w:pPr>
            <w:r w:rsidRPr="00F930CA">
              <w:rPr>
                <w:color w:val="000000"/>
                <w:sz w:val="20"/>
                <w:szCs w:val="20"/>
              </w:rPr>
              <w:t>4.1.6</w:t>
            </w:r>
          </w:p>
        </w:tc>
        <w:tc>
          <w:tcPr>
            <w:tcW w:w="2790" w:type="dxa"/>
            <w:gridSpan w:val="4"/>
          </w:tcPr>
          <w:p w14:paraId="2FB29046" w14:textId="77777777" w:rsidR="003E794A" w:rsidRPr="00F930CA" w:rsidRDefault="003E794A">
            <w:pPr>
              <w:rPr>
                <w:color w:val="000000"/>
                <w:sz w:val="20"/>
                <w:szCs w:val="20"/>
              </w:rPr>
            </w:pPr>
            <w:r w:rsidRPr="00F930CA">
              <w:rPr>
                <w:color w:val="000000"/>
                <w:sz w:val="20"/>
                <w:szCs w:val="20"/>
              </w:rPr>
              <w:t>Pre-cut transparent microplate sealers</w:t>
            </w:r>
          </w:p>
        </w:tc>
        <w:tc>
          <w:tcPr>
            <w:tcW w:w="1710" w:type="dxa"/>
            <w:shd w:val="clear" w:color="auto" w:fill="FFFFFF"/>
          </w:tcPr>
          <w:p w14:paraId="7055AC23" w14:textId="77777777" w:rsidR="003E794A" w:rsidRPr="00F930CA" w:rsidRDefault="003E794A">
            <w:pPr>
              <w:rPr>
                <w:color w:val="000000"/>
                <w:sz w:val="20"/>
                <w:szCs w:val="20"/>
              </w:rPr>
            </w:pPr>
            <w:r w:rsidRPr="00F930CA">
              <w:rPr>
                <w:color w:val="000000"/>
                <w:sz w:val="20"/>
                <w:szCs w:val="20"/>
              </w:rPr>
              <w:t>Greiner Bio-one</w:t>
            </w:r>
          </w:p>
          <w:p w14:paraId="21B9AB56" w14:textId="77777777" w:rsidR="003E794A" w:rsidRPr="00F930CA" w:rsidRDefault="003E794A">
            <w:pPr>
              <w:rPr>
                <w:color w:val="000000"/>
                <w:sz w:val="20"/>
                <w:szCs w:val="20"/>
              </w:rPr>
            </w:pPr>
            <w:r w:rsidRPr="00F930CA">
              <w:rPr>
                <w:color w:val="000000"/>
                <w:sz w:val="20"/>
                <w:szCs w:val="20"/>
              </w:rPr>
              <w:t>Cat no: 676001</w:t>
            </w:r>
          </w:p>
          <w:p w14:paraId="6AEEB604" w14:textId="77777777" w:rsidR="003E794A" w:rsidRPr="00F930CA" w:rsidRDefault="003E794A">
            <w:pPr>
              <w:rPr>
                <w:color w:val="000000"/>
                <w:sz w:val="20"/>
                <w:szCs w:val="20"/>
              </w:rPr>
            </w:pPr>
            <w:r w:rsidRPr="00F930CA">
              <w:rPr>
                <w:color w:val="000000"/>
                <w:sz w:val="20"/>
                <w:szCs w:val="20"/>
              </w:rPr>
              <w:t>Supplied by Jencons-PLS</w:t>
            </w:r>
          </w:p>
          <w:p w14:paraId="62C9A4FF" w14:textId="77777777" w:rsidR="003E794A" w:rsidRPr="00F930CA" w:rsidRDefault="003E794A">
            <w:pPr>
              <w:rPr>
                <w:color w:val="000000"/>
                <w:sz w:val="20"/>
                <w:szCs w:val="20"/>
              </w:rPr>
            </w:pPr>
            <w:r w:rsidRPr="00F930CA">
              <w:rPr>
                <w:color w:val="000000"/>
                <w:sz w:val="20"/>
                <w:szCs w:val="20"/>
              </w:rPr>
              <w:t>Cat no: 488-097</w:t>
            </w:r>
          </w:p>
        </w:tc>
        <w:tc>
          <w:tcPr>
            <w:tcW w:w="2790" w:type="dxa"/>
            <w:gridSpan w:val="2"/>
            <w:shd w:val="clear" w:color="auto" w:fill="FFFFFF"/>
          </w:tcPr>
          <w:p w14:paraId="6CCBBA0D" w14:textId="77777777" w:rsidR="003E794A" w:rsidRPr="00F930CA" w:rsidRDefault="003E794A">
            <w:pPr>
              <w:rPr>
                <w:color w:val="000000"/>
                <w:sz w:val="20"/>
                <w:szCs w:val="20"/>
              </w:rPr>
            </w:pPr>
          </w:p>
        </w:tc>
      </w:tr>
      <w:tr w:rsidR="003E794A" w:rsidRPr="00F930CA" w14:paraId="7FFA2B61" w14:textId="77777777">
        <w:trPr>
          <w:cantSplit/>
        </w:trPr>
        <w:tc>
          <w:tcPr>
            <w:tcW w:w="738" w:type="dxa"/>
          </w:tcPr>
          <w:p w14:paraId="4263E353" w14:textId="77777777" w:rsidR="003E794A" w:rsidRPr="00F930CA" w:rsidRDefault="003E794A">
            <w:pPr>
              <w:spacing w:before="60"/>
              <w:jc w:val="center"/>
              <w:rPr>
                <w:color w:val="000000"/>
                <w:sz w:val="20"/>
                <w:szCs w:val="20"/>
              </w:rPr>
            </w:pPr>
          </w:p>
        </w:tc>
        <w:tc>
          <w:tcPr>
            <w:tcW w:w="720" w:type="dxa"/>
          </w:tcPr>
          <w:p w14:paraId="0D14BC20" w14:textId="77777777" w:rsidR="003E794A" w:rsidRPr="00F930CA" w:rsidRDefault="003E794A">
            <w:pPr>
              <w:pStyle w:val="Header"/>
              <w:spacing w:before="60"/>
              <w:rPr>
                <w:color w:val="000000"/>
                <w:sz w:val="20"/>
                <w:szCs w:val="20"/>
              </w:rPr>
            </w:pPr>
          </w:p>
        </w:tc>
        <w:tc>
          <w:tcPr>
            <w:tcW w:w="900" w:type="dxa"/>
            <w:vAlign w:val="center"/>
          </w:tcPr>
          <w:p w14:paraId="6F81CA59" w14:textId="77777777" w:rsidR="003E794A" w:rsidRPr="00F930CA" w:rsidRDefault="003E794A">
            <w:pPr>
              <w:rPr>
                <w:color w:val="000000"/>
                <w:sz w:val="20"/>
                <w:szCs w:val="20"/>
              </w:rPr>
            </w:pPr>
            <w:r w:rsidRPr="00F930CA">
              <w:rPr>
                <w:color w:val="000000"/>
                <w:sz w:val="20"/>
                <w:szCs w:val="20"/>
              </w:rPr>
              <w:t>4.1.7</w:t>
            </w:r>
          </w:p>
        </w:tc>
        <w:tc>
          <w:tcPr>
            <w:tcW w:w="2790" w:type="dxa"/>
            <w:gridSpan w:val="4"/>
          </w:tcPr>
          <w:p w14:paraId="613CB769" w14:textId="77777777" w:rsidR="003E794A" w:rsidRPr="00F930CA" w:rsidRDefault="003E794A">
            <w:pPr>
              <w:pStyle w:val="Header"/>
              <w:spacing w:before="60"/>
              <w:rPr>
                <w:color w:val="000000"/>
                <w:sz w:val="20"/>
                <w:szCs w:val="20"/>
              </w:rPr>
            </w:pPr>
            <w:r w:rsidRPr="00F930CA">
              <w:rPr>
                <w:color w:val="000000"/>
                <w:sz w:val="20"/>
                <w:szCs w:val="20"/>
              </w:rPr>
              <w:t>Aluminium foil</w:t>
            </w:r>
          </w:p>
        </w:tc>
        <w:tc>
          <w:tcPr>
            <w:tcW w:w="1710" w:type="dxa"/>
            <w:shd w:val="clear" w:color="auto" w:fill="FFFFFF"/>
          </w:tcPr>
          <w:p w14:paraId="71551361" w14:textId="77777777" w:rsidR="003E794A" w:rsidRPr="00F930CA" w:rsidRDefault="003E794A">
            <w:pPr>
              <w:pStyle w:val="Header"/>
              <w:spacing w:before="60"/>
              <w:rPr>
                <w:color w:val="000000"/>
                <w:sz w:val="20"/>
                <w:szCs w:val="20"/>
              </w:rPr>
            </w:pPr>
          </w:p>
        </w:tc>
        <w:tc>
          <w:tcPr>
            <w:tcW w:w="2790" w:type="dxa"/>
            <w:gridSpan w:val="2"/>
            <w:shd w:val="clear" w:color="auto" w:fill="FFFFFF"/>
          </w:tcPr>
          <w:p w14:paraId="67D56114" w14:textId="77777777" w:rsidR="003E794A" w:rsidRPr="00F930CA" w:rsidRDefault="003E794A">
            <w:pPr>
              <w:pStyle w:val="Header"/>
              <w:spacing w:before="60"/>
              <w:rPr>
                <w:color w:val="000000"/>
                <w:sz w:val="20"/>
                <w:szCs w:val="20"/>
              </w:rPr>
            </w:pPr>
          </w:p>
        </w:tc>
      </w:tr>
      <w:tr w:rsidR="003E794A" w:rsidRPr="00F930CA" w14:paraId="3CF6AE98" w14:textId="77777777">
        <w:trPr>
          <w:cantSplit/>
        </w:trPr>
        <w:tc>
          <w:tcPr>
            <w:tcW w:w="738" w:type="dxa"/>
          </w:tcPr>
          <w:p w14:paraId="3B5F36C1" w14:textId="77777777" w:rsidR="003E794A" w:rsidRPr="00F930CA" w:rsidRDefault="003E794A">
            <w:pPr>
              <w:spacing w:before="60"/>
              <w:jc w:val="center"/>
              <w:rPr>
                <w:color w:val="000000"/>
                <w:sz w:val="20"/>
                <w:szCs w:val="20"/>
              </w:rPr>
            </w:pPr>
          </w:p>
        </w:tc>
        <w:tc>
          <w:tcPr>
            <w:tcW w:w="720" w:type="dxa"/>
          </w:tcPr>
          <w:p w14:paraId="4EC4502C" w14:textId="77777777" w:rsidR="003E794A" w:rsidRPr="00F930CA" w:rsidRDefault="003E794A">
            <w:pPr>
              <w:pStyle w:val="Header"/>
              <w:spacing w:before="60"/>
              <w:rPr>
                <w:color w:val="000000"/>
                <w:sz w:val="20"/>
                <w:szCs w:val="20"/>
              </w:rPr>
            </w:pPr>
          </w:p>
        </w:tc>
        <w:tc>
          <w:tcPr>
            <w:tcW w:w="900" w:type="dxa"/>
            <w:vAlign w:val="center"/>
          </w:tcPr>
          <w:p w14:paraId="5C447B74" w14:textId="77777777" w:rsidR="003E794A" w:rsidRPr="00F930CA" w:rsidRDefault="003E794A">
            <w:pPr>
              <w:rPr>
                <w:color w:val="000000"/>
                <w:sz w:val="20"/>
                <w:szCs w:val="20"/>
              </w:rPr>
            </w:pPr>
            <w:r w:rsidRPr="00F930CA">
              <w:rPr>
                <w:color w:val="000000"/>
                <w:sz w:val="20"/>
                <w:szCs w:val="20"/>
              </w:rPr>
              <w:t>4.1.8</w:t>
            </w:r>
          </w:p>
        </w:tc>
        <w:tc>
          <w:tcPr>
            <w:tcW w:w="2790" w:type="dxa"/>
            <w:gridSpan w:val="4"/>
          </w:tcPr>
          <w:p w14:paraId="4A40F851" w14:textId="77777777" w:rsidR="003E794A" w:rsidRPr="00F930CA" w:rsidRDefault="003E794A">
            <w:pPr>
              <w:pStyle w:val="Header"/>
              <w:spacing w:before="60"/>
              <w:rPr>
                <w:color w:val="000000"/>
                <w:sz w:val="20"/>
                <w:szCs w:val="20"/>
              </w:rPr>
            </w:pPr>
            <w:r w:rsidRPr="00F930CA">
              <w:rPr>
                <w:color w:val="000000"/>
                <w:sz w:val="20"/>
                <w:szCs w:val="20"/>
              </w:rPr>
              <w:t>Swinging bucket rotor for 96 well SSP tray (1300g/2600 rpm)</w:t>
            </w:r>
          </w:p>
        </w:tc>
        <w:tc>
          <w:tcPr>
            <w:tcW w:w="1710" w:type="dxa"/>
            <w:shd w:val="clear" w:color="auto" w:fill="FFFFFF"/>
          </w:tcPr>
          <w:p w14:paraId="398319D6" w14:textId="77777777" w:rsidR="003E794A" w:rsidRPr="00F930CA" w:rsidRDefault="003E794A">
            <w:pPr>
              <w:pStyle w:val="Header"/>
              <w:spacing w:before="60"/>
              <w:rPr>
                <w:color w:val="000000"/>
                <w:sz w:val="20"/>
                <w:szCs w:val="20"/>
              </w:rPr>
            </w:pPr>
          </w:p>
        </w:tc>
        <w:tc>
          <w:tcPr>
            <w:tcW w:w="2790" w:type="dxa"/>
            <w:gridSpan w:val="2"/>
            <w:shd w:val="clear" w:color="auto" w:fill="FFFFFF"/>
          </w:tcPr>
          <w:p w14:paraId="7582FB7C" w14:textId="77777777" w:rsidR="003E794A" w:rsidRPr="00F930CA" w:rsidRDefault="003E794A">
            <w:pPr>
              <w:pStyle w:val="Header"/>
              <w:spacing w:before="60"/>
              <w:rPr>
                <w:color w:val="000000"/>
                <w:sz w:val="20"/>
                <w:szCs w:val="20"/>
              </w:rPr>
            </w:pPr>
            <w:r w:rsidRPr="00F930CA">
              <w:rPr>
                <w:color w:val="000000"/>
                <w:sz w:val="20"/>
                <w:szCs w:val="20"/>
              </w:rPr>
              <w:t>For spin and flick method</w:t>
            </w:r>
          </w:p>
        </w:tc>
      </w:tr>
      <w:tr w:rsidR="003E794A" w:rsidRPr="00F930CA" w14:paraId="1A355057" w14:textId="77777777">
        <w:trPr>
          <w:cantSplit/>
        </w:trPr>
        <w:tc>
          <w:tcPr>
            <w:tcW w:w="738" w:type="dxa"/>
          </w:tcPr>
          <w:p w14:paraId="5E94E272" w14:textId="77777777" w:rsidR="003E794A" w:rsidRPr="00F930CA" w:rsidRDefault="003E794A">
            <w:pPr>
              <w:spacing w:before="60"/>
              <w:jc w:val="center"/>
              <w:rPr>
                <w:color w:val="000000"/>
                <w:sz w:val="20"/>
                <w:szCs w:val="20"/>
              </w:rPr>
            </w:pPr>
          </w:p>
        </w:tc>
        <w:tc>
          <w:tcPr>
            <w:tcW w:w="720" w:type="dxa"/>
          </w:tcPr>
          <w:p w14:paraId="10C01877" w14:textId="77777777" w:rsidR="003E794A" w:rsidRPr="00F930CA" w:rsidRDefault="003E794A">
            <w:pPr>
              <w:pStyle w:val="Header"/>
              <w:spacing w:before="60"/>
              <w:rPr>
                <w:color w:val="000000"/>
                <w:sz w:val="20"/>
                <w:szCs w:val="20"/>
              </w:rPr>
            </w:pPr>
          </w:p>
        </w:tc>
        <w:tc>
          <w:tcPr>
            <w:tcW w:w="900" w:type="dxa"/>
            <w:vAlign w:val="center"/>
          </w:tcPr>
          <w:p w14:paraId="34775A08" w14:textId="77777777" w:rsidR="003E794A" w:rsidRPr="00F930CA" w:rsidRDefault="003E794A">
            <w:pPr>
              <w:rPr>
                <w:color w:val="000000"/>
                <w:sz w:val="20"/>
                <w:szCs w:val="20"/>
              </w:rPr>
            </w:pPr>
            <w:r w:rsidRPr="00F930CA">
              <w:rPr>
                <w:color w:val="000000"/>
                <w:sz w:val="20"/>
                <w:szCs w:val="20"/>
              </w:rPr>
              <w:t>4.1.9</w:t>
            </w:r>
          </w:p>
        </w:tc>
        <w:tc>
          <w:tcPr>
            <w:tcW w:w="2790" w:type="dxa"/>
            <w:gridSpan w:val="4"/>
          </w:tcPr>
          <w:p w14:paraId="61C5C5B6" w14:textId="77777777" w:rsidR="003E794A" w:rsidRPr="00F930CA" w:rsidRDefault="003E794A">
            <w:pPr>
              <w:pStyle w:val="Header"/>
              <w:spacing w:before="60"/>
              <w:rPr>
                <w:color w:val="000000"/>
                <w:sz w:val="20"/>
                <w:szCs w:val="20"/>
              </w:rPr>
            </w:pPr>
            <w:r w:rsidRPr="00F930CA">
              <w:rPr>
                <w:color w:val="000000"/>
                <w:sz w:val="20"/>
                <w:szCs w:val="20"/>
              </w:rPr>
              <w:t>Microtube plate V bottom (G&amp;N Laboratory: MA612V96)</w:t>
            </w:r>
          </w:p>
        </w:tc>
        <w:tc>
          <w:tcPr>
            <w:tcW w:w="1710" w:type="dxa"/>
            <w:shd w:val="clear" w:color="auto" w:fill="FFFFFF"/>
          </w:tcPr>
          <w:p w14:paraId="7B3ECB07" w14:textId="77777777" w:rsidR="003E794A" w:rsidRPr="00F930CA" w:rsidRDefault="003E794A">
            <w:pPr>
              <w:pStyle w:val="Header"/>
              <w:spacing w:before="60"/>
              <w:rPr>
                <w:color w:val="000000"/>
                <w:sz w:val="20"/>
                <w:szCs w:val="20"/>
              </w:rPr>
            </w:pPr>
          </w:p>
        </w:tc>
        <w:tc>
          <w:tcPr>
            <w:tcW w:w="2790" w:type="dxa"/>
            <w:gridSpan w:val="2"/>
            <w:shd w:val="clear" w:color="auto" w:fill="FFFFFF"/>
          </w:tcPr>
          <w:p w14:paraId="32FFCBAC" w14:textId="77777777" w:rsidR="003E794A" w:rsidRPr="00F930CA" w:rsidRDefault="003E794A">
            <w:pPr>
              <w:pStyle w:val="Header"/>
              <w:spacing w:before="60"/>
              <w:rPr>
                <w:color w:val="000000"/>
                <w:sz w:val="20"/>
                <w:szCs w:val="20"/>
              </w:rPr>
            </w:pPr>
            <w:r w:rsidRPr="00F930CA">
              <w:rPr>
                <w:color w:val="000000"/>
                <w:sz w:val="20"/>
                <w:szCs w:val="20"/>
              </w:rPr>
              <w:t>For spin and flick method</w:t>
            </w:r>
          </w:p>
        </w:tc>
      </w:tr>
      <w:tr w:rsidR="003E794A" w:rsidRPr="00F930CA" w14:paraId="3742ED7C" w14:textId="77777777">
        <w:trPr>
          <w:cantSplit/>
        </w:trPr>
        <w:tc>
          <w:tcPr>
            <w:tcW w:w="738" w:type="dxa"/>
          </w:tcPr>
          <w:p w14:paraId="0A57DEB1" w14:textId="77777777" w:rsidR="003E794A" w:rsidRPr="00F930CA" w:rsidRDefault="003E794A">
            <w:pPr>
              <w:spacing w:before="60"/>
              <w:jc w:val="center"/>
              <w:rPr>
                <w:color w:val="000000"/>
                <w:sz w:val="20"/>
                <w:szCs w:val="20"/>
              </w:rPr>
            </w:pPr>
          </w:p>
        </w:tc>
        <w:tc>
          <w:tcPr>
            <w:tcW w:w="720" w:type="dxa"/>
          </w:tcPr>
          <w:p w14:paraId="6806F1E8" w14:textId="77777777" w:rsidR="003E794A" w:rsidRPr="00F930CA" w:rsidRDefault="003E794A">
            <w:pPr>
              <w:pStyle w:val="Header"/>
              <w:spacing w:before="60"/>
              <w:rPr>
                <w:color w:val="000000"/>
                <w:sz w:val="20"/>
                <w:szCs w:val="20"/>
              </w:rPr>
            </w:pPr>
          </w:p>
        </w:tc>
        <w:tc>
          <w:tcPr>
            <w:tcW w:w="900" w:type="dxa"/>
            <w:vAlign w:val="center"/>
          </w:tcPr>
          <w:p w14:paraId="6D7B47AA" w14:textId="77777777" w:rsidR="003E794A" w:rsidRPr="00F930CA" w:rsidRDefault="003E794A">
            <w:pPr>
              <w:rPr>
                <w:color w:val="000000"/>
                <w:sz w:val="20"/>
                <w:szCs w:val="20"/>
              </w:rPr>
            </w:pPr>
            <w:r w:rsidRPr="00F930CA">
              <w:rPr>
                <w:color w:val="000000"/>
                <w:sz w:val="20"/>
                <w:szCs w:val="20"/>
              </w:rPr>
              <w:t>4.1.10</w:t>
            </w:r>
          </w:p>
        </w:tc>
        <w:tc>
          <w:tcPr>
            <w:tcW w:w="2790" w:type="dxa"/>
            <w:gridSpan w:val="4"/>
          </w:tcPr>
          <w:p w14:paraId="2D7944A9" w14:textId="77777777" w:rsidR="003E794A" w:rsidRPr="00F930CA" w:rsidRDefault="003E794A">
            <w:pPr>
              <w:pStyle w:val="Header"/>
              <w:spacing w:before="60"/>
              <w:rPr>
                <w:color w:val="000000"/>
                <w:sz w:val="20"/>
                <w:szCs w:val="20"/>
              </w:rPr>
            </w:pPr>
            <w:r w:rsidRPr="00F930CA">
              <w:rPr>
                <w:color w:val="000000"/>
                <w:sz w:val="20"/>
                <w:szCs w:val="20"/>
              </w:rPr>
              <w:t>96 well low profile SSP tray</w:t>
            </w:r>
          </w:p>
        </w:tc>
        <w:tc>
          <w:tcPr>
            <w:tcW w:w="1710" w:type="dxa"/>
            <w:shd w:val="clear" w:color="auto" w:fill="FFFFFF"/>
          </w:tcPr>
          <w:p w14:paraId="204BE3A2" w14:textId="77777777" w:rsidR="003E794A" w:rsidRPr="00F930CA" w:rsidRDefault="003E794A">
            <w:pPr>
              <w:pStyle w:val="Header"/>
              <w:spacing w:before="60"/>
              <w:rPr>
                <w:color w:val="000000"/>
                <w:sz w:val="20"/>
                <w:szCs w:val="20"/>
              </w:rPr>
            </w:pPr>
          </w:p>
        </w:tc>
        <w:tc>
          <w:tcPr>
            <w:tcW w:w="2790" w:type="dxa"/>
            <w:gridSpan w:val="2"/>
            <w:shd w:val="clear" w:color="auto" w:fill="FFFFFF"/>
          </w:tcPr>
          <w:p w14:paraId="1A688855" w14:textId="77777777" w:rsidR="003E794A" w:rsidRPr="00F930CA" w:rsidRDefault="003E794A">
            <w:pPr>
              <w:pStyle w:val="Header"/>
              <w:spacing w:before="60"/>
              <w:rPr>
                <w:color w:val="000000"/>
                <w:sz w:val="20"/>
                <w:szCs w:val="20"/>
              </w:rPr>
            </w:pPr>
            <w:r w:rsidRPr="00F930CA">
              <w:rPr>
                <w:color w:val="000000"/>
                <w:sz w:val="20"/>
                <w:szCs w:val="20"/>
              </w:rPr>
              <w:t>For spin and flick method</w:t>
            </w:r>
          </w:p>
        </w:tc>
      </w:tr>
      <w:tr w:rsidR="003E794A" w:rsidRPr="00F930CA" w14:paraId="3100CC0C" w14:textId="77777777">
        <w:trPr>
          <w:cantSplit/>
          <w:trHeight w:val="432"/>
        </w:trPr>
        <w:tc>
          <w:tcPr>
            <w:tcW w:w="738" w:type="dxa"/>
          </w:tcPr>
          <w:p w14:paraId="1D9D8843" w14:textId="77777777" w:rsidR="003E794A" w:rsidRPr="00F930CA" w:rsidRDefault="003E794A">
            <w:pPr>
              <w:rPr>
                <w:color w:val="000000"/>
                <w:sz w:val="20"/>
                <w:szCs w:val="20"/>
              </w:rPr>
            </w:pPr>
          </w:p>
        </w:tc>
        <w:tc>
          <w:tcPr>
            <w:tcW w:w="720" w:type="dxa"/>
          </w:tcPr>
          <w:p w14:paraId="3F81407E" w14:textId="77777777" w:rsidR="003E794A" w:rsidRPr="00F930CA" w:rsidRDefault="003E794A">
            <w:pPr>
              <w:rPr>
                <w:color w:val="000000"/>
                <w:sz w:val="20"/>
                <w:szCs w:val="20"/>
              </w:rPr>
            </w:pPr>
            <w:r w:rsidRPr="00F930CA">
              <w:rPr>
                <w:color w:val="000000"/>
                <w:sz w:val="20"/>
                <w:szCs w:val="20"/>
              </w:rPr>
              <w:t>4.2</w:t>
            </w:r>
          </w:p>
        </w:tc>
        <w:tc>
          <w:tcPr>
            <w:tcW w:w="8190" w:type="dxa"/>
            <w:gridSpan w:val="8"/>
          </w:tcPr>
          <w:p w14:paraId="5C93E68E" w14:textId="77777777" w:rsidR="003E794A" w:rsidRPr="00F930CA" w:rsidRDefault="003E794A">
            <w:pPr>
              <w:rPr>
                <w:color w:val="000000"/>
                <w:sz w:val="20"/>
                <w:szCs w:val="20"/>
              </w:rPr>
            </w:pPr>
            <w:r w:rsidRPr="00F930CA">
              <w:rPr>
                <w:color w:val="000000"/>
                <w:sz w:val="20"/>
                <w:szCs w:val="20"/>
              </w:rPr>
              <w:t xml:space="preserve">Reagents </w:t>
            </w:r>
          </w:p>
        </w:tc>
      </w:tr>
      <w:tr w:rsidR="003E794A" w:rsidRPr="00F930CA" w14:paraId="304BA6DD" w14:textId="77777777">
        <w:trPr>
          <w:cantSplit/>
        </w:trPr>
        <w:tc>
          <w:tcPr>
            <w:tcW w:w="738" w:type="dxa"/>
          </w:tcPr>
          <w:p w14:paraId="06A0C8DF" w14:textId="77777777" w:rsidR="003E794A" w:rsidRPr="00F930CA" w:rsidRDefault="003E794A" w:rsidP="002B32A5">
            <w:pPr>
              <w:spacing w:before="60"/>
              <w:rPr>
                <w:color w:val="000000"/>
                <w:sz w:val="20"/>
                <w:szCs w:val="20"/>
              </w:rPr>
            </w:pPr>
          </w:p>
        </w:tc>
        <w:tc>
          <w:tcPr>
            <w:tcW w:w="720" w:type="dxa"/>
          </w:tcPr>
          <w:p w14:paraId="6146C4B0" w14:textId="77777777" w:rsidR="003E794A" w:rsidRPr="00F930CA" w:rsidRDefault="003E794A" w:rsidP="002B32A5">
            <w:pPr>
              <w:pStyle w:val="Header"/>
              <w:spacing w:before="60"/>
              <w:rPr>
                <w:color w:val="000000"/>
                <w:sz w:val="20"/>
                <w:szCs w:val="20"/>
              </w:rPr>
            </w:pPr>
          </w:p>
        </w:tc>
        <w:tc>
          <w:tcPr>
            <w:tcW w:w="990" w:type="dxa"/>
            <w:gridSpan w:val="2"/>
          </w:tcPr>
          <w:p w14:paraId="72F47E2F" w14:textId="77777777" w:rsidR="003E794A" w:rsidRPr="00F930CA" w:rsidRDefault="003E794A" w:rsidP="002B32A5">
            <w:pPr>
              <w:rPr>
                <w:color w:val="000000"/>
                <w:sz w:val="20"/>
                <w:szCs w:val="20"/>
              </w:rPr>
            </w:pPr>
            <w:r w:rsidRPr="00F930CA">
              <w:rPr>
                <w:color w:val="000000"/>
                <w:sz w:val="20"/>
                <w:szCs w:val="20"/>
              </w:rPr>
              <w:t>4.2.1</w:t>
            </w:r>
          </w:p>
        </w:tc>
        <w:tc>
          <w:tcPr>
            <w:tcW w:w="2622" w:type="dxa"/>
            <w:gridSpan w:val="2"/>
          </w:tcPr>
          <w:p w14:paraId="2899C0A5" w14:textId="77777777" w:rsidR="003E794A" w:rsidRPr="00F930CA" w:rsidRDefault="003E794A" w:rsidP="002B32A5">
            <w:pPr>
              <w:rPr>
                <w:color w:val="000000"/>
                <w:sz w:val="20"/>
                <w:szCs w:val="20"/>
              </w:rPr>
            </w:pPr>
            <w:r w:rsidRPr="00F930CA">
              <w:rPr>
                <w:color w:val="000000"/>
                <w:sz w:val="20"/>
                <w:szCs w:val="20"/>
              </w:rPr>
              <w:t>Whole blood</w:t>
            </w:r>
          </w:p>
        </w:tc>
        <w:tc>
          <w:tcPr>
            <w:tcW w:w="1842" w:type="dxa"/>
            <w:gridSpan w:val="3"/>
          </w:tcPr>
          <w:p w14:paraId="2D803F40" w14:textId="77777777" w:rsidR="003E794A" w:rsidRPr="00F930CA" w:rsidRDefault="003E794A" w:rsidP="002B32A5">
            <w:pPr>
              <w:rPr>
                <w:color w:val="000000"/>
                <w:sz w:val="20"/>
                <w:szCs w:val="20"/>
              </w:rPr>
            </w:pPr>
            <w:r w:rsidRPr="00F930CA">
              <w:rPr>
                <w:color w:val="000000"/>
                <w:sz w:val="20"/>
                <w:szCs w:val="20"/>
              </w:rPr>
              <w:t>Subject Source</w:t>
            </w:r>
          </w:p>
        </w:tc>
        <w:tc>
          <w:tcPr>
            <w:tcW w:w="2736" w:type="dxa"/>
          </w:tcPr>
          <w:p w14:paraId="2C0754C4" w14:textId="77777777" w:rsidR="003E794A" w:rsidRPr="00F930CA" w:rsidRDefault="003E794A" w:rsidP="002B32A5">
            <w:pPr>
              <w:rPr>
                <w:color w:val="000000"/>
                <w:sz w:val="20"/>
                <w:szCs w:val="20"/>
              </w:rPr>
            </w:pPr>
          </w:p>
        </w:tc>
      </w:tr>
      <w:tr w:rsidR="003E794A" w:rsidRPr="00F930CA" w14:paraId="1AE38C64" w14:textId="77777777">
        <w:trPr>
          <w:cantSplit/>
        </w:trPr>
        <w:tc>
          <w:tcPr>
            <w:tcW w:w="738" w:type="dxa"/>
          </w:tcPr>
          <w:p w14:paraId="614D46F2" w14:textId="77777777" w:rsidR="003E794A" w:rsidRPr="00F930CA" w:rsidRDefault="003E794A">
            <w:pPr>
              <w:spacing w:before="60"/>
              <w:rPr>
                <w:color w:val="000000"/>
                <w:sz w:val="20"/>
                <w:szCs w:val="20"/>
              </w:rPr>
            </w:pPr>
          </w:p>
        </w:tc>
        <w:tc>
          <w:tcPr>
            <w:tcW w:w="720" w:type="dxa"/>
          </w:tcPr>
          <w:p w14:paraId="6CA7A9DF" w14:textId="77777777" w:rsidR="003E794A" w:rsidRPr="00F930CA" w:rsidRDefault="003E794A">
            <w:pPr>
              <w:pStyle w:val="Header"/>
              <w:spacing w:before="60"/>
              <w:rPr>
                <w:color w:val="000000"/>
                <w:sz w:val="20"/>
                <w:szCs w:val="20"/>
              </w:rPr>
            </w:pPr>
          </w:p>
        </w:tc>
        <w:tc>
          <w:tcPr>
            <w:tcW w:w="990" w:type="dxa"/>
            <w:gridSpan w:val="2"/>
          </w:tcPr>
          <w:p w14:paraId="772CC8CB" w14:textId="77777777" w:rsidR="003E794A" w:rsidRPr="00F930CA" w:rsidRDefault="003E794A">
            <w:pPr>
              <w:rPr>
                <w:color w:val="000000"/>
                <w:sz w:val="20"/>
                <w:szCs w:val="20"/>
              </w:rPr>
            </w:pPr>
            <w:r w:rsidRPr="00F930CA">
              <w:rPr>
                <w:color w:val="000000"/>
                <w:sz w:val="20"/>
                <w:szCs w:val="20"/>
              </w:rPr>
              <w:t>4.2.2</w:t>
            </w:r>
          </w:p>
        </w:tc>
        <w:tc>
          <w:tcPr>
            <w:tcW w:w="2622" w:type="dxa"/>
            <w:gridSpan w:val="2"/>
          </w:tcPr>
          <w:p w14:paraId="0C200C76" w14:textId="77777777" w:rsidR="003E794A" w:rsidRPr="00F930CA" w:rsidRDefault="003E794A">
            <w:pPr>
              <w:pStyle w:val="Header"/>
              <w:spacing w:before="60"/>
              <w:rPr>
                <w:color w:val="000000"/>
                <w:sz w:val="20"/>
                <w:szCs w:val="20"/>
              </w:rPr>
            </w:pPr>
            <w:r w:rsidRPr="00F930CA">
              <w:rPr>
                <w:color w:val="000000"/>
                <w:sz w:val="20"/>
                <w:szCs w:val="20"/>
              </w:rPr>
              <w:t xml:space="preserve">PBS </w:t>
            </w:r>
          </w:p>
        </w:tc>
        <w:tc>
          <w:tcPr>
            <w:tcW w:w="1842" w:type="dxa"/>
            <w:gridSpan w:val="3"/>
          </w:tcPr>
          <w:p w14:paraId="448AAFF5" w14:textId="77777777" w:rsidR="003E794A" w:rsidRPr="00F930CA" w:rsidRDefault="003E794A">
            <w:pPr>
              <w:pStyle w:val="Header"/>
              <w:spacing w:before="60"/>
              <w:rPr>
                <w:color w:val="000000"/>
                <w:sz w:val="20"/>
                <w:szCs w:val="20"/>
              </w:rPr>
            </w:pPr>
            <w:r w:rsidRPr="00F930CA">
              <w:rPr>
                <w:color w:val="000000"/>
                <w:sz w:val="20"/>
                <w:szCs w:val="20"/>
              </w:rPr>
              <w:t>MP Biomedicals</w:t>
            </w:r>
          </w:p>
        </w:tc>
        <w:tc>
          <w:tcPr>
            <w:tcW w:w="2736" w:type="dxa"/>
          </w:tcPr>
          <w:p w14:paraId="178D2079" w14:textId="77777777" w:rsidR="003E794A" w:rsidRPr="00F930CA" w:rsidRDefault="003E794A">
            <w:pPr>
              <w:pStyle w:val="Header"/>
              <w:spacing w:before="60"/>
              <w:rPr>
                <w:color w:val="000000"/>
                <w:sz w:val="20"/>
                <w:szCs w:val="20"/>
              </w:rPr>
            </w:pPr>
            <w:r w:rsidRPr="00F930CA">
              <w:rPr>
                <w:color w:val="000000"/>
                <w:sz w:val="20"/>
                <w:szCs w:val="20"/>
              </w:rPr>
              <w:t>LCC CAT no.: 2810305</w:t>
            </w:r>
          </w:p>
          <w:p w14:paraId="1C238CF6" w14:textId="77777777" w:rsidR="003E794A" w:rsidRPr="00F930CA" w:rsidRDefault="003E794A" w:rsidP="0005264C">
            <w:pPr>
              <w:pStyle w:val="Header"/>
              <w:spacing w:before="60"/>
              <w:rPr>
                <w:color w:val="000000"/>
                <w:sz w:val="20"/>
                <w:szCs w:val="20"/>
              </w:rPr>
            </w:pPr>
            <w:r w:rsidRPr="00F930CA">
              <w:rPr>
                <w:color w:val="000000"/>
                <w:sz w:val="20"/>
                <w:szCs w:val="20"/>
              </w:rPr>
              <w:t>(Dissolve one tablet in 100ml distilled water and store at 4</w:t>
            </w:r>
            <w:r w:rsidRPr="00F930CA">
              <w:rPr>
                <w:color w:val="000000"/>
                <w:sz w:val="20"/>
                <w:szCs w:val="20"/>
              </w:rPr>
              <w:sym w:font="Symbol" w:char="F0B0"/>
            </w:r>
            <w:r w:rsidRPr="00F930CA">
              <w:rPr>
                <w:color w:val="000000"/>
                <w:sz w:val="20"/>
                <w:szCs w:val="20"/>
              </w:rPr>
              <w:t>C. Once prepared, discard after 1 month.)</w:t>
            </w:r>
          </w:p>
        </w:tc>
      </w:tr>
      <w:tr w:rsidR="003E794A" w:rsidRPr="00F930CA" w14:paraId="3789FE4B" w14:textId="77777777" w:rsidTr="00AA77AE">
        <w:trPr>
          <w:cantSplit/>
          <w:trHeight w:val="159"/>
        </w:trPr>
        <w:tc>
          <w:tcPr>
            <w:tcW w:w="738" w:type="dxa"/>
          </w:tcPr>
          <w:p w14:paraId="268D95B2" w14:textId="77777777" w:rsidR="003E794A" w:rsidRPr="00F930CA" w:rsidRDefault="003E794A">
            <w:pPr>
              <w:pStyle w:val="Header"/>
              <w:rPr>
                <w:color w:val="000000"/>
                <w:sz w:val="20"/>
                <w:szCs w:val="20"/>
              </w:rPr>
            </w:pPr>
          </w:p>
        </w:tc>
        <w:tc>
          <w:tcPr>
            <w:tcW w:w="720" w:type="dxa"/>
          </w:tcPr>
          <w:p w14:paraId="20B49E70" w14:textId="77777777" w:rsidR="003E794A" w:rsidRPr="00F930CA" w:rsidRDefault="003E794A">
            <w:pPr>
              <w:rPr>
                <w:color w:val="000000"/>
                <w:sz w:val="20"/>
                <w:szCs w:val="20"/>
              </w:rPr>
            </w:pPr>
          </w:p>
        </w:tc>
        <w:tc>
          <w:tcPr>
            <w:tcW w:w="990" w:type="dxa"/>
            <w:gridSpan w:val="2"/>
          </w:tcPr>
          <w:p w14:paraId="4C2F012F" w14:textId="77777777" w:rsidR="003E794A" w:rsidRPr="00F930CA" w:rsidRDefault="003E794A">
            <w:pPr>
              <w:rPr>
                <w:color w:val="000000"/>
                <w:sz w:val="20"/>
                <w:szCs w:val="20"/>
              </w:rPr>
            </w:pPr>
            <w:r w:rsidRPr="00F930CA">
              <w:rPr>
                <w:color w:val="000000"/>
                <w:sz w:val="20"/>
                <w:szCs w:val="20"/>
              </w:rPr>
              <w:t>4.2.3</w:t>
            </w:r>
          </w:p>
        </w:tc>
        <w:tc>
          <w:tcPr>
            <w:tcW w:w="2622" w:type="dxa"/>
            <w:gridSpan w:val="2"/>
          </w:tcPr>
          <w:p w14:paraId="424D4164" w14:textId="77777777" w:rsidR="003E794A" w:rsidRPr="00F930CA" w:rsidRDefault="003E794A">
            <w:pPr>
              <w:rPr>
                <w:color w:val="000000"/>
                <w:sz w:val="20"/>
                <w:szCs w:val="20"/>
              </w:rPr>
            </w:pPr>
            <w:r w:rsidRPr="00F930CA">
              <w:rPr>
                <w:color w:val="000000"/>
                <w:sz w:val="20"/>
                <w:szCs w:val="20"/>
              </w:rPr>
              <w:t>Goat anti-human IgG Conjugated to phycoerythrin (freeze dried 100x concentrated and stored 4</w:t>
            </w:r>
            <w:r w:rsidRPr="00F930CA">
              <w:rPr>
                <w:color w:val="000000"/>
                <w:sz w:val="20"/>
                <w:szCs w:val="20"/>
              </w:rPr>
              <w:sym w:font="Symbol" w:char="F0B0"/>
            </w:r>
            <w:r w:rsidRPr="00F930CA">
              <w:rPr>
                <w:color w:val="000000"/>
                <w:sz w:val="20"/>
                <w:szCs w:val="20"/>
              </w:rPr>
              <w:t xml:space="preserve">C.) </w:t>
            </w:r>
          </w:p>
        </w:tc>
        <w:tc>
          <w:tcPr>
            <w:tcW w:w="1842" w:type="dxa"/>
            <w:gridSpan w:val="3"/>
          </w:tcPr>
          <w:p w14:paraId="28D26096" w14:textId="77777777" w:rsidR="003E794A" w:rsidRPr="00F930CA" w:rsidRDefault="003E794A">
            <w:pPr>
              <w:rPr>
                <w:color w:val="000000"/>
                <w:sz w:val="20"/>
                <w:szCs w:val="20"/>
              </w:rPr>
            </w:pPr>
            <w:r w:rsidRPr="00F930CA">
              <w:rPr>
                <w:color w:val="000000"/>
                <w:sz w:val="20"/>
                <w:szCs w:val="20"/>
              </w:rPr>
              <w:t>OneLambda</w:t>
            </w:r>
          </w:p>
          <w:p w14:paraId="29D02A5E" w14:textId="77777777" w:rsidR="003E794A" w:rsidRPr="00F930CA" w:rsidRDefault="003E794A">
            <w:pPr>
              <w:rPr>
                <w:color w:val="000000"/>
                <w:sz w:val="20"/>
                <w:szCs w:val="20"/>
              </w:rPr>
            </w:pPr>
            <w:r w:rsidRPr="00F930CA">
              <w:rPr>
                <w:color w:val="000000"/>
                <w:sz w:val="20"/>
                <w:szCs w:val="20"/>
              </w:rPr>
              <w:t>Cat no: 03LSAB2</w:t>
            </w:r>
          </w:p>
        </w:tc>
        <w:tc>
          <w:tcPr>
            <w:tcW w:w="2736" w:type="dxa"/>
            <w:shd w:val="clear" w:color="auto" w:fill="FFFFFF"/>
          </w:tcPr>
          <w:p w14:paraId="31F623C1" w14:textId="77777777" w:rsidR="003E794A" w:rsidRPr="00F930CA" w:rsidRDefault="003E794A" w:rsidP="00A725E7">
            <w:pPr>
              <w:pStyle w:val="BodyText"/>
              <w:rPr>
                <w:rFonts w:cs="Arial"/>
                <w:sz w:val="20"/>
                <w:szCs w:val="20"/>
              </w:rPr>
            </w:pPr>
            <w:r w:rsidRPr="00F930CA">
              <w:rPr>
                <w:rFonts w:cs="Arial"/>
                <w:sz w:val="20"/>
                <w:szCs w:val="20"/>
              </w:rPr>
              <w:t>Reconstituted before use by adding sterile water at least two hours prior to first use.  The volume of water to be added is clearly stated on the bottle. The date must be recorded on the side of the bottle, with an expiry date of 6 months post reconstitution date, unless the expiry date provided on the stock is earlier.  Once reconstituted the IgG/PE must be stored at 4</w:t>
            </w:r>
            <w:r w:rsidRPr="00F930CA">
              <w:rPr>
                <w:rFonts w:cs="Arial"/>
                <w:sz w:val="20"/>
                <w:szCs w:val="20"/>
              </w:rPr>
              <w:sym w:font="Symbol" w:char="F0B0"/>
            </w:r>
            <w:r w:rsidRPr="00F930CA">
              <w:rPr>
                <w:rFonts w:cs="Arial"/>
                <w:sz w:val="20"/>
                <w:szCs w:val="20"/>
              </w:rPr>
              <w:t>C.</w:t>
            </w:r>
          </w:p>
          <w:p w14:paraId="4AC66127" w14:textId="77777777" w:rsidR="003E794A" w:rsidRPr="00F930CA" w:rsidRDefault="003E794A" w:rsidP="00AE5BFB">
            <w:pPr>
              <w:pStyle w:val="BodyText"/>
              <w:rPr>
                <w:sz w:val="20"/>
                <w:szCs w:val="20"/>
              </w:rPr>
            </w:pPr>
            <w:r w:rsidRPr="00F930CA">
              <w:rPr>
                <w:rFonts w:cs="Arial"/>
                <w:sz w:val="20"/>
                <w:szCs w:val="20"/>
              </w:rPr>
              <w:t>For use, dilute antihuman IgG/PE 1:100 with LABScreen wash buffer i.e. 1 part IgG/PE plus 99 parts wash buffer.</w:t>
            </w:r>
          </w:p>
        </w:tc>
      </w:tr>
      <w:tr w:rsidR="003E794A" w:rsidRPr="00F930CA" w14:paraId="71B111B0" w14:textId="77777777">
        <w:trPr>
          <w:cantSplit/>
          <w:trHeight w:val="159"/>
        </w:trPr>
        <w:tc>
          <w:tcPr>
            <w:tcW w:w="738" w:type="dxa"/>
          </w:tcPr>
          <w:p w14:paraId="43ED5704" w14:textId="77777777" w:rsidR="003E794A" w:rsidRPr="00F930CA" w:rsidRDefault="003E794A">
            <w:pPr>
              <w:pStyle w:val="Header"/>
              <w:rPr>
                <w:color w:val="000000"/>
                <w:sz w:val="20"/>
                <w:szCs w:val="20"/>
              </w:rPr>
            </w:pPr>
          </w:p>
        </w:tc>
        <w:tc>
          <w:tcPr>
            <w:tcW w:w="720" w:type="dxa"/>
          </w:tcPr>
          <w:p w14:paraId="03301125" w14:textId="77777777" w:rsidR="003E794A" w:rsidRPr="00F930CA" w:rsidRDefault="003E794A">
            <w:pPr>
              <w:rPr>
                <w:color w:val="000000"/>
                <w:sz w:val="20"/>
                <w:szCs w:val="20"/>
              </w:rPr>
            </w:pPr>
          </w:p>
        </w:tc>
        <w:tc>
          <w:tcPr>
            <w:tcW w:w="990" w:type="dxa"/>
            <w:gridSpan w:val="2"/>
          </w:tcPr>
          <w:p w14:paraId="660E6000" w14:textId="77777777" w:rsidR="003E794A" w:rsidRPr="00F930CA" w:rsidRDefault="003E794A">
            <w:pPr>
              <w:rPr>
                <w:color w:val="000000"/>
                <w:sz w:val="20"/>
                <w:szCs w:val="20"/>
              </w:rPr>
            </w:pPr>
            <w:r w:rsidRPr="00F930CA">
              <w:rPr>
                <w:color w:val="000000"/>
                <w:sz w:val="20"/>
                <w:szCs w:val="20"/>
              </w:rPr>
              <w:t>4.2.4</w:t>
            </w:r>
          </w:p>
        </w:tc>
        <w:tc>
          <w:tcPr>
            <w:tcW w:w="2622" w:type="dxa"/>
            <w:gridSpan w:val="2"/>
          </w:tcPr>
          <w:p w14:paraId="5085DC9B" w14:textId="77777777" w:rsidR="003E794A" w:rsidRPr="00F930CA" w:rsidRDefault="003E794A">
            <w:pPr>
              <w:rPr>
                <w:color w:val="000000"/>
                <w:sz w:val="20"/>
                <w:szCs w:val="20"/>
              </w:rPr>
            </w:pPr>
            <w:r w:rsidRPr="00F930CA">
              <w:rPr>
                <w:color w:val="000000"/>
                <w:sz w:val="20"/>
                <w:szCs w:val="20"/>
              </w:rPr>
              <w:t>FlowPRA Class I and II negative control</w:t>
            </w:r>
          </w:p>
        </w:tc>
        <w:tc>
          <w:tcPr>
            <w:tcW w:w="1842" w:type="dxa"/>
            <w:gridSpan w:val="3"/>
          </w:tcPr>
          <w:p w14:paraId="3A6D19C6" w14:textId="77777777" w:rsidR="003E794A" w:rsidRPr="00F930CA" w:rsidRDefault="003E794A">
            <w:pPr>
              <w:rPr>
                <w:color w:val="000000"/>
                <w:sz w:val="20"/>
                <w:szCs w:val="20"/>
              </w:rPr>
            </w:pPr>
            <w:r w:rsidRPr="00F930CA">
              <w:rPr>
                <w:color w:val="000000"/>
                <w:sz w:val="20"/>
                <w:szCs w:val="20"/>
              </w:rPr>
              <w:t>VHBio Ltd</w:t>
            </w:r>
          </w:p>
        </w:tc>
        <w:tc>
          <w:tcPr>
            <w:tcW w:w="2736" w:type="dxa"/>
          </w:tcPr>
          <w:p w14:paraId="06829740" w14:textId="77777777" w:rsidR="003E794A" w:rsidRPr="00F930CA" w:rsidRDefault="003E794A">
            <w:pPr>
              <w:rPr>
                <w:color w:val="000000"/>
                <w:sz w:val="20"/>
                <w:szCs w:val="20"/>
              </w:rPr>
            </w:pPr>
            <w:r w:rsidRPr="00F930CA">
              <w:rPr>
                <w:color w:val="000000"/>
                <w:sz w:val="20"/>
                <w:szCs w:val="20"/>
              </w:rPr>
              <w:t>03FLNC</w:t>
            </w:r>
          </w:p>
          <w:p w14:paraId="5AF12F51" w14:textId="77777777" w:rsidR="003E794A" w:rsidRPr="00F930CA" w:rsidRDefault="003E794A" w:rsidP="0005264C">
            <w:pPr>
              <w:spacing w:before="240"/>
              <w:rPr>
                <w:color w:val="000000"/>
                <w:sz w:val="20"/>
                <w:szCs w:val="20"/>
              </w:rPr>
            </w:pPr>
            <w:r w:rsidRPr="00F930CA">
              <w:rPr>
                <w:color w:val="000000"/>
                <w:sz w:val="20"/>
                <w:szCs w:val="20"/>
              </w:rPr>
              <w:t>(Stored at -80oC. Once defrosted stored at 4</w:t>
            </w:r>
            <w:r w:rsidRPr="00F930CA">
              <w:rPr>
                <w:color w:val="000000"/>
                <w:sz w:val="20"/>
                <w:szCs w:val="20"/>
              </w:rPr>
              <w:sym w:font="Symbol" w:char="F0B0"/>
            </w:r>
            <w:r w:rsidRPr="00F930CA">
              <w:rPr>
                <w:color w:val="000000"/>
                <w:sz w:val="20"/>
                <w:szCs w:val="20"/>
              </w:rPr>
              <w:t>C.)</w:t>
            </w:r>
          </w:p>
        </w:tc>
      </w:tr>
      <w:tr w:rsidR="003E794A" w:rsidRPr="00F930CA" w14:paraId="320B976E" w14:textId="77777777" w:rsidTr="00AA77AE">
        <w:trPr>
          <w:cantSplit/>
          <w:trHeight w:val="157"/>
        </w:trPr>
        <w:tc>
          <w:tcPr>
            <w:tcW w:w="738" w:type="dxa"/>
          </w:tcPr>
          <w:p w14:paraId="31006FEB" w14:textId="77777777" w:rsidR="003E794A" w:rsidRPr="00F930CA" w:rsidRDefault="003E794A">
            <w:pPr>
              <w:pStyle w:val="Header"/>
              <w:rPr>
                <w:color w:val="000000"/>
                <w:sz w:val="20"/>
                <w:szCs w:val="20"/>
              </w:rPr>
            </w:pPr>
          </w:p>
        </w:tc>
        <w:tc>
          <w:tcPr>
            <w:tcW w:w="720" w:type="dxa"/>
          </w:tcPr>
          <w:p w14:paraId="78D26242" w14:textId="77777777" w:rsidR="003E794A" w:rsidRPr="00F930CA" w:rsidRDefault="003E794A">
            <w:pPr>
              <w:pStyle w:val="Header"/>
              <w:rPr>
                <w:color w:val="000000"/>
                <w:sz w:val="20"/>
                <w:szCs w:val="20"/>
              </w:rPr>
            </w:pPr>
          </w:p>
        </w:tc>
        <w:tc>
          <w:tcPr>
            <w:tcW w:w="990" w:type="dxa"/>
            <w:gridSpan w:val="2"/>
          </w:tcPr>
          <w:p w14:paraId="3A1080A7" w14:textId="77777777" w:rsidR="003E794A" w:rsidRPr="00F930CA" w:rsidRDefault="003E794A" w:rsidP="00EC579C">
            <w:pPr>
              <w:pStyle w:val="Header"/>
              <w:rPr>
                <w:color w:val="000000"/>
                <w:sz w:val="20"/>
                <w:szCs w:val="20"/>
              </w:rPr>
            </w:pPr>
            <w:r w:rsidRPr="00F930CA">
              <w:rPr>
                <w:color w:val="000000"/>
                <w:sz w:val="20"/>
                <w:szCs w:val="20"/>
              </w:rPr>
              <w:t>4.2.5</w:t>
            </w:r>
          </w:p>
        </w:tc>
        <w:tc>
          <w:tcPr>
            <w:tcW w:w="2622" w:type="dxa"/>
            <w:gridSpan w:val="2"/>
          </w:tcPr>
          <w:p w14:paraId="2624581E" w14:textId="77777777" w:rsidR="003E794A" w:rsidRPr="00F930CA" w:rsidRDefault="003E794A" w:rsidP="00EC579C">
            <w:pPr>
              <w:pStyle w:val="Header"/>
              <w:rPr>
                <w:color w:val="000000"/>
                <w:sz w:val="20"/>
                <w:szCs w:val="20"/>
              </w:rPr>
            </w:pPr>
            <w:r w:rsidRPr="00F930CA">
              <w:rPr>
                <w:color w:val="000000"/>
                <w:sz w:val="20"/>
                <w:szCs w:val="20"/>
              </w:rPr>
              <w:t>NIBSC – negative control for FXCM and anti-HLA serology</w:t>
            </w:r>
          </w:p>
        </w:tc>
        <w:tc>
          <w:tcPr>
            <w:tcW w:w="1842" w:type="dxa"/>
            <w:gridSpan w:val="3"/>
          </w:tcPr>
          <w:p w14:paraId="5B553B62" w14:textId="77777777" w:rsidR="003E794A" w:rsidRPr="00F930CA" w:rsidRDefault="003E794A" w:rsidP="00EC579C">
            <w:pPr>
              <w:pStyle w:val="Header"/>
              <w:rPr>
                <w:color w:val="000000"/>
                <w:sz w:val="20"/>
                <w:szCs w:val="20"/>
              </w:rPr>
            </w:pPr>
            <w:r w:rsidRPr="00F930CA">
              <w:rPr>
                <w:color w:val="000000"/>
                <w:sz w:val="20"/>
                <w:szCs w:val="20"/>
              </w:rPr>
              <w:t>09/112</w:t>
            </w:r>
          </w:p>
        </w:tc>
        <w:tc>
          <w:tcPr>
            <w:tcW w:w="2736" w:type="dxa"/>
          </w:tcPr>
          <w:p w14:paraId="6FD3F930" w14:textId="77777777" w:rsidR="003E794A" w:rsidRPr="00F930CA" w:rsidRDefault="003E794A" w:rsidP="00EC579C">
            <w:pPr>
              <w:pStyle w:val="Header"/>
              <w:rPr>
                <w:color w:val="000000"/>
                <w:sz w:val="20"/>
                <w:szCs w:val="20"/>
              </w:rPr>
            </w:pPr>
            <w:r w:rsidRPr="00F930CA">
              <w:rPr>
                <w:color w:val="000000"/>
                <w:sz w:val="20"/>
                <w:szCs w:val="20"/>
              </w:rPr>
              <w:t>Reconstituted with 1ml 0.1% sodium azide and stored at 4</w:t>
            </w:r>
            <w:r w:rsidRPr="00F930CA">
              <w:rPr>
                <w:color w:val="000000"/>
                <w:sz w:val="20"/>
                <w:szCs w:val="20"/>
              </w:rPr>
              <w:sym w:font="Symbol" w:char="F0B0"/>
            </w:r>
            <w:r w:rsidRPr="00F930CA">
              <w:rPr>
                <w:color w:val="000000"/>
                <w:sz w:val="20"/>
                <w:szCs w:val="20"/>
              </w:rPr>
              <w:t>C for up to 1 month</w:t>
            </w:r>
          </w:p>
        </w:tc>
      </w:tr>
      <w:tr w:rsidR="003E794A" w:rsidRPr="00F930CA" w14:paraId="04C1D2D3" w14:textId="77777777">
        <w:trPr>
          <w:cantSplit/>
          <w:trHeight w:val="157"/>
        </w:trPr>
        <w:tc>
          <w:tcPr>
            <w:tcW w:w="738" w:type="dxa"/>
          </w:tcPr>
          <w:p w14:paraId="01BD2D82" w14:textId="77777777" w:rsidR="003E794A" w:rsidRPr="00F930CA" w:rsidRDefault="003E794A">
            <w:pPr>
              <w:pStyle w:val="Header"/>
              <w:rPr>
                <w:color w:val="000000"/>
                <w:sz w:val="20"/>
                <w:szCs w:val="20"/>
              </w:rPr>
            </w:pPr>
          </w:p>
        </w:tc>
        <w:tc>
          <w:tcPr>
            <w:tcW w:w="720" w:type="dxa"/>
          </w:tcPr>
          <w:p w14:paraId="51877FD6" w14:textId="77777777" w:rsidR="003E794A" w:rsidRPr="00F930CA" w:rsidRDefault="003E794A">
            <w:pPr>
              <w:pStyle w:val="Header"/>
              <w:rPr>
                <w:color w:val="000000"/>
                <w:sz w:val="20"/>
                <w:szCs w:val="20"/>
              </w:rPr>
            </w:pPr>
          </w:p>
        </w:tc>
        <w:tc>
          <w:tcPr>
            <w:tcW w:w="990" w:type="dxa"/>
            <w:gridSpan w:val="2"/>
          </w:tcPr>
          <w:p w14:paraId="564003A5" w14:textId="77777777" w:rsidR="003E794A" w:rsidRPr="00F930CA" w:rsidRDefault="003E794A" w:rsidP="00EC579C">
            <w:pPr>
              <w:pStyle w:val="Header"/>
              <w:rPr>
                <w:color w:val="000000"/>
                <w:sz w:val="20"/>
                <w:szCs w:val="20"/>
              </w:rPr>
            </w:pPr>
            <w:r w:rsidRPr="00F930CA">
              <w:rPr>
                <w:color w:val="000000"/>
                <w:sz w:val="20"/>
                <w:szCs w:val="20"/>
              </w:rPr>
              <w:t>4.2.6</w:t>
            </w:r>
          </w:p>
        </w:tc>
        <w:tc>
          <w:tcPr>
            <w:tcW w:w="2622" w:type="dxa"/>
            <w:gridSpan w:val="2"/>
          </w:tcPr>
          <w:p w14:paraId="70D8A5AF" w14:textId="77777777" w:rsidR="003E794A" w:rsidRPr="00F930CA" w:rsidRDefault="003E794A" w:rsidP="00A725E7">
            <w:pPr>
              <w:pStyle w:val="Header"/>
              <w:rPr>
                <w:color w:val="000000"/>
                <w:sz w:val="20"/>
                <w:szCs w:val="20"/>
              </w:rPr>
            </w:pPr>
            <w:r w:rsidRPr="00F930CA">
              <w:rPr>
                <w:color w:val="000000"/>
                <w:sz w:val="20"/>
                <w:szCs w:val="20"/>
              </w:rPr>
              <w:t>LABScreen Mixed Class I &amp; II Antibody Screening kit – (500</w:t>
            </w:r>
            <w:r w:rsidRPr="00F930CA">
              <w:sym w:font="Symbol" w:char="F06D"/>
            </w:r>
            <w:r w:rsidRPr="00F930CA">
              <w:rPr>
                <w:sz w:val="20"/>
                <w:szCs w:val="20"/>
              </w:rPr>
              <w:t>l)</w:t>
            </w:r>
          </w:p>
        </w:tc>
        <w:tc>
          <w:tcPr>
            <w:tcW w:w="1842" w:type="dxa"/>
            <w:gridSpan w:val="3"/>
          </w:tcPr>
          <w:p w14:paraId="4259151F" w14:textId="77777777" w:rsidR="003E794A" w:rsidRPr="00F930CA" w:rsidRDefault="003E794A">
            <w:pPr>
              <w:pStyle w:val="Header"/>
              <w:rPr>
                <w:color w:val="000000"/>
                <w:sz w:val="20"/>
                <w:szCs w:val="20"/>
              </w:rPr>
            </w:pPr>
            <w:r w:rsidRPr="00F930CA">
              <w:rPr>
                <w:color w:val="000000"/>
                <w:sz w:val="20"/>
                <w:szCs w:val="20"/>
              </w:rPr>
              <w:t>VHBio Ltd</w:t>
            </w:r>
          </w:p>
          <w:p w14:paraId="6E8C2B7D" w14:textId="77777777" w:rsidR="003E794A" w:rsidRPr="00F930CA" w:rsidRDefault="003E794A">
            <w:pPr>
              <w:pStyle w:val="Header"/>
              <w:rPr>
                <w:color w:val="000000"/>
                <w:sz w:val="20"/>
                <w:szCs w:val="20"/>
              </w:rPr>
            </w:pPr>
            <w:r w:rsidRPr="00F930CA">
              <w:rPr>
                <w:color w:val="000000"/>
                <w:sz w:val="20"/>
                <w:szCs w:val="20"/>
              </w:rPr>
              <w:t>Cat no: 03LSM12</w:t>
            </w:r>
          </w:p>
        </w:tc>
        <w:tc>
          <w:tcPr>
            <w:tcW w:w="2736" w:type="dxa"/>
          </w:tcPr>
          <w:p w14:paraId="126D4376" w14:textId="77777777" w:rsidR="003E794A" w:rsidRPr="00F930CA" w:rsidRDefault="003E794A" w:rsidP="00A725E7">
            <w:pPr>
              <w:pStyle w:val="Header"/>
              <w:rPr>
                <w:color w:val="000000"/>
                <w:sz w:val="20"/>
                <w:szCs w:val="20"/>
              </w:rPr>
            </w:pPr>
            <w:r w:rsidRPr="00F930CA">
              <w:rPr>
                <w:color w:val="000000"/>
                <w:sz w:val="20"/>
                <w:szCs w:val="20"/>
              </w:rPr>
              <w:t>Kit must be stored at -80</w:t>
            </w:r>
            <w:r w:rsidRPr="00F930CA">
              <w:rPr>
                <w:color w:val="000000"/>
                <w:sz w:val="20"/>
                <w:szCs w:val="20"/>
                <w:vertAlign w:val="superscript"/>
              </w:rPr>
              <w:t>o</w:t>
            </w:r>
            <w:r w:rsidRPr="00F930CA">
              <w:rPr>
                <w:color w:val="000000"/>
                <w:sz w:val="20"/>
                <w:szCs w:val="20"/>
              </w:rPr>
              <w:t>C. Once defrosted, store kit at 4</w:t>
            </w:r>
            <w:r w:rsidRPr="00F930CA">
              <w:rPr>
                <w:color w:val="000000"/>
                <w:sz w:val="20"/>
                <w:szCs w:val="20"/>
              </w:rPr>
              <w:sym w:font="Symbol" w:char="F0B0"/>
            </w:r>
            <w:r w:rsidRPr="00F930CA">
              <w:rPr>
                <w:color w:val="000000"/>
                <w:sz w:val="20"/>
                <w:szCs w:val="20"/>
              </w:rPr>
              <w:t xml:space="preserve">C. </w:t>
            </w:r>
            <w:r w:rsidRPr="00F930CA">
              <w:rPr>
                <w:sz w:val="20"/>
                <w:szCs w:val="20"/>
              </w:rPr>
              <w:t>The date the vial of beads was defrosted, plus the date received in the lab should be recorded on the side of the vial.</w:t>
            </w:r>
          </w:p>
        </w:tc>
      </w:tr>
      <w:tr w:rsidR="003E794A" w:rsidRPr="00F930CA" w14:paraId="3AEAFE87" w14:textId="77777777">
        <w:trPr>
          <w:cantSplit/>
          <w:trHeight w:val="157"/>
        </w:trPr>
        <w:tc>
          <w:tcPr>
            <w:tcW w:w="738" w:type="dxa"/>
          </w:tcPr>
          <w:p w14:paraId="1AC18AAC" w14:textId="77777777" w:rsidR="003E794A" w:rsidRPr="00F930CA" w:rsidRDefault="003E794A" w:rsidP="002B32A5">
            <w:pPr>
              <w:pStyle w:val="Header"/>
              <w:rPr>
                <w:color w:val="000000"/>
                <w:sz w:val="20"/>
                <w:szCs w:val="20"/>
              </w:rPr>
            </w:pPr>
          </w:p>
        </w:tc>
        <w:tc>
          <w:tcPr>
            <w:tcW w:w="720" w:type="dxa"/>
          </w:tcPr>
          <w:p w14:paraId="0DF1ADCC" w14:textId="77777777" w:rsidR="003E794A" w:rsidRPr="00F930CA" w:rsidRDefault="003E794A" w:rsidP="002B32A5">
            <w:pPr>
              <w:pStyle w:val="Header"/>
              <w:rPr>
                <w:color w:val="000000"/>
                <w:sz w:val="20"/>
                <w:szCs w:val="20"/>
              </w:rPr>
            </w:pPr>
          </w:p>
        </w:tc>
        <w:tc>
          <w:tcPr>
            <w:tcW w:w="990" w:type="dxa"/>
            <w:gridSpan w:val="2"/>
          </w:tcPr>
          <w:p w14:paraId="0BA51F43" w14:textId="77777777" w:rsidR="003E794A" w:rsidRPr="00F930CA" w:rsidRDefault="003E794A" w:rsidP="002B32A5">
            <w:pPr>
              <w:pStyle w:val="Header"/>
              <w:rPr>
                <w:color w:val="000000"/>
                <w:sz w:val="20"/>
                <w:szCs w:val="20"/>
              </w:rPr>
            </w:pPr>
            <w:r w:rsidRPr="00F930CA">
              <w:rPr>
                <w:color w:val="000000"/>
                <w:sz w:val="20"/>
                <w:szCs w:val="20"/>
              </w:rPr>
              <w:t>4.2.7</w:t>
            </w:r>
          </w:p>
        </w:tc>
        <w:tc>
          <w:tcPr>
            <w:tcW w:w="2622" w:type="dxa"/>
            <w:gridSpan w:val="2"/>
          </w:tcPr>
          <w:p w14:paraId="58AD1100" w14:textId="77777777" w:rsidR="003E794A" w:rsidRPr="00F930CA" w:rsidRDefault="003E794A" w:rsidP="00A725E7">
            <w:pPr>
              <w:pStyle w:val="Header"/>
              <w:rPr>
                <w:color w:val="000000"/>
                <w:sz w:val="20"/>
                <w:szCs w:val="20"/>
              </w:rPr>
            </w:pPr>
            <w:r w:rsidRPr="00F930CA">
              <w:rPr>
                <w:color w:val="000000"/>
                <w:sz w:val="20"/>
                <w:szCs w:val="20"/>
              </w:rPr>
              <w:t>LABScreen PRA SA Combi kit (Class I)</w:t>
            </w:r>
          </w:p>
          <w:p w14:paraId="027207AB" w14:textId="77777777" w:rsidR="003E794A" w:rsidRPr="00F930CA" w:rsidRDefault="003E794A" w:rsidP="00A725E7">
            <w:pPr>
              <w:pStyle w:val="Header"/>
              <w:rPr>
                <w:color w:val="000000"/>
                <w:sz w:val="20"/>
                <w:szCs w:val="20"/>
              </w:rPr>
            </w:pPr>
            <w:r w:rsidRPr="00F930CA">
              <w:rPr>
                <w:color w:val="000000"/>
                <w:sz w:val="20"/>
                <w:szCs w:val="20"/>
              </w:rPr>
              <w:t>– (125</w:t>
            </w:r>
            <w:r w:rsidRPr="00F930CA">
              <w:sym w:font="Symbol" w:char="F06D"/>
            </w:r>
            <w:r w:rsidRPr="00F930CA">
              <w:rPr>
                <w:sz w:val="20"/>
                <w:szCs w:val="20"/>
              </w:rPr>
              <w:t>l)</w:t>
            </w:r>
          </w:p>
        </w:tc>
        <w:tc>
          <w:tcPr>
            <w:tcW w:w="1842" w:type="dxa"/>
            <w:gridSpan w:val="3"/>
          </w:tcPr>
          <w:p w14:paraId="6B9CD65A" w14:textId="77777777" w:rsidR="003E794A" w:rsidRPr="00F930CA" w:rsidRDefault="003E794A" w:rsidP="00272696">
            <w:pPr>
              <w:pStyle w:val="Header"/>
              <w:rPr>
                <w:color w:val="000000"/>
                <w:sz w:val="20"/>
                <w:szCs w:val="20"/>
              </w:rPr>
            </w:pPr>
            <w:r w:rsidRPr="00F930CA">
              <w:rPr>
                <w:color w:val="000000"/>
                <w:sz w:val="20"/>
                <w:szCs w:val="20"/>
              </w:rPr>
              <w:t>VHBio Ltd</w:t>
            </w:r>
          </w:p>
          <w:p w14:paraId="7AD8337B" w14:textId="77777777" w:rsidR="003E794A" w:rsidRPr="00F930CA" w:rsidRDefault="003E794A" w:rsidP="00A725E7">
            <w:pPr>
              <w:pStyle w:val="Header"/>
              <w:rPr>
                <w:color w:val="000000"/>
                <w:sz w:val="20"/>
                <w:szCs w:val="20"/>
              </w:rPr>
            </w:pPr>
            <w:r w:rsidRPr="00F930CA">
              <w:rPr>
                <w:color w:val="000000"/>
                <w:sz w:val="20"/>
                <w:szCs w:val="20"/>
              </w:rPr>
              <w:t>Cat no: 03LS1A04</w:t>
            </w:r>
          </w:p>
        </w:tc>
        <w:tc>
          <w:tcPr>
            <w:tcW w:w="2736" w:type="dxa"/>
          </w:tcPr>
          <w:p w14:paraId="533BDF1B" w14:textId="77777777" w:rsidR="003E794A" w:rsidRPr="00F930CA" w:rsidRDefault="003E794A" w:rsidP="00B3172F">
            <w:pPr>
              <w:pStyle w:val="Header"/>
              <w:rPr>
                <w:color w:val="000000"/>
                <w:sz w:val="20"/>
                <w:szCs w:val="20"/>
              </w:rPr>
            </w:pPr>
            <w:r w:rsidRPr="00F930CA">
              <w:rPr>
                <w:color w:val="000000"/>
                <w:sz w:val="20"/>
                <w:szCs w:val="20"/>
              </w:rPr>
              <w:t>Kit must be stored at -80</w:t>
            </w:r>
            <w:r w:rsidRPr="00F930CA">
              <w:rPr>
                <w:color w:val="000000"/>
                <w:sz w:val="20"/>
                <w:szCs w:val="20"/>
                <w:vertAlign w:val="superscript"/>
              </w:rPr>
              <w:t>o</w:t>
            </w:r>
            <w:r w:rsidRPr="00F930CA">
              <w:rPr>
                <w:color w:val="000000"/>
                <w:sz w:val="20"/>
                <w:szCs w:val="20"/>
              </w:rPr>
              <w:t>C. Once defrosted, store kit at 4</w:t>
            </w:r>
            <w:r w:rsidRPr="00F930CA">
              <w:rPr>
                <w:color w:val="000000"/>
                <w:sz w:val="20"/>
                <w:szCs w:val="20"/>
              </w:rPr>
              <w:sym w:font="Symbol" w:char="F0B0"/>
            </w:r>
            <w:r w:rsidRPr="00F930CA">
              <w:rPr>
                <w:color w:val="000000"/>
                <w:sz w:val="20"/>
                <w:szCs w:val="20"/>
              </w:rPr>
              <w:t xml:space="preserve">C. </w:t>
            </w:r>
            <w:r w:rsidRPr="00F930CA">
              <w:rPr>
                <w:sz w:val="20"/>
                <w:szCs w:val="20"/>
              </w:rPr>
              <w:t>The date the vial of beads was defrosted, plus the date received in the lab should be recorded on the side of the vial.</w:t>
            </w:r>
          </w:p>
        </w:tc>
      </w:tr>
      <w:tr w:rsidR="003E794A" w:rsidRPr="00F930CA" w14:paraId="454BB88D" w14:textId="77777777">
        <w:trPr>
          <w:cantSplit/>
          <w:trHeight w:val="157"/>
        </w:trPr>
        <w:tc>
          <w:tcPr>
            <w:tcW w:w="738" w:type="dxa"/>
          </w:tcPr>
          <w:p w14:paraId="64335436" w14:textId="77777777" w:rsidR="003E794A" w:rsidRPr="00F930CA" w:rsidRDefault="003E794A">
            <w:pPr>
              <w:pStyle w:val="Header"/>
              <w:rPr>
                <w:color w:val="000000"/>
                <w:sz w:val="20"/>
                <w:szCs w:val="20"/>
              </w:rPr>
            </w:pPr>
          </w:p>
        </w:tc>
        <w:tc>
          <w:tcPr>
            <w:tcW w:w="720" w:type="dxa"/>
          </w:tcPr>
          <w:p w14:paraId="20328D49" w14:textId="77777777" w:rsidR="003E794A" w:rsidRPr="00F930CA" w:rsidRDefault="003E794A">
            <w:pPr>
              <w:pStyle w:val="Header"/>
              <w:rPr>
                <w:color w:val="000000"/>
                <w:sz w:val="20"/>
                <w:szCs w:val="20"/>
              </w:rPr>
            </w:pPr>
          </w:p>
        </w:tc>
        <w:tc>
          <w:tcPr>
            <w:tcW w:w="990" w:type="dxa"/>
            <w:gridSpan w:val="2"/>
          </w:tcPr>
          <w:p w14:paraId="4E62F20D" w14:textId="77777777" w:rsidR="003E794A" w:rsidRPr="00F930CA" w:rsidRDefault="003E794A">
            <w:pPr>
              <w:pStyle w:val="Header"/>
              <w:rPr>
                <w:color w:val="000000"/>
                <w:sz w:val="20"/>
                <w:szCs w:val="20"/>
              </w:rPr>
            </w:pPr>
            <w:r w:rsidRPr="00F930CA">
              <w:rPr>
                <w:color w:val="000000"/>
                <w:sz w:val="20"/>
                <w:szCs w:val="20"/>
              </w:rPr>
              <w:t>4.2.8</w:t>
            </w:r>
          </w:p>
        </w:tc>
        <w:tc>
          <w:tcPr>
            <w:tcW w:w="2622" w:type="dxa"/>
            <w:gridSpan w:val="2"/>
          </w:tcPr>
          <w:p w14:paraId="44ECAFF8" w14:textId="77777777" w:rsidR="003E794A" w:rsidRPr="00F930CA" w:rsidRDefault="003E794A" w:rsidP="00A725E7">
            <w:pPr>
              <w:pStyle w:val="Header"/>
              <w:rPr>
                <w:color w:val="000000"/>
                <w:sz w:val="20"/>
                <w:szCs w:val="20"/>
              </w:rPr>
            </w:pPr>
            <w:r w:rsidRPr="00F930CA">
              <w:rPr>
                <w:color w:val="000000"/>
                <w:sz w:val="20"/>
                <w:szCs w:val="20"/>
              </w:rPr>
              <w:t>LABScreen PRA SA Class II kit</w:t>
            </w:r>
          </w:p>
          <w:p w14:paraId="47278F5D" w14:textId="77777777" w:rsidR="003E794A" w:rsidRPr="00F930CA" w:rsidRDefault="003E794A" w:rsidP="00A725E7">
            <w:pPr>
              <w:pStyle w:val="Header"/>
              <w:rPr>
                <w:color w:val="000000"/>
                <w:sz w:val="20"/>
                <w:szCs w:val="20"/>
              </w:rPr>
            </w:pPr>
            <w:r w:rsidRPr="00F930CA">
              <w:rPr>
                <w:color w:val="000000"/>
                <w:sz w:val="20"/>
                <w:szCs w:val="20"/>
              </w:rPr>
              <w:t>– (125</w:t>
            </w:r>
            <w:r w:rsidRPr="00F930CA">
              <w:sym w:font="Symbol" w:char="F06D"/>
            </w:r>
            <w:r w:rsidRPr="00F930CA">
              <w:rPr>
                <w:sz w:val="20"/>
                <w:szCs w:val="20"/>
              </w:rPr>
              <w:t>l)</w:t>
            </w:r>
          </w:p>
        </w:tc>
        <w:tc>
          <w:tcPr>
            <w:tcW w:w="1842" w:type="dxa"/>
            <w:gridSpan w:val="3"/>
          </w:tcPr>
          <w:p w14:paraId="53B3CD8F" w14:textId="77777777" w:rsidR="003E794A" w:rsidRPr="00F930CA" w:rsidRDefault="003E794A" w:rsidP="00272696">
            <w:pPr>
              <w:pStyle w:val="Header"/>
              <w:rPr>
                <w:color w:val="000000"/>
                <w:sz w:val="20"/>
                <w:szCs w:val="20"/>
              </w:rPr>
            </w:pPr>
            <w:r w:rsidRPr="00F930CA">
              <w:rPr>
                <w:color w:val="000000"/>
                <w:sz w:val="20"/>
                <w:szCs w:val="20"/>
              </w:rPr>
              <w:t>VHBio Ltd</w:t>
            </w:r>
          </w:p>
          <w:p w14:paraId="33E1BA92" w14:textId="77777777" w:rsidR="003E794A" w:rsidRPr="00F930CA" w:rsidRDefault="003E794A" w:rsidP="00A725E7">
            <w:pPr>
              <w:pStyle w:val="Header"/>
              <w:rPr>
                <w:color w:val="000000"/>
                <w:sz w:val="20"/>
                <w:szCs w:val="20"/>
              </w:rPr>
            </w:pPr>
            <w:r w:rsidRPr="00F930CA">
              <w:rPr>
                <w:color w:val="000000"/>
                <w:sz w:val="20"/>
                <w:szCs w:val="20"/>
              </w:rPr>
              <w:t>Cat no: 03LS2A01</w:t>
            </w:r>
          </w:p>
        </w:tc>
        <w:tc>
          <w:tcPr>
            <w:tcW w:w="2736" w:type="dxa"/>
          </w:tcPr>
          <w:p w14:paraId="75BF41C9" w14:textId="77777777" w:rsidR="003E794A" w:rsidRPr="00F930CA" w:rsidRDefault="003E794A">
            <w:pPr>
              <w:pStyle w:val="Header"/>
              <w:rPr>
                <w:color w:val="000000"/>
                <w:sz w:val="20"/>
                <w:szCs w:val="20"/>
              </w:rPr>
            </w:pPr>
            <w:r w:rsidRPr="00F930CA">
              <w:rPr>
                <w:color w:val="000000"/>
                <w:sz w:val="20"/>
                <w:szCs w:val="20"/>
              </w:rPr>
              <w:t>Kit must be stored at -80</w:t>
            </w:r>
            <w:r w:rsidRPr="00F930CA">
              <w:rPr>
                <w:color w:val="000000"/>
                <w:sz w:val="20"/>
                <w:szCs w:val="20"/>
                <w:vertAlign w:val="superscript"/>
              </w:rPr>
              <w:t>o</w:t>
            </w:r>
            <w:r w:rsidRPr="00F930CA">
              <w:rPr>
                <w:color w:val="000000"/>
                <w:sz w:val="20"/>
                <w:szCs w:val="20"/>
              </w:rPr>
              <w:t>C. Once defrosted, store kit at 4</w:t>
            </w:r>
            <w:r w:rsidRPr="00F930CA">
              <w:rPr>
                <w:color w:val="000000"/>
                <w:sz w:val="20"/>
                <w:szCs w:val="20"/>
              </w:rPr>
              <w:sym w:font="Symbol" w:char="F0B0"/>
            </w:r>
            <w:r w:rsidRPr="00F930CA">
              <w:rPr>
                <w:color w:val="000000"/>
                <w:sz w:val="20"/>
                <w:szCs w:val="20"/>
              </w:rPr>
              <w:t xml:space="preserve">C. </w:t>
            </w:r>
            <w:r w:rsidRPr="00F930CA">
              <w:rPr>
                <w:sz w:val="20"/>
                <w:szCs w:val="20"/>
              </w:rPr>
              <w:t>The date the vial of beads was defrosted, plus the date received in the lab should be recorded on the side of the vial.</w:t>
            </w:r>
          </w:p>
        </w:tc>
      </w:tr>
      <w:tr w:rsidR="003E794A" w:rsidRPr="00F930CA" w14:paraId="2CA49A07" w14:textId="77777777" w:rsidTr="00AA77AE">
        <w:trPr>
          <w:cantSplit/>
          <w:trHeight w:val="157"/>
        </w:trPr>
        <w:tc>
          <w:tcPr>
            <w:tcW w:w="738" w:type="dxa"/>
          </w:tcPr>
          <w:p w14:paraId="04F3CEDF" w14:textId="77777777" w:rsidR="003E794A" w:rsidRPr="00F930CA" w:rsidRDefault="003E794A">
            <w:pPr>
              <w:pStyle w:val="Header"/>
              <w:rPr>
                <w:color w:val="000000"/>
                <w:sz w:val="20"/>
                <w:szCs w:val="20"/>
              </w:rPr>
            </w:pPr>
          </w:p>
        </w:tc>
        <w:tc>
          <w:tcPr>
            <w:tcW w:w="720" w:type="dxa"/>
          </w:tcPr>
          <w:p w14:paraId="1853E5BB" w14:textId="77777777" w:rsidR="003E794A" w:rsidRPr="00F930CA" w:rsidRDefault="003E794A">
            <w:pPr>
              <w:pStyle w:val="Header"/>
              <w:rPr>
                <w:color w:val="000000"/>
                <w:sz w:val="20"/>
                <w:szCs w:val="20"/>
              </w:rPr>
            </w:pPr>
          </w:p>
        </w:tc>
        <w:tc>
          <w:tcPr>
            <w:tcW w:w="990" w:type="dxa"/>
            <w:gridSpan w:val="2"/>
          </w:tcPr>
          <w:p w14:paraId="65A0EA8F" w14:textId="77777777" w:rsidR="003E794A" w:rsidRPr="00F930CA" w:rsidRDefault="003E794A">
            <w:pPr>
              <w:pStyle w:val="Header"/>
              <w:rPr>
                <w:color w:val="000000"/>
                <w:sz w:val="20"/>
                <w:szCs w:val="20"/>
              </w:rPr>
            </w:pPr>
            <w:r w:rsidRPr="00F930CA">
              <w:rPr>
                <w:color w:val="000000"/>
                <w:sz w:val="20"/>
                <w:szCs w:val="20"/>
              </w:rPr>
              <w:t>4.2.9</w:t>
            </w:r>
          </w:p>
        </w:tc>
        <w:tc>
          <w:tcPr>
            <w:tcW w:w="2622" w:type="dxa"/>
            <w:gridSpan w:val="2"/>
          </w:tcPr>
          <w:p w14:paraId="69534F8E" w14:textId="77777777" w:rsidR="003E794A" w:rsidRPr="00F930CA" w:rsidRDefault="003E794A" w:rsidP="006E7CA4">
            <w:pPr>
              <w:pStyle w:val="Header"/>
              <w:rPr>
                <w:color w:val="000000"/>
                <w:sz w:val="20"/>
                <w:szCs w:val="20"/>
              </w:rPr>
            </w:pPr>
            <w:r w:rsidRPr="00F930CA">
              <w:rPr>
                <w:sz w:val="20"/>
                <w:szCs w:val="20"/>
              </w:rPr>
              <w:t xml:space="preserve">10 x Concentrated wash buffer (26ml).  </w:t>
            </w:r>
          </w:p>
        </w:tc>
        <w:tc>
          <w:tcPr>
            <w:tcW w:w="1842" w:type="dxa"/>
            <w:gridSpan w:val="3"/>
          </w:tcPr>
          <w:p w14:paraId="3C1FF219" w14:textId="77777777" w:rsidR="003E794A" w:rsidRPr="00F930CA" w:rsidRDefault="003E794A">
            <w:pPr>
              <w:pStyle w:val="Header"/>
              <w:rPr>
                <w:color w:val="000000"/>
                <w:sz w:val="20"/>
                <w:szCs w:val="20"/>
              </w:rPr>
            </w:pPr>
            <w:r w:rsidRPr="00F930CA">
              <w:rPr>
                <w:sz w:val="20"/>
                <w:szCs w:val="20"/>
              </w:rPr>
              <w:t>Provided with screening kit.</w:t>
            </w:r>
          </w:p>
        </w:tc>
        <w:tc>
          <w:tcPr>
            <w:tcW w:w="2736" w:type="dxa"/>
          </w:tcPr>
          <w:p w14:paraId="3097780F" w14:textId="77777777" w:rsidR="003E794A" w:rsidRPr="00F930CA" w:rsidRDefault="003E794A" w:rsidP="00456789">
            <w:pPr>
              <w:pStyle w:val="BodyText"/>
              <w:rPr>
                <w:rFonts w:cs="Arial"/>
                <w:sz w:val="20"/>
                <w:szCs w:val="20"/>
              </w:rPr>
            </w:pPr>
            <w:r w:rsidRPr="00F930CA">
              <w:rPr>
                <w:rFonts w:cs="Arial"/>
                <w:sz w:val="20"/>
                <w:szCs w:val="20"/>
              </w:rPr>
              <w:t>This must be diluted 1:10 with distilled water prior to use. i.e. 1 part wash buffer plus 9 parts water.  Once diluted label with the Lot number, expiry date and initials, then store at 4</w:t>
            </w:r>
            <w:r w:rsidRPr="00F930CA">
              <w:rPr>
                <w:rFonts w:cs="Arial"/>
                <w:sz w:val="20"/>
                <w:szCs w:val="20"/>
              </w:rPr>
              <w:sym w:font="Symbol" w:char="F0B0"/>
            </w:r>
            <w:r w:rsidRPr="00F930CA">
              <w:rPr>
                <w:rFonts w:cs="Arial"/>
                <w:sz w:val="20"/>
                <w:szCs w:val="20"/>
              </w:rPr>
              <w:t>C ready for use.</w:t>
            </w:r>
          </w:p>
          <w:p w14:paraId="3DE59C29" w14:textId="77777777" w:rsidR="003E794A" w:rsidRPr="00F930CA" w:rsidRDefault="003E794A">
            <w:pPr>
              <w:pStyle w:val="Header"/>
              <w:rPr>
                <w:color w:val="000000"/>
                <w:sz w:val="20"/>
                <w:szCs w:val="20"/>
              </w:rPr>
            </w:pPr>
          </w:p>
        </w:tc>
      </w:tr>
    </w:tbl>
    <w:p w14:paraId="41B5BCCF" w14:textId="77777777" w:rsidR="003E794A" w:rsidRPr="00F930CA" w:rsidRDefault="003E794A">
      <w:pPr>
        <w:pStyle w:val="Header"/>
        <w:rPr>
          <w:color w:val="000000"/>
          <w:sz w:val="20"/>
          <w:szCs w:val="20"/>
        </w:rPr>
      </w:pPr>
    </w:p>
    <w:p w14:paraId="741928DD" w14:textId="77777777" w:rsidR="003E794A" w:rsidRPr="00F930CA" w:rsidRDefault="003E794A">
      <w:pPr>
        <w:pStyle w:val="Header"/>
        <w:rPr>
          <w:color w:val="000000"/>
          <w:sz w:val="20"/>
          <w:szCs w:val="20"/>
        </w:rPr>
      </w:pPr>
    </w:p>
    <w:tbl>
      <w:tblPr>
        <w:tblW w:w="96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721"/>
        <w:gridCol w:w="779"/>
        <w:gridCol w:w="54"/>
        <w:gridCol w:w="52"/>
        <w:gridCol w:w="966"/>
        <w:gridCol w:w="6344"/>
      </w:tblGrid>
      <w:tr w:rsidR="003E794A" w:rsidRPr="00F930CA" w14:paraId="0D7F7C0E" w14:textId="77777777" w:rsidTr="00EB24E0">
        <w:trPr>
          <w:cantSplit/>
          <w:trHeight w:val="560"/>
        </w:trPr>
        <w:tc>
          <w:tcPr>
            <w:tcW w:w="740" w:type="dxa"/>
          </w:tcPr>
          <w:p w14:paraId="0441940F" w14:textId="77777777" w:rsidR="003E794A" w:rsidRPr="00F930CA" w:rsidRDefault="003E794A">
            <w:pPr>
              <w:rPr>
                <w:b/>
                <w:bCs/>
                <w:color w:val="000000"/>
                <w:sz w:val="20"/>
                <w:szCs w:val="20"/>
              </w:rPr>
            </w:pPr>
            <w:r w:rsidRPr="00F930CA">
              <w:rPr>
                <w:b/>
                <w:bCs/>
                <w:color w:val="000000"/>
                <w:sz w:val="20"/>
                <w:szCs w:val="20"/>
              </w:rPr>
              <w:br w:type="page"/>
              <w:t>5.0</w:t>
            </w:r>
          </w:p>
        </w:tc>
        <w:tc>
          <w:tcPr>
            <w:tcW w:w="8916" w:type="dxa"/>
            <w:gridSpan w:val="6"/>
          </w:tcPr>
          <w:p w14:paraId="62D9BAF8" w14:textId="77777777" w:rsidR="003E794A" w:rsidRPr="00F930CA" w:rsidRDefault="003E794A">
            <w:pPr>
              <w:rPr>
                <w:b/>
                <w:bCs/>
                <w:color w:val="000000"/>
                <w:sz w:val="20"/>
                <w:szCs w:val="20"/>
              </w:rPr>
            </w:pPr>
            <w:r w:rsidRPr="00F930CA">
              <w:rPr>
                <w:b/>
                <w:bCs/>
                <w:color w:val="000000"/>
                <w:sz w:val="20"/>
                <w:szCs w:val="20"/>
              </w:rPr>
              <w:t>Procedures</w:t>
            </w:r>
          </w:p>
          <w:p w14:paraId="55E6ACC9" w14:textId="77777777" w:rsidR="003E794A" w:rsidRPr="00F930CA" w:rsidRDefault="003E794A" w:rsidP="009E3642">
            <w:pPr>
              <w:rPr>
                <w:b/>
                <w:bCs/>
                <w:color w:val="000000"/>
                <w:sz w:val="20"/>
                <w:szCs w:val="20"/>
              </w:rPr>
            </w:pPr>
            <w:r w:rsidRPr="00F930CA">
              <w:rPr>
                <w:b/>
                <w:bCs/>
                <w:color w:val="000000"/>
                <w:sz w:val="20"/>
                <w:szCs w:val="20"/>
              </w:rPr>
              <w:t>Biological waste should be disposed of according to the current regulations.</w:t>
            </w:r>
          </w:p>
        </w:tc>
      </w:tr>
      <w:tr w:rsidR="003E794A" w:rsidRPr="00F930CA" w14:paraId="25855249" w14:textId="77777777" w:rsidTr="00EB24E0">
        <w:trPr>
          <w:cantSplit/>
          <w:trHeight w:val="132"/>
        </w:trPr>
        <w:tc>
          <w:tcPr>
            <w:tcW w:w="740" w:type="dxa"/>
          </w:tcPr>
          <w:p w14:paraId="6EC6E12D" w14:textId="77777777" w:rsidR="003E794A" w:rsidRPr="00F930CA" w:rsidRDefault="003E794A">
            <w:pPr>
              <w:spacing w:before="60"/>
              <w:rPr>
                <w:color w:val="000000"/>
                <w:sz w:val="20"/>
                <w:szCs w:val="20"/>
              </w:rPr>
            </w:pPr>
          </w:p>
        </w:tc>
        <w:tc>
          <w:tcPr>
            <w:tcW w:w="721" w:type="dxa"/>
          </w:tcPr>
          <w:p w14:paraId="5EB96F1C" w14:textId="77777777" w:rsidR="003E794A" w:rsidRPr="00F930CA" w:rsidRDefault="003E794A">
            <w:pPr>
              <w:spacing w:before="60"/>
              <w:rPr>
                <w:color w:val="000000"/>
                <w:sz w:val="20"/>
                <w:szCs w:val="20"/>
              </w:rPr>
            </w:pPr>
            <w:r w:rsidRPr="00F930CA">
              <w:rPr>
                <w:color w:val="000000"/>
                <w:sz w:val="20"/>
                <w:szCs w:val="20"/>
              </w:rPr>
              <w:t>Note</w:t>
            </w:r>
          </w:p>
        </w:tc>
        <w:tc>
          <w:tcPr>
            <w:tcW w:w="8195" w:type="dxa"/>
            <w:gridSpan w:val="5"/>
          </w:tcPr>
          <w:p w14:paraId="0AE87771" w14:textId="77777777" w:rsidR="003E794A" w:rsidRPr="00F930CA" w:rsidRDefault="003E794A">
            <w:pPr>
              <w:pStyle w:val="Header"/>
              <w:spacing w:before="60"/>
              <w:rPr>
                <w:color w:val="000000"/>
                <w:sz w:val="20"/>
                <w:szCs w:val="20"/>
              </w:rPr>
            </w:pPr>
            <w:r w:rsidRPr="00F930CA">
              <w:rPr>
                <w:color w:val="000000"/>
                <w:sz w:val="20"/>
                <w:szCs w:val="20"/>
              </w:rPr>
              <w:t>Safety:</w:t>
            </w:r>
          </w:p>
          <w:p w14:paraId="133ADD9B" w14:textId="77777777" w:rsidR="003E794A" w:rsidRPr="00F930CA" w:rsidRDefault="003E794A" w:rsidP="003E794A">
            <w:pPr>
              <w:pStyle w:val="BodyText"/>
              <w:widowControl/>
              <w:numPr>
                <w:ilvl w:val="0"/>
                <w:numId w:val="3"/>
              </w:numPr>
              <w:tabs>
                <w:tab w:val="left" w:pos="1440"/>
              </w:tabs>
              <w:autoSpaceDE/>
              <w:autoSpaceDN/>
              <w:adjustRightInd/>
              <w:jc w:val="left"/>
              <w:rPr>
                <w:rFonts w:cs="Arial"/>
                <w:sz w:val="20"/>
                <w:szCs w:val="20"/>
              </w:rPr>
            </w:pPr>
            <w:r w:rsidRPr="00F930CA">
              <w:rPr>
                <w:rFonts w:cs="Arial"/>
                <w:sz w:val="20"/>
                <w:szCs w:val="20"/>
              </w:rPr>
              <w:t>Gloves and lab coat must be worn at all times.</w:t>
            </w:r>
          </w:p>
          <w:p w14:paraId="54543596" w14:textId="77777777" w:rsidR="003E794A" w:rsidRPr="00F930CA" w:rsidRDefault="003E794A" w:rsidP="003E794A">
            <w:pPr>
              <w:pStyle w:val="BodyText"/>
              <w:widowControl/>
              <w:numPr>
                <w:ilvl w:val="0"/>
                <w:numId w:val="3"/>
              </w:numPr>
              <w:tabs>
                <w:tab w:val="left" w:pos="1440"/>
              </w:tabs>
              <w:autoSpaceDE/>
              <w:autoSpaceDN/>
              <w:adjustRightInd/>
              <w:jc w:val="left"/>
              <w:rPr>
                <w:rFonts w:cs="Arial"/>
                <w:sz w:val="20"/>
                <w:szCs w:val="20"/>
              </w:rPr>
            </w:pPr>
            <w:r w:rsidRPr="00F930CA">
              <w:rPr>
                <w:rFonts w:cs="Arial"/>
                <w:sz w:val="20"/>
                <w:szCs w:val="20"/>
              </w:rPr>
              <w:t>All pipettes and tips that have been used to transfer blood products should be discarded into double bagged clinical waste bins.</w:t>
            </w:r>
          </w:p>
          <w:p w14:paraId="3D9890C3" w14:textId="77777777" w:rsidR="003E794A" w:rsidRPr="00F930CA" w:rsidRDefault="003E794A" w:rsidP="003E794A">
            <w:pPr>
              <w:pStyle w:val="BodyText"/>
              <w:widowControl/>
              <w:numPr>
                <w:ilvl w:val="0"/>
                <w:numId w:val="3"/>
              </w:numPr>
              <w:tabs>
                <w:tab w:val="left" w:pos="1440"/>
              </w:tabs>
              <w:autoSpaceDE/>
              <w:autoSpaceDN/>
              <w:adjustRightInd/>
              <w:jc w:val="left"/>
              <w:rPr>
                <w:rFonts w:cs="Arial"/>
                <w:sz w:val="20"/>
                <w:szCs w:val="20"/>
              </w:rPr>
            </w:pPr>
            <w:r w:rsidRPr="00F930CA">
              <w:rPr>
                <w:rFonts w:cs="Arial"/>
                <w:sz w:val="20"/>
                <w:szCs w:val="20"/>
              </w:rPr>
              <w:t>Spillages of blood products should be wiped up using absorbent paper.  The contaminated surface should be wiped with a solution of 1% Virkon using absorbent paper.  Absorbent paper should be disposed of in a clinical waste bin.</w:t>
            </w:r>
          </w:p>
          <w:p w14:paraId="20F65771" w14:textId="77777777" w:rsidR="003E794A" w:rsidRPr="00F930CA" w:rsidRDefault="003E794A">
            <w:pPr>
              <w:pStyle w:val="Header"/>
              <w:spacing w:before="60"/>
              <w:rPr>
                <w:color w:val="000000"/>
                <w:sz w:val="20"/>
                <w:szCs w:val="20"/>
              </w:rPr>
            </w:pPr>
          </w:p>
        </w:tc>
      </w:tr>
      <w:tr w:rsidR="003E794A" w:rsidRPr="00F930CA" w14:paraId="45B0AF67" w14:textId="77777777" w:rsidTr="00EB24E0">
        <w:trPr>
          <w:cantSplit/>
          <w:trHeight w:val="146"/>
        </w:trPr>
        <w:tc>
          <w:tcPr>
            <w:tcW w:w="740" w:type="dxa"/>
          </w:tcPr>
          <w:p w14:paraId="06B271E5" w14:textId="77777777" w:rsidR="003E794A" w:rsidRPr="00F930CA" w:rsidRDefault="003E794A">
            <w:pPr>
              <w:spacing w:before="60"/>
              <w:rPr>
                <w:b/>
                <w:bCs/>
                <w:color w:val="000000"/>
                <w:sz w:val="20"/>
                <w:szCs w:val="20"/>
              </w:rPr>
            </w:pPr>
            <w:r w:rsidRPr="00F930CA">
              <w:rPr>
                <w:b/>
                <w:bCs/>
                <w:color w:val="000000"/>
                <w:sz w:val="20"/>
                <w:szCs w:val="20"/>
              </w:rPr>
              <w:t>5.0</w:t>
            </w:r>
          </w:p>
        </w:tc>
        <w:tc>
          <w:tcPr>
            <w:tcW w:w="8916" w:type="dxa"/>
            <w:gridSpan w:val="6"/>
          </w:tcPr>
          <w:p w14:paraId="06C81A96" w14:textId="77777777" w:rsidR="003E794A" w:rsidRPr="00F930CA" w:rsidRDefault="003E794A" w:rsidP="00BF621A">
            <w:pPr>
              <w:keepNext/>
              <w:spacing w:before="60"/>
              <w:rPr>
                <w:b/>
                <w:bCs/>
                <w:color w:val="000000"/>
                <w:sz w:val="20"/>
                <w:szCs w:val="20"/>
              </w:rPr>
            </w:pPr>
            <w:r w:rsidRPr="00F930CA">
              <w:rPr>
                <w:b/>
                <w:bCs/>
                <w:color w:val="000000"/>
                <w:sz w:val="20"/>
                <w:szCs w:val="20"/>
              </w:rPr>
              <w:t>Standard procedure</w:t>
            </w:r>
          </w:p>
        </w:tc>
      </w:tr>
      <w:tr w:rsidR="003E794A" w:rsidRPr="00F930CA" w14:paraId="2650FE2E" w14:textId="77777777" w:rsidTr="00EB24E0">
        <w:trPr>
          <w:cantSplit/>
          <w:trHeight w:val="146"/>
        </w:trPr>
        <w:tc>
          <w:tcPr>
            <w:tcW w:w="740" w:type="dxa"/>
          </w:tcPr>
          <w:p w14:paraId="2645E420" w14:textId="77777777" w:rsidR="003E794A" w:rsidRPr="00F930CA" w:rsidRDefault="003E794A">
            <w:pPr>
              <w:spacing w:before="60"/>
              <w:rPr>
                <w:b/>
                <w:bCs/>
                <w:color w:val="000000"/>
                <w:sz w:val="20"/>
                <w:szCs w:val="20"/>
              </w:rPr>
            </w:pPr>
          </w:p>
        </w:tc>
        <w:tc>
          <w:tcPr>
            <w:tcW w:w="721" w:type="dxa"/>
          </w:tcPr>
          <w:p w14:paraId="624D7411" w14:textId="77777777" w:rsidR="003E794A" w:rsidRPr="00F930CA" w:rsidRDefault="003E794A">
            <w:pPr>
              <w:spacing w:before="60"/>
              <w:rPr>
                <w:color w:val="000000"/>
                <w:sz w:val="20"/>
                <w:szCs w:val="20"/>
              </w:rPr>
            </w:pPr>
            <w:r w:rsidRPr="00F930CA">
              <w:rPr>
                <w:color w:val="000000"/>
                <w:sz w:val="20"/>
                <w:szCs w:val="20"/>
              </w:rPr>
              <w:t>5.1</w:t>
            </w:r>
          </w:p>
        </w:tc>
        <w:tc>
          <w:tcPr>
            <w:tcW w:w="8195" w:type="dxa"/>
            <w:gridSpan w:val="5"/>
          </w:tcPr>
          <w:p w14:paraId="506AA537" w14:textId="77777777" w:rsidR="003E794A" w:rsidRPr="00F930CA" w:rsidRDefault="003E794A">
            <w:pPr>
              <w:spacing w:before="60"/>
              <w:rPr>
                <w:color w:val="000000"/>
                <w:sz w:val="20"/>
                <w:szCs w:val="20"/>
              </w:rPr>
            </w:pPr>
            <w:r w:rsidRPr="00F930CA">
              <w:rPr>
                <w:color w:val="000000"/>
                <w:sz w:val="20"/>
                <w:szCs w:val="20"/>
              </w:rPr>
              <w:t>Sample Checking and Processing</w:t>
            </w:r>
          </w:p>
        </w:tc>
      </w:tr>
      <w:tr w:rsidR="003E794A" w:rsidRPr="00F930CA" w14:paraId="00DE3AB5" w14:textId="77777777" w:rsidTr="00EB24E0">
        <w:trPr>
          <w:cantSplit/>
          <w:trHeight w:val="144"/>
        </w:trPr>
        <w:tc>
          <w:tcPr>
            <w:tcW w:w="740" w:type="dxa"/>
          </w:tcPr>
          <w:p w14:paraId="0C340454" w14:textId="77777777" w:rsidR="003E794A" w:rsidRPr="00F930CA" w:rsidRDefault="003E794A">
            <w:pPr>
              <w:spacing w:before="60"/>
              <w:rPr>
                <w:color w:val="000000"/>
                <w:sz w:val="20"/>
                <w:szCs w:val="20"/>
              </w:rPr>
            </w:pPr>
          </w:p>
        </w:tc>
        <w:tc>
          <w:tcPr>
            <w:tcW w:w="721" w:type="dxa"/>
          </w:tcPr>
          <w:p w14:paraId="4296C748" w14:textId="77777777" w:rsidR="003E794A" w:rsidRPr="00F930CA" w:rsidRDefault="003E794A">
            <w:pPr>
              <w:spacing w:before="60"/>
              <w:rPr>
                <w:color w:val="000000"/>
                <w:sz w:val="20"/>
                <w:szCs w:val="20"/>
              </w:rPr>
            </w:pPr>
          </w:p>
        </w:tc>
        <w:tc>
          <w:tcPr>
            <w:tcW w:w="833" w:type="dxa"/>
            <w:gridSpan w:val="2"/>
          </w:tcPr>
          <w:p w14:paraId="2D67FAE9" w14:textId="77777777" w:rsidR="003E794A" w:rsidRPr="00F930CA" w:rsidRDefault="003E794A">
            <w:pPr>
              <w:spacing w:before="60"/>
              <w:rPr>
                <w:color w:val="000000"/>
                <w:sz w:val="20"/>
                <w:szCs w:val="20"/>
              </w:rPr>
            </w:pPr>
            <w:r w:rsidRPr="00F930CA">
              <w:rPr>
                <w:color w:val="000000"/>
                <w:sz w:val="20"/>
                <w:szCs w:val="20"/>
              </w:rPr>
              <w:t>5.1.1</w:t>
            </w:r>
          </w:p>
        </w:tc>
        <w:tc>
          <w:tcPr>
            <w:tcW w:w="7362" w:type="dxa"/>
            <w:gridSpan w:val="3"/>
          </w:tcPr>
          <w:p w14:paraId="091189C0" w14:textId="77777777" w:rsidR="003E794A" w:rsidRPr="00F930CA" w:rsidRDefault="003E794A" w:rsidP="009E3642">
            <w:pPr>
              <w:pStyle w:val="BodyText"/>
              <w:rPr>
                <w:rFonts w:cs="Arial"/>
                <w:sz w:val="20"/>
                <w:szCs w:val="20"/>
                <w:u w:val="single"/>
              </w:rPr>
            </w:pPr>
            <w:r w:rsidRPr="00F930CA">
              <w:rPr>
                <w:rFonts w:cs="Arial"/>
                <w:sz w:val="20"/>
                <w:szCs w:val="20"/>
              </w:rPr>
              <w:t>Samples should arrive in suitably labelled specimen bags. All specimens must be handled over a spill tray. Any soiled paperwork must be discarded in an appropriate waste sack as clinical waste. In this instance, sample details should be manually transcribed onto a clean form, indicating that the original form had to be discarded.</w:t>
            </w:r>
          </w:p>
        </w:tc>
      </w:tr>
      <w:tr w:rsidR="003E794A" w:rsidRPr="00F930CA" w14:paraId="4004E3AC" w14:textId="77777777" w:rsidTr="00EB24E0">
        <w:trPr>
          <w:cantSplit/>
          <w:trHeight w:val="144"/>
        </w:trPr>
        <w:tc>
          <w:tcPr>
            <w:tcW w:w="740" w:type="dxa"/>
          </w:tcPr>
          <w:p w14:paraId="687EEED1" w14:textId="77777777" w:rsidR="003E794A" w:rsidRPr="00F930CA" w:rsidRDefault="003E794A" w:rsidP="00272696">
            <w:pPr>
              <w:spacing w:before="60"/>
              <w:rPr>
                <w:color w:val="000000"/>
                <w:sz w:val="20"/>
                <w:szCs w:val="20"/>
              </w:rPr>
            </w:pPr>
          </w:p>
        </w:tc>
        <w:tc>
          <w:tcPr>
            <w:tcW w:w="721" w:type="dxa"/>
          </w:tcPr>
          <w:p w14:paraId="689CC98D" w14:textId="77777777" w:rsidR="003E794A" w:rsidRPr="00F930CA" w:rsidRDefault="003E794A" w:rsidP="00272696">
            <w:pPr>
              <w:spacing w:before="60"/>
              <w:rPr>
                <w:color w:val="000000"/>
                <w:sz w:val="20"/>
                <w:szCs w:val="20"/>
              </w:rPr>
            </w:pPr>
          </w:p>
        </w:tc>
        <w:tc>
          <w:tcPr>
            <w:tcW w:w="833" w:type="dxa"/>
            <w:gridSpan w:val="2"/>
          </w:tcPr>
          <w:p w14:paraId="61ED14AA" w14:textId="77777777" w:rsidR="003E794A" w:rsidRPr="00F930CA" w:rsidRDefault="003E794A" w:rsidP="00272696">
            <w:pPr>
              <w:spacing w:before="60"/>
              <w:rPr>
                <w:color w:val="000000"/>
                <w:sz w:val="20"/>
                <w:szCs w:val="20"/>
              </w:rPr>
            </w:pPr>
            <w:r w:rsidRPr="00F930CA">
              <w:rPr>
                <w:color w:val="000000"/>
                <w:sz w:val="20"/>
                <w:szCs w:val="20"/>
              </w:rPr>
              <w:t>5.1.2</w:t>
            </w:r>
          </w:p>
        </w:tc>
        <w:tc>
          <w:tcPr>
            <w:tcW w:w="7362" w:type="dxa"/>
            <w:gridSpan w:val="3"/>
            <w:vAlign w:val="center"/>
          </w:tcPr>
          <w:p w14:paraId="5F3EB3EB" w14:textId="77777777" w:rsidR="003E794A" w:rsidRPr="00F930CA" w:rsidRDefault="003E794A" w:rsidP="006A1D1A">
            <w:pPr>
              <w:pStyle w:val="BodyText"/>
              <w:rPr>
                <w:rFonts w:cs="Arial"/>
                <w:sz w:val="20"/>
                <w:szCs w:val="20"/>
              </w:rPr>
            </w:pPr>
            <w:r w:rsidRPr="00F930CA">
              <w:rPr>
                <w:rFonts w:cs="Arial"/>
                <w:sz w:val="20"/>
                <w:szCs w:val="20"/>
              </w:rPr>
              <w:t xml:space="preserve">The details on the sample bottle / tube should be checked against those on the accompanying request form. Any discrepancies should be noted on the form and identified to a senior member of staff, who will decide on a course of action. If there are discrepancies, details taken from the bottle should be used for data entry. </w:t>
            </w:r>
          </w:p>
          <w:p w14:paraId="0389295F" w14:textId="77777777" w:rsidR="003E794A" w:rsidRPr="00F930CA" w:rsidRDefault="003E794A" w:rsidP="006A1D1A">
            <w:pPr>
              <w:spacing w:before="60"/>
              <w:rPr>
                <w:color w:val="000000"/>
                <w:sz w:val="20"/>
                <w:szCs w:val="20"/>
              </w:rPr>
            </w:pPr>
          </w:p>
        </w:tc>
      </w:tr>
      <w:tr w:rsidR="003E794A" w:rsidRPr="00F930CA" w14:paraId="58AD833A" w14:textId="77777777" w:rsidTr="00EB24E0">
        <w:trPr>
          <w:cantSplit/>
          <w:trHeight w:val="144"/>
        </w:trPr>
        <w:tc>
          <w:tcPr>
            <w:tcW w:w="740" w:type="dxa"/>
          </w:tcPr>
          <w:p w14:paraId="169F263D" w14:textId="77777777" w:rsidR="003E794A" w:rsidRPr="00F930CA" w:rsidRDefault="003E794A" w:rsidP="00272696">
            <w:pPr>
              <w:spacing w:before="60"/>
              <w:rPr>
                <w:color w:val="000000"/>
                <w:sz w:val="20"/>
                <w:szCs w:val="20"/>
              </w:rPr>
            </w:pPr>
          </w:p>
        </w:tc>
        <w:tc>
          <w:tcPr>
            <w:tcW w:w="721" w:type="dxa"/>
          </w:tcPr>
          <w:p w14:paraId="728AA316" w14:textId="77777777" w:rsidR="003E794A" w:rsidRPr="00F930CA" w:rsidRDefault="003E794A">
            <w:pPr>
              <w:spacing w:before="60"/>
              <w:rPr>
                <w:color w:val="000000"/>
                <w:sz w:val="20"/>
                <w:szCs w:val="20"/>
              </w:rPr>
            </w:pPr>
          </w:p>
        </w:tc>
        <w:tc>
          <w:tcPr>
            <w:tcW w:w="833" w:type="dxa"/>
            <w:gridSpan w:val="2"/>
          </w:tcPr>
          <w:p w14:paraId="4B9F7449" w14:textId="77777777" w:rsidR="003E794A" w:rsidRPr="00F930CA" w:rsidRDefault="003E794A" w:rsidP="004F470D">
            <w:pPr>
              <w:spacing w:before="60"/>
              <w:rPr>
                <w:color w:val="000000"/>
                <w:sz w:val="20"/>
                <w:szCs w:val="20"/>
              </w:rPr>
            </w:pPr>
            <w:r w:rsidRPr="00F930CA">
              <w:rPr>
                <w:color w:val="000000"/>
                <w:sz w:val="20"/>
                <w:szCs w:val="20"/>
              </w:rPr>
              <w:t>5.1.3</w:t>
            </w:r>
          </w:p>
        </w:tc>
        <w:tc>
          <w:tcPr>
            <w:tcW w:w="7362" w:type="dxa"/>
            <w:gridSpan w:val="3"/>
            <w:vAlign w:val="center"/>
          </w:tcPr>
          <w:p w14:paraId="3F3CE092" w14:textId="77777777" w:rsidR="003E794A" w:rsidRPr="00F930CA" w:rsidRDefault="003E794A" w:rsidP="006A1D1A">
            <w:pPr>
              <w:pStyle w:val="BodyText"/>
              <w:rPr>
                <w:rFonts w:cs="Arial"/>
                <w:sz w:val="20"/>
                <w:szCs w:val="20"/>
              </w:rPr>
            </w:pPr>
            <w:r w:rsidRPr="00F930CA">
              <w:rPr>
                <w:rFonts w:cs="Arial"/>
                <w:sz w:val="20"/>
                <w:szCs w:val="20"/>
              </w:rPr>
              <w:t>Centrifuge clotted blood samples for 5 minutes at 1000g.</w:t>
            </w:r>
          </w:p>
          <w:p w14:paraId="1D8028E4" w14:textId="77777777" w:rsidR="003E794A" w:rsidRPr="00F930CA" w:rsidRDefault="003E794A" w:rsidP="006A1D1A">
            <w:pPr>
              <w:spacing w:before="60"/>
              <w:rPr>
                <w:color w:val="000000"/>
                <w:sz w:val="20"/>
                <w:szCs w:val="20"/>
              </w:rPr>
            </w:pPr>
          </w:p>
        </w:tc>
      </w:tr>
      <w:tr w:rsidR="003E794A" w:rsidRPr="00F930CA" w14:paraId="1BB4015B" w14:textId="77777777" w:rsidTr="00EB24E0">
        <w:trPr>
          <w:cantSplit/>
          <w:trHeight w:val="144"/>
        </w:trPr>
        <w:tc>
          <w:tcPr>
            <w:tcW w:w="740" w:type="dxa"/>
          </w:tcPr>
          <w:p w14:paraId="13901E17" w14:textId="77777777" w:rsidR="003E794A" w:rsidRPr="00F930CA" w:rsidRDefault="003E794A" w:rsidP="00272696">
            <w:pPr>
              <w:spacing w:before="60"/>
              <w:rPr>
                <w:color w:val="000000"/>
                <w:sz w:val="20"/>
                <w:szCs w:val="20"/>
              </w:rPr>
            </w:pPr>
          </w:p>
        </w:tc>
        <w:tc>
          <w:tcPr>
            <w:tcW w:w="721" w:type="dxa"/>
          </w:tcPr>
          <w:p w14:paraId="1ADF1FEA" w14:textId="77777777" w:rsidR="003E794A" w:rsidRPr="00F930CA" w:rsidRDefault="003E794A">
            <w:pPr>
              <w:spacing w:before="60"/>
              <w:rPr>
                <w:color w:val="000000"/>
                <w:sz w:val="20"/>
                <w:szCs w:val="20"/>
              </w:rPr>
            </w:pPr>
          </w:p>
        </w:tc>
        <w:tc>
          <w:tcPr>
            <w:tcW w:w="833" w:type="dxa"/>
            <w:gridSpan w:val="2"/>
          </w:tcPr>
          <w:p w14:paraId="7CD81963" w14:textId="77777777" w:rsidR="003E794A" w:rsidRPr="00F930CA" w:rsidRDefault="003E794A" w:rsidP="004F470D">
            <w:pPr>
              <w:spacing w:before="60"/>
              <w:rPr>
                <w:color w:val="000000"/>
                <w:sz w:val="20"/>
                <w:szCs w:val="20"/>
              </w:rPr>
            </w:pPr>
            <w:r w:rsidRPr="00F930CA">
              <w:rPr>
                <w:color w:val="000000"/>
                <w:sz w:val="20"/>
                <w:szCs w:val="20"/>
              </w:rPr>
              <w:t>5.1.4</w:t>
            </w:r>
          </w:p>
        </w:tc>
        <w:tc>
          <w:tcPr>
            <w:tcW w:w="7362" w:type="dxa"/>
            <w:gridSpan w:val="3"/>
            <w:vAlign w:val="center"/>
          </w:tcPr>
          <w:p w14:paraId="0952F2D0" w14:textId="77777777" w:rsidR="003E794A" w:rsidRPr="00F930CA" w:rsidRDefault="003E794A" w:rsidP="006A1D1A">
            <w:pPr>
              <w:pStyle w:val="BodyText"/>
              <w:rPr>
                <w:rFonts w:cs="Arial"/>
                <w:sz w:val="20"/>
                <w:szCs w:val="20"/>
              </w:rPr>
            </w:pPr>
            <w:r w:rsidRPr="00F930CA">
              <w:rPr>
                <w:rFonts w:cs="Arial"/>
                <w:sz w:val="20"/>
                <w:szCs w:val="20"/>
              </w:rPr>
              <w:t>After centrifugation of the sample, up to 2ml serum should be transferred to an appropriately labelled serum tube. This transfer should be carried out in such a way to ensure that the serum is transferred to the correct tube.</w:t>
            </w:r>
          </w:p>
          <w:p w14:paraId="4E39D52D" w14:textId="77777777" w:rsidR="003E794A" w:rsidRPr="00F930CA" w:rsidRDefault="003E794A" w:rsidP="006A1D1A">
            <w:pPr>
              <w:pStyle w:val="BodyText"/>
              <w:rPr>
                <w:rFonts w:cs="Arial"/>
                <w:sz w:val="20"/>
                <w:szCs w:val="20"/>
              </w:rPr>
            </w:pPr>
          </w:p>
        </w:tc>
      </w:tr>
      <w:tr w:rsidR="003E794A" w:rsidRPr="00F930CA" w14:paraId="38A32EC5" w14:textId="77777777" w:rsidTr="00EB24E0">
        <w:trPr>
          <w:cantSplit/>
          <w:trHeight w:val="144"/>
        </w:trPr>
        <w:tc>
          <w:tcPr>
            <w:tcW w:w="740" w:type="dxa"/>
          </w:tcPr>
          <w:p w14:paraId="63A4CA03" w14:textId="77777777" w:rsidR="003E794A" w:rsidRPr="00F930CA" w:rsidRDefault="003E794A" w:rsidP="00272696">
            <w:pPr>
              <w:spacing w:before="60"/>
              <w:rPr>
                <w:color w:val="000000"/>
                <w:sz w:val="20"/>
                <w:szCs w:val="20"/>
              </w:rPr>
            </w:pPr>
          </w:p>
        </w:tc>
        <w:tc>
          <w:tcPr>
            <w:tcW w:w="721" w:type="dxa"/>
          </w:tcPr>
          <w:p w14:paraId="43E6B9A5" w14:textId="77777777" w:rsidR="003E794A" w:rsidRPr="00F930CA" w:rsidRDefault="003E794A">
            <w:pPr>
              <w:spacing w:before="60"/>
              <w:rPr>
                <w:color w:val="000000"/>
                <w:sz w:val="20"/>
                <w:szCs w:val="20"/>
              </w:rPr>
            </w:pPr>
          </w:p>
        </w:tc>
        <w:tc>
          <w:tcPr>
            <w:tcW w:w="833" w:type="dxa"/>
            <w:gridSpan w:val="2"/>
          </w:tcPr>
          <w:p w14:paraId="056CBFA5" w14:textId="77777777" w:rsidR="003E794A" w:rsidRPr="00F930CA" w:rsidRDefault="003E794A" w:rsidP="004F470D">
            <w:pPr>
              <w:spacing w:before="60"/>
              <w:rPr>
                <w:color w:val="000000"/>
                <w:sz w:val="20"/>
                <w:szCs w:val="20"/>
              </w:rPr>
            </w:pPr>
            <w:r w:rsidRPr="00F930CA">
              <w:rPr>
                <w:color w:val="000000"/>
                <w:sz w:val="20"/>
                <w:szCs w:val="20"/>
              </w:rPr>
              <w:t>5.1.5</w:t>
            </w:r>
          </w:p>
        </w:tc>
        <w:tc>
          <w:tcPr>
            <w:tcW w:w="7362" w:type="dxa"/>
            <w:gridSpan w:val="3"/>
            <w:vAlign w:val="center"/>
          </w:tcPr>
          <w:p w14:paraId="3800C21B" w14:textId="77777777" w:rsidR="003E794A" w:rsidRPr="00F930CA" w:rsidRDefault="003E794A" w:rsidP="006A1D1A">
            <w:pPr>
              <w:pStyle w:val="BodyText"/>
              <w:rPr>
                <w:rFonts w:cs="Arial"/>
                <w:sz w:val="20"/>
                <w:szCs w:val="20"/>
              </w:rPr>
            </w:pPr>
            <w:r w:rsidRPr="00F930CA">
              <w:rPr>
                <w:rFonts w:cs="Arial"/>
                <w:sz w:val="20"/>
                <w:szCs w:val="20"/>
              </w:rPr>
              <w:t>Freeze and store serum sample at -20</w:t>
            </w:r>
            <w:r w:rsidRPr="00F930CA">
              <w:rPr>
                <w:rFonts w:cs="Arial"/>
                <w:sz w:val="20"/>
                <w:szCs w:val="20"/>
                <w:vertAlign w:val="superscript"/>
              </w:rPr>
              <w:t>o</w:t>
            </w:r>
            <w:r w:rsidRPr="00F930CA">
              <w:rPr>
                <w:rFonts w:cs="Arial"/>
                <w:sz w:val="20"/>
                <w:szCs w:val="20"/>
              </w:rPr>
              <w:t>C until required for testing.</w:t>
            </w:r>
          </w:p>
          <w:p w14:paraId="1023633F" w14:textId="77777777" w:rsidR="003E794A" w:rsidRPr="00F930CA" w:rsidRDefault="003E794A" w:rsidP="006A1D1A">
            <w:pPr>
              <w:pStyle w:val="BodyText"/>
              <w:rPr>
                <w:rFonts w:cs="Arial"/>
              </w:rPr>
            </w:pPr>
          </w:p>
        </w:tc>
      </w:tr>
      <w:tr w:rsidR="003E794A" w:rsidRPr="00F930CA" w14:paraId="591F121E" w14:textId="77777777" w:rsidTr="00EB24E0">
        <w:trPr>
          <w:cantSplit/>
          <w:trHeight w:val="144"/>
        </w:trPr>
        <w:tc>
          <w:tcPr>
            <w:tcW w:w="740" w:type="dxa"/>
          </w:tcPr>
          <w:p w14:paraId="67460EF6" w14:textId="77777777" w:rsidR="003E794A" w:rsidRPr="00F930CA" w:rsidRDefault="003E794A" w:rsidP="00272696">
            <w:pPr>
              <w:spacing w:before="60"/>
              <w:rPr>
                <w:color w:val="000000"/>
                <w:sz w:val="20"/>
                <w:szCs w:val="20"/>
              </w:rPr>
            </w:pPr>
          </w:p>
        </w:tc>
        <w:tc>
          <w:tcPr>
            <w:tcW w:w="721" w:type="dxa"/>
          </w:tcPr>
          <w:p w14:paraId="05B8D394" w14:textId="77777777" w:rsidR="003E794A" w:rsidRPr="00F930CA" w:rsidRDefault="003E794A">
            <w:pPr>
              <w:spacing w:before="60"/>
              <w:rPr>
                <w:color w:val="000000"/>
                <w:sz w:val="20"/>
                <w:szCs w:val="20"/>
              </w:rPr>
            </w:pPr>
          </w:p>
        </w:tc>
        <w:tc>
          <w:tcPr>
            <w:tcW w:w="833" w:type="dxa"/>
            <w:gridSpan w:val="2"/>
          </w:tcPr>
          <w:p w14:paraId="1E9990EF" w14:textId="77777777" w:rsidR="003E794A" w:rsidRPr="00F930CA" w:rsidRDefault="003E794A" w:rsidP="004F470D">
            <w:pPr>
              <w:spacing w:before="60"/>
              <w:rPr>
                <w:color w:val="000000"/>
                <w:sz w:val="20"/>
                <w:szCs w:val="20"/>
              </w:rPr>
            </w:pPr>
            <w:r w:rsidRPr="00F930CA">
              <w:rPr>
                <w:color w:val="000000"/>
                <w:sz w:val="20"/>
                <w:szCs w:val="20"/>
              </w:rPr>
              <w:t>Notes</w:t>
            </w:r>
          </w:p>
        </w:tc>
        <w:tc>
          <w:tcPr>
            <w:tcW w:w="7362" w:type="dxa"/>
            <w:gridSpan w:val="3"/>
            <w:vAlign w:val="center"/>
          </w:tcPr>
          <w:p w14:paraId="0459F533" w14:textId="77777777" w:rsidR="003E794A" w:rsidRPr="00F930CA" w:rsidRDefault="003E794A" w:rsidP="003E794A">
            <w:pPr>
              <w:pStyle w:val="BodyText"/>
              <w:widowControl/>
              <w:numPr>
                <w:ilvl w:val="0"/>
                <w:numId w:val="4"/>
              </w:numPr>
              <w:tabs>
                <w:tab w:val="left" w:pos="1440"/>
              </w:tabs>
              <w:autoSpaceDE/>
              <w:autoSpaceDN/>
              <w:adjustRightInd/>
              <w:jc w:val="left"/>
              <w:rPr>
                <w:rFonts w:cs="Arial"/>
                <w:sz w:val="20"/>
                <w:szCs w:val="20"/>
              </w:rPr>
            </w:pPr>
            <w:r w:rsidRPr="00F930CA">
              <w:rPr>
                <w:rFonts w:cs="Arial"/>
                <w:sz w:val="20"/>
                <w:szCs w:val="20"/>
              </w:rPr>
              <w:t>If a serum sample is badly haemolysed, and deemed unfit for use by a qualified member of staff, the sample may be discarded.</w:t>
            </w:r>
          </w:p>
          <w:p w14:paraId="0A2046E0" w14:textId="77777777" w:rsidR="003E794A" w:rsidRPr="00F930CA" w:rsidRDefault="003E794A" w:rsidP="003E794A">
            <w:pPr>
              <w:pStyle w:val="BodyText"/>
              <w:widowControl/>
              <w:numPr>
                <w:ilvl w:val="0"/>
                <w:numId w:val="4"/>
              </w:numPr>
              <w:tabs>
                <w:tab w:val="left" w:pos="1440"/>
              </w:tabs>
              <w:autoSpaceDE/>
              <w:autoSpaceDN/>
              <w:adjustRightInd/>
              <w:jc w:val="left"/>
              <w:rPr>
                <w:rFonts w:cs="Arial"/>
                <w:sz w:val="20"/>
                <w:szCs w:val="20"/>
              </w:rPr>
            </w:pPr>
            <w:r w:rsidRPr="00F930CA">
              <w:rPr>
                <w:rFonts w:cs="Arial"/>
                <w:sz w:val="20"/>
                <w:szCs w:val="20"/>
              </w:rPr>
              <w:t>Samples should NOT be ‘inactivated’ in any way including by the addition of EDTA, DTT or heat inactivation.</w:t>
            </w:r>
          </w:p>
          <w:p w14:paraId="134BAC56" w14:textId="77777777" w:rsidR="003E794A" w:rsidRPr="00F930CA" w:rsidRDefault="003E794A" w:rsidP="003E794A">
            <w:pPr>
              <w:pStyle w:val="BodyText"/>
              <w:widowControl/>
              <w:numPr>
                <w:ilvl w:val="0"/>
                <w:numId w:val="4"/>
              </w:numPr>
              <w:tabs>
                <w:tab w:val="left" w:pos="1440"/>
              </w:tabs>
              <w:autoSpaceDE/>
              <w:autoSpaceDN/>
              <w:adjustRightInd/>
              <w:jc w:val="left"/>
              <w:rPr>
                <w:rFonts w:cs="Arial"/>
                <w:sz w:val="20"/>
                <w:szCs w:val="20"/>
              </w:rPr>
            </w:pPr>
            <w:r w:rsidRPr="00F930CA">
              <w:rPr>
                <w:rFonts w:cs="Arial"/>
                <w:sz w:val="20"/>
                <w:szCs w:val="20"/>
              </w:rPr>
              <w:t xml:space="preserve">Last research visit samples: Month 32 samples and the last clock reset samples will be stored at -20oC. These samples will be sent to Guy’s Hospital Tissue Typing Laboratory for analysis. </w:t>
            </w:r>
          </w:p>
        </w:tc>
      </w:tr>
      <w:tr w:rsidR="003E794A" w:rsidRPr="00F930CA" w14:paraId="2133E3F8" w14:textId="77777777" w:rsidTr="00EB24E0">
        <w:trPr>
          <w:cantSplit/>
          <w:trHeight w:val="132"/>
        </w:trPr>
        <w:tc>
          <w:tcPr>
            <w:tcW w:w="740" w:type="dxa"/>
          </w:tcPr>
          <w:p w14:paraId="1806EF8E" w14:textId="77777777" w:rsidR="003E794A" w:rsidRPr="00F930CA" w:rsidRDefault="003E794A">
            <w:pPr>
              <w:spacing w:before="60"/>
              <w:rPr>
                <w:color w:val="000000"/>
                <w:sz w:val="20"/>
                <w:szCs w:val="20"/>
              </w:rPr>
            </w:pPr>
          </w:p>
        </w:tc>
        <w:tc>
          <w:tcPr>
            <w:tcW w:w="721" w:type="dxa"/>
          </w:tcPr>
          <w:p w14:paraId="5D20C837" w14:textId="77777777" w:rsidR="003E794A" w:rsidRPr="00F930CA" w:rsidRDefault="003E794A">
            <w:pPr>
              <w:spacing w:before="60"/>
              <w:rPr>
                <w:color w:val="000000"/>
                <w:sz w:val="20"/>
                <w:szCs w:val="20"/>
              </w:rPr>
            </w:pPr>
            <w:r w:rsidRPr="00F930CA">
              <w:rPr>
                <w:color w:val="000000"/>
                <w:sz w:val="20"/>
                <w:szCs w:val="20"/>
              </w:rPr>
              <w:t>5.2</w:t>
            </w:r>
          </w:p>
        </w:tc>
        <w:tc>
          <w:tcPr>
            <w:tcW w:w="8195" w:type="dxa"/>
            <w:gridSpan w:val="5"/>
            <w:vAlign w:val="center"/>
          </w:tcPr>
          <w:p w14:paraId="4DADD792" w14:textId="77777777" w:rsidR="003E794A" w:rsidRPr="00F930CA" w:rsidRDefault="003E794A" w:rsidP="006A1D1A">
            <w:pPr>
              <w:spacing w:before="60"/>
              <w:rPr>
                <w:color w:val="000000"/>
                <w:sz w:val="20"/>
                <w:szCs w:val="20"/>
              </w:rPr>
            </w:pPr>
            <w:r w:rsidRPr="00F930CA">
              <w:rPr>
                <w:color w:val="000000"/>
                <w:sz w:val="20"/>
                <w:szCs w:val="20"/>
              </w:rPr>
              <w:t>Procedure for filter plate method</w:t>
            </w:r>
          </w:p>
        </w:tc>
      </w:tr>
      <w:tr w:rsidR="003E794A" w:rsidRPr="00F930CA" w14:paraId="567154B7" w14:textId="77777777" w:rsidTr="00EB24E0">
        <w:trPr>
          <w:cantSplit/>
          <w:trHeight w:val="132"/>
        </w:trPr>
        <w:tc>
          <w:tcPr>
            <w:tcW w:w="740" w:type="dxa"/>
          </w:tcPr>
          <w:p w14:paraId="5EBD5218" w14:textId="77777777" w:rsidR="003E794A" w:rsidRPr="00F930CA" w:rsidRDefault="003E794A">
            <w:pPr>
              <w:rPr>
                <w:color w:val="000000"/>
                <w:sz w:val="20"/>
                <w:szCs w:val="20"/>
              </w:rPr>
            </w:pPr>
          </w:p>
        </w:tc>
        <w:tc>
          <w:tcPr>
            <w:tcW w:w="721" w:type="dxa"/>
          </w:tcPr>
          <w:p w14:paraId="20035AFB" w14:textId="77777777" w:rsidR="003E794A" w:rsidRPr="00F930CA" w:rsidRDefault="003E794A">
            <w:pPr>
              <w:rPr>
                <w:color w:val="000000"/>
                <w:sz w:val="20"/>
                <w:szCs w:val="20"/>
              </w:rPr>
            </w:pPr>
          </w:p>
        </w:tc>
        <w:tc>
          <w:tcPr>
            <w:tcW w:w="833" w:type="dxa"/>
            <w:gridSpan w:val="2"/>
          </w:tcPr>
          <w:p w14:paraId="3BC6171E" w14:textId="77777777" w:rsidR="003E794A" w:rsidRPr="00F930CA" w:rsidRDefault="003E794A" w:rsidP="004057BF">
            <w:pPr>
              <w:rPr>
                <w:color w:val="000000"/>
                <w:sz w:val="20"/>
                <w:szCs w:val="20"/>
              </w:rPr>
            </w:pPr>
            <w:r w:rsidRPr="00F930CA">
              <w:rPr>
                <w:color w:val="000000"/>
                <w:sz w:val="20"/>
                <w:szCs w:val="20"/>
              </w:rPr>
              <w:t>5.2.1</w:t>
            </w:r>
          </w:p>
        </w:tc>
        <w:tc>
          <w:tcPr>
            <w:tcW w:w="7362" w:type="dxa"/>
            <w:gridSpan w:val="3"/>
            <w:vAlign w:val="center"/>
          </w:tcPr>
          <w:p w14:paraId="39719BC3" w14:textId="77777777" w:rsidR="003E794A" w:rsidRPr="00F930CA" w:rsidRDefault="003E794A" w:rsidP="006A1D1A">
            <w:pPr>
              <w:pStyle w:val="BodyText2"/>
              <w:spacing w:line="240" w:lineRule="auto"/>
              <w:rPr>
                <w:color w:val="000000"/>
                <w:sz w:val="20"/>
                <w:szCs w:val="20"/>
              </w:rPr>
            </w:pPr>
            <w:r w:rsidRPr="00F930CA">
              <w:rPr>
                <w:sz w:val="20"/>
                <w:szCs w:val="20"/>
              </w:rPr>
              <w:t>Remove kit from fridge ensuring the beads and PE remain in the DARK as they are extremely light sensitive.</w:t>
            </w:r>
          </w:p>
        </w:tc>
      </w:tr>
      <w:tr w:rsidR="003E794A" w:rsidRPr="00F930CA" w14:paraId="4D37F447" w14:textId="77777777" w:rsidTr="00EB24E0">
        <w:trPr>
          <w:cantSplit/>
          <w:trHeight w:val="132"/>
        </w:trPr>
        <w:tc>
          <w:tcPr>
            <w:tcW w:w="740" w:type="dxa"/>
          </w:tcPr>
          <w:p w14:paraId="54CBD841" w14:textId="77777777" w:rsidR="003E794A" w:rsidRPr="00F930CA" w:rsidRDefault="003E794A">
            <w:pPr>
              <w:spacing w:before="60"/>
              <w:rPr>
                <w:color w:val="000000"/>
                <w:sz w:val="20"/>
                <w:szCs w:val="20"/>
              </w:rPr>
            </w:pPr>
          </w:p>
        </w:tc>
        <w:tc>
          <w:tcPr>
            <w:tcW w:w="721" w:type="dxa"/>
          </w:tcPr>
          <w:p w14:paraId="2B342568" w14:textId="77777777" w:rsidR="003E794A" w:rsidRPr="00F930CA" w:rsidRDefault="003E794A">
            <w:pPr>
              <w:spacing w:before="60"/>
              <w:rPr>
                <w:color w:val="000000"/>
                <w:sz w:val="20"/>
                <w:szCs w:val="20"/>
              </w:rPr>
            </w:pPr>
          </w:p>
        </w:tc>
        <w:tc>
          <w:tcPr>
            <w:tcW w:w="833" w:type="dxa"/>
            <w:gridSpan w:val="2"/>
          </w:tcPr>
          <w:p w14:paraId="0A8BE0EC" w14:textId="77777777" w:rsidR="003E794A" w:rsidRPr="00F930CA" w:rsidRDefault="003E794A" w:rsidP="004057BF">
            <w:pPr>
              <w:spacing w:before="60"/>
              <w:rPr>
                <w:color w:val="000000"/>
                <w:sz w:val="20"/>
                <w:szCs w:val="20"/>
              </w:rPr>
            </w:pPr>
            <w:r w:rsidRPr="00F930CA">
              <w:rPr>
                <w:color w:val="000000"/>
                <w:sz w:val="20"/>
                <w:szCs w:val="20"/>
              </w:rPr>
              <w:t>5.2.2</w:t>
            </w:r>
          </w:p>
        </w:tc>
        <w:tc>
          <w:tcPr>
            <w:tcW w:w="7362" w:type="dxa"/>
            <w:gridSpan w:val="3"/>
            <w:vAlign w:val="center"/>
          </w:tcPr>
          <w:p w14:paraId="334084EB" w14:textId="77777777" w:rsidR="003E794A" w:rsidRPr="00F930CA" w:rsidRDefault="003E794A" w:rsidP="006A1D1A">
            <w:pPr>
              <w:pStyle w:val="BodyText2"/>
              <w:spacing w:line="240" w:lineRule="auto"/>
              <w:rPr>
                <w:i/>
                <w:iCs/>
                <w:color w:val="000000"/>
                <w:sz w:val="20"/>
                <w:szCs w:val="20"/>
              </w:rPr>
            </w:pPr>
            <w:r w:rsidRPr="00F930CA">
              <w:rPr>
                <w:sz w:val="20"/>
                <w:szCs w:val="20"/>
              </w:rPr>
              <w:t>Note the Lot number of the kit to be used and ensure that the template has been loaded onto the Luminex software.</w:t>
            </w:r>
          </w:p>
        </w:tc>
      </w:tr>
      <w:tr w:rsidR="003E794A" w:rsidRPr="00F930CA" w14:paraId="42BFC908" w14:textId="77777777" w:rsidTr="00EB24E0">
        <w:trPr>
          <w:cantSplit/>
          <w:trHeight w:val="132"/>
        </w:trPr>
        <w:tc>
          <w:tcPr>
            <w:tcW w:w="740" w:type="dxa"/>
          </w:tcPr>
          <w:p w14:paraId="76A31783" w14:textId="77777777" w:rsidR="003E794A" w:rsidRPr="00F930CA" w:rsidRDefault="003E794A">
            <w:pPr>
              <w:spacing w:before="60"/>
              <w:rPr>
                <w:color w:val="000000"/>
                <w:sz w:val="20"/>
                <w:szCs w:val="20"/>
              </w:rPr>
            </w:pPr>
          </w:p>
        </w:tc>
        <w:tc>
          <w:tcPr>
            <w:tcW w:w="721" w:type="dxa"/>
          </w:tcPr>
          <w:p w14:paraId="69CA06FB" w14:textId="77777777" w:rsidR="003E794A" w:rsidRPr="00F930CA" w:rsidRDefault="003E794A">
            <w:pPr>
              <w:spacing w:before="60"/>
              <w:rPr>
                <w:color w:val="000000"/>
                <w:sz w:val="20"/>
                <w:szCs w:val="20"/>
              </w:rPr>
            </w:pPr>
          </w:p>
        </w:tc>
        <w:tc>
          <w:tcPr>
            <w:tcW w:w="833" w:type="dxa"/>
            <w:gridSpan w:val="2"/>
          </w:tcPr>
          <w:p w14:paraId="067AB7E9" w14:textId="77777777" w:rsidR="003E794A" w:rsidRPr="00F930CA" w:rsidRDefault="003E794A">
            <w:pPr>
              <w:rPr>
                <w:color w:val="000000"/>
                <w:sz w:val="20"/>
                <w:szCs w:val="20"/>
              </w:rPr>
            </w:pPr>
            <w:r w:rsidRPr="00F930CA">
              <w:rPr>
                <w:color w:val="000000"/>
                <w:sz w:val="20"/>
                <w:szCs w:val="20"/>
              </w:rPr>
              <w:t>5.2.3</w:t>
            </w:r>
          </w:p>
        </w:tc>
        <w:tc>
          <w:tcPr>
            <w:tcW w:w="7362" w:type="dxa"/>
            <w:gridSpan w:val="3"/>
            <w:vAlign w:val="center"/>
          </w:tcPr>
          <w:p w14:paraId="2CEE0843" w14:textId="77777777" w:rsidR="003E794A" w:rsidRPr="00F930CA" w:rsidRDefault="003E794A" w:rsidP="006A1D1A">
            <w:pPr>
              <w:pStyle w:val="BodyText2"/>
              <w:spacing w:line="240" w:lineRule="auto"/>
              <w:rPr>
                <w:color w:val="000000"/>
                <w:sz w:val="20"/>
                <w:szCs w:val="20"/>
              </w:rPr>
            </w:pPr>
            <w:r w:rsidRPr="00F930CA">
              <w:rPr>
                <w:sz w:val="20"/>
                <w:szCs w:val="20"/>
              </w:rPr>
              <w:t>Enter on worksheet the lot numbers and expiry dates of the LABScreen kit, IgG/PE, wash buffer, positive control and negative control. Where appropriate note the date the vial was received and defrosted.</w:t>
            </w:r>
          </w:p>
        </w:tc>
      </w:tr>
      <w:tr w:rsidR="003E794A" w:rsidRPr="00F930CA" w14:paraId="6D7EA608" w14:textId="77777777" w:rsidTr="00EB24E0">
        <w:trPr>
          <w:cantSplit/>
          <w:trHeight w:val="132"/>
        </w:trPr>
        <w:tc>
          <w:tcPr>
            <w:tcW w:w="740" w:type="dxa"/>
          </w:tcPr>
          <w:p w14:paraId="529017D0" w14:textId="77777777" w:rsidR="003E794A" w:rsidRPr="00F930CA" w:rsidRDefault="003E794A">
            <w:pPr>
              <w:spacing w:before="60"/>
              <w:rPr>
                <w:color w:val="000000"/>
                <w:sz w:val="20"/>
                <w:szCs w:val="20"/>
              </w:rPr>
            </w:pPr>
          </w:p>
        </w:tc>
        <w:tc>
          <w:tcPr>
            <w:tcW w:w="721" w:type="dxa"/>
          </w:tcPr>
          <w:p w14:paraId="7CEE7394" w14:textId="77777777" w:rsidR="003E794A" w:rsidRPr="00F930CA" w:rsidRDefault="003E794A">
            <w:pPr>
              <w:spacing w:before="60"/>
              <w:rPr>
                <w:color w:val="000000"/>
                <w:sz w:val="20"/>
                <w:szCs w:val="20"/>
              </w:rPr>
            </w:pPr>
          </w:p>
        </w:tc>
        <w:tc>
          <w:tcPr>
            <w:tcW w:w="833" w:type="dxa"/>
            <w:gridSpan w:val="2"/>
          </w:tcPr>
          <w:p w14:paraId="62D4FFFB" w14:textId="77777777" w:rsidR="003E794A" w:rsidRPr="00F930CA" w:rsidRDefault="003E794A">
            <w:pPr>
              <w:rPr>
                <w:color w:val="000000"/>
                <w:sz w:val="20"/>
                <w:szCs w:val="20"/>
              </w:rPr>
            </w:pPr>
            <w:r w:rsidRPr="00F930CA">
              <w:rPr>
                <w:color w:val="000000"/>
                <w:sz w:val="20"/>
                <w:szCs w:val="20"/>
              </w:rPr>
              <w:t>5.2.4</w:t>
            </w:r>
          </w:p>
        </w:tc>
        <w:tc>
          <w:tcPr>
            <w:tcW w:w="7362" w:type="dxa"/>
            <w:gridSpan w:val="3"/>
            <w:vAlign w:val="center"/>
          </w:tcPr>
          <w:p w14:paraId="206D2CE8" w14:textId="77777777" w:rsidR="003E794A" w:rsidRPr="00F930CA" w:rsidRDefault="003E794A" w:rsidP="006A1D1A">
            <w:pPr>
              <w:pStyle w:val="BodyText2"/>
              <w:spacing w:line="240" w:lineRule="auto"/>
              <w:rPr>
                <w:sz w:val="20"/>
                <w:szCs w:val="20"/>
              </w:rPr>
            </w:pPr>
            <w:r w:rsidRPr="00F930CA">
              <w:rPr>
                <w:sz w:val="20"/>
                <w:szCs w:val="20"/>
              </w:rPr>
              <w:t xml:space="preserve">For screening with LABScreen Mixed kit – the NIBSC negative and the positive control sample should be included.  </w:t>
            </w:r>
          </w:p>
          <w:p w14:paraId="17608944" w14:textId="77777777" w:rsidR="003E794A" w:rsidRPr="00F930CA" w:rsidRDefault="003E794A" w:rsidP="006A1D1A">
            <w:pPr>
              <w:pStyle w:val="BodyText2"/>
              <w:spacing w:line="240" w:lineRule="auto"/>
              <w:rPr>
                <w:color w:val="000000"/>
                <w:sz w:val="20"/>
                <w:szCs w:val="20"/>
              </w:rPr>
            </w:pPr>
            <w:r w:rsidRPr="00F930CA">
              <w:rPr>
                <w:sz w:val="20"/>
                <w:szCs w:val="20"/>
              </w:rPr>
              <w:t>For screening with either the Class I and II single antigen kits – the FlowPRA negative control sample plus a positive control sample should be included.</w:t>
            </w:r>
          </w:p>
        </w:tc>
      </w:tr>
      <w:tr w:rsidR="003E794A" w:rsidRPr="00F930CA" w14:paraId="0A596299" w14:textId="77777777" w:rsidTr="00EB24E0">
        <w:trPr>
          <w:cantSplit/>
          <w:trHeight w:val="132"/>
        </w:trPr>
        <w:tc>
          <w:tcPr>
            <w:tcW w:w="740" w:type="dxa"/>
          </w:tcPr>
          <w:p w14:paraId="2EB460D1" w14:textId="77777777" w:rsidR="003E794A" w:rsidRPr="00F930CA" w:rsidRDefault="003E794A">
            <w:pPr>
              <w:spacing w:before="60"/>
              <w:rPr>
                <w:color w:val="000000"/>
                <w:sz w:val="20"/>
                <w:szCs w:val="20"/>
              </w:rPr>
            </w:pPr>
          </w:p>
        </w:tc>
        <w:tc>
          <w:tcPr>
            <w:tcW w:w="721" w:type="dxa"/>
          </w:tcPr>
          <w:p w14:paraId="58F2F895" w14:textId="77777777" w:rsidR="003E794A" w:rsidRPr="00F930CA" w:rsidRDefault="003E794A">
            <w:pPr>
              <w:spacing w:before="60"/>
              <w:rPr>
                <w:color w:val="000000"/>
                <w:sz w:val="20"/>
                <w:szCs w:val="20"/>
              </w:rPr>
            </w:pPr>
          </w:p>
        </w:tc>
        <w:tc>
          <w:tcPr>
            <w:tcW w:w="833" w:type="dxa"/>
            <w:gridSpan w:val="2"/>
          </w:tcPr>
          <w:p w14:paraId="7C3750FB" w14:textId="77777777" w:rsidR="003E794A" w:rsidRPr="00F930CA" w:rsidRDefault="003E794A">
            <w:pPr>
              <w:rPr>
                <w:color w:val="000000"/>
                <w:sz w:val="20"/>
                <w:szCs w:val="20"/>
              </w:rPr>
            </w:pPr>
            <w:r w:rsidRPr="00F930CA">
              <w:rPr>
                <w:color w:val="000000"/>
                <w:sz w:val="20"/>
                <w:szCs w:val="20"/>
              </w:rPr>
              <w:t>5.2.5</w:t>
            </w:r>
          </w:p>
        </w:tc>
        <w:tc>
          <w:tcPr>
            <w:tcW w:w="7362" w:type="dxa"/>
            <w:gridSpan w:val="3"/>
            <w:vAlign w:val="center"/>
          </w:tcPr>
          <w:p w14:paraId="712A99C1" w14:textId="77777777" w:rsidR="003E794A" w:rsidRPr="00F930CA" w:rsidRDefault="003E794A" w:rsidP="006A1D1A">
            <w:pPr>
              <w:pStyle w:val="BodyText2"/>
              <w:spacing w:line="240" w:lineRule="auto"/>
              <w:rPr>
                <w:color w:val="000000"/>
                <w:sz w:val="20"/>
                <w:szCs w:val="20"/>
              </w:rPr>
            </w:pPr>
            <w:r w:rsidRPr="00F930CA">
              <w:rPr>
                <w:sz w:val="20"/>
                <w:szCs w:val="20"/>
              </w:rPr>
              <w:t>Take a new filter plate, or the current ‘in use’ filter plate if enough unused wells are available.  Label each well of the plate numerically (corresponding to the serum number on the worksheet) for each serum sample to be screened including positive and negative controls.  Labelling must be in the vertical, e.g. sample 1 at A1, sample 2 at B1, sample 3 at C1 etc.</w:t>
            </w:r>
          </w:p>
        </w:tc>
      </w:tr>
      <w:tr w:rsidR="003E794A" w:rsidRPr="00F930CA" w14:paraId="361AB8AB" w14:textId="77777777" w:rsidTr="00EB24E0">
        <w:trPr>
          <w:cantSplit/>
          <w:trHeight w:val="132"/>
        </w:trPr>
        <w:tc>
          <w:tcPr>
            <w:tcW w:w="740" w:type="dxa"/>
          </w:tcPr>
          <w:p w14:paraId="22284733" w14:textId="77777777" w:rsidR="003E794A" w:rsidRPr="00F930CA" w:rsidRDefault="003E794A">
            <w:pPr>
              <w:spacing w:before="60"/>
              <w:rPr>
                <w:color w:val="000000"/>
                <w:sz w:val="20"/>
                <w:szCs w:val="20"/>
              </w:rPr>
            </w:pPr>
          </w:p>
        </w:tc>
        <w:tc>
          <w:tcPr>
            <w:tcW w:w="721" w:type="dxa"/>
          </w:tcPr>
          <w:p w14:paraId="7E402B2B" w14:textId="77777777" w:rsidR="003E794A" w:rsidRPr="00F930CA" w:rsidRDefault="003E794A">
            <w:pPr>
              <w:spacing w:before="60"/>
              <w:rPr>
                <w:color w:val="000000"/>
                <w:sz w:val="20"/>
                <w:szCs w:val="20"/>
              </w:rPr>
            </w:pPr>
          </w:p>
        </w:tc>
        <w:tc>
          <w:tcPr>
            <w:tcW w:w="833" w:type="dxa"/>
            <w:gridSpan w:val="2"/>
          </w:tcPr>
          <w:p w14:paraId="7EC500EF" w14:textId="77777777" w:rsidR="003E794A" w:rsidRPr="00F930CA" w:rsidRDefault="003E794A">
            <w:pPr>
              <w:rPr>
                <w:color w:val="000000"/>
                <w:sz w:val="20"/>
                <w:szCs w:val="20"/>
              </w:rPr>
            </w:pPr>
            <w:r w:rsidRPr="00F930CA">
              <w:rPr>
                <w:color w:val="000000"/>
                <w:sz w:val="20"/>
                <w:szCs w:val="20"/>
              </w:rPr>
              <w:t>5.2.6</w:t>
            </w:r>
          </w:p>
        </w:tc>
        <w:tc>
          <w:tcPr>
            <w:tcW w:w="7362" w:type="dxa"/>
            <w:gridSpan w:val="3"/>
            <w:vAlign w:val="center"/>
          </w:tcPr>
          <w:p w14:paraId="66C1DBD0" w14:textId="77777777" w:rsidR="003E794A" w:rsidRPr="00F930CA" w:rsidRDefault="003E794A" w:rsidP="006A1D1A">
            <w:pPr>
              <w:pStyle w:val="BodyText2"/>
              <w:spacing w:line="240" w:lineRule="auto"/>
              <w:rPr>
                <w:color w:val="000000"/>
                <w:sz w:val="20"/>
                <w:szCs w:val="20"/>
              </w:rPr>
            </w:pPr>
            <w:r w:rsidRPr="00F930CA">
              <w:rPr>
                <w:sz w:val="20"/>
                <w:szCs w:val="20"/>
              </w:rPr>
              <w:t>Using cut down transparent microplate sealers cover all wells that are not being used for this test.  This keeps unused wells clean for future use and ensures a good vacuum when washing with the vacuum manifold.</w:t>
            </w:r>
          </w:p>
        </w:tc>
      </w:tr>
      <w:tr w:rsidR="003E794A" w:rsidRPr="00F930CA" w14:paraId="5F4B7B13" w14:textId="77777777" w:rsidTr="00EB24E0">
        <w:trPr>
          <w:cantSplit/>
          <w:trHeight w:val="132"/>
        </w:trPr>
        <w:tc>
          <w:tcPr>
            <w:tcW w:w="740" w:type="dxa"/>
          </w:tcPr>
          <w:p w14:paraId="3A2B467F" w14:textId="77777777" w:rsidR="003E794A" w:rsidRPr="00F930CA" w:rsidRDefault="003E794A">
            <w:pPr>
              <w:spacing w:before="60"/>
              <w:rPr>
                <w:color w:val="000000"/>
                <w:sz w:val="20"/>
                <w:szCs w:val="20"/>
              </w:rPr>
            </w:pPr>
          </w:p>
        </w:tc>
        <w:tc>
          <w:tcPr>
            <w:tcW w:w="721" w:type="dxa"/>
          </w:tcPr>
          <w:p w14:paraId="293C4FD4" w14:textId="77777777" w:rsidR="003E794A" w:rsidRPr="00F930CA" w:rsidRDefault="003E794A">
            <w:pPr>
              <w:spacing w:before="60"/>
              <w:rPr>
                <w:color w:val="000000"/>
                <w:sz w:val="20"/>
                <w:szCs w:val="20"/>
              </w:rPr>
            </w:pPr>
          </w:p>
        </w:tc>
        <w:tc>
          <w:tcPr>
            <w:tcW w:w="833" w:type="dxa"/>
            <w:gridSpan w:val="2"/>
          </w:tcPr>
          <w:p w14:paraId="09CF3BC1" w14:textId="77777777" w:rsidR="003E794A" w:rsidRPr="00F930CA" w:rsidRDefault="003E794A">
            <w:pPr>
              <w:rPr>
                <w:color w:val="000000"/>
                <w:sz w:val="20"/>
                <w:szCs w:val="20"/>
              </w:rPr>
            </w:pPr>
            <w:r w:rsidRPr="00F930CA">
              <w:rPr>
                <w:color w:val="000000"/>
                <w:sz w:val="20"/>
                <w:szCs w:val="20"/>
              </w:rPr>
              <w:t>5.2.7</w:t>
            </w:r>
          </w:p>
        </w:tc>
        <w:tc>
          <w:tcPr>
            <w:tcW w:w="7362" w:type="dxa"/>
            <w:gridSpan w:val="3"/>
          </w:tcPr>
          <w:p w14:paraId="6E341661" w14:textId="77777777" w:rsidR="003E794A" w:rsidRPr="00F930CA" w:rsidRDefault="003E794A" w:rsidP="003C10B2">
            <w:pPr>
              <w:pStyle w:val="BodyText2"/>
              <w:spacing w:line="240" w:lineRule="auto"/>
              <w:rPr>
                <w:color w:val="000000"/>
                <w:sz w:val="20"/>
                <w:szCs w:val="20"/>
              </w:rPr>
            </w:pPr>
            <w:r w:rsidRPr="00F930CA">
              <w:rPr>
                <w:sz w:val="20"/>
                <w:szCs w:val="20"/>
              </w:rPr>
              <w:t>For each well to be used pre wet the filter by adding 250</w:t>
            </w:r>
            <w:r w:rsidRPr="00F930CA">
              <w:rPr>
                <w:sz w:val="20"/>
                <w:szCs w:val="20"/>
              </w:rPr>
              <w:sym w:font="Symbol" w:char="F06D"/>
            </w:r>
            <w:r w:rsidRPr="00F930CA">
              <w:rPr>
                <w:sz w:val="20"/>
                <w:szCs w:val="20"/>
              </w:rPr>
              <w:t>l of sterile water.  Leave for 5 minutes.</w:t>
            </w:r>
          </w:p>
        </w:tc>
      </w:tr>
      <w:tr w:rsidR="003E794A" w:rsidRPr="00F930CA" w14:paraId="0D72B794" w14:textId="77777777" w:rsidTr="00EB24E0">
        <w:trPr>
          <w:cantSplit/>
          <w:trHeight w:val="132"/>
        </w:trPr>
        <w:tc>
          <w:tcPr>
            <w:tcW w:w="740" w:type="dxa"/>
          </w:tcPr>
          <w:p w14:paraId="6DBD8135" w14:textId="77777777" w:rsidR="003E794A" w:rsidRPr="00F930CA" w:rsidRDefault="003E794A" w:rsidP="002B32A5">
            <w:pPr>
              <w:spacing w:before="60"/>
              <w:rPr>
                <w:color w:val="000000"/>
                <w:sz w:val="20"/>
                <w:szCs w:val="20"/>
              </w:rPr>
            </w:pPr>
          </w:p>
        </w:tc>
        <w:tc>
          <w:tcPr>
            <w:tcW w:w="721" w:type="dxa"/>
          </w:tcPr>
          <w:p w14:paraId="1A12D162" w14:textId="77777777" w:rsidR="003E794A" w:rsidRPr="00F930CA" w:rsidRDefault="003E794A" w:rsidP="002B32A5">
            <w:pPr>
              <w:spacing w:before="60"/>
              <w:rPr>
                <w:color w:val="000000"/>
                <w:sz w:val="20"/>
                <w:szCs w:val="20"/>
              </w:rPr>
            </w:pPr>
          </w:p>
        </w:tc>
        <w:tc>
          <w:tcPr>
            <w:tcW w:w="833" w:type="dxa"/>
            <w:gridSpan w:val="2"/>
          </w:tcPr>
          <w:p w14:paraId="5EF74B48" w14:textId="77777777" w:rsidR="003E794A" w:rsidRPr="00F930CA" w:rsidRDefault="003E794A" w:rsidP="002B32A5">
            <w:pPr>
              <w:rPr>
                <w:color w:val="000000"/>
                <w:sz w:val="20"/>
                <w:szCs w:val="20"/>
              </w:rPr>
            </w:pPr>
            <w:r w:rsidRPr="00F930CA">
              <w:rPr>
                <w:color w:val="000000"/>
                <w:sz w:val="20"/>
                <w:szCs w:val="20"/>
              </w:rPr>
              <w:t>5.2.8</w:t>
            </w:r>
          </w:p>
        </w:tc>
        <w:tc>
          <w:tcPr>
            <w:tcW w:w="7362" w:type="dxa"/>
            <w:gridSpan w:val="3"/>
          </w:tcPr>
          <w:p w14:paraId="500FE937" w14:textId="77777777" w:rsidR="003E794A" w:rsidRPr="00F930CA" w:rsidRDefault="003E794A" w:rsidP="003E6A2E">
            <w:pPr>
              <w:pStyle w:val="BodyText2"/>
              <w:spacing w:line="240" w:lineRule="auto"/>
              <w:rPr>
                <w:sz w:val="20"/>
                <w:szCs w:val="20"/>
              </w:rPr>
            </w:pPr>
            <w:r w:rsidRPr="00F930CA">
              <w:rPr>
                <w:sz w:val="20"/>
                <w:szCs w:val="20"/>
              </w:rPr>
              <w:t>After this time gently aspirate the contents of the wells using the vacuum manifold.</w:t>
            </w:r>
          </w:p>
        </w:tc>
      </w:tr>
      <w:tr w:rsidR="003E794A" w:rsidRPr="00F930CA" w14:paraId="5B6C61B9" w14:textId="77777777" w:rsidTr="00EB24E0">
        <w:trPr>
          <w:cantSplit/>
          <w:trHeight w:val="132"/>
        </w:trPr>
        <w:tc>
          <w:tcPr>
            <w:tcW w:w="740" w:type="dxa"/>
          </w:tcPr>
          <w:p w14:paraId="04F95F05" w14:textId="77777777" w:rsidR="003E794A" w:rsidRPr="00F930CA" w:rsidRDefault="003E794A">
            <w:pPr>
              <w:spacing w:before="60"/>
              <w:rPr>
                <w:color w:val="000000"/>
                <w:sz w:val="20"/>
                <w:szCs w:val="20"/>
              </w:rPr>
            </w:pPr>
          </w:p>
        </w:tc>
        <w:tc>
          <w:tcPr>
            <w:tcW w:w="721" w:type="dxa"/>
          </w:tcPr>
          <w:p w14:paraId="6DBEE368" w14:textId="77777777" w:rsidR="003E794A" w:rsidRPr="00F930CA" w:rsidRDefault="003E794A">
            <w:pPr>
              <w:spacing w:before="60"/>
              <w:rPr>
                <w:color w:val="000000"/>
                <w:sz w:val="20"/>
                <w:szCs w:val="20"/>
              </w:rPr>
            </w:pPr>
          </w:p>
        </w:tc>
        <w:tc>
          <w:tcPr>
            <w:tcW w:w="833" w:type="dxa"/>
            <w:gridSpan w:val="2"/>
          </w:tcPr>
          <w:p w14:paraId="4F270D82" w14:textId="77777777" w:rsidR="003E794A" w:rsidRPr="00F930CA" w:rsidRDefault="003E794A">
            <w:pPr>
              <w:rPr>
                <w:color w:val="000000"/>
                <w:sz w:val="20"/>
                <w:szCs w:val="20"/>
              </w:rPr>
            </w:pPr>
          </w:p>
        </w:tc>
        <w:tc>
          <w:tcPr>
            <w:tcW w:w="1018" w:type="dxa"/>
            <w:gridSpan w:val="2"/>
          </w:tcPr>
          <w:p w14:paraId="283E1077" w14:textId="77777777" w:rsidR="003E794A" w:rsidRPr="00F930CA" w:rsidRDefault="003E794A">
            <w:pPr>
              <w:pStyle w:val="Header"/>
              <w:tabs>
                <w:tab w:val="left" w:pos="897"/>
              </w:tabs>
              <w:rPr>
                <w:color w:val="000000"/>
                <w:sz w:val="20"/>
                <w:szCs w:val="20"/>
              </w:rPr>
            </w:pPr>
            <w:r w:rsidRPr="00F930CA">
              <w:rPr>
                <w:color w:val="000000"/>
                <w:sz w:val="20"/>
                <w:szCs w:val="20"/>
              </w:rPr>
              <w:t>5.2.8.1</w:t>
            </w:r>
          </w:p>
        </w:tc>
        <w:tc>
          <w:tcPr>
            <w:tcW w:w="6344" w:type="dxa"/>
          </w:tcPr>
          <w:p w14:paraId="700A6FB5" w14:textId="77777777" w:rsidR="003E794A" w:rsidRPr="00F930CA" w:rsidRDefault="003E794A" w:rsidP="003E6A2E">
            <w:pPr>
              <w:pStyle w:val="BodyText2"/>
              <w:spacing w:line="240" w:lineRule="auto"/>
              <w:rPr>
                <w:sz w:val="20"/>
                <w:szCs w:val="20"/>
              </w:rPr>
            </w:pPr>
            <w:r w:rsidRPr="00F930CA">
              <w:rPr>
                <w:sz w:val="20"/>
                <w:szCs w:val="20"/>
              </w:rPr>
              <w:t>Ensure all tubes are correctly attached to the vacuum pump and the reservoir is empty.</w:t>
            </w:r>
          </w:p>
        </w:tc>
      </w:tr>
      <w:tr w:rsidR="003E794A" w:rsidRPr="00F930CA" w14:paraId="5FDBF18D" w14:textId="77777777" w:rsidTr="00EB24E0">
        <w:trPr>
          <w:cantSplit/>
          <w:trHeight w:val="132"/>
        </w:trPr>
        <w:tc>
          <w:tcPr>
            <w:tcW w:w="740" w:type="dxa"/>
          </w:tcPr>
          <w:p w14:paraId="67EDD07E" w14:textId="77777777" w:rsidR="003E794A" w:rsidRPr="00F930CA" w:rsidRDefault="003E794A">
            <w:pPr>
              <w:spacing w:before="60"/>
              <w:rPr>
                <w:color w:val="000000"/>
                <w:sz w:val="20"/>
                <w:szCs w:val="20"/>
              </w:rPr>
            </w:pPr>
          </w:p>
        </w:tc>
        <w:tc>
          <w:tcPr>
            <w:tcW w:w="721" w:type="dxa"/>
          </w:tcPr>
          <w:p w14:paraId="29646D42" w14:textId="77777777" w:rsidR="003E794A" w:rsidRPr="00F930CA" w:rsidRDefault="003E794A">
            <w:pPr>
              <w:spacing w:before="60"/>
              <w:rPr>
                <w:color w:val="000000"/>
                <w:sz w:val="20"/>
                <w:szCs w:val="20"/>
              </w:rPr>
            </w:pPr>
          </w:p>
        </w:tc>
        <w:tc>
          <w:tcPr>
            <w:tcW w:w="833" w:type="dxa"/>
            <w:gridSpan w:val="2"/>
          </w:tcPr>
          <w:p w14:paraId="0CC03DA5" w14:textId="77777777" w:rsidR="003E794A" w:rsidRPr="00F930CA" w:rsidRDefault="003E794A">
            <w:pPr>
              <w:rPr>
                <w:color w:val="000000"/>
                <w:sz w:val="20"/>
                <w:szCs w:val="20"/>
              </w:rPr>
            </w:pPr>
          </w:p>
        </w:tc>
        <w:tc>
          <w:tcPr>
            <w:tcW w:w="1018" w:type="dxa"/>
            <w:gridSpan w:val="2"/>
          </w:tcPr>
          <w:p w14:paraId="46098D0D" w14:textId="77777777" w:rsidR="003E794A" w:rsidRPr="00F930CA" w:rsidRDefault="003E794A">
            <w:pPr>
              <w:pStyle w:val="Header"/>
              <w:tabs>
                <w:tab w:val="left" w:pos="897"/>
              </w:tabs>
              <w:rPr>
                <w:color w:val="000000"/>
                <w:sz w:val="20"/>
                <w:szCs w:val="20"/>
              </w:rPr>
            </w:pPr>
            <w:r w:rsidRPr="00F930CA">
              <w:rPr>
                <w:color w:val="000000"/>
                <w:sz w:val="20"/>
                <w:szCs w:val="20"/>
              </w:rPr>
              <w:t>5.2.8.2</w:t>
            </w:r>
          </w:p>
        </w:tc>
        <w:tc>
          <w:tcPr>
            <w:tcW w:w="6344" w:type="dxa"/>
          </w:tcPr>
          <w:p w14:paraId="777508B5" w14:textId="77777777" w:rsidR="003E794A" w:rsidRPr="00F930CA" w:rsidRDefault="003E794A" w:rsidP="003E6A2E">
            <w:pPr>
              <w:pStyle w:val="BodyText2"/>
              <w:spacing w:line="240" w:lineRule="auto"/>
              <w:rPr>
                <w:color w:val="000000"/>
                <w:sz w:val="20"/>
                <w:szCs w:val="20"/>
              </w:rPr>
            </w:pPr>
            <w:r w:rsidRPr="00F930CA">
              <w:rPr>
                <w:sz w:val="20"/>
                <w:szCs w:val="20"/>
              </w:rPr>
              <w:t>Dampen the top of the manifold by briefly running under the tap, this ensures a good seal for the vacuum.</w:t>
            </w:r>
          </w:p>
        </w:tc>
      </w:tr>
      <w:tr w:rsidR="003E794A" w:rsidRPr="00F930CA" w14:paraId="5A19DAE1" w14:textId="77777777" w:rsidTr="00EB24E0">
        <w:trPr>
          <w:cantSplit/>
          <w:trHeight w:val="132"/>
        </w:trPr>
        <w:tc>
          <w:tcPr>
            <w:tcW w:w="740" w:type="dxa"/>
          </w:tcPr>
          <w:p w14:paraId="13CE9A59" w14:textId="77777777" w:rsidR="003E794A" w:rsidRPr="00F930CA" w:rsidRDefault="003E794A">
            <w:pPr>
              <w:spacing w:before="60"/>
              <w:rPr>
                <w:color w:val="000000"/>
                <w:sz w:val="20"/>
                <w:szCs w:val="20"/>
              </w:rPr>
            </w:pPr>
          </w:p>
        </w:tc>
        <w:tc>
          <w:tcPr>
            <w:tcW w:w="721" w:type="dxa"/>
          </w:tcPr>
          <w:p w14:paraId="7803FFED" w14:textId="77777777" w:rsidR="003E794A" w:rsidRPr="00F930CA" w:rsidRDefault="003E794A">
            <w:pPr>
              <w:spacing w:before="60"/>
              <w:rPr>
                <w:color w:val="000000"/>
                <w:sz w:val="20"/>
                <w:szCs w:val="20"/>
              </w:rPr>
            </w:pPr>
          </w:p>
        </w:tc>
        <w:tc>
          <w:tcPr>
            <w:tcW w:w="833" w:type="dxa"/>
            <w:gridSpan w:val="2"/>
          </w:tcPr>
          <w:p w14:paraId="4C7E1EC2" w14:textId="77777777" w:rsidR="003E794A" w:rsidRPr="00F930CA" w:rsidRDefault="003E794A">
            <w:pPr>
              <w:rPr>
                <w:color w:val="000000"/>
                <w:sz w:val="20"/>
                <w:szCs w:val="20"/>
              </w:rPr>
            </w:pPr>
          </w:p>
        </w:tc>
        <w:tc>
          <w:tcPr>
            <w:tcW w:w="1018" w:type="dxa"/>
            <w:gridSpan w:val="2"/>
          </w:tcPr>
          <w:p w14:paraId="1D6ED577" w14:textId="77777777" w:rsidR="003E794A" w:rsidRPr="00F930CA" w:rsidRDefault="003E794A">
            <w:pPr>
              <w:pStyle w:val="Header"/>
              <w:tabs>
                <w:tab w:val="left" w:pos="897"/>
              </w:tabs>
              <w:rPr>
                <w:color w:val="000000"/>
                <w:sz w:val="20"/>
                <w:szCs w:val="20"/>
              </w:rPr>
            </w:pPr>
            <w:r w:rsidRPr="00F930CA">
              <w:rPr>
                <w:color w:val="000000"/>
                <w:sz w:val="20"/>
                <w:szCs w:val="20"/>
              </w:rPr>
              <w:t>5.2.8.3</w:t>
            </w:r>
          </w:p>
        </w:tc>
        <w:tc>
          <w:tcPr>
            <w:tcW w:w="6344" w:type="dxa"/>
          </w:tcPr>
          <w:p w14:paraId="3FFFF9AB" w14:textId="77777777" w:rsidR="003E794A" w:rsidRPr="00F930CA" w:rsidRDefault="003E794A" w:rsidP="00A331CF">
            <w:pPr>
              <w:pStyle w:val="Header"/>
              <w:tabs>
                <w:tab w:val="left" w:pos="897"/>
              </w:tabs>
              <w:rPr>
                <w:color w:val="000000"/>
                <w:sz w:val="20"/>
                <w:szCs w:val="20"/>
              </w:rPr>
            </w:pPr>
            <w:r w:rsidRPr="00F930CA">
              <w:rPr>
                <w:sz w:val="20"/>
                <w:szCs w:val="20"/>
              </w:rPr>
              <w:t>Place filter plate on top of the manifold and press down.</w:t>
            </w:r>
          </w:p>
        </w:tc>
      </w:tr>
      <w:tr w:rsidR="003E794A" w:rsidRPr="00F930CA" w14:paraId="5E9814DF" w14:textId="77777777" w:rsidTr="00EB24E0">
        <w:trPr>
          <w:cantSplit/>
          <w:trHeight w:val="132"/>
        </w:trPr>
        <w:tc>
          <w:tcPr>
            <w:tcW w:w="740" w:type="dxa"/>
          </w:tcPr>
          <w:p w14:paraId="2CEEC7B3" w14:textId="77777777" w:rsidR="003E794A" w:rsidRPr="00F930CA" w:rsidRDefault="003E794A" w:rsidP="00272696">
            <w:pPr>
              <w:spacing w:before="60"/>
              <w:rPr>
                <w:color w:val="000000"/>
                <w:sz w:val="20"/>
                <w:szCs w:val="20"/>
              </w:rPr>
            </w:pPr>
          </w:p>
        </w:tc>
        <w:tc>
          <w:tcPr>
            <w:tcW w:w="721" w:type="dxa"/>
          </w:tcPr>
          <w:p w14:paraId="5F6FEF53" w14:textId="77777777" w:rsidR="003E794A" w:rsidRPr="00F930CA" w:rsidRDefault="003E794A" w:rsidP="00272696">
            <w:pPr>
              <w:spacing w:before="60"/>
              <w:rPr>
                <w:color w:val="000000"/>
                <w:sz w:val="20"/>
                <w:szCs w:val="20"/>
              </w:rPr>
            </w:pPr>
          </w:p>
        </w:tc>
        <w:tc>
          <w:tcPr>
            <w:tcW w:w="833" w:type="dxa"/>
            <w:gridSpan w:val="2"/>
          </w:tcPr>
          <w:p w14:paraId="643D2010" w14:textId="77777777" w:rsidR="003E794A" w:rsidRPr="00F930CA" w:rsidRDefault="003E794A" w:rsidP="00272696">
            <w:pPr>
              <w:rPr>
                <w:color w:val="000000"/>
                <w:sz w:val="20"/>
                <w:szCs w:val="20"/>
              </w:rPr>
            </w:pPr>
          </w:p>
        </w:tc>
        <w:tc>
          <w:tcPr>
            <w:tcW w:w="1018" w:type="dxa"/>
            <w:gridSpan w:val="2"/>
          </w:tcPr>
          <w:p w14:paraId="1803E8A5" w14:textId="77777777" w:rsidR="003E794A" w:rsidRPr="00F930CA" w:rsidRDefault="003E794A" w:rsidP="00272696">
            <w:pPr>
              <w:pStyle w:val="Header"/>
              <w:tabs>
                <w:tab w:val="left" w:pos="897"/>
              </w:tabs>
              <w:rPr>
                <w:color w:val="000000"/>
                <w:sz w:val="20"/>
                <w:szCs w:val="20"/>
              </w:rPr>
            </w:pPr>
            <w:r w:rsidRPr="00F930CA">
              <w:rPr>
                <w:color w:val="000000"/>
                <w:sz w:val="20"/>
                <w:szCs w:val="20"/>
              </w:rPr>
              <w:t>5.2.8.4</w:t>
            </w:r>
          </w:p>
        </w:tc>
        <w:tc>
          <w:tcPr>
            <w:tcW w:w="6344" w:type="dxa"/>
          </w:tcPr>
          <w:p w14:paraId="6900CBD2" w14:textId="77777777" w:rsidR="003E794A" w:rsidRPr="00F930CA" w:rsidRDefault="003E794A" w:rsidP="003E6A2E">
            <w:pPr>
              <w:pStyle w:val="BodyText2"/>
              <w:spacing w:line="240" w:lineRule="auto"/>
              <w:rPr>
                <w:color w:val="000000"/>
                <w:sz w:val="20"/>
                <w:szCs w:val="20"/>
              </w:rPr>
            </w:pPr>
            <w:r w:rsidRPr="00F930CA">
              <w:rPr>
                <w:sz w:val="20"/>
                <w:szCs w:val="20"/>
              </w:rPr>
              <w:t>Turn on the vacuum pump until the contents of the wells have been drawn out of the bottom.</w:t>
            </w:r>
          </w:p>
        </w:tc>
      </w:tr>
      <w:tr w:rsidR="003E794A" w:rsidRPr="00F930CA" w14:paraId="32CA0C31" w14:textId="77777777" w:rsidTr="00EB24E0">
        <w:trPr>
          <w:cantSplit/>
          <w:trHeight w:val="132"/>
        </w:trPr>
        <w:tc>
          <w:tcPr>
            <w:tcW w:w="740" w:type="dxa"/>
          </w:tcPr>
          <w:p w14:paraId="0B65AA33" w14:textId="77777777" w:rsidR="003E794A" w:rsidRPr="00F930CA" w:rsidRDefault="003E794A" w:rsidP="00272696">
            <w:pPr>
              <w:spacing w:before="60"/>
              <w:rPr>
                <w:color w:val="000000"/>
                <w:sz w:val="20"/>
                <w:szCs w:val="20"/>
              </w:rPr>
            </w:pPr>
          </w:p>
        </w:tc>
        <w:tc>
          <w:tcPr>
            <w:tcW w:w="721" w:type="dxa"/>
          </w:tcPr>
          <w:p w14:paraId="563F0B51" w14:textId="77777777" w:rsidR="003E794A" w:rsidRPr="00F930CA" w:rsidRDefault="003E794A" w:rsidP="00272696">
            <w:pPr>
              <w:spacing w:before="60"/>
              <w:rPr>
                <w:color w:val="000000"/>
                <w:sz w:val="20"/>
                <w:szCs w:val="20"/>
              </w:rPr>
            </w:pPr>
          </w:p>
        </w:tc>
        <w:tc>
          <w:tcPr>
            <w:tcW w:w="833" w:type="dxa"/>
            <w:gridSpan w:val="2"/>
          </w:tcPr>
          <w:p w14:paraId="4BA20362" w14:textId="77777777" w:rsidR="003E794A" w:rsidRPr="00F930CA" w:rsidRDefault="003E794A" w:rsidP="00272696">
            <w:pPr>
              <w:rPr>
                <w:color w:val="000000"/>
                <w:sz w:val="20"/>
                <w:szCs w:val="20"/>
              </w:rPr>
            </w:pPr>
          </w:p>
        </w:tc>
        <w:tc>
          <w:tcPr>
            <w:tcW w:w="1018" w:type="dxa"/>
            <w:gridSpan w:val="2"/>
          </w:tcPr>
          <w:p w14:paraId="2168A217" w14:textId="77777777" w:rsidR="003E794A" w:rsidRPr="00F930CA" w:rsidRDefault="003E794A" w:rsidP="00272696">
            <w:pPr>
              <w:pStyle w:val="Header"/>
              <w:tabs>
                <w:tab w:val="left" w:pos="897"/>
              </w:tabs>
              <w:rPr>
                <w:color w:val="000000"/>
                <w:sz w:val="20"/>
                <w:szCs w:val="20"/>
              </w:rPr>
            </w:pPr>
            <w:r w:rsidRPr="00F930CA">
              <w:rPr>
                <w:color w:val="000000"/>
                <w:sz w:val="20"/>
                <w:szCs w:val="20"/>
              </w:rPr>
              <w:t>5.2.8.5</w:t>
            </w:r>
          </w:p>
        </w:tc>
        <w:tc>
          <w:tcPr>
            <w:tcW w:w="6344" w:type="dxa"/>
          </w:tcPr>
          <w:p w14:paraId="461F1DE1" w14:textId="77777777" w:rsidR="003E794A" w:rsidRPr="00F930CA" w:rsidRDefault="003E794A" w:rsidP="003E6A2E">
            <w:pPr>
              <w:pStyle w:val="BodyText2"/>
              <w:spacing w:line="240" w:lineRule="auto"/>
              <w:rPr>
                <w:color w:val="000000"/>
                <w:sz w:val="20"/>
                <w:szCs w:val="20"/>
              </w:rPr>
            </w:pPr>
            <w:r w:rsidRPr="00F930CA">
              <w:rPr>
                <w:sz w:val="20"/>
                <w:szCs w:val="20"/>
              </w:rPr>
              <w:t>Do not apply excess vacuum as this can damage the filter, and when beads are present cause them to be lost or become trapped in the filter.</w:t>
            </w:r>
          </w:p>
        </w:tc>
      </w:tr>
      <w:tr w:rsidR="003E794A" w:rsidRPr="00F930CA" w14:paraId="467BC331" w14:textId="77777777" w:rsidTr="00EB24E0">
        <w:trPr>
          <w:cantSplit/>
          <w:trHeight w:val="132"/>
        </w:trPr>
        <w:tc>
          <w:tcPr>
            <w:tcW w:w="740" w:type="dxa"/>
          </w:tcPr>
          <w:p w14:paraId="0C428A46" w14:textId="77777777" w:rsidR="003E794A" w:rsidRPr="00F930CA" w:rsidRDefault="003E794A" w:rsidP="00272696">
            <w:pPr>
              <w:spacing w:before="60"/>
              <w:rPr>
                <w:color w:val="000000"/>
                <w:sz w:val="20"/>
                <w:szCs w:val="20"/>
              </w:rPr>
            </w:pPr>
          </w:p>
        </w:tc>
        <w:tc>
          <w:tcPr>
            <w:tcW w:w="721" w:type="dxa"/>
          </w:tcPr>
          <w:p w14:paraId="6FBF4411" w14:textId="77777777" w:rsidR="003E794A" w:rsidRPr="00F930CA" w:rsidRDefault="003E794A" w:rsidP="00272696">
            <w:pPr>
              <w:spacing w:before="60"/>
              <w:rPr>
                <w:color w:val="000000"/>
                <w:sz w:val="20"/>
                <w:szCs w:val="20"/>
              </w:rPr>
            </w:pPr>
          </w:p>
        </w:tc>
        <w:tc>
          <w:tcPr>
            <w:tcW w:w="833" w:type="dxa"/>
            <w:gridSpan w:val="2"/>
          </w:tcPr>
          <w:p w14:paraId="17A33990" w14:textId="77777777" w:rsidR="003E794A" w:rsidRPr="00F930CA" w:rsidRDefault="003E794A" w:rsidP="00272696">
            <w:pPr>
              <w:rPr>
                <w:color w:val="000000"/>
                <w:sz w:val="20"/>
                <w:szCs w:val="20"/>
              </w:rPr>
            </w:pPr>
          </w:p>
        </w:tc>
        <w:tc>
          <w:tcPr>
            <w:tcW w:w="1018" w:type="dxa"/>
            <w:gridSpan w:val="2"/>
          </w:tcPr>
          <w:p w14:paraId="6BE406AD" w14:textId="77777777" w:rsidR="003E794A" w:rsidRPr="00F930CA" w:rsidRDefault="003E794A" w:rsidP="00272696">
            <w:pPr>
              <w:pStyle w:val="Header"/>
              <w:tabs>
                <w:tab w:val="left" w:pos="897"/>
              </w:tabs>
              <w:rPr>
                <w:color w:val="000000"/>
                <w:sz w:val="20"/>
                <w:szCs w:val="20"/>
              </w:rPr>
            </w:pPr>
            <w:r w:rsidRPr="00F930CA">
              <w:rPr>
                <w:color w:val="000000"/>
                <w:sz w:val="20"/>
                <w:szCs w:val="20"/>
              </w:rPr>
              <w:t>5.2.8.6</w:t>
            </w:r>
          </w:p>
        </w:tc>
        <w:tc>
          <w:tcPr>
            <w:tcW w:w="6344" w:type="dxa"/>
          </w:tcPr>
          <w:p w14:paraId="25E111FC" w14:textId="77777777" w:rsidR="003E794A" w:rsidRPr="00F930CA" w:rsidRDefault="003E794A" w:rsidP="003E6A2E">
            <w:pPr>
              <w:pStyle w:val="BodyText2"/>
              <w:spacing w:line="240" w:lineRule="auto"/>
              <w:rPr>
                <w:color w:val="000000"/>
                <w:sz w:val="20"/>
                <w:szCs w:val="20"/>
              </w:rPr>
            </w:pPr>
            <w:r w:rsidRPr="00F930CA">
              <w:rPr>
                <w:sz w:val="20"/>
                <w:szCs w:val="20"/>
              </w:rPr>
              <w:t>Decant contents of reservoir into a slop pot containing 1% Virkon before discarding.</w:t>
            </w:r>
          </w:p>
        </w:tc>
      </w:tr>
      <w:tr w:rsidR="003E794A" w:rsidRPr="00F930CA" w14:paraId="1287EFA4" w14:textId="77777777" w:rsidTr="00EB24E0">
        <w:trPr>
          <w:cantSplit/>
          <w:trHeight w:val="132"/>
        </w:trPr>
        <w:tc>
          <w:tcPr>
            <w:tcW w:w="740" w:type="dxa"/>
          </w:tcPr>
          <w:p w14:paraId="14FC160E" w14:textId="77777777" w:rsidR="003E794A" w:rsidRPr="00F930CA" w:rsidRDefault="003E794A">
            <w:pPr>
              <w:spacing w:before="60"/>
              <w:rPr>
                <w:color w:val="000000"/>
                <w:sz w:val="20"/>
                <w:szCs w:val="20"/>
              </w:rPr>
            </w:pPr>
          </w:p>
        </w:tc>
        <w:tc>
          <w:tcPr>
            <w:tcW w:w="721" w:type="dxa"/>
          </w:tcPr>
          <w:p w14:paraId="25E6D61A" w14:textId="77777777" w:rsidR="003E794A" w:rsidRPr="00F930CA" w:rsidRDefault="003E794A">
            <w:pPr>
              <w:spacing w:before="60"/>
              <w:rPr>
                <w:color w:val="000000"/>
                <w:sz w:val="20"/>
                <w:szCs w:val="20"/>
              </w:rPr>
            </w:pPr>
          </w:p>
        </w:tc>
        <w:tc>
          <w:tcPr>
            <w:tcW w:w="833" w:type="dxa"/>
            <w:gridSpan w:val="2"/>
          </w:tcPr>
          <w:p w14:paraId="23B07412" w14:textId="77777777" w:rsidR="003E794A" w:rsidRPr="00F930CA" w:rsidRDefault="003E794A">
            <w:pPr>
              <w:rPr>
                <w:color w:val="000000"/>
                <w:sz w:val="20"/>
                <w:szCs w:val="20"/>
              </w:rPr>
            </w:pPr>
            <w:r w:rsidRPr="00F930CA">
              <w:rPr>
                <w:color w:val="000000"/>
                <w:sz w:val="20"/>
                <w:szCs w:val="20"/>
              </w:rPr>
              <w:t>5.2.9</w:t>
            </w:r>
          </w:p>
        </w:tc>
        <w:tc>
          <w:tcPr>
            <w:tcW w:w="7362" w:type="dxa"/>
            <w:gridSpan w:val="3"/>
          </w:tcPr>
          <w:p w14:paraId="43619B19" w14:textId="77777777" w:rsidR="003E794A" w:rsidRPr="00F930CA" w:rsidRDefault="003E794A" w:rsidP="00C5447E">
            <w:pPr>
              <w:pStyle w:val="BodyText2"/>
              <w:spacing w:line="240" w:lineRule="auto"/>
              <w:rPr>
                <w:color w:val="000000"/>
                <w:sz w:val="20"/>
                <w:szCs w:val="20"/>
              </w:rPr>
            </w:pPr>
            <w:r w:rsidRPr="00F930CA">
              <w:rPr>
                <w:sz w:val="20"/>
                <w:szCs w:val="20"/>
              </w:rPr>
              <w:t>Prepare the beads by briefly centrifuging the vial at 600-800g to remove any beads or liquid from the cap or walls of the vial, then thoroughly mix by vortexing for 30 seconds or repeat pipetting to evenly resuspend beads.</w:t>
            </w:r>
          </w:p>
        </w:tc>
      </w:tr>
      <w:tr w:rsidR="003E794A" w:rsidRPr="00F930CA" w14:paraId="030BE602" w14:textId="77777777" w:rsidTr="00EB24E0">
        <w:trPr>
          <w:cantSplit/>
          <w:trHeight w:val="132"/>
        </w:trPr>
        <w:tc>
          <w:tcPr>
            <w:tcW w:w="740" w:type="dxa"/>
          </w:tcPr>
          <w:p w14:paraId="04012D17" w14:textId="77777777" w:rsidR="003E794A" w:rsidRPr="00F930CA" w:rsidRDefault="003E794A">
            <w:pPr>
              <w:spacing w:before="60"/>
              <w:rPr>
                <w:color w:val="000000"/>
                <w:sz w:val="20"/>
                <w:szCs w:val="20"/>
              </w:rPr>
            </w:pPr>
          </w:p>
        </w:tc>
        <w:tc>
          <w:tcPr>
            <w:tcW w:w="721" w:type="dxa"/>
          </w:tcPr>
          <w:p w14:paraId="3C2B7BE9" w14:textId="77777777" w:rsidR="003E794A" w:rsidRPr="00F930CA" w:rsidRDefault="003E794A">
            <w:pPr>
              <w:spacing w:before="60"/>
              <w:rPr>
                <w:color w:val="000000"/>
                <w:sz w:val="20"/>
                <w:szCs w:val="20"/>
              </w:rPr>
            </w:pPr>
          </w:p>
        </w:tc>
        <w:tc>
          <w:tcPr>
            <w:tcW w:w="833" w:type="dxa"/>
            <w:gridSpan w:val="2"/>
          </w:tcPr>
          <w:p w14:paraId="6B3D6818" w14:textId="77777777" w:rsidR="003E794A" w:rsidRPr="00F930CA" w:rsidRDefault="003E794A">
            <w:pPr>
              <w:rPr>
                <w:color w:val="000000"/>
                <w:sz w:val="20"/>
                <w:szCs w:val="20"/>
              </w:rPr>
            </w:pPr>
            <w:r w:rsidRPr="00F930CA">
              <w:rPr>
                <w:color w:val="000000"/>
                <w:sz w:val="20"/>
                <w:szCs w:val="20"/>
              </w:rPr>
              <w:t>5.2.10</w:t>
            </w:r>
          </w:p>
        </w:tc>
        <w:tc>
          <w:tcPr>
            <w:tcW w:w="7362" w:type="dxa"/>
            <w:gridSpan w:val="3"/>
          </w:tcPr>
          <w:p w14:paraId="2DCF4161" w14:textId="77777777" w:rsidR="003E794A" w:rsidRPr="00F930CA" w:rsidRDefault="003E794A" w:rsidP="00AE4595">
            <w:pPr>
              <w:pStyle w:val="BodyText2"/>
              <w:spacing w:line="240" w:lineRule="auto"/>
              <w:rPr>
                <w:color w:val="000000"/>
                <w:sz w:val="20"/>
                <w:szCs w:val="20"/>
              </w:rPr>
            </w:pPr>
            <w:r w:rsidRPr="00F930CA">
              <w:rPr>
                <w:sz w:val="20"/>
                <w:szCs w:val="20"/>
              </w:rPr>
              <w:t>Transfer 3</w:t>
            </w:r>
            <w:r w:rsidRPr="00F930CA">
              <w:rPr>
                <w:sz w:val="20"/>
                <w:szCs w:val="20"/>
              </w:rPr>
              <w:sym w:font="Symbol" w:char="F06D"/>
            </w:r>
            <w:r w:rsidRPr="00F930CA">
              <w:rPr>
                <w:sz w:val="20"/>
                <w:szCs w:val="20"/>
              </w:rPr>
              <w:t xml:space="preserve">l of beads to each of the assigned wells.  Addition to the wells must be performed very carefully ensuring the filter is not pierced with the pipette tip.  </w:t>
            </w:r>
          </w:p>
        </w:tc>
      </w:tr>
      <w:tr w:rsidR="003E794A" w:rsidRPr="00F930CA" w14:paraId="748CC082" w14:textId="77777777" w:rsidTr="00EB24E0">
        <w:trPr>
          <w:cantSplit/>
          <w:trHeight w:val="132"/>
        </w:trPr>
        <w:tc>
          <w:tcPr>
            <w:tcW w:w="740" w:type="dxa"/>
          </w:tcPr>
          <w:p w14:paraId="7A837DF1" w14:textId="77777777" w:rsidR="003E794A" w:rsidRPr="00F930CA" w:rsidRDefault="003E794A">
            <w:pPr>
              <w:spacing w:before="60"/>
              <w:rPr>
                <w:color w:val="000000"/>
                <w:sz w:val="20"/>
                <w:szCs w:val="20"/>
              </w:rPr>
            </w:pPr>
          </w:p>
        </w:tc>
        <w:tc>
          <w:tcPr>
            <w:tcW w:w="721" w:type="dxa"/>
          </w:tcPr>
          <w:p w14:paraId="21836EA1" w14:textId="77777777" w:rsidR="003E794A" w:rsidRPr="00F930CA" w:rsidRDefault="003E794A">
            <w:pPr>
              <w:spacing w:before="60"/>
              <w:rPr>
                <w:color w:val="000000"/>
                <w:sz w:val="20"/>
                <w:szCs w:val="20"/>
              </w:rPr>
            </w:pPr>
          </w:p>
        </w:tc>
        <w:tc>
          <w:tcPr>
            <w:tcW w:w="833" w:type="dxa"/>
            <w:gridSpan w:val="2"/>
          </w:tcPr>
          <w:p w14:paraId="4A37EC6E" w14:textId="77777777" w:rsidR="003E794A" w:rsidRPr="00F930CA" w:rsidRDefault="003E794A">
            <w:pPr>
              <w:rPr>
                <w:color w:val="000000"/>
                <w:sz w:val="20"/>
                <w:szCs w:val="20"/>
              </w:rPr>
            </w:pPr>
            <w:r w:rsidRPr="00F930CA">
              <w:rPr>
                <w:color w:val="000000"/>
                <w:sz w:val="20"/>
                <w:szCs w:val="20"/>
              </w:rPr>
              <w:t>5.2.11</w:t>
            </w:r>
          </w:p>
        </w:tc>
        <w:tc>
          <w:tcPr>
            <w:tcW w:w="7362" w:type="dxa"/>
            <w:gridSpan w:val="3"/>
          </w:tcPr>
          <w:p w14:paraId="5E761EE9" w14:textId="77777777" w:rsidR="003E794A" w:rsidRPr="00F930CA" w:rsidRDefault="003E794A" w:rsidP="00AE4595">
            <w:pPr>
              <w:pStyle w:val="BodyText2"/>
              <w:spacing w:line="240" w:lineRule="auto"/>
              <w:rPr>
                <w:color w:val="000000"/>
                <w:sz w:val="20"/>
                <w:szCs w:val="20"/>
              </w:rPr>
            </w:pPr>
            <w:r w:rsidRPr="00F930CA">
              <w:rPr>
                <w:sz w:val="20"/>
                <w:szCs w:val="20"/>
              </w:rPr>
              <w:t>Add 12</w:t>
            </w:r>
            <w:r w:rsidRPr="00F930CA">
              <w:rPr>
                <w:sz w:val="20"/>
                <w:szCs w:val="20"/>
              </w:rPr>
              <w:sym w:font="Symbol" w:char="F06D"/>
            </w:r>
            <w:r w:rsidRPr="00F930CA">
              <w:rPr>
                <w:sz w:val="20"/>
                <w:szCs w:val="20"/>
              </w:rPr>
              <w:t>l of each serum to the appropriate wells.  Mix the well contents using repeat pipetting.  Again ensure the filter is not pierced with the pipette tip.</w:t>
            </w:r>
          </w:p>
        </w:tc>
      </w:tr>
      <w:tr w:rsidR="003E794A" w:rsidRPr="00F930CA" w14:paraId="1287700A" w14:textId="77777777" w:rsidTr="00EB24E0">
        <w:trPr>
          <w:cantSplit/>
          <w:trHeight w:val="132"/>
        </w:trPr>
        <w:tc>
          <w:tcPr>
            <w:tcW w:w="740" w:type="dxa"/>
          </w:tcPr>
          <w:p w14:paraId="56C242B2" w14:textId="77777777" w:rsidR="003E794A" w:rsidRPr="00F930CA" w:rsidRDefault="003E794A">
            <w:pPr>
              <w:spacing w:before="60"/>
              <w:rPr>
                <w:color w:val="000000"/>
                <w:sz w:val="20"/>
                <w:szCs w:val="20"/>
              </w:rPr>
            </w:pPr>
          </w:p>
        </w:tc>
        <w:tc>
          <w:tcPr>
            <w:tcW w:w="721" w:type="dxa"/>
          </w:tcPr>
          <w:p w14:paraId="75859016" w14:textId="77777777" w:rsidR="003E794A" w:rsidRPr="00F930CA" w:rsidRDefault="003E794A">
            <w:pPr>
              <w:spacing w:before="60"/>
              <w:rPr>
                <w:color w:val="000000"/>
                <w:sz w:val="20"/>
                <w:szCs w:val="20"/>
              </w:rPr>
            </w:pPr>
          </w:p>
        </w:tc>
        <w:tc>
          <w:tcPr>
            <w:tcW w:w="833" w:type="dxa"/>
            <w:gridSpan w:val="2"/>
          </w:tcPr>
          <w:p w14:paraId="1FF58BA3" w14:textId="77777777" w:rsidR="003E794A" w:rsidRPr="00F930CA" w:rsidRDefault="003E794A" w:rsidP="00952F08">
            <w:pPr>
              <w:spacing w:before="60"/>
              <w:rPr>
                <w:color w:val="000000"/>
                <w:sz w:val="20"/>
                <w:szCs w:val="20"/>
              </w:rPr>
            </w:pPr>
            <w:r w:rsidRPr="00F930CA">
              <w:rPr>
                <w:color w:val="000000"/>
                <w:sz w:val="20"/>
                <w:szCs w:val="20"/>
              </w:rPr>
              <w:t>5.2.12</w:t>
            </w:r>
          </w:p>
        </w:tc>
        <w:tc>
          <w:tcPr>
            <w:tcW w:w="7362" w:type="dxa"/>
            <w:gridSpan w:val="3"/>
          </w:tcPr>
          <w:p w14:paraId="29FAB892" w14:textId="77777777" w:rsidR="003E794A" w:rsidRPr="00F930CA" w:rsidRDefault="003E794A" w:rsidP="00AE4595">
            <w:pPr>
              <w:pStyle w:val="BodyText2"/>
              <w:spacing w:line="240" w:lineRule="auto"/>
              <w:rPr>
                <w:color w:val="000000"/>
                <w:sz w:val="20"/>
                <w:szCs w:val="20"/>
              </w:rPr>
            </w:pPr>
            <w:r w:rsidRPr="00F930CA">
              <w:rPr>
                <w:sz w:val="20"/>
                <w:szCs w:val="20"/>
              </w:rPr>
              <w:t>Cover the plate with the plastic lid provided and wrap in foil to protect from light.</w:t>
            </w:r>
          </w:p>
        </w:tc>
      </w:tr>
      <w:tr w:rsidR="003E794A" w:rsidRPr="00F930CA" w14:paraId="08EAA3D0" w14:textId="77777777" w:rsidTr="00EB24E0">
        <w:trPr>
          <w:cantSplit/>
          <w:trHeight w:val="132"/>
        </w:trPr>
        <w:tc>
          <w:tcPr>
            <w:tcW w:w="740" w:type="dxa"/>
          </w:tcPr>
          <w:p w14:paraId="70E1EF8B" w14:textId="77777777" w:rsidR="003E794A" w:rsidRPr="00F930CA" w:rsidRDefault="003E794A">
            <w:pPr>
              <w:spacing w:before="60"/>
              <w:rPr>
                <w:color w:val="000000"/>
                <w:sz w:val="20"/>
                <w:szCs w:val="20"/>
              </w:rPr>
            </w:pPr>
          </w:p>
        </w:tc>
        <w:tc>
          <w:tcPr>
            <w:tcW w:w="721" w:type="dxa"/>
          </w:tcPr>
          <w:p w14:paraId="26AFA561" w14:textId="77777777" w:rsidR="003E794A" w:rsidRPr="00F930CA" w:rsidRDefault="003E794A">
            <w:pPr>
              <w:spacing w:before="60"/>
              <w:rPr>
                <w:color w:val="000000"/>
                <w:sz w:val="20"/>
                <w:szCs w:val="20"/>
              </w:rPr>
            </w:pPr>
          </w:p>
        </w:tc>
        <w:tc>
          <w:tcPr>
            <w:tcW w:w="833" w:type="dxa"/>
            <w:gridSpan w:val="2"/>
          </w:tcPr>
          <w:p w14:paraId="3B6833B5" w14:textId="77777777" w:rsidR="003E794A" w:rsidRPr="00F930CA" w:rsidRDefault="003E794A" w:rsidP="00952F08">
            <w:pPr>
              <w:pStyle w:val="Header"/>
              <w:spacing w:before="60"/>
              <w:rPr>
                <w:color w:val="000000"/>
                <w:sz w:val="20"/>
                <w:szCs w:val="20"/>
              </w:rPr>
            </w:pPr>
            <w:r w:rsidRPr="00F930CA">
              <w:rPr>
                <w:color w:val="000000"/>
                <w:sz w:val="20"/>
                <w:szCs w:val="20"/>
              </w:rPr>
              <w:t>5.2.13</w:t>
            </w:r>
          </w:p>
        </w:tc>
        <w:tc>
          <w:tcPr>
            <w:tcW w:w="7362" w:type="dxa"/>
            <w:gridSpan w:val="3"/>
          </w:tcPr>
          <w:p w14:paraId="27948CCF" w14:textId="77777777" w:rsidR="003E794A" w:rsidRPr="00F930CA" w:rsidRDefault="003E794A" w:rsidP="00AE4595">
            <w:pPr>
              <w:pStyle w:val="BodyText2"/>
              <w:spacing w:line="240" w:lineRule="auto"/>
              <w:rPr>
                <w:color w:val="000000"/>
                <w:sz w:val="20"/>
                <w:szCs w:val="20"/>
              </w:rPr>
            </w:pPr>
            <w:r w:rsidRPr="00F930CA">
              <w:rPr>
                <w:sz w:val="20"/>
                <w:szCs w:val="20"/>
              </w:rPr>
              <w:t>Incubate for 30 minutes at room temperature (20-24</w:t>
            </w:r>
            <w:r w:rsidRPr="00F930CA">
              <w:rPr>
                <w:sz w:val="20"/>
                <w:szCs w:val="20"/>
              </w:rPr>
              <w:sym w:font="Symbol" w:char="F0B0"/>
            </w:r>
            <w:r w:rsidRPr="00F930CA">
              <w:rPr>
                <w:sz w:val="20"/>
                <w:szCs w:val="20"/>
              </w:rPr>
              <w:t>C) on the orbital mixer, set at 200 rotations per minute.</w:t>
            </w:r>
          </w:p>
        </w:tc>
      </w:tr>
      <w:tr w:rsidR="003E794A" w:rsidRPr="00F930CA" w14:paraId="7EFD7043" w14:textId="77777777" w:rsidTr="00EB24E0">
        <w:trPr>
          <w:cantSplit/>
          <w:trHeight w:val="132"/>
        </w:trPr>
        <w:tc>
          <w:tcPr>
            <w:tcW w:w="740" w:type="dxa"/>
          </w:tcPr>
          <w:p w14:paraId="2C9B2866" w14:textId="77777777" w:rsidR="003E794A" w:rsidRPr="00F930CA" w:rsidRDefault="003E794A">
            <w:pPr>
              <w:spacing w:before="60"/>
              <w:rPr>
                <w:color w:val="000000"/>
                <w:sz w:val="20"/>
                <w:szCs w:val="20"/>
              </w:rPr>
            </w:pPr>
          </w:p>
        </w:tc>
        <w:tc>
          <w:tcPr>
            <w:tcW w:w="721" w:type="dxa"/>
          </w:tcPr>
          <w:p w14:paraId="57698F9E" w14:textId="77777777" w:rsidR="003E794A" w:rsidRPr="00F930CA" w:rsidRDefault="003E794A">
            <w:pPr>
              <w:spacing w:before="60"/>
              <w:rPr>
                <w:color w:val="000000"/>
                <w:sz w:val="20"/>
                <w:szCs w:val="20"/>
              </w:rPr>
            </w:pPr>
          </w:p>
        </w:tc>
        <w:tc>
          <w:tcPr>
            <w:tcW w:w="833" w:type="dxa"/>
            <w:gridSpan w:val="2"/>
          </w:tcPr>
          <w:p w14:paraId="07B793F1" w14:textId="77777777" w:rsidR="003E794A" w:rsidRPr="00F930CA" w:rsidRDefault="003E794A" w:rsidP="00952F08">
            <w:pPr>
              <w:pStyle w:val="Header"/>
              <w:spacing w:before="60"/>
              <w:rPr>
                <w:color w:val="000000"/>
                <w:sz w:val="20"/>
                <w:szCs w:val="20"/>
              </w:rPr>
            </w:pPr>
            <w:r w:rsidRPr="00F930CA">
              <w:rPr>
                <w:color w:val="000000"/>
                <w:sz w:val="20"/>
                <w:szCs w:val="20"/>
              </w:rPr>
              <w:t>5.2.14</w:t>
            </w:r>
          </w:p>
        </w:tc>
        <w:tc>
          <w:tcPr>
            <w:tcW w:w="7362" w:type="dxa"/>
            <w:gridSpan w:val="3"/>
          </w:tcPr>
          <w:p w14:paraId="28B33B7A" w14:textId="77777777" w:rsidR="003E794A" w:rsidRPr="00F930CA" w:rsidRDefault="003E794A" w:rsidP="00AE4595">
            <w:pPr>
              <w:pStyle w:val="BodyText2"/>
              <w:spacing w:line="240" w:lineRule="auto"/>
              <w:rPr>
                <w:color w:val="000000"/>
                <w:sz w:val="20"/>
                <w:szCs w:val="20"/>
              </w:rPr>
            </w:pPr>
            <w:r w:rsidRPr="00F930CA">
              <w:rPr>
                <w:sz w:val="20"/>
                <w:szCs w:val="20"/>
              </w:rPr>
              <w:t>Dilute the IgG/PE conjugate.  Calculate the amount of conjugate required to add 100</w:t>
            </w:r>
            <w:r w:rsidRPr="00F930CA">
              <w:rPr>
                <w:sz w:val="20"/>
                <w:szCs w:val="20"/>
              </w:rPr>
              <w:sym w:font="Symbol" w:char="F06D"/>
            </w:r>
            <w:r w:rsidRPr="00F930CA">
              <w:rPr>
                <w:sz w:val="20"/>
                <w:szCs w:val="20"/>
              </w:rPr>
              <w:t>l to each well plus three wells extra (with each well requiring 1</w:t>
            </w:r>
            <w:r w:rsidRPr="00F930CA">
              <w:rPr>
                <w:sz w:val="20"/>
                <w:szCs w:val="20"/>
              </w:rPr>
              <w:sym w:font="Symbol" w:char="F06D"/>
            </w:r>
            <w:r w:rsidRPr="00F930CA">
              <w:rPr>
                <w:sz w:val="20"/>
                <w:szCs w:val="20"/>
              </w:rPr>
              <w:t>l of conjugate diluted in 99</w:t>
            </w:r>
            <w:r w:rsidRPr="00F930CA">
              <w:rPr>
                <w:sz w:val="20"/>
                <w:szCs w:val="20"/>
              </w:rPr>
              <w:sym w:font="Symbol" w:char="F06D"/>
            </w:r>
            <w:r w:rsidRPr="00F930CA">
              <w:rPr>
                <w:sz w:val="20"/>
                <w:szCs w:val="20"/>
              </w:rPr>
              <w:t>l of wash buffer). Mix conjugate by pipetting.  Cap the tube and wrap completely in foil to protect from the light.  Store at room temperature until use.</w:t>
            </w:r>
          </w:p>
        </w:tc>
      </w:tr>
      <w:tr w:rsidR="003E794A" w:rsidRPr="00F930CA" w14:paraId="1383083D" w14:textId="77777777" w:rsidTr="00EB24E0">
        <w:trPr>
          <w:cantSplit/>
          <w:trHeight w:val="132"/>
        </w:trPr>
        <w:tc>
          <w:tcPr>
            <w:tcW w:w="740" w:type="dxa"/>
          </w:tcPr>
          <w:p w14:paraId="5BC8BC57" w14:textId="77777777" w:rsidR="003E794A" w:rsidRPr="00F930CA" w:rsidRDefault="003E794A">
            <w:pPr>
              <w:spacing w:before="60"/>
              <w:rPr>
                <w:color w:val="000000"/>
                <w:sz w:val="20"/>
                <w:szCs w:val="20"/>
              </w:rPr>
            </w:pPr>
          </w:p>
        </w:tc>
        <w:tc>
          <w:tcPr>
            <w:tcW w:w="721" w:type="dxa"/>
          </w:tcPr>
          <w:p w14:paraId="3EEE3524" w14:textId="77777777" w:rsidR="003E794A" w:rsidRPr="00F930CA" w:rsidRDefault="003E794A">
            <w:pPr>
              <w:spacing w:before="60"/>
              <w:rPr>
                <w:color w:val="000000"/>
                <w:sz w:val="20"/>
                <w:szCs w:val="20"/>
              </w:rPr>
            </w:pPr>
          </w:p>
        </w:tc>
        <w:tc>
          <w:tcPr>
            <w:tcW w:w="833" w:type="dxa"/>
            <w:gridSpan w:val="2"/>
          </w:tcPr>
          <w:p w14:paraId="53797042" w14:textId="77777777" w:rsidR="003E794A" w:rsidRPr="00F930CA" w:rsidRDefault="003E794A" w:rsidP="00952F08">
            <w:pPr>
              <w:pStyle w:val="Header"/>
              <w:spacing w:before="60"/>
              <w:rPr>
                <w:color w:val="000000"/>
                <w:sz w:val="20"/>
                <w:szCs w:val="20"/>
              </w:rPr>
            </w:pPr>
            <w:r w:rsidRPr="00F930CA">
              <w:rPr>
                <w:color w:val="000000"/>
                <w:sz w:val="20"/>
                <w:szCs w:val="20"/>
              </w:rPr>
              <w:t>5.2.15</w:t>
            </w:r>
          </w:p>
        </w:tc>
        <w:tc>
          <w:tcPr>
            <w:tcW w:w="7362" w:type="dxa"/>
            <w:gridSpan w:val="3"/>
          </w:tcPr>
          <w:p w14:paraId="74D46712" w14:textId="77777777" w:rsidR="003E794A" w:rsidRPr="00F930CA" w:rsidRDefault="003E794A" w:rsidP="00C5447E">
            <w:pPr>
              <w:pStyle w:val="BodyText2"/>
              <w:spacing w:line="240" w:lineRule="auto"/>
              <w:rPr>
                <w:color w:val="000000"/>
                <w:sz w:val="20"/>
                <w:szCs w:val="20"/>
              </w:rPr>
            </w:pPr>
            <w:r w:rsidRPr="00F930CA">
              <w:rPr>
                <w:sz w:val="20"/>
                <w:szCs w:val="20"/>
              </w:rPr>
              <w:t>After 30 minute incubation, remove the foil and plastic lid from the plate and add 250</w:t>
            </w:r>
            <w:r w:rsidRPr="00F930CA">
              <w:rPr>
                <w:sz w:val="20"/>
                <w:szCs w:val="20"/>
              </w:rPr>
              <w:sym w:font="Symbol" w:char="F06D"/>
            </w:r>
            <w:r w:rsidRPr="00F930CA">
              <w:rPr>
                <w:sz w:val="20"/>
                <w:szCs w:val="20"/>
              </w:rPr>
              <w:t>l of wash buffer to each of the wells.</w:t>
            </w:r>
          </w:p>
        </w:tc>
      </w:tr>
      <w:tr w:rsidR="003E794A" w:rsidRPr="00F930CA" w14:paraId="021503C2" w14:textId="77777777" w:rsidTr="00EB24E0">
        <w:trPr>
          <w:cantSplit/>
          <w:trHeight w:val="132"/>
        </w:trPr>
        <w:tc>
          <w:tcPr>
            <w:tcW w:w="740" w:type="dxa"/>
          </w:tcPr>
          <w:p w14:paraId="24DFD8D0" w14:textId="77777777" w:rsidR="003E794A" w:rsidRPr="00F930CA" w:rsidRDefault="003E794A">
            <w:pPr>
              <w:spacing w:before="60"/>
              <w:rPr>
                <w:color w:val="000000"/>
                <w:sz w:val="20"/>
                <w:szCs w:val="20"/>
              </w:rPr>
            </w:pPr>
          </w:p>
        </w:tc>
        <w:tc>
          <w:tcPr>
            <w:tcW w:w="721" w:type="dxa"/>
          </w:tcPr>
          <w:p w14:paraId="3A8D766F" w14:textId="77777777" w:rsidR="003E794A" w:rsidRPr="00F930CA" w:rsidRDefault="003E794A">
            <w:pPr>
              <w:spacing w:before="60"/>
              <w:rPr>
                <w:color w:val="000000"/>
                <w:sz w:val="20"/>
                <w:szCs w:val="20"/>
              </w:rPr>
            </w:pPr>
          </w:p>
        </w:tc>
        <w:tc>
          <w:tcPr>
            <w:tcW w:w="833" w:type="dxa"/>
            <w:gridSpan w:val="2"/>
          </w:tcPr>
          <w:p w14:paraId="6005561E" w14:textId="77777777" w:rsidR="003E794A" w:rsidRPr="00F930CA" w:rsidRDefault="003E794A" w:rsidP="00952F08">
            <w:pPr>
              <w:pStyle w:val="Header"/>
              <w:spacing w:before="60"/>
              <w:rPr>
                <w:color w:val="000000"/>
                <w:sz w:val="20"/>
                <w:szCs w:val="20"/>
              </w:rPr>
            </w:pPr>
            <w:r w:rsidRPr="00F930CA">
              <w:rPr>
                <w:color w:val="000000"/>
                <w:sz w:val="20"/>
                <w:szCs w:val="20"/>
              </w:rPr>
              <w:t>5.2.16</w:t>
            </w:r>
          </w:p>
        </w:tc>
        <w:tc>
          <w:tcPr>
            <w:tcW w:w="7362" w:type="dxa"/>
            <w:gridSpan w:val="3"/>
          </w:tcPr>
          <w:p w14:paraId="47C595EA" w14:textId="77777777" w:rsidR="003E794A" w:rsidRPr="00F930CA" w:rsidRDefault="003E794A" w:rsidP="00C5447E">
            <w:pPr>
              <w:pStyle w:val="BodyText2"/>
              <w:spacing w:line="240" w:lineRule="auto"/>
              <w:rPr>
                <w:color w:val="000000"/>
                <w:sz w:val="20"/>
                <w:szCs w:val="20"/>
              </w:rPr>
            </w:pPr>
            <w:r w:rsidRPr="00F930CA">
              <w:rPr>
                <w:sz w:val="20"/>
                <w:szCs w:val="20"/>
              </w:rPr>
              <w:t>Gently aspirate the contents of the wells using the vacuum manifold as described in 5.2.8.</w:t>
            </w:r>
          </w:p>
        </w:tc>
      </w:tr>
      <w:tr w:rsidR="003E794A" w:rsidRPr="00F930CA" w14:paraId="19560B71" w14:textId="77777777" w:rsidTr="00EB24E0">
        <w:trPr>
          <w:cantSplit/>
          <w:trHeight w:val="132"/>
        </w:trPr>
        <w:tc>
          <w:tcPr>
            <w:tcW w:w="740" w:type="dxa"/>
          </w:tcPr>
          <w:p w14:paraId="7B3DE378" w14:textId="77777777" w:rsidR="003E794A" w:rsidRPr="00F930CA" w:rsidRDefault="003E794A">
            <w:pPr>
              <w:spacing w:before="60"/>
              <w:rPr>
                <w:color w:val="000000"/>
                <w:sz w:val="20"/>
                <w:szCs w:val="20"/>
              </w:rPr>
            </w:pPr>
          </w:p>
        </w:tc>
        <w:tc>
          <w:tcPr>
            <w:tcW w:w="721" w:type="dxa"/>
          </w:tcPr>
          <w:p w14:paraId="104C6311" w14:textId="77777777" w:rsidR="003E794A" w:rsidRPr="00F930CA" w:rsidRDefault="003E794A">
            <w:pPr>
              <w:spacing w:before="60"/>
              <w:rPr>
                <w:color w:val="000000"/>
                <w:sz w:val="20"/>
                <w:szCs w:val="20"/>
              </w:rPr>
            </w:pPr>
          </w:p>
        </w:tc>
        <w:tc>
          <w:tcPr>
            <w:tcW w:w="833" w:type="dxa"/>
            <w:gridSpan w:val="2"/>
          </w:tcPr>
          <w:p w14:paraId="5D813FF1" w14:textId="77777777" w:rsidR="003E794A" w:rsidRPr="00F930CA" w:rsidRDefault="003E794A" w:rsidP="00C5447E">
            <w:pPr>
              <w:spacing w:before="60"/>
              <w:rPr>
                <w:color w:val="000000"/>
                <w:sz w:val="20"/>
                <w:szCs w:val="20"/>
              </w:rPr>
            </w:pPr>
            <w:r w:rsidRPr="00F930CA">
              <w:rPr>
                <w:color w:val="000000"/>
                <w:sz w:val="20"/>
                <w:szCs w:val="20"/>
              </w:rPr>
              <w:t>5.2.17</w:t>
            </w:r>
          </w:p>
        </w:tc>
        <w:tc>
          <w:tcPr>
            <w:tcW w:w="7362" w:type="dxa"/>
            <w:gridSpan w:val="3"/>
          </w:tcPr>
          <w:p w14:paraId="427EE64E" w14:textId="77777777" w:rsidR="003E794A" w:rsidRPr="00F930CA" w:rsidRDefault="003E794A" w:rsidP="00C5447E">
            <w:pPr>
              <w:pStyle w:val="BodyText2"/>
              <w:spacing w:line="240" w:lineRule="auto"/>
              <w:rPr>
                <w:color w:val="000000"/>
                <w:sz w:val="20"/>
                <w:szCs w:val="20"/>
              </w:rPr>
            </w:pPr>
            <w:r w:rsidRPr="00F930CA">
              <w:rPr>
                <w:sz w:val="20"/>
                <w:szCs w:val="20"/>
              </w:rPr>
              <w:t>Add 250</w:t>
            </w:r>
            <w:r w:rsidRPr="00F930CA">
              <w:rPr>
                <w:sz w:val="20"/>
                <w:szCs w:val="20"/>
              </w:rPr>
              <w:sym w:font="Symbol" w:char="F06D"/>
            </w:r>
            <w:r w:rsidRPr="00F930CA">
              <w:rPr>
                <w:sz w:val="20"/>
                <w:szCs w:val="20"/>
              </w:rPr>
              <w:t>l of wash buffer to each well, and aspirate as described in 5.2.8.</w:t>
            </w:r>
          </w:p>
        </w:tc>
      </w:tr>
      <w:tr w:rsidR="003E794A" w:rsidRPr="00F930CA" w14:paraId="5384B463" w14:textId="77777777" w:rsidTr="00EB24E0">
        <w:trPr>
          <w:cantSplit/>
          <w:trHeight w:val="601"/>
        </w:trPr>
        <w:tc>
          <w:tcPr>
            <w:tcW w:w="740" w:type="dxa"/>
          </w:tcPr>
          <w:p w14:paraId="15019E02" w14:textId="77777777" w:rsidR="003E794A" w:rsidRPr="00F930CA" w:rsidRDefault="003E794A">
            <w:pPr>
              <w:spacing w:before="60"/>
              <w:rPr>
                <w:color w:val="000000"/>
                <w:sz w:val="20"/>
                <w:szCs w:val="20"/>
              </w:rPr>
            </w:pPr>
          </w:p>
        </w:tc>
        <w:tc>
          <w:tcPr>
            <w:tcW w:w="721" w:type="dxa"/>
          </w:tcPr>
          <w:p w14:paraId="7A176FCA" w14:textId="77777777" w:rsidR="003E794A" w:rsidRPr="00F930CA" w:rsidRDefault="003E794A">
            <w:pPr>
              <w:spacing w:before="60"/>
              <w:rPr>
                <w:color w:val="000000"/>
                <w:sz w:val="20"/>
                <w:szCs w:val="20"/>
              </w:rPr>
            </w:pPr>
          </w:p>
        </w:tc>
        <w:tc>
          <w:tcPr>
            <w:tcW w:w="833" w:type="dxa"/>
            <w:gridSpan w:val="2"/>
          </w:tcPr>
          <w:p w14:paraId="70289A02" w14:textId="77777777" w:rsidR="003E794A" w:rsidRPr="00F930CA" w:rsidRDefault="003E794A" w:rsidP="00C5447E">
            <w:pPr>
              <w:spacing w:before="60"/>
              <w:rPr>
                <w:color w:val="000000"/>
                <w:sz w:val="20"/>
                <w:szCs w:val="20"/>
              </w:rPr>
            </w:pPr>
            <w:r w:rsidRPr="00F930CA">
              <w:rPr>
                <w:color w:val="000000"/>
                <w:sz w:val="20"/>
                <w:szCs w:val="20"/>
              </w:rPr>
              <w:t>5.2.18</w:t>
            </w:r>
          </w:p>
        </w:tc>
        <w:tc>
          <w:tcPr>
            <w:tcW w:w="7362" w:type="dxa"/>
            <w:gridSpan w:val="3"/>
          </w:tcPr>
          <w:p w14:paraId="60A921DB" w14:textId="77777777" w:rsidR="003E794A" w:rsidRPr="00F930CA" w:rsidRDefault="003E794A" w:rsidP="00C5447E">
            <w:pPr>
              <w:pStyle w:val="Header"/>
              <w:rPr>
                <w:color w:val="000000"/>
                <w:sz w:val="20"/>
                <w:szCs w:val="20"/>
              </w:rPr>
            </w:pPr>
            <w:r w:rsidRPr="00F930CA">
              <w:rPr>
                <w:sz w:val="20"/>
                <w:szCs w:val="20"/>
              </w:rPr>
              <w:t>Repeat step 5.2.17 a further two times to give a total of three washes.</w:t>
            </w:r>
          </w:p>
        </w:tc>
      </w:tr>
      <w:tr w:rsidR="003E794A" w:rsidRPr="00F930CA" w14:paraId="36149477" w14:textId="77777777" w:rsidTr="00EB24E0">
        <w:trPr>
          <w:cantSplit/>
          <w:trHeight w:val="601"/>
        </w:trPr>
        <w:tc>
          <w:tcPr>
            <w:tcW w:w="740" w:type="dxa"/>
          </w:tcPr>
          <w:p w14:paraId="25090E09" w14:textId="77777777" w:rsidR="003E794A" w:rsidRPr="00F930CA" w:rsidRDefault="003E794A">
            <w:pPr>
              <w:spacing w:before="60"/>
              <w:rPr>
                <w:color w:val="000000"/>
                <w:sz w:val="20"/>
                <w:szCs w:val="20"/>
              </w:rPr>
            </w:pPr>
          </w:p>
        </w:tc>
        <w:tc>
          <w:tcPr>
            <w:tcW w:w="721" w:type="dxa"/>
          </w:tcPr>
          <w:p w14:paraId="676C4177" w14:textId="77777777" w:rsidR="003E794A" w:rsidRPr="00F930CA" w:rsidRDefault="003E794A">
            <w:pPr>
              <w:spacing w:before="60"/>
              <w:rPr>
                <w:color w:val="000000"/>
                <w:sz w:val="20"/>
                <w:szCs w:val="20"/>
              </w:rPr>
            </w:pPr>
          </w:p>
        </w:tc>
        <w:tc>
          <w:tcPr>
            <w:tcW w:w="833" w:type="dxa"/>
            <w:gridSpan w:val="2"/>
          </w:tcPr>
          <w:p w14:paraId="3F185609" w14:textId="77777777" w:rsidR="003E794A" w:rsidRPr="00F930CA" w:rsidRDefault="003E794A">
            <w:pPr>
              <w:spacing w:before="60"/>
              <w:rPr>
                <w:color w:val="000000"/>
                <w:sz w:val="20"/>
                <w:szCs w:val="20"/>
              </w:rPr>
            </w:pPr>
            <w:r w:rsidRPr="00F930CA">
              <w:rPr>
                <w:color w:val="000000"/>
                <w:sz w:val="20"/>
                <w:szCs w:val="20"/>
              </w:rPr>
              <w:t>5.2.19</w:t>
            </w:r>
          </w:p>
        </w:tc>
        <w:tc>
          <w:tcPr>
            <w:tcW w:w="7362" w:type="dxa"/>
            <w:gridSpan w:val="3"/>
          </w:tcPr>
          <w:p w14:paraId="23A96F03" w14:textId="77777777" w:rsidR="003E794A" w:rsidRPr="00F930CA" w:rsidRDefault="003E794A" w:rsidP="00C5447E">
            <w:pPr>
              <w:pStyle w:val="BodyText2"/>
              <w:spacing w:line="240" w:lineRule="auto"/>
              <w:rPr>
                <w:sz w:val="20"/>
                <w:szCs w:val="20"/>
              </w:rPr>
            </w:pPr>
            <w:r w:rsidRPr="00F930CA">
              <w:rPr>
                <w:sz w:val="20"/>
                <w:szCs w:val="20"/>
              </w:rPr>
              <w:t>Add 100</w:t>
            </w:r>
            <w:r w:rsidRPr="00F930CA">
              <w:rPr>
                <w:sz w:val="20"/>
                <w:szCs w:val="20"/>
              </w:rPr>
              <w:sym w:font="Symbol" w:char="F06D"/>
            </w:r>
            <w:r w:rsidRPr="00F930CA">
              <w:rPr>
                <w:sz w:val="20"/>
                <w:szCs w:val="20"/>
              </w:rPr>
              <w:t>l of diluted conjugate to each well and cover plate with plastic lid provided and then wrap in foil to protect from light.</w:t>
            </w:r>
          </w:p>
        </w:tc>
      </w:tr>
      <w:tr w:rsidR="003E794A" w:rsidRPr="00F930CA" w14:paraId="708CCFA8" w14:textId="77777777" w:rsidTr="00EB24E0">
        <w:trPr>
          <w:cantSplit/>
          <w:trHeight w:val="601"/>
        </w:trPr>
        <w:tc>
          <w:tcPr>
            <w:tcW w:w="740" w:type="dxa"/>
          </w:tcPr>
          <w:p w14:paraId="4E9072EB" w14:textId="77777777" w:rsidR="003E794A" w:rsidRPr="00F930CA" w:rsidRDefault="003E794A">
            <w:pPr>
              <w:spacing w:before="60"/>
              <w:rPr>
                <w:color w:val="000000"/>
                <w:sz w:val="20"/>
                <w:szCs w:val="20"/>
              </w:rPr>
            </w:pPr>
          </w:p>
        </w:tc>
        <w:tc>
          <w:tcPr>
            <w:tcW w:w="721" w:type="dxa"/>
          </w:tcPr>
          <w:p w14:paraId="16958B79" w14:textId="77777777" w:rsidR="003E794A" w:rsidRPr="00F930CA" w:rsidRDefault="003E794A">
            <w:pPr>
              <w:spacing w:before="60"/>
              <w:rPr>
                <w:color w:val="000000"/>
                <w:sz w:val="20"/>
                <w:szCs w:val="20"/>
              </w:rPr>
            </w:pPr>
          </w:p>
        </w:tc>
        <w:tc>
          <w:tcPr>
            <w:tcW w:w="833" w:type="dxa"/>
            <w:gridSpan w:val="2"/>
          </w:tcPr>
          <w:p w14:paraId="02145C3B" w14:textId="77777777" w:rsidR="003E794A" w:rsidRPr="00F930CA" w:rsidRDefault="003E794A">
            <w:pPr>
              <w:spacing w:before="60"/>
              <w:rPr>
                <w:color w:val="000000"/>
                <w:sz w:val="20"/>
                <w:szCs w:val="20"/>
              </w:rPr>
            </w:pPr>
            <w:r w:rsidRPr="00F930CA">
              <w:rPr>
                <w:color w:val="000000"/>
                <w:sz w:val="20"/>
                <w:szCs w:val="20"/>
              </w:rPr>
              <w:t>5.2.20</w:t>
            </w:r>
          </w:p>
        </w:tc>
        <w:tc>
          <w:tcPr>
            <w:tcW w:w="7362" w:type="dxa"/>
            <w:gridSpan w:val="3"/>
          </w:tcPr>
          <w:p w14:paraId="6222EA8B" w14:textId="77777777" w:rsidR="003E794A" w:rsidRPr="00F930CA" w:rsidRDefault="003E794A" w:rsidP="00C5447E">
            <w:pPr>
              <w:pStyle w:val="BodyText2"/>
              <w:spacing w:line="240" w:lineRule="auto"/>
              <w:rPr>
                <w:sz w:val="20"/>
                <w:szCs w:val="20"/>
              </w:rPr>
            </w:pPr>
            <w:r w:rsidRPr="00F930CA">
              <w:rPr>
                <w:sz w:val="20"/>
                <w:szCs w:val="20"/>
              </w:rPr>
              <w:t>Incubate plate for 30 minutes at room temperature (C) on the orbital mixer set at 200 rotations per minute.</w:t>
            </w:r>
          </w:p>
        </w:tc>
      </w:tr>
      <w:tr w:rsidR="003E794A" w:rsidRPr="00F930CA" w14:paraId="3EB63213" w14:textId="77777777" w:rsidTr="00EB24E0">
        <w:trPr>
          <w:cantSplit/>
          <w:trHeight w:val="601"/>
        </w:trPr>
        <w:tc>
          <w:tcPr>
            <w:tcW w:w="740" w:type="dxa"/>
          </w:tcPr>
          <w:p w14:paraId="650745DB" w14:textId="77777777" w:rsidR="003E794A" w:rsidRPr="00F930CA" w:rsidRDefault="003E794A">
            <w:pPr>
              <w:spacing w:before="60"/>
              <w:rPr>
                <w:color w:val="000000"/>
                <w:sz w:val="20"/>
                <w:szCs w:val="20"/>
              </w:rPr>
            </w:pPr>
          </w:p>
        </w:tc>
        <w:tc>
          <w:tcPr>
            <w:tcW w:w="721" w:type="dxa"/>
          </w:tcPr>
          <w:p w14:paraId="630FDD11" w14:textId="77777777" w:rsidR="003E794A" w:rsidRPr="00F930CA" w:rsidRDefault="003E794A">
            <w:pPr>
              <w:spacing w:before="60"/>
              <w:rPr>
                <w:color w:val="000000"/>
                <w:sz w:val="20"/>
                <w:szCs w:val="20"/>
              </w:rPr>
            </w:pPr>
          </w:p>
        </w:tc>
        <w:tc>
          <w:tcPr>
            <w:tcW w:w="833" w:type="dxa"/>
            <w:gridSpan w:val="2"/>
          </w:tcPr>
          <w:p w14:paraId="72A0AE56" w14:textId="77777777" w:rsidR="003E794A" w:rsidRPr="00F930CA" w:rsidRDefault="003E794A">
            <w:pPr>
              <w:spacing w:before="60"/>
              <w:rPr>
                <w:color w:val="000000"/>
                <w:sz w:val="20"/>
                <w:szCs w:val="20"/>
              </w:rPr>
            </w:pPr>
            <w:r w:rsidRPr="00F930CA">
              <w:rPr>
                <w:color w:val="000000"/>
                <w:sz w:val="20"/>
                <w:szCs w:val="20"/>
              </w:rPr>
              <w:t>5.2.21</w:t>
            </w:r>
          </w:p>
        </w:tc>
        <w:tc>
          <w:tcPr>
            <w:tcW w:w="7362" w:type="dxa"/>
            <w:gridSpan w:val="3"/>
          </w:tcPr>
          <w:p w14:paraId="194D1F4B" w14:textId="77777777" w:rsidR="003E794A" w:rsidRPr="00F930CA" w:rsidRDefault="003E794A" w:rsidP="00C5447E">
            <w:pPr>
              <w:pStyle w:val="BodyText2"/>
              <w:spacing w:line="240" w:lineRule="auto"/>
              <w:rPr>
                <w:sz w:val="20"/>
                <w:szCs w:val="20"/>
              </w:rPr>
            </w:pPr>
            <w:r w:rsidRPr="00F930CA">
              <w:rPr>
                <w:sz w:val="20"/>
                <w:szCs w:val="20"/>
              </w:rPr>
              <w:t>Remove plastic lid and add 150μl of wash buffer. Mix by gently tapping the side of the plate.</w:t>
            </w:r>
          </w:p>
        </w:tc>
      </w:tr>
      <w:tr w:rsidR="003E794A" w:rsidRPr="00F930CA" w14:paraId="10405D60" w14:textId="77777777" w:rsidTr="00EB24E0">
        <w:trPr>
          <w:cantSplit/>
          <w:trHeight w:val="601"/>
        </w:trPr>
        <w:tc>
          <w:tcPr>
            <w:tcW w:w="740" w:type="dxa"/>
          </w:tcPr>
          <w:p w14:paraId="6EABD4B9" w14:textId="77777777" w:rsidR="003E794A" w:rsidRPr="00F930CA" w:rsidRDefault="003E794A">
            <w:pPr>
              <w:spacing w:before="60"/>
              <w:rPr>
                <w:color w:val="000000"/>
                <w:sz w:val="20"/>
                <w:szCs w:val="20"/>
              </w:rPr>
            </w:pPr>
          </w:p>
        </w:tc>
        <w:tc>
          <w:tcPr>
            <w:tcW w:w="721" w:type="dxa"/>
          </w:tcPr>
          <w:p w14:paraId="510CA488" w14:textId="77777777" w:rsidR="003E794A" w:rsidRPr="00F930CA" w:rsidRDefault="003E794A">
            <w:pPr>
              <w:spacing w:before="60"/>
              <w:rPr>
                <w:color w:val="000000"/>
                <w:sz w:val="20"/>
                <w:szCs w:val="20"/>
              </w:rPr>
            </w:pPr>
          </w:p>
        </w:tc>
        <w:tc>
          <w:tcPr>
            <w:tcW w:w="833" w:type="dxa"/>
            <w:gridSpan w:val="2"/>
          </w:tcPr>
          <w:p w14:paraId="6D10E1D3" w14:textId="77777777" w:rsidR="003E794A" w:rsidRPr="00F930CA" w:rsidRDefault="003E794A">
            <w:pPr>
              <w:spacing w:before="60"/>
              <w:rPr>
                <w:color w:val="000000"/>
                <w:sz w:val="20"/>
                <w:szCs w:val="20"/>
              </w:rPr>
            </w:pPr>
            <w:r w:rsidRPr="00F930CA">
              <w:rPr>
                <w:color w:val="000000"/>
                <w:sz w:val="20"/>
                <w:szCs w:val="20"/>
              </w:rPr>
              <w:t>5.2.22</w:t>
            </w:r>
          </w:p>
        </w:tc>
        <w:tc>
          <w:tcPr>
            <w:tcW w:w="7362" w:type="dxa"/>
            <w:gridSpan w:val="3"/>
          </w:tcPr>
          <w:p w14:paraId="3BB4557D" w14:textId="77777777" w:rsidR="003E794A" w:rsidRPr="00F930CA" w:rsidRDefault="003E794A" w:rsidP="00C5447E">
            <w:pPr>
              <w:pStyle w:val="BodyText2"/>
              <w:spacing w:line="240" w:lineRule="auto"/>
              <w:rPr>
                <w:sz w:val="20"/>
                <w:szCs w:val="20"/>
              </w:rPr>
            </w:pPr>
            <w:r w:rsidRPr="00F930CA">
              <w:rPr>
                <w:sz w:val="20"/>
                <w:szCs w:val="20"/>
              </w:rPr>
              <w:t>Repeat steps 5.2.16-5.2.18.</w:t>
            </w:r>
          </w:p>
        </w:tc>
      </w:tr>
      <w:tr w:rsidR="003E794A" w:rsidRPr="00F930CA" w14:paraId="7AC1A950" w14:textId="77777777" w:rsidTr="00EB24E0">
        <w:trPr>
          <w:cantSplit/>
          <w:trHeight w:val="601"/>
        </w:trPr>
        <w:tc>
          <w:tcPr>
            <w:tcW w:w="740" w:type="dxa"/>
          </w:tcPr>
          <w:p w14:paraId="104AF1DC" w14:textId="77777777" w:rsidR="003E794A" w:rsidRPr="00F930CA" w:rsidRDefault="003E794A">
            <w:pPr>
              <w:spacing w:before="60"/>
              <w:rPr>
                <w:color w:val="000000"/>
                <w:sz w:val="20"/>
                <w:szCs w:val="20"/>
              </w:rPr>
            </w:pPr>
          </w:p>
        </w:tc>
        <w:tc>
          <w:tcPr>
            <w:tcW w:w="721" w:type="dxa"/>
          </w:tcPr>
          <w:p w14:paraId="262D516D" w14:textId="77777777" w:rsidR="003E794A" w:rsidRPr="00F930CA" w:rsidRDefault="003E794A">
            <w:pPr>
              <w:spacing w:before="60"/>
              <w:rPr>
                <w:color w:val="000000"/>
                <w:sz w:val="20"/>
                <w:szCs w:val="20"/>
              </w:rPr>
            </w:pPr>
          </w:p>
        </w:tc>
        <w:tc>
          <w:tcPr>
            <w:tcW w:w="833" w:type="dxa"/>
            <w:gridSpan w:val="2"/>
          </w:tcPr>
          <w:p w14:paraId="33998788" w14:textId="77777777" w:rsidR="003E794A" w:rsidRPr="00F930CA" w:rsidRDefault="003E794A">
            <w:pPr>
              <w:spacing w:before="60"/>
              <w:rPr>
                <w:color w:val="000000"/>
                <w:sz w:val="20"/>
                <w:szCs w:val="20"/>
              </w:rPr>
            </w:pPr>
            <w:r w:rsidRPr="00F930CA">
              <w:rPr>
                <w:color w:val="000000"/>
                <w:sz w:val="20"/>
                <w:szCs w:val="20"/>
              </w:rPr>
              <w:t>5.2.23</w:t>
            </w:r>
          </w:p>
        </w:tc>
        <w:tc>
          <w:tcPr>
            <w:tcW w:w="7362" w:type="dxa"/>
            <w:gridSpan w:val="3"/>
          </w:tcPr>
          <w:p w14:paraId="23F14A71" w14:textId="77777777" w:rsidR="003E794A" w:rsidRPr="00F930CA" w:rsidRDefault="003E794A" w:rsidP="00C5447E">
            <w:pPr>
              <w:pStyle w:val="BodyText2"/>
              <w:spacing w:line="240" w:lineRule="auto"/>
              <w:rPr>
                <w:sz w:val="20"/>
                <w:szCs w:val="20"/>
              </w:rPr>
            </w:pPr>
            <w:r w:rsidRPr="00F930CA">
              <w:rPr>
                <w:sz w:val="20"/>
                <w:szCs w:val="20"/>
              </w:rPr>
              <w:t>Add 80</w:t>
            </w:r>
            <w:r w:rsidRPr="00F930CA">
              <w:rPr>
                <w:sz w:val="20"/>
                <w:szCs w:val="20"/>
              </w:rPr>
              <w:sym w:font="Symbol" w:char="F06D"/>
            </w:r>
            <w:r w:rsidRPr="00F930CA">
              <w:rPr>
                <w:sz w:val="20"/>
                <w:szCs w:val="20"/>
              </w:rPr>
              <w:t>l of room temperature PBS and repeat pipette to mix the well contents.</w:t>
            </w:r>
          </w:p>
        </w:tc>
      </w:tr>
      <w:tr w:rsidR="003E794A" w:rsidRPr="00F930CA" w14:paraId="484DD724" w14:textId="77777777" w:rsidTr="00EB24E0">
        <w:trPr>
          <w:cantSplit/>
          <w:trHeight w:val="601"/>
        </w:trPr>
        <w:tc>
          <w:tcPr>
            <w:tcW w:w="740" w:type="dxa"/>
          </w:tcPr>
          <w:p w14:paraId="72896137" w14:textId="77777777" w:rsidR="003E794A" w:rsidRPr="00F930CA" w:rsidRDefault="003E794A">
            <w:pPr>
              <w:spacing w:before="60"/>
              <w:rPr>
                <w:color w:val="000000"/>
                <w:sz w:val="20"/>
                <w:szCs w:val="20"/>
              </w:rPr>
            </w:pPr>
          </w:p>
        </w:tc>
        <w:tc>
          <w:tcPr>
            <w:tcW w:w="721" w:type="dxa"/>
          </w:tcPr>
          <w:p w14:paraId="1B635E43" w14:textId="77777777" w:rsidR="003E794A" w:rsidRPr="00F930CA" w:rsidRDefault="003E794A">
            <w:pPr>
              <w:spacing w:before="60"/>
              <w:rPr>
                <w:color w:val="000000"/>
                <w:sz w:val="20"/>
                <w:szCs w:val="20"/>
              </w:rPr>
            </w:pPr>
          </w:p>
        </w:tc>
        <w:tc>
          <w:tcPr>
            <w:tcW w:w="833" w:type="dxa"/>
            <w:gridSpan w:val="2"/>
          </w:tcPr>
          <w:p w14:paraId="4E23FDBD" w14:textId="77777777" w:rsidR="003E794A" w:rsidRPr="00F930CA" w:rsidRDefault="003E794A">
            <w:pPr>
              <w:spacing w:before="60"/>
              <w:rPr>
                <w:color w:val="000000"/>
                <w:sz w:val="20"/>
                <w:szCs w:val="20"/>
              </w:rPr>
            </w:pPr>
            <w:r w:rsidRPr="00F930CA">
              <w:rPr>
                <w:color w:val="000000"/>
                <w:sz w:val="20"/>
                <w:szCs w:val="20"/>
              </w:rPr>
              <w:t>5.2.24</w:t>
            </w:r>
          </w:p>
        </w:tc>
        <w:tc>
          <w:tcPr>
            <w:tcW w:w="7362" w:type="dxa"/>
            <w:gridSpan w:val="3"/>
          </w:tcPr>
          <w:p w14:paraId="55CA2DDA" w14:textId="77777777" w:rsidR="003E794A" w:rsidRPr="00F930CA" w:rsidRDefault="003E794A" w:rsidP="00C5447E">
            <w:pPr>
              <w:pStyle w:val="BodyText2"/>
              <w:spacing w:line="240" w:lineRule="auto"/>
              <w:rPr>
                <w:sz w:val="20"/>
                <w:szCs w:val="20"/>
              </w:rPr>
            </w:pPr>
            <w:r w:rsidRPr="00F930CA">
              <w:rPr>
                <w:sz w:val="20"/>
                <w:szCs w:val="20"/>
              </w:rPr>
              <w:t>The beads are now ready to be analysed.  This must be performed within 3 hours to ensure the least chance of obtaining false positive and false negative results.</w:t>
            </w:r>
          </w:p>
        </w:tc>
      </w:tr>
      <w:tr w:rsidR="003E794A" w:rsidRPr="00F930CA" w14:paraId="3811ACF8" w14:textId="77777777" w:rsidTr="00EB24E0">
        <w:trPr>
          <w:cantSplit/>
          <w:trHeight w:val="601"/>
        </w:trPr>
        <w:tc>
          <w:tcPr>
            <w:tcW w:w="740" w:type="dxa"/>
          </w:tcPr>
          <w:p w14:paraId="6D435CD6" w14:textId="77777777" w:rsidR="003E794A" w:rsidRPr="00F930CA" w:rsidRDefault="003E794A">
            <w:pPr>
              <w:spacing w:before="60"/>
              <w:rPr>
                <w:color w:val="000000"/>
                <w:sz w:val="20"/>
                <w:szCs w:val="20"/>
              </w:rPr>
            </w:pPr>
          </w:p>
        </w:tc>
        <w:tc>
          <w:tcPr>
            <w:tcW w:w="721" w:type="dxa"/>
          </w:tcPr>
          <w:p w14:paraId="4C4D7900" w14:textId="77777777" w:rsidR="003E794A" w:rsidRPr="00F930CA" w:rsidRDefault="003E794A">
            <w:pPr>
              <w:spacing w:before="60"/>
              <w:rPr>
                <w:color w:val="000000"/>
                <w:sz w:val="20"/>
                <w:szCs w:val="20"/>
              </w:rPr>
            </w:pPr>
            <w:r w:rsidRPr="00F930CA">
              <w:rPr>
                <w:color w:val="000000"/>
                <w:sz w:val="20"/>
                <w:szCs w:val="20"/>
              </w:rPr>
              <w:t>5.3</w:t>
            </w:r>
          </w:p>
        </w:tc>
        <w:tc>
          <w:tcPr>
            <w:tcW w:w="8195" w:type="dxa"/>
            <w:gridSpan w:val="5"/>
          </w:tcPr>
          <w:p w14:paraId="5327C732" w14:textId="77777777" w:rsidR="003E794A" w:rsidRPr="00F930CA" w:rsidRDefault="003E794A" w:rsidP="00C5447E">
            <w:pPr>
              <w:pStyle w:val="BodyText2"/>
              <w:spacing w:line="240" w:lineRule="auto"/>
              <w:rPr>
                <w:sz w:val="20"/>
                <w:szCs w:val="20"/>
              </w:rPr>
            </w:pPr>
            <w:r w:rsidRPr="00F930CA">
              <w:rPr>
                <w:sz w:val="20"/>
                <w:szCs w:val="20"/>
              </w:rPr>
              <w:t>Procedure for ‘Spin and Flick’ method</w:t>
            </w:r>
          </w:p>
        </w:tc>
      </w:tr>
      <w:tr w:rsidR="003E794A" w:rsidRPr="00F930CA" w14:paraId="62335B7C" w14:textId="77777777" w:rsidTr="00EB24E0">
        <w:trPr>
          <w:cantSplit/>
          <w:trHeight w:val="601"/>
        </w:trPr>
        <w:tc>
          <w:tcPr>
            <w:tcW w:w="740" w:type="dxa"/>
          </w:tcPr>
          <w:p w14:paraId="19257DD6" w14:textId="77777777" w:rsidR="003E794A" w:rsidRPr="00F930CA" w:rsidRDefault="003E794A">
            <w:pPr>
              <w:spacing w:before="60"/>
              <w:rPr>
                <w:color w:val="000000"/>
                <w:sz w:val="20"/>
                <w:szCs w:val="20"/>
              </w:rPr>
            </w:pPr>
          </w:p>
        </w:tc>
        <w:tc>
          <w:tcPr>
            <w:tcW w:w="721" w:type="dxa"/>
          </w:tcPr>
          <w:p w14:paraId="4E59491E" w14:textId="77777777" w:rsidR="003E794A" w:rsidRPr="00F930CA" w:rsidRDefault="003E794A">
            <w:pPr>
              <w:spacing w:before="60"/>
              <w:rPr>
                <w:color w:val="000000"/>
                <w:sz w:val="20"/>
                <w:szCs w:val="20"/>
              </w:rPr>
            </w:pPr>
          </w:p>
        </w:tc>
        <w:tc>
          <w:tcPr>
            <w:tcW w:w="885" w:type="dxa"/>
            <w:gridSpan w:val="3"/>
          </w:tcPr>
          <w:p w14:paraId="5256DD96" w14:textId="77777777" w:rsidR="003E794A" w:rsidRPr="00F930CA" w:rsidRDefault="003E794A" w:rsidP="00C5447E">
            <w:pPr>
              <w:pStyle w:val="BodyText2"/>
              <w:spacing w:line="240" w:lineRule="auto"/>
              <w:rPr>
                <w:sz w:val="20"/>
                <w:szCs w:val="20"/>
              </w:rPr>
            </w:pPr>
            <w:r w:rsidRPr="00F930CA">
              <w:rPr>
                <w:sz w:val="20"/>
                <w:szCs w:val="20"/>
              </w:rPr>
              <w:t>5.3.1</w:t>
            </w:r>
          </w:p>
        </w:tc>
        <w:tc>
          <w:tcPr>
            <w:tcW w:w="7310" w:type="dxa"/>
            <w:gridSpan w:val="2"/>
          </w:tcPr>
          <w:p w14:paraId="697FAD97" w14:textId="77777777" w:rsidR="003E794A" w:rsidRPr="00F930CA" w:rsidRDefault="003E794A" w:rsidP="00C5447E">
            <w:pPr>
              <w:pStyle w:val="BodyText2"/>
              <w:spacing w:line="240" w:lineRule="auto"/>
              <w:rPr>
                <w:sz w:val="20"/>
                <w:szCs w:val="20"/>
              </w:rPr>
            </w:pPr>
            <w:r w:rsidRPr="00F930CA">
              <w:rPr>
                <w:sz w:val="20"/>
                <w:szCs w:val="20"/>
              </w:rPr>
              <w:t>Follow steps 5.2.1 – 5.2.4</w:t>
            </w:r>
          </w:p>
        </w:tc>
      </w:tr>
      <w:tr w:rsidR="003E794A" w:rsidRPr="00F930CA" w14:paraId="76DE570F" w14:textId="77777777" w:rsidTr="00EB24E0">
        <w:trPr>
          <w:cantSplit/>
          <w:trHeight w:val="601"/>
        </w:trPr>
        <w:tc>
          <w:tcPr>
            <w:tcW w:w="740" w:type="dxa"/>
          </w:tcPr>
          <w:p w14:paraId="674997E2" w14:textId="77777777" w:rsidR="003E794A" w:rsidRPr="00F930CA" w:rsidRDefault="003E794A" w:rsidP="00C7298F">
            <w:pPr>
              <w:spacing w:before="60"/>
              <w:rPr>
                <w:color w:val="000000"/>
                <w:sz w:val="20"/>
                <w:szCs w:val="20"/>
              </w:rPr>
            </w:pPr>
          </w:p>
        </w:tc>
        <w:tc>
          <w:tcPr>
            <w:tcW w:w="721" w:type="dxa"/>
          </w:tcPr>
          <w:p w14:paraId="0D54B244" w14:textId="77777777" w:rsidR="003E794A" w:rsidRPr="00F930CA" w:rsidRDefault="003E794A" w:rsidP="00C7298F">
            <w:pPr>
              <w:spacing w:before="60"/>
              <w:rPr>
                <w:color w:val="000000"/>
                <w:sz w:val="20"/>
                <w:szCs w:val="20"/>
              </w:rPr>
            </w:pPr>
          </w:p>
        </w:tc>
        <w:tc>
          <w:tcPr>
            <w:tcW w:w="885" w:type="dxa"/>
            <w:gridSpan w:val="3"/>
          </w:tcPr>
          <w:p w14:paraId="0547832B" w14:textId="77777777" w:rsidR="003E794A" w:rsidRPr="00F930CA" w:rsidRDefault="003E794A" w:rsidP="00C7298F">
            <w:pPr>
              <w:pStyle w:val="BodyText2"/>
              <w:spacing w:line="240" w:lineRule="auto"/>
              <w:rPr>
                <w:sz w:val="20"/>
                <w:szCs w:val="20"/>
              </w:rPr>
            </w:pPr>
            <w:r w:rsidRPr="00F930CA">
              <w:rPr>
                <w:sz w:val="20"/>
                <w:szCs w:val="20"/>
              </w:rPr>
              <w:t>5.3.2</w:t>
            </w:r>
          </w:p>
        </w:tc>
        <w:tc>
          <w:tcPr>
            <w:tcW w:w="7310" w:type="dxa"/>
            <w:gridSpan w:val="2"/>
          </w:tcPr>
          <w:p w14:paraId="237FBF65" w14:textId="77777777" w:rsidR="003E794A" w:rsidRPr="00F930CA" w:rsidRDefault="003E794A" w:rsidP="00C7298F">
            <w:pPr>
              <w:pStyle w:val="BodyText2"/>
              <w:spacing w:line="240" w:lineRule="auto"/>
              <w:rPr>
                <w:sz w:val="20"/>
                <w:szCs w:val="20"/>
              </w:rPr>
            </w:pPr>
            <w:r w:rsidRPr="00F930CA">
              <w:rPr>
                <w:sz w:val="20"/>
                <w:szCs w:val="20"/>
              </w:rPr>
              <w:t>Prepare the beads by briefly centrifuging the vial at 600-800g to remove any beads or liquid from the cap or walls of the vial, then thoroughly mix by vortexing for 30 seconds or repeat pipetting to evenly re-suspend beads.</w:t>
            </w:r>
          </w:p>
        </w:tc>
      </w:tr>
      <w:tr w:rsidR="003E794A" w:rsidRPr="00F930CA" w14:paraId="3BFB0DB0" w14:textId="77777777" w:rsidTr="00EB24E0">
        <w:trPr>
          <w:cantSplit/>
          <w:trHeight w:val="601"/>
        </w:trPr>
        <w:tc>
          <w:tcPr>
            <w:tcW w:w="740" w:type="dxa"/>
          </w:tcPr>
          <w:p w14:paraId="4ABEE4B1" w14:textId="77777777" w:rsidR="003E794A" w:rsidRPr="00F930CA" w:rsidRDefault="003E794A" w:rsidP="00C7298F">
            <w:pPr>
              <w:spacing w:before="60"/>
              <w:rPr>
                <w:color w:val="000000"/>
                <w:sz w:val="20"/>
                <w:szCs w:val="20"/>
              </w:rPr>
            </w:pPr>
          </w:p>
        </w:tc>
        <w:tc>
          <w:tcPr>
            <w:tcW w:w="721" w:type="dxa"/>
          </w:tcPr>
          <w:p w14:paraId="18583916" w14:textId="77777777" w:rsidR="003E794A" w:rsidRPr="00F930CA" w:rsidRDefault="003E794A" w:rsidP="00C7298F">
            <w:pPr>
              <w:spacing w:before="60"/>
              <w:rPr>
                <w:color w:val="000000"/>
                <w:sz w:val="20"/>
                <w:szCs w:val="20"/>
              </w:rPr>
            </w:pPr>
          </w:p>
        </w:tc>
        <w:tc>
          <w:tcPr>
            <w:tcW w:w="885" w:type="dxa"/>
            <w:gridSpan w:val="3"/>
          </w:tcPr>
          <w:p w14:paraId="0B92D238" w14:textId="77777777" w:rsidR="003E794A" w:rsidRPr="00F930CA" w:rsidRDefault="003E794A" w:rsidP="00C7298F">
            <w:pPr>
              <w:pStyle w:val="BodyText2"/>
              <w:spacing w:line="240" w:lineRule="auto"/>
              <w:rPr>
                <w:sz w:val="20"/>
                <w:szCs w:val="20"/>
              </w:rPr>
            </w:pPr>
            <w:r w:rsidRPr="00F930CA">
              <w:rPr>
                <w:sz w:val="20"/>
                <w:szCs w:val="20"/>
              </w:rPr>
              <w:t>5.3.3</w:t>
            </w:r>
          </w:p>
        </w:tc>
        <w:tc>
          <w:tcPr>
            <w:tcW w:w="7310" w:type="dxa"/>
            <w:gridSpan w:val="2"/>
          </w:tcPr>
          <w:p w14:paraId="1A975DED" w14:textId="77777777" w:rsidR="003E794A" w:rsidRPr="00F930CA" w:rsidRDefault="003E794A" w:rsidP="00C7298F">
            <w:pPr>
              <w:pStyle w:val="BodyText2"/>
              <w:spacing w:line="240" w:lineRule="auto"/>
              <w:rPr>
                <w:sz w:val="20"/>
                <w:szCs w:val="20"/>
              </w:rPr>
            </w:pPr>
            <w:r w:rsidRPr="00F930CA">
              <w:rPr>
                <w:sz w:val="20"/>
                <w:szCs w:val="20"/>
              </w:rPr>
              <w:t>Add 2 µl of LABScreen beads to each test well of a V bottom plate using a multichannel dispenser.</w:t>
            </w:r>
          </w:p>
        </w:tc>
      </w:tr>
      <w:tr w:rsidR="003E794A" w:rsidRPr="00F930CA" w14:paraId="6DFC0D97" w14:textId="77777777" w:rsidTr="00EB24E0">
        <w:trPr>
          <w:cantSplit/>
          <w:trHeight w:val="601"/>
        </w:trPr>
        <w:tc>
          <w:tcPr>
            <w:tcW w:w="740" w:type="dxa"/>
          </w:tcPr>
          <w:p w14:paraId="2948E272" w14:textId="77777777" w:rsidR="003E794A" w:rsidRPr="00F930CA" w:rsidRDefault="003E794A" w:rsidP="00C7298F">
            <w:pPr>
              <w:spacing w:before="60"/>
              <w:rPr>
                <w:color w:val="000000"/>
                <w:sz w:val="20"/>
                <w:szCs w:val="20"/>
              </w:rPr>
            </w:pPr>
          </w:p>
        </w:tc>
        <w:tc>
          <w:tcPr>
            <w:tcW w:w="721" w:type="dxa"/>
          </w:tcPr>
          <w:p w14:paraId="6C23EA28" w14:textId="77777777" w:rsidR="003E794A" w:rsidRPr="00F930CA" w:rsidRDefault="003E794A" w:rsidP="00C7298F">
            <w:pPr>
              <w:spacing w:before="60"/>
              <w:rPr>
                <w:color w:val="000000"/>
                <w:sz w:val="20"/>
                <w:szCs w:val="20"/>
              </w:rPr>
            </w:pPr>
          </w:p>
        </w:tc>
        <w:tc>
          <w:tcPr>
            <w:tcW w:w="885" w:type="dxa"/>
            <w:gridSpan w:val="3"/>
          </w:tcPr>
          <w:p w14:paraId="38DAE9F5" w14:textId="77777777" w:rsidR="003E794A" w:rsidRPr="00F930CA" w:rsidRDefault="003E794A" w:rsidP="00C7298F">
            <w:pPr>
              <w:pStyle w:val="BodyText2"/>
              <w:spacing w:line="240" w:lineRule="auto"/>
              <w:rPr>
                <w:sz w:val="20"/>
                <w:szCs w:val="20"/>
              </w:rPr>
            </w:pPr>
            <w:r w:rsidRPr="00F930CA">
              <w:rPr>
                <w:sz w:val="20"/>
                <w:szCs w:val="20"/>
              </w:rPr>
              <w:t>5.3.4</w:t>
            </w:r>
          </w:p>
        </w:tc>
        <w:tc>
          <w:tcPr>
            <w:tcW w:w="7310" w:type="dxa"/>
            <w:gridSpan w:val="2"/>
          </w:tcPr>
          <w:p w14:paraId="414E255C" w14:textId="77777777" w:rsidR="003E794A" w:rsidRPr="00F930CA" w:rsidRDefault="003E794A" w:rsidP="00C7298F">
            <w:pPr>
              <w:pStyle w:val="BodyText2"/>
              <w:spacing w:line="240" w:lineRule="auto"/>
              <w:rPr>
                <w:sz w:val="20"/>
                <w:szCs w:val="20"/>
              </w:rPr>
            </w:pPr>
            <w:r w:rsidRPr="00F930CA">
              <w:rPr>
                <w:sz w:val="20"/>
                <w:szCs w:val="20"/>
              </w:rPr>
              <w:t>Add 8 µl of each test serum into the corresponding well and mix.  Wrap in foil and incubate for 30 minutes at room temperature (20-24</w:t>
            </w:r>
            <w:r w:rsidRPr="00F930CA">
              <w:rPr>
                <w:sz w:val="20"/>
                <w:szCs w:val="20"/>
              </w:rPr>
              <w:sym w:font="Symbol" w:char="F0B0"/>
            </w:r>
            <w:r w:rsidRPr="00F930CA">
              <w:rPr>
                <w:sz w:val="20"/>
                <w:szCs w:val="20"/>
              </w:rPr>
              <w:t>C) on the orbital mixer.</w:t>
            </w:r>
          </w:p>
        </w:tc>
      </w:tr>
      <w:tr w:rsidR="003E794A" w:rsidRPr="00F930CA" w14:paraId="5D2B6273" w14:textId="77777777" w:rsidTr="00EB24E0">
        <w:trPr>
          <w:cantSplit/>
          <w:trHeight w:val="601"/>
        </w:trPr>
        <w:tc>
          <w:tcPr>
            <w:tcW w:w="740" w:type="dxa"/>
          </w:tcPr>
          <w:p w14:paraId="79A24B85" w14:textId="77777777" w:rsidR="003E794A" w:rsidRPr="00F930CA" w:rsidRDefault="003E794A" w:rsidP="00C7298F">
            <w:pPr>
              <w:spacing w:before="60"/>
              <w:rPr>
                <w:color w:val="000000"/>
                <w:sz w:val="20"/>
                <w:szCs w:val="20"/>
              </w:rPr>
            </w:pPr>
          </w:p>
        </w:tc>
        <w:tc>
          <w:tcPr>
            <w:tcW w:w="721" w:type="dxa"/>
          </w:tcPr>
          <w:p w14:paraId="62381C49" w14:textId="77777777" w:rsidR="003E794A" w:rsidRPr="00F930CA" w:rsidRDefault="003E794A" w:rsidP="00C7298F">
            <w:pPr>
              <w:spacing w:before="60"/>
              <w:rPr>
                <w:color w:val="000000"/>
                <w:sz w:val="20"/>
                <w:szCs w:val="20"/>
              </w:rPr>
            </w:pPr>
          </w:p>
        </w:tc>
        <w:tc>
          <w:tcPr>
            <w:tcW w:w="885" w:type="dxa"/>
            <w:gridSpan w:val="3"/>
          </w:tcPr>
          <w:p w14:paraId="1DA1F6CF" w14:textId="77777777" w:rsidR="003E794A" w:rsidRPr="00F930CA" w:rsidRDefault="003E794A" w:rsidP="00C7298F">
            <w:pPr>
              <w:pStyle w:val="BodyText2"/>
              <w:spacing w:line="240" w:lineRule="auto"/>
              <w:rPr>
                <w:sz w:val="20"/>
                <w:szCs w:val="20"/>
              </w:rPr>
            </w:pPr>
            <w:r w:rsidRPr="00F930CA">
              <w:rPr>
                <w:sz w:val="20"/>
                <w:szCs w:val="20"/>
              </w:rPr>
              <w:t>5.3.5</w:t>
            </w:r>
          </w:p>
        </w:tc>
        <w:tc>
          <w:tcPr>
            <w:tcW w:w="7310" w:type="dxa"/>
            <w:gridSpan w:val="2"/>
          </w:tcPr>
          <w:p w14:paraId="69863851" w14:textId="77777777" w:rsidR="003E794A" w:rsidRPr="00F930CA" w:rsidRDefault="003E794A" w:rsidP="00C7298F">
            <w:pPr>
              <w:pStyle w:val="BodyText2"/>
              <w:spacing w:line="240" w:lineRule="auto"/>
              <w:rPr>
                <w:sz w:val="20"/>
                <w:szCs w:val="20"/>
              </w:rPr>
            </w:pPr>
            <w:r w:rsidRPr="00F930CA">
              <w:rPr>
                <w:sz w:val="20"/>
                <w:szCs w:val="20"/>
              </w:rPr>
              <w:t>Dilute the IgG/PE conjugate.  Calculate the amount of conjugate required to add 100</w:t>
            </w:r>
            <w:r w:rsidRPr="00F930CA">
              <w:rPr>
                <w:sz w:val="20"/>
                <w:szCs w:val="20"/>
              </w:rPr>
              <w:sym w:font="Symbol" w:char="F06D"/>
            </w:r>
            <w:r w:rsidRPr="00F930CA">
              <w:rPr>
                <w:sz w:val="20"/>
                <w:szCs w:val="20"/>
              </w:rPr>
              <w:t>l to each well plus three wells extra (with each well requiring 1</w:t>
            </w:r>
            <w:r w:rsidRPr="00F930CA">
              <w:rPr>
                <w:sz w:val="20"/>
                <w:szCs w:val="20"/>
              </w:rPr>
              <w:sym w:font="Symbol" w:char="F06D"/>
            </w:r>
            <w:r w:rsidRPr="00F930CA">
              <w:rPr>
                <w:sz w:val="20"/>
                <w:szCs w:val="20"/>
              </w:rPr>
              <w:t>l of conjugate diluted in 99</w:t>
            </w:r>
            <w:r w:rsidRPr="00F930CA">
              <w:rPr>
                <w:sz w:val="20"/>
                <w:szCs w:val="20"/>
              </w:rPr>
              <w:sym w:font="Symbol" w:char="F06D"/>
            </w:r>
            <w:r w:rsidRPr="00F930CA">
              <w:rPr>
                <w:sz w:val="20"/>
                <w:szCs w:val="20"/>
              </w:rPr>
              <w:t>l of wash buffer). Mix conjugate by pipetting.  Cap the tube and wrap completely in foil to protect from the light.  Store at room temperature until use.</w:t>
            </w:r>
          </w:p>
        </w:tc>
      </w:tr>
      <w:tr w:rsidR="003E794A" w:rsidRPr="00F930CA" w14:paraId="6F9DD47D" w14:textId="77777777" w:rsidTr="00EB24E0">
        <w:trPr>
          <w:cantSplit/>
          <w:trHeight w:val="601"/>
        </w:trPr>
        <w:tc>
          <w:tcPr>
            <w:tcW w:w="740" w:type="dxa"/>
          </w:tcPr>
          <w:p w14:paraId="646CCC9D" w14:textId="77777777" w:rsidR="003E794A" w:rsidRPr="00F930CA" w:rsidRDefault="003E794A" w:rsidP="00C7298F">
            <w:pPr>
              <w:spacing w:before="60"/>
              <w:rPr>
                <w:color w:val="000000"/>
                <w:sz w:val="20"/>
                <w:szCs w:val="20"/>
              </w:rPr>
            </w:pPr>
          </w:p>
        </w:tc>
        <w:tc>
          <w:tcPr>
            <w:tcW w:w="721" w:type="dxa"/>
          </w:tcPr>
          <w:p w14:paraId="3CF28006" w14:textId="77777777" w:rsidR="003E794A" w:rsidRPr="00F930CA" w:rsidRDefault="003E794A" w:rsidP="00C7298F">
            <w:pPr>
              <w:spacing w:before="60"/>
              <w:rPr>
                <w:color w:val="000000"/>
                <w:sz w:val="20"/>
                <w:szCs w:val="20"/>
              </w:rPr>
            </w:pPr>
          </w:p>
        </w:tc>
        <w:tc>
          <w:tcPr>
            <w:tcW w:w="885" w:type="dxa"/>
            <w:gridSpan w:val="3"/>
          </w:tcPr>
          <w:p w14:paraId="3E26299E" w14:textId="77777777" w:rsidR="003E794A" w:rsidRPr="00F930CA" w:rsidRDefault="003E794A" w:rsidP="00C7298F">
            <w:pPr>
              <w:pStyle w:val="BodyText2"/>
              <w:spacing w:line="240" w:lineRule="auto"/>
              <w:rPr>
                <w:sz w:val="20"/>
                <w:szCs w:val="20"/>
              </w:rPr>
            </w:pPr>
            <w:r w:rsidRPr="00F930CA">
              <w:rPr>
                <w:sz w:val="20"/>
                <w:szCs w:val="20"/>
              </w:rPr>
              <w:t>5.3.6</w:t>
            </w:r>
          </w:p>
        </w:tc>
        <w:tc>
          <w:tcPr>
            <w:tcW w:w="7310" w:type="dxa"/>
            <w:gridSpan w:val="2"/>
          </w:tcPr>
          <w:p w14:paraId="59175828" w14:textId="77777777" w:rsidR="003E794A" w:rsidRPr="00F930CA" w:rsidRDefault="003E794A" w:rsidP="00C7298F">
            <w:pPr>
              <w:pStyle w:val="BodyText2"/>
              <w:spacing w:line="240" w:lineRule="auto"/>
              <w:rPr>
                <w:sz w:val="20"/>
                <w:szCs w:val="20"/>
              </w:rPr>
            </w:pPr>
            <w:r w:rsidRPr="00F930CA">
              <w:rPr>
                <w:sz w:val="20"/>
                <w:szCs w:val="20"/>
              </w:rPr>
              <w:t>Following incubation add 230 µl of diluted (1X) wash buffer to each well of the plate.  Cover with tray seal and vortex.  Centrifuge at 1300g for 5 minutes.</w:t>
            </w:r>
          </w:p>
        </w:tc>
      </w:tr>
      <w:tr w:rsidR="003E794A" w:rsidRPr="00F930CA" w14:paraId="68525102" w14:textId="77777777" w:rsidTr="00EB24E0">
        <w:trPr>
          <w:cantSplit/>
          <w:trHeight w:val="601"/>
        </w:trPr>
        <w:tc>
          <w:tcPr>
            <w:tcW w:w="740" w:type="dxa"/>
          </w:tcPr>
          <w:p w14:paraId="14EDB713" w14:textId="77777777" w:rsidR="003E794A" w:rsidRPr="00F930CA" w:rsidRDefault="003E794A" w:rsidP="00C7298F">
            <w:pPr>
              <w:spacing w:before="60"/>
              <w:rPr>
                <w:color w:val="000000"/>
                <w:sz w:val="20"/>
                <w:szCs w:val="20"/>
              </w:rPr>
            </w:pPr>
          </w:p>
        </w:tc>
        <w:tc>
          <w:tcPr>
            <w:tcW w:w="721" w:type="dxa"/>
          </w:tcPr>
          <w:p w14:paraId="7E950A86" w14:textId="77777777" w:rsidR="003E794A" w:rsidRPr="00F930CA" w:rsidRDefault="003E794A" w:rsidP="00C7298F">
            <w:pPr>
              <w:spacing w:before="60"/>
              <w:rPr>
                <w:color w:val="000000"/>
                <w:sz w:val="20"/>
                <w:szCs w:val="20"/>
              </w:rPr>
            </w:pPr>
          </w:p>
        </w:tc>
        <w:tc>
          <w:tcPr>
            <w:tcW w:w="885" w:type="dxa"/>
            <w:gridSpan w:val="3"/>
          </w:tcPr>
          <w:p w14:paraId="36C1A07B" w14:textId="77777777" w:rsidR="003E794A" w:rsidRPr="00F930CA" w:rsidRDefault="003E794A" w:rsidP="00C7298F">
            <w:pPr>
              <w:pStyle w:val="BodyText2"/>
              <w:spacing w:line="240" w:lineRule="auto"/>
              <w:rPr>
                <w:sz w:val="20"/>
                <w:szCs w:val="20"/>
              </w:rPr>
            </w:pPr>
            <w:r w:rsidRPr="00F930CA">
              <w:rPr>
                <w:sz w:val="20"/>
                <w:szCs w:val="20"/>
              </w:rPr>
              <w:t>5.3.7</w:t>
            </w:r>
          </w:p>
        </w:tc>
        <w:tc>
          <w:tcPr>
            <w:tcW w:w="7310" w:type="dxa"/>
            <w:gridSpan w:val="2"/>
          </w:tcPr>
          <w:p w14:paraId="3D365471" w14:textId="77777777" w:rsidR="003E794A" w:rsidRPr="00F930CA" w:rsidRDefault="003E794A" w:rsidP="00C7298F">
            <w:pPr>
              <w:pStyle w:val="BodyText2"/>
              <w:spacing w:line="240" w:lineRule="auto"/>
              <w:rPr>
                <w:sz w:val="20"/>
                <w:szCs w:val="20"/>
              </w:rPr>
            </w:pPr>
            <w:r w:rsidRPr="00F930CA">
              <w:rPr>
                <w:sz w:val="20"/>
                <w:szCs w:val="20"/>
              </w:rPr>
              <w:t>Remove wash buffer from wells of plate by flicking and then blotting on absorbent paper, ensuring the plate is not re-inverted between the two actions.</w:t>
            </w:r>
          </w:p>
        </w:tc>
      </w:tr>
      <w:tr w:rsidR="003E794A" w:rsidRPr="00F930CA" w14:paraId="16F4F417" w14:textId="77777777" w:rsidTr="00EB24E0">
        <w:trPr>
          <w:cantSplit/>
          <w:trHeight w:val="601"/>
        </w:trPr>
        <w:tc>
          <w:tcPr>
            <w:tcW w:w="740" w:type="dxa"/>
          </w:tcPr>
          <w:p w14:paraId="38FAB163" w14:textId="77777777" w:rsidR="003E794A" w:rsidRPr="00F930CA" w:rsidRDefault="003E794A" w:rsidP="00C7298F">
            <w:pPr>
              <w:spacing w:before="60"/>
              <w:rPr>
                <w:color w:val="000000"/>
                <w:sz w:val="20"/>
                <w:szCs w:val="20"/>
              </w:rPr>
            </w:pPr>
          </w:p>
        </w:tc>
        <w:tc>
          <w:tcPr>
            <w:tcW w:w="721" w:type="dxa"/>
          </w:tcPr>
          <w:p w14:paraId="0473FFE1" w14:textId="77777777" w:rsidR="003E794A" w:rsidRPr="00F930CA" w:rsidRDefault="003E794A" w:rsidP="00C7298F">
            <w:pPr>
              <w:spacing w:before="60"/>
              <w:rPr>
                <w:color w:val="000000"/>
                <w:sz w:val="20"/>
                <w:szCs w:val="20"/>
              </w:rPr>
            </w:pPr>
          </w:p>
        </w:tc>
        <w:tc>
          <w:tcPr>
            <w:tcW w:w="885" w:type="dxa"/>
            <w:gridSpan w:val="3"/>
          </w:tcPr>
          <w:p w14:paraId="712C1734" w14:textId="77777777" w:rsidR="003E794A" w:rsidRPr="00F930CA" w:rsidRDefault="003E794A" w:rsidP="00C7298F">
            <w:pPr>
              <w:pStyle w:val="BodyText2"/>
              <w:spacing w:line="240" w:lineRule="auto"/>
              <w:rPr>
                <w:sz w:val="20"/>
                <w:szCs w:val="20"/>
              </w:rPr>
            </w:pPr>
            <w:r w:rsidRPr="00F930CA">
              <w:rPr>
                <w:sz w:val="20"/>
                <w:szCs w:val="20"/>
              </w:rPr>
              <w:t>5.3.8</w:t>
            </w:r>
          </w:p>
        </w:tc>
        <w:tc>
          <w:tcPr>
            <w:tcW w:w="7310" w:type="dxa"/>
            <w:gridSpan w:val="2"/>
          </w:tcPr>
          <w:p w14:paraId="43831622" w14:textId="77777777" w:rsidR="003E794A" w:rsidRPr="00F930CA" w:rsidRDefault="003E794A" w:rsidP="00C7298F">
            <w:pPr>
              <w:pStyle w:val="BodyText2"/>
              <w:spacing w:line="240" w:lineRule="auto"/>
              <w:rPr>
                <w:sz w:val="20"/>
                <w:szCs w:val="20"/>
              </w:rPr>
            </w:pPr>
            <w:r w:rsidRPr="00F930CA">
              <w:rPr>
                <w:sz w:val="20"/>
                <w:szCs w:val="20"/>
              </w:rPr>
              <w:t>Repeat steps 5.3.6 and 5.3.7 twice to give a total of 3 washes.</w:t>
            </w:r>
          </w:p>
        </w:tc>
      </w:tr>
      <w:tr w:rsidR="003E794A" w:rsidRPr="00F930CA" w14:paraId="6595E580" w14:textId="77777777" w:rsidTr="00EB24E0">
        <w:trPr>
          <w:cantSplit/>
          <w:trHeight w:val="601"/>
        </w:trPr>
        <w:tc>
          <w:tcPr>
            <w:tcW w:w="740" w:type="dxa"/>
          </w:tcPr>
          <w:p w14:paraId="4E44D2BF" w14:textId="77777777" w:rsidR="003E794A" w:rsidRPr="00F930CA" w:rsidRDefault="003E794A" w:rsidP="00C7298F">
            <w:pPr>
              <w:spacing w:before="60"/>
              <w:rPr>
                <w:color w:val="000000"/>
                <w:sz w:val="20"/>
                <w:szCs w:val="20"/>
              </w:rPr>
            </w:pPr>
          </w:p>
        </w:tc>
        <w:tc>
          <w:tcPr>
            <w:tcW w:w="721" w:type="dxa"/>
          </w:tcPr>
          <w:p w14:paraId="4155D2A9" w14:textId="77777777" w:rsidR="003E794A" w:rsidRPr="00F930CA" w:rsidRDefault="003E794A" w:rsidP="00C7298F">
            <w:pPr>
              <w:spacing w:before="60"/>
              <w:rPr>
                <w:color w:val="000000"/>
                <w:sz w:val="20"/>
                <w:szCs w:val="20"/>
              </w:rPr>
            </w:pPr>
          </w:p>
        </w:tc>
        <w:tc>
          <w:tcPr>
            <w:tcW w:w="885" w:type="dxa"/>
            <w:gridSpan w:val="3"/>
          </w:tcPr>
          <w:p w14:paraId="147F7F1B" w14:textId="77777777" w:rsidR="003E794A" w:rsidRPr="00F930CA" w:rsidRDefault="003E794A" w:rsidP="00C7298F">
            <w:pPr>
              <w:pStyle w:val="BodyText2"/>
              <w:spacing w:line="240" w:lineRule="auto"/>
              <w:rPr>
                <w:sz w:val="20"/>
                <w:szCs w:val="20"/>
              </w:rPr>
            </w:pPr>
            <w:r w:rsidRPr="00F930CA">
              <w:rPr>
                <w:sz w:val="20"/>
                <w:szCs w:val="20"/>
              </w:rPr>
              <w:t>5.3.9</w:t>
            </w:r>
          </w:p>
        </w:tc>
        <w:tc>
          <w:tcPr>
            <w:tcW w:w="7310" w:type="dxa"/>
            <w:gridSpan w:val="2"/>
          </w:tcPr>
          <w:p w14:paraId="7A3BDCE3" w14:textId="77777777" w:rsidR="003E794A" w:rsidRPr="00F930CA" w:rsidRDefault="003E794A" w:rsidP="00C7298F">
            <w:pPr>
              <w:pStyle w:val="BodyText2"/>
              <w:spacing w:line="240" w:lineRule="auto"/>
              <w:rPr>
                <w:sz w:val="20"/>
                <w:szCs w:val="20"/>
              </w:rPr>
            </w:pPr>
            <w:r w:rsidRPr="00F930CA">
              <w:rPr>
                <w:sz w:val="20"/>
                <w:szCs w:val="20"/>
              </w:rPr>
              <w:t>Add 100 µl of previously diluted PE conjugate to each well.  Cover with plate seal and vortex.  Wrap in foil and incubate for 30 minutes at room temperature (20-24</w:t>
            </w:r>
            <w:r w:rsidRPr="00F930CA">
              <w:rPr>
                <w:sz w:val="20"/>
                <w:szCs w:val="20"/>
              </w:rPr>
              <w:sym w:font="Symbol" w:char="F0B0"/>
            </w:r>
            <w:r w:rsidRPr="00F930CA">
              <w:rPr>
                <w:sz w:val="20"/>
                <w:szCs w:val="20"/>
              </w:rPr>
              <w:t>C) on the orbital mixer.</w:t>
            </w:r>
          </w:p>
        </w:tc>
      </w:tr>
      <w:tr w:rsidR="003E794A" w:rsidRPr="00F930CA" w14:paraId="6EE02BFE" w14:textId="77777777" w:rsidTr="00EB24E0">
        <w:trPr>
          <w:cantSplit/>
          <w:trHeight w:val="601"/>
        </w:trPr>
        <w:tc>
          <w:tcPr>
            <w:tcW w:w="740" w:type="dxa"/>
          </w:tcPr>
          <w:p w14:paraId="42925536" w14:textId="77777777" w:rsidR="003E794A" w:rsidRPr="00F930CA" w:rsidRDefault="003E794A" w:rsidP="00C7298F">
            <w:pPr>
              <w:spacing w:before="60"/>
              <w:rPr>
                <w:color w:val="000000"/>
                <w:sz w:val="20"/>
                <w:szCs w:val="20"/>
              </w:rPr>
            </w:pPr>
          </w:p>
        </w:tc>
        <w:tc>
          <w:tcPr>
            <w:tcW w:w="721" w:type="dxa"/>
          </w:tcPr>
          <w:p w14:paraId="02DBE02C" w14:textId="77777777" w:rsidR="003E794A" w:rsidRPr="00F930CA" w:rsidRDefault="003E794A" w:rsidP="00C7298F">
            <w:pPr>
              <w:spacing w:before="60"/>
              <w:rPr>
                <w:color w:val="000000"/>
                <w:sz w:val="20"/>
                <w:szCs w:val="20"/>
              </w:rPr>
            </w:pPr>
          </w:p>
        </w:tc>
        <w:tc>
          <w:tcPr>
            <w:tcW w:w="885" w:type="dxa"/>
            <w:gridSpan w:val="3"/>
          </w:tcPr>
          <w:p w14:paraId="4833AC82" w14:textId="77777777" w:rsidR="003E794A" w:rsidRPr="00F930CA" w:rsidRDefault="003E794A" w:rsidP="00C7298F">
            <w:pPr>
              <w:pStyle w:val="BodyText2"/>
              <w:spacing w:line="240" w:lineRule="auto"/>
              <w:rPr>
                <w:sz w:val="20"/>
                <w:szCs w:val="20"/>
              </w:rPr>
            </w:pPr>
            <w:r w:rsidRPr="00F930CA">
              <w:rPr>
                <w:sz w:val="20"/>
                <w:szCs w:val="20"/>
              </w:rPr>
              <w:t>5.3.10</w:t>
            </w:r>
          </w:p>
        </w:tc>
        <w:tc>
          <w:tcPr>
            <w:tcW w:w="7310" w:type="dxa"/>
            <w:gridSpan w:val="2"/>
          </w:tcPr>
          <w:p w14:paraId="016DDDBC" w14:textId="77777777" w:rsidR="003E794A" w:rsidRPr="00F930CA" w:rsidRDefault="003E794A" w:rsidP="00C7298F">
            <w:pPr>
              <w:pStyle w:val="BodyText2"/>
              <w:spacing w:line="240" w:lineRule="auto"/>
              <w:rPr>
                <w:sz w:val="20"/>
                <w:szCs w:val="20"/>
              </w:rPr>
            </w:pPr>
            <w:r w:rsidRPr="00F930CA">
              <w:rPr>
                <w:sz w:val="20"/>
                <w:szCs w:val="20"/>
              </w:rPr>
              <w:t>Centrifuge plate at 1300g for 5 minutes</w:t>
            </w:r>
          </w:p>
        </w:tc>
      </w:tr>
      <w:tr w:rsidR="003E794A" w:rsidRPr="00F930CA" w14:paraId="45C8E8B7" w14:textId="77777777" w:rsidTr="00EB24E0">
        <w:trPr>
          <w:cantSplit/>
          <w:trHeight w:val="601"/>
        </w:trPr>
        <w:tc>
          <w:tcPr>
            <w:tcW w:w="740" w:type="dxa"/>
          </w:tcPr>
          <w:p w14:paraId="2904A00B" w14:textId="77777777" w:rsidR="003E794A" w:rsidRPr="00F930CA" w:rsidRDefault="003E794A" w:rsidP="00C7298F">
            <w:pPr>
              <w:spacing w:before="60"/>
              <w:rPr>
                <w:color w:val="000000"/>
                <w:sz w:val="20"/>
                <w:szCs w:val="20"/>
              </w:rPr>
            </w:pPr>
          </w:p>
        </w:tc>
        <w:tc>
          <w:tcPr>
            <w:tcW w:w="721" w:type="dxa"/>
          </w:tcPr>
          <w:p w14:paraId="317C9340" w14:textId="77777777" w:rsidR="003E794A" w:rsidRPr="00F930CA" w:rsidRDefault="003E794A" w:rsidP="00C7298F">
            <w:pPr>
              <w:spacing w:before="60"/>
              <w:rPr>
                <w:color w:val="000000"/>
                <w:sz w:val="20"/>
                <w:szCs w:val="20"/>
              </w:rPr>
            </w:pPr>
          </w:p>
        </w:tc>
        <w:tc>
          <w:tcPr>
            <w:tcW w:w="885" w:type="dxa"/>
            <w:gridSpan w:val="3"/>
          </w:tcPr>
          <w:p w14:paraId="1329BC25" w14:textId="77777777" w:rsidR="003E794A" w:rsidRPr="00F930CA" w:rsidRDefault="003E794A" w:rsidP="00C7298F">
            <w:pPr>
              <w:pStyle w:val="BodyText2"/>
              <w:spacing w:line="240" w:lineRule="auto"/>
              <w:rPr>
                <w:sz w:val="20"/>
                <w:szCs w:val="20"/>
              </w:rPr>
            </w:pPr>
            <w:r w:rsidRPr="00F930CA">
              <w:rPr>
                <w:sz w:val="20"/>
                <w:szCs w:val="20"/>
              </w:rPr>
              <w:t>5.3.11</w:t>
            </w:r>
          </w:p>
        </w:tc>
        <w:tc>
          <w:tcPr>
            <w:tcW w:w="7310" w:type="dxa"/>
            <w:gridSpan w:val="2"/>
          </w:tcPr>
          <w:p w14:paraId="43238C44" w14:textId="77777777" w:rsidR="003E794A" w:rsidRPr="00F930CA" w:rsidRDefault="003E794A" w:rsidP="00C7298F">
            <w:pPr>
              <w:pStyle w:val="BodyText2"/>
              <w:spacing w:line="240" w:lineRule="auto"/>
              <w:rPr>
                <w:sz w:val="20"/>
                <w:szCs w:val="20"/>
              </w:rPr>
            </w:pPr>
            <w:r w:rsidRPr="00F930CA">
              <w:rPr>
                <w:sz w:val="20"/>
                <w:szCs w:val="20"/>
              </w:rPr>
              <w:t>Add 150ul wash buffer, cover with seal and vortex. Centrifuge at 1300g for 5 minutes. Repeat wash steps 5.3.6 – 5.3.7 twice to give a total of 3 washes.</w:t>
            </w:r>
          </w:p>
        </w:tc>
      </w:tr>
      <w:tr w:rsidR="003E794A" w:rsidRPr="00F930CA" w14:paraId="32B70BFA" w14:textId="77777777" w:rsidTr="00EB24E0">
        <w:trPr>
          <w:cantSplit/>
          <w:trHeight w:val="601"/>
        </w:trPr>
        <w:tc>
          <w:tcPr>
            <w:tcW w:w="740" w:type="dxa"/>
          </w:tcPr>
          <w:p w14:paraId="4794906B" w14:textId="77777777" w:rsidR="003E794A" w:rsidRPr="00F930CA" w:rsidRDefault="003E794A" w:rsidP="00C7298F">
            <w:pPr>
              <w:spacing w:before="60"/>
              <w:rPr>
                <w:color w:val="000000"/>
                <w:sz w:val="20"/>
                <w:szCs w:val="20"/>
              </w:rPr>
            </w:pPr>
          </w:p>
        </w:tc>
        <w:tc>
          <w:tcPr>
            <w:tcW w:w="721" w:type="dxa"/>
          </w:tcPr>
          <w:p w14:paraId="29752DD7" w14:textId="77777777" w:rsidR="003E794A" w:rsidRPr="00F930CA" w:rsidRDefault="003E794A" w:rsidP="00C7298F">
            <w:pPr>
              <w:spacing w:before="60"/>
              <w:rPr>
                <w:color w:val="000000"/>
                <w:sz w:val="20"/>
                <w:szCs w:val="20"/>
              </w:rPr>
            </w:pPr>
          </w:p>
        </w:tc>
        <w:tc>
          <w:tcPr>
            <w:tcW w:w="885" w:type="dxa"/>
            <w:gridSpan w:val="3"/>
          </w:tcPr>
          <w:p w14:paraId="0F6C6A33" w14:textId="77777777" w:rsidR="003E794A" w:rsidRPr="00F930CA" w:rsidRDefault="003E794A" w:rsidP="00C7298F">
            <w:pPr>
              <w:pStyle w:val="BodyText2"/>
              <w:spacing w:line="240" w:lineRule="auto"/>
              <w:rPr>
                <w:sz w:val="20"/>
                <w:szCs w:val="20"/>
              </w:rPr>
            </w:pPr>
            <w:r w:rsidRPr="00F930CA">
              <w:rPr>
                <w:sz w:val="20"/>
                <w:szCs w:val="20"/>
              </w:rPr>
              <w:t>5.3.12</w:t>
            </w:r>
          </w:p>
        </w:tc>
        <w:tc>
          <w:tcPr>
            <w:tcW w:w="7310" w:type="dxa"/>
            <w:gridSpan w:val="2"/>
          </w:tcPr>
          <w:p w14:paraId="4D32D8E1" w14:textId="77777777" w:rsidR="003E794A" w:rsidRPr="00F930CA" w:rsidRDefault="003E794A" w:rsidP="00C7298F">
            <w:pPr>
              <w:pStyle w:val="BodyText2"/>
              <w:spacing w:line="240" w:lineRule="auto"/>
              <w:rPr>
                <w:sz w:val="20"/>
                <w:szCs w:val="20"/>
              </w:rPr>
            </w:pPr>
            <w:r w:rsidRPr="00F930CA">
              <w:rPr>
                <w:sz w:val="20"/>
                <w:szCs w:val="20"/>
              </w:rPr>
              <w:t>Add 80 µl of wash buffer to each well and re-suspend beads by pipetting up and down.  Then transfer the beads to their corresponding positions in a low profile 96 well PCR tray.  The samples are ready for data acquisition.</w:t>
            </w:r>
          </w:p>
        </w:tc>
      </w:tr>
      <w:tr w:rsidR="003E794A" w:rsidRPr="00F930CA" w14:paraId="5D389855" w14:textId="77777777" w:rsidTr="00EB24E0">
        <w:trPr>
          <w:cantSplit/>
          <w:trHeight w:val="386"/>
        </w:trPr>
        <w:tc>
          <w:tcPr>
            <w:tcW w:w="740" w:type="dxa"/>
          </w:tcPr>
          <w:p w14:paraId="3353404D" w14:textId="77777777" w:rsidR="003E794A" w:rsidRPr="00F930CA" w:rsidRDefault="003E794A" w:rsidP="00C7298F">
            <w:pPr>
              <w:spacing w:before="60"/>
              <w:rPr>
                <w:color w:val="000000"/>
                <w:sz w:val="20"/>
                <w:szCs w:val="20"/>
              </w:rPr>
            </w:pPr>
          </w:p>
        </w:tc>
        <w:tc>
          <w:tcPr>
            <w:tcW w:w="721" w:type="dxa"/>
          </w:tcPr>
          <w:p w14:paraId="1BD69295" w14:textId="77777777" w:rsidR="003E794A" w:rsidRPr="00F930CA" w:rsidRDefault="003E794A" w:rsidP="00C7298F">
            <w:pPr>
              <w:spacing w:before="60"/>
              <w:rPr>
                <w:color w:val="000000"/>
                <w:sz w:val="20"/>
                <w:szCs w:val="20"/>
              </w:rPr>
            </w:pPr>
            <w:r w:rsidRPr="00F930CA">
              <w:rPr>
                <w:color w:val="000000"/>
                <w:sz w:val="20"/>
                <w:szCs w:val="20"/>
              </w:rPr>
              <w:t>5.4</w:t>
            </w:r>
          </w:p>
        </w:tc>
        <w:tc>
          <w:tcPr>
            <w:tcW w:w="8195" w:type="dxa"/>
            <w:gridSpan w:val="5"/>
            <w:vAlign w:val="center"/>
          </w:tcPr>
          <w:p w14:paraId="11C211FC" w14:textId="77777777" w:rsidR="003E794A" w:rsidRPr="00F930CA" w:rsidRDefault="003E794A" w:rsidP="00C7298F">
            <w:pPr>
              <w:pStyle w:val="Header"/>
              <w:rPr>
                <w:color w:val="000000"/>
                <w:sz w:val="20"/>
                <w:szCs w:val="20"/>
              </w:rPr>
            </w:pPr>
            <w:r w:rsidRPr="00F930CA">
              <w:rPr>
                <w:color w:val="000000"/>
                <w:sz w:val="20"/>
                <w:szCs w:val="20"/>
              </w:rPr>
              <w:t>Collecting data using the Luminex Analyser</w:t>
            </w:r>
          </w:p>
        </w:tc>
      </w:tr>
      <w:tr w:rsidR="003E794A" w:rsidRPr="00F930CA" w14:paraId="27037128" w14:textId="77777777" w:rsidTr="00EB24E0">
        <w:trPr>
          <w:cantSplit/>
          <w:trHeight w:val="439"/>
        </w:trPr>
        <w:tc>
          <w:tcPr>
            <w:tcW w:w="740" w:type="dxa"/>
          </w:tcPr>
          <w:p w14:paraId="5F38E006" w14:textId="77777777" w:rsidR="003E794A" w:rsidRPr="00F930CA" w:rsidRDefault="003E794A" w:rsidP="00C7298F">
            <w:pPr>
              <w:spacing w:before="60"/>
              <w:rPr>
                <w:color w:val="000000"/>
                <w:sz w:val="20"/>
                <w:szCs w:val="20"/>
              </w:rPr>
            </w:pPr>
          </w:p>
        </w:tc>
        <w:tc>
          <w:tcPr>
            <w:tcW w:w="721" w:type="dxa"/>
          </w:tcPr>
          <w:p w14:paraId="23F73CA5" w14:textId="77777777" w:rsidR="003E794A" w:rsidRPr="00F930CA" w:rsidRDefault="003E794A" w:rsidP="00C7298F">
            <w:pPr>
              <w:spacing w:before="60"/>
              <w:rPr>
                <w:color w:val="000000"/>
                <w:sz w:val="20"/>
                <w:szCs w:val="20"/>
              </w:rPr>
            </w:pPr>
          </w:p>
        </w:tc>
        <w:tc>
          <w:tcPr>
            <w:tcW w:w="779" w:type="dxa"/>
          </w:tcPr>
          <w:p w14:paraId="5EDE4016" w14:textId="77777777" w:rsidR="003E794A" w:rsidRPr="00F930CA" w:rsidRDefault="003E794A" w:rsidP="00C7298F">
            <w:pPr>
              <w:spacing w:before="60"/>
              <w:rPr>
                <w:color w:val="000000"/>
                <w:sz w:val="20"/>
                <w:szCs w:val="20"/>
              </w:rPr>
            </w:pPr>
            <w:r w:rsidRPr="00F930CA">
              <w:rPr>
                <w:color w:val="000000"/>
                <w:sz w:val="20"/>
                <w:szCs w:val="20"/>
              </w:rPr>
              <w:t>5.4.1</w:t>
            </w:r>
          </w:p>
        </w:tc>
        <w:tc>
          <w:tcPr>
            <w:tcW w:w="7416" w:type="dxa"/>
            <w:gridSpan w:val="4"/>
          </w:tcPr>
          <w:p w14:paraId="0F4D6409" w14:textId="77777777" w:rsidR="003E794A" w:rsidRPr="00F930CA" w:rsidRDefault="003E794A" w:rsidP="00C7298F">
            <w:pPr>
              <w:pStyle w:val="BodyText2"/>
              <w:spacing w:line="240" w:lineRule="auto"/>
              <w:rPr>
                <w:color w:val="000000"/>
                <w:sz w:val="20"/>
                <w:szCs w:val="20"/>
              </w:rPr>
            </w:pPr>
            <w:r w:rsidRPr="00F930CA">
              <w:rPr>
                <w:sz w:val="20"/>
                <w:szCs w:val="20"/>
              </w:rPr>
              <w:t xml:space="preserve">Set up and calibrate Luminex analyser following local procedure. </w:t>
            </w:r>
          </w:p>
        </w:tc>
      </w:tr>
      <w:tr w:rsidR="003E794A" w:rsidRPr="00F930CA" w14:paraId="26D60657" w14:textId="77777777" w:rsidTr="00EB24E0">
        <w:trPr>
          <w:cantSplit/>
          <w:trHeight w:val="426"/>
        </w:trPr>
        <w:tc>
          <w:tcPr>
            <w:tcW w:w="740" w:type="dxa"/>
          </w:tcPr>
          <w:p w14:paraId="4A18D4BC" w14:textId="77777777" w:rsidR="003E794A" w:rsidRPr="00F930CA" w:rsidRDefault="003E794A" w:rsidP="00C7298F">
            <w:pPr>
              <w:spacing w:before="60"/>
              <w:rPr>
                <w:color w:val="000000"/>
                <w:sz w:val="20"/>
                <w:szCs w:val="20"/>
              </w:rPr>
            </w:pPr>
          </w:p>
        </w:tc>
        <w:tc>
          <w:tcPr>
            <w:tcW w:w="721" w:type="dxa"/>
          </w:tcPr>
          <w:p w14:paraId="35A61BE5" w14:textId="77777777" w:rsidR="003E794A" w:rsidRPr="00F930CA" w:rsidRDefault="003E794A" w:rsidP="00C7298F">
            <w:pPr>
              <w:spacing w:before="60"/>
              <w:rPr>
                <w:color w:val="000000"/>
                <w:sz w:val="20"/>
                <w:szCs w:val="20"/>
              </w:rPr>
            </w:pPr>
          </w:p>
        </w:tc>
        <w:tc>
          <w:tcPr>
            <w:tcW w:w="779" w:type="dxa"/>
          </w:tcPr>
          <w:p w14:paraId="4088F3BD" w14:textId="77777777" w:rsidR="003E794A" w:rsidRPr="00F930CA" w:rsidRDefault="003E794A" w:rsidP="00C7298F">
            <w:pPr>
              <w:spacing w:before="60"/>
              <w:rPr>
                <w:color w:val="000000"/>
                <w:sz w:val="20"/>
                <w:szCs w:val="20"/>
              </w:rPr>
            </w:pPr>
            <w:r w:rsidRPr="00F930CA">
              <w:rPr>
                <w:color w:val="000000"/>
                <w:sz w:val="20"/>
                <w:szCs w:val="20"/>
              </w:rPr>
              <w:t>5.4.2</w:t>
            </w:r>
          </w:p>
        </w:tc>
        <w:tc>
          <w:tcPr>
            <w:tcW w:w="7416" w:type="dxa"/>
            <w:gridSpan w:val="4"/>
          </w:tcPr>
          <w:p w14:paraId="60FB6171" w14:textId="77777777" w:rsidR="003E794A" w:rsidRPr="00F930CA" w:rsidRDefault="003E794A" w:rsidP="00C7298F">
            <w:pPr>
              <w:pStyle w:val="BodyText2"/>
              <w:spacing w:line="240" w:lineRule="auto"/>
              <w:rPr>
                <w:color w:val="000000"/>
                <w:sz w:val="20"/>
                <w:szCs w:val="20"/>
              </w:rPr>
            </w:pPr>
            <w:r w:rsidRPr="00F930CA">
              <w:rPr>
                <w:sz w:val="20"/>
                <w:szCs w:val="20"/>
              </w:rPr>
              <w:t>Create Luminex input file following local procedure.</w:t>
            </w:r>
          </w:p>
        </w:tc>
      </w:tr>
      <w:tr w:rsidR="003E794A" w:rsidRPr="00F930CA" w14:paraId="0376D491" w14:textId="77777777" w:rsidTr="00EB24E0">
        <w:trPr>
          <w:cantSplit/>
          <w:trHeight w:val="632"/>
        </w:trPr>
        <w:tc>
          <w:tcPr>
            <w:tcW w:w="740" w:type="dxa"/>
          </w:tcPr>
          <w:p w14:paraId="7BBE0CB8" w14:textId="77777777" w:rsidR="003E794A" w:rsidRPr="00F930CA" w:rsidRDefault="003E794A" w:rsidP="00C7298F">
            <w:pPr>
              <w:spacing w:before="60"/>
              <w:rPr>
                <w:color w:val="000000"/>
                <w:sz w:val="20"/>
                <w:szCs w:val="20"/>
              </w:rPr>
            </w:pPr>
          </w:p>
        </w:tc>
        <w:tc>
          <w:tcPr>
            <w:tcW w:w="721" w:type="dxa"/>
          </w:tcPr>
          <w:p w14:paraId="44FAFC3C" w14:textId="77777777" w:rsidR="003E794A" w:rsidRPr="00F930CA" w:rsidRDefault="003E794A" w:rsidP="00C7298F">
            <w:pPr>
              <w:spacing w:before="60"/>
              <w:rPr>
                <w:color w:val="000000"/>
                <w:sz w:val="20"/>
                <w:szCs w:val="20"/>
              </w:rPr>
            </w:pPr>
          </w:p>
        </w:tc>
        <w:tc>
          <w:tcPr>
            <w:tcW w:w="779" w:type="dxa"/>
          </w:tcPr>
          <w:p w14:paraId="6BAB5A58" w14:textId="77777777" w:rsidR="003E794A" w:rsidRPr="00F930CA" w:rsidRDefault="003E794A" w:rsidP="00C7298F">
            <w:pPr>
              <w:spacing w:before="60"/>
              <w:rPr>
                <w:color w:val="000000"/>
                <w:sz w:val="20"/>
                <w:szCs w:val="20"/>
              </w:rPr>
            </w:pPr>
            <w:r w:rsidRPr="00F930CA">
              <w:rPr>
                <w:color w:val="000000"/>
                <w:sz w:val="20"/>
                <w:szCs w:val="20"/>
              </w:rPr>
              <w:t>5.4.3</w:t>
            </w:r>
          </w:p>
        </w:tc>
        <w:tc>
          <w:tcPr>
            <w:tcW w:w="7416" w:type="dxa"/>
            <w:gridSpan w:val="4"/>
          </w:tcPr>
          <w:p w14:paraId="27B5C5ED" w14:textId="77777777" w:rsidR="003E794A" w:rsidRPr="00F930CA" w:rsidRDefault="003E794A" w:rsidP="00C7298F">
            <w:pPr>
              <w:pStyle w:val="BodyText2"/>
              <w:spacing w:line="240" w:lineRule="auto"/>
              <w:rPr>
                <w:color w:val="000000"/>
                <w:sz w:val="20"/>
                <w:szCs w:val="20"/>
              </w:rPr>
            </w:pPr>
            <w:r w:rsidRPr="00F930CA">
              <w:rPr>
                <w:sz w:val="20"/>
                <w:szCs w:val="20"/>
              </w:rPr>
              <w:t>Load the patient data and create a batch on the Luminex system following local procedure.</w:t>
            </w:r>
          </w:p>
        </w:tc>
      </w:tr>
      <w:tr w:rsidR="003E794A" w:rsidRPr="00F930CA" w14:paraId="362CA663" w14:textId="77777777" w:rsidTr="00EB24E0">
        <w:trPr>
          <w:cantSplit/>
          <w:trHeight w:val="426"/>
        </w:trPr>
        <w:tc>
          <w:tcPr>
            <w:tcW w:w="740" w:type="dxa"/>
          </w:tcPr>
          <w:p w14:paraId="00C56C63" w14:textId="77777777" w:rsidR="003E794A" w:rsidRPr="00F930CA" w:rsidRDefault="003E794A" w:rsidP="00C7298F">
            <w:pPr>
              <w:spacing w:before="60"/>
              <w:rPr>
                <w:color w:val="000000"/>
                <w:sz w:val="20"/>
                <w:szCs w:val="20"/>
              </w:rPr>
            </w:pPr>
          </w:p>
        </w:tc>
        <w:tc>
          <w:tcPr>
            <w:tcW w:w="721" w:type="dxa"/>
          </w:tcPr>
          <w:p w14:paraId="30DBBDCD" w14:textId="77777777" w:rsidR="003E794A" w:rsidRPr="00F930CA" w:rsidRDefault="003E794A" w:rsidP="00C7298F">
            <w:pPr>
              <w:spacing w:before="60"/>
              <w:rPr>
                <w:color w:val="000000"/>
                <w:sz w:val="20"/>
                <w:szCs w:val="20"/>
              </w:rPr>
            </w:pPr>
          </w:p>
        </w:tc>
        <w:tc>
          <w:tcPr>
            <w:tcW w:w="779" w:type="dxa"/>
          </w:tcPr>
          <w:p w14:paraId="790D1EE9" w14:textId="77777777" w:rsidR="003E794A" w:rsidRPr="00F930CA" w:rsidRDefault="003E794A" w:rsidP="00C7298F">
            <w:pPr>
              <w:spacing w:before="60"/>
              <w:rPr>
                <w:color w:val="000000"/>
                <w:sz w:val="20"/>
                <w:szCs w:val="20"/>
              </w:rPr>
            </w:pPr>
            <w:r w:rsidRPr="00F930CA">
              <w:rPr>
                <w:color w:val="000000"/>
                <w:sz w:val="20"/>
                <w:szCs w:val="20"/>
              </w:rPr>
              <w:t>5.4.4</w:t>
            </w:r>
          </w:p>
        </w:tc>
        <w:tc>
          <w:tcPr>
            <w:tcW w:w="7416" w:type="dxa"/>
            <w:gridSpan w:val="4"/>
          </w:tcPr>
          <w:p w14:paraId="0767DA41" w14:textId="77777777" w:rsidR="003E794A" w:rsidRPr="00F930CA" w:rsidRDefault="003E794A" w:rsidP="00C7298F">
            <w:pPr>
              <w:pStyle w:val="BodyText2"/>
              <w:spacing w:line="240" w:lineRule="auto"/>
              <w:rPr>
                <w:color w:val="000000"/>
                <w:sz w:val="20"/>
                <w:szCs w:val="20"/>
              </w:rPr>
            </w:pPr>
            <w:r w:rsidRPr="00F930CA">
              <w:rPr>
                <w:sz w:val="20"/>
                <w:szCs w:val="20"/>
              </w:rPr>
              <w:t>Run plate following local procedure.</w:t>
            </w:r>
          </w:p>
        </w:tc>
      </w:tr>
      <w:tr w:rsidR="003E794A" w:rsidRPr="00F930CA" w14:paraId="6EA9552E" w14:textId="77777777" w:rsidTr="00EB24E0">
        <w:trPr>
          <w:cantSplit/>
          <w:trHeight w:val="426"/>
        </w:trPr>
        <w:tc>
          <w:tcPr>
            <w:tcW w:w="740" w:type="dxa"/>
          </w:tcPr>
          <w:p w14:paraId="69F7F556" w14:textId="77777777" w:rsidR="003E794A" w:rsidRPr="00F930CA" w:rsidRDefault="003E794A" w:rsidP="00C7298F">
            <w:pPr>
              <w:spacing w:before="60"/>
              <w:rPr>
                <w:color w:val="000000"/>
                <w:sz w:val="20"/>
                <w:szCs w:val="20"/>
              </w:rPr>
            </w:pPr>
          </w:p>
        </w:tc>
        <w:tc>
          <w:tcPr>
            <w:tcW w:w="721" w:type="dxa"/>
          </w:tcPr>
          <w:p w14:paraId="688BC81F" w14:textId="77777777" w:rsidR="003E794A" w:rsidRPr="00F930CA" w:rsidRDefault="003E794A" w:rsidP="00C7298F">
            <w:pPr>
              <w:spacing w:before="60"/>
              <w:rPr>
                <w:color w:val="000000"/>
                <w:sz w:val="20"/>
                <w:szCs w:val="20"/>
              </w:rPr>
            </w:pPr>
          </w:p>
        </w:tc>
        <w:tc>
          <w:tcPr>
            <w:tcW w:w="779" w:type="dxa"/>
          </w:tcPr>
          <w:p w14:paraId="55892BF8" w14:textId="77777777" w:rsidR="003E794A" w:rsidRPr="00F930CA" w:rsidRDefault="003E794A" w:rsidP="00C7298F">
            <w:pPr>
              <w:spacing w:before="60"/>
              <w:rPr>
                <w:color w:val="000000"/>
                <w:sz w:val="20"/>
                <w:szCs w:val="20"/>
              </w:rPr>
            </w:pPr>
            <w:r w:rsidRPr="00F930CA">
              <w:rPr>
                <w:color w:val="000000"/>
                <w:sz w:val="20"/>
                <w:szCs w:val="20"/>
              </w:rPr>
              <w:t>5.4.5</w:t>
            </w:r>
          </w:p>
        </w:tc>
        <w:tc>
          <w:tcPr>
            <w:tcW w:w="7416" w:type="dxa"/>
            <w:gridSpan w:val="4"/>
          </w:tcPr>
          <w:p w14:paraId="0A68B9B7" w14:textId="77777777" w:rsidR="003E794A" w:rsidRPr="00F930CA" w:rsidRDefault="003E794A" w:rsidP="00C7298F">
            <w:pPr>
              <w:pStyle w:val="BodyText2"/>
              <w:spacing w:line="240" w:lineRule="auto"/>
              <w:rPr>
                <w:color w:val="000000"/>
                <w:sz w:val="20"/>
                <w:szCs w:val="20"/>
              </w:rPr>
            </w:pPr>
            <w:r w:rsidRPr="00F930CA">
              <w:rPr>
                <w:sz w:val="20"/>
                <w:szCs w:val="20"/>
              </w:rPr>
              <w:t xml:space="preserve">Export raw data for analysis. </w:t>
            </w:r>
          </w:p>
        </w:tc>
      </w:tr>
      <w:tr w:rsidR="003E794A" w:rsidRPr="00F930CA" w14:paraId="2D0D0D96" w14:textId="77777777" w:rsidTr="00EB24E0">
        <w:trPr>
          <w:cantSplit/>
          <w:trHeight w:val="386"/>
        </w:trPr>
        <w:tc>
          <w:tcPr>
            <w:tcW w:w="740" w:type="dxa"/>
          </w:tcPr>
          <w:p w14:paraId="7135AC49" w14:textId="77777777" w:rsidR="003E794A" w:rsidRPr="00F930CA" w:rsidRDefault="003E794A" w:rsidP="00C7298F">
            <w:pPr>
              <w:spacing w:before="60"/>
              <w:rPr>
                <w:color w:val="000000"/>
                <w:sz w:val="20"/>
                <w:szCs w:val="20"/>
              </w:rPr>
            </w:pPr>
          </w:p>
        </w:tc>
        <w:tc>
          <w:tcPr>
            <w:tcW w:w="721" w:type="dxa"/>
            <w:vAlign w:val="center"/>
          </w:tcPr>
          <w:p w14:paraId="331F5FFC" w14:textId="77777777" w:rsidR="003E794A" w:rsidRPr="00F930CA" w:rsidRDefault="003E794A" w:rsidP="00C7298F">
            <w:pPr>
              <w:spacing w:before="60"/>
              <w:rPr>
                <w:color w:val="000000"/>
                <w:sz w:val="20"/>
                <w:szCs w:val="20"/>
              </w:rPr>
            </w:pPr>
            <w:r w:rsidRPr="00F930CA">
              <w:rPr>
                <w:color w:val="000000"/>
                <w:sz w:val="20"/>
                <w:szCs w:val="20"/>
              </w:rPr>
              <w:t>5.5</w:t>
            </w:r>
          </w:p>
        </w:tc>
        <w:tc>
          <w:tcPr>
            <w:tcW w:w="8195" w:type="dxa"/>
            <w:gridSpan w:val="5"/>
            <w:vAlign w:val="center"/>
          </w:tcPr>
          <w:p w14:paraId="55B21CF0" w14:textId="77777777" w:rsidR="003E794A" w:rsidRPr="00F930CA" w:rsidRDefault="003E794A" w:rsidP="00C7298F">
            <w:pPr>
              <w:pStyle w:val="Header"/>
              <w:rPr>
                <w:color w:val="000000"/>
                <w:sz w:val="20"/>
                <w:szCs w:val="20"/>
              </w:rPr>
            </w:pPr>
            <w:r w:rsidRPr="00F930CA">
              <w:rPr>
                <w:color w:val="000000"/>
                <w:sz w:val="20"/>
                <w:szCs w:val="20"/>
              </w:rPr>
              <w:t>Analysis of data</w:t>
            </w:r>
          </w:p>
        </w:tc>
      </w:tr>
      <w:tr w:rsidR="003E794A" w:rsidRPr="00F930CA" w14:paraId="5E3D1ACF" w14:textId="77777777" w:rsidTr="00EB24E0">
        <w:trPr>
          <w:cantSplit/>
          <w:trHeight w:val="261"/>
        </w:trPr>
        <w:tc>
          <w:tcPr>
            <w:tcW w:w="740" w:type="dxa"/>
            <w:vAlign w:val="center"/>
          </w:tcPr>
          <w:p w14:paraId="68CF0AA2" w14:textId="77777777" w:rsidR="003E794A" w:rsidRPr="00F930CA" w:rsidRDefault="003E794A" w:rsidP="00C7298F">
            <w:pPr>
              <w:spacing w:before="60"/>
              <w:rPr>
                <w:color w:val="000000"/>
                <w:sz w:val="20"/>
                <w:szCs w:val="20"/>
              </w:rPr>
            </w:pPr>
          </w:p>
        </w:tc>
        <w:tc>
          <w:tcPr>
            <w:tcW w:w="721" w:type="dxa"/>
            <w:vAlign w:val="center"/>
          </w:tcPr>
          <w:p w14:paraId="69D7CC34" w14:textId="77777777" w:rsidR="003E794A" w:rsidRPr="00F930CA" w:rsidRDefault="003E794A" w:rsidP="00C7298F">
            <w:pPr>
              <w:spacing w:before="60"/>
              <w:rPr>
                <w:color w:val="000000"/>
                <w:sz w:val="20"/>
                <w:szCs w:val="20"/>
              </w:rPr>
            </w:pPr>
          </w:p>
        </w:tc>
        <w:tc>
          <w:tcPr>
            <w:tcW w:w="779" w:type="dxa"/>
            <w:vAlign w:val="center"/>
          </w:tcPr>
          <w:p w14:paraId="16C1E18D" w14:textId="77777777" w:rsidR="003E794A" w:rsidRPr="00F930CA" w:rsidRDefault="003E794A" w:rsidP="00C7298F">
            <w:pPr>
              <w:spacing w:before="60"/>
              <w:rPr>
                <w:color w:val="000000"/>
                <w:sz w:val="20"/>
                <w:szCs w:val="20"/>
              </w:rPr>
            </w:pPr>
            <w:r w:rsidRPr="00F930CA">
              <w:rPr>
                <w:color w:val="000000"/>
                <w:sz w:val="20"/>
                <w:szCs w:val="20"/>
              </w:rPr>
              <w:t>5.5.1</w:t>
            </w:r>
          </w:p>
        </w:tc>
        <w:tc>
          <w:tcPr>
            <w:tcW w:w="7416" w:type="dxa"/>
            <w:gridSpan w:val="4"/>
            <w:vAlign w:val="center"/>
          </w:tcPr>
          <w:p w14:paraId="26F69EF6" w14:textId="77777777" w:rsidR="003E794A" w:rsidRPr="00F930CA" w:rsidRDefault="003E794A" w:rsidP="00C7298F">
            <w:pPr>
              <w:pStyle w:val="BodyText"/>
              <w:rPr>
                <w:rFonts w:cs="Arial"/>
                <w:sz w:val="20"/>
                <w:szCs w:val="20"/>
              </w:rPr>
            </w:pPr>
            <w:r w:rsidRPr="00F930CA">
              <w:rPr>
                <w:rFonts w:cs="Arial"/>
                <w:sz w:val="20"/>
                <w:szCs w:val="20"/>
              </w:rPr>
              <w:t>The original hand signed work sheet should be filed in the research folder.</w:t>
            </w:r>
          </w:p>
        </w:tc>
      </w:tr>
      <w:tr w:rsidR="003E794A" w:rsidRPr="00F930CA" w14:paraId="3FA08E11" w14:textId="77777777" w:rsidTr="00EB24E0">
        <w:trPr>
          <w:cantSplit/>
          <w:trHeight w:val="495"/>
        </w:trPr>
        <w:tc>
          <w:tcPr>
            <w:tcW w:w="740" w:type="dxa"/>
            <w:vAlign w:val="center"/>
          </w:tcPr>
          <w:p w14:paraId="693A5010" w14:textId="77777777" w:rsidR="003E794A" w:rsidRPr="00F930CA" w:rsidRDefault="003E794A" w:rsidP="00C7298F">
            <w:pPr>
              <w:spacing w:before="60"/>
              <w:rPr>
                <w:color w:val="000000"/>
                <w:sz w:val="20"/>
                <w:szCs w:val="20"/>
              </w:rPr>
            </w:pPr>
          </w:p>
        </w:tc>
        <w:tc>
          <w:tcPr>
            <w:tcW w:w="721" w:type="dxa"/>
            <w:vAlign w:val="center"/>
          </w:tcPr>
          <w:p w14:paraId="7D1E5FFC" w14:textId="77777777" w:rsidR="003E794A" w:rsidRPr="00F930CA" w:rsidRDefault="003E794A" w:rsidP="00C7298F">
            <w:pPr>
              <w:spacing w:before="60"/>
              <w:rPr>
                <w:color w:val="000000"/>
                <w:sz w:val="20"/>
                <w:szCs w:val="20"/>
              </w:rPr>
            </w:pPr>
          </w:p>
        </w:tc>
        <w:tc>
          <w:tcPr>
            <w:tcW w:w="779" w:type="dxa"/>
            <w:vAlign w:val="center"/>
          </w:tcPr>
          <w:p w14:paraId="11552F26" w14:textId="77777777" w:rsidR="003E794A" w:rsidRPr="00F930CA" w:rsidRDefault="003E794A" w:rsidP="00C7298F">
            <w:pPr>
              <w:spacing w:before="60"/>
              <w:rPr>
                <w:color w:val="000000"/>
                <w:sz w:val="20"/>
                <w:szCs w:val="20"/>
              </w:rPr>
            </w:pPr>
            <w:r w:rsidRPr="00F930CA">
              <w:rPr>
                <w:color w:val="000000"/>
                <w:sz w:val="20"/>
                <w:szCs w:val="20"/>
              </w:rPr>
              <w:t>5.5.2</w:t>
            </w:r>
          </w:p>
        </w:tc>
        <w:tc>
          <w:tcPr>
            <w:tcW w:w="7416" w:type="dxa"/>
            <w:gridSpan w:val="4"/>
            <w:vAlign w:val="center"/>
          </w:tcPr>
          <w:p w14:paraId="0BFE8E2A" w14:textId="77777777" w:rsidR="003E794A" w:rsidRPr="00F930CA" w:rsidRDefault="003E794A" w:rsidP="00C7298F">
            <w:pPr>
              <w:pStyle w:val="BodyText"/>
              <w:rPr>
                <w:rFonts w:cs="Arial"/>
                <w:sz w:val="20"/>
                <w:szCs w:val="20"/>
              </w:rPr>
            </w:pPr>
            <w:r w:rsidRPr="00F930CA">
              <w:rPr>
                <w:rFonts w:cs="Arial"/>
                <w:sz w:val="20"/>
                <w:szCs w:val="20"/>
              </w:rPr>
              <w:t xml:space="preserve">Transfer raw data for analysis into HLA Fusion software following local procedure.  </w:t>
            </w:r>
          </w:p>
        </w:tc>
      </w:tr>
      <w:tr w:rsidR="003E794A" w:rsidRPr="00F930CA" w14:paraId="5A7A7461" w14:textId="77777777" w:rsidTr="00EB24E0">
        <w:trPr>
          <w:cantSplit/>
          <w:trHeight w:val="463"/>
        </w:trPr>
        <w:tc>
          <w:tcPr>
            <w:tcW w:w="740" w:type="dxa"/>
            <w:vAlign w:val="center"/>
          </w:tcPr>
          <w:p w14:paraId="0D76ED7B" w14:textId="77777777" w:rsidR="003E794A" w:rsidRPr="00F930CA" w:rsidRDefault="003E794A" w:rsidP="00C7298F">
            <w:pPr>
              <w:spacing w:before="60"/>
              <w:rPr>
                <w:color w:val="000000"/>
                <w:sz w:val="20"/>
                <w:szCs w:val="20"/>
              </w:rPr>
            </w:pPr>
          </w:p>
        </w:tc>
        <w:tc>
          <w:tcPr>
            <w:tcW w:w="721" w:type="dxa"/>
            <w:vAlign w:val="center"/>
          </w:tcPr>
          <w:p w14:paraId="26815037" w14:textId="77777777" w:rsidR="003E794A" w:rsidRPr="00F930CA" w:rsidRDefault="003E794A" w:rsidP="00C7298F">
            <w:pPr>
              <w:spacing w:before="60"/>
              <w:rPr>
                <w:color w:val="000000"/>
                <w:sz w:val="20"/>
                <w:szCs w:val="20"/>
              </w:rPr>
            </w:pPr>
          </w:p>
        </w:tc>
        <w:tc>
          <w:tcPr>
            <w:tcW w:w="779" w:type="dxa"/>
            <w:vAlign w:val="center"/>
          </w:tcPr>
          <w:p w14:paraId="49EF213A" w14:textId="77777777" w:rsidR="003E794A" w:rsidRPr="00F930CA" w:rsidRDefault="003E794A" w:rsidP="00C7298F">
            <w:pPr>
              <w:spacing w:before="60"/>
              <w:rPr>
                <w:color w:val="000000"/>
                <w:sz w:val="20"/>
                <w:szCs w:val="20"/>
              </w:rPr>
            </w:pPr>
            <w:r w:rsidRPr="00F930CA">
              <w:rPr>
                <w:color w:val="000000"/>
                <w:sz w:val="20"/>
                <w:szCs w:val="20"/>
              </w:rPr>
              <w:t>5.5.3</w:t>
            </w:r>
          </w:p>
        </w:tc>
        <w:tc>
          <w:tcPr>
            <w:tcW w:w="7416" w:type="dxa"/>
            <w:gridSpan w:val="4"/>
            <w:vAlign w:val="center"/>
          </w:tcPr>
          <w:p w14:paraId="75DA8057" w14:textId="77777777" w:rsidR="003E794A" w:rsidRPr="00F930CA" w:rsidRDefault="003E794A" w:rsidP="00C7298F">
            <w:pPr>
              <w:pStyle w:val="BodyText"/>
              <w:rPr>
                <w:rFonts w:cs="Arial"/>
                <w:sz w:val="20"/>
                <w:szCs w:val="20"/>
              </w:rPr>
            </w:pPr>
            <w:r w:rsidRPr="00F930CA">
              <w:rPr>
                <w:rFonts w:cs="Arial"/>
                <w:sz w:val="20"/>
                <w:szCs w:val="20"/>
              </w:rPr>
              <w:t>Analysis should be performed using HLA Fusion v2.0 according to local procedure – except for the Cut off values and points detailed below.</w:t>
            </w:r>
          </w:p>
        </w:tc>
      </w:tr>
      <w:tr w:rsidR="003E794A" w:rsidRPr="00F930CA" w14:paraId="7C15B13B" w14:textId="77777777" w:rsidTr="00EB24E0">
        <w:trPr>
          <w:cantSplit/>
          <w:trHeight w:val="261"/>
        </w:trPr>
        <w:tc>
          <w:tcPr>
            <w:tcW w:w="740" w:type="dxa"/>
            <w:vAlign w:val="center"/>
          </w:tcPr>
          <w:p w14:paraId="26CF80EF" w14:textId="77777777" w:rsidR="003E794A" w:rsidRPr="00F930CA" w:rsidRDefault="003E794A" w:rsidP="00C7298F">
            <w:pPr>
              <w:spacing w:before="60"/>
              <w:rPr>
                <w:color w:val="000000"/>
                <w:sz w:val="20"/>
                <w:szCs w:val="20"/>
              </w:rPr>
            </w:pPr>
          </w:p>
        </w:tc>
        <w:tc>
          <w:tcPr>
            <w:tcW w:w="721" w:type="dxa"/>
            <w:vAlign w:val="center"/>
          </w:tcPr>
          <w:p w14:paraId="0192268C" w14:textId="77777777" w:rsidR="003E794A" w:rsidRPr="00F930CA" w:rsidRDefault="003E794A" w:rsidP="00C7298F">
            <w:pPr>
              <w:spacing w:before="60"/>
              <w:rPr>
                <w:color w:val="000000"/>
                <w:sz w:val="20"/>
                <w:szCs w:val="20"/>
              </w:rPr>
            </w:pPr>
          </w:p>
        </w:tc>
        <w:tc>
          <w:tcPr>
            <w:tcW w:w="779" w:type="dxa"/>
            <w:vAlign w:val="center"/>
          </w:tcPr>
          <w:p w14:paraId="5EDD748B" w14:textId="77777777" w:rsidR="003E794A" w:rsidRPr="00F930CA" w:rsidRDefault="003E794A" w:rsidP="00C7298F">
            <w:pPr>
              <w:spacing w:before="60"/>
              <w:rPr>
                <w:color w:val="000000"/>
                <w:sz w:val="20"/>
                <w:szCs w:val="20"/>
              </w:rPr>
            </w:pPr>
            <w:r w:rsidRPr="00F930CA">
              <w:rPr>
                <w:color w:val="000000"/>
                <w:sz w:val="20"/>
                <w:szCs w:val="20"/>
              </w:rPr>
              <w:t>5.5.4</w:t>
            </w:r>
          </w:p>
        </w:tc>
        <w:tc>
          <w:tcPr>
            <w:tcW w:w="7416" w:type="dxa"/>
            <w:gridSpan w:val="4"/>
            <w:vAlign w:val="center"/>
          </w:tcPr>
          <w:p w14:paraId="70CCCE5D" w14:textId="77777777" w:rsidR="003E794A" w:rsidRPr="00F930CA" w:rsidRDefault="003E794A" w:rsidP="00C7298F">
            <w:pPr>
              <w:pStyle w:val="BodyText"/>
              <w:rPr>
                <w:rFonts w:cs="Arial"/>
                <w:sz w:val="20"/>
                <w:szCs w:val="20"/>
              </w:rPr>
            </w:pPr>
            <w:r w:rsidRPr="00F930CA">
              <w:rPr>
                <w:rFonts w:cs="Arial"/>
                <w:sz w:val="20"/>
                <w:szCs w:val="20"/>
              </w:rPr>
              <w:t>For Class I single antigen analysis ensure that the W6-32 box is ticked.</w:t>
            </w:r>
          </w:p>
        </w:tc>
      </w:tr>
      <w:tr w:rsidR="003E794A" w:rsidRPr="00F930CA" w14:paraId="43C7A616" w14:textId="77777777" w:rsidTr="00EB24E0">
        <w:trPr>
          <w:cantSplit/>
          <w:trHeight w:val="540"/>
        </w:trPr>
        <w:tc>
          <w:tcPr>
            <w:tcW w:w="740" w:type="dxa"/>
            <w:vAlign w:val="center"/>
          </w:tcPr>
          <w:p w14:paraId="673D108E" w14:textId="77777777" w:rsidR="003E794A" w:rsidRPr="00F930CA" w:rsidRDefault="003E794A" w:rsidP="00C7298F">
            <w:pPr>
              <w:spacing w:before="60"/>
              <w:rPr>
                <w:color w:val="000000"/>
                <w:sz w:val="20"/>
                <w:szCs w:val="20"/>
              </w:rPr>
            </w:pPr>
          </w:p>
        </w:tc>
        <w:tc>
          <w:tcPr>
            <w:tcW w:w="721" w:type="dxa"/>
            <w:vAlign w:val="center"/>
          </w:tcPr>
          <w:p w14:paraId="2CB0F59F" w14:textId="77777777" w:rsidR="003E794A" w:rsidRPr="00F930CA" w:rsidRDefault="003E794A" w:rsidP="00C7298F">
            <w:pPr>
              <w:spacing w:before="60"/>
              <w:rPr>
                <w:color w:val="000000"/>
                <w:sz w:val="20"/>
                <w:szCs w:val="20"/>
              </w:rPr>
            </w:pPr>
          </w:p>
        </w:tc>
        <w:tc>
          <w:tcPr>
            <w:tcW w:w="779" w:type="dxa"/>
            <w:vAlign w:val="center"/>
          </w:tcPr>
          <w:p w14:paraId="1BCBAD08" w14:textId="77777777" w:rsidR="003E794A" w:rsidRPr="00F930CA" w:rsidRDefault="003E794A" w:rsidP="00C7298F">
            <w:pPr>
              <w:spacing w:before="60"/>
              <w:rPr>
                <w:color w:val="000000"/>
                <w:sz w:val="20"/>
                <w:szCs w:val="20"/>
              </w:rPr>
            </w:pPr>
            <w:r w:rsidRPr="00F930CA">
              <w:rPr>
                <w:color w:val="000000"/>
                <w:sz w:val="20"/>
                <w:szCs w:val="20"/>
              </w:rPr>
              <w:t>5.5.5</w:t>
            </w:r>
          </w:p>
        </w:tc>
        <w:tc>
          <w:tcPr>
            <w:tcW w:w="7416" w:type="dxa"/>
            <w:gridSpan w:val="4"/>
            <w:vAlign w:val="center"/>
          </w:tcPr>
          <w:p w14:paraId="6FB9BE55" w14:textId="77777777" w:rsidR="003E794A" w:rsidRPr="00F930CA" w:rsidRDefault="003E794A" w:rsidP="00C7298F">
            <w:pPr>
              <w:pStyle w:val="BodyText"/>
              <w:rPr>
                <w:rFonts w:cs="Arial"/>
                <w:sz w:val="20"/>
                <w:szCs w:val="20"/>
              </w:rPr>
            </w:pPr>
            <w:r w:rsidRPr="00F930CA">
              <w:rPr>
                <w:rFonts w:cs="Arial"/>
                <w:sz w:val="20"/>
                <w:szCs w:val="20"/>
              </w:rPr>
              <w:t>For LABScreen mixed screening beads the negative control values should be taken from the NIBSC negative control serum.</w:t>
            </w:r>
          </w:p>
        </w:tc>
      </w:tr>
      <w:tr w:rsidR="003E794A" w:rsidRPr="00F930CA" w14:paraId="4B3DD6A7" w14:textId="77777777" w:rsidTr="00EB24E0">
        <w:trPr>
          <w:cantSplit/>
          <w:trHeight w:val="479"/>
        </w:trPr>
        <w:tc>
          <w:tcPr>
            <w:tcW w:w="740" w:type="dxa"/>
            <w:vAlign w:val="center"/>
          </w:tcPr>
          <w:p w14:paraId="5D3B6059" w14:textId="77777777" w:rsidR="003E794A" w:rsidRPr="00F930CA" w:rsidRDefault="003E794A" w:rsidP="00C7298F">
            <w:pPr>
              <w:spacing w:before="60"/>
              <w:rPr>
                <w:color w:val="000000"/>
                <w:sz w:val="20"/>
                <w:szCs w:val="20"/>
              </w:rPr>
            </w:pPr>
          </w:p>
        </w:tc>
        <w:tc>
          <w:tcPr>
            <w:tcW w:w="721" w:type="dxa"/>
            <w:vAlign w:val="center"/>
          </w:tcPr>
          <w:p w14:paraId="49EC25AD" w14:textId="77777777" w:rsidR="003E794A" w:rsidRPr="00F930CA" w:rsidRDefault="003E794A" w:rsidP="00C7298F">
            <w:pPr>
              <w:spacing w:before="60"/>
              <w:rPr>
                <w:color w:val="000000"/>
                <w:sz w:val="20"/>
                <w:szCs w:val="20"/>
              </w:rPr>
            </w:pPr>
          </w:p>
        </w:tc>
        <w:tc>
          <w:tcPr>
            <w:tcW w:w="779" w:type="dxa"/>
            <w:vAlign w:val="center"/>
          </w:tcPr>
          <w:p w14:paraId="036E348B" w14:textId="77777777" w:rsidR="003E794A" w:rsidRPr="00F930CA" w:rsidRDefault="003E794A" w:rsidP="00C7298F">
            <w:pPr>
              <w:spacing w:before="60"/>
              <w:rPr>
                <w:color w:val="000000"/>
                <w:sz w:val="20"/>
                <w:szCs w:val="20"/>
              </w:rPr>
            </w:pPr>
            <w:r w:rsidRPr="00F930CA">
              <w:rPr>
                <w:color w:val="000000"/>
                <w:sz w:val="20"/>
                <w:szCs w:val="20"/>
              </w:rPr>
              <w:t>5.5.6</w:t>
            </w:r>
          </w:p>
        </w:tc>
        <w:tc>
          <w:tcPr>
            <w:tcW w:w="7416" w:type="dxa"/>
            <w:gridSpan w:val="4"/>
            <w:vAlign w:val="center"/>
          </w:tcPr>
          <w:p w14:paraId="35E2720B" w14:textId="77777777" w:rsidR="003E794A" w:rsidRPr="00F930CA" w:rsidRDefault="003E794A" w:rsidP="00C7298F">
            <w:pPr>
              <w:pStyle w:val="BodyText"/>
              <w:rPr>
                <w:rFonts w:cs="Arial"/>
                <w:sz w:val="20"/>
                <w:szCs w:val="20"/>
              </w:rPr>
            </w:pPr>
            <w:r w:rsidRPr="00F930CA">
              <w:rPr>
                <w:rFonts w:cs="Arial"/>
                <w:sz w:val="20"/>
                <w:szCs w:val="20"/>
              </w:rPr>
              <w:t>For the Single Antigen screening beads the FlowPRA negative control values should be used.</w:t>
            </w:r>
          </w:p>
        </w:tc>
      </w:tr>
      <w:tr w:rsidR="003E794A" w:rsidRPr="00F930CA" w14:paraId="5C97B012" w14:textId="77777777" w:rsidTr="00EB24E0">
        <w:trPr>
          <w:cantSplit/>
          <w:trHeight w:val="261"/>
        </w:trPr>
        <w:tc>
          <w:tcPr>
            <w:tcW w:w="740" w:type="dxa"/>
            <w:vAlign w:val="center"/>
          </w:tcPr>
          <w:p w14:paraId="1E60A986" w14:textId="77777777" w:rsidR="003E794A" w:rsidRPr="00F930CA" w:rsidRDefault="003E794A" w:rsidP="00C7298F">
            <w:pPr>
              <w:spacing w:before="60"/>
              <w:rPr>
                <w:color w:val="000000"/>
                <w:sz w:val="20"/>
                <w:szCs w:val="20"/>
              </w:rPr>
            </w:pPr>
          </w:p>
        </w:tc>
        <w:tc>
          <w:tcPr>
            <w:tcW w:w="721" w:type="dxa"/>
            <w:vAlign w:val="center"/>
          </w:tcPr>
          <w:p w14:paraId="7D543FE2" w14:textId="77777777" w:rsidR="003E794A" w:rsidRPr="00F930CA" w:rsidRDefault="003E794A" w:rsidP="00C7298F">
            <w:pPr>
              <w:spacing w:before="60"/>
              <w:rPr>
                <w:color w:val="000000"/>
                <w:sz w:val="20"/>
                <w:szCs w:val="20"/>
              </w:rPr>
            </w:pPr>
          </w:p>
        </w:tc>
        <w:tc>
          <w:tcPr>
            <w:tcW w:w="779" w:type="dxa"/>
            <w:vAlign w:val="center"/>
          </w:tcPr>
          <w:p w14:paraId="2423C8E0" w14:textId="77777777" w:rsidR="003E794A" w:rsidRPr="00F930CA" w:rsidRDefault="003E794A" w:rsidP="00C7298F">
            <w:pPr>
              <w:spacing w:before="60"/>
              <w:rPr>
                <w:color w:val="000000"/>
                <w:sz w:val="20"/>
                <w:szCs w:val="20"/>
              </w:rPr>
            </w:pPr>
            <w:r w:rsidRPr="00F930CA">
              <w:rPr>
                <w:color w:val="000000"/>
                <w:sz w:val="20"/>
                <w:szCs w:val="20"/>
              </w:rPr>
              <w:t>5.5.7</w:t>
            </w:r>
          </w:p>
        </w:tc>
        <w:tc>
          <w:tcPr>
            <w:tcW w:w="7416" w:type="dxa"/>
            <w:gridSpan w:val="4"/>
            <w:vAlign w:val="center"/>
          </w:tcPr>
          <w:p w14:paraId="0BDDF1F3" w14:textId="77777777" w:rsidR="003E794A" w:rsidRPr="00F930CA" w:rsidRDefault="003E794A" w:rsidP="00C7298F">
            <w:pPr>
              <w:pStyle w:val="BodyText"/>
              <w:rPr>
                <w:rFonts w:cs="Arial"/>
                <w:sz w:val="20"/>
                <w:szCs w:val="20"/>
              </w:rPr>
            </w:pPr>
            <w:r w:rsidRPr="00F930CA">
              <w:rPr>
                <w:rFonts w:cs="Arial"/>
                <w:sz w:val="20"/>
                <w:szCs w:val="20"/>
              </w:rPr>
              <w:t>The control values should fit in the following criteria:</w:t>
            </w:r>
          </w:p>
        </w:tc>
      </w:tr>
      <w:tr w:rsidR="003E794A" w:rsidRPr="00F930CA" w14:paraId="1665D010" w14:textId="77777777" w:rsidTr="00EB24E0">
        <w:trPr>
          <w:cantSplit/>
          <w:trHeight w:val="316"/>
        </w:trPr>
        <w:tc>
          <w:tcPr>
            <w:tcW w:w="740" w:type="dxa"/>
          </w:tcPr>
          <w:p w14:paraId="424A969A" w14:textId="77777777" w:rsidR="003E794A" w:rsidRPr="00F930CA" w:rsidRDefault="003E794A" w:rsidP="00C7298F">
            <w:pPr>
              <w:spacing w:before="60"/>
              <w:rPr>
                <w:color w:val="000000"/>
                <w:sz w:val="20"/>
                <w:szCs w:val="20"/>
              </w:rPr>
            </w:pPr>
          </w:p>
        </w:tc>
        <w:tc>
          <w:tcPr>
            <w:tcW w:w="721" w:type="dxa"/>
          </w:tcPr>
          <w:p w14:paraId="428079A5" w14:textId="77777777" w:rsidR="003E794A" w:rsidRPr="00F930CA" w:rsidRDefault="003E794A" w:rsidP="00C7298F">
            <w:pPr>
              <w:spacing w:before="60"/>
              <w:rPr>
                <w:color w:val="000000"/>
                <w:sz w:val="20"/>
                <w:szCs w:val="20"/>
              </w:rPr>
            </w:pPr>
          </w:p>
        </w:tc>
        <w:tc>
          <w:tcPr>
            <w:tcW w:w="779" w:type="dxa"/>
          </w:tcPr>
          <w:p w14:paraId="55C797C4" w14:textId="77777777" w:rsidR="003E794A" w:rsidRPr="00F930CA" w:rsidRDefault="003E794A" w:rsidP="00C7298F">
            <w:pPr>
              <w:rPr>
                <w:color w:val="000000"/>
                <w:sz w:val="20"/>
                <w:szCs w:val="20"/>
              </w:rPr>
            </w:pPr>
          </w:p>
        </w:tc>
        <w:tc>
          <w:tcPr>
            <w:tcW w:w="1072" w:type="dxa"/>
            <w:gridSpan w:val="3"/>
          </w:tcPr>
          <w:p w14:paraId="65161876" w14:textId="77777777" w:rsidR="003E794A" w:rsidRPr="00F930CA" w:rsidRDefault="003E794A" w:rsidP="00C7298F">
            <w:pPr>
              <w:pStyle w:val="Header"/>
              <w:tabs>
                <w:tab w:val="left" w:pos="897"/>
              </w:tabs>
              <w:rPr>
                <w:color w:val="000000"/>
                <w:sz w:val="20"/>
                <w:szCs w:val="20"/>
              </w:rPr>
            </w:pPr>
            <w:r w:rsidRPr="00F930CA">
              <w:rPr>
                <w:color w:val="000000"/>
                <w:sz w:val="20"/>
                <w:szCs w:val="20"/>
              </w:rPr>
              <w:t>5.5.7.1</w:t>
            </w:r>
          </w:p>
        </w:tc>
        <w:tc>
          <w:tcPr>
            <w:tcW w:w="6344" w:type="dxa"/>
            <w:vAlign w:val="center"/>
          </w:tcPr>
          <w:p w14:paraId="1BB5540A" w14:textId="77777777" w:rsidR="003E794A" w:rsidRPr="00F930CA" w:rsidRDefault="003E794A" w:rsidP="00C7298F">
            <w:pPr>
              <w:pStyle w:val="BodyText2"/>
              <w:spacing w:before="0" w:line="240" w:lineRule="auto"/>
              <w:rPr>
                <w:sz w:val="20"/>
                <w:szCs w:val="20"/>
              </w:rPr>
            </w:pPr>
            <w:r w:rsidRPr="00F930CA">
              <w:rPr>
                <w:sz w:val="20"/>
                <w:szCs w:val="20"/>
              </w:rPr>
              <w:t>The bead count should be greater than 50 for each bead group.</w:t>
            </w:r>
          </w:p>
        </w:tc>
      </w:tr>
      <w:tr w:rsidR="003E794A" w:rsidRPr="00F930CA" w14:paraId="0C129D6B" w14:textId="77777777" w:rsidTr="00EB24E0">
        <w:trPr>
          <w:cantSplit/>
          <w:trHeight w:val="522"/>
        </w:trPr>
        <w:tc>
          <w:tcPr>
            <w:tcW w:w="740" w:type="dxa"/>
          </w:tcPr>
          <w:p w14:paraId="5AEBB3C7" w14:textId="77777777" w:rsidR="003E794A" w:rsidRPr="00F930CA" w:rsidRDefault="003E794A" w:rsidP="00C7298F">
            <w:pPr>
              <w:spacing w:before="60"/>
              <w:rPr>
                <w:color w:val="000000"/>
                <w:sz w:val="20"/>
                <w:szCs w:val="20"/>
              </w:rPr>
            </w:pPr>
          </w:p>
        </w:tc>
        <w:tc>
          <w:tcPr>
            <w:tcW w:w="721" w:type="dxa"/>
          </w:tcPr>
          <w:p w14:paraId="1F5CBB74" w14:textId="77777777" w:rsidR="003E794A" w:rsidRPr="00F930CA" w:rsidRDefault="003E794A" w:rsidP="00C7298F">
            <w:pPr>
              <w:spacing w:before="60"/>
              <w:rPr>
                <w:color w:val="000000"/>
                <w:sz w:val="20"/>
                <w:szCs w:val="20"/>
              </w:rPr>
            </w:pPr>
          </w:p>
        </w:tc>
        <w:tc>
          <w:tcPr>
            <w:tcW w:w="779" w:type="dxa"/>
          </w:tcPr>
          <w:p w14:paraId="439002AB" w14:textId="77777777" w:rsidR="003E794A" w:rsidRPr="00F930CA" w:rsidRDefault="003E794A" w:rsidP="00C7298F">
            <w:pPr>
              <w:rPr>
                <w:color w:val="000000"/>
                <w:sz w:val="20"/>
                <w:szCs w:val="20"/>
              </w:rPr>
            </w:pPr>
          </w:p>
        </w:tc>
        <w:tc>
          <w:tcPr>
            <w:tcW w:w="1072" w:type="dxa"/>
            <w:gridSpan w:val="3"/>
          </w:tcPr>
          <w:p w14:paraId="06C33670" w14:textId="77777777" w:rsidR="003E794A" w:rsidRPr="00F930CA" w:rsidRDefault="003E794A" w:rsidP="00C7298F">
            <w:pPr>
              <w:pStyle w:val="Header"/>
              <w:tabs>
                <w:tab w:val="left" w:pos="897"/>
              </w:tabs>
              <w:rPr>
                <w:color w:val="000000"/>
                <w:sz w:val="20"/>
                <w:szCs w:val="20"/>
              </w:rPr>
            </w:pPr>
            <w:r w:rsidRPr="00F930CA">
              <w:rPr>
                <w:color w:val="000000"/>
                <w:sz w:val="20"/>
                <w:szCs w:val="20"/>
              </w:rPr>
              <w:t>5.5.7.2</w:t>
            </w:r>
          </w:p>
        </w:tc>
        <w:tc>
          <w:tcPr>
            <w:tcW w:w="6344" w:type="dxa"/>
            <w:vAlign w:val="center"/>
          </w:tcPr>
          <w:p w14:paraId="0A0C11C6" w14:textId="77777777" w:rsidR="003E794A" w:rsidRPr="00F930CA" w:rsidRDefault="003E794A" w:rsidP="00C7298F">
            <w:pPr>
              <w:pStyle w:val="BodyText2"/>
              <w:spacing w:before="0" w:line="240" w:lineRule="auto"/>
              <w:rPr>
                <w:sz w:val="20"/>
                <w:szCs w:val="20"/>
              </w:rPr>
            </w:pPr>
            <w:r w:rsidRPr="00F930CA">
              <w:rPr>
                <w:sz w:val="20"/>
                <w:szCs w:val="20"/>
              </w:rPr>
              <w:t>The NC should be greater than 30 and ideally below 500, but should ALWAYS be less than 1000.</w:t>
            </w:r>
          </w:p>
        </w:tc>
      </w:tr>
      <w:tr w:rsidR="003E794A" w:rsidRPr="00F930CA" w14:paraId="6125A176" w14:textId="77777777" w:rsidTr="00EB24E0">
        <w:trPr>
          <w:cantSplit/>
          <w:trHeight w:val="316"/>
        </w:trPr>
        <w:tc>
          <w:tcPr>
            <w:tcW w:w="740" w:type="dxa"/>
          </w:tcPr>
          <w:p w14:paraId="412DC619" w14:textId="77777777" w:rsidR="003E794A" w:rsidRPr="00F930CA" w:rsidRDefault="003E794A" w:rsidP="00C7298F">
            <w:pPr>
              <w:spacing w:before="60"/>
              <w:rPr>
                <w:color w:val="000000"/>
                <w:sz w:val="20"/>
                <w:szCs w:val="20"/>
              </w:rPr>
            </w:pPr>
          </w:p>
        </w:tc>
        <w:tc>
          <w:tcPr>
            <w:tcW w:w="721" w:type="dxa"/>
          </w:tcPr>
          <w:p w14:paraId="141577B7" w14:textId="77777777" w:rsidR="003E794A" w:rsidRPr="00F930CA" w:rsidRDefault="003E794A" w:rsidP="00C7298F">
            <w:pPr>
              <w:spacing w:before="60"/>
              <w:rPr>
                <w:color w:val="000000"/>
                <w:sz w:val="20"/>
                <w:szCs w:val="20"/>
              </w:rPr>
            </w:pPr>
          </w:p>
        </w:tc>
        <w:tc>
          <w:tcPr>
            <w:tcW w:w="779" w:type="dxa"/>
          </w:tcPr>
          <w:p w14:paraId="169E57AA" w14:textId="77777777" w:rsidR="003E794A" w:rsidRPr="00F930CA" w:rsidRDefault="003E794A" w:rsidP="00C7298F">
            <w:pPr>
              <w:rPr>
                <w:color w:val="000000"/>
                <w:sz w:val="20"/>
                <w:szCs w:val="20"/>
              </w:rPr>
            </w:pPr>
          </w:p>
        </w:tc>
        <w:tc>
          <w:tcPr>
            <w:tcW w:w="1072" w:type="dxa"/>
            <w:gridSpan w:val="3"/>
          </w:tcPr>
          <w:p w14:paraId="5395C05D" w14:textId="77777777" w:rsidR="003E794A" w:rsidRPr="00F930CA" w:rsidRDefault="003E794A" w:rsidP="00C7298F">
            <w:pPr>
              <w:pStyle w:val="Header"/>
              <w:tabs>
                <w:tab w:val="left" w:pos="897"/>
              </w:tabs>
              <w:rPr>
                <w:color w:val="000000"/>
                <w:sz w:val="20"/>
                <w:szCs w:val="20"/>
              </w:rPr>
            </w:pPr>
            <w:r w:rsidRPr="00F930CA">
              <w:rPr>
                <w:color w:val="000000"/>
                <w:sz w:val="20"/>
                <w:szCs w:val="20"/>
              </w:rPr>
              <w:t>5.5.7.3</w:t>
            </w:r>
          </w:p>
        </w:tc>
        <w:tc>
          <w:tcPr>
            <w:tcW w:w="6344" w:type="dxa"/>
            <w:vAlign w:val="center"/>
          </w:tcPr>
          <w:p w14:paraId="3301A50D" w14:textId="77777777" w:rsidR="003E794A" w:rsidRPr="00F930CA" w:rsidRDefault="003E794A" w:rsidP="00C7298F">
            <w:pPr>
              <w:pStyle w:val="BodyText2"/>
              <w:spacing w:before="0" w:line="240" w:lineRule="auto"/>
              <w:rPr>
                <w:sz w:val="20"/>
                <w:szCs w:val="20"/>
              </w:rPr>
            </w:pPr>
            <w:r w:rsidRPr="00F930CA">
              <w:rPr>
                <w:sz w:val="20"/>
                <w:szCs w:val="20"/>
              </w:rPr>
              <w:t>The PC should be greater than 1000 and at least twice the NC value.</w:t>
            </w:r>
          </w:p>
        </w:tc>
      </w:tr>
      <w:tr w:rsidR="003E794A" w:rsidRPr="00F930CA" w14:paraId="498AB1CB" w14:textId="77777777" w:rsidTr="00EB24E0">
        <w:trPr>
          <w:cantSplit/>
          <w:trHeight w:val="316"/>
        </w:trPr>
        <w:tc>
          <w:tcPr>
            <w:tcW w:w="740" w:type="dxa"/>
          </w:tcPr>
          <w:p w14:paraId="7BB01F7A" w14:textId="77777777" w:rsidR="003E794A" w:rsidRPr="00F930CA" w:rsidRDefault="003E794A" w:rsidP="00C7298F">
            <w:pPr>
              <w:spacing w:before="60"/>
              <w:rPr>
                <w:color w:val="000000"/>
                <w:sz w:val="20"/>
                <w:szCs w:val="20"/>
              </w:rPr>
            </w:pPr>
          </w:p>
        </w:tc>
        <w:tc>
          <w:tcPr>
            <w:tcW w:w="721" w:type="dxa"/>
          </w:tcPr>
          <w:p w14:paraId="2EB495F0" w14:textId="77777777" w:rsidR="003E794A" w:rsidRPr="00F930CA" w:rsidRDefault="003E794A" w:rsidP="00C7298F">
            <w:pPr>
              <w:spacing w:before="60"/>
              <w:rPr>
                <w:color w:val="000000"/>
                <w:sz w:val="20"/>
                <w:szCs w:val="20"/>
              </w:rPr>
            </w:pPr>
          </w:p>
        </w:tc>
        <w:tc>
          <w:tcPr>
            <w:tcW w:w="779" w:type="dxa"/>
          </w:tcPr>
          <w:p w14:paraId="60E8F386" w14:textId="77777777" w:rsidR="003E794A" w:rsidRPr="00F930CA" w:rsidRDefault="003E794A" w:rsidP="00C7298F">
            <w:pPr>
              <w:rPr>
                <w:color w:val="000000"/>
                <w:sz w:val="20"/>
                <w:szCs w:val="20"/>
              </w:rPr>
            </w:pPr>
          </w:p>
        </w:tc>
        <w:tc>
          <w:tcPr>
            <w:tcW w:w="1072" w:type="dxa"/>
            <w:gridSpan w:val="3"/>
          </w:tcPr>
          <w:p w14:paraId="63D345A0" w14:textId="77777777" w:rsidR="003E794A" w:rsidRPr="00F930CA" w:rsidRDefault="003E794A" w:rsidP="00C7298F">
            <w:pPr>
              <w:pStyle w:val="Header"/>
              <w:tabs>
                <w:tab w:val="left" w:pos="897"/>
              </w:tabs>
              <w:rPr>
                <w:color w:val="000000"/>
                <w:sz w:val="20"/>
                <w:szCs w:val="20"/>
              </w:rPr>
            </w:pPr>
            <w:r w:rsidRPr="00F930CA">
              <w:rPr>
                <w:color w:val="000000"/>
                <w:sz w:val="20"/>
                <w:szCs w:val="20"/>
              </w:rPr>
              <w:t>5.5.7.4</w:t>
            </w:r>
          </w:p>
        </w:tc>
        <w:tc>
          <w:tcPr>
            <w:tcW w:w="6344" w:type="dxa"/>
            <w:vAlign w:val="center"/>
          </w:tcPr>
          <w:p w14:paraId="3B23052F" w14:textId="77777777" w:rsidR="003E794A" w:rsidRPr="00F930CA" w:rsidRDefault="003E794A" w:rsidP="00C7298F">
            <w:pPr>
              <w:pStyle w:val="BodyText2"/>
              <w:spacing w:before="0" w:line="240" w:lineRule="auto"/>
              <w:rPr>
                <w:sz w:val="20"/>
                <w:szCs w:val="20"/>
              </w:rPr>
            </w:pPr>
            <w:r w:rsidRPr="00F930CA">
              <w:rPr>
                <w:sz w:val="20"/>
                <w:szCs w:val="20"/>
              </w:rPr>
              <w:t>The PC/NC ratio should be greater than 2.</w:t>
            </w:r>
          </w:p>
        </w:tc>
      </w:tr>
      <w:tr w:rsidR="003E794A" w:rsidRPr="00F930CA" w14:paraId="1749A39B" w14:textId="77777777" w:rsidTr="00EB24E0">
        <w:trPr>
          <w:cantSplit/>
          <w:trHeight w:val="741"/>
        </w:trPr>
        <w:tc>
          <w:tcPr>
            <w:tcW w:w="740" w:type="dxa"/>
          </w:tcPr>
          <w:p w14:paraId="68D38ACA" w14:textId="77777777" w:rsidR="003E794A" w:rsidRPr="00F930CA" w:rsidRDefault="003E794A" w:rsidP="00C7298F">
            <w:pPr>
              <w:spacing w:before="60"/>
              <w:rPr>
                <w:color w:val="000000"/>
                <w:sz w:val="20"/>
                <w:szCs w:val="20"/>
              </w:rPr>
            </w:pPr>
          </w:p>
        </w:tc>
        <w:tc>
          <w:tcPr>
            <w:tcW w:w="721" w:type="dxa"/>
          </w:tcPr>
          <w:p w14:paraId="1680639E" w14:textId="77777777" w:rsidR="003E794A" w:rsidRPr="00F930CA" w:rsidRDefault="003E794A" w:rsidP="00C7298F">
            <w:pPr>
              <w:spacing w:before="60"/>
              <w:rPr>
                <w:color w:val="000000"/>
                <w:sz w:val="20"/>
                <w:szCs w:val="20"/>
              </w:rPr>
            </w:pPr>
          </w:p>
        </w:tc>
        <w:tc>
          <w:tcPr>
            <w:tcW w:w="779" w:type="dxa"/>
          </w:tcPr>
          <w:p w14:paraId="567A5E04" w14:textId="77777777" w:rsidR="003E794A" w:rsidRPr="00F930CA" w:rsidRDefault="003E794A" w:rsidP="00C7298F">
            <w:pPr>
              <w:rPr>
                <w:color w:val="000000"/>
                <w:sz w:val="20"/>
                <w:szCs w:val="20"/>
              </w:rPr>
            </w:pPr>
          </w:p>
        </w:tc>
        <w:tc>
          <w:tcPr>
            <w:tcW w:w="1072" w:type="dxa"/>
            <w:gridSpan w:val="3"/>
          </w:tcPr>
          <w:p w14:paraId="2F75B372" w14:textId="77777777" w:rsidR="003E794A" w:rsidRPr="00F930CA" w:rsidRDefault="003E794A" w:rsidP="00C7298F">
            <w:pPr>
              <w:pStyle w:val="Header"/>
              <w:tabs>
                <w:tab w:val="left" w:pos="897"/>
              </w:tabs>
              <w:rPr>
                <w:color w:val="000000"/>
                <w:sz w:val="20"/>
                <w:szCs w:val="20"/>
              </w:rPr>
            </w:pPr>
            <w:r w:rsidRPr="00F930CA">
              <w:rPr>
                <w:color w:val="000000"/>
                <w:sz w:val="20"/>
                <w:szCs w:val="20"/>
              </w:rPr>
              <w:t>5.5.7.5</w:t>
            </w:r>
          </w:p>
        </w:tc>
        <w:tc>
          <w:tcPr>
            <w:tcW w:w="6344" w:type="dxa"/>
            <w:vAlign w:val="center"/>
          </w:tcPr>
          <w:p w14:paraId="5171D6C8" w14:textId="77777777" w:rsidR="003E794A" w:rsidRPr="00F930CA" w:rsidRDefault="003E794A" w:rsidP="00C7298F">
            <w:pPr>
              <w:pStyle w:val="BodyText2"/>
              <w:spacing w:before="0" w:line="240" w:lineRule="auto"/>
              <w:rPr>
                <w:sz w:val="20"/>
                <w:szCs w:val="20"/>
              </w:rPr>
            </w:pPr>
            <w:r w:rsidRPr="00F930CA">
              <w:rPr>
                <w:sz w:val="20"/>
                <w:szCs w:val="20"/>
              </w:rPr>
              <w:t>Any values falling outside these guidelines should be flagged up and discussed with HOS or appropriate before recording results or repeating.</w:t>
            </w:r>
          </w:p>
        </w:tc>
      </w:tr>
      <w:tr w:rsidR="003E794A" w:rsidRPr="00F930CA" w14:paraId="05C2A3BA" w14:textId="77777777" w:rsidTr="00EB24E0">
        <w:trPr>
          <w:cantSplit/>
          <w:trHeight w:val="721"/>
        </w:trPr>
        <w:tc>
          <w:tcPr>
            <w:tcW w:w="740" w:type="dxa"/>
          </w:tcPr>
          <w:p w14:paraId="7F1628D4" w14:textId="77777777" w:rsidR="003E794A" w:rsidRPr="00F930CA" w:rsidRDefault="003E794A" w:rsidP="00C7298F">
            <w:pPr>
              <w:spacing w:before="60"/>
              <w:rPr>
                <w:color w:val="000000"/>
                <w:sz w:val="20"/>
                <w:szCs w:val="20"/>
              </w:rPr>
            </w:pPr>
          </w:p>
        </w:tc>
        <w:tc>
          <w:tcPr>
            <w:tcW w:w="721" w:type="dxa"/>
          </w:tcPr>
          <w:p w14:paraId="10293DB6" w14:textId="77777777" w:rsidR="003E794A" w:rsidRPr="00F930CA" w:rsidRDefault="003E794A" w:rsidP="00C7298F">
            <w:pPr>
              <w:spacing w:before="60"/>
              <w:rPr>
                <w:color w:val="000000"/>
                <w:sz w:val="20"/>
                <w:szCs w:val="20"/>
              </w:rPr>
            </w:pPr>
          </w:p>
        </w:tc>
        <w:tc>
          <w:tcPr>
            <w:tcW w:w="779" w:type="dxa"/>
          </w:tcPr>
          <w:p w14:paraId="193129CA" w14:textId="77777777" w:rsidR="003E794A" w:rsidRPr="00F930CA" w:rsidRDefault="003E794A" w:rsidP="00C7298F">
            <w:pPr>
              <w:spacing w:before="60"/>
              <w:rPr>
                <w:color w:val="000000"/>
                <w:sz w:val="20"/>
                <w:szCs w:val="20"/>
              </w:rPr>
            </w:pPr>
            <w:r w:rsidRPr="00F930CA">
              <w:rPr>
                <w:color w:val="000000"/>
                <w:sz w:val="20"/>
                <w:szCs w:val="20"/>
              </w:rPr>
              <w:t>5.5.8</w:t>
            </w:r>
          </w:p>
        </w:tc>
        <w:tc>
          <w:tcPr>
            <w:tcW w:w="7416" w:type="dxa"/>
            <w:gridSpan w:val="4"/>
            <w:vAlign w:val="center"/>
          </w:tcPr>
          <w:p w14:paraId="0E1CE67B" w14:textId="77777777" w:rsidR="003E794A" w:rsidRPr="00F930CA" w:rsidRDefault="003E794A" w:rsidP="00C7298F">
            <w:pPr>
              <w:pStyle w:val="BodyText"/>
              <w:rPr>
                <w:rFonts w:cs="Arial"/>
                <w:sz w:val="20"/>
                <w:szCs w:val="20"/>
              </w:rPr>
            </w:pPr>
            <w:r w:rsidRPr="00F930CA">
              <w:rPr>
                <w:rFonts w:cs="Arial"/>
                <w:sz w:val="20"/>
                <w:szCs w:val="20"/>
              </w:rPr>
              <w:t>Samples with an NC value of greater than 1000 should be re-tested following treatment with Absorbout beads, produced by OneLambda and provided by VH Bio, following the manufacturers guidelines.</w:t>
            </w:r>
          </w:p>
        </w:tc>
      </w:tr>
      <w:tr w:rsidR="003E794A" w:rsidRPr="00F930CA" w14:paraId="72A004C1" w14:textId="77777777" w:rsidTr="00EB24E0">
        <w:trPr>
          <w:cantSplit/>
          <w:trHeight w:val="887"/>
        </w:trPr>
        <w:tc>
          <w:tcPr>
            <w:tcW w:w="740" w:type="dxa"/>
          </w:tcPr>
          <w:p w14:paraId="170FBC0A" w14:textId="77777777" w:rsidR="003E794A" w:rsidRPr="00F930CA" w:rsidRDefault="003E794A" w:rsidP="00C7298F">
            <w:pPr>
              <w:spacing w:before="60"/>
              <w:rPr>
                <w:color w:val="000000"/>
                <w:sz w:val="20"/>
                <w:szCs w:val="20"/>
              </w:rPr>
            </w:pPr>
          </w:p>
        </w:tc>
        <w:tc>
          <w:tcPr>
            <w:tcW w:w="721" w:type="dxa"/>
          </w:tcPr>
          <w:p w14:paraId="51AD7837" w14:textId="77777777" w:rsidR="003E794A" w:rsidRPr="00F930CA" w:rsidRDefault="003E794A" w:rsidP="00C7298F">
            <w:pPr>
              <w:spacing w:before="60"/>
              <w:rPr>
                <w:color w:val="000000"/>
                <w:sz w:val="20"/>
                <w:szCs w:val="20"/>
              </w:rPr>
            </w:pPr>
          </w:p>
        </w:tc>
        <w:tc>
          <w:tcPr>
            <w:tcW w:w="779" w:type="dxa"/>
          </w:tcPr>
          <w:p w14:paraId="06E9B2BF" w14:textId="77777777" w:rsidR="003E794A" w:rsidRPr="00F930CA" w:rsidRDefault="003E794A" w:rsidP="00C7298F">
            <w:pPr>
              <w:spacing w:before="60"/>
              <w:rPr>
                <w:color w:val="000000"/>
                <w:sz w:val="20"/>
                <w:szCs w:val="20"/>
              </w:rPr>
            </w:pPr>
            <w:r w:rsidRPr="00F930CA">
              <w:rPr>
                <w:color w:val="000000"/>
                <w:sz w:val="20"/>
                <w:szCs w:val="20"/>
              </w:rPr>
              <w:t>5.5.9</w:t>
            </w:r>
          </w:p>
        </w:tc>
        <w:tc>
          <w:tcPr>
            <w:tcW w:w="7416" w:type="dxa"/>
            <w:gridSpan w:val="4"/>
            <w:vAlign w:val="center"/>
          </w:tcPr>
          <w:p w14:paraId="4E7AF7EB" w14:textId="77777777" w:rsidR="003E794A" w:rsidRPr="00F930CA" w:rsidRDefault="003E794A" w:rsidP="00C7298F">
            <w:pPr>
              <w:pStyle w:val="BodyText"/>
              <w:rPr>
                <w:rFonts w:cs="Arial"/>
                <w:sz w:val="20"/>
                <w:szCs w:val="20"/>
              </w:rPr>
            </w:pPr>
            <w:r w:rsidRPr="00F930CA">
              <w:rPr>
                <w:rFonts w:cs="Arial"/>
                <w:sz w:val="20"/>
                <w:szCs w:val="20"/>
              </w:rPr>
              <w:t>For LABScreen mixed analysis a sample should be deemed positive if any Class I bead has a ratio greater than 1.3 and any Class II bead has a ratio greater than 2.5, for the Lot 18 LABScreen mixed bead kit tested using the method described above.</w:t>
            </w:r>
          </w:p>
          <w:p w14:paraId="5E85C47E" w14:textId="77777777" w:rsidR="003E794A" w:rsidRPr="00F930CA" w:rsidRDefault="003E794A" w:rsidP="00C7298F">
            <w:pPr>
              <w:pStyle w:val="BodyText"/>
              <w:rPr>
                <w:rFonts w:cs="Arial"/>
                <w:sz w:val="20"/>
                <w:szCs w:val="20"/>
              </w:rPr>
            </w:pPr>
            <w:r w:rsidRPr="00F930CA">
              <w:rPr>
                <w:rFonts w:cs="Arial"/>
                <w:sz w:val="20"/>
                <w:szCs w:val="20"/>
              </w:rPr>
              <w:t>For Lot 19 LABScreen mixed bead kits, a sample should be deemed positive if any Class I bead has a ratio greater than 4.0 and when any Class II bead has a ratio greater than 5.5.</w:t>
            </w:r>
          </w:p>
          <w:p w14:paraId="4CCFF29C" w14:textId="77777777" w:rsidR="003E794A" w:rsidRPr="00F930CA" w:rsidRDefault="003E794A" w:rsidP="00C7298F">
            <w:pPr>
              <w:autoSpaceDE w:val="0"/>
              <w:autoSpaceDN w:val="0"/>
              <w:adjustRightInd w:val="0"/>
              <w:rPr>
                <w:color w:val="211B29"/>
                <w:sz w:val="20"/>
                <w:szCs w:val="20"/>
                <w:lang w:eastAsia="en-GB"/>
              </w:rPr>
            </w:pPr>
            <w:r w:rsidRPr="00F930CA">
              <w:rPr>
                <w:color w:val="211B29"/>
                <w:sz w:val="20"/>
                <w:szCs w:val="20"/>
                <w:lang w:eastAsia="en-GB"/>
              </w:rPr>
              <w:t>For Lot 20 LABScreen mixed bead kits</w:t>
            </w:r>
            <w:r w:rsidRPr="00F930CA">
              <w:rPr>
                <w:color w:val="5D5868"/>
                <w:sz w:val="20"/>
                <w:szCs w:val="20"/>
                <w:lang w:eastAsia="en-GB"/>
              </w:rPr>
              <w:t xml:space="preserve">, </w:t>
            </w:r>
            <w:r w:rsidRPr="00F930CA">
              <w:rPr>
                <w:color w:val="211B29"/>
                <w:sz w:val="20"/>
                <w:szCs w:val="20"/>
                <w:lang w:eastAsia="en-GB"/>
              </w:rPr>
              <w:t>a sample should be deemed positive if</w:t>
            </w:r>
          </w:p>
          <w:p w14:paraId="609B2688" w14:textId="77777777" w:rsidR="003E794A" w:rsidRPr="00F930CA" w:rsidRDefault="003E794A" w:rsidP="00C7298F">
            <w:pPr>
              <w:autoSpaceDE w:val="0"/>
              <w:autoSpaceDN w:val="0"/>
              <w:adjustRightInd w:val="0"/>
              <w:rPr>
                <w:color w:val="211B29"/>
                <w:sz w:val="20"/>
                <w:szCs w:val="20"/>
                <w:lang w:eastAsia="en-GB"/>
              </w:rPr>
            </w:pPr>
            <w:r w:rsidRPr="00F930CA">
              <w:rPr>
                <w:color w:val="211B29"/>
                <w:sz w:val="20"/>
                <w:szCs w:val="20"/>
                <w:lang w:eastAsia="en-GB"/>
              </w:rPr>
              <w:t>any C</w:t>
            </w:r>
            <w:r w:rsidRPr="00F930CA">
              <w:rPr>
                <w:color w:val="43404C"/>
                <w:sz w:val="20"/>
                <w:szCs w:val="20"/>
                <w:lang w:eastAsia="en-GB"/>
              </w:rPr>
              <w:t>l</w:t>
            </w:r>
            <w:r w:rsidRPr="00F930CA">
              <w:rPr>
                <w:color w:val="211B29"/>
                <w:sz w:val="20"/>
                <w:szCs w:val="20"/>
                <w:lang w:eastAsia="en-GB"/>
              </w:rPr>
              <w:t>ass I bead has a ratio greater than 1.6 and when any Class II bead has a</w:t>
            </w:r>
          </w:p>
          <w:p w14:paraId="3B2223C5" w14:textId="77777777" w:rsidR="003E794A" w:rsidRPr="00F930CA" w:rsidRDefault="003E794A" w:rsidP="00C7298F">
            <w:pPr>
              <w:pStyle w:val="BodyText"/>
              <w:rPr>
                <w:rFonts w:cs="Arial"/>
                <w:color w:val="211B29"/>
                <w:sz w:val="20"/>
                <w:szCs w:val="20"/>
              </w:rPr>
            </w:pPr>
            <w:r w:rsidRPr="00F930CA">
              <w:rPr>
                <w:rFonts w:cs="Arial"/>
                <w:color w:val="211B29"/>
                <w:sz w:val="20"/>
                <w:szCs w:val="20"/>
              </w:rPr>
              <w:t>rat</w:t>
            </w:r>
            <w:r w:rsidRPr="00F930CA">
              <w:rPr>
                <w:rFonts w:cs="Arial"/>
                <w:color w:val="43404C"/>
                <w:sz w:val="20"/>
                <w:szCs w:val="20"/>
              </w:rPr>
              <w:t>i</w:t>
            </w:r>
            <w:r w:rsidRPr="00F930CA">
              <w:rPr>
                <w:rFonts w:cs="Arial"/>
                <w:color w:val="211B29"/>
                <w:sz w:val="20"/>
                <w:szCs w:val="20"/>
              </w:rPr>
              <w:t>o greater than 4.0.</w:t>
            </w:r>
          </w:p>
          <w:p w14:paraId="27C319C7" w14:textId="77777777" w:rsidR="003E794A" w:rsidRPr="00F930CA" w:rsidRDefault="003E794A" w:rsidP="00C311EA">
            <w:pPr>
              <w:autoSpaceDE w:val="0"/>
              <w:autoSpaceDN w:val="0"/>
              <w:adjustRightInd w:val="0"/>
              <w:rPr>
                <w:color w:val="211B29"/>
                <w:sz w:val="20"/>
                <w:szCs w:val="20"/>
                <w:lang w:eastAsia="en-GB"/>
              </w:rPr>
            </w:pPr>
            <w:r w:rsidRPr="00F930CA">
              <w:rPr>
                <w:color w:val="211B29"/>
                <w:sz w:val="20"/>
                <w:szCs w:val="20"/>
                <w:lang w:eastAsia="en-GB"/>
              </w:rPr>
              <w:t>For Lot 22 LABScreen mixed bead kits</w:t>
            </w:r>
            <w:r w:rsidRPr="00F930CA">
              <w:rPr>
                <w:color w:val="5D5868"/>
                <w:sz w:val="20"/>
                <w:szCs w:val="20"/>
                <w:lang w:eastAsia="en-GB"/>
              </w:rPr>
              <w:t xml:space="preserve">, </w:t>
            </w:r>
            <w:r w:rsidRPr="00F930CA">
              <w:rPr>
                <w:color w:val="211B29"/>
                <w:sz w:val="20"/>
                <w:szCs w:val="20"/>
                <w:lang w:eastAsia="en-GB"/>
              </w:rPr>
              <w:t>a sample should be deemed positive if</w:t>
            </w:r>
          </w:p>
          <w:p w14:paraId="02C0BFA3" w14:textId="77777777" w:rsidR="003E794A" w:rsidRPr="00F930CA" w:rsidRDefault="003E794A" w:rsidP="00C311EA">
            <w:pPr>
              <w:autoSpaceDE w:val="0"/>
              <w:autoSpaceDN w:val="0"/>
              <w:adjustRightInd w:val="0"/>
              <w:rPr>
                <w:color w:val="211B29"/>
                <w:sz w:val="20"/>
                <w:szCs w:val="20"/>
                <w:lang w:eastAsia="en-GB"/>
              </w:rPr>
            </w:pPr>
            <w:r w:rsidRPr="00F930CA">
              <w:rPr>
                <w:color w:val="211B29"/>
                <w:sz w:val="20"/>
                <w:szCs w:val="20"/>
                <w:lang w:eastAsia="en-GB"/>
              </w:rPr>
              <w:t>any C</w:t>
            </w:r>
            <w:r w:rsidRPr="00F930CA">
              <w:rPr>
                <w:color w:val="43404C"/>
                <w:sz w:val="20"/>
                <w:szCs w:val="20"/>
                <w:lang w:eastAsia="en-GB"/>
              </w:rPr>
              <w:t>l</w:t>
            </w:r>
            <w:r w:rsidRPr="00F930CA">
              <w:rPr>
                <w:color w:val="211B29"/>
                <w:sz w:val="20"/>
                <w:szCs w:val="20"/>
                <w:lang w:eastAsia="en-GB"/>
              </w:rPr>
              <w:t>ass I bead has a ratio greater than 1.5 and when any Class II bead has a</w:t>
            </w:r>
          </w:p>
          <w:p w14:paraId="3784899C" w14:textId="77777777" w:rsidR="003E794A" w:rsidRPr="00F930CA" w:rsidRDefault="003E794A" w:rsidP="00C311EA">
            <w:pPr>
              <w:pStyle w:val="BodyText"/>
              <w:rPr>
                <w:rFonts w:cs="Arial"/>
                <w:sz w:val="20"/>
                <w:szCs w:val="20"/>
              </w:rPr>
            </w:pPr>
            <w:r w:rsidRPr="00F930CA">
              <w:rPr>
                <w:rFonts w:cs="Arial"/>
                <w:color w:val="211B29"/>
                <w:sz w:val="20"/>
                <w:szCs w:val="20"/>
              </w:rPr>
              <w:t>rat</w:t>
            </w:r>
            <w:r w:rsidRPr="00F930CA">
              <w:rPr>
                <w:rFonts w:cs="Arial"/>
                <w:color w:val="43404C"/>
                <w:sz w:val="20"/>
                <w:szCs w:val="20"/>
              </w:rPr>
              <w:t>i</w:t>
            </w:r>
            <w:r w:rsidRPr="00F930CA">
              <w:rPr>
                <w:rFonts w:cs="Arial"/>
                <w:color w:val="211B29"/>
                <w:sz w:val="20"/>
                <w:szCs w:val="20"/>
              </w:rPr>
              <w:t>o greater than 3.0.</w:t>
            </w:r>
          </w:p>
        </w:tc>
      </w:tr>
      <w:tr w:rsidR="003E794A" w:rsidRPr="00F930CA" w14:paraId="045E1A72" w14:textId="77777777" w:rsidTr="00EB24E0">
        <w:trPr>
          <w:cantSplit/>
          <w:trHeight w:val="132"/>
        </w:trPr>
        <w:tc>
          <w:tcPr>
            <w:tcW w:w="740" w:type="dxa"/>
          </w:tcPr>
          <w:p w14:paraId="7FE36435" w14:textId="77777777" w:rsidR="003E794A" w:rsidRPr="00F930CA" w:rsidRDefault="003E794A" w:rsidP="00C7298F">
            <w:pPr>
              <w:spacing w:before="60"/>
              <w:rPr>
                <w:color w:val="000000"/>
                <w:sz w:val="20"/>
                <w:szCs w:val="20"/>
              </w:rPr>
            </w:pPr>
          </w:p>
        </w:tc>
        <w:tc>
          <w:tcPr>
            <w:tcW w:w="721" w:type="dxa"/>
          </w:tcPr>
          <w:p w14:paraId="51884E72" w14:textId="77777777" w:rsidR="003E794A" w:rsidRPr="00F930CA" w:rsidRDefault="003E794A" w:rsidP="00C7298F">
            <w:pPr>
              <w:spacing w:before="60"/>
              <w:rPr>
                <w:color w:val="000000"/>
                <w:sz w:val="20"/>
                <w:szCs w:val="20"/>
              </w:rPr>
            </w:pPr>
          </w:p>
        </w:tc>
        <w:tc>
          <w:tcPr>
            <w:tcW w:w="779" w:type="dxa"/>
          </w:tcPr>
          <w:p w14:paraId="75365BBB" w14:textId="77777777" w:rsidR="003E794A" w:rsidRPr="00F930CA" w:rsidRDefault="003E794A" w:rsidP="00C7298F">
            <w:pPr>
              <w:spacing w:before="60"/>
              <w:rPr>
                <w:color w:val="000000"/>
                <w:sz w:val="20"/>
                <w:szCs w:val="20"/>
              </w:rPr>
            </w:pPr>
            <w:r w:rsidRPr="00F930CA">
              <w:rPr>
                <w:color w:val="000000"/>
                <w:sz w:val="20"/>
                <w:szCs w:val="20"/>
              </w:rPr>
              <w:t>5.5.10</w:t>
            </w:r>
          </w:p>
        </w:tc>
        <w:tc>
          <w:tcPr>
            <w:tcW w:w="7416" w:type="dxa"/>
            <w:gridSpan w:val="4"/>
            <w:vAlign w:val="center"/>
          </w:tcPr>
          <w:p w14:paraId="4169F97D" w14:textId="77777777" w:rsidR="003E794A" w:rsidRPr="00F930CA" w:rsidRDefault="003E794A" w:rsidP="00C7298F">
            <w:pPr>
              <w:pStyle w:val="BodyText"/>
              <w:rPr>
                <w:rFonts w:cs="Arial"/>
                <w:sz w:val="20"/>
                <w:szCs w:val="20"/>
              </w:rPr>
            </w:pPr>
            <w:r w:rsidRPr="00F930CA">
              <w:rPr>
                <w:rFonts w:cs="Arial"/>
                <w:sz w:val="20"/>
                <w:szCs w:val="20"/>
                <w:lang w:val="en-US"/>
              </w:rPr>
              <w:t>Samples tested using the LABScreen single antigen beads will be regarded as positive for the trial if the mean fluorescence intensity (MFI) of any bead is ≥2000. If any of the positive beads represent a mismatched donor HLA antigen, this will be assigned as DSA+. The number of DSA with an MFI ≥2000 will be recorded to define the Ab 'burden' of an individual patient.</w:t>
            </w:r>
          </w:p>
          <w:p w14:paraId="19950143" w14:textId="77777777" w:rsidR="003E794A" w:rsidRPr="00F930CA" w:rsidRDefault="003E794A" w:rsidP="00C7298F">
            <w:pPr>
              <w:pStyle w:val="BodyText"/>
              <w:rPr>
                <w:rFonts w:cs="Arial"/>
                <w:sz w:val="20"/>
                <w:szCs w:val="20"/>
              </w:rPr>
            </w:pPr>
          </w:p>
        </w:tc>
      </w:tr>
    </w:tbl>
    <w:p w14:paraId="1AE5F7FC" w14:textId="77777777" w:rsidR="003E794A" w:rsidRPr="00BF621A" w:rsidRDefault="003E794A" w:rsidP="00AE5BFB">
      <w:pPr>
        <w:pStyle w:val="BodyText"/>
        <w:rPr>
          <w:rFonts w:cs="Arial"/>
          <w:sz w:val="20"/>
          <w:szCs w:val="20"/>
        </w:rPr>
      </w:pPr>
    </w:p>
    <w:p w14:paraId="1974FF77" w14:textId="5D793057" w:rsidR="00CE19CC" w:rsidRDefault="00CE19CC" w:rsidP="00A44266">
      <w:pPr>
        <w:snapToGrid w:val="0"/>
        <w:spacing w:line="240" w:lineRule="auto"/>
        <w:contextualSpacing/>
      </w:pPr>
    </w:p>
    <w:p w14:paraId="0D4051CD" w14:textId="778ED0EE" w:rsidR="00CE19CC" w:rsidRDefault="00CE19CC" w:rsidP="00A44266">
      <w:pPr>
        <w:snapToGrid w:val="0"/>
        <w:spacing w:line="240" w:lineRule="auto"/>
        <w:contextualSpacing/>
      </w:pPr>
    </w:p>
    <w:p w14:paraId="3CF221CA" w14:textId="30070871" w:rsidR="00CE19CC" w:rsidRDefault="00CE19CC" w:rsidP="00A44266">
      <w:pPr>
        <w:snapToGrid w:val="0"/>
        <w:spacing w:line="240" w:lineRule="auto"/>
        <w:contextualSpacing/>
      </w:pPr>
    </w:p>
    <w:p w14:paraId="3E29977E" w14:textId="77777777" w:rsidR="00CE19CC" w:rsidRDefault="00CE19CC" w:rsidP="00A44266">
      <w:pPr>
        <w:snapToGrid w:val="0"/>
        <w:spacing w:line="240" w:lineRule="auto"/>
        <w:contextualSpacing/>
        <w:sectPr w:rsidR="00CE19CC" w:rsidSect="00601B5B">
          <w:type w:val="continuous"/>
          <w:pgSz w:w="11906" w:h="16838"/>
          <w:pgMar w:top="1440" w:right="1440" w:bottom="1440" w:left="1440" w:header="708" w:footer="708" w:gutter="0"/>
          <w:cols w:space="708"/>
          <w:docGrid w:linePitch="360"/>
        </w:sectPr>
      </w:pPr>
    </w:p>
    <w:p w14:paraId="483D1380" w14:textId="77777777" w:rsidR="00230BCE" w:rsidRDefault="00230BCE" w:rsidP="00A44266">
      <w:pPr>
        <w:snapToGrid w:val="0"/>
        <w:spacing w:line="240" w:lineRule="auto"/>
        <w:contextualSpacing/>
      </w:pPr>
    </w:p>
    <w:p w14:paraId="18DBAA86" w14:textId="0FBBD5D7" w:rsidR="00CE19CC" w:rsidRPr="00332E94" w:rsidRDefault="00CE19CC" w:rsidP="00A44266">
      <w:pPr>
        <w:snapToGrid w:val="0"/>
        <w:spacing w:line="240" w:lineRule="auto"/>
        <w:contextualSpacing/>
      </w:pPr>
    </w:p>
    <w:sectPr w:rsidR="00CE19CC" w:rsidRPr="00332E94" w:rsidSect="00CE19C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363F6" w14:textId="77777777" w:rsidR="00736808" w:rsidRDefault="00736808" w:rsidP="005E54DA">
      <w:pPr>
        <w:spacing w:after="0" w:line="240" w:lineRule="auto"/>
      </w:pPr>
      <w:r>
        <w:separator/>
      </w:r>
    </w:p>
  </w:endnote>
  <w:endnote w:type="continuationSeparator" w:id="0">
    <w:p w14:paraId="1CCE7B75" w14:textId="77777777" w:rsidR="00736808" w:rsidRDefault="00736808" w:rsidP="005E5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8144866"/>
      <w:docPartObj>
        <w:docPartGallery w:val="Page Numbers (Bottom of Page)"/>
        <w:docPartUnique/>
      </w:docPartObj>
    </w:sdtPr>
    <w:sdtContent>
      <w:p w14:paraId="09BE3FCC" w14:textId="1EA09E2C" w:rsidR="005E54DA" w:rsidRDefault="005E54DA" w:rsidP="004F2BE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97D7E">
          <w:rPr>
            <w:rStyle w:val="PageNumber"/>
            <w:noProof/>
          </w:rPr>
          <w:t>4</w:t>
        </w:r>
        <w:r>
          <w:rPr>
            <w:rStyle w:val="PageNumber"/>
          </w:rPr>
          <w:fldChar w:fldCharType="end"/>
        </w:r>
      </w:p>
    </w:sdtContent>
  </w:sdt>
  <w:p w14:paraId="2EEF8D64" w14:textId="77777777" w:rsidR="005E54DA" w:rsidRDefault="005E54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2852999"/>
      <w:docPartObj>
        <w:docPartGallery w:val="Page Numbers (Bottom of Page)"/>
        <w:docPartUnique/>
      </w:docPartObj>
    </w:sdtPr>
    <w:sdtContent>
      <w:p w14:paraId="31A7AD51" w14:textId="669E04BF" w:rsidR="005E54DA" w:rsidRDefault="005E54DA" w:rsidP="004F2BE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F20400" w14:textId="77777777" w:rsidR="005E54DA" w:rsidRDefault="005E54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2305F" w14:textId="77777777" w:rsidR="003532D0" w:rsidRDefault="003532D0" w:rsidP="00BE734F">
    <w:pPr>
      <w:pStyle w:val="Footer"/>
    </w:pP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17</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41</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197B" w14:textId="77777777" w:rsidR="003532D0" w:rsidRDefault="003532D0" w:rsidP="00BE734F">
    <w:pPr>
      <w:pStyle w:val="Footer"/>
    </w:pP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41</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68501" w14:textId="77777777" w:rsidR="005E126D" w:rsidRDefault="005E126D">
    <w:pPr>
      <w:pStyle w:val="Footer"/>
    </w:pP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21</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Pr>
        <w:rFonts w:ascii="Times New Roman" w:hAnsi="Times New Roman" w:cs="Times New Roman"/>
        <w:noProof/>
      </w:rPr>
      <w:t>28</w:t>
    </w:r>
    <w:r>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CBCD2" w14:textId="77777777" w:rsidR="00736808" w:rsidRDefault="00736808" w:rsidP="005E54DA">
      <w:pPr>
        <w:spacing w:after="0" w:line="240" w:lineRule="auto"/>
      </w:pPr>
      <w:r>
        <w:separator/>
      </w:r>
    </w:p>
  </w:footnote>
  <w:footnote w:type="continuationSeparator" w:id="0">
    <w:p w14:paraId="0BDA0DAC" w14:textId="77777777" w:rsidR="00736808" w:rsidRDefault="00736808" w:rsidP="005E54DA">
      <w:pPr>
        <w:spacing w:after="0" w:line="240" w:lineRule="auto"/>
      </w:pPr>
      <w:r>
        <w:continuationSeparator/>
      </w:r>
    </w:p>
  </w:footnote>
  <w:footnote w:id="1">
    <w:p w14:paraId="3F01DA99" w14:textId="77777777" w:rsidR="003532D0" w:rsidRPr="00975880" w:rsidRDefault="003532D0" w:rsidP="003532D0">
      <w:pPr>
        <w:pStyle w:val="FootnoteText"/>
        <w:rPr>
          <w:sz w:val="16"/>
          <w:szCs w:val="16"/>
        </w:rPr>
      </w:pPr>
      <w:r w:rsidRPr="00975880">
        <w:rPr>
          <w:rStyle w:val="FootnoteReference"/>
          <w:sz w:val="16"/>
          <w:szCs w:val="16"/>
        </w:rPr>
        <w:footnoteRef/>
      </w:r>
      <w:r w:rsidRPr="00975880">
        <w:rPr>
          <w:sz w:val="16"/>
          <w:szCs w:val="16"/>
        </w:rPr>
        <w:t xml:space="preserve"> In the transplantation literature, this problem is called ‘late’ allograft failure, in which ‘late’ refers to the lifespan of the transplanted organ. We have changed the term to shift emphasis onto the recipient.</w:t>
      </w:r>
    </w:p>
  </w:footnote>
  <w:footnote w:id="2">
    <w:p w14:paraId="452C0449" w14:textId="77777777" w:rsidR="003532D0" w:rsidRPr="00E70481" w:rsidRDefault="003532D0" w:rsidP="003532D0">
      <w:pPr>
        <w:pStyle w:val="FootnoteText"/>
        <w:rPr>
          <w:sz w:val="18"/>
        </w:rPr>
      </w:pPr>
      <w:r w:rsidRPr="00E70481">
        <w:rPr>
          <w:rStyle w:val="FootnoteReference"/>
          <w:sz w:val="18"/>
        </w:rPr>
        <w:footnoteRef/>
      </w:r>
      <w:r w:rsidRPr="00E70481">
        <w:rPr>
          <w:sz w:val="18"/>
        </w:rPr>
        <w:t xml:space="preserve"> For example, a patient recruited at the beginning of the study into groups C or D, found to have developed HLA Ab on the final screening round, will transfer into groups A or B</w:t>
      </w:r>
      <w:r>
        <w:rPr>
          <w:sz w:val="18"/>
        </w:rPr>
        <w:t xml:space="preserve"> and remain in intensive follow up for another 32 months.</w:t>
      </w:r>
    </w:p>
  </w:footnote>
  <w:footnote w:id="3">
    <w:p w14:paraId="44AD4327" w14:textId="77777777" w:rsidR="003532D0" w:rsidRPr="00F85486" w:rsidRDefault="003532D0" w:rsidP="003532D0">
      <w:pPr>
        <w:pStyle w:val="FootnoteText"/>
        <w:rPr>
          <w:sz w:val="18"/>
          <w:szCs w:val="18"/>
          <w:lang w:val="en-US"/>
        </w:rPr>
      </w:pPr>
      <w:r w:rsidRPr="00F85486">
        <w:rPr>
          <w:rStyle w:val="FootnoteReference"/>
          <w:sz w:val="18"/>
          <w:szCs w:val="18"/>
        </w:rPr>
        <w:footnoteRef/>
      </w:r>
      <w:r w:rsidRPr="00F85486">
        <w:rPr>
          <w:sz w:val="18"/>
          <w:szCs w:val="18"/>
        </w:rPr>
        <w:t xml:space="preserve"> </w:t>
      </w:r>
      <w:r w:rsidRPr="00F85486">
        <w:rPr>
          <w:sz w:val="18"/>
          <w:szCs w:val="18"/>
          <w:lang w:val="en-US"/>
        </w:rPr>
        <w:t>Including virology and pregnancy testing where appropriate.</w:t>
      </w:r>
      <w:r>
        <w:rPr>
          <w:sz w:val="18"/>
          <w:szCs w:val="18"/>
          <w:lang w:val="en-US"/>
        </w:rPr>
        <w:t xml:space="preserve"> </w:t>
      </w:r>
    </w:p>
  </w:footnote>
  <w:footnote w:id="4">
    <w:p w14:paraId="45F618D1" w14:textId="77777777" w:rsidR="003532D0" w:rsidRPr="00F85486" w:rsidRDefault="003532D0" w:rsidP="003532D0">
      <w:pPr>
        <w:pStyle w:val="FootnoteText"/>
        <w:rPr>
          <w:sz w:val="18"/>
          <w:szCs w:val="18"/>
          <w:lang w:val="en-US"/>
        </w:rPr>
      </w:pPr>
      <w:r w:rsidRPr="00F85486">
        <w:rPr>
          <w:rStyle w:val="FootnoteReference"/>
          <w:sz w:val="18"/>
          <w:szCs w:val="18"/>
        </w:rPr>
        <w:footnoteRef/>
      </w:r>
      <w:r w:rsidRPr="00F85486">
        <w:rPr>
          <w:sz w:val="18"/>
          <w:szCs w:val="18"/>
        </w:rPr>
        <w:t xml:space="preserve"> </w:t>
      </w:r>
      <w:r w:rsidRPr="00F85486">
        <w:rPr>
          <w:sz w:val="18"/>
          <w:szCs w:val="18"/>
          <w:lang w:val="en-US"/>
        </w:rPr>
        <w:t>For registration, need to know whether already on tacrolimus and / or MMF/myfortic</w:t>
      </w:r>
      <w:r>
        <w:rPr>
          <w:sz w:val="18"/>
          <w:szCs w:val="18"/>
          <w:lang w:val="en-US"/>
        </w:rPr>
        <w:t>.</w:t>
      </w:r>
    </w:p>
  </w:footnote>
  <w:footnote w:id="5">
    <w:p w14:paraId="0D22E81D" w14:textId="77777777" w:rsidR="003532D0" w:rsidRPr="00F85486" w:rsidRDefault="003532D0" w:rsidP="003532D0">
      <w:pPr>
        <w:pStyle w:val="FootnoteText"/>
        <w:rPr>
          <w:sz w:val="18"/>
          <w:szCs w:val="18"/>
          <w:lang w:val="en-US"/>
        </w:rPr>
      </w:pPr>
      <w:r w:rsidRPr="00F85486">
        <w:rPr>
          <w:rStyle w:val="FootnoteReference"/>
          <w:sz w:val="18"/>
          <w:szCs w:val="18"/>
        </w:rPr>
        <w:footnoteRef/>
      </w:r>
      <w:r w:rsidRPr="00F85486">
        <w:rPr>
          <w:sz w:val="18"/>
          <w:szCs w:val="18"/>
        </w:rPr>
        <w:t xml:space="preserve"> </w:t>
      </w:r>
      <w:r w:rsidRPr="00F85486">
        <w:rPr>
          <w:sz w:val="18"/>
          <w:szCs w:val="18"/>
          <w:lang w:val="en-US"/>
        </w:rPr>
        <w:t>Do this prior to taking blood for HLA Ab screening</w:t>
      </w:r>
    </w:p>
  </w:footnote>
  <w:footnote w:id="6">
    <w:p w14:paraId="0F2F6061" w14:textId="77777777" w:rsidR="003532D0" w:rsidRPr="00E94DE5" w:rsidRDefault="003532D0" w:rsidP="003532D0">
      <w:pPr>
        <w:pStyle w:val="FootnoteText"/>
        <w:rPr>
          <w:lang w:val="en-US"/>
        </w:rPr>
      </w:pPr>
      <w:r>
        <w:rPr>
          <w:rStyle w:val="FootnoteReference"/>
        </w:rPr>
        <w:footnoteRef/>
      </w:r>
      <w:r>
        <w:t xml:space="preserve"> </w:t>
      </w:r>
      <w:r w:rsidRPr="00E94DE5">
        <w:rPr>
          <w:sz w:val="18"/>
          <w:szCs w:val="18"/>
          <w:lang w:val="en-US"/>
        </w:rPr>
        <w:t>Hb, WCC, platelet count</w:t>
      </w:r>
      <w:r>
        <w:rPr>
          <w:sz w:val="18"/>
          <w:szCs w:val="18"/>
          <w:lang w:val="en-US"/>
        </w:rPr>
        <w:t xml:space="preserve"> at all time periods</w:t>
      </w:r>
    </w:p>
  </w:footnote>
  <w:footnote w:id="7">
    <w:p w14:paraId="2791136D" w14:textId="77777777" w:rsidR="003532D0" w:rsidRPr="009240F7" w:rsidRDefault="003532D0" w:rsidP="003532D0">
      <w:pPr>
        <w:pStyle w:val="FootnoteText"/>
        <w:rPr>
          <w:lang w:val="en-US"/>
        </w:rPr>
      </w:pPr>
      <w:r>
        <w:rPr>
          <w:rStyle w:val="FootnoteReference"/>
        </w:rPr>
        <w:footnoteRef/>
      </w:r>
      <w:r>
        <w:t xml:space="preserve"> </w:t>
      </w:r>
      <w:r>
        <w:rPr>
          <w:sz w:val="18"/>
          <w:szCs w:val="18"/>
        </w:rPr>
        <w:t>C</w:t>
      </w:r>
      <w:r w:rsidRPr="00E94DE5">
        <w:rPr>
          <w:sz w:val="18"/>
          <w:szCs w:val="18"/>
        </w:rPr>
        <w:t>reatinine, Na</w:t>
      </w:r>
      <w:r w:rsidRPr="009240F7">
        <w:rPr>
          <w:sz w:val="18"/>
          <w:szCs w:val="18"/>
          <w:vertAlign w:val="superscript"/>
        </w:rPr>
        <w:t>+</w:t>
      </w:r>
      <w:r w:rsidRPr="009240F7">
        <w:rPr>
          <w:sz w:val="18"/>
          <w:szCs w:val="18"/>
        </w:rPr>
        <w:t>, K</w:t>
      </w:r>
      <w:r w:rsidRPr="009240F7">
        <w:rPr>
          <w:sz w:val="18"/>
          <w:szCs w:val="18"/>
          <w:vertAlign w:val="superscript"/>
        </w:rPr>
        <w:t>+</w:t>
      </w:r>
      <w:r w:rsidRPr="009240F7">
        <w:rPr>
          <w:sz w:val="18"/>
          <w:szCs w:val="18"/>
        </w:rPr>
        <w:t xml:space="preserve">, bicarbonate, calcium, CRP, lipid profile, glucose, HbA1c. </w:t>
      </w:r>
    </w:p>
  </w:footnote>
  <w:footnote w:id="8">
    <w:p w14:paraId="03A2FA31" w14:textId="77777777" w:rsidR="003532D0" w:rsidRPr="009240F7" w:rsidRDefault="003532D0" w:rsidP="003532D0">
      <w:pPr>
        <w:pStyle w:val="FootnoteText"/>
        <w:rPr>
          <w:lang w:val="en-US"/>
        </w:rPr>
      </w:pPr>
      <w:r w:rsidRPr="009240F7">
        <w:rPr>
          <w:rStyle w:val="FootnoteReference"/>
        </w:rPr>
        <w:footnoteRef/>
      </w:r>
      <w:r w:rsidRPr="009240F7">
        <w:t xml:space="preserve"> </w:t>
      </w:r>
      <w:r w:rsidRPr="009240F7">
        <w:rPr>
          <w:sz w:val="18"/>
          <w:szCs w:val="18"/>
        </w:rPr>
        <w:t>Creatinine, Na</w:t>
      </w:r>
      <w:r w:rsidRPr="009240F7">
        <w:rPr>
          <w:sz w:val="18"/>
          <w:szCs w:val="18"/>
          <w:vertAlign w:val="superscript"/>
        </w:rPr>
        <w:t>+</w:t>
      </w:r>
      <w:r w:rsidRPr="009240F7">
        <w:rPr>
          <w:sz w:val="18"/>
          <w:szCs w:val="18"/>
        </w:rPr>
        <w:t>, K</w:t>
      </w:r>
      <w:r w:rsidRPr="009240F7">
        <w:rPr>
          <w:sz w:val="18"/>
          <w:szCs w:val="18"/>
          <w:vertAlign w:val="superscript"/>
        </w:rPr>
        <w:t>+</w:t>
      </w:r>
      <w:r w:rsidRPr="009240F7">
        <w:rPr>
          <w:sz w:val="18"/>
          <w:szCs w:val="18"/>
        </w:rPr>
        <w:t>, glucose, HbA1c</w:t>
      </w:r>
    </w:p>
  </w:footnote>
  <w:footnote w:id="9">
    <w:p w14:paraId="1E64E91E" w14:textId="77777777" w:rsidR="003532D0" w:rsidRDefault="003532D0" w:rsidP="003532D0">
      <w:pPr>
        <w:pStyle w:val="FootnoteText"/>
      </w:pPr>
      <w:r>
        <w:rPr>
          <w:rStyle w:val="FootnoteReference"/>
        </w:rPr>
        <w:footnoteRef/>
      </w:r>
      <w:r>
        <w:t xml:space="preserve"> </w:t>
      </w:r>
      <w:r>
        <w:rPr>
          <w:sz w:val="18"/>
          <w:szCs w:val="18"/>
        </w:rPr>
        <w:t>C</w:t>
      </w:r>
      <w:r w:rsidRPr="00E94DE5">
        <w:rPr>
          <w:sz w:val="18"/>
          <w:szCs w:val="18"/>
        </w:rPr>
        <w:t>reatinine, Na</w:t>
      </w:r>
      <w:r w:rsidRPr="009240F7">
        <w:rPr>
          <w:sz w:val="18"/>
          <w:szCs w:val="18"/>
          <w:vertAlign w:val="superscript"/>
        </w:rPr>
        <w:t>+</w:t>
      </w:r>
      <w:r w:rsidRPr="009240F7">
        <w:rPr>
          <w:sz w:val="18"/>
          <w:szCs w:val="18"/>
        </w:rPr>
        <w:t>, K</w:t>
      </w:r>
      <w:r w:rsidRPr="009240F7">
        <w:rPr>
          <w:sz w:val="18"/>
          <w:szCs w:val="18"/>
          <w:vertAlign w:val="superscript"/>
        </w:rPr>
        <w:t>+</w:t>
      </w:r>
      <w:r w:rsidRPr="009240F7">
        <w:rPr>
          <w:sz w:val="18"/>
          <w:szCs w:val="18"/>
        </w:rPr>
        <w:t>, bicarbonate, calcium, CRP, glucose, HbA1c</w:t>
      </w:r>
    </w:p>
  </w:footnote>
  <w:footnote w:id="10">
    <w:p w14:paraId="204FEA09" w14:textId="77777777" w:rsidR="003532D0" w:rsidRDefault="003532D0" w:rsidP="003532D0">
      <w:pPr>
        <w:pStyle w:val="FootnoteText"/>
      </w:pPr>
      <w:r>
        <w:rPr>
          <w:rStyle w:val="FootnoteReference"/>
        </w:rPr>
        <w:footnoteRef/>
      </w:r>
      <w:r>
        <w:rPr>
          <w:sz w:val="18"/>
          <w:szCs w:val="18"/>
        </w:rPr>
        <w:t xml:space="preserve"> As enrolment biochemistry</w:t>
      </w:r>
    </w:p>
  </w:footnote>
  <w:footnote w:id="11">
    <w:p w14:paraId="34D20F59" w14:textId="77777777" w:rsidR="003532D0" w:rsidRPr="00F85486" w:rsidRDefault="003532D0" w:rsidP="003532D0">
      <w:pPr>
        <w:pStyle w:val="FootnoteText"/>
        <w:rPr>
          <w:sz w:val="18"/>
          <w:szCs w:val="18"/>
          <w:lang w:val="en-US"/>
        </w:rPr>
      </w:pPr>
      <w:r w:rsidRPr="009240F7">
        <w:rPr>
          <w:rStyle w:val="FootnoteReference"/>
          <w:sz w:val="18"/>
          <w:szCs w:val="18"/>
        </w:rPr>
        <w:footnoteRef/>
      </w:r>
      <w:r w:rsidRPr="009240F7">
        <w:rPr>
          <w:sz w:val="18"/>
          <w:szCs w:val="18"/>
        </w:rPr>
        <w:t xml:space="preserve"> </w:t>
      </w:r>
      <w:r w:rsidRPr="009240F7">
        <w:rPr>
          <w:sz w:val="18"/>
          <w:szCs w:val="18"/>
          <w:lang w:val="en-US"/>
        </w:rPr>
        <w:t>In those patients having optimization of</w:t>
      </w:r>
      <w:r w:rsidRPr="00F85486">
        <w:rPr>
          <w:sz w:val="18"/>
          <w:szCs w:val="18"/>
          <w:lang w:val="en-US"/>
        </w:rPr>
        <w:t xml:space="preserve"> tacrolimus – continue until trough levels achieved</w:t>
      </w:r>
    </w:p>
  </w:footnote>
  <w:footnote w:id="12">
    <w:p w14:paraId="79A38605" w14:textId="77777777" w:rsidR="003532D0" w:rsidRPr="00F85486" w:rsidRDefault="003532D0" w:rsidP="003532D0">
      <w:pPr>
        <w:pStyle w:val="FootnoteText"/>
        <w:rPr>
          <w:sz w:val="18"/>
          <w:szCs w:val="18"/>
          <w:lang w:val="en-US"/>
        </w:rPr>
      </w:pPr>
      <w:r w:rsidRPr="00F85486">
        <w:rPr>
          <w:rStyle w:val="FootnoteReference"/>
          <w:sz w:val="18"/>
          <w:szCs w:val="18"/>
        </w:rPr>
        <w:footnoteRef/>
      </w:r>
      <w:r w:rsidRPr="00F85486">
        <w:rPr>
          <w:sz w:val="18"/>
          <w:szCs w:val="18"/>
        </w:rPr>
        <w:t xml:space="preserve"> </w:t>
      </w:r>
      <w:r>
        <w:rPr>
          <w:sz w:val="18"/>
          <w:szCs w:val="18"/>
          <w:lang w:val="en-US"/>
        </w:rPr>
        <w:t>At enroll</w:t>
      </w:r>
      <w:r w:rsidRPr="00F85486">
        <w:rPr>
          <w:sz w:val="18"/>
          <w:szCs w:val="18"/>
          <w:lang w:val="en-US"/>
        </w:rPr>
        <w:t>ment</w:t>
      </w:r>
      <w:r>
        <w:rPr>
          <w:sz w:val="18"/>
          <w:szCs w:val="18"/>
          <w:lang w:val="en-US"/>
        </w:rPr>
        <w:t xml:space="preserve">, </w:t>
      </w:r>
      <w:r w:rsidRPr="00F85486">
        <w:rPr>
          <w:sz w:val="18"/>
          <w:szCs w:val="18"/>
          <w:lang w:val="en-US"/>
        </w:rPr>
        <w:t xml:space="preserve">on everyone. Beyond enrollment, send sample from recruits in unblinded HLA Ab-negative group and </w:t>
      </w:r>
      <w:r w:rsidRPr="00785860">
        <w:rPr>
          <w:sz w:val="18"/>
          <w:szCs w:val="18"/>
          <w:u w:val="single"/>
          <w:lang w:val="en-US"/>
        </w:rPr>
        <w:t>ALL</w:t>
      </w:r>
      <w:r w:rsidRPr="00F85486">
        <w:rPr>
          <w:sz w:val="18"/>
          <w:szCs w:val="18"/>
          <w:lang w:val="en-US"/>
        </w:rPr>
        <w:t xml:space="preserve"> blinded </w:t>
      </w:r>
      <w:r>
        <w:rPr>
          <w:sz w:val="18"/>
          <w:szCs w:val="18"/>
          <w:lang w:val="en-US"/>
        </w:rPr>
        <w:t>patients.</w:t>
      </w:r>
    </w:p>
  </w:footnote>
  <w:footnote w:id="13">
    <w:p w14:paraId="115972F8" w14:textId="77777777" w:rsidR="003532D0" w:rsidRPr="00C201CC" w:rsidRDefault="003532D0" w:rsidP="003532D0">
      <w:pPr>
        <w:pStyle w:val="FootnoteText"/>
        <w:rPr>
          <w:sz w:val="18"/>
          <w:szCs w:val="18"/>
          <w:lang w:val="en-US"/>
        </w:rPr>
      </w:pPr>
      <w:r w:rsidRPr="00C201CC">
        <w:rPr>
          <w:rStyle w:val="FootnoteReference"/>
        </w:rPr>
        <w:footnoteRef/>
      </w:r>
      <w:r w:rsidRPr="00C201CC">
        <w:t xml:space="preserve"> </w:t>
      </w:r>
      <w:r w:rsidRPr="00C201CC">
        <w:rPr>
          <w:sz w:val="18"/>
          <w:szCs w:val="18"/>
          <w:lang w:val="en-US"/>
        </w:rPr>
        <w:t xml:space="preserve">Ideally participant will see a physician once a month whilst being optimized. Visit details are recorded in an Optimisation Log and not in the eCRF. </w:t>
      </w:r>
    </w:p>
  </w:footnote>
  <w:footnote w:id="14">
    <w:p w14:paraId="2F9C3F07" w14:textId="77777777" w:rsidR="003532D0" w:rsidRPr="00E70481" w:rsidRDefault="003532D0" w:rsidP="003532D0">
      <w:pPr>
        <w:pStyle w:val="FootnoteText"/>
        <w:rPr>
          <w:sz w:val="18"/>
        </w:rPr>
      </w:pPr>
      <w:r w:rsidRPr="00E70481">
        <w:rPr>
          <w:rStyle w:val="FootnoteReference"/>
          <w:sz w:val="18"/>
        </w:rPr>
        <w:footnoteRef/>
      </w:r>
      <w:r w:rsidRPr="00E70481">
        <w:rPr>
          <w:sz w:val="18"/>
        </w:rPr>
        <w:t xml:space="preserve"> Here </w:t>
      </w:r>
      <w:r>
        <w:t>h</w:t>
      </w:r>
      <w:r w:rsidRPr="00995459">
        <w:rPr>
          <w:vertAlign w:val="subscript"/>
        </w:rPr>
        <w:t>A1</w:t>
      </w:r>
      <w:r>
        <w:t>(t)</w:t>
      </w:r>
      <w:r w:rsidRPr="00E70481">
        <w:rPr>
          <w:sz w:val="18"/>
        </w:rPr>
        <w:t xml:space="preserve">, </w:t>
      </w:r>
      <w:r>
        <w:t>h</w:t>
      </w:r>
      <w:r>
        <w:rPr>
          <w:vertAlign w:val="subscript"/>
        </w:rPr>
        <w:t>B</w:t>
      </w:r>
      <w:r w:rsidRPr="00995459">
        <w:rPr>
          <w:vertAlign w:val="subscript"/>
        </w:rPr>
        <w:t>1</w:t>
      </w:r>
      <w:r>
        <w:t>(t)</w:t>
      </w:r>
      <w:r w:rsidRPr="00E70481">
        <w:rPr>
          <w:sz w:val="18"/>
        </w:rPr>
        <w:t xml:space="preserve">, etc. represent the </w:t>
      </w:r>
      <w:r>
        <w:rPr>
          <w:sz w:val="18"/>
        </w:rPr>
        <w:t>graft failure hazard rates</w:t>
      </w:r>
      <w:r w:rsidRPr="00E70481">
        <w:rPr>
          <w:sz w:val="18"/>
        </w:rPr>
        <w:t xml:space="preserve"> in each of the groups. </w:t>
      </w:r>
    </w:p>
  </w:footnote>
  <w:footnote w:id="15">
    <w:p w14:paraId="182ACC75" w14:textId="77777777" w:rsidR="003532D0" w:rsidRPr="001676CB" w:rsidRDefault="003532D0" w:rsidP="003532D0">
      <w:pPr>
        <w:pStyle w:val="FootnoteText"/>
        <w:rPr>
          <w:sz w:val="16"/>
          <w:szCs w:val="16"/>
          <w:lang w:val="en-US"/>
        </w:rPr>
      </w:pPr>
      <w:r w:rsidRPr="001676CB">
        <w:rPr>
          <w:rStyle w:val="FootnoteReference"/>
          <w:sz w:val="16"/>
          <w:szCs w:val="16"/>
        </w:rPr>
        <w:footnoteRef/>
      </w:r>
      <w:r w:rsidRPr="001676CB">
        <w:rPr>
          <w:sz w:val="16"/>
          <w:szCs w:val="16"/>
        </w:rPr>
        <w:t xml:space="preserve"> </w:t>
      </w:r>
      <w:r w:rsidRPr="001676CB">
        <w:rPr>
          <w:sz w:val="16"/>
          <w:szCs w:val="16"/>
          <w:lang w:val="en-US"/>
        </w:rPr>
        <w:t>NB these should be collected as end-points and not reported as adverse reactions</w:t>
      </w:r>
    </w:p>
  </w:footnote>
  <w:footnote w:id="16">
    <w:p w14:paraId="3CF260F9" w14:textId="77777777" w:rsidR="003532D0" w:rsidRPr="001676CB" w:rsidRDefault="003532D0" w:rsidP="003532D0">
      <w:pPr>
        <w:pStyle w:val="FootnoteText"/>
        <w:rPr>
          <w:sz w:val="16"/>
          <w:szCs w:val="16"/>
          <w:lang w:val="en-US"/>
        </w:rPr>
      </w:pPr>
      <w:r w:rsidRPr="001676CB">
        <w:rPr>
          <w:rStyle w:val="FootnoteReference"/>
          <w:sz w:val="16"/>
          <w:szCs w:val="16"/>
        </w:rPr>
        <w:footnoteRef/>
      </w:r>
      <w:r w:rsidRPr="001676CB">
        <w:rPr>
          <w:sz w:val="16"/>
          <w:szCs w:val="16"/>
        </w:rPr>
        <w:t xml:space="preserve"> </w:t>
      </w:r>
      <w:r w:rsidRPr="001676CB">
        <w:rPr>
          <w:sz w:val="16"/>
          <w:szCs w:val="16"/>
          <w:lang w:val="en-US"/>
        </w:rPr>
        <w:t>As for infections and infestations</w:t>
      </w:r>
    </w:p>
  </w:footnote>
  <w:footnote w:id="17">
    <w:p w14:paraId="397EFA56" w14:textId="77777777" w:rsidR="003532D0" w:rsidRPr="000A634A" w:rsidRDefault="003532D0" w:rsidP="003532D0">
      <w:pPr>
        <w:pStyle w:val="FootnoteText"/>
        <w:rPr>
          <w:sz w:val="16"/>
          <w:szCs w:val="16"/>
          <w:lang w:val="en-US"/>
        </w:rPr>
      </w:pPr>
      <w:r w:rsidRPr="000A634A">
        <w:rPr>
          <w:rStyle w:val="FootnoteReference"/>
          <w:sz w:val="16"/>
          <w:szCs w:val="16"/>
        </w:rPr>
        <w:footnoteRef/>
      </w:r>
      <w:r w:rsidRPr="000A634A">
        <w:rPr>
          <w:sz w:val="16"/>
          <w:szCs w:val="16"/>
        </w:rPr>
        <w:t xml:space="preserve"> </w:t>
      </w:r>
      <w:r w:rsidRPr="000A634A">
        <w:rPr>
          <w:sz w:val="16"/>
          <w:szCs w:val="16"/>
          <w:lang w:val="en-US"/>
        </w:rPr>
        <w:t>Normal transplant clinic monitoring as per unit protocol</w:t>
      </w:r>
    </w:p>
  </w:footnote>
  <w:footnote w:id="18">
    <w:p w14:paraId="575692D4" w14:textId="77777777" w:rsidR="003532D0" w:rsidRPr="001676CB" w:rsidRDefault="003532D0" w:rsidP="003532D0">
      <w:pPr>
        <w:pStyle w:val="FootnoteText"/>
        <w:rPr>
          <w:sz w:val="16"/>
          <w:szCs w:val="16"/>
          <w:lang w:val="en-US"/>
        </w:rPr>
      </w:pPr>
      <w:r w:rsidRPr="001676CB">
        <w:rPr>
          <w:rStyle w:val="FootnoteReference"/>
          <w:sz w:val="16"/>
          <w:szCs w:val="16"/>
        </w:rPr>
        <w:footnoteRef/>
      </w:r>
      <w:r w:rsidRPr="001676CB">
        <w:rPr>
          <w:sz w:val="16"/>
          <w:szCs w:val="16"/>
        </w:rPr>
        <w:t xml:space="preserve"> </w:t>
      </w:r>
      <w:r w:rsidRPr="001676CB">
        <w:rPr>
          <w:sz w:val="16"/>
          <w:szCs w:val="16"/>
          <w:lang w:val="en-US"/>
        </w:rPr>
        <w:t>As for infections and infestations</w:t>
      </w:r>
    </w:p>
  </w:footnote>
  <w:footnote w:id="19">
    <w:p w14:paraId="2F4BA3D6" w14:textId="77777777" w:rsidR="003532D0" w:rsidRPr="006F536F" w:rsidRDefault="003532D0" w:rsidP="003532D0">
      <w:pPr>
        <w:pStyle w:val="FootnoteText"/>
        <w:rPr>
          <w:sz w:val="16"/>
          <w:szCs w:val="16"/>
          <w:lang w:val="en-US"/>
        </w:rPr>
      </w:pPr>
      <w:r w:rsidRPr="006F536F">
        <w:rPr>
          <w:rStyle w:val="FootnoteReference"/>
          <w:sz w:val="16"/>
          <w:szCs w:val="16"/>
        </w:rPr>
        <w:footnoteRef/>
      </w:r>
      <w:r w:rsidRPr="006F536F">
        <w:rPr>
          <w:sz w:val="16"/>
          <w:szCs w:val="16"/>
        </w:rPr>
        <w:t xml:space="preserve"> </w:t>
      </w:r>
      <w:r w:rsidRPr="006F536F">
        <w:rPr>
          <w:sz w:val="16"/>
          <w:szCs w:val="16"/>
          <w:lang w:val="en-US"/>
        </w:rPr>
        <w:t>Patients with known hypersensitivity to any of the IMPs are excluded from the trial</w:t>
      </w:r>
    </w:p>
  </w:footnote>
  <w:footnote w:id="20">
    <w:p w14:paraId="03D913E6" w14:textId="77777777" w:rsidR="003532D0" w:rsidRPr="001676CB" w:rsidRDefault="003532D0" w:rsidP="003532D0">
      <w:pPr>
        <w:pStyle w:val="FootnoteText"/>
        <w:rPr>
          <w:sz w:val="16"/>
          <w:szCs w:val="16"/>
          <w:lang w:val="en-US"/>
        </w:rPr>
      </w:pPr>
      <w:r w:rsidRPr="001676CB">
        <w:rPr>
          <w:rStyle w:val="FootnoteReference"/>
          <w:sz w:val="16"/>
          <w:szCs w:val="16"/>
        </w:rPr>
        <w:footnoteRef/>
      </w:r>
      <w:r w:rsidRPr="001676CB">
        <w:rPr>
          <w:sz w:val="16"/>
          <w:szCs w:val="16"/>
        </w:rPr>
        <w:t xml:space="preserve"> </w:t>
      </w:r>
      <w:r w:rsidRPr="001676CB">
        <w:rPr>
          <w:sz w:val="16"/>
          <w:szCs w:val="16"/>
          <w:lang w:val="en-US"/>
        </w:rPr>
        <w:t>NB these should be collected as end-points and not reported as adverse reactions</w:t>
      </w:r>
    </w:p>
  </w:footnote>
  <w:footnote w:id="21">
    <w:p w14:paraId="39DD1926" w14:textId="77777777" w:rsidR="003532D0" w:rsidRPr="001676CB" w:rsidRDefault="003532D0" w:rsidP="003532D0">
      <w:pPr>
        <w:pStyle w:val="FootnoteText"/>
        <w:rPr>
          <w:sz w:val="16"/>
          <w:szCs w:val="16"/>
          <w:lang w:val="en-US"/>
        </w:rPr>
      </w:pPr>
      <w:r w:rsidRPr="001676CB">
        <w:rPr>
          <w:rStyle w:val="FootnoteReference"/>
          <w:sz w:val="16"/>
          <w:szCs w:val="16"/>
        </w:rPr>
        <w:footnoteRef/>
      </w:r>
      <w:r w:rsidRPr="001676CB">
        <w:rPr>
          <w:sz w:val="16"/>
          <w:szCs w:val="16"/>
        </w:rPr>
        <w:t xml:space="preserve"> </w:t>
      </w:r>
      <w:r w:rsidRPr="001676CB">
        <w:rPr>
          <w:sz w:val="16"/>
          <w:szCs w:val="16"/>
          <w:lang w:val="en-US"/>
        </w:rPr>
        <w:t>As for infections and infestations</w:t>
      </w:r>
    </w:p>
  </w:footnote>
  <w:footnote w:id="22">
    <w:p w14:paraId="721AA24A" w14:textId="77777777" w:rsidR="003532D0" w:rsidRPr="006F536F" w:rsidRDefault="003532D0" w:rsidP="003532D0">
      <w:pPr>
        <w:pStyle w:val="FootnoteText"/>
        <w:rPr>
          <w:sz w:val="16"/>
          <w:szCs w:val="16"/>
          <w:lang w:val="en-US"/>
        </w:rPr>
      </w:pPr>
      <w:r w:rsidRPr="006F536F">
        <w:rPr>
          <w:rStyle w:val="FootnoteReference"/>
          <w:sz w:val="16"/>
          <w:szCs w:val="16"/>
        </w:rPr>
        <w:footnoteRef/>
      </w:r>
      <w:r w:rsidRPr="006F536F">
        <w:rPr>
          <w:sz w:val="16"/>
          <w:szCs w:val="16"/>
        </w:rPr>
        <w:t xml:space="preserve"> </w:t>
      </w:r>
      <w:r w:rsidRPr="006F536F">
        <w:rPr>
          <w:sz w:val="16"/>
          <w:szCs w:val="16"/>
          <w:lang w:val="en-US"/>
        </w:rPr>
        <w:t>Patients with known hypersensitivity to any of the IMPs are excluded from the trial</w:t>
      </w:r>
    </w:p>
  </w:footnote>
  <w:footnote w:id="23">
    <w:p w14:paraId="02D0E8C6" w14:textId="77777777" w:rsidR="003532D0" w:rsidRPr="00C223EF" w:rsidRDefault="003532D0" w:rsidP="003532D0">
      <w:pPr>
        <w:pStyle w:val="FootnoteText"/>
        <w:rPr>
          <w:sz w:val="16"/>
          <w:szCs w:val="16"/>
          <w:lang w:val="en-US"/>
        </w:rPr>
      </w:pPr>
      <w:r w:rsidRPr="00C223EF">
        <w:rPr>
          <w:rStyle w:val="FootnoteReference"/>
          <w:sz w:val="16"/>
          <w:szCs w:val="16"/>
        </w:rPr>
        <w:footnoteRef/>
      </w:r>
      <w:r w:rsidRPr="00C223EF">
        <w:rPr>
          <w:sz w:val="16"/>
          <w:szCs w:val="16"/>
        </w:rPr>
        <w:t xml:space="preserve"> </w:t>
      </w:r>
      <w:r w:rsidRPr="00C223EF">
        <w:rPr>
          <w:sz w:val="16"/>
          <w:szCs w:val="16"/>
          <w:lang w:val="en-US"/>
        </w:rPr>
        <w:t>DM is one of the end-points and serum glucoses should be recorded on CRF</w:t>
      </w:r>
    </w:p>
  </w:footnote>
  <w:footnote w:id="24">
    <w:p w14:paraId="237E9905" w14:textId="77777777" w:rsidR="003532D0" w:rsidRPr="001676CB" w:rsidRDefault="003532D0" w:rsidP="003532D0">
      <w:pPr>
        <w:pStyle w:val="FootnoteText"/>
        <w:rPr>
          <w:sz w:val="16"/>
          <w:szCs w:val="16"/>
          <w:lang w:val="en-US"/>
        </w:rPr>
      </w:pPr>
      <w:r w:rsidRPr="001676CB">
        <w:rPr>
          <w:rStyle w:val="FootnoteReference"/>
          <w:sz w:val="16"/>
          <w:szCs w:val="16"/>
        </w:rPr>
        <w:footnoteRef/>
      </w:r>
      <w:r w:rsidRPr="001676CB">
        <w:rPr>
          <w:sz w:val="16"/>
          <w:szCs w:val="16"/>
        </w:rPr>
        <w:t xml:space="preserve"> </w:t>
      </w:r>
      <w:r w:rsidRPr="001676CB">
        <w:rPr>
          <w:sz w:val="16"/>
          <w:szCs w:val="16"/>
          <w:lang w:val="en-US"/>
        </w:rPr>
        <w:t>As for infections and infestations</w:t>
      </w:r>
    </w:p>
  </w:footnote>
  <w:footnote w:id="25">
    <w:p w14:paraId="4AC12B49" w14:textId="77777777" w:rsidR="003532D0" w:rsidRPr="001676CB" w:rsidRDefault="003532D0" w:rsidP="003532D0">
      <w:pPr>
        <w:pStyle w:val="FootnoteText"/>
        <w:rPr>
          <w:sz w:val="16"/>
          <w:szCs w:val="16"/>
          <w:lang w:val="en-US"/>
        </w:rPr>
      </w:pPr>
      <w:r w:rsidRPr="001676CB">
        <w:rPr>
          <w:rStyle w:val="FootnoteReference"/>
          <w:sz w:val="16"/>
          <w:szCs w:val="16"/>
        </w:rPr>
        <w:footnoteRef/>
      </w:r>
      <w:r w:rsidRPr="001676CB">
        <w:rPr>
          <w:sz w:val="16"/>
          <w:szCs w:val="16"/>
        </w:rPr>
        <w:t xml:space="preserve"> </w:t>
      </w:r>
      <w:r w:rsidRPr="001676CB">
        <w:rPr>
          <w:sz w:val="16"/>
          <w:szCs w:val="16"/>
          <w:lang w:val="en-US"/>
        </w:rPr>
        <w:t>NB these should be collected as end-points and not reported as adverse reactions</w:t>
      </w:r>
    </w:p>
  </w:footnote>
  <w:footnote w:id="26">
    <w:p w14:paraId="2367A5D1" w14:textId="77777777" w:rsidR="005E126D" w:rsidRPr="00E70481" w:rsidRDefault="005E126D" w:rsidP="005E126D">
      <w:pPr>
        <w:pStyle w:val="FootnoteText"/>
        <w:rPr>
          <w:sz w:val="18"/>
        </w:rPr>
      </w:pPr>
      <w:r w:rsidRPr="00E70481">
        <w:rPr>
          <w:rStyle w:val="FootnoteReference"/>
          <w:sz w:val="18"/>
        </w:rPr>
        <w:footnoteRef/>
      </w:r>
      <w:r w:rsidRPr="00E70481">
        <w:rPr>
          <w:sz w:val="18"/>
        </w:rPr>
        <w:t xml:space="preserve"> For example, a patient recruited at the beginning of the study into groups C or D, found to have developed HLA Ab on the final screening round, will transfer into groups A or B</w:t>
      </w:r>
      <w:r>
        <w:rPr>
          <w:sz w:val="18"/>
        </w:rPr>
        <w:t xml:space="preserve"> and remain in intensive follow up for another 32 months.</w:t>
      </w:r>
    </w:p>
  </w:footnote>
  <w:footnote w:id="27">
    <w:p w14:paraId="5A511652" w14:textId="77777777" w:rsidR="005E126D" w:rsidRPr="00F85486" w:rsidRDefault="005E126D" w:rsidP="005E126D">
      <w:pPr>
        <w:pStyle w:val="FootnoteText"/>
        <w:rPr>
          <w:sz w:val="18"/>
          <w:szCs w:val="18"/>
          <w:lang w:val="en-US"/>
        </w:rPr>
      </w:pPr>
      <w:r w:rsidRPr="00F85486">
        <w:rPr>
          <w:rStyle w:val="FootnoteReference"/>
          <w:sz w:val="18"/>
          <w:szCs w:val="18"/>
        </w:rPr>
        <w:footnoteRef/>
      </w:r>
      <w:r w:rsidRPr="00F85486">
        <w:rPr>
          <w:sz w:val="18"/>
          <w:szCs w:val="18"/>
        </w:rPr>
        <w:t xml:space="preserve"> </w:t>
      </w:r>
      <w:r w:rsidRPr="00F85486">
        <w:rPr>
          <w:sz w:val="18"/>
          <w:szCs w:val="18"/>
          <w:lang w:val="en-US"/>
        </w:rPr>
        <w:t>Including virology and pregnancy testing where appropriate.</w:t>
      </w:r>
      <w:r>
        <w:rPr>
          <w:sz w:val="18"/>
          <w:szCs w:val="18"/>
          <w:lang w:val="en-US"/>
        </w:rPr>
        <w:t xml:space="preserve"> </w:t>
      </w:r>
    </w:p>
  </w:footnote>
  <w:footnote w:id="28">
    <w:p w14:paraId="73D227FF" w14:textId="77777777" w:rsidR="005E126D" w:rsidRPr="00F85486" w:rsidRDefault="005E126D" w:rsidP="005E126D">
      <w:pPr>
        <w:pStyle w:val="FootnoteText"/>
        <w:rPr>
          <w:sz w:val="18"/>
          <w:szCs w:val="18"/>
          <w:lang w:val="en-US"/>
        </w:rPr>
      </w:pPr>
      <w:r w:rsidRPr="00F85486">
        <w:rPr>
          <w:rStyle w:val="FootnoteReference"/>
          <w:sz w:val="18"/>
          <w:szCs w:val="18"/>
        </w:rPr>
        <w:footnoteRef/>
      </w:r>
      <w:r w:rsidRPr="00F85486">
        <w:rPr>
          <w:sz w:val="18"/>
          <w:szCs w:val="18"/>
        </w:rPr>
        <w:t xml:space="preserve"> </w:t>
      </w:r>
      <w:r w:rsidRPr="00F85486">
        <w:rPr>
          <w:sz w:val="18"/>
          <w:szCs w:val="18"/>
          <w:lang w:val="en-US"/>
        </w:rPr>
        <w:t>For registration, need to know whether already on tacrolimus and / or MMF/myfortic</w:t>
      </w:r>
      <w:r>
        <w:rPr>
          <w:sz w:val="18"/>
          <w:szCs w:val="18"/>
          <w:lang w:val="en-US"/>
        </w:rPr>
        <w:t>.</w:t>
      </w:r>
    </w:p>
  </w:footnote>
  <w:footnote w:id="29">
    <w:p w14:paraId="6055442A" w14:textId="77777777" w:rsidR="005E126D" w:rsidRPr="00F85486" w:rsidRDefault="005E126D" w:rsidP="005E126D">
      <w:pPr>
        <w:pStyle w:val="FootnoteText"/>
        <w:rPr>
          <w:sz w:val="18"/>
          <w:szCs w:val="18"/>
          <w:lang w:val="en-US"/>
        </w:rPr>
      </w:pPr>
      <w:r w:rsidRPr="00F85486">
        <w:rPr>
          <w:rStyle w:val="FootnoteReference"/>
          <w:sz w:val="18"/>
          <w:szCs w:val="18"/>
        </w:rPr>
        <w:footnoteRef/>
      </w:r>
      <w:r w:rsidRPr="00F85486">
        <w:rPr>
          <w:sz w:val="18"/>
          <w:szCs w:val="18"/>
        </w:rPr>
        <w:t xml:space="preserve"> </w:t>
      </w:r>
      <w:r w:rsidRPr="00F85486">
        <w:rPr>
          <w:sz w:val="18"/>
          <w:szCs w:val="18"/>
          <w:lang w:val="en-US"/>
        </w:rPr>
        <w:t>Do this prior to taking blood for HLA Ab screening</w:t>
      </w:r>
    </w:p>
  </w:footnote>
  <w:footnote w:id="30">
    <w:p w14:paraId="4224FA11" w14:textId="77777777" w:rsidR="005E126D" w:rsidRPr="00E94DE5" w:rsidRDefault="005E126D" w:rsidP="005E126D">
      <w:pPr>
        <w:pStyle w:val="FootnoteText"/>
        <w:rPr>
          <w:lang w:val="en-US"/>
        </w:rPr>
      </w:pPr>
      <w:r>
        <w:rPr>
          <w:rStyle w:val="FootnoteReference"/>
        </w:rPr>
        <w:footnoteRef/>
      </w:r>
      <w:r>
        <w:t xml:space="preserve"> </w:t>
      </w:r>
      <w:r w:rsidRPr="00E94DE5">
        <w:rPr>
          <w:sz w:val="18"/>
          <w:szCs w:val="18"/>
          <w:lang w:val="en-US"/>
        </w:rPr>
        <w:t>Hb, WCC, platelet count</w:t>
      </w:r>
      <w:r>
        <w:rPr>
          <w:sz w:val="18"/>
          <w:szCs w:val="18"/>
          <w:lang w:val="en-US"/>
        </w:rPr>
        <w:t xml:space="preserve"> at all time periods</w:t>
      </w:r>
    </w:p>
  </w:footnote>
  <w:footnote w:id="31">
    <w:p w14:paraId="1F9A2CDA" w14:textId="77777777" w:rsidR="005E126D" w:rsidRPr="009240F7" w:rsidRDefault="005E126D" w:rsidP="005E126D">
      <w:pPr>
        <w:pStyle w:val="FootnoteText"/>
        <w:rPr>
          <w:lang w:val="en-US"/>
        </w:rPr>
      </w:pPr>
      <w:r>
        <w:rPr>
          <w:rStyle w:val="FootnoteReference"/>
        </w:rPr>
        <w:footnoteRef/>
      </w:r>
      <w:r>
        <w:t xml:space="preserve"> </w:t>
      </w:r>
      <w:r>
        <w:rPr>
          <w:sz w:val="18"/>
          <w:szCs w:val="18"/>
        </w:rPr>
        <w:t>C</w:t>
      </w:r>
      <w:r w:rsidRPr="00E94DE5">
        <w:rPr>
          <w:sz w:val="18"/>
          <w:szCs w:val="18"/>
        </w:rPr>
        <w:t>reatinine, Na</w:t>
      </w:r>
      <w:r w:rsidRPr="009240F7">
        <w:rPr>
          <w:sz w:val="18"/>
          <w:szCs w:val="18"/>
          <w:vertAlign w:val="superscript"/>
        </w:rPr>
        <w:t>+</w:t>
      </w:r>
      <w:r w:rsidRPr="009240F7">
        <w:rPr>
          <w:sz w:val="18"/>
          <w:szCs w:val="18"/>
        </w:rPr>
        <w:t>, K</w:t>
      </w:r>
      <w:r w:rsidRPr="009240F7">
        <w:rPr>
          <w:sz w:val="18"/>
          <w:szCs w:val="18"/>
          <w:vertAlign w:val="superscript"/>
        </w:rPr>
        <w:t>+</w:t>
      </w:r>
      <w:r w:rsidRPr="009240F7">
        <w:rPr>
          <w:sz w:val="18"/>
          <w:szCs w:val="18"/>
        </w:rPr>
        <w:t xml:space="preserve">, bicarbonate, calcium, CRP, lipid profile, glucose, HbA1c. </w:t>
      </w:r>
    </w:p>
  </w:footnote>
  <w:footnote w:id="32">
    <w:p w14:paraId="78B77664" w14:textId="77777777" w:rsidR="005E126D" w:rsidRPr="009240F7" w:rsidRDefault="005E126D" w:rsidP="005E126D">
      <w:pPr>
        <w:pStyle w:val="FootnoteText"/>
        <w:rPr>
          <w:lang w:val="en-US"/>
        </w:rPr>
      </w:pPr>
      <w:r w:rsidRPr="009240F7">
        <w:rPr>
          <w:rStyle w:val="FootnoteReference"/>
        </w:rPr>
        <w:footnoteRef/>
      </w:r>
      <w:r w:rsidRPr="009240F7">
        <w:t xml:space="preserve"> </w:t>
      </w:r>
      <w:r w:rsidRPr="009240F7">
        <w:rPr>
          <w:sz w:val="18"/>
          <w:szCs w:val="18"/>
        </w:rPr>
        <w:t>Creatinine, Na</w:t>
      </w:r>
      <w:r w:rsidRPr="009240F7">
        <w:rPr>
          <w:sz w:val="18"/>
          <w:szCs w:val="18"/>
          <w:vertAlign w:val="superscript"/>
        </w:rPr>
        <w:t>+</w:t>
      </w:r>
      <w:r w:rsidRPr="009240F7">
        <w:rPr>
          <w:sz w:val="18"/>
          <w:szCs w:val="18"/>
        </w:rPr>
        <w:t>, K</w:t>
      </w:r>
      <w:r w:rsidRPr="009240F7">
        <w:rPr>
          <w:sz w:val="18"/>
          <w:szCs w:val="18"/>
          <w:vertAlign w:val="superscript"/>
        </w:rPr>
        <w:t>+</w:t>
      </w:r>
      <w:r w:rsidRPr="009240F7">
        <w:rPr>
          <w:sz w:val="18"/>
          <w:szCs w:val="18"/>
        </w:rPr>
        <w:t>, glucose, HbA1c</w:t>
      </w:r>
    </w:p>
  </w:footnote>
  <w:footnote w:id="33">
    <w:p w14:paraId="3145DA4F" w14:textId="77777777" w:rsidR="005E126D" w:rsidRDefault="005E126D" w:rsidP="005E126D">
      <w:pPr>
        <w:pStyle w:val="FootnoteText"/>
      </w:pPr>
      <w:r>
        <w:rPr>
          <w:rStyle w:val="FootnoteReference"/>
        </w:rPr>
        <w:footnoteRef/>
      </w:r>
      <w:r>
        <w:t xml:space="preserve"> </w:t>
      </w:r>
      <w:r>
        <w:rPr>
          <w:sz w:val="18"/>
          <w:szCs w:val="18"/>
        </w:rPr>
        <w:t>C</w:t>
      </w:r>
      <w:r w:rsidRPr="00E94DE5">
        <w:rPr>
          <w:sz w:val="18"/>
          <w:szCs w:val="18"/>
        </w:rPr>
        <w:t>reatinine, Na</w:t>
      </w:r>
      <w:r w:rsidRPr="009240F7">
        <w:rPr>
          <w:sz w:val="18"/>
          <w:szCs w:val="18"/>
          <w:vertAlign w:val="superscript"/>
        </w:rPr>
        <w:t>+</w:t>
      </w:r>
      <w:r w:rsidRPr="009240F7">
        <w:rPr>
          <w:sz w:val="18"/>
          <w:szCs w:val="18"/>
        </w:rPr>
        <w:t>, K</w:t>
      </w:r>
      <w:r w:rsidRPr="009240F7">
        <w:rPr>
          <w:sz w:val="18"/>
          <w:szCs w:val="18"/>
          <w:vertAlign w:val="superscript"/>
        </w:rPr>
        <w:t>+</w:t>
      </w:r>
      <w:r w:rsidRPr="009240F7">
        <w:rPr>
          <w:sz w:val="18"/>
          <w:szCs w:val="18"/>
        </w:rPr>
        <w:t>, bicarbonate, calcium, CRP, glucose, HbA1c</w:t>
      </w:r>
    </w:p>
  </w:footnote>
  <w:footnote w:id="34">
    <w:p w14:paraId="5FD4C577" w14:textId="77777777" w:rsidR="005E126D" w:rsidRDefault="005E126D" w:rsidP="005E126D">
      <w:pPr>
        <w:pStyle w:val="FootnoteText"/>
      </w:pPr>
      <w:r>
        <w:rPr>
          <w:rStyle w:val="FootnoteReference"/>
        </w:rPr>
        <w:footnoteRef/>
      </w:r>
      <w:r>
        <w:rPr>
          <w:sz w:val="18"/>
          <w:szCs w:val="18"/>
        </w:rPr>
        <w:t xml:space="preserve"> As enrolment biochemistry</w:t>
      </w:r>
    </w:p>
  </w:footnote>
  <w:footnote w:id="35">
    <w:p w14:paraId="00A84BFD" w14:textId="77777777" w:rsidR="005E126D" w:rsidRPr="00F85486" w:rsidRDefault="005E126D" w:rsidP="005E126D">
      <w:pPr>
        <w:pStyle w:val="FootnoteText"/>
        <w:rPr>
          <w:sz w:val="18"/>
          <w:szCs w:val="18"/>
          <w:lang w:val="en-US"/>
        </w:rPr>
      </w:pPr>
      <w:r w:rsidRPr="009240F7">
        <w:rPr>
          <w:rStyle w:val="FootnoteReference"/>
          <w:sz w:val="18"/>
          <w:szCs w:val="18"/>
        </w:rPr>
        <w:footnoteRef/>
      </w:r>
      <w:r w:rsidRPr="009240F7">
        <w:rPr>
          <w:sz w:val="18"/>
          <w:szCs w:val="18"/>
        </w:rPr>
        <w:t xml:space="preserve"> </w:t>
      </w:r>
      <w:r w:rsidRPr="009240F7">
        <w:rPr>
          <w:sz w:val="18"/>
          <w:szCs w:val="18"/>
          <w:lang w:val="en-US"/>
        </w:rPr>
        <w:t>In those patients having optimization of</w:t>
      </w:r>
      <w:r w:rsidRPr="00F85486">
        <w:rPr>
          <w:sz w:val="18"/>
          <w:szCs w:val="18"/>
          <w:lang w:val="en-US"/>
        </w:rPr>
        <w:t xml:space="preserve"> tacrolimus – continue until trough levels achieved</w:t>
      </w:r>
    </w:p>
  </w:footnote>
  <w:footnote w:id="36">
    <w:p w14:paraId="5377CFA6" w14:textId="77777777" w:rsidR="005E126D" w:rsidRPr="00F85486" w:rsidRDefault="005E126D" w:rsidP="005E126D">
      <w:pPr>
        <w:pStyle w:val="FootnoteText"/>
        <w:rPr>
          <w:sz w:val="18"/>
          <w:szCs w:val="18"/>
          <w:lang w:val="en-US"/>
        </w:rPr>
      </w:pPr>
      <w:r w:rsidRPr="00F85486">
        <w:rPr>
          <w:rStyle w:val="FootnoteReference"/>
          <w:sz w:val="18"/>
          <w:szCs w:val="18"/>
        </w:rPr>
        <w:footnoteRef/>
      </w:r>
      <w:r w:rsidRPr="00F85486">
        <w:rPr>
          <w:sz w:val="18"/>
          <w:szCs w:val="18"/>
        </w:rPr>
        <w:t xml:space="preserve"> </w:t>
      </w:r>
      <w:r>
        <w:rPr>
          <w:sz w:val="18"/>
          <w:szCs w:val="18"/>
          <w:lang w:val="en-US"/>
        </w:rPr>
        <w:t>At enroll</w:t>
      </w:r>
      <w:r w:rsidRPr="00F85486">
        <w:rPr>
          <w:sz w:val="18"/>
          <w:szCs w:val="18"/>
          <w:lang w:val="en-US"/>
        </w:rPr>
        <w:t>ment</w:t>
      </w:r>
      <w:r>
        <w:rPr>
          <w:sz w:val="18"/>
          <w:szCs w:val="18"/>
          <w:lang w:val="en-US"/>
        </w:rPr>
        <w:t xml:space="preserve">, </w:t>
      </w:r>
      <w:r w:rsidRPr="00F85486">
        <w:rPr>
          <w:sz w:val="18"/>
          <w:szCs w:val="18"/>
          <w:lang w:val="en-US"/>
        </w:rPr>
        <w:t xml:space="preserve">on everyone. Beyond enrollment, send sample from recruits in unblinded HLA Ab-negative group and </w:t>
      </w:r>
      <w:r w:rsidRPr="00785860">
        <w:rPr>
          <w:sz w:val="18"/>
          <w:szCs w:val="18"/>
          <w:u w:val="single"/>
          <w:lang w:val="en-US"/>
        </w:rPr>
        <w:t>ALL</w:t>
      </w:r>
      <w:r w:rsidRPr="00F85486">
        <w:rPr>
          <w:sz w:val="18"/>
          <w:szCs w:val="18"/>
          <w:lang w:val="en-US"/>
        </w:rPr>
        <w:t xml:space="preserve"> blinded </w:t>
      </w:r>
      <w:r>
        <w:rPr>
          <w:sz w:val="18"/>
          <w:szCs w:val="18"/>
          <w:lang w:val="en-US"/>
        </w:rPr>
        <w:t>patients.</w:t>
      </w:r>
    </w:p>
  </w:footnote>
  <w:footnote w:id="37">
    <w:p w14:paraId="3665E9A0" w14:textId="77777777" w:rsidR="005E126D" w:rsidRPr="00C201CC" w:rsidRDefault="005E126D" w:rsidP="005E126D">
      <w:pPr>
        <w:pStyle w:val="FootnoteText"/>
        <w:rPr>
          <w:sz w:val="18"/>
          <w:szCs w:val="18"/>
          <w:lang w:val="en-US"/>
        </w:rPr>
      </w:pPr>
      <w:r w:rsidRPr="00C201CC">
        <w:rPr>
          <w:rStyle w:val="FootnoteReference"/>
          <w:sz w:val="18"/>
          <w:szCs w:val="18"/>
        </w:rPr>
        <w:footnoteRef/>
      </w:r>
      <w:r w:rsidRPr="00C201CC">
        <w:rPr>
          <w:sz w:val="18"/>
          <w:szCs w:val="18"/>
        </w:rPr>
        <w:t xml:space="preserve"> </w:t>
      </w:r>
      <w:r w:rsidRPr="00C201CC">
        <w:rPr>
          <w:sz w:val="18"/>
          <w:szCs w:val="18"/>
          <w:lang w:val="en-US"/>
        </w:rPr>
        <w:t>At enrollment, on everyone.  Beyond enrollment, only on those identified by a * ‘star’ on trial documents / labels</w:t>
      </w:r>
      <w:r>
        <w:rPr>
          <w:sz w:val="18"/>
          <w:szCs w:val="18"/>
          <w:lang w:val="en-US"/>
        </w:rPr>
        <w:t>. Collection of these samples will continue throughout the trial as long as there are resources available.</w:t>
      </w:r>
    </w:p>
  </w:footnote>
  <w:footnote w:id="38">
    <w:p w14:paraId="7EC067A7" w14:textId="77777777" w:rsidR="005E126D" w:rsidRDefault="005E126D" w:rsidP="005E126D">
      <w:pPr>
        <w:pStyle w:val="FootnoteText"/>
        <w:rPr>
          <w:sz w:val="18"/>
          <w:szCs w:val="18"/>
          <w:lang w:val="en-US"/>
        </w:rPr>
      </w:pPr>
      <w:r w:rsidRPr="00C201CC">
        <w:rPr>
          <w:rStyle w:val="FootnoteReference"/>
        </w:rPr>
        <w:footnoteRef/>
      </w:r>
      <w:r w:rsidRPr="00C201CC">
        <w:t xml:space="preserve"> </w:t>
      </w:r>
      <w:r w:rsidRPr="00C201CC">
        <w:rPr>
          <w:sz w:val="18"/>
          <w:szCs w:val="18"/>
          <w:lang w:val="en-US"/>
        </w:rPr>
        <w:t xml:space="preserve">Ideally participant will see a physician once a month whilst being optimized. Visit details are recorded in an Optimisation Log and not in the eCRF. </w:t>
      </w:r>
    </w:p>
    <w:p w14:paraId="36556B47" w14:textId="77777777" w:rsidR="005E126D" w:rsidRPr="00C201CC" w:rsidRDefault="005E126D" w:rsidP="005E126D">
      <w:pPr>
        <w:pStyle w:val="FootnoteText"/>
        <w:rPr>
          <w:sz w:val="18"/>
          <w:szCs w:val="18"/>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67186" w14:textId="77777777" w:rsidR="003532D0" w:rsidRPr="00C60087" w:rsidRDefault="003532D0" w:rsidP="00BE734F">
    <w:pPr>
      <w:rPr>
        <w:sz w:val="16"/>
        <w:szCs w:val="16"/>
      </w:rPr>
    </w:pPr>
    <w:r w:rsidRPr="00C60087">
      <w:rPr>
        <w:sz w:val="16"/>
        <w:szCs w:val="16"/>
      </w:rPr>
      <w:t xml:space="preserve">Optimized TacrolimuS and MMF for HLA Antibodies after Renal Transplantation: </w:t>
    </w:r>
    <w:r w:rsidRPr="00C60087">
      <w:rPr>
        <w:color w:val="000000"/>
        <w:sz w:val="16"/>
        <w:szCs w:val="16"/>
      </w:rPr>
      <w:t xml:space="preserve"> </w:t>
    </w:r>
    <w:r w:rsidRPr="00C60087">
      <w:rPr>
        <w:color w:val="000000"/>
        <w:sz w:val="16"/>
        <w:szCs w:val="16"/>
      </w:rPr>
      <w:tab/>
    </w:r>
    <w:r>
      <w:rPr>
        <w:sz w:val="16"/>
        <w:szCs w:val="16"/>
      </w:rPr>
      <w:t>(Version 14.0 08/07/2020)</w:t>
    </w:r>
  </w:p>
  <w:p w14:paraId="5F5E11FF" w14:textId="77777777" w:rsidR="003532D0" w:rsidRPr="00C60087" w:rsidRDefault="003532D0" w:rsidP="00BE734F">
    <w:pPr>
      <w:rPr>
        <w:sz w:val="16"/>
        <w:szCs w:val="16"/>
      </w:rPr>
    </w:pPr>
    <w:r w:rsidRPr="00C60087">
      <w:rPr>
        <w:sz w:val="16"/>
        <w:szCs w:val="16"/>
      </w:rPr>
      <w:t>(OuTSMART)</w:t>
    </w:r>
    <w:r w:rsidRPr="00C60087">
      <w:rPr>
        <w:sz w:val="16"/>
        <w:szCs w:val="16"/>
      </w:rPr>
      <w:tab/>
      <w:t>REC REF. N</w:t>
    </w:r>
    <w:r w:rsidRPr="00C60087">
      <w:rPr>
        <w:sz w:val="16"/>
        <w:szCs w:val="16"/>
        <w:vertAlign w:val="superscript"/>
      </w:rPr>
      <w:t>o</w:t>
    </w:r>
    <w:r w:rsidRPr="00C60087">
      <w:rPr>
        <w:sz w:val="16"/>
        <w:szCs w:val="16"/>
      </w:rPr>
      <w:t>:</w:t>
    </w:r>
    <w:r w:rsidRPr="00C1205C">
      <w:rPr>
        <w:b/>
        <w:sz w:val="16"/>
        <w:szCs w:val="16"/>
      </w:rPr>
      <w:t>12/LO/1759</w:t>
    </w:r>
    <w:r>
      <w:rPr>
        <w:b/>
        <w:sz w:val="16"/>
        <w:szCs w:val="16"/>
      </w:rPr>
      <w:t xml:space="preserve">: </w:t>
    </w:r>
    <w:r>
      <w:rPr>
        <w:b/>
        <w:sz w:val="16"/>
        <w:szCs w:val="16"/>
      </w:rPr>
      <w:tab/>
    </w:r>
    <w:r w:rsidRPr="00C60087">
      <w:rPr>
        <w:sz w:val="16"/>
        <w:szCs w:val="16"/>
      </w:rPr>
      <w:t>EudraCT Number:</w:t>
    </w:r>
    <w:r>
      <w:rPr>
        <w:sz w:val="16"/>
        <w:szCs w:val="16"/>
      </w:rPr>
      <w:t xml:space="preserve"> </w:t>
    </w:r>
    <w:r w:rsidRPr="006437B4">
      <w:rPr>
        <w:sz w:val="16"/>
        <w:szCs w:val="16"/>
        <w:lang w:val="en-US"/>
      </w:rPr>
      <w:t>2012-004308-36</w:t>
    </w:r>
    <w:r>
      <w:rPr>
        <w:sz w:val="16"/>
        <w:szCs w:val="16"/>
        <w:lang w:val="en-US"/>
      </w:rPr>
      <w:tab/>
      <w:t>IRAS Number: 112232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DC2F" w14:textId="77777777" w:rsidR="003532D0" w:rsidRPr="00BE21A3" w:rsidRDefault="003532D0" w:rsidP="00CE34FE">
    <w:pPr>
      <w:pStyle w:val="Header"/>
      <w:rPr>
        <w:sz w:val="16"/>
        <w:szCs w:val="16"/>
      </w:rPr>
    </w:pPr>
    <w:r w:rsidRPr="00BE21A3">
      <w:rPr>
        <w:sz w:val="16"/>
        <w:szCs w:val="16"/>
      </w:rPr>
      <w:t xml:space="preserve">Optimized TacrolimuS and MMF for HLA Antibodies after Renal Transplantation: </w:t>
    </w:r>
    <w:r w:rsidRPr="00BE21A3">
      <w:rPr>
        <w:color w:val="000000"/>
        <w:sz w:val="16"/>
        <w:szCs w:val="16"/>
      </w:rPr>
      <w:t xml:space="preserve"> </w:t>
    </w:r>
    <w:r>
      <w:rPr>
        <w:sz w:val="16"/>
        <w:szCs w:val="16"/>
      </w:rPr>
      <w:t>(Version 14.0 08/07/2020</w:t>
    </w:r>
    <w:r w:rsidRPr="00BE21A3">
      <w:rPr>
        <w:sz w:val="16"/>
        <w:szCs w:val="16"/>
      </w:rPr>
      <w:t>)</w:t>
    </w:r>
    <w:r>
      <w:rPr>
        <w:sz w:val="16"/>
        <w:szCs w:val="16"/>
      </w:rPr>
      <w:t xml:space="preserve"> (OuTSMART)</w:t>
    </w:r>
    <w:r>
      <w:rPr>
        <w:sz w:val="16"/>
        <w:szCs w:val="16"/>
      </w:rPr>
      <w:tab/>
    </w:r>
    <w:r w:rsidRPr="00BE21A3">
      <w:rPr>
        <w:sz w:val="16"/>
        <w:szCs w:val="16"/>
      </w:rPr>
      <w:t>REC REF. N</w:t>
    </w:r>
    <w:r w:rsidRPr="00BE21A3">
      <w:rPr>
        <w:sz w:val="16"/>
        <w:szCs w:val="16"/>
        <w:vertAlign w:val="superscript"/>
      </w:rPr>
      <w:t>o</w:t>
    </w:r>
    <w:r w:rsidRPr="00BE21A3">
      <w:rPr>
        <w:sz w:val="16"/>
        <w:szCs w:val="16"/>
      </w:rPr>
      <w:t>:</w:t>
    </w:r>
    <w:r w:rsidRPr="00D07823">
      <w:rPr>
        <w:b/>
        <w:sz w:val="16"/>
        <w:szCs w:val="16"/>
      </w:rPr>
      <w:t xml:space="preserve"> </w:t>
    </w:r>
    <w:r w:rsidRPr="00C1205C">
      <w:rPr>
        <w:b/>
        <w:sz w:val="16"/>
        <w:szCs w:val="16"/>
      </w:rPr>
      <w:t>12/LO/1759</w:t>
    </w:r>
    <w:r>
      <w:rPr>
        <w:sz w:val="16"/>
        <w:szCs w:val="16"/>
      </w:rPr>
      <w:tab/>
    </w:r>
    <w:r w:rsidRPr="00BE21A3">
      <w:rPr>
        <w:sz w:val="16"/>
        <w:szCs w:val="16"/>
      </w:rPr>
      <w:t>EudraCT Number:</w:t>
    </w:r>
    <w:r w:rsidRPr="008C6F33">
      <w:rPr>
        <w:sz w:val="16"/>
        <w:szCs w:val="16"/>
        <w:lang w:val="en-US"/>
      </w:rPr>
      <w:t xml:space="preserve"> </w:t>
    </w:r>
    <w:r w:rsidRPr="006437B4">
      <w:rPr>
        <w:sz w:val="16"/>
        <w:szCs w:val="16"/>
        <w:lang w:val="en-US"/>
      </w:rPr>
      <w:t>2012-004308-36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2358" w14:textId="77777777" w:rsidR="003532D0" w:rsidRPr="00BE21A3" w:rsidRDefault="003532D0" w:rsidP="0071366A">
    <w:pPr>
      <w:pStyle w:val="Header"/>
      <w:rPr>
        <w:sz w:val="16"/>
        <w:szCs w:val="16"/>
      </w:rPr>
    </w:pPr>
    <w:r w:rsidRPr="00BE21A3">
      <w:rPr>
        <w:sz w:val="16"/>
        <w:szCs w:val="16"/>
      </w:rPr>
      <w:t xml:space="preserve">Optimized TacrolimuS and MMF for HLA Antibodies after Renal Transplantation: </w:t>
    </w:r>
    <w:r w:rsidRPr="00BE21A3">
      <w:rPr>
        <w:color w:val="000000"/>
        <w:sz w:val="16"/>
        <w:szCs w:val="16"/>
      </w:rPr>
      <w:t xml:space="preserve"> </w:t>
    </w:r>
    <w:r>
      <w:rPr>
        <w:color w:val="000000"/>
        <w:sz w:val="16"/>
        <w:szCs w:val="16"/>
      </w:rPr>
      <w:tab/>
    </w:r>
    <w:r>
      <w:rPr>
        <w:sz w:val="16"/>
        <w:szCs w:val="16"/>
      </w:rPr>
      <w:t>(Version 14.0 08/07/2020) (OuTSMART)</w:t>
    </w:r>
    <w:r>
      <w:rPr>
        <w:sz w:val="16"/>
        <w:szCs w:val="16"/>
      </w:rPr>
      <w:tab/>
    </w:r>
    <w:r w:rsidRPr="00BE21A3">
      <w:rPr>
        <w:sz w:val="16"/>
        <w:szCs w:val="16"/>
      </w:rPr>
      <w:t>REC REF. N</w:t>
    </w:r>
    <w:r w:rsidRPr="00BE21A3">
      <w:rPr>
        <w:sz w:val="16"/>
        <w:szCs w:val="16"/>
        <w:vertAlign w:val="superscript"/>
      </w:rPr>
      <w:t>o</w:t>
    </w:r>
    <w:r w:rsidRPr="00BE21A3">
      <w:rPr>
        <w:sz w:val="16"/>
        <w:szCs w:val="16"/>
      </w:rPr>
      <w:t>:</w:t>
    </w:r>
    <w:r w:rsidRPr="00D07823">
      <w:rPr>
        <w:b/>
        <w:sz w:val="16"/>
        <w:szCs w:val="16"/>
      </w:rPr>
      <w:t xml:space="preserve"> </w:t>
    </w:r>
    <w:r w:rsidRPr="00C1205C">
      <w:rPr>
        <w:b/>
        <w:sz w:val="16"/>
        <w:szCs w:val="16"/>
      </w:rPr>
      <w:t>12/LO/1759</w:t>
    </w:r>
    <w:r>
      <w:rPr>
        <w:sz w:val="16"/>
        <w:szCs w:val="16"/>
      </w:rPr>
      <w:tab/>
    </w:r>
    <w:r w:rsidRPr="00BE21A3">
      <w:rPr>
        <w:sz w:val="16"/>
        <w:szCs w:val="16"/>
      </w:rPr>
      <w:t>EudraCT Number:</w:t>
    </w:r>
    <w:r w:rsidRPr="008C6F33">
      <w:rPr>
        <w:sz w:val="16"/>
        <w:szCs w:val="16"/>
        <w:lang w:val="en-US"/>
      </w:rPr>
      <w:t xml:space="preserve"> </w:t>
    </w:r>
    <w:r w:rsidRPr="006437B4">
      <w:rPr>
        <w:sz w:val="16"/>
        <w:szCs w:val="16"/>
        <w:lang w:val="en-US"/>
      </w:rPr>
      <w:t>2012-004308-36</w:t>
    </w:r>
    <w:r>
      <w:rPr>
        <w:sz w:val="16"/>
        <w:szCs w:val="16"/>
        <w:lang w:val="en-US"/>
      </w:rPr>
      <w:tab/>
      <w:t>IRAS Number: 112232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ECDB5" w14:textId="77777777" w:rsidR="003532D0" w:rsidRPr="00BE21A3" w:rsidRDefault="003532D0" w:rsidP="0071366A">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15525" w14:textId="23DD3832" w:rsidR="005E126D" w:rsidRDefault="005E126D">
    <w:pPr>
      <w:pStyle w:val="Header"/>
    </w:pPr>
    <w:r>
      <w:t>OuTSMART</w:t>
    </w:r>
    <w:r w:rsidRPr="002530FC">
      <w:t xml:space="preserve"> Statistical Analysis Plan</w:t>
    </w:r>
    <w:r>
      <w:tab/>
    </w:r>
    <w:r>
      <w:tab/>
      <w:t xml:space="preserve">Last Saved: </w:t>
    </w:r>
    <w:r>
      <w:rPr>
        <w:noProof/>
      </w:rPr>
      <w:fldChar w:fldCharType="begin"/>
    </w:r>
    <w:r>
      <w:rPr>
        <w:noProof/>
      </w:rPr>
      <w:instrText xml:space="preserve"> SAVEDATE  \* MERGEFORMAT </w:instrText>
    </w:r>
    <w:r>
      <w:rPr>
        <w:noProof/>
      </w:rPr>
      <w:fldChar w:fldCharType="separate"/>
    </w:r>
    <w:r w:rsidR="007C3C06">
      <w:rPr>
        <w:noProof/>
      </w:rPr>
      <w:t>14/12/2022 11:28:00</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6"/>
      <w:numFmt w:val="bullet"/>
      <w:pStyle w:val="List1"/>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8"/>
      <w:numFmt w:val="bullet"/>
      <w:pStyle w:val="List21"/>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8B5E00"/>
    <w:multiLevelType w:val="singleLevel"/>
    <w:tmpl w:val="909E65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5AF4546"/>
    <w:multiLevelType w:val="hybridMultilevel"/>
    <w:tmpl w:val="9E606A8C"/>
    <w:lvl w:ilvl="0" w:tplc="7B98E8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BD0498D"/>
    <w:multiLevelType w:val="multilevel"/>
    <w:tmpl w:val="B2D043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6F08AD"/>
    <w:multiLevelType w:val="multilevel"/>
    <w:tmpl w:val="25C2DED6"/>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15" w15:restartNumberingAfterBreak="0">
    <w:nsid w:val="194A5460"/>
    <w:multiLevelType w:val="hybridMultilevel"/>
    <w:tmpl w:val="59DA7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4F0B19"/>
    <w:multiLevelType w:val="multilevel"/>
    <w:tmpl w:val="E07A40D6"/>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17" w15:restartNumberingAfterBreak="0">
    <w:nsid w:val="2642750E"/>
    <w:multiLevelType w:val="hybridMultilevel"/>
    <w:tmpl w:val="2D00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EA3713"/>
    <w:multiLevelType w:val="hybridMultilevel"/>
    <w:tmpl w:val="379841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3A25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0A85DC8"/>
    <w:multiLevelType w:val="hybridMultilevel"/>
    <w:tmpl w:val="A90A7E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3E2B2D"/>
    <w:multiLevelType w:val="hybridMultilevel"/>
    <w:tmpl w:val="5F522FE2"/>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2" w15:restartNumberingAfterBreak="0">
    <w:nsid w:val="392455A8"/>
    <w:multiLevelType w:val="multilevel"/>
    <w:tmpl w:val="8D1E480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3D006AE8"/>
    <w:multiLevelType w:val="multilevel"/>
    <w:tmpl w:val="0C52F72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4" w15:restartNumberingAfterBreak="0">
    <w:nsid w:val="419D6D4F"/>
    <w:multiLevelType w:val="hybridMultilevel"/>
    <w:tmpl w:val="038C74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3E0B26"/>
    <w:multiLevelType w:val="multilevel"/>
    <w:tmpl w:val="D654F24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424F1355"/>
    <w:multiLevelType w:val="hybridMultilevel"/>
    <w:tmpl w:val="1FBE12F0"/>
    <w:lvl w:ilvl="0" w:tplc="6C7ADC18">
      <w:start w:val="1"/>
      <w:numFmt w:val="upperLetter"/>
      <w:lvlText w:val="%1)"/>
      <w:lvlJc w:val="left"/>
      <w:pPr>
        <w:ind w:left="1224" w:hanging="792"/>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27" w15:restartNumberingAfterBreak="0">
    <w:nsid w:val="427E2C55"/>
    <w:multiLevelType w:val="multilevel"/>
    <w:tmpl w:val="C8922DDA"/>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8" w15:restartNumberingAfterBreak="0">
    <w:nsid w:val="444C5DDE"/>
    <w:multiLevelType w:val="multilevel"/>
    <w:tmpl w:val="8B72266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9" w15:restartNumberingAfterBreak="0">
    <w:nsid w:val="499B061F"/>
    <w:multiLevelType w:val="multilevel"/>
    <w:tmpl w:val="2B04A9EA"/>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0" w15:restartNumberingAfterBreak="0">
    <w:nsid w:val="49C42D4D"/>
    <w:multiLevelType w:val="multilevel"/>
    <w:tmpl w:val="1E60A02C"/>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1" w15:restartNumberingAfterBreak="0">
    <w:nsid w:val="4A18493E"/>
    <w:multiLevelType w:val="hybridMultilevel"/>
    <w:tmpl w:val="4454BEB4"/>
    <w:lvl w:ilvl="0" w:tplc="97EEF7E8">
      <w:start w:val="5"/>
      <w:numFmt w:val="upperLetter"/>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32" w15:restartNumberingAfterBreak="0">
    <w:nsid w:val="559456B2"/>
    <w:multiLevelType w:val="hybridMultilevel"/>
    <w:tmpl w:val="CAA482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883618"/>
    <w:multiLevelType w:val="multilevel"/>
    <w:tmpl w:val="DC3C9186"/>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4" w15:restartNumberingAfterBreak="0">
    <w:nsid w:val="5AA24C12"/>
    <w:multiLevelType w:val="multilevel"/>
    <w:tmpl w:val="4B64BA12"/>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5" w15:restartNumberingAfterBreak="0">
    <w:nsid w:val="5CD635F6"/>
    <w:multiLevelType w:val="multilevel"/>
    <w:tmpl w:val="E62247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6E9503B"/>
    <w:multiLevelType w:val="multilevel"/>
    <w:tmpl w:val="49CC7890"/>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7" w15:restartNumberingAfterBreak="0">
    <w:nsid w:val="67D401FE"/>
    <w:multiLevelType w:val="multilevel"/>
    <w:tmpl w:val="5A829B6A"/>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8" w15:restartNumberingAfterBreak="0">
    <w:nsid w:val="6A045959"/>
    <w:multiLevelType w:val="hybridMultilevel"/>
    <w:tmpl w:val="A90EE72A"/>
    <w:lvl w:ilvl="0" w:tplc="D9B827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681698"/>
    <w:multiLevelType w:val="hybridMultilevel"/>
    <w:tmpl w:val="EC82C7FE"/>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0" w15:restartNumberingAfterBreak="0">
    <w:nsid w:val="6D580C74"/>
    <w:multiLevelType w:val="multilevel"/>
    <w:tmpl w:val="F2CACFDC"/>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41" w15:restartNumberingAfterBreak="0">
    <w:nsid w:val="6EF21B59"/>
    <w:multiLevelType w:val="hybridMultilevel"/>
    <w:tmpl w:val="C32646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705631"/>
    <w:multiLevelType w:val="multilevel"/>
    <w:tmpl w:val="D0701442"/>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43" w15:restartNumberingAfterBreak="0">
    <w:nsid w:val="74E25C11"/>
    <w:multiLevelType w:val="multilevel"/>
    <w:tmpl w:val="6E6EFD7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4" w15:restartNumberingAfterBreak="0">
    <w:nsid w:val="757A1B16"/>
    <w:multiLevelType w:val="hybridMultilevel"/>
    <w:tmpl w:val="CFF69F04"/>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5" w15:restartNumberingAfterBreak="0">
    <w:nsid w:val="75C83AE1"/>
    <w:multiLevelType w:val="multilevel"/>
    <w:tmpl w:val="F5F2D636"/>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46" w15:restartNumberingAfterBreak="0">
    <w:nsid w:val="77455B95"/>
    <w:multiLevelType w:val="multilevel"/>
    <w:tmpl w:val="4EE41A10"/>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47" w15:restartNumberingAfterBreak="0">
    <w:nsid w:val="7A0859E8"/>
    <w:multiLevelType w:val="multilevel"/>
    <w:tmpl w:val="DCA8AE1A"/>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num w:numId="1" w16cid:durableId="4554255">
    <w:abstractNumId w:val="41"/>
  </w:num>
  <w:num w:numId="2" w16cid:durableId="1613515338">
    <w:abstractNumId w:val="17"/>
  </w:num>
  <w:num w:numId="3" w16cid:durableId="1063797918">
    <w:abstractNumId w:val="39"/>
  </w:num>
  <w:num w:numId="4" w16cid:durableId="620647858">
    <w:abstractNumId w:val="44"/>
  </w:num>
  <w:num w:numId="5" w16cid:durableId="50933469">
    <w:abstractNumId w:val="11"/>
  </w:num>
  <w:num w:numId="6" w16cid:durableId="353577469">
    <w:abstractNumId w:val="20"/>
  </w:num>
  <w:num w:numId="7" w16cid:durableId="126363149">
    <w:abstractNumId w:val="19"/>
  </w:num>
  <w:num w:numId="8" w16cid:durableId="85229272">
    <w:abstractNumId w:val="21"/>
  </w:num>
  <w:num w:numId="9" w16cid:durableId="1988972402">
    <w:abstractNumId w:val="24"/>
  </w:num>
  <w:num w:numId="10" w16cid:durableId="502088788">
    <w:abstractNumId w:val="43"/>
  </w:num>
  <w:num w:numId="11" w16cid:durableId="2089496638">
    <w:abstractNumId w:val="36"/>
  </w:num>
  <w:num w:numId="12" w16cid:durableId="52435684">
    <w:abstractNumId w:val="29"/>
  </w:num>
  <w:num w:numId="13" w16cid:durableId="1238050596">
    <w:abstractNumId w:val="40"/>
  </w:num>
  <w:num w:numId="14" w16cid:durableId="1243491315">
    <w:abstractNumId w:val="25"/>
  </w:num>
  <w:num w:numId="15" w16cid:durableId="1096902814">
    <w:abstractNumId w:val="23"/>
  </w:num>
  <w:num w:numId="16" w16cid:durableId="913858080">
    <w:abstractNumId w:val="47"/>
  </w:num>
  <w:num w:numId="17" w16cid:durableId="701176359">
    <w:abstractNumId w:val="28"/>
  </w:num>
  <w:num w:numId="18" w16cid:durableId="86853797">
    <w:abstractNumId w:val="34"/>
  </w:num>
  <w:num w:numId="19" w16cid:durableId="920800243">
    <w:abstractNumId w:val="22"/>
  </w:num>
  <w:num w:numId="20" w16cid:durableId="2022733254">
    <w:abstractNumId w:val="30"/>
  </w:num>
  <w:num w:numId="21" w16cid:durableId="115833203">
    <w:abstractNumId w:val="27"/>
  </w:num>
  <w:num w:numId="22" w16cid:durableId="2043818728">
    <w:abstractNumId w:val="14"/>
  </w:num>
  <w:num w:numId="23" w16cid:durableId="609514662">
    <w:abstractNumId w:val="42"/>
  </w:num>
  <w:num w:numId="24" w16cid:durableId="1581987646">
    <w:abstractNumId w:val="45"/>
  </w:num>
  <w:num w:numId="25" w16cid:durableId="157817571">
    <w:abstractNumId w:val="37"/>
  </w:num>
  <w:num w:numId="26" w16cid:durableId="610280463">
    <w:abstractNumId w:val="33"/>
  </w:num>
  <w:num w:numId="27" w16cid:durableId="231932264">
    <w:abstractNumId w:val="16"/>
  </w:num>
  <w:num w:numId="28" w16cid:durableId="277032214">
    <w:abstractNumId w:val="46"/>
  </w:num>
  <w:num w:numId="29" w16cid:durableId="1554075154">
    <w:abstractNumId w:val="13"/>
  </w:num>
  <w:num w:numId="30" w16cid:durableId="1068841055">
    <w:abstractNumId w:val="5"/>
  </w:num>
  <w:num w:numId="31" w16cid:durableId="1491865051">
    <w:abstractNumId w:val="7"/>
  </w:num>
  <w:num w:numId="32" w16cid:durableId="1011642480">
    <w:abstractNumId w:val="8"/>
  </w:num>
  <w:num w:numId="33" w16cid:durableId="1584217895">
    <w:abstractNumId w:val="12"/>
  </w:num>
  <w:num w:numId="34" w16cid:durableId="55859483">
    <w:abstractNumId w:val="0"/>
  </w:num>
  <w:num w:numId="35" w16cid:durableId="498011311">
    <w:abstractNumId w:val="1"/>
  </w:num>
  <w:num w:numId="36" w16cid:durableId="1341547885">
    <w:abstractNumId w:val="2"/>
  </w:num>
  <w:num w:numId="37" w16cid:durableId="1573926397">
    <w:abstractNumId w:val="3"/>
  </w:num>
  <w:num w:numId="38" w16cid:durableId="2046631714">
    <w:abstractNumId w:val="4"/>
  </w:num>
  <w:num w:numId="39" w16cid:durableId="102044560">
    <w:abstractNumId w:val="6"/>
  </w:num>
  <w:num w:numId="40" w16cid:durableId="573584441">
    <w:abstractNumId w:val="9"/>
  </w:num>
  <w:num w:numId="41" w16cid:durableId="586575706">
    <w:abstractNumId w:val="10"/>
  </w:num>
  <w:num w:numId="42" w16cid:durableId="408772390">
    <w:abstractNumId w:val="35"/>
  </w:num>
  <w:num w:numId="43" w16cid:durableId="1929191322">
    <w:abstractNumId w:val="18"/>
  </w:num>
  <w:num w:numId="44" w16cid:durableId="214003524">
    <w:abstractNumId w:val="26"/>
  </w:num>
  <w:num w:numId="45" w16cid:durableId="1481534034">
    <w:abstractNumId w:val="38"/>
  </w:num>
  <w:num w:numId="46" w16cid:durableId="235866017">
    <w:abstractNumId w:val="31"/>
  </w:num>
  <w:num w:numId="47" w16cid:durableId="1797554085">
    <w:abstractNumId w:val="32"/>
  </w:num>
  <w:num w:numId="48" w16cid:durableId="9588748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Q0Mjc0NLYwtzAwMTNX0lEKTi0uzszPAykwrAUASASTOSwAAAA="/>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vz0d9tmeepwyewd5yvp2v2pr0xafz9xws0&quot;&gt;library got ENX9 &lt;record-ids&gt;&lt;item&gt;3432&lt;/item&gt;&lt;item&gt;4376&lt;/item&gt;&lt;item&gt;4378&lt;/item&gt;&lt;/record-ids&gt;&lt;/item&gt;&lt;/Libraries&gt;"/>
  </w:docVars>
  <w:rsids>
    <w:rsidRoot w:val="001776C9"/>
    <w:rsid w:val="000006D8"/>
    <w:rsid w:val="00002D2B"/>
    <w:rsid w:val="00010ECD"/>
    <w:rsid w:val="000206FB"/>
    <w:rsid w:val="00042FEB"/>
    <w:rsid w:val="00067A0D"/>
    <w:rsid w:val="00077C9E"/>
    <w:rsid w:val="00082CDA"/>
    <w:rsid w:val="000A5B6F"/>
    <w:rsid w:val="000A5C20"/>
    <w:rsid w:val="000B28D8"/>
    <w:rsid w:val="000C2B59"/>
    <w:rsid w:val="000D068C"/>
    <w:rsid w:val="000E004C"/>
    <w:rsid w:val="000E1E32"/>
    <w:rsid w:val="000F3C76"/>
    <w:rsid w:val="000F3CA0"/>
    <w:rsid w:val="000F44C6"/>
    <w:rsid w:val="000F584A"/>
    <w:rsid w:val="001075F5"/>
    <w:rsid w:val="001116C1"/>
    <w:rsid w:val="00124E5E"/>
    <w:rsid w:val="00125609"/>
    <w:rsid w:val="001267A9"/>
    <w:rsid w:val="00130E04"/>
    <w:rsid w:val="00132FC4"/>
    <w:rsid w:val="00141060"/>
    <w:rsid w:val="00154722"/>
    <w:rsid w:val="00162039"/>
    <w:rsid w:val="001710C5"/>
    <w:rsid w:val="0017216D"/>
    <w:rsid w:val="001760C0"/>
    <w:rsid w:val="001776C9"/>
    <w:rsid w:val="00183876"/>
    <w:rsid w:val="00185AF1"/>
    <w:rsid w:val="0018707B"/>
    <w:rsid w:val="00192679"/>
    <w:rsid w:val="001936E7"/>
    <w:rsid w:val="001A7A78"/>
    <w:rsid w:val="001D1AA3"/>
    <w:rsid w:val="00201CD1"/>
    <w:rsid w:val="00203124"/>
    <w:rsid w:val="00204093"/>
    <w:rsid w:val="0020564D"/>
    <w:rsid w:val="00230BCE"/>
    <w:rsid w:val="00234AA5"/>
    <w:rsid w:val="00241CDB"/>
    <w:rsid w:val="00241D36"/>
    <w:rsid w:val="002508A6"/>
    <w:rsid w:val="002562AF"/>
    <w:rsid w:val="002742C7"/>
    <w:rsid w:val="00282132"/>
    <w:rsid w:val="00282C7D"/>
    <w:rsid w:val="00297D7E"/>
    <w:rsid w:val="002A0AF8"/>
    <w:rsid w:val="002A5AED"/>
    <w:rsid w:val="002A7DB0"/>
    <w:rsid w:val="002B2E0D"/>
    <w:rsid w:val="002B4C25"/>
    <w:rsid w:val="002B523E"/>
    <w:rsid w:val="002D4AF2"/>
    <w:rsid w:val="002E03F9"/>
    <w:rsid w:val="002E5FDA"/>
    <w:rsid w:val="002F0EED"/>
    <w:rsid w:val="002F186B"/>
    <w:rsid w:val="00302B19"/>
    <w:rsid w:val="00305B6F"/>
    <w:rsid w:val="003128E4"/>
    <w:rsid w:val="00314DBE"/>
    <w:rsid w:val="00314EA4"/>
    <w:rsid w:val="003239FE"/>
    <w:rsid w:val="00332256"/>
    <w:rsid w:val="00332E94"/>
    <w:rsid w:val="0033626B"/>
    <w:rsid w:val="0034040B"/>
    <w:rsid w:val="00344C05"/>
    <w:rsid w:val="00344E85"/>
    <w:rsid w:val="0034790A"/>
    <w:rsid w:val="003532D0"/>
    <w:rsid w:val="00364D21"/>
    <w:rsid w:val="003656F2"/>
    <w:rsid w:val="00365CEB"/>
    <w:rsid w:val="0036664C"/>
    <w:rsid w:val="0036736C"/>
    <w:rsid w:val="00386FD7"/>
    <w:rsid w:val="00387BE3"/>
    <w:rsid w:val="003A4A29"/>
    <w:rsid w:val="003A4F29"/>
    <w:rsid w:val="003A7330"/>
    <w:rsid w:val="003B17D5"/>
    <w:rsid w:val="003C3EFF"/>
    <w:rsid w:val="003C6A0D"/>
    <w:rsid w:val="003D3E60"/>
    <w:rsid w:val="003D54A9"/>
    <w:rsid w:val="003E794A"/>
    <w:rsid w:val="003F208C"/>
    <w:rsid w:val="003F6E7E"/>
    <w:rsid w:val="004002F0"/>
    <w:rsid w:val="004117BB"/>
    <w:rsid w:val="00412F6A"/>
    <w:rsid w:val="0042452E"/>
    <w:rsid w:val="00426F39"/>
    <w:rsid w:val="00433231"/>
    <w:rsid w:val="00441E39"/>
    <w:rsid w:val="004460F3"/>
    <w:rsid w:val="004512DA"/>
    <w:rsid w:val="00466175"/>
    <w:rsid w:val="00473404"/>
    <w:rsid w:val="0048166F"/>
    <w:rsid w:val="004A3B1C"/>
    <w:rsid w:val="004A43CA"/>
    <w:rsid w:val="004A76F3"/>
    <w:rsid w:val="004B2817"/>
    <w:rsid w:val="004B408A"/>
    <w:rsid w:val="004B7945"/>
    <w:rsid w:val="004D10F0"/>
    <w:rsid w:val="004D3E89"/>
    <w:rsid w:val="004E774D"/>
    <w:rsid w:val="00500EB4"/>
    <w:rsid w:val="00505712"/>
    <w:rsid w:val="00505F1C"/>
    <w:rsid w:val="005249C1"/>
    <w:rsid w:val="00542E90"/>
    <w:rsid w:val="00546074"/>
    <w:rsid w:val="00553596"/>
    <w:rsid w:val="00561ACB"/>
    <w:rsid w:val="00562F3E"/>
    <w:rsid w:val="005632F1"/>
    <w:rsid w:val="005668F4"/>
    <w:rsid w:val="005670AE"/>
    <w:rsid w:val="00576AA8"/>
    <w:rsid w:val="005879E3"/>
    <w:rsid w:val="00592F8B"/>
    <w:rsid w:val="005A512C"/>
    <w:rsid w:val="005A61D0"/>
    <w:rsid w:val="005C4C0A"/>
    <w:rsid w:val="005C714E"/>
    <w:rsid w:val="005D1D30"/>
    <w:rsid w:val="005D3209"/>
    <w:rsid w:val="005E126D"/>
    <w:rsid w:val="005E2439"/>
    <w:rsid w:val="005E54DA"/>
    <w:rsid w:val="005F7F0A"/>
    <w:rsid w:val="00601B5B"/>
    <w:rsid w:val="00632881"/>
    <w:rsid w:val="00634DDE"/>
    <w:rsid w:val="00635AD2"/>
    <w:rsid w:val="006400E2"/>
    <w:rsid w:val="006404DA"/>
    <w:rsid w:val="00640F22"/>
    <w:rsid w:val="00655ABD"/>
    <w:rsid w:val="00663DB9"/>
    <w:rsid w:val="00690A00"/>
    <w:rsid w:val="00691177"/>
    <w:rsid w:val="006A5BBF"/>
    <w:rsid w:val="006A70F6"/>
    <w:rsid w:val="006B00E3"/>
    <w:rsid w:val="006B05FE"/>
    <w:rsid w:val="006B3FCA"/>
    <w:rsid w:val="006B46C1"/>
    <w:rsid w:val="006B646D"/>
    <w:rsid w:val="006D6413"/>
    <w:rsid w:val="006E2D96"/>
    <w:rsid w:val="006F446F"/>
    <w:rsid w:val="00707BE8"/>
    <w:rsid w:val="00710C21"/>
    <w:rsid w:val="00711896"/>
    <w:rsid w:val="00713EDA"/>
    <w:rsid w:val="00725345"/>
    <w:rsid w:val="00730CDE"/>
    <w:rsid w:val="00736808"/>
    <w:rsid w:val="00740E06"/>
    <w:rsid w:val="00751DC9"/>
    <w:rsid w:val="00767210"/>
    <w:rsid w:val="00767EB7"/>
    <w:rsid w:val="00770CF1"/>
    <w:rsid w:val="0077117A"/>
    <w:rsid w:val="0077557A"/>
    <w:rsid w:val="00783C08"/>
    <w:rsid w:val="00786249"/>
    <w:rsid w:val="00794C37"/>
    <w:rsid w:val="00796182"/>
    <w:rsid w:val="007974D5"/>
    <w:rsid w:val="007B1DF7"/>
    <w:rsid w:val="007B2073"/>
    <w:rsid w:val="007B251B"/>
    <w:rsid w:val="007B2A5D"/>
    <w:rsid w:val="007C1092"/>
    <w:rsid w:val="007C3C06"/>
    <w:rsid w:val="007C6E34"/>
    <w:rsid w:val="007D4E1C"/>
    <w:rsid w:val="007D7E68"/>
    <w:rsid w:val="007E1946"/>
    <w:rsid w:val="007E1A9E"/>
    <w:rsid w:val="00803BE2"/>
    <w:rsid w:val="00812719"/>
    <w:rsid w:val="00823F35"/>
    <w:rsid w:val="00830809"/>
    <w:rsid w:val="00846B4A"/>
    <w:rsid w:val="00860843"/>
    <w:rsid w:val="00875A6B"/>
    <w:rsid w:val="00876EE3"/>
    <w:rsid w:val="008967E7"/>
    <w:rsid w:val="00897C87"/>
    <w:rsid w:val="008A0524"/>
    <w:rsid w:val="008B1AA1"/>
    <w:rsid w:val="008B681C"/>
    <w:rsid w:val="008C1BED"/>
    <w:rsid w:val="008C3BF7"/>
    <w:rsid w:val="008D052D"/>
    <w:rsid w:val="008D2676"/>
    <w:rsid w:val="008E5533"/>
    <w:rsid w:val="008F0F87"/>
    <w:rsid w:val="008F5FEB"/>
    <w:rsid w:val="008F6E8D"/>
    <w:rsid w:val="00901088"/>
    <w:rsid w:val="009124BE"/>
    <w:rsid w:val="0092080D"/>
    <w:rsid w:val="00941B3C"/>
    <w:rsid w:val="00950738"/>
    <w:rsid w:val="00950B8B"/>
    <w:rsid w:val="00961736"/>
    <w:rsid w:val="00963BD6"/>
    <w:rsid w:val="00965903"/>
    <w:rsid w:val="009868BA"/>
    <w:rsid w:val="009A6894"/>
    <w:rsid w:val="009B1C85"/>
    <w:rsid w:val="009B4E34"/>
    <w:rsid w:val="009C3B0A"/>
    <w:rsid w:val="009C4FFD"/>
    <w:rsid w:val="009C62F9"/>
    <w:rsid w:val="009C6806"/>
    <w:rsid w:val="009D28FA"/>
    <w:rsid w:val="009E0046"/>
    <w:rsid w:val="009E1241"/>
    <w:rsid w:val="009E2A0F"/>
    <w:rsid w:val="00A0792E"/>
    <w:rsid w:val="00A07CC6"/>
    <w:rsid w:val="00A10D7D"/>
    <w:rsid w:val="00A26316"/>
    <w:rsid w:val="00A300F2"/>
    <w:rsid w:val="00A30939"/>
    <w:rsid w:val="00A36B93"/>
    <w:rsid w:val="00A44266"/>
    <w:rsid w:val="00A44748"/>
    <w:rsid w:val="00A47D67"/>
    <w:rsid w:val="00A603B7"/>
    <w:rsid w:val="00A9156D"/>
    <w:rsid w:val="00A95698"/>
    <w:rsid w:val="00AA48E1"/>
    <w:rsid w:val="00AB2754"/>
    <w:rsid w:val="00AB3A2A"/>
    <w:rsid w:val="00AB736D"/>
    <w:rsid w:val="00AB757B"/>
    <w:rsid w:val="00AD1ADC"/>
    <w:rsid w:val="00AD28F8"/>
    <w:rsid w:val="00AF4FF7"/>
    <w:rsid w:val="00B15D34"/>
    <w:rsid w:val="00B36058"/>
    <w:rsid w:val="00B37DE7"/>
    <w:rsid w:val="00B37E00"/>
    <w:rsid w:val="00B4048D"/>
    <w:rsid w:val="00B46DB3"/>
    <w:rsid w:val="00B54680"/>
    <w:rsid w:val="00B6007C"/>
    <w:rsid w:val="00B64CB5"/>
    <w:rsid w:val="00B70507"/>
    <w:rsid w:val="00B75D52"/>
    <w:rsid w:val="00B81764"/>
    <w:rsid w:val="00B81F52"/>
    <w:rsid w:val="00B875CF"/>
    <w:rsid w:val="00B961F7"/>
    <w:rsid w:val="00B969C2"/>
    <w:rsid w:val="00BB1D81"/>
    <w:rsid w:val="00BC19E3"/>
    <w:rsid w:val="00BC26B0"/>
    <w:rsid w:val="00BC4EE1"/>
    <w:rsid w:val="00BC6790"/>
    <w:rsid w:val="00BD0EE0"/>
    <w:rsid w:val="00BD6FD8"/>
    <w:rsid w:val="00BE45A8"/>
    <w:rsid w:val="00BE4AEC"/>
    <w:rsid w:val="00BF2E36"/>
    <w:rsid w:val="00C23940"/>
    <w:rsid w:val="00C43072"/>
    <w:rsid w:val="00C550E8"/>
    <w:rsid w:val="00C67C4D"/>
    <w:rsid w:val="00C738E9"/>
    <w:rsid w:val="00C92E8D"/>
    <w:rsid w:val="00CA1725"/>
    <w:rsid w:val="00CB574D"/>
    <w:rsid w:val="00CC34C3"/>
    <w:rsid w:val="00CC7D4B"/>
    <w:rsid w:val="00CD40ED"/>
    <w:rsid w:val="00CD6D98"/>
    <w:rsid w:val="00CE19CC"/>
    <w:rsid w:val="00D15DC3"/>
    <w:rsid w:val="00D333B8"/>
    <w:rsid w:val="00D3389D"/>
    <w:rsid w:val="00D338F4"/>
    <w:rsid w:val="00D402EB"/>
    <w:rsid w:val="00D42D35"/>
    <w:rsid w:val="00D556EE"/>
    <w:rsid w:val="00D6097B"/>
    <w:rsid w:val="00D62D6D"/>
    <w:rsid w:val="00D75E73"/>
    <w:rsid w:val="00D77FEC"/>
    <w:rsid w:val="00D85E73"/>
    <w:rsid w:val="00D86639"/>
    <w:rsid w:val="00DA271E"/>
    <w:rsid w:val="00DA32C1"/>
    <w:rsid w:val="00DA36FE"/>
    <w:rsid w:val="00DA4489"/>
    <w:rsid w:val="00DA7744"/>
    <w:rsid w:val="00DB3413"/>
    <w:rsid w:val="00DE19FF"/>
    <w:rsid w:val="00DE2239"/>
    <w:rsid w:val="00DE39B8"/>
    <w:rsid w:val="00DF105B"/>
    <w:rsid w:val="00DF2196"/>
    <w:rsid w:val="00DF5F84"/>
    <w:rsid w:val="00DF7F6A"/>
    <w:rsid w:val="00E058EB"/>
    <w:rsid w:val="00E07691"/>
    <w:rsid w:val="00E102FA"/>
    <w:rsid w:val="00E1192F"/>
    <w:rsid w:val="00E12670"/>
    <w:rsid w:val="00E2426B"/>
    <w:rsid w:val="00E243B2"/>
    <w:rsid w:val="00E268AF"/>
    <w:rsid w:val="00E30556"/>
    <w:rsid w:val="00E344A7"/>
    <w:rsid w:val="00E47F96"/>
    <w:rsid w:val="00E50786"/>
    <w:rsid w:val="00E53725"/>
    <w:rsid w:val="00E53D1B"/>
    <w:rsid w:val="00E7430E"/>
    <w:rsid w:val="00E813A1"/>
    <w:rsid w:val="00EB6EC5"/>
    <w:rsid w:val="00EC07F8"/>
    <w:rsid w:val="00EC4C53"/>
    <w:rsid w:val="00ED16AB"/>
    <w:rsid w:val="00EE4F6D"/>
    <w:rsid w:val="00F000A3"/>
    <w:rsid w:val="00F0590B"/>
    <w:rsid w:val="00F06417"/>
    <w:rsid w:val="00F07629"/>
    <w:rsid w:val="00F12B9F"/>
    <w:rsid w:val="00F4696F"/>
    <w:rsid w:val="00F47B27"/>
    <w:rsid w:val="00F51B46"/>
    <w:rsid w:val="00F524A1"/>
    <w:rsid w:val="00F56C6A"/>
    <w:rsid w:val="00F5771A"/>
    <w:rsid w:val="00F61FD5"/>
    <w:rsid w:val="00F67025"/>
    <w:rsid w:val="00F77ADC"/>
    <w:rsid w:val="00F80D1E"/>
    <w:rsid w:val="00F8235A"/>
    <w:rsid w:val="00F846FA"/>
    <w:rsid w:val="00F97D49"/>
    <w:rsid w:val="00FA1A00"/>
    <w:rsid w:val="00FA6EEF"/>
    <w:rsid w:val="00FB10CD"/>
    <w:rsid w:val="00FB18F3"/>
    <w:rsid w:val="00FD056A"/>
    <w:rsid w:val="00FD6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CAB46"/>
  <w15:chartTrackingRefBased/>
  <w15:docId w15:val="{2A794DD3-CAA0-4157-AEC3-49E91B72B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D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5D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Outline3"/>
    <w:basedOn w:val="Normal"/>
    <w:next w:val="Normal"/>
    <w:link w:val="Heading3Char"/>
    <w:uiPriority w:val="9"/>
    <w:unhideWhenUsed/>
    <w:qFormat/>
    <w:rsid w:val="00D15D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532D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532D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3532D0"/>
    <w:pPr>
      <w:spacing w:before="240" w:after="60" w:line="240" w:lineRule="auto"/>
      <w:contextualSpacing/>
      <w:outlineLvl w:val="5"/>
    </w:pPr>
    <w:rPr>
      <w:rFonts w:ascii="Cambria" w:eastAsia="Times New Roman" w:hAnsi="Cambria" w:cs="Times New Roman"/>
      <w:b/>
    </w:rPr>
  </w:style>
  <w:style w:type="paragraph" w:styleId="Heading7">
    <w:name w:val="heading 7"/>
    <w:basedOn w:val="Normal"/>
    <w:next w:val="Normal"/>
    <w:link w:val="Heading7Char"/>
    <w:uiPriority w:val="9"/>
    <w:semiHidden/>
    <w:unhideWhenUsed/>
    <w:qFormat/>
    <w:rsid w:val="005E126D"/>
    <w:pPr>
      <w:keepNext/>
      <w:keepLines/>
      <w:spacing w:before="200" w:after="0" w:line="240" w:lineRule="auto"/>
      <w:ind w:left="1296" w:hanging="1296"/>
      <w:outlineLvl w:val="6"/>
    </w:pPr>
    <w:rPr>
      <w:rFonts w:asciiTheme="majorHAnsi" w:eastAsiaTheme="majorEastAsia" w:hAnsiTheme="majorHAnsi" w:cstheme="majorBidi"/>
      <w:i/>
      <w:iCs/>
      <w:color w:val="404040" w:themeColor="text1" w:themeTint="BF"/>
      <w:szCs w:val="24"/>
      <w:lang w:val="en-US"/>
    </w:rPr>
  </w:style>
  <w:style w:type="paragraph" w:styleId="Heading8">
    <w:name w:val="heading 8"/>
    <w:basedOn w:val="Normal"/>
    <w:next w:val="Normal"/>
    <w:link w:val="Heading8Char"/>
    <w:uiPriority w:val="9"/>
    <w:qFormat/>
    <w:rsid w:val="003532D0"/>
    <w:pPr>
      <w:keepNext/>
      <w:spacing w:before="120" w:after="120" w:line="240" w:lineRule="auto"/>
      <w:contextualSpacing/>
      <w:jc w:val="center"/>
      <w:outlineLvl w:val="7"/>
    </w:pPr>
    <w:rPr>
      <w:rFonts w:ascii="Arial" w:eastAsia="Times New Roman" w:hAnsi="Arial" w:cs="Arial"/>
      <w:b/>
      <w:bCs/>
      <w:sz w:val="20"/>
      <w:szCs w:val="20"/>
    </w:rPr>
  </w:style>
  <w:style w:type="paragraph" w:styleId="Heading9">
    <w:name w:val="heading 9"/>
    <w:basedOn w:val="Normal"/>
    <w:next w:val="Normal"/>
    <w:link w:val="Heading9Char"/>
    <w:uiPriority w:val="9"/>
    <w:semiHidden/>
    <w:unhideWhenUsed/>
    <w:qFormat/>
    <w:rsid w:val="005E126D"/>
    <w:pPr>
      <w:keepNext/>
      <w:keepLines/>
      <w:spacing w:before="200" w:after="0" w:line="240" w:lineRule="auto"/>
      <w:ind w:left="1584"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776C9"/>
    <w:pPr>
      <w:widowControl w:val="0"/>
      <w:autoSpaceDE w:val="0"/>
      <w:autoSpaceDN w:val="0"/>
      <w:adjustRightInd w:val="0"/>
      <w:spacing w:after="0" w:line="240" w:lineRule="auto"/>
      <w:jc w:val="center"/>
    </w:pPr>
    <w:rPr>
      <w:rFonts w:ascii="Arial" w:eastAsia="Times New Roman" w:hAnsi="Arial" w:cs="Times New Roman"/>
      <w:b/>
      <w:color w:val="000000"/>
      <w:sz w:val="32"/>
      <w:szCs w:val="24"/>
      <w:lang w:eastAsia="en-GB"/>
    </w:rPr>
  </w:style>
  <w:style w:type="character" w:customStyle="1" w:styleId="BodyTextChar">
    <w:name w:val="Body Text Char"/>
    <w:basedOn w:val="DefaultParagraphFont"/>
    <w:link w:val="BodyText"/>
    <w:rsid w:val="001776C9"/>
    <w:rPr>
      <w:rFonts w:ascii="Arial" w:eastAsia="Times New Roman" w:hAnsi="Arial" w:cs="Times New Roman"/>
      <w:b/>
      <w:color w:val="000000"/>
      <w:sz w:val="32"/>
      <w:szCs w:val="24"/>
      <w:lang w:eastAsia="en-GB"/>
    </w:rPr>
  </w:style>
  <w:style w:type="character" w:styleId="CommentReference">
    <w:name w:val="annotation reference"/>
    <w:basedOn w:val="DefaultParagraphFont"/>
    <w:uiPriority w:val="99"/>
    <w:semiHidden/>
    <w:unhideWhenUsed/>
    <w:rsid w:val="001776C9"/>
    <w:rPr>
      <w:sz w:val="16"/>
      <w:szCs w:val="16"/>
    </w:rPr>
  </w:style>
  <w:style w:type="paragraph" w:styleId="CommentText">
    <w:name w:val="annotation text"/>
    <w:basedOn w:val="Normal"/>
    <w:link w:val="CommentTextChar"/>
    <w:uiPriority w:val="99"/>
    <w:semiHidden/>
    <w:unhideWhenUsed/>
    <w:rsid w:val="001776C9"/>
    <w:pPr>
      <w:spacing w:line="240" w:lineRule="auto"/>
    </w:pPr>
    <w:rPr>
      <w:sz w:val="20"/>
      <w:szCs w:val="20"/>
    </w:rPr>
  </w:style>
  <w:style w:type="character" w:customStyle="1" w:styleId="CommentTextChar">
    <w:name w:val="Comment Text Char"/>
    <w:basedOn w:val="DefaultParagraphFont"/>
    <w:link w:val="CommentText"/>
    <w:uiPriority w:val="99"/>
    <w:semiHidden/>
    <w:rsid w:val="001776C9"/>
    <w:rPr>
      <w:sz w:val="20"/>
      <w:szCs w:val="20"/>
    </w:rPr>
  </w:style>
  <w:style w:type="paragraph" w:styleId="CommentSubject">
    <w:name w:val="annotation subject"/>
    <w:basedOn w:val="CommentText"/>
    <w:next w:val="CommentText"/>
    <w:link w:val="CommentSubjectChar"/>
    <w:uiPriority w:val="99"/>
    <w:semiHidden/>
    <w:unhideWhenUsed/>
    <w:rsid w:val="001776C9"/>
    <w:rPr>
      <w:b/>
      <w:bCs/>
    </w:rPr>
  </w:style>
  <w:style w:type="character" w:customStyle="1" w:styleId="CommentSubjectChar">
    <w:name w:val="Comment Subject Char"/>
    <w:basedOn w:val="CommentTextChar"/>
    <w:link w:val="CommentSubject"/>
    <w:uiPriority w:val="99"/>
    <w:semiHidden/>
    <w:rsid w:val="001776C9"/>
    <w:rPr>
      <w:b/>
      <w:bCs/>
      <w:sz w:val="20"/>
      <w:szCs w:val="20"/>
    </w:rPr>
  </w:style>
  <w:style w:type="paragraph" w:styleId="Revision">
    <w:name w:val="Revision"/>
    <w:hidden/>
    <w:uiPriority w:val="99"/>
    <w:semiHidden/>
    <w:rsid w:val="00234AA5"/>
    <w:pPr>
      <w:spacing w:after="0" w:line="240" w:lineRule="auto"/>
    </w:pPr>
  </w:style>
  <w:style w:type="paragraph" w:styleId="ListParagraph">
    <w:name w:val="List Paragraph"/>
    <w:basedOn w:val="Normal"/>
    <w:uiPriority w:val="34"/>
    <w:qFormat/>
    <w:rsid w:val="00D6097B"/>
    <w:pPr>
      <w:ind w:left="720"/>
      <w:contextualSpacing/>
    </w:pPr>
  </w:style>
  <w:style w:type="character" w:styleId="Hyperlink">
    <w:name w:val="Hyperlink"/>
    <w:basedOn w:val="DefaultParagraphFont"/>
    <w:uiPriority w:val="99"/>
    <w:unhideWhenUsed/>
    <w:rsid w:val="00130E04"/>
    <w:rPr>
      <w:color w:val="0563C1" w:themeColor="hyperlink"/>
      <w:u w:val="single"/>
    </w:rPr>
  </w:style>
  <w:style w:type="character" w:styleId="UnresolvedMention">
    <w:name w:val="Unresolved Mention"/>
    <w:basedOn w:val="DefaultParagraphFont"/>
    <w:uiPriority w:val="99"/>
    <w:semiHidden/>
    <w:unhideWhenUsed/>
    <w:rsid w:val="00130E04"/>
    <w:rPr>
      <w:color w:val="605E5C"/>
      <w:shd w:val="clear" w:color="auto" w:fill="E1DFDD"/>
    </w:rPr>
  </w:style>
  <w:style w:type="paragraph" w:styleId="Header">
    <w:name w:val="header"/>
    <w:basedOn w:val="Normal"/>
    <w:link w:val="HeaderChar"/>
    <w:uiPriority w:val="99"/>
    <w:unhideWhenUsed/>
    <w:rsid w:val="005E54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4DA"/>
  </w:style>
  <w:style w:type="paragraph" w:styleId="Footer">
    <w:name w:val="footer"/>
    <w:basedOn w:val="Normal"/>
    <w:link w:val="FooterChar"/>
    <w:uiPriority w:val="99"/>
    <w:unhideWhenUsed/>
    <w:rsid w:val="005E5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4DA"/>
  </w:style>
  <w:style w:type="character" w:styleId="PageNumber">
    <w:name w:val="page number"/>
    <w:basedOn w:val="DefaultParagraphFont"/>
    <w:unhideWhenUsed/>
    <w:rsid w:val="005E54DA"/>
  </w:style>
  <w:style w:type="character" w:customStyle="1" w:styleId="Heading1Char">
    <w:name w:val="Heading 1 Char"/>
    <w:basedOn w:val="DefaultParagraphFont"/>
    <w:link w:val="Heading1"/>
    <w:uiPriority w:val="9"/>
    <w:rsid w:val="00D15DC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15DC3"/>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Outline3 Char"/>
    <w:basedOn w:val="DefaultParagraphFont"/>
    <w:link w:val="Heading3"/>
    <w:uiPriority w:val="9"/>
    <w:rsid w:val="00D15DC3"/>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A36B93"/>
    <w:pPr>
      <w:spacing w:after="100"/>
    </w:pPr>
  </w:style>
  <w:style w:type="paragraph" w:styleId="TOC2">
    <w:name w:val="toc 2"/>
    <w:basedOn w:val="Normal"/>
    <w:next w:val="Normal"/>
    <w:autoRedefine/>
    <w:uiPriority w:val="39"/>
    <w:unhideWhenUsed/>
    <w:rsid w:val="00A36B93"/>
    <w:pPr>
      <w:spacing w:after="100"/>
      <w:ind w:left="220"/>
    </w:pPr>
  </w:style>
  <w:style w:type="paragraph" w:styleId="TOC3">
    <w:name w:val="toc 3"/>
    <w:basedOn w:val="Normal"/>
    <w:next w:val="Normal"/>
    <w:autoRedefine/>
    <w:uiPriority w:val="39"/>
    <w:unhideWhenUsed/>
    <w:rsid w:val="00F80D1E"/>
    <w:pPr>
      <w:tabs>
        <w:tab w:val="right" w:leader="dot" w:pos="9016"/>
      </w:tabs>
      <w:spacing w:after="100"/>
      <w:ind w:left="440"/>
    </w:pPr>
  </w:style>
  <w:style w:type="paragraph" w:styleId="BodyText2">
    <w:name w:val="Body Text 2"/>
    <w:basedOn w:val="Normal"/>
    <w:link w:val="BodyText2Char"/>
    <w:rsid w:val="003E794A"/>
    <w:pPr>
      <w:spacing w:before="120" w:after="120" w:line="480" w:lineRule="auto"/>
    </w:pPr>
    <w:rPr>
      <w:rFonts w:ascii="Arial" w:eastAsia="Times New Roman" w:hAnsi="Arial" w:cs="Arial"/>
    </w:rPr>
  </w:style>
  <w:style w:type="character" w:customStyle="1" w:styleId="BodyText2Char">
    <w:name w:val="Body Text 2 Char"/>
    <w:basedOn w:val="DefaultParagraphFont"/>
    <w:link w:val="BodyText2"/>
    <w:uiPriority w:val="99"/>
    <w:rsid w:val="003E794A"/>
    <w:rPr>
      <w:rFonts w:ascii="Arial" w:eastAsia="Times New Roman" w:hAnsi="Arial" w:cs="Arial"/>
    </w:rPr>
  </w:style>
  <w:style w:type="table" w:styleId="TableGrid">
    <w:name w:val="Table Grid"/>
    <w:basedOn w:val="TableNormal"/>
    <w:uiPriority w:val="39"/>
    <w:rsid w:val="005632F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344C05"/>
    <w:pPr>
      <w:spacing w:after="200" w:line="240" w:lineRule="auto"/>
    </w:pPr>
    <w:rPr>
      <w:i/>
      <w:iCs/>
      <w:szCs w:val="18"/>
    </w:rPr>
  </w:style>
  <w:style w:type="character" w:customStyle="1" w:styleId="CaptionChar">
    <w:name w:val="Caption Char"/>
    <w:basedOn w:val="DefaultParagraphFont"/>
    <w:link w:val="Caption"/>
    <w:locked/>
    <w:rsid w:val="00344C05"/>
    <w:rPr>
      <w:i/>
      <w:iCs/>
      <w:szCs w:val="18"/>
    </w:rPr>
  </w:style>
  <w:style w:type="table" w:styleId="PlainTable4">
    <w:name w:val="Plain Table 4"/>
    <w:basedOn w:val="TableNormal"/>
    <w:uiPriority w:val="44"/>
    <w:rsid w:val="00344C0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4B281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EndNoteBibliographyTitle">
    <w:name w:val="EndNote Bibliography Title"/>
    <w:basedOn w:val="Normal"/>
    <w:link w:val="EndNoteBibliographyTitleChar"/>
    <w:rsid w:val="00230BCE"/>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230BCE"/>
    <w:rPr>
      <w:rFonts w:ascii="Calibri" w:hAnsi="Calibri" w:cs="Calibri"/>
      <w:lang w:val="en-US"/>
    </w:rPr>
  </w:style>
  <w:style w:type="paragraph" w:customStyle="1" w:styleId="EndNoteBibliography">
    <w:name w:val="EndNote Bibliography"/>
    <w:basedOn w:val="Normal"/>
    <w:link w:val="EndNoteBibliographyChar"/>
    <w:rsid w:val="00230BCE"/>
    <w:pPr>
      <w:spacing w:line="240" w:lineRule="auto"/>
    </w:pPr>
    <w:rPr>
      <w:rFonts w:ascii="Calibri" w:hAnsi="Calibri" w:cs="Calibri"/>
      <w:lang w:val="en-US"/>
    </w:rPr>
  </w:style>
  <w:style w:type="character" w:customStyle="1" w:styleId="EndNoteBibliographyChar">
    <w:name w:val="EndNote Bibliography Char"/>
    <w:basedOn w:val="DefaultParagraphFont"/>
    <w:link w:val="EndNoteBibliography"/>
    <w:rsid w:val="00230BCE"/>
    <w:rPr>
      <w:rFonts w:ascii="Calibri" w:hAnsi="Calibri" w:cs="Calibri"/>
      <w:lang w:val="en-US"/>
    </w:rPr>
  </w:style>
  <w:style w:type="table" w:styleId="GridTable5Dark-Accent2">
    <w:name w:val="Grid Table 5 Dark Accent 2"/>
    <w:basedOn w:val="TableNormal"/>
    <w:uiPriority w:val="50"/>
    <w:rsid w:val="00F5771A"/>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Heading4Char">
    <w:name w:val="Heading 4 Char"/>
    <w:basedOn w:val="DefaultParagraphFont"/>
    <w:link w:val="Heading4"/>
    <w:uiPriority w:val="9"/>
    <w:rsid w:val="003532D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532D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3532D0"/>
    <w:rPr>
      <w:rFonts w:ascii="Cambria" w:eastAsia="Times New Roman" w:hAnsi="Cambria" w:cs="Times New Roman"/>
      <w:b/>
    </w:rPr>
  </w:style>
  <w:style w:type="character" w:customStyle="1" w:styleId="Heading8Char">
    <w:name w:val="Heading 8 Char"/>
    <w:basedOn w:val="DefaultParagraphFont"/>
    <w:link w:val="Heading8"/>
    <w:uiPriority w:val="9"/>
    <w:rsid w:val="003532D0"/>
    <w:rPr>
      <w:rFonts w:ascii="Arial" w:eastAsia="Times New Roman" w:hAnsi="Arial" w:cs="Arial"/>
      <w:b/>
      <w:bCs/>
      <w:sz w:val="20"/>
      <w:szCs w:val="20"/>
    </w:rPr>
  </w:style>
  <w:style w:type="paragraph" w:styleId="BodyText3">
    <w:name w:val="Body Text 3"/>
    <w:basedOn w:val="Normal"/>
    <w:link w:val="BodyText3Char"/>
    <w:rsid w:val="003532D0"/>
    <w:pPr>
      <w:spacing w:before="120" w:after="120" w:line="240" w:lineRule="auto"/>
      <w:contextualSpacing/>
    </w:pPr>
    <w:rPr>
      <w:rFonts w:ascii="Arial" w:eastAsia="Times New Roman" w:hAnsi="Arial" w:cs="Arial"/>
      <w:bCs/>
      <w:color w:val="000080"/>
      <w:sz w:val="20"/>
      <w:szCs w:val="20"/>
    </w:rPr>
  </w:style>
  <w:style w:type="character" w:customStyle="1" w:styleId="BodyText3Char">
    <w:name w:val="Body Text 3 Char"/>
    <w:basedOn w:val="DefaultParagraphFont"/>
    <w:link w:val="BodyText3"/>
    <w:rsid w:val="003532D0"/>
    <w:rPr>
      <w:rFonts w:ascii="Arial" w:eastAsia="Times New Roman" w:hAnsi="Arial" w:cs="Arial"/>
      <w:bCs/>
      <w:color w:val="000080"/>
      <w:sz w:val="20"/>
      <w:szCs w:val="20"/>
    </w:rPr>
  </w:style>
  <w:style w:type="character" w:styleId="FollowedHyperlink">
    <w:name w:val="FollowedHyperlink"/>
    <w:rsid w:val="003532D0"/>
    <w:rPr>
      <w:color w:val="800080"/>
      <w:u w:val="single"/>
    </w:rPr>
  </w:style>
  <w:style w:type="paragraph" w:customStyle="1" w:styleId="Header1">
    <w:name w:val="Header1"/>
    <w:basedOn w:val="Heading1"/>
    <w:autoRedefine/>
    <w:rsid w:val="003532D0"/>
    <w:pPr>
      <w:keepLines w:val="0"/>
      <w:spacing w:before="0" w:line="300" w:lineRule="auto"/>
      <w:contextualSpacing/>
      <w:outlineLvl w:val="1"/>
    </w:pPr>
    <w:rPr>
      <w:rFonts w:ascii="Arial" w:eastAsia="Times New Roman" w:hAnsi="Arial" w:cs="Arial"/>
      <w:b/>
      <w:bCs/>
      <w:color w:val="auto"/>
      <w:sz w:val="40"/>
      <w:szCs w:val="22"/>
    </w:rPr>
  </w:style>
  <w:style w:type="table" w:customStyle="1" w:styleId="TableGrid1">
    <w:name w:val="Table Grid1"/>
    <w:basedOn w:val="TableNormal"/>
    <w:next w:val="TableGrid"/>
    <w:rsid w:val="003532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3532D0"/>
    <w:pPr>
      <w:tabs>
        <w:tab w:val="right" w:leader="dot" w:pos="8630"/>
      </w:tabs>
      <w:spacing w:before="120" w:after="120" w:line="240" w:lineRule="auto"/>
      <w:ind w:left="198" w:hanging="198"/>
      <w:contextualSpacing/>
    </w:pPr>
    <w:rPr>
      <w:rFonts w:ascii="Arial" w:eastAsia="Times New Roman" w:hAnsi="Arial" w:cs="Arial"/>
      <w:noProof/>
      <w:sz w:val="24"/>
      <w:szCs w:val="24"/>
    </w:rPr>
  </w:style>
  <w:style w:type="paragraph" w:styleId="Index2">
    <w:name w:val="index 2"/>
    <w:basedOn w:val="Normal"/>
    <w:next w:val="Normal"/>
    <w:autoRedefine/>
    <w:semiHidden/>
    <w:rsid w:val="003532D0"/>
    <w:pPr>
      <w:spacing w:before="120" w:after="120" w:line="240" w:lineRule="auto"/>
      <w:ind w:left="400" w:hanging="200"/>
      <w:contextualSpacing/>
    </w:pPr>
    <w:rPr>
      <w:rFonts w:ascii="Arial" w:eastAsia="Times New Roman" w:hAnsi="Arial" w:cs="Arial"/>
      <w:bCs/>
      <w:sz w:val="20"/>
      <w:szCs w:val="20"/>
    </w:rPr>
  </w:style>
  <w:style w:type="paragraph" w:styleId="Index3">
    <w:name w:val="index 3"/>
    <w:basedOn w:val="Normal"/>
    <w:next w:val="Normal"/>
    <w:autoRedefine/>
    <w:semiHidden/>
    <w:rsid w:val="003532D0"/>
    <w:pPr>
      <w:spacing w:before="120" w:after="120" w:line="240" w:lineRule="auto"/>
      <w:ind w:left="600" w:hanging="200"/>
      <w:contextualSpacing/>
    </w:pPr>
    <w:rPr>
      <w:rFonts w:ascii="Arial" w:eastAsia="Times New Roman" w:hAnsi="Arial" w:cs="Arial"/>
      <w:bCs/>
      <w:sz w:val="20"/>
      <w:szCs w:val="20"/>
    </w:rPr>
  </w:style>
  <w:style w:type="paragraph" w:styleId="Index4">
    <w:name w:val="index 4"/>
    <w:basedOn w:val="Normal"/>
    <w:next w:val="Normal"/>
    <w:autoRedefine/>
    <w:semiHidden/>
    <w:rsid w:val="003532D0"/>
    <w:pPr>
      <w:spacing w:before="120" w:after="120" w:line="240" w:lineRule="auto"/>
      <w:ind w:left="800" w:hanging="200"/>
      <w:contextualSpacing/>
    </w:pPr>
    <w:rPr>
      <w:rFonts w:ascii="Arial" w:eastAsia="Times New Roman" w:hAnsi="Arial" w:cs="Arial"/>
      <w:bCs/>
      <w:sz w:val="20"/>
      <w:szCs w:val="20"/>
    </w:rPr>
  </w:style>
  <w:style w:type="paragraph" w:styleId="Index5">
    <w:name w:val="index 5"/>
    <w:basedOn w:val="Normal"/>
    <w:next w:val="Normal"/>
    <w:autoRedefine/>
    <w:semiHidden/>
    <w:rsid w:val="003532D0"/>
    <w:pPr>
      <w:spacing w:before="120" w:after="120" w:line="240" w:lineRule="auto"/>
      <w:ind w:left="1000" w:hanging="200"/>
      <w:contextualSpacing/>
    </w:pPr>
    <w:rPr>
      <w:rFonts w:ascii="Arial" w:eastAsia="Times New Roman" w:hAnsi="Arial" w:cs="Arial"/>
      <w:bCs/>
      <w:sz w:val="20"/>
      <w:szCs w:val="20"/>
    </w:rPr>
  </w:style>
  <w:style w:type="paragraph" w:styleId="Index6">
    <w:name w:val="index 6"/>
    <w:basedOn w:val="Normal"/>
    <w:next w:val="Normal"/>
    <w:autoRedefine/>
    <w:semiHidden/>
    <w:rsid w:val="003532D0"/>
    <w:pPr>
      <w:spacing w:before="120" w:after="120" w:line="240" w:lineRule="auto"/>
      <w:ind w:left="1200" w:hanging="200"/>
      <w:contextualSpacing/>
    </w:pPr>
    <w:rPr>
      <w:rFonts w:ascii="Arial" w:eastAsia="Times New Roman" w:hAnsi="Arial" w:cs="Arial"/>
      <w:bCs/>
      <w:sz w:val="20"/>
      <w:szCs w:val="20"/>
    </w:rPr>
  </w:style>
  <w:style w:type="paragraph" w:styleId="Index7">
    <w:name w:val="index 7"/>
    <w:basedOn w:val="Normal"/>
    <w:next w:val="Normal"/>
    <w:autoRedefine/>
    <w:semiHidden/>
    <w:rsid w:val="003532D0"/>
    <w:pPr>
      <w:spacing w:before="120" w:after="120" w:line="240" w:lineRule="auto"/>
      <w:ind w:left="1400" w:hanging="200"/>
      <w:contextualSpacing/>
    </w:pPr>
    <w:rPr>
      <w:rFonts w:ascii="Arial" w:eastAsia="Times New Roman" w:hAnsi="Arial" w:cs="Arial"/>
      <w:bCs/>
      <w:sz w:val="20"/>
      <w:szCs w:val="20"/>
    </w:rPr>
  </w:style>
  <w:style w:type="paragraph" w:styleId="Index8">
    <w:name w:val="index 8"/>
    <w:basedOn w:val="Normal"/>
    <w:next w:val="Normal"/>
    <w:autoRedefine/>
    <w:semiHidden/>
    <w:rsid w:val="003532D0"/>
    <w:pPr>
      <w:spacing w:before="120" w:after="120" w:line="240" w:lineRule="auto"/>
      <w:ind w:left="1600" w:hanging="200"/>
      <w:contextualSpacing/>
    </w:pPr>
    <w:rPr>
      <w:rFonts w:ascii="Arial" w:eastAsia="Times New Roman" w:hAnsi="Arial" w:cs="Arial"/>
      <w:bCs/>
      <w:sz w:val="20"/>
      <w:szCs w:val="20"/>
    </w:rPr>
  </w:style>
  <w:style w:type="paragraph" w:styleId="Index9">
    <w:name w:val="index 9"/>
    <w:basedOn w:val="Normal"/>
    <w:next w:val="Normal"/>
    <w:autoRedefine/>
    <w:semiHidden/>
    <w:rsid w:val="003532D0"/>
    <w:pPr>
      <w:spacing w:before="120" w:after="120" w:line="240" w:lineRule="auto"/>
      <w:ind w:left="1800" w:hanging="200"/>
      <w:contextualSpacing/>
    </w:pPr>
    <w:rPr>
      <w:rFonts w:ascii="Arial" w:eastAsia="Times New Roman" w:hAnsi="Arial" w:cs="Arial"/>
      <w:bCs/>
      <w:sz w:val="20"/>
      <w:szCs w:val="20"/>
    </w:rPr>
  </w:style>
  <w:style w:type="paragraph" w:styleId="IndexHeading">
    <w:name w:val="index heading"/>
    <w:basedOn w:val="Normal"/>
    <w:next w:val="Index1"/>
    <w:semiHidden/>
    <w:rsid w:val="003532D0"/>
    <w:pPr>
      <w:spacing w:before="120" w:after="120" w:line="240" w:lineRule="auto"/>
      <w:contextualSpacing/>
    </w:pPr>
    <w:rPr>
      <w:rFonts w:ascii="Arial" w:eastAsia="Times New Roman" w:hAnsi="Arial" w:cs="Arial"/>
      <w:b/>
      <w:i/>
      <w:iCs/>
      <w:sz w:val="20"/>
      <w:szCs w:val="20"/>
    </w:rPr>
  </w:style>
  <w:style w:type="character" w:styleId="Strong">
    <w:name w:val="Strong"/>
    <w:uiPriority w:val="22"/>
    <w:qFormat/>
    <w:rsid w:val="003532D0"/>
    <w:rPr>
      <w:b/>
      <w:bCs/>
    </w:rPr>
  </w:style>
  <w:style w:type="paragraph" w:styleId="BalloonText">
    <w:name w:val="Balloon Text"/>
    <w:basedOn w:val="Normal"/>
    <w:link w:val="BalloonTextChar"/>
    <w:uiPriority w:val="99"/>
    <w:rsid w:val="003532D0"/>
    <w:pPr>
      <w:spacing w:before="120" w:after="120" w:line="240" w:lineRule="auto"/>
      <w:contextualSpacing/>
    </w:pPr>
    <w:rPr>
      <w:rFonts w:ascii="Tahoma" w:eastAsia="Times New Roman" w:hAnsi="Tahoma" w:cs="Tahoma"/>
      <w:bCs/>
      <w:sz w:val="16"/>
      <w:szCs w:val="16"/>
    </w:rPr>
  </w:style>
  <w:style w:type="character" w:customStyle="1" w:styleId="BalloonTextChar">
    <w:name w:val="Balloon Text Char"/>
    <w:basedOn w:val="DefaultParagraphFont"/>
    <w:link w:val="BalloonText"/>
    <w:uiPriority w:val="99"/>
    <w:rsid w:val="003532D0"/>
    <w:rPr>
      <w:rFonts w:ascii="Tahoma" w:eastAsia="Times New Roman" w:hAnsi="Tahoma" w:cs="Tahoma"/>
      <w:bCs/>
      <w:sz w:val="16"/>
      <w:szCs w:val="16"/>
    </w:rPr>
  </w:style>
  <w:style w:type="paragraph" w:customStyle="1" w:styleId="appnormal">
    <w:name w:val="app normal"/>
    <w:basedOn w:val="Normal"/>
    <w:rsid w:val="003532D0"/>
    <w:pPr>
      <w:overflowPunct w:val="0"/>
      <w:autoSpaceDE w:val="0"/>
      <w:autoSpaceDN w:val="0"/>
      <w:adjustRightInd w:val="0"/>
      <w:spacing w:before="120" w:after="120" w:line="240" w:lineRule="auto"/>
      <w:contextualSpacing/>
      <w:textAlignment w:val="baseline"/>
    </w:pPr>
    <w:rPr>
      <w:rFonts w:ascii="Arial" w:eastAsia="Times New Roman" w:hAnsi="Arial" w:cs="Arial"/>
      <w:bCs/>
      <w:sz w:val="20"/>
      <w:szCs w:val="20"/>
      <w:lang w:val="en-US"/>
    </w:rPr>
  </w:style>
  <w:style w:type="paragraph" w:customStyle="1" w:styleId="subhead">
    <w:name w:val="subhead"/>
    <w:basedOn w:val="Normal"/>
    <w:rsid w:val="003532D0"/>
    <w:pPr>
      <w:keepNext/>
      <w:widowControl w:val="0"/>
      <w:autoSpaceDE w:val="0"/>
      <w:autoSpaceDN w:val="0"/>
      <w:spacing w:before="120" w:after="120" w:line="280" w:lineRule="exact"/>
      <w:ind w:left="360" w:hanging="360"/>
      <w:contextualSpacing/>
    </w:pPr>
    <w:rPr>
      <w:rFonts w:ascii="Helvetica" w:eastAsia="Times New Roman" w:hAnsi="Helvetica" w:cs="Arial"/>
      <w:bCs/>
      <w:i/>
      <w:iCs/>
      <w:smallCaps/>
      <w:szCs w:val="24"/>
      <w:lang w:val="en-US"/>
    </w:rPr>
  </w:style>
  <w:style w:type="character" w:customStyle="1" w:styleId="journalname">
    <w:name w:val="journalname"/>
    <w:basedOn w:val="DefaultParagraphFont"/>
    <w:rsid w:val="003532D0"/>
  </w:style>
  <w:style w:type="paragraph" w:styleId="TOC6">
    <w:name w:val="toc 6"/>
    <w:basedOn w:val="Normal"/>
    <w:next w:val="Normal"/>
    <w:autoRedefine/>
    <w:uiPriority w:val="39"/>
    <w:semiHidden/>
    <w:rsid w:val="003532D0"/>
    <w:pPr>
      <w:spacing w:before="120" w:after="120" w:line="240" w:lineRule="auto"/>
      <w:ind w:left="1000"/>
      <w:contextualSpacing/>
    </w:pPr>
    <w:rPr>
      <w:rFonts w:ascii="Arial" w:eastAsia="Times New Roman" w:hAnsi="Arial" w:cs="Arial"/>
      <w:bCs/>
      <w:sz w:val="20"/>
      <w:szCs w:val="20"/>
    </w:rPr>
  </w:style>
  <w:style w:type="paragraph" w:styleId="TOC4">
    <w:name w:val="toc 4"/>
    <w:basedOn w:val="Normal"/>
    <w:next w:val="Normal"/>
    <w:autoRedefine/>
    <w:uiPriority w:val="39"/>
    <w:semiHidden/>
    <w:rsid w:val="003532D0"/>
    <w:pPr>
      <w:spacing w:before="120" w:after="120" w:line="240" w:lineRule="auto"/>
      <w:ind w:left="600"/>
      <w:contextualSpacing/>
    </w:pPr>
    <w:rPr>
      <w:rFonts w:ascii="Arial" w:eastAsia="Times New Roman" w:hAnsi="Arial" w:cs="Arial"/>
      <w:bCs/>
      <w:sz w:val="20"/>
      <w:szCs w:val="20"/>
    </w:rPr>
  </w:style>
  <w:style w:type="paragraph" w:styleId="TOC5">
    <w:name w:val="toc 5"/>
    <w:basedOn w:val="Normal"/>
    <w:next w:val="Normal"/>
    <w:autoRedefine/>
    <w:uiPriority w:val="39"/>
    <w:semiHidden/>
    <w:rsid w:val="003532D0"/>
    <w:pPr>
      <w:spacing w:before="120" w:after="120" w:line="240" w:lineRule="auto"/>
      <w:ind w:left="800"/>
      <w:contextualSpacing/>
    </w:pPr>
    <w:rPr>
      <w:rFonts w:ascii="Arial" w:eastAsia="Times New Roman" w:hAnsi="Arial" w:cs="Arial"/>
      <w:bCs/>
      <w:sz w:val="20"/>
      <w:szCs w:val="20"/>
    </w:rPr>
  </w:style>
  <w:style w:type="paragraph" w:styleId="TOC7">
    <w:name w:val="toc 7"/>
    <w:basedOn w:val="Normal"/>
    <w:next w:val="Normal"/>
    <w:autoRedefine/>
    <w:uiPriority w:val="39"/>
    <w:semiHidden/>
    <w:rsid w:val="003532D0"/>
    <w:pPr>
      <w:spacing w:before="120" w:after="120" w:line="240" w:lineRule="auto"/>
      <w:ind w:left="1200"/>
      <w:contextualSpacing/>
    </w:pPr>
    <w:rPr>
      <w:rFonts w:ascii="Arial" w:eastAsia="Times New Roman" w:hAnsi="Arial" w:cs="Arial"/>
      <w:bCs/>
      <w:sz w:val="20"/>
      <w:szCs w:val="20"/>
    </w:rPr>
  </w:style>
  <w:style w:type="paragraph" w:styleId="TOC8">
    <w:name w:val="toc 8"/>
    <w:basedOn w:val="Normal"/>
    <w:next w:val="Normal"/>
    <w:autoRedefine/>
    <w:uiPriority w:val="39"/>
    <w:semiHidden/>
    <w:rsid w:val="003532D0"/>
    <w:pPr>
      <w:spacing w:before="120" w:after="120" w:line="240" w:lineRule="auto"/>
      <w:ind w:left="1400"/>
      <w:contextualSpacing/>
    </w:pPr>
    <w:rPr>
      <w:rFonts w:ascii="Arial" w:eastAsia="Times New Roman" w:hAnsi="Arial" w:cs="Arial"/>
      <w:bCs/>
      <w:sz w:val="20"/>
      <w:szCs w:val="20"/>
    </w:rPr>
  </w:style>
  <w:style w:type="paragraph" w:styleId="TOC9">
    <w:name w:val="toc 9"/>
    <w:basedOn w:val="Normal"/>
    <w:next w:val="Normal"/>
    <w:autoRedefine/>
    <w:uiPriority w:val="39"/>
    <w:semiHidden/>
    <w:rsid w:val="003532D0"/>
    <w:pPr>
      <w:spacing w:before="120" w:after="120" w:line="240" w:lineRule="auto"/>
      <w:ind w:left="1600"/>
      <w:contextualSpacing/>
    </w:pPr>
    <w:rPr>
      <w:rFonts w:ascii="Arial" w:eastAsia="Times New Roman" w:hAnsi="Arial" w:cs="Arial"/>
      <w:bCs/>
      <w:sz w:val="20"/>
      <w:szCs w:val="20"/>
    </w:rPr>
  </w:style>
  <w:style w:type="paragraph" w:styleId="FootnoteText">
    <w:name w:val="footnote text"/>
    <w:basedOn w:val="Normal"/>
    <w:link w:val="FootnoteTextChar"/>
    <w:uiPriority w:val="99"/>
    <w:unhideWhenUsed/>
    <w:rsid w:val="003532D0"/>
    <w:pPr>
      <w:spacing w:before="120" w:after="120" w:line="240" w:lineRule="auto"/>
      <w:contextualSpacing/>
    </w:pPr>
    <w:rPr>
      <w:rFonts w:ascii="Arial" w:eastAsia="Times New Roman" w:hAnsi="Arial" w:cs="Arial"/>
      <w:bCs/>
      <w:sz w:val="20"/>
      <w:szCs w:val="20"/>
    </w:rPr>
  </w:style>
  <w:style w:type="character" w:customStyle="1" w:styleId="FootnoteTextChar">
    <w:name w:val="Footnote Text Char"/>
    <w:basedOn w:val="DefaultParagraphFont"/>
    <w:link w:val="FootnoteText"/>
    <w:uiPriority w:val="99"/>
    <w:rsid w:val="003532D0"/>
    <w:rPr>
      <w:rFonts w:ascii="Arial" w:eastAsia="Times New Roman" w:hAnsi="Arial" w:cs="Arial"/>
      <w:bCs/>
      <w:sz w:val="20"/>
      <w:szCs w:val="20"/>
    </w:rPr>
  </w:style>
  <w:style w:type="character" w:styleId="FootnoteReference">
    <w:name w:val="footnote reference"/>
    <w:uiPriority w:val="99"/>
    <w:rsid w:val="003532D0"/>
    <w:rPr>
      <w:rFonts w:cs="Times New Roman"/>
      <w:vertAlign w:val="superscript"/>
    </w:rPr>
  </w:style>
  <w:style w:type="paragraph" w:customStyle="1" w:styleId="NormalWeb1">
    <w:name w:val="Normal (Web)1"/>
    <w:basedOn w:val="Normal"/>
    <w:next w:val="NormalWeb"/>
    <w:uiPriority w:val="99"/>
    <w:semiHidden/>
    <w:unhideWhenUsed/>
    <w:rsid w:val="003532D0"/>
    <w:pPr>
      <w:spacing w:before="100" w:beforeAutospacing="1" w:after="100" w:afterAutospacing="1" w:line="240" w:lineRule="auto"/>
    </w:pPr>
    <w:rPr>
      <w:rFonts w:ascii="Times" w:eastAsia="MS Mincho" w:hAnsi="Times" w:cs="Times New Roman"/>
      <w:sz w:val="20"/>
      <w:szCs w:val="20"/>
    </w:rPr>
  </w:style>
  <w:style w:type="paragraph" w:styleId="DocumentMap">
    <w:name w:val="Document Map"/>
    <w:basedOn w:val="Normal"/>
    <w:link w:val="DocumentMapChar"/>
    <w:uiPriority w:val="99"/>
    <w:semiHidden/>
    <w:unhideWhenUsed/>
    <w:rsid w:val="003532D0"/>
    <w:pPr>
      <w:spacing w:after="0" w:line="240" w:lineRule="auto"/>
      <w:contextualSpacing/>
    </w:pPr>
    <w:rPr>
      <w:rFonts w:ascii="Lucida Grande" w:eastAsia="Times New Roman" w:hAnsi="Lucida Grande" w:cs="Lucida Grande"/>
      <w:bCs/>
      <w:sz w:val="24"/>
      <w:szCs w:val="24"/>
    </w:rPr>
  </w:style>
  <w:style w:type="character" w:customStyle="1" w:styleId="DocumentMapChar">
    <w:name w:val="Document Map Char"/>
    <w:basedOn w:val="DefaultParagraphFont"/>
    <w:link w:val="DocumentMap"/>
    <w:uiPriority w:val="99"/>
    <w:semiHidden/>
    <w:rsid w:val="003532D0"/>
    <w:rPr>
      <w:rFonts w:ascii="Lucida Grande" w:eastAsia="Times New Roman" w:hAnsi="Lucida Grande" w:cs="Lucida Grande"/>
      <w:bCs/>
      <w:sz w:val="24"/>
      <w:szCs w:val="24"/>
    </w:rPr>
  </w:style>
  <w:style w:type="character" w:styleId="Emphasis">
    <w:name w:val="Emphasis"/>
    <w:basedOn w:val="DefaultParagraphFont"/>
    <w:uiPriority w:val="20"/>
    <w:qFormat/>
    <w:rsid w:val="003532D0"/>
    <w:rPr>
      <w:i/>
      <w:iCs/>
    </w:rPr>
  </w:style>
  <w:style w:type="character" w:customStyle="1" w:styleId="msoins0">
    <w:name w:val="msoins"/>
    <w:basedOn w:val="DefaultParagraphFont"/>
    <w:rsid w:val="003532D0"/>
  </w:style>
  <w:style w:type="paragraph" w:customStyle="1" w:styleId="Title1">
    <w:name w:val="Title1"/>
    <w:basedOn w:val="Normal"/>
    <w:next w:val="Normal"/>
    <w:uiPriority w:val="10"/>
    <w:qFormat/>
    <w:rsid w:val="003532D0"/>
    <w:pPr>
      <w:pBdr>
        <w:top w:val="single" w:sz="8" w:space="1" w:color="4F81BD"/>
        <w:left w:val="single" w:sz="8" w:space="4" w:color="4F81BD"/>
        <w:bottom w:val="single" w:sz="8" w:space="4" w:color="4F81BD"/>
        <w:right w:val="single" w:sz="8" w:space="4" w:color="4F81BD"/>
      </w:pBdr>
      <w:spacing w:after="300" w:line="240" w:lineRule="auto"/>
      <w:contextualSpacing/>
    </w:pPr>
    <w:rPr>
      <w:rFonts w:ascii="Calibri" w:eastAsia="MS Gothic" w:hAnsi="Calibri" w:cs="Times New Roman"/>
      <w:color w:val="17365D"/>
      <w:spacing w:val="5"/>
      <w:kern w:val="28"/>
      <w:sz w:val="40"/>
      <w:szCs w:val="52"/>
      <w:lang w:val="en-US"/>
    </w:rPr>
  </w:style>
  <w:style w:type="character" w:customStyle="1" w:styleId="TitleChar">
    <w:name w:val="Title Char"/>
    <w:basedOn w:val="DefaultParagraphFont"/>
    <w:link w:val="Title"/>
    <w:uiPriority w:val="10"/>
    <w:rsid w:val="003532D0"/>
    <w:rPr>
      <w:rFonts w:ascii="Calibri" w:eastAsia="MS Gothic" w:hAnsi="Calibri" w:cs="Times New Roman"/>
      <w:color w:val="17365D"/>
      <w:spacing w:val="5"/>
      <w:kern w:val="28"/>
      <w:sz w:val="40"/>
      <w:szCs w:val="52"/>
      <w:lang w:val="en-US"/>
    </w:rPr>
  </w:style>
  <w:style w:type="paragraph" w:customStyle="1" w:styleId="Subtitle1">
    <w:name w:val="Subtitle1"/>
    <w:basedOn w:val="Normal"/>
    <w:next w:val="Normal"/>
    <w:uiPriority w:val="11"/>
    <w:qFormat/>
    <w:rsid w:val="003532D0"/>
    <w:pPr>
      <w:numPr>
        <w:ilvl w:val="1"/>
      </w:numPr>
      <w:spacing w:after="0" w:line="240" w:lineRule="auto"/>
    </w:pPr>
    <w:rPr>
      <w:rFonts w:ascii="Calibri" w:eastAsia="MS Gothic" w:hAnsi="Calibri" w:cs="Times New Roman"/>
      <w:i/>
      <w:iCs/>
      <w:color w:val="4F81BD"/>
      <w:spacing w:val="15"/>
      <w:sz w:val="24"/>
      <w:szCs w:val="24"/>
      <w:lang w:val="en-US"/>
    </w:rPr>
  </w:style>
  <w:style w:type="character" w:customStyle="1" w:styleId="SubtitleChar">
    <w:name w:val="Subtitle Char"/>
    <w:basedOn w:val="DefaultParagraphFont"/>
    <w:link w:val="Subtitle"/>
    <w:uiPriority w:val="11"/>
    <w:rsid w:val="003532D0"/>
    <w:rPr>
      <w:rFonts w:ascii="Calibri" w:eastAsia="MS Gothic" w:hAnsi="Calibri" w:cs="Times New Roman"/>
      <w:i/>
      <w:iCs/>
      <w:color w:val="4F81BD"/>
      <w:spacing w:val="15"/>
      <w:sz w:val="24"/>
      <w:szCs w:val="24"/>
      <w:lang w:val="en-US"/>
    </w:rPr>
  </w:style>
  <w:style w:type="paragraph" w:styleId="NormalWeb">
    <w:name w:val="Normal (Web)"/>
    <w:basedOn w:val="Normal"/>
    <w:uiPriority w:val="99"/>
    <w:semiHidden/>
    <w:unhideWhenUsed/>
    <w:rsid w:val="003532D0"/>
    <w:rPr>
      <w:rFonts w:ascii="Times New Roman" w:hAnsi="Times New Roman" w:cs="Times New Roman"/>
      <w:sz w:val="24"/>
      <w:szCs w:val="24"/>
    </w:rPr>
  </w:style>
  <w:style w:type="paragraph" w:styleId="Title">
    <w:name w:val="Title"/>
    <w:basedOn w:val="Normal"/>
    <w:next w:val="Normal"/>
    <w:link w:val="TitleChar"/>
    <w:uiPriority w:val="10"/>
    <w:qFormat/>
    <w:rsid w:val="003532D0"/>
    <w:pPr>
      <w:spacing w:after="0" w:line="240" w:lineRule="auto"/>
      <w:contextualSpacing/>
    </w:pPr>
    <w:rPr>
      <w:rFonts w:ascii="Calibri" w:eastAsia="MS Gothic" w:hAnsi="Calibri" w:cs="Times New Roman"/>
      <w:color w:val="17365D"/>
      <w:spacing w:val="5"/>
      <w:kern w:val="28"/>
      <w:sz w:val="40"/>
      <w:szCs w:val="52"/>
      <w:lang w:val="en-US"/>
    </w:rPr>
  </w:style>
  <w:style w:type="character" w:customStyle="1" w:styleId="TitleChar1">
    <w:name w:val="Title Char1"/>
    <w:basedOn w:val="DefaultParagraphFont"/>
    <w:uiPriority w:val="10"/>
    <w:rsid w:val="003532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32D0"/>
    <w:pPr>
      <w:numPr>
        <w:ilvl w:val="1"/>
      </w:numPr>
    </w:pPr>
    <w:rPr>
      <w:rFonts w:ascii="Calibri" w:eastAsia="MS Gothic" w:hAnsi="Calibri" w:cs="Times New Roman"/>
      <w:i/>
      <w:iCs/>
      <w:color w:val="4F81BD"/>
      <w:spacing w:val="15"/>
      <w:sz w:val="24"/>
      <w:szCs w:val="24"/>
      <w:lang w:val="en-US"/>
    </w:rPr>
  </w:style>
  <w:style w:type="character" w:customStyle="1" w:styleId="SubtitleChar1">
    <w:name w:val="Subtitle Char1"/>
    <w:basedOn w:val="DefaultParagraphFont"/>
    <w:uiPriority w:val="11"/>
    <w:rsid w:val="003532D0"/>
    <w:rPr>
      <w:rFonts w:eastAsiaTheme="minorEastAsia"/>
      <w:color w:val="5A5A5A" w:themeColor="text1" w:themeTint="A5"/>
      <w:spacing w:val="15"/>
    </w:rPr>
  </w:style>
  <w:style w:type="paragraph" w:styleId="TOCHeading">
    <w:name w:val="TOC Heading"/>
    <w:basedOn w:val="Heading1"/>
    <w:next w:val="Normal"/>
    <w:uiPriority w:val="39"/>
    <w:semiHidden/>
    <w:unhideWhenUsed/>
    <w:qFormat/>
    <w:rsid w:val="005E126D"/>
    <w:pPr>
      <w:outlineLvl w:val="9"/>
    </w:pPr>
  </w:style>
  <w:style w:type="character" w:customStyle="1" w:styleId="Heading7Char">
    <w:name w:val="Heading 7 Char"/>
    <w:basedOn w:val="DefaultParagraphFont"/>
    <w:link w:val="Heading7"/>
    <w:uiPriority w:val="9"/>
    <w:semiHidden/>
    <w:rsid w:val="005E126D"/>
    <w:rPr>
      <w:rFonts w:asciiTheme="majorHAnsi" w:eastAsiaTheme="majorEastAsia" w:hAnsiTheme="majorHAnsi" w:cstheme="majorBidi"/>
      <w:i/>
      <w:iCs/>
      <w:color w:val="404040" w:themeColor="text1" w:themeTint="BF"/>
      <w:szCs w:val="24"/>
      <w:lang w:val="en-US"/>
    </w:rPr>
  </w:style>
  <w:style w:type="character" w:customStyle="1" w:styleId="Heading9Char">
    <w:name w:val="Heading 9 Char"/>
    <w:basedOn w:val="DefaultParagraphFont"/>
    <w:link w:val="Heading9"/>
    <w:uiPriority w:val="9"/>
    <w:semiHidden/>
    <w:rsid w:val="005E126D"/>
    <w:rPr>
      <w:rFonts w:asciiTheme="majorHAnsi" w:eastAsiaTheme="majorEastAsia" w:hAnsiTheme="majorHAnsi" w:cstheme="majorBidi"/>
      <w:i/>
      <w:iCs/>
      <w:color w:val="404040" w:themeColor="text1" w:themeTint="BF"/>
      <w:sz w:val="20"/>
      <w:szCs w:val="20"/>
      <w:lang w:val="en-US"/>
    </w:rPr>
  </w:style>
  <w:style w:type="paragraph" w:customStyle="1" w:styleId="List1">
    <w:name w:val="List 1"/>
    <w:basedOn w:val="Normal"/>
    <w:semiHidden/>
    <w:rsid w:val="005E126D"/>
    <w:pPr>
      <w:numPr>
        <w:numId w:val="37"/>
      </w:numPr>
      <w:spacing w:after="0" w:line="240" w:lineRule="auto"/>
    </w:pPr>
    <w:rPr>
      <w:rFonts w:ascii="Times New Roman" w:eastAsia="Times New Roman" w:hAnsi="Times New Roman" w:cs="Times New Roman"/>
      <w:sz w:val="20"/>
      <w:szCs w:val="20"/>
      <w:lang w:val="en-US"/>
    </w:rPr>
  </w:style>
  <w:style w:type="paragraph" w:customStyle="1" w:styleId="List21">
    <w:name w:val="List 21"/>
    <w:basedOn w:val="Normal"/>
    <w:semiHidden/>
    <w:rsid w:val="005E126D"/>
    <w:pPr>
      <w:numPr>
        <w:numId w:val="39"/>
      </w:numPr>
      <w:spacing w:after="0" w:line="240" w:lineRule="auto"/>
    </w:pPr>
    <w:rPr>
      <w:rFonts w:ascii="Times New Roman" w:eastAsia="Times New Roman" w:hAnsi="Times New Roman" w:cs="Times New Roman"/>
      <w:sz w:val="20"/>
      <w:szCs w:val="20"/>
      <w:lang w:val="en-US"/>
    </w:rPr>
  </w:style>
  <w:style w:type="paragraph" w:customStyle="1" w:styleId="Body1">
    <w:name w:val="Body 1"/>
    <w:rsid w:val="005E126D"/>
    <w:pPr>
      <w:spacing w:before="120" w:after="120" w:line="240" w:lineRule="auto"/>
      <w:outlineLvl w:val="0"/>
    </w:pPr>
    <w:rPr>
      <w:rFonts w:ascii="Arial" w:eastAsia="Arial Unicode MS" w:hAnsi="Arial" w:cs="Times New Roman"/>
      <w:color w:val="000000"/>
      <w:sz w:val="20"/>
      <w:szCs w:val="20"/>
      <w:u w:color="000000"/>
      <w:lang w:val="en-US"/>
    </w:rPr>
  </w:style>
  <w:style w:type="character" w:customStyle="1" w:styleId="jrnl">
    <w:name w:val="jrnl"/>
    <w:basedOn w:val="DefaultParagraphFont"/>
    <w:rsid w:val="005E126D"/>
  </w:style>
  <w:style w:type="paragraph" w:styleId="NoSpacing">
    <w:name w:val="No Spacing"/>
    <w:basedOn w:val="Normal"/>
    <w:uiPriority w:val="1"/>
    <w:qFormat/>
    <w:rsid w:val="005E126D"/>
    <w:pPr>
      <w:spacing w:after="0" w:line="240" w:lineRule="auto"/>
    </w:pPr>
    <w:rPr>
      <w:rFonts w:ascii="Calibri" w:eastAsia="Times New Roman" w:hAnsi="Calibri" w:cs="Times New Roman"/>
    </w:rPr>
  </w:style>
  <w:style w:type="paragraph" w:customStyle="1" w:styleId="Default">
    <w:name w:val="Default"/>
    <w:rsid w:val="005E126D"/>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653037">
      <w:bodyDiv w:val="1"/>
      <w:marLeft w:val="0"/>
      <w:marRight w:val="0"/>
      <w:marTop w:val="0"/>
      <w:marBottom w:val="0"/>
      <w:divBdr>
        <w:top w:val="none" w:sz="0" w:space="0" w:color="auto"/>
        <w:left w:val="none" w:sz="0" w:space="0" w:color="auto"/>
        <w:bottom w:val="none" w:sz="0" w:space="0" w:color="auto"/>
        <w:right w:val="none" w:sz="0" w:space="0" w:color="auto"/>
      </w:divBdr>
    </w:div>
    <w:div w:id="91169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hyperlink" Target="http://www.ctu.co.uk" TargetMode="Externa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kidney.org/audit-research/annual-report/all" TargetMode="Externa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cturandomisation.iop.kcl.ac.uk/OUTSMAR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101</Pages>
  <Words>41752</Words>
  <Characters>237990</Characters>
  <Application>Microsoft Office Word</Application>
  <DocSecurity>0</DocSecurity>
  <Lines>1983</Lines>
  <Paragraphs>558</Paragraphs>
  <ScaleCrop>false</ScaleCrop>
  <Company/>
  <LinksUpToDate>false</LinksUpToDate>
  <CharactersWithSpaces>279184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Stringer, Dominic</dc:creator>
  <cp:keywords/>
  <dc:description/>
  <cp:lastModifiedBy>Dorling Anthony</cp:lastModifiedBy>
  <cp:revision>4</cp:revision>
  <dcterms:created xsi:type="dcterms:W3CDTF">2022-12-14T14:50:00Z</dcterms:created>
  <dcterms:modified xsi:type="dcterms:W3CDTF">2022-12-14T14:52:00Z</dcterms:modified>
</cp:coreProperties>
</file>