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6A43" w14:textId="58BE5840" w:rsidR="00F17D33" w:rsidRDefault="00F17D33" w:rsidP="00F17D33">
      <w:pPr>
        <w:rPr>
          <w:b/>
        </w:rPr>
      </w:pPr>
      <w:r w:rsidRPr="007A222F">
        <w:rPr>
          <w:b/>
        </w:rPr>
        <w:t xml:space="preserve">Table S1. Laboratory assays for iron and inflammatory biomarkers by </w:t>
      </w:r>
      <w:r w:rsidR="0096533F">
        <w:rPr>
          <w:b/>
        </w:rPr>
        <w:t xml:space="preserve">study </w:t>
      </w:r>
      <w:r w:rsidRPr="007A222F">
        <w:rPr>
          <w:b/>
        </w:rPr>
        <w:t>site.</w:t>
      </w:r>
    </w:p>
    <w:p w14:paraId="194C7574" w14:textId="77777777" w:rsidR="0096533F" w:rsidRPr="007A222F" w:rsidRDefault="0096533F" w:rsidP="00F17D33">
      <w:pPr>
        <w:rPr>
          <w:b/>
        </w:rPr>
      </w:pPr>
    </w:p>
    <w:tbl>
      <w:tblPr>
        <w:tblStyle w:val="TableGrid"/>
        <w:tblW w:w="14317" w:type="dxa"/>
        <w:tblLook w:val="04A0" w:firstRow="1" w:lastRow="0" w:firstColumn="1" w:lastColumn="0" w:noHBand="0" w:noVBand="1"/>
      </w:tblPr>
      <w:tblGrid>
        <w:gridCol w:w="749"/>
        <w:gridCol w:w="1266"/>
        <w:gridCol w:w="1149"/>
        <w:gridCol w:w="1321"/>
        <w:gridCol w:w="1150"/>
        <w:gridCol w:w="1416"/>
        <w:gridCol w:w="1247"/>
        <w:gridCol w:w="1398"/>
        <w:gridCol w:w="1600"/>
        <w:gridCol w:w="1295"/>
        <w:gridCol w:w="1726"/>
      </w:tblGrid>
      <w:tr w:rsidR="00F17D33" w:rsidRPr="003D6868" w14:paraId="2C31D2EA" w14:textId="77777777" w:rsidTr="00CF2910">
        <w:tc>
          <w:tcPr>
            <w:tcW w:w="0" w:type="auto"/>
          </w:tcPr>
          <w:p w14:paraId="5CC48965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Site</w:t>
            </w:r>
          </w:p>
        </w:tc>
        <w:tc>
          <w:tcPr>
            <w:tcW w:w="0" w:type="auto"/>
          </w:tcPr>
          <w:p w14:paraId="7AD7C799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Ferritin</w:t>
            </w:r>
          </w:p>
        </w:tc>
        <w:tc>
          <w:tcPr>
            <w:tcW w:w="0" w:type="auto"/>
          </w:tcPr>
          <w:p w14:paraId="4311259A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Soluble transferrin receptor</w:t>
            </w:r>
          </w:p>
        </w:tc>
        <w:tc>
          <w:tcPr>
            <w:tcW w:w="0" w:type="auto"/>
          </w:tcPr>
          <w:p w14:paraId="03DC69E1" w14:textId="4E72FF70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Hepc</w:t>
            </w:r>
            <w:r w:rsidR="00A22F4D">
              <w:rPr>
                <w:b/>
                <w:sz w:val="16"/>
                <w:szCs w:val="16"/>
              </w:rPr>
              <w:t>i</w:t>
            </w:r>
            <w:r w:rsidRPr="003D6868">
              <w:rPr>
                <w:b/>
                <w:sz w:val="16"/>
                <w:szCs w:val="16"/>
              </w:rPr>
              <w:t>din</w:t>
            </w:r>
          </w:p>
        </w:tc>
        <w:tc>
          <w:tcPr>
            <w:tcW w:w="1150" w:type="dxa"/>
          </w:tcPr>
          <w:p w14:paraId="39D6838D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Serum iron</w:t>
            </w:r>
          </w:p>
        </w:tc>
        <w:tc>
          <w:tcPr>
            <w:tcW w:w="1416" w:type="dxa"/>
          </w:tcPr>
          <w:p w14:paraId="75819581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Transferrin</w:t>
            </w:r>
          </w:p>
        </w:tc>
        <w:tc>
          <w:tcPr>
            <w:tcW w:w="1247" w:type="dxa"/>
          </w:tcPr>
          <w:p w14:paraId="07517B8A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Unsaturated iron binding capacity</w:t>
            </w:r>
          </w:p>
        </w:tc>
        <w:tc>
          <w:tcPr>
            <w:tcW w:w="1398" w:type="dxa"/>
          </w:tcPr>
          <w:p w14:paraId="5BFD1268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sz w:val="16"/>
                <w:szCs w:val="16"/>
              </w:rPr>
              <w:t>Zinc protoporphyrin</w:t>
            </w:r>
          </w:p>
        </w:tc>
        <w:tc>
          <w:tcPr>
            <w:tcW w:w="0" w:type="auto"/>
          </w:tcPr>
          <w:p w14:paraId="16B7FF3E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Hemoglobin</w:t>
            </w:r>
            <w:proofErr w:type="spellEnd"/>
            <w:r>
              <w:rPr>
                <w:b/>
                <w:sz w:val="16"/>
                <w:szCs w:val="16"/>
              </w:rPr>
              <w:t>/MCV</w:t>
            </w:r>
          </w:p>
        </w:tc>
        <w:tc>
          <w:tcPr>
            <w:tcW w:w="0" w:type="auto"/>
          </w:tcPr>
          <w:p w14:paraId="2BC7B0BC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color w:val="000000" w:themeColor="text1"/>
                <w:sz w:val="16"/>
                <w:szCs w:val="16"/>
              </w:rPr>
              <w:t>C-reactive protein</w:t>
            </w:r>
          </w:p>
        </w:tc>
        <w:tc>
          <w:tcPr>
            <w:tcW w:w="0" w:type="auto"/>
          </w:tcPr>
          <w:p w14:paraId="26D3F384" w14:textId="77777777" w:rsidR="00F17D33" w:rsidRPr="003D6868" w:rsidRDefault="00F17D33" w:rsidP="00CF2910">
            <w:pPr>
              <w:rPr>
                <w:b/>
                <w:sz w:val="16"/>
                <w:szCs w:val="16"/>
              </w:rPr>
            </w:pPr>
            <w:r w:rsidRPr="003D6868">
              <w:rPr>
                <w:b/>
                <w:color w:val="000000" w:themeColor="text1"/>
                <w:sz w:val="16"/>
                <w:szCs w:val="16"/>
              </w:rPr>
              <w:t>α</w:t>
            </w:r>
            <w:r w:rsidRPr="003D6868">
              <w:rPr>
                <w:b/>
                <w:color w:val="000000" w:themeColor="text1"/>
                <w:sz w:val="16"/>
                <w:szCs w:val="16"/>
                <w:vertAlign w:val="subscript"/>
              </w:rPr>
              <w:t>1</w:t>
            </w:r>
            <w:r w:rsidRPr="003D6868">
              <w:rPr>
                <w:b/>
                <w:color w:val="000000" w:themeColor="text1"/>
                <w:sz w:val="16"/>
                <w:szCs w:val="16"/>
              </w:rPr>
              <w:t>-antichymotrypsin</w:t>
            </w:r>
          </w:p>
        </w:tc>
      </w:tr>
      <w:tr w:rsidR="00F17D33" w:rsidRPr="003D6868" w14:paraId="5F45C7C9" w14:textId="77777777" w:rsidTr="00CF2910">
        <w:tc>
          <w:tcPr>
            <w:tcW w:w="0" w:type="auto"/>
          </w:tcPr>
          <w:p w14:paraId="0E752B2F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Kenya</w:t>
            </w:r>
          </w:p>
        </w:tc>
        <w:tc>
          <w:tcPr>
            <w:tcW w:w="0" w:type="auto"/>
          </w:tcPr>
          <w:p w14:paraId="40066B30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Microparticle Enzyme Immunoassay (Abbott Architect, USA)</w:t>
            </w:r>
          </w:p>
        </w:tc>
        <w:tc>
          <w:tcPr>
            <w:tcW w:w="0" w:type="auto"/>
          </w:tcPr>
          <w:p w14:paraId="514AE45B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Human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sTfR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ELISA (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BioVendor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>, Czech Republic)</w:t>
            </w:r>
          </w:p>
        </w:tc>
        <w:tc>
          <w:tcPr>
            <w:tcW w:w="0" w:type="auto"/>
          </w:tcPr>
          <w:p w14:paraId="412761AF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DRG Hepcidin 25 [bioactive] </w:t>
            </w:r>
            <w:proofErr w:type="gramStart"/>
            <w:r w:rsidRPr="003D6868">
              <w:rPr>
                <w:color w:val="000000" w:themeColor="text1"/>
                <w:sz w:val="16"/>
                <w:szCs w:val="16"/>
              </w:rPr>
              <w:t>high</w:t>
            </w:r>
            <w:proofErr w:type="gramEnd"/>
            <w:r w:rsidRPr="003D6868">
              <w:rPr>
                <w:color w:val="000000" w:themeColor="text1"/>
                <w:sz w:val="16"/>
                <w:szCs w:val="16"/>
              </w:rPr>
              <w:t xml:space="preserve"> sensitive ELISA (DRG International, USA)</w:t>
            </w:r>
          </w:p>
        </w:tc>
        <w:tc>
          <w:tcPr>
            <w:tcW w:w="1150" w:type="dxa"/>
          </w:tcPr>
          <w:p w14:paraId="1EDB3C43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MULTIGENT iron calorimetric assay, Abbott Architect, USA</w:t>
            </w:r>
          </w:p>
        </w:tc>
        <w:tc>
          <w:tcPr>
            <w:tcW w:w="1416" w:type="dxa"/>
          </w:tcPr>
          <w:p w14:paraId="5BA386F8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Chemiluminescent Microparticle Immunoassay (Abbott Architect, USA)</w:t>
            </w:r>
          </w:p>
        </w:tc>
        <w:tc>
          <w:tcPr>
            <w:tcW w:w="1247" w:type="dxa"/>
          </w:tcPr>
          <w:p w14:paraId="2B7DAD83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398" w:type="dxa"/>
          </w:tcPr>
          <w:p w14:paraId="0F765721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0" w:type="auto"/>
          </w:tcPr>
          <w:p w14:paraId="49F94CFA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Coulter analyser (ACT5Diff, Beckman Coulter, USA)</w:t>
            </w:r>
          </w:p>
        </w:tc>
        <w:tc>
          <w:tcPr>
            <w:tcW w:w="0" w:type="auto"/>
          </w:tcPr>
          <w:p w14:paraId="7C0AF14D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MULTIGENT CRP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Vario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assay, (Abbott Architect, USA)</w:t>
            </w:r>
          </w:p>
        </w:tc>
        <w:tc>
          <w:tcPr>
            <w:tcW w:w="0" w:type="auto"/>
          </w:tcPr>
          <w:p w14:paraId="4AD8190C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</w:tr>
      <w:tr w:rsidR="00F17D33" w:rsidRPr="003D6868" w14:paraId="3321DF46" w14:textId="77777777" w:rsidTr="00CF2910">
        <w:tc>
          <w:tcPr>
            <w:tcW w:w="0" w:type="auto"/>
          </w:tcPr>
          <w:p w14:paraId="130E4F7A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Uganda</w:t>
            </w:r>
          </w:p>
        </w:tc>
        <w:tc>
          <w:tcPr>
            <w:tcW w:w="0" w:type="auto"/>
          </w:tcPr>
          <w:p w14:paraId="270BAC8D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Microparticle Enzyme Immunoassay (Abbott Architect, USA)</w:t>
            </w:r>
          </w:p>
        </w:tc>
        <w:tc>
          <w:tcPr>
            <w:tcW w:w="0" w:type="auto"/>
          </w:tcPr>
          <w:p w14:paraId="05E75DAA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Human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sTfR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ELISA (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BioVendor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>, Czech Republic)</w:t>
            </w:r>
          </w:p>
        </w:tc>
        <w:tc>
          <w:tcPr>
            <w:tcW w:w="0" w:type="auto"/>
          </w:tcPr>
          <w:p w14:paraId="1800FE54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DRG Hepcidin 25 [bioactive] </w:t>
            </w:r>
            <w:proofErr w:type="gramStart"/>
            <w:r w:rsidRPr="003D6868">
              <w:rPr>
                <w:color w:val="000000" w:themeColor="text1"/>
                <w:sz w:val="16"/>
                <w:szCs w:val="16"/>
              </w:rPr>
              <w:t>high</w:t>
            </w:r>
            <w:proofErr w:type="gramEnd"/>
            <w:r w:rsidRPr="003D6868">
              <w:rPr>
                <w:color w:val="000000" w:themeColor="text1"/>
                <w:sz w:val="16"/>
                <w:szCs w:val="16"/>
              </w:rPr>
              <w:t xml:space="preserve"> sensitive ELISA (DRG International, USA)</w:t>
            </w:r>
          </w:p>
        </w:tc>
        <w:tc>
          <w:tcPr>
            <w:tcW w:w="1150" w:type="dxa"/>
          </w:tcPr>
          <w:p w14:paraId="79299F80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416" w:type="dxa"/>
          </w:tcPr>
          <w:p w14:paraId="4CD8DA2D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Chemiluminescent Microparticle Immunoassay (Abbott Architect, USA)</w:t>
            </w:r>
          </w:p>
        </w:tc>
        <w:tc>
          <w:tcPr>
            <w:tcW w:w="1247" w:type="dxa"/>
          </w:tcPr>
          <w:p w14:paraId="3636C0BF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398" w:type="dxa"/>
          </w:tcPr>
          <w:p w14:paraId="6D8D3567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0" w:type="auto"/>
          </w:tcPr>
          <w:p w14:paraId="5D469E56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Coulter analyser (Beckman Coulter,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Nyon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>, Switzerland)</w:t>
            </w:r>
          </w:p>
        </w:tc>
        <w:tc>
          <w:tcPr>
            <w:tcW w:w="0" w:type="auto"/>
          </w:tcPr>
          <w:p w14:paraId="79353510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MULTIGENT CRP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Vario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assay, (Abbott Architect, USA)</w:t>
            </w:r>
          </w:p>
        </w:tc>
        <w:tc>
          <w:tcPr>
            <w:tcW w:w="0" w:type="auto"/>
          </w:tcPr>
          <w:p w14:paraId="09418F44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</w:tr>
      <w:tr w:rsidR="00F17D33" w:rsidRPr="003D6868" w14:paraId="56F18C8E" w14:textId="77777777" w:rsidTr="00CF2910">
        <w:tc>
          <w:tcPr>
            <w:tcW w:w="0" w:type="auto"/>
          </w:tcPr>
          <w:p w14:paraId="357F436B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Burkina Faso</w:t>
            </w:r>
          </w:p>
        </w:tc>
        <w:tc>
          <w:tcPr>
            <w:tcW w:w="0" w:type="auto"/>
          </w:tcPr>
          <w:p w14:paraId="6E4A222E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Microparticle Enzyme Immunoassay (Abbott Architect, USA)</w:t>
            </w:r>
          </w:p>
        </w:tc>
        <w:tc>
          <w:tcPr>
            <w:tcW w:w="0" w:type="auto"/>
          </w:tcPr>
          <w:p w14:paraId="2D0E3566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Human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sTfR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ELISA (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BioVendor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>, Czech Republic)</w:t>
            </w:r>
          </w:p>
        </w:tc>
        <w:tc>
          <w:tcPr>
            <w:tcW w:w="0" w:type="auto"/>
          </w:tcPr>
          <w:p w14:paraId="1523591B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DRG Hepcidin 25 [bioactive] </w:t>
            </w:r>
            <w:proofErr w:type="gramStart"/>
            <w:r w:rsidRPr="003D6868">
              <w:rPr>
                <w:color w:val="000000" w:themeColor="text1"/>
                <w:sz w:val="16"/>
                <w:szCs w:val="16"/>
              </w:rPr>
              <w:t>high</w:t>
            </w:r>
            <w:proofErr w:type="gramEnd"/>
            <w:r w:rsidRPr="003D6868">
              <w:rPr>
                <w:color w:val="000000" w:themeColor="text1"/>
                <w:sz w:val="16"/>
                <w:szCs w:val="16"/>
              </w:rPr>
              <w:t xml:space="preserve"> sensitive ELISA (DRG International, USA)</w:t>
            </w:r>
          </w:p>
        </w:tc>
        <w:tc>
          <w:tcPr>
            <w:tcW w:w="1150" w:type="dxa"/>
          </w:tcPr>
          <w:p w14:paraId="081E2C7D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MULTIGENT iron calorimetric assay, Abbott Architect, USA</w:t>
            </w:r>
          </w:p>
        </w:tc>
        <w:tc>
          <w:tcPr>
            <w:tcW w:w="1416" w:type="dxa"/>
          </w:tcPr>
          <w:p w14:paraId="089D7C6C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Chemiluminescent Microparticle Immunoassay (Abbott Architect, USA)</w:t>
            </w:r>
          </w:p>
        </w:tc>
        <w:tc>
          <w:tcPr>
            <w:tcW w:w="1247" w:type="dxa"/>
          </w:tcPr>
          <w:p w14:paraId="1CBAF9E0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398" w:type="dxa"/>
          </w:tcPr>
          <w:p w14:paraId="4C10DA85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0" w:type="auto"/>
          </w:tcPr>
          <w:p w14:paraId="3D9BF97B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Coulter analyser (Beckman Coulter, USA)</w:t>
            </w:r>
          </w:p>
        </w:tc>
        <w:tc>
          <w:tcPr>
            <w:tcW w:w="0" w:type="auto"/>
          </w:tcPr>
          <w:p w14:paraId="23BEC35E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MULTIGENT CRP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Vario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assay, (Abbott Architect, USA)</w:t>
            </w:r>
          </w:p>
        </w:tc>
        <w:tc>
          <w:tcPr>
            <w:tcW w:w="0" w:type="auto"/>
          </w:tcPr>
          <w:p w14:paraId="6859C543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</w:tr>
      <w:tr w:rsidR="00F17D33" w:rsidRPr="003D6868" w14:paraId="5B42CD96" w14:textId="77777777" w:rsidTr="00CF2910">
        <w:tc>
          <w:tcPr>
            <w:tcW w:w="0" w:type="auto"/>
          </w:tcPr>
          <w:p w14:paraId="0BAA0F09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South Africa</w:t>
            </w:r>
          </w:p>
        </w:tc>
        <w:tc>
          <w:tcPr>
            <w:tcW w:w="0" w:type="auto"/>
          </w:tcPr>
          <w:p w14:paraId="160F91E1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Microparticle Enzyme Immunoassay (Abbott Architect, USA)</w:t>
            </w:r>
          </w:p>
        </w:tc>
        <w:tc>
          <w:tcPr>
            <w:tcW w:w="0" w:type="auto"/>
          </w:tcPr>
          <w:p w14:paraId="6E5C34C2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Human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sTfR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ELISA (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BioVendor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>, Czech Republic)</w:t>
            </w:r>
          </w:p>
        </w:tc>
        <w:tc>
          <w:tcPr>
            <w:tcW w:w="0" w:type="auto"/>
          </w:tcPr>
          <w:p w14:paraId="6260F661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DRG Hepcidin 25 [bioactive] </w:t>
            </w:r>
            <w:proofErr w:type="gramStart"/>
            <w:r w:rsidRPr="003D6868">
              <w:rPr>
                <w:color w:val="000000" w:themeColor="text1"/>
                <w:sz w:val="16"/>
                <w:szCs w:val="16"/>
              </w:rPr>
              <w:t>high</w:t>
            </w:r>
            <w:proofErr w:type="gramEnd"/>
            <w:r w:rsidRPr="003D6868">
              <w:rPr>
                <w:color w:val="000000" w:themeColor="text1"/>
                <w:sz w:val="16"/>
                <w:szCs w:val="16"/>
              </w:rPr>
              <w:t xml:space="preserve"> sensitive ELISA (DRG International, USA)</w:t>
            </w:r>
          </w:p>
        </w:tc>
        <w:tc>
          <w:tcPr>
            <w:tcW w:w="1150" w:type="dxa"/>
          </w:tcPr>
          <w:p w14:paraId="3CD8C37A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416" w:type="dxa"/>
          </w:tcPr>
          <w:p w14:paraId="62CFE9CC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Chemiluminescent Microparticle Immunoassay (Abbott Architect, USA)</w:t>
            </w:r>
          </w:p>
        </w:tc>
        <w:tc>
          <w:tcPr>
            <w:tcW w:w="1247" w:type="dxa"/>
          </w:tcPr>
          <w:p w14:paraId="5D492614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398" w:type="dxa"/>
          </w:tcPr>
          <w:p w14:paraId="5A46A77A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0" w:type="auto"/>
          </w:tcPr>
          <w:p w14:paraId="6393E7D5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0" w:type="auto"/>
          </w:tcPr>
          <w:p w14:paraId="3C31C187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MULTIGENT CRP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Vario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assay, (Abbott Architect, USA)</w:t>
            </w:r>
          </w:p>
        </w:tc>
        <w:tc>
          <w:tcPr>
            <w:tcW w:w="0" w:type="auto"/>
          </w:tcPr>
          <w:p w14:paraId="5BDA2824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</w:tr>
      <w:tr w:rsidR="00F17D33" w:rsidRPr="003D6868" w14:paraId="7AEA65E8" w14:textId="77777777" w:rsidTr="00CF2910">
        <w:tc>
          <w:tcPr>
            <w:tcW w:w="0" w:type="auto"/>
          </w:tcPr>
          <w:p w14:paraId="2CD5CB89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The Gambia</w:t>
            </w:r>
          </w:p>
        </w:tc>
        <w:tc>
          <w:tcPr>
            <w:tcW w:w="0" w:type="auto"/>
          </w:tcPr>
          <w:p w14:paraId="20EE0AA8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Microparticle Enzyme Immunoassay (Abbott Architect, USA)</w:t>
            </w:r>
          </w:p>
        </w:tc>
        <w:tc>
          <w:tcPr>
            <w:tcW w:w="0" w:type="auto"/>
          </w:tcPr>
          <w:p w14:paraId="671B983C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Quantikine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sTfR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ELISA kit, (R&amp;D Systems, USA)</w:t>
            </w:r>
          </w:p>
        </w:tc>
        <w:tc>
          <w:tcPr>
            <w:tcW w:w="0" w:type="auto"/>
          </w:tcPr>
          <w:p w14:paraId="28AC2165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Hepcidin-25 [human] Enzyme Immunoassay Kit (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Bachem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>, Switzerland)</w:t>
            </w:r>
          </w:p>
        </w:tc>
        <w:tc>
          <w:tcPr>
            <w:tcW w:w="1150" w:type="dxa"/>
          </w:tcPr>
          <w:p w14:paraId="6E89F33C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Ferrozine-based photometry and colorimetry analyser (Hitachi 911, Hitachi, Tokyo, Japan)</w:t>
            </w:r>
          </w:p>
        </w:tc>
        <w:tc>
          <w:tcPr>
            <w:tcW w:w="1416" w:type="dxa"/>
          </w:tcPr>
          <w:p w14:paraId="3D4532F1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1247" w:type="dxa"/>
          </w:tcPr>
          <w:p w14:paraId="22C021FE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>Ferrozine-based photometry and colorimetry analyser (Hitachi 911, Hitachi, Tokyo, Japan)</w:t>
            </w:r>
          </w:p>
        </w:tc>
        <w:tc>
          <w:tcPr>
            <w:tcW w:w="1398" w:type="dxa"/>
          </w:tcPr>
          <w:p w14:paraId="3FE4C9F7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Aviv Biomedical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Hematoflurometer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(within 24 hours of collection)</w:t>
            </w:r>
          </w:p>
        </w:tc>
        <w:tc>
          <w:tcPr>
            <w:tcW w:w="0" w:type="auto"/>
          </w:tcPr>
          <w:p w14:paraId="4724E784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Medonic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CA 530 Oden 16 </w:t>
            </w:r>
            <w:r>
              <w:rPr>
                <w:color w:val="000000" w:themeColor="text1"/>
                <w:sz w:val="16"/>
                <w:szCs w:val="16"/>
              </w:rPr>
              <w:t>Hemoglobin</w:t>
            </w:r>
            <w:r w:rsidRPr="003D6868">
              <w:rPr>
                <w:color w:val="000000" w:themeColor="text1"/>
                <w:sz w:val="16"/>
                <w:szCs w:val="16"/>
              </w:rPr>
              <w:t>ometer</w:t>
            </w:r>
          </w:p>
        </w:tc>
        <w:tc>
          <w:tcPr>
            <w:tcW w:w="0" w:type="auto"/>
          </w:tcPr>
          <w:p w14:paraId="6DD2842C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sz w:val="16"/>
                <w:szCs w:val="16"/>
              </w:rPr>
              <w:t>Not measured</w:t>
            </w:r>
          </w:p>
        </w:tc>
        <w:tc>
          <w:tcPr>
            <w:tcW w:w="0" w:type="auto"/>
          </w:tcPr>
          <w:p w14:paraId="4025884A" w14:textId="77777777" w:rsidR="00F17D33" w:rsidRPr="003D6868" w:rsidRDefault="00F17D33" w:rsidP="00CF2910">
            <w:pPr>
              <w:rPr>
                <w:sz w:val="16"/>
                <w:szCs w:val="16"/>
              </w:rPr>
            </w:pPr>
            <w:r w:rsidRPr="003D6868">
              <w:rPr>
                <w:color w:val="000000" w:themeColor="text1"/>
                <w:sz w:val="16"/>
                <w:szCs w:val="16"/>
              </w:rPr>
              <w:t xml:space="preserve">Immunoturbidimetry, </w:t>
            </w:r>
            <w:proofErr w:type="spellStart"/>
            <w:r w:rsidRPr="003D6868">
              <w:rPr>
                <w:color w:val="000000" w:themeColor="text1"/>
                <w:sz w:val="16"/>
                <w:szCs w:val="16"/>
              </w:rPr>
              <w:t>Cobas</w:t>
            </w:r>
            <w:proofErr w:type="spellEnd"/>
            <w:r w:rsidRPr="003D6868">
              <w:rPr>
                <w:color w:val="000000" w:themeColor="text1"/>
                <w:sz w:val="16"/>
                <w:szCs w:val="16"/>
              </w:rPr>
              <w:t xml:space="preserve"> Mira Plus Bio-analyser, Roche</w:t>
            </w:r>
          </w:p>
        </w:tc>
      </w:tr>
    </w:tbl>
    <w:p w14:paraId="68345D14" w14:textId="77777777" w:rsidR="00DD2D21" w:rsidRDefault="00167A91" w:rsidP="00167A91">
      <w:pPr>
        <w:outlineLvl w:val="0"/>
      </w:pPr>
      <w:bookmarkStart w:id="0" w:name="_GoBack"/>
      <w:bookmarkEnd w:id="0"/>
    </w:p>
    <w:sectPr w:rsidR="00DD2D21" w:rsidSect="00167A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3"/>
    <w:rsid w:val="00030B20"/>
    <w:rsid w:val="00041929"/>
    <w:rsid w:val="0006735E"/>
    <w:rsid w:val="0006762E"/>
    <w:rsid w:val="000942E6"/>
    <w:rsid w:val="000C4BA5"/>
    <w:rsid w:val="000D67BB"/>
    <w:rsid w:val="001005AD"/>
    <w:rsid w:val="001144EF"/>
    <w:rsid w:val="00127478"/>
    <w:rsid w:val="00155631"/>
    <w:rsid w:val="00167A91"/>
    <w:rsid w:val="00192509"/>
    <w:rsid w:val="001A765D"/>
    <w:rsid w:val="001C025E"/>
    <w:rsid w:val="001D4F13"/>
    <w:rsid w:val="001E1EC7"/>
    <w:rsid w:val="001E2251"/>
    <w:rsid w:val="0020488C"/>
    <w:rsid w:val="002647A7"/>
    <w:rsid w:val="0029716B"/>
    <w:rsid w:val="002A3660"/>
    <w:rsid w:val="002D7F9F"/>
    <w:rsid w:val="002E0F4D"/>
    <w:rsid w:val="00312C17"/>
    <w:rsid w:val="00486E26"/>
    <w:rsid w:val="00490A17"/>
    <w:rsid w:val="00497556"/>
    <w:rsid w:val="004A0574"/>
    <w:rsid w:val="004A580F"/>
    <w:rsid w:val="004C0CF1"/>
    <w:rsid w:val="004C33F7"/>
    <w:rsid w:val="004D0AFA"/>
    <w:rsid w:val="004D4CCA"/>
    <w:rsid w:val="005A6DB8"/>
    <w:rsid w:val="005D6C5B"/>
    <w:rsid w:val="00604DA8"/>
    <w:rsid w:val="006340C4"/>
    <w:rsid w:val="006424F5"/>
    <w:rsid w:val="006832DE"/>
    <w:rsid w:val="006F3ED6"/>
    <w:rsid w:val="007178E2"/>
    <w:rsid w:val="00732A25"/>
    <w:rsid w:val="00737692"/>
    <w:rsid w:val="00745CA7"/>
    <w:rsid w:val="007942F2"/>
    <w:rsid w:val="007A222F"/>
    <w:rsid w:val="007F1678"/>
    <w:rsid w:val="007F1DBF"/>
    <w:rsid w:val="0084585B"/>
    <w:rsid w:val="00873D2F"/>
    <w:rsid w:val="0089084C"/>
    <w:rsid w:val="008D38E4"/>
    <w:rsid w:val="008E4BC4"/>
    <w:rsid w:val="00934497"/>
    <w:rsid w:val="00954B48"/>
    <w:rsid w:val="0096533F"/>
    <w:rsid w:val="009B3FCE"/>
    <w:rsid w:val="00A07E2E"/>
    <w:rsid w:val="00A22F4D"/>
    <w:rsid w:val="00A30466"/>
    <w:rsid w:val="00A36D93"/>
    <w:rsid w:val="00A379AB"/>
    <w:rsid w:val="00A46DFD"/>
    <w:rsid w:val="00A51B1D"/>
    <w:rsid w:val="00B37004"/>
    <w:rsid w:val="00B45E5A"/>
    <w:rsid w:val="00B9129A"/>
    <w:rsid w:val="00BA4282"/>
    <w:rsid w:val="00BA4BCC"/>
    <w:rsid w:val="00BD2ADA"/>
    <w:rsid w:val="00BF5532"/>
    <w:rsid w:val="00C36E51"/>
    <w:rsid w:val="00C42DC4"/>
    <w:rsid w:val="00C45BF5"/>
    <w:rsid w:val="00C540B6"/>
    <w:rsid w:val="00C9126A"/>
    <w:rsid w:val="00CA34DD"/>
    <w:rsid w:val="00CE4392"/>
    <w:rsid w:val="00D0722A"/>
    <w:rsid w:val="00D12F70"/>
    <w:rsid w:val="00D43071"/>
    <w:rsid w:val="00DA0CE0"/>
    <w:rsid w:val="00DE3C0C"/>
    <w:rsid w:val="00E37126"/>
    <w:rsid w:val="00E4766E"/>
    <w:rsid w:val="00E51662"/>
    <w:rsid w:val="00E56BB8"/>
    <w:rsid w:val="00E92208"/>
    <w:rsid w:val="00EE3BDF"/>
    <w:rsid w:val="00EE7F0E"/>
    <w:rsid w:val="00F06E32"/>
    <w:rsid w:val="00F07526"/>
    <w:rsid w:val="00F10AD4"/>
    <w:rsid w:val="00F17D33"/>
    <w:rsid w:val="00F40676"/>
    <w:rsid w:val="00F55290"/>
    <w:rsid w:val="00F66C09"/>
    <w:rsid w:val="00F91B32"/>
    <w:rsid w:val="00F921C6"/>
    <w:rsid w:val="00FA0DCF"/>
    <w:rsid w:val="00FA1F94"/>
    <w:rsid w:val="00FB00D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CF64"/>
  <w15:chartTrackingRefBased/>
  <w15:docId w15:val="{7591EDE6-F0BB-9F4F-A4A5-27D6B0F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7D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hn">
    <w:name w:val="John"/>
    <w:basedOn w:val="TableNormal"/>
    <w:uiPriority w:val="99"/>
    <w:rsid w:val="00C45BF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TableGrid">
    <w:name w:val="Table Grid"/>
    <w:basedOn w:val="TableNormal"/>
    <w:uiPriority w:val="39"/>
    <w:rsid w:val="00F17D33"/>
    <w:rPr>
      <w:rFonts w:ascii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7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D33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D33"/>
    <w:rPr>
      <w:rFonts w:asciiTheme="minorHAnsi" w:hAnsiTheme="minorHAnsi" w:cstheme="minorBidi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17D33"/>
    <w:rPr>
      <w:rFonts w:asciiTheme="minorHAnsi" w:eastAsiaTheme="minorHAnsi" w:hAnsiTheme="minorHAnsi" w:cstheme="min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D33"/>
    <w:rPr>
      <w:rFonts w:asciiTheme="minorHAnsi" w:hAnsiTheme="minorHAnsi" w:cstheme="minorBidi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7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D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33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17D33"/>
  </w:style>
  <w:style w:type="paragraph" w:styleId="Revision">
    <w:name w:val="Revision"/>
    <w:hidden/>
    <w:uiPriority w:val="99"/>
    <w:semiHidden/>
    <w:rsid w:val="005A6DB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5AD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5AD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8C1621-1A4A-974F-948A-489BDF18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2113</Characters>
  <Application>Microsoft Office Word</Application>
  <DocSecurity>0</DocSecurity>
  <Lines>31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Muriuki</dc:creator>
  <cp:keywords/>
  <dc:description/>
  <cp:lastModifiedBy>John Muriuki</cp:lastModifiedBy>
  <cp:revision>5</cp:revision>
  <dcterms:created xsi:type="dcterms:W3CDTF">2020-01-14T08:35:00Z</dcterms:created>
  <dcterms:modified xsi:type="dcterms:W3CDTF">2020-01-20T16:50:00Z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http://csl.mendeley.com/styles/477050421/chicago-author-date-3</vt:lpwstr>
  </property>
  <property fmtid="{D5CDD505-2E9C-101B-9397-08002B2CF9AE}" pid="5" name="Mendeley Recent Style Name 1_1">
    <vt:lpwstr>Chicago Manual of Style 17th edition (author-date) - John Muriuki</vt:lpwstr>
  </property>
  <property fmtid="{D5CDD505-2E9C-101B-9397-08002B2CF9AE}" pid="6" name="Mendeley Recent Style Id 2_1">
    <vt:lpwstr>http://csl.mendeley.com/styles/477050421/chicago-author-date-2</vt:lpwstr>
  </property>
  <property fmtid="{D5CDD505-2E9C-101B-9397-08002B2CF9AE}" pid="7" name="Mendeley Recent Style Name 2_1">
    <vt:lpwstr>Chicago Manual of Style 17th edition (author-date) - John Muriuki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http://www.zotero.org/styles/science</vt:lpwstr>
  </property>
  <property fmtid="{D5CDD505-2E9C-101B-9397-08002B2CF9AE}" pid="13" name="Mendeley Recent Style Name 5_1">
    <vt:lpwstr>Science</vt:lpwstr>
  </property>
  <property fmtid="{D5CDD505-2E9C-101B-9397-08002B2CF9AE}" pid="14" name="Mendeley Recent Style Id 6_1">
    <vt:lpwstr>http://csl.mendeley.com/styles/477050421/science-8</vt:lpwstr>
  </property>
  <property fmtid="{D5CDD505-2E9C-101B-9397-08002B2CF9AE}" pid="15" name="Mendeley Recent Style Name 6_1">
    <vt:lpwstr>Science - John Muriuki</vt:lpwstr>
  </property>
  <property fmtid="{D5CDD505-2E9C-101B-9397-08002B2CF9AE}" pid="16" name="Mendeley Recent Style Id 7_1">
    <vt:lpwstr>http://www.zotero.org/styles/vancouver</vt:lpwstr>
  </property>
  <property fmtid="{D5CDD505-2E9C-101B-9397-08002B2CF9AE}" pid="17" name="Mendeley Recent Style Name 7_1">
    <vt:lpwstr>Vancouver</vt:lpwstr>
  </property>
  <property fmtid="{D5CDD505-2E9C-101B-9397-08002B2CF9AE}" pid="18" name="Mendeley Recent Style Id 8_1">
    <vt:lpwstr>http://csl.mendeley.com/styles/477050421/vancouver-LGH</vt:lpwstr>
  </property>
  <property fmtid="{D5CDD505-2E9C-101B-9397-08002B2CF9AE}" pid="19" name="Mendeley Recent Style Name 8_1">
    <vt:lpwstr>Vancouver - John Muriuki</vt:lpwstr>
  </property>
  <property fmtid="{D5CDD505-2E9C-101B-9397-08002B2CF9AE}" pid="20" name="Mendeley Recent Style Id 9_1">
    <vt:lpwstr>http://csl.mendeley.com/styles/477050421/vancouver</vt:lpwstr>
  </property>
  <property fmtid="{D5CDD505-2E9C-101B-9397-08002B2CF9AE}" pid="21" name="Mendeley Recent Style Name 9_1">
    <vt:lpwstr>Vancouver - John Muriuki</vt:lpwstr>
  </property>
</Properties>
</file>