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8563" w14:textId="77777777" w:rsidR="00441364" w:rsidRPr="00441364" w:rsidRDefault="00441364" w:rsidP="00441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4413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Abstract MP218: Cop9 Signalosome Subunit 6 Restricts </w:t>
      </w:r>
      <w:proofErr w:type="spellStart"/>
      <w:r w:rsidRPr="004413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Desmosomal</w:t>
      </w:r>
      <w:proofErr w:type="spellEnd"/>
      <w:r w:rsidRPr="004413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 Proteome Degradation </w:t>
      </w:r>
      <w:proofErr w:type="gramStart"/>
      <w:r w:rsidRPr="004413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To</w:t>
      </w:r>
      <w:proofErr w:type="gramEnd"/>
      <w:r w:rsidRPr="004413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 Prevent </w:t>
      </w:r>
      <w:proofErr w:type="spellStart"/>
      <w:r w:rsidRPr="004413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Desmosomal</w:t>
      </w:r>
      <w:proofErr w:type="spellEnd"/>
      <w:r w:rsidRPr="0044136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 Targeted Cardiac Disease</w:t>
      </w:r>
    </w:p>
    <w:p w14:paraId="749448CC" w14:textId="697AB12E" w:rsidR="00441364" w:rsidRDefault="00441364" w:rsidP="00441364">
      <w:pPr>
        <w:spacing w:after="0" w:line="240" w:lineRule="auto"/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</w:pPr>
      <w:hyperlink r:id="rId5" w:anchor="con1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Yan Liang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6" w:anchor="con2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Robert Lyon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7" w:anchor="con3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Jason Pellman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8" w:anchor="con4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William Bradford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9" w:anchor="con5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Stephan Lange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0" w:anchor="con6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Julijus Bogomolovas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1" w:anchor="con7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Nancy Dalton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2" w:anchor="con8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Yusu Gu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3" w:anchor="con9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Marcus Bobar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4" w:anchor="con10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Mong-Hong Lee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5" w:anchor="con11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Tomoo Iwakuma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6" w:anchor="con12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Vishal Nigam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7" w:anchor="con13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Angeliki Asimaki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8" w:anchor="con14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Melvin Scheinman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 </w:t>
      </w:r>
      <w:hyperlink r:id="rId19" w:anchor="con15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Kirk L Peterson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, and </w:t>
      </w:r>
      <w:hyperlink r:id="rId20" w:anchor="con16" w:history="1">
        <w:r w:rsidRPr="00441364">
          <w:rPr>
            <w:rFonts w:ascii="Inter" w:eastAsia="Times New Roman" w:hAnsi="Inter" w:cs="Times New Roman"/>
            <w:color w:val="025A99"/>
            <w:kern w:val="0"/>
            <w:lang w:eastAsia="en-GB"/>
            <w14:ligatures w14:val="none"/>
          </w:rPr>
          <w:t>Farah Sheikh</w:t>
        </w:r>
      </w:hyperlink>
      <w:r w:rsidRPr="00441364">
        <w:rPr>
          <w:rFonts w:ascii="Inter" w:eastAsia="Times New Roman" w:hAnsi="Inter" w:cs="Times New Roman"/>
          <w:color w:val="757575"/>
          <w:kern w:val="0"/>
          <w:lang w:eastAsia="en-GB"/>
          <w14:ligatures w14:val="none"/>
        </w:rPr>
        <w:t> </w:t>
      </w:r>
    </w:p>
    <w:p w14:paraId="5621DF45" w14:textId="77777777" w:rsidR="00441364" w:rsidRPr="00441364" w:rsidRDefault="00441364" w:rsidP="00441364">
      <w:pPr>
        <w:spacing w:after="0" w:line="240" w:lineRule="auto"/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</w:pPr>
    </w:p>
    <w:p w14:paraId="3E980246" w14:textId="77777777" w:rsidR="00441364" w:rsidRPr="00441364" w:rsidRDefault="00441364" w:rsidP="00441364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</w:pPr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Dysregulated protein degradative pathways are increasingly recognized as mediators of human cardiac disease. This pathway may have </w:t>
      </w:r>
      <w:proofErr w:type="gram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particular relevance</w:t>
      </w:r>
      <w:proofErr w:type="gram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to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proteins that play critical structural roles in both tissue architecture and cell-cell communication. Genetic mutations in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genes resulting in the destabilization/breakdown of the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proteome are a central hallmark of all genetic-based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-targeted diseases, including the cardiac disease arrhythmogenic right ventricular (RV) dysplasia/cardiomyopathy (ARVD/C). However, no information exists on whether there are resident proteins that regulate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proteome homeostasis. Here we identified a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resident regulatory complex, composed of subunit 6 of the COP9 signalosome (CSN6), enzymatically restricted neddylation and targets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proteome. Pharmacological restoration of CSN enzymatic function (via neddylation inhibitors) could rescue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protein loss in CSN6 deficient cardiomyocytes. Through the generation of two novel mouse models, we showed that cardiomyocyte-restricted CSN6 loss in mice selectively accelerated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destruction to trigger classic disease features associated with ARVD/C. We further showed that disruption of CSN6-mediated (neddylation) pathways underlined ARVD/C as CSN6 binding, localization, levels and function were impacted in hearts of classic ARVD/C mouse models and ARVD/C patients impacted by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 xml:space="preserve"> loss and mutations, respectively. We anticipate our findings have broad implications towards understanding mechanisms driving desmosome degradation in other </w:t>
      </w:r>
      <w:proofErr w:type="spellStart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desmosomal</w:t>
      </w:r>
      <w:proofErr w:type="spellEnd"/>
      <w:r w:rsidRPr="00441364">
        <w:rPr>
          <w:rFonts w:ascii="Inter" w:eastAsia="Times New Roman" w:hAnsi="Inter" w:cs="Times New Roman"/>
          <w:color w:val="333333"/>
          <w:kern w:val="0"/>
          <w:sz w:val="27"/>
          <w:szCs w:val="27"/>
          <w:lang w:eastAsia="en-GB"/>
          <w14:ligatures w14:val="none"/>
        </w:rPr>
        <w:t>-based diseases, such as cancers.</w:t>
      </w:r>
    </w:p>
    <w:p w14:paraId="1EB5B4FA" w14:textId="77777777" w:rsidR="0087788F" w:rsidRDefault="0087788F"/>
    <w:sectPr w:rsidR="0087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E0D73"/>
    <w:multiLevelType w:val="multilevel"/>
    <w:tmpl w:val="2ECA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356EB"/>
    <w:multiLevelType w:val="multilevel"/>
    <w:tmpl w:val="FBD6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336526">
    <w:abstractNumId w:val="1"/>
  </w:num>
  <w:num w:numId="2" w16cid:durableId="57039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64"/>
    <w:rsid w:val="00441364"/>
    <w:rsid w:val="00587B88"/>
    <w:rsid w:val="0087788F"/>
    <w:rsid w:val="00D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6E8D"/>
  <w15:chartTrackingRefBased/>
  <w15:docId w15:val="{209BC6FD-6BEA-4E33-BDDE-02B3A3E6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ajournals.org/doi/10.1161/res.129.suppl_1.MP218" TargetMode="External"/><Relationship Id="rId13" Type="http://schemas.openxmlformats.org/officeDocument/2006/relationships/hyperlink" Target="https://www.ahajournals.org/doi/10.1161/res.129.suppl_1.MP218" TargetMode="External"/><Relationship Id="rId18" Type="http://schemas.openxmlformats.org/officeDocument/2006/relationships/hyperlink" Target="https://www.ahajournals.org/doi/10.1161/res.129.suppl_1.MP2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hajournals.org/doi/10.1161/res.129.suppl_1.MP218" TargetMode="External"/><Relationship Id="rId12" Type="http://schemas.openxmlformats.org/officeDocument/2006/relationships/hyperlink" Target="https://www.ahajournals.org/doi/10.1161/res.129.suppl_1.MP218" TargetMode="External"/><Relationship Id="rId17" Type="http://schemas.openxmlformats.org/officeDocument/2006/relationships/hyperlink" Target="https://www.ahajournals.org/doi/10.1161/res.129.suppl_1.MP2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hajournals.org/doi/10.1161/res.129.suppl_1.MP218" TargetMode="External"/><Relationship Id="rId20" Type="http://schemas.openxmlformats.org/officeDocument/2006/relationships/hyperlink" Target="https://www.ahajournals.org/doi/10.1161/res.129.suppl_1.MP2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hajournals.org/doi/10.1161/res.129.suppl_1.MP218" TargetMode="External"/><Relationship Id="rId11" Type="http://schemas.openxmlformats.org/officeDocument/2006/relationships/hyperlink" Target="https://www.ahajournals.org/doi/10.1161/res.129.suppl_1.MP218" TargetMode="External"/><Relationship Id="rId5" Type="http://schemas.openxmlformats.org/officeDocument/2006/relationships/hyperlink" Target="https://www.ahajournals.org/doi/10.1161/res.129.suppl_1.MP218" TargetMode="External"/><Relationship Id="rId15" Type="http://schemas.openxmlformats.org/officeDocument/2006/relationships/hyperlink" Target="https://www.ahajournals.org/doi/10.1161/res.129.suppl_1.MP218" TargetMode="External"/><Relationship Id="rId10" Type="http://schemas.openxmlformats.org/officeDocument/2006/relationships/hyperlink" Target="https://www.ahajournals.org/doi/10.1161/res.129.suppl_1.MP218" TargetMode="External"/><Relationship Id="rId19" Type="http://schemas.openxmlformats.org/officeDocument/2006/relationships/hyperlink" Target="https://www.ahajournals.org/doi/10.1161/res.129.suppl_1.MP2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hajournals.org/doi/10.1161/res.129.suppl_1.MP218" TargetMode="External"/><Relationship Id="rId14" Type="http://schemas.openxmlformats.org/officeDocument/2006/relationships/hyperlink" Target="https://www.ahajournals.org/doi/10.1161/res.129.suppl_1.MP2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2930</Characters>
  <Application>Microsoft Office Word</Application>
  <DocSecurity>0</DocSecurity>
  <Lines>24</Lines>
  <Paragraphs>6</Paragraphs>
  <ScaleCrop>false</ScaleCrop>
  <Company>St Georges, University of London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Asimaki</dc:creator>
  <cp:keywords/>
  <dc:description/>
  <cp:lastModifiedBy>Angeliki Asimaki</cp:lastModifiedBy>
  <cp:revision>1</cp:revision>
  <dcterms:created xsi:type="dcterms:W3CDTF">2026-01-26T09:43:00Z</dcterms:created>
  <dcterms:modified xsi:type="dcterms:W3CDTF">2026-01-26T09:43:00Z</dcterms:modified>
</cp:coreProperties>
</file>