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929EF" w14:textId="2A36B1CA" w:rsidR="007713AF" w:rsidRPr="003D4CE1" w:rsidRDefault="007713AF" w:rsidP="007713AF">
      <w:pPr>
        <w:pStyle w:val="MDPI11articletype"/>
      </w:pPr>
      <w:r w:rsidRPr="003D4CE1">
        <w:t>Article</w:t>
      </w:r>
    </w:p>
    <w:p w14:paraId="481A88C5" w14:textId="6E334AE6" w:rsidR="007713AF" w:rsidRPr="003D4CE1" w:rsidRDefault="00041942" w:rsidP="007713AF">
      <w:pPr>
        <w:pStyle w:val="MDPI12title"/>
      </w:pPr>
      <w:r w:rsidRPr="00041942">
        <w:t>Development of AWaRe based quality indicators to assess the appropriateness of antibiotic prescribing in primary healthcare in South Africa</w:t>
      </w:r>
    </w:p>
    <w:p w14:paraId="3CFDCA54" w14:textId="512EB262" w:rsidR="00B93DA7" w:rsidRPr="003D4CE1" w:rsidRDefault="00041942" w:rsidP="007713AF">
      <w:pPr>
        <w:pStyle w:val="MDPI13authornames"/>
      </w:pPr>
      <w:r w:rsidRPr="00041942">
        <w:rPr>
          <w:lang w:val="en-GB"/>
        </w:rPr>
        <w:t xml:space="preserve">Audrey </w:t>
      </w:r>
      <w:r w:rsidR="00DA403F">
        <w:rPr>
          <w:lang w:val="en-GB"/>
        </w:rPr>
        <w:t xml:space="preserve">K. </w:t>
      </w:r>
      <w:r w:rsidRPr="00041942">
        <w:rPr>
          <w:lang w:val="en-GB"/>
        </w:rPr>
        <w:t>Chigome</w:t>
      </w:r>
      <w:r w:rsidRPr="00041942">
        <w:rPr>
          <w:vertAlign w:val="superscript"/>
          <w:lang w:val="en-GB"/>
        </w:rPr>
        <w:t>1,2</w:t>
      </w:r>
      <w:r w:rsidR="00FB0C53">
        <w:rPr>
          <w:vertAlign w:val="superscript"/>
          <w:lang w:val="en-GB"/>
        </w:rPr>
        <w:t>*</w:t>
      </w:r>
      <w:r w:rsidRPr="00041942">
        <w:rPr>
          <w:lang w:val="en-GB"/>
        </w:rPr>
        <w:t>, Johanna C</w:t>
      </w:r>
      <w:r w:rsidR="00DA403F">
        <w:rPr>
          <w:lang w:val="en-GB"/>
        </w:rPr>
        <w:t>.</w:t>
      </w:r>
      <w:r w:rsidRPr="00041942">
        <w:rPr>
          <w:lang w:val="en-GB"/>
        </w:rPr>
        <w:t xml:space="preserve"> Meyer</w:t>
      </w:r>
      <w:r w:rsidRPr="00041942">
        <w:rPr>
          <w:vertAlign w:val="superscript"/>
          <w:lang w:val="en-GB"/>
        </w:rPr>
        <w:t>1,2</w:t>
      </w:r>
      <w:r w:rsidRPr="00041942">
        <w:rPr>
          <w:lang w:val="en-GB"/>
        </w:rPr>
        <w:t>, Adrian Brink</w:t>
      </w:r>
      <w:bookmarkStart w:id="0" w:name="_Hlk216277921"/>
      <w:r w:rsidRPr="00041942">
        <w:rPr>
          <w:vertAlign w:val="superscript"/>
          <w:lang w:val="en-GB"/>
        </w:rPr>
        <w:t>†</w:t>
      </w:r>
      <w:bookmarkEnd w:id="0"/>
      <w:r w:rsidR="003F1C43">
        <w:rPr>
          <w:vertAlign w:val="superscript"/>
          <w:lang w:val="en-GB"/>
        </w:rPr>
        <w:t>3,4</w:t>
      </w:r>
      <w:r w:rsidRPr="00041942">
        <w:rPr>
          <w:vertAlign w:val="superscript"/>
          <w:lang w:val="en-GB"/>
        </w:rPr>
        <w:t>,</w:t>
      </w:r>
      <w:r w:rsidR="003F1C43">
        <w:rPr>
          <w:vertAlign w:val="superscript"/>
          <w:lang w:val="en-GB"/>
        </w:rPr>
        <w:t>5</w:t>
      </w:r>
      <w:r w:rsidRPr="00041942">
        <w:rPr>
          <w:lang w:val="en-GB"/>
        </w:rPr>
        <w:t>, Sabiha Essack</w:t>
      </w:r>
      <w:r w:rsidRPr="00041942">
        <w:rPr>
          <w:vertAlign w:val="superscript"/>
          <w:lang w:val="en-GB"/>
        </w:rPr>
        <w:t>†</w:t>
      </w:r>
      <w:r w:rsidR="003F1C43">
        <w:rPr>
          <w:vertAlign w:val="superscript"/>
          <w:lang w:val="en-GB"/>
        </w:rPr>
        <w:t>6</w:t>
      </w:r>
      <w:r w:rsidRPr="00041942">
        <w:rPr>
          <w:lang w:val="en-GB"/>
        </w:rPr>
        <w:t>, Elmien Bronkhorst</w:t>
      </w:r>
      <w:r w:rsidRPr="00041942">
        <w:rPr>
          <w:vertAlign w:val="superscript"/>
          <w:lang w:val="en-GB"/>
        </w:rPr>
        <w:t>†</w:t>
      </w:r>
      <w:r w:rsidR="003F1C43">
        <w:rPr>
          <w:vertAlign w:val="superscript"/>
          <w:lang w:val="en-GB"/>
        </w:rPr>
        <w:t>7</w:t>
      </w:r>
      <w:r w:rsidRPr="00041942">
        <w:rPr>
          <w:lang w:val="en-GB"/>
        </w:rPr>
        <w:t>, Halima Dawood</w:t>
      </w:r>
      <w:r w:rsidRPr="00041942">
        <w:rPr>
          <w:vertAlign w:val="superscript"/>
          <w:lang w:val="en-GB"/>
        </w:rPr>
        <w:t>†</w:t>
      </w:r>
      <w:r w:rsidR="003F1C43">
        <w:rPr>
          <w:vertAlign w:val="superscript"/>
          <w:lang w:val="en-GB"/>
        </w:rPr>
        <w:t>8</w:t>
      </w:r>
      <w:r w:rsidRPr="00041942">
        <w:rPr>
          <w:lang w:val="en-GB"/>
        </w:rPr>
        <w:t>, Yasmina Johnson</w:t>
      </w:r>
      <w:r w:rsidRPr="00041942">
        <w:rPr>
          <w:vertAlign w:val="superscript"/>
          <w:lang w:val="en-GB"/>
        </w:rPr>
        <w:t>†</w:t>
      </w:r>
      <w:r w:rsidR="003F1C43">
        <w:rPr>
          <w:vertAlign w:val="superscript"/>
          <w:lang w:val="en-GB"/>
        </w:rPr>
        <w:t>9</w:t>
      </w:r>
      <w:r w:rsidR="00C14FAF">
        <w:rPr>
          <w:vertAlign w:val="superscript"/>
          <w:lang w:val="en-GB"/>
        </w:rPr>
        <w:t>,10</w:t>
      </w:r>
      <w:r w:rsidRPr="00041942">
        <w:rPr>
          <w:lang w:val="en-GB"/>
        </w:rPr>
        <w:t>, Renier Coetzee</w:t>
      </w:r>
      <w:r w:rsidRPr="00041942">
        <w:rPr>
          <w:vertAlign w:val="superscript"/>
          <w:lang w:val="en-GB"/>
        </w:rPr>
        <w:t>†1</w:t>
      </w:r>
      <w:r w:rsidR="00C14FAF">
        <w:rPr>
          <w:vertAlign w:val="superscript"/>
          <w:lang w:val="en-GB"/>
        </w:rPr>
        <w:t>1</w:t>
      </w:r>
      <w:r w:rsidRPr="00041942">
        <w:rPr>
          <w:lang w:val="en-GB"/>
        </w:rPr>
        <w:t>, Chuma Maphathwana</w:t>
      </w:r>
      <w:r w:rsidRPr="00041942">
        <w:rPr>
          <w:vertAlign w:val="superscript"/>
          <w:lang w:val="en-GB"/>
        </w:rPr>
        <w:t>†</w:t>
      </w:r>
      <w:r w:rsidR="003F1C43">
        <w:rPr>
          <w:vertAlign w:val="superscript"/>
          <w:lang w:val="en-GB"/>
        </w:rPr>
        <w:t>1</w:t>
      </w:r>
      <w:r w:rsidR="00C14FAF">
        <w:rPr>
          <w:vertAlign w:val="superscript"/>
          <w:lang w:val="en-GB"/>
        </w:rPr>
        <w:t>2</w:t>
      </w:r>
      <w:r w:rsidRPr="00041942">
        <w:rPr>
          <w:lang w:val="en-GB"/>
        </w:rPr>
        <w:t>, Moloko Phaho</w:t>
      </w:r>
      <w:r w:rsidRPr="00041942">
        <w:rPr>
          <w:vertAlign w:val="superscript"/>
          <w:lang w:val="en-GB"/>
        </w:rPr>
        <w:t>†1</w:t>
      </w:r>
      <w:r w:rsidR="00C14FAF">
        <w:rPr>
          <w:vertAlign w:val="superscript"/>
          <w:lang w:val="en-GB"/>
        </w:rPr>
        <w:t>3</w:t>
      </w:r>
      <w:r w:rsidRPr="00041942">
        <w:rPr>
          <w:lang w:val="en-GB"/>
        </w:rPr>
        <w:t>, Phillip Malebaco</w:t>
      </w:r>
      <w:r w:rsidRPr="00041942">
        <w:rPr>
          <w:vertAlign w:val="superscript"/>
          <w:lang w:val="en-GB"/>
        </w:rPr>
        <w:t>†1</w:t>
      </w:r>
      <w:r w:rsidR="00C14FAF">
        <w:rPr>
          <w:vertAlign w:val="superscript"/>
          <w:lang w:val="en-GB"/>
        </w:rPr>
        <w:t>4</w:t>
      </w:r>
      <w:r w:rsidRPr="00041942">
        <w:rPr>
          <w:lang w:val="en-GB"/>
        </w:rPr>
        <w:t>, Nonhlanhla Nhlapo</w:t>
      </w:r>
      <w:r w:rsidRPr="00041942">
        <w:rPr>
          <w:vertAlign w:val="superscript"/>
          <w:lang w:val="en-GB"/>
        </w:rPr>
        <w:t>†1</w:t>
      </w:r>
      <w:r w:rsidR="00C14FAF">
        <w:rPr>
          <w:vertAlign w:val="superscript"/>
          <w:lang w:val="en-GB"/>
        </w:rPr>
        <w:t>5</w:t>
      </w:r>
      <w:r w:rsidRPr="00041942">
        <w:rPr>
          <w:lang w:val="en-GB"/>
        </w:rPr>
        <w:t>, Filip Djukic</w:t>
      </w:r>
      <w:r w:rsidRPr="00041942">
        <w:rPr>
          <w:vertAlign w:val="superscript"/>
          <w:lang w:val="en-GB"/>
        </w:rPr>
        <w:t>1</w:t>
      </w:r>
      <w:r w:rsidR="00C14FAF">
        <w:rPr>
          <w:vertAlign w:val="superscript"/>
          <w:lang w:val="en-GB"/>
        </w:rPr>
        <w:t>6</w:t>
      </w:r>
      <w:r w:rsidRPr="00041942">
        <w:rPr>
          <w:lang w:val="en-GB"/>
        </w:rPr>
        <w:t>, Annie Heath</w:t>
      </w:r>
      <w:r w:rsidRPr="00041942">
        <w:rPr>
          <w:vertAlign w:val="superscript"/>
          <w:lang w:val="en-GB"/>
        </w:rPr>
        <w:t>1</w:t>
      </w:r>
      <w:r w:rsidR="00C14FAF">
        <w:rPr>
          <w:vertAlign w:val="superscript"/>
          <w:lang w:val="en-GB"/>
        </w:rPr>
        <w:t>6</w:t>
      </w:r>
      <w:r w:rsidRPr="00041942">
        <w:rPr>
          <w:lang w:val="en-GB"/>
        </w:rPr>
        <w:t>, Aislinn Cook</w:t>
      </w:r>
      <w:r w:rsidRPr="00041942">
        <w:rPr>
          <w:vertAlign w:val="superscript"/>
          <w:lang w:val="en-GB"/>
        </w:rPr>
        <w:t>1</w:t>
      </w:r>
      <w:r w:rsidR="00C14FAF">
        <w:rPr>
          <w:vertAlign w:val="superscript"/>
          <w:lang w:val="en-GB"/>
        </w:rPr>
        <w:t>6</w:t>
      </w:r>
      <w:r w:rsidRPr="00041942">
        <w:rPr>
          <w:lang w:val="en-GB"/>
        </w:rPr>
        <w:t xml:space="preserve">, </w:t>
      </w:r>
      <w:r w:rsidR="006763EA">
        <w:rPr>
          <w:lang w:val="en-GB"/>
        </w:rPr>
        <w:t>Gauri Kumar</w:t>
      </w:r>
      <w:r w:rsidR="006763EA" w:rsidRPr="006763EA">
        <w:rPr>
          <w:vertAlign w:val="superscript"/>
          <w:lang w:val="en-GB"/>
        </w:rPr>
        <w:t>1</w:t>
      </w:r>
      <w:r w:rsidR="00C14FAF">
        <w:rPr>
          <w:vertAlign w:val="superscript"/>
          <w:lang w:val="en-GB"/>
        </w:rPr>
        <w:t>6</w:t>
      </w:r>
      <w:r w:rsidR="006763EA">
        <w:rPr>
          <w:lang w:val="en-GB"/>
        </w:rPr>
        <w:t xml:space="preserve">, </w:t>
      </w:r>
      <w:r w:rsidRPr="00041942">
        <w:rPr>
          <w:lang w:val="en-GB"/>
        </w:rPr>
        <w:t>Stephen M</w:t>
      </w:r>
      <w:r w:rsidR="00DA403F">
        <w:rPr>
          <w:lang w:val="en-GB"/>
        </w:rPr>
        <w:t>.</w:t>
      </w:r>
      <w:r w:rsidRPr="00041942">
        <w:rPr>
          <w:lang w:val="en-GB"/>
        </w:rPr>
        <w:t xml:space="preserve"> Campbell</w:t>
      </w:r>
      <w:r w:rsidRPr="00041942">
        <w:rPr>
          <w:vertAlign w:val="superscript"/>
          <w:lang w:val="en-GB"/>
        </w:rPr>
        <w:t>1,1</w:t>
      </w:r>
      <w:r w:rsidR="00C14FAF">
        <w:rPr>
          <w:vertAlign w:val="superscript"/>
          <w:lang w:val="en-GB"/>
        </w:rPr>
        <w:t>7</w:t>
      </w:r>
      <w:r w:rsidR="003F1C43">
        <w:rPr>
          <w:lang w:val="en-GB"/>
        </w:rPr>
        <w:t xml:space="preserve">, </w:t>
      </w:r>
      <w:r w:rsidR="003F1C43" w:rsidRPr="00041942">
        <w:rPr>
          <w:lang w:val="en-GB"/>
        </w:rPr>
        <w:t>Brian Godman</w:t>
      </w:r>
      <w:r w:rsidR="003F1C43" w:rsidRPr="00041942">
        <w:rPr>
          <w:vertAlign w:val="superscript"/>
          <w:lang w:val="en-GB"/>
        </w:rPr>
        <w:t>1,</w:t>
      </w:r>
      <w:r w:rsidR="003F1C43">
        <w:rPr>
          <w:vertAlign w:val="superscript"/>
          <w:lang w:val="en-GB"/>
        </w:rPr>
        <w:t>1</w:t>
      </w:r>
      <w:r w:rsidR="00C14FAF">
        <w:rPr>
          <w:vertAlign w:val="superscript"/>
          <w:lang w:val="en-GB"/>
        </w:rPr>
        <w:t>6</w:t>
      </w:r>
      <w:r w:rsidR="00FB0C53">
        <w:rPr>
          <w:vertAlign w:val="superscript"/>
          <w:lang w:val="en-GB"/>
        </w:rPr>
        <w:t>*</w:t>
      </w:r>
      <w:r w:rsidR="005B68FB">
        <w:rPr>
          <w:lang w:val="en-GB"/>
        </w:rPr>
        <w:t xml:space="preserve"> </w:t>
      </w:r>
      <w:r>
        <w:rPr>
          <w:lang w:val="en-GB"/>
        </w:rPr>
        <w:t>and</w:t>
      </w:r>
      <w:r w:rsidRPr="00041942">
        <w:rPr>
          <w:lang w:val="en-GB"/>
        </w:rPr>
        <w:t xml:space="preserve"> Marc Mendelson</w:t>
      </w:r>
      <w:r w:rsidRPr="00041942">
        <w:rPr>
          <w:vertAlign w:val="superscript"/>
          <w:lang w:val="en-GB"/>
        </w:rPr>
        <w:t>1</w:t>
      </w:r>
      <w:r w:rsidR="00C14FAF">
        <w:rPr>
          <w:vertAlign w:val="superscript"/>
          <w:lang w:val="en-GB"/>
        </w:rPr>
        <w:t>8</w:t>
      </w:r>
    </w:p>
    <w:tbl>
      <w:tblPr>
        <w:tblpPr w:leftFromText="198" w:rightFromText="198" w:vertAnchor="page" w:horzAnchor="margin" w:tblpY="11461"/>
        <w:tblW w:w="2410" w:type="dxa"/>
        <w:tblLayout w:type="fixed"/>
        <w:tblCellMar>
          <w:left w:w="0" w:type="dxa"/>
          <w:right w:w="0" w:type="dxa"/>
        </w:tblCellMar>
        <w:tblLook w:val="04A0" w:firstRow="1" w:lastRow="0" w:firstColumn="1" w:lastColumn="0" w:noHBand="0" w:noVBand="1"/>
      </w:tblPr>
      <w:tblGrid>
        <w:gridCol w:w="2410"/>
      </w:tblGrid>
      <w:tr w:rsidR="00B93DA7" w:rsidRPr="003D4CE1" w14:paraId="0B33EEF3" w14:textId="77777777" w:rsidTr="000D20E3">
        <w:tc>
          <w:tcPr>
            <w:tcW w:w="2410" w:type="dxa"/>
          </w:tcPr>
          <w:p w14:paraId="6F47CD68" w14:textId="77777777" w:rsidR="00B93DA7" w:rsidRPr="003D4CE1" w:rsidRDefault="00B93DA7" w:rsidP="000D20E3">
            <w:pPr>
              <w:pStyle w:val="MDPI15academiceditor"/>
              <w:spacing w:before="0" w:after="120"/>
            </w:pPr>
            <w:r w:rsidRPr="003D4CE1">
              <w:t xml:space="preserve">Academic Editor: </w:t>
            </w:r>
            <w:proofErr w:type="spellStart"/>
            <w:r w:rsidRPr="003D4CE1">
              <w:t>Firstname</w:t>
            </w:r>
            <w:proofErr w:type="spellEnd"/>
            <w:r w:rsidRPr="003D4CE1">
              <w:t xml:space="preserve"> Lastname</w:t>
            </w:r>
          </w:p>
          <w:p w14:paraId="30A00744" w14:textId="77777777" w:rsidR="00B93DA7" w:rsidRPr="003D4CE1" w:rsidRDefault="00B93DA7" w:rsidP="000D20E3">
            <w:pPr>
              <w:pStyle w:val="MDPI14history"/>
              <w:spacing w:before="120"/>
            </w:pPr>
            <w:r w:rsidRPr="003D4CE1">
              <w:t>Received: date</w:t>
            </w:r>
          </w:p>
          <w:p w14:paraId="0643988B" w14:textId="77777777" w:rsidR="00B93DA7" w:rsidRPr="003D4CE1" w:rsidRDefault="00B93DA7" w:rsidP="000D20E3">
            <w:pPr>
              <w:pStyle w:val="MDPI14history"/>
            </w:pPr>
            <w:r w:rsidRPr="003D4CE1">
              <w:t>Revised: date</w:t>
            </w:r>
          </w:p>
          <w:p w14:paraId="6A3FC1FE" w14:textId="77777777" w:rsidR="00B93DA7" w:rsidRPr="003D4CE1" w:rsidRDefault="00B93DA7" w:rsidP="000D20E3">
            <w:pPr>
              <w:pStyle w:val="MDPI14history"/>
            </w:pPr>
            <w:r w:rsidRPr="003D4CE1">
              <w:t>Accepted: date</w:t>
            </w:r>
          </w:p>
          <w:p w14:paraId="2B0221A4" w14:textId="77777777" w:rsidR="00B93DA7" w:rsidRPr="003D4CE1" w:rsidRDefault="00B93DA7" w:rsidP="000D20E3">
            <w:pPr>
              <w:pStyle w:val="MDPI14history"/>
              <w:spacing w:after="120"/>
            </w:pPr>
            <w:r w:rsidRPr="003D4CE1">
              <w:t>Published: date</w:t>
            </w:r>
          </w:p>
          <w:p w14:paraId="0BD1476E" w14:textId="77777777" w:rsidR="00B93DA7" w:rsidRPr="003D4CE1" w:rsidRDefault="00B93DA7" w:rsidP="000D20E3">
            <w:pPr>
              <w:pStyle w:val="MDPI61citation"/>
              <w:rPr>
                <w:lang w:bidi="en-US"/>
              </w:rPr>
            </w:pPr>
            <w:r w:rsidRPr="003D4CE1">
              <w:rPr>
                <w:b/>
                <w:lang w:bidi="en-US"/>
              </w:rPr>
              <w:t xml:space="preserve">Citation: </w:t>
            </w:r>
            <w:r w:rsidRPr="003D4CE1">
              <w:rPr>
                <w:lang w:bidi="en-US"/>
              </w:rPr>
              <w:t>To be added by editorial staff during production.</w:t>
            </w:r>
          </w:p>
          <w:p w14:paraId="76ADF8EF" w14:textId="77777777" w:rsidR="00B93DA7" w:rsidRPr="003D4CE1" w:rsidRDefault="00B93DA7" w:rsidP="000D20E3">
            <w:pPr>
              <w:pStyle w:val="MDPI72copyright"/>
              <w:rPr>
                <w:rFonts w:eastAsia="DengXian"/>
                <w:noProof w:val="0"/>
                <w:lang w:val="en-US" w:bidi="en-US"/>
              </w:rPr>
            </w:pPr>
            <w:r w:rsidRPr="003D4CE1">
              <w:rPr>
                <w:rFonts w:eastAsia="DengXian"/>
                <w:b/>
                <w:noProof w:val="0"/>
                <w:lang w:val="en-US" w:bidi="en-US"/>
              </w:rPr>
              <w:t>Copyright:</w:t>
            </w:r>
            <w:r w:rsidRPr="003D4CE1">
              <w:rPr>
                <w:rFonts w:eastAsia="DengXian"/>
                <w:noProof w:val="0"/>
                <w:lang w:val="en-US" w:bidi="en-US"/>
              </w:rPr>
              <w:t xml:space="preserve"> © 2025 by the authors. Submitted for possible open access publication under the terms and conditions of the Creative Commons Attribution (CC BY) license (https://creativecommons.org/licenses/by/4.0/).</w:t>
            </w:r>
          </w:p>
        </w:tc>
      </w:tr>
    </w:tbl>
    <w:p w14:paraId="7B31FFAE" w14:textId="6320D70B" w:rsidR="00041942" w:rsidRPr="00FB0C53" w:rsidRDefault="00041942" w:rsidP="00041942">
      <w:pPr>
        <w:pStyle w:val="MDPI16affiliation"/>
        <w:rPr>
          <w:color w:val="auto"/>
          <w:lang w:val="en-GB"/>
        </w:rPr>
      </w:pPr>
      <w:r w:rsidRPr="00FB0C53">
        <w:rPr>
          <w:color w:val="auto"/>
          <w:vertAlign w:val="superscript"/>
          <w:lang w:val="en-GB"/>
        </w:rPr>
        <w:t>1</w:t>
      </w:r>
      <w:r w:rsidRPr="00FB0C53">
        <w:rPr>
          <w:color w:val="auto"/>
          <w:lang w:val="en-GB"/>
        </w:rPr>
        <w:t xml:space="preserve"> Department of Public Health Pharmacy and Management, School of Pharmacy, Sefako Makgatho Health Sciences University, Ga-Rankuwa, South Africa</w:t>
      </w:r>
      <w:r w:rsidR="00DA403F" w:rsidRPr="00FB0C53">
        <w:rPr>
          <w:color w:val="auto"/>
          <w:lang w:val="en-GB"/>
        </w:rPr>
        <w:t>. Email: audreykchigome@gmail.com (AKC); brian.godman@smu.ac.za (BG); hannelie.meyer@smu.ac.za (JCM); stephen.campbell@smu.ac.za (S</w:t>
      </w:r>
      <w:r w:rsidR="00B637EB">
        <w:rPr>
          <w:color w:val="auto"/>
          <w:lang w:val="en-GB"/>
        </w:rPr>
        <w:t>M</w:t>
      </w:r>
      <w:r w:rsidR="00DA403F" w:rsidRPr="00FB0C53">
        <w:rPr>
          <w:color w:val="auto"/>
          <w:lang w:val="en-GB"/>
        </w:rPr>
        <w:t>C). ORCID IDs: https://orcid.org/0000-0001-7485-0970 (AKC); http://orcid.org/0000-0002-2328-4136 (SC); http://orcid.org/0000-0001-6539-6972 (BG); http://orcid.org/0000-0003-0462-5713 (JCM)</w:t>
      </w:r>
      <w:r w:rsidRPr="00FB0C53">
        <w:rPr>
          <w:color w:val="auto"/>
          <w:lang w:val="en-GB"/>
        </w:rPr>
        <w:t xml:space="preserve"> </w:t>
      </w:r>
    </w:p>
    <w:p w14:paraId="482ABF68" w14:textId="77777777" w:rsidR="00041942" w:rsidRPr="00FB0C53" w:rsidRDefault="00041942" w:rsidP="00041942">
      <w:pPr>
        <w:pStyle w:val="MDPI16affiliation"/>
        <w:rPr>
          <w:color w:val="auto"/>
          <w:lang w:val="en-GB"/>
        </w:rPr>
      </w:pPr>
      <w:r w:rsidRPr="00FB0C53">
        <w:rPr>
          <w:color w:val="auto"/>
          <w:vertAlign w:val="superscript"/>
          <w:lang w:val="en-GB"/>
        </w:rPr>
        <w:t>2</w:t>
      </w:r>
      <w:r w:rsidRPr="00FB0C53">
        <w:rPr>
          <w:color w:val="auto"/>
          <w:lang w:val="en-GB"/>
        </w:rPr>
        <w:t xml:space="preserve"> South African Vaccination and Immunisation Centre, Sefako Makgatho Health Sciences University, Ga-Rankuwa, South Africa</w:t>
      </w:r>
    </w:p>
    <w:p w14:paraId="64248AD9" w14:textId="4B46A728" w:rsidR="00041942" w:rsidRPr="00FB0C53" w:rsidRDefault="003F1C43" w:rsidP="00041942">
      <w:pPr>
        <w:pStyle w:val="MDPI16affiliation"/>
        <w:rPr>
          <w:color w:val="auto"/>
          <w:lang w:val="en-GB"/>
        </w:rPr>
      </w:pPr>
      <w:r w:rsidRPr="00FB0C53">
        <w:rPr>
          <w:color w:val="auto"/>
          <w:vertAlign w:val="superscript"/>
          <w:lang w:val="en-GB"/>
        </w:rPr>
        <w:t>3</w:t>
      </w:r>
      <w:r w:rsidR="00041942" w:rsidRPr="00FB0C53">
        <w:rPr>
          <w:color w:val="auto"/>
          <w:lang w:val="en-GB"/>
        </w:rPr>
        <w:t xml:space="preserve"> Division of Medical Microbiology, Faculty of Health Sciences, University of Cape Town, South Africa</w:t>
      </w:r>
      <w:r w:rsidR="00DA403F" w:rsidRPr="00FB0C53">
        <w:rPr>
          <w:color w:val="auto"/>
          <w:lang w:val="en-GB"/>
        </w:rPr>
        <w:t>. Email:</w:t>
      </w:r>
      <w:r w:rsidR="00C83526" w:rsidRPr="00FB0C53">
        <w:rPr>
          <w:color w:val="auto"/>
          <w:lang w:val="en-GB"/>
        </w:rPr>
        <w:t xml:space="preserve"> </w:t>
      </w:r>
      <w:hyperlink r:id="rId8" w:history="1">
        <w:r w:rsidR="00C83526" w:rsidRPr="00FB0C53">
          <w:rPr>
            <w:rStyle w:val="Hyperlink"/>
            <w:color w:val="auto"/>
            <w:u w:val="none"/>
            <w:lang w:val="en-GB"/>
          </w:rPr>
          <w:t>adrian.brink@uct.ac.za</w:t>
        </w:r>
      </w:hyperlink>
      <w:r w:rsidR="00C83526" w:rsidRPr="00FB0C53">
        <w:rPr>
          <w:color w:val="auto"/>
          <w:lang w:val="en-GB"/>
        </w:rPr>
        <w:t xml:space="preserve"> (AB)</w:t>
      </w:r>
    </w:p>
    <w:p w14:paraId="68EF9DE4" w14:textId="10637F76" w:rsidR="00041942" w:rsidRPr="00FB0C53" w:rsidRDefault="003F1C43" w:rsidP="00041942">
      <w:pPr>
        <w:pStyle w:val="MDPI16affiliation"/>
        <w:rPr>
          <w:color w:val="auto"/>
          <w:lang w:val="en-GB"/>
        </w:rPr>
      </w:pPr>
      <w:r w:rsidRPr="00FB0C53">
        <w:rPr>
          <w:color w:val="auto"/>
          <w:vertAlign w:val="superscript"/>
          <w:lang w:val="en-GB"/>
        </w:rPr>
        <w:t>4</w:t>
      </w:r>
      <w:r w:rsidR="00041942" w:rsidRPr="00FB0C53">
        <w:rPr>
          <w:color w:val="auto"/>
          <w:lang w:val="en-GB"/>
        </w:rPr>
        <w:t xml:space="preserve"> National Health Laboratory Service, Groote Schuur Hospital, Cape Town, South Africa</w:t>
      </w:r>
    </w:p>
    <w:p w14:paraId="4B8925B8" w14:textId="2DF36E38" w:rsidR="00041942" w:rsidRPr="00FB0C53" w:rsidRDefault="003F1C43" w:rsidP="00041942">
      <w:pPr>
        <w:pStyle w:val="MDPI16affiliation"/>
        <w:rPr>
          <w:color w:val="auto"/>
          <w:lang w:val="en-GB"/>
        </w:rPr>
      </w:pPr>
      <w:r w:rsidRPr="00FB0C53">
        <w:rPr>
          <w:color w:val="auto"/>
          <w:vertAlign w:val="superscript"/>
          <w:lang w:val="en-GB"/>
        </w:rPr>
        <w:t>5</w:t>
      </w:r>
      <w:r w:rsidR="00041942" w:rsidRPr="00FB0C53">
        <w:rPr>
          <w:color w:val="auto"/>
          <w:lang w:val="en-GB"/>
        </w:rPr>
        <w:t xml:space="preserve"> Institute of Infectious Disease and Molecular Medicine, Faculty of Health Sciences, University of Cape Town, South Africa</w:t>
      </w:r>
    </w:p>
    <w:p w14:paraId="6778E147" w14:textId="16650309" w:rsidR="00041942" w:rsidRPr="00FB0C53" w:rsidRDefault="003F1C43" w:rsidP="00041942">
      <w:pPr>
        <w:pStyle w:val="MDPI16affiliation"/>
        <w:rPr>
          <w:color w:val="auto"/>
          <w:lang w:val="en-GB"/>
        </w:rPr>
      </w:pPr>
      <w:r w:rsidRPr="00FB0C53">
        <w:rPr>
          <w:color w:val="auto"/>
          <w:vertAlign w:val="superscript"/>
          <w:lang w:val="en-GB"/>
        </w:rPr>
        <w:t>6</w:t>
      </w:r>
      <w:r w:rsidR="00041942" w:rsidRPr="00FB0C53">
        <w:rPr>
          <w:color w:val="auto"/>
          <w:lang w:val="en-GB"/>
        </w:rPr>
        <w:t xml:space="preserve"> Antimicrobial Research Unit, School of Health Sciences, University of KwaZulu-Natal, Durban, South Africa</w:t>
      </w:r>
      <w:r w:rsidR="00C83526" w:rsidRPr="00FB0C53">
        <w:rPr>
          <w:color w:val="auto"/>
          <w:lang w:val="en-GB"/>
        </w:rPr>
        <w:t>. Email:</w:t>
      </w:r>
      <w:r w:rsidR="00C83526" w:rsidRPr="00FB0C53">
        <w:rPr>
          <w:color w:val="auto"/>
        </w:rPr>
        <w:t xml:space="preserve"> </w:t>
      </w:r>
      <w:hyperlink r:id="rId9" w:history="1">
        <w:r w:rsidR="00C83526" w:rsidRPr="00FB0C53">
          <w:rPr>
            <w:rStyle w:val="Hyperlink"/>
            <w:color w:val="auto"/>
            <w:u w:val="none"/>
            <w:lang w:val="en-GB"/>
          </w:rPr>
          <w:t>essacks@ukzn.ac.za</w:t>
        </w:r>
      </w:hyperlink>
      <w:r w:rsidR="00C83526" w:rsidRPr="00FB0C53">
        <w:rPr>
          <w:color w:val="auto"/>
          <w:lang w:val="en-GB"/>
        </w:rPr>
        <w:t xml:space="preserve"> (SE)</w:t>
      </w:r>
    </w:p>
    <w:p w14:paraId="23674E0A" w14:textId="28AD92CD" w:rsidR="00041942" w:rsidRPr="00FB0C53" w:rsidRDefault="003F1C43" w:rsidP="00041942">
      <w:pPr>
        <w:pStyle w:val="MDPI16affiliation"/>
        <w:rPr>
          <w:color w:val="auto"/>
          <w:lang w:val="en-GB"/>
        </w:rPr>
      </w:pPr>
      <w:r w:rsidRPr="00FB0C53">
        <w:rPr>
          <w:color w:val="auto"/>
          <w:vertAlign w:val="superscript"/>
          <w:lang w:val="en-GB"/>
        </w:rPr>
        <w:t>7</w:t>
      </w:r>
      <w:r w:rsidR="00041942" w:rsidRPr="00FB0C53">
        <w:rPr>
          <w:color w:val="auto"/>
          <w:lang w:val="en-GB"/>
        </w:rPr>
        <w:t xml:space="preserve"> Department of Clinical Pharmacy, School of Pharmacy, Sefako Makgatho Health Sciences University, Ga-Rankuwa, South Africa</w:t>
      </w:r>
      <w:r w:rsidR="00C83526" w:rsidRPr="00FB0C53">
        <w:rPr>
          <w:color w:val="auto"/>
          <w:lang w:val="en-GB"/>
        </w:rPr>
        <w:t xml:space="preserve">. Email: </w:t>
      </w:r>
      <w:hyperlink r:id="rId10" w:history="1">
        <w:r w:rsidR="00C83526" w:rsidRPr="00FB0C53">
          <w:rPr>
            <w:rStyle w:val="Hyperlink"/>
            <w:color w:val="auto"/>
            <w:u w:val="none"/>
            <w:lang w:val="en-GB"/>
          </w:rPr>
          <w:t>elmien.bronkhorst@smu.ac.za</w:t>
        </w:r>
      </w:hyperlink>
      <w:r w:rsidR="00C83526" w:rsidRPr="00FB0C53">
        <w:rPr>
          <w:color w:val="auto"/>
          <w:lang w:val="en-GB"/>
        </w:rPr>
        <w:t xml:space="preserve"> (EB)</w:t>
      </w:r>
    </w:p>
    <w:p w14:paraId="074EA434" w14:textId="1FFA8358" w:rsidR="0039646E" w:rsidRPr="0039646E" w:rsidRDefault="00EF20ED" w:rsidP="0039646E">
      <w:pPr>
        <w:pStyle w:val="MDPI16affiliation"/>
        <w:rPr>
          <w:color w:val="auto"/>
        </w:rPr>
      </w:pPr>
      <w:r w:rsidRPr="00FB0C53">
        <w:rPr>
          <w:color w:val="auto"/>
          <w:vertAlign w:val="superscript"/>
          <w:lang w:val="en-GB"/>
        </w:rPr>
        <w:t>8</w:t>
      </w:r>
      <w:r w:rsidR="00041942" w:rsidRPr="00FB0C53">
        <w:rPr>
          <w:color w:val="auto"/>
          <w:lang w:val="en-GB"/>
        </w:rPr>
        <w:t xml:space="preserve"> Infectious Diseases Unit, Department of Internal Medicine, Grey’s Hospital, Pietermaritzburg, South Africa</w:t>
      </w:r>
      <w:r w:rsidR="00C83526" w:rsidRPr="00FB0C53">
        <w:rPr>
          <w:color w:val="auto"/>
          <w:lang w:val="en-GB"/>
        </w:rPr>
        <w:t>. Email:</w:t>
      </w:r>
      <w:r w:rsidR="00C83526" w:rsidRPr="00FB0C53">
        <w:rPr>
          <w:color w:val="auto"/>
        </w:rPr>
        <w:t xml:space="preserve"> </w:t>
      </w:r>
      <w:hyperlink r:id="rId11" w:history="1">
        <w:r w:rsidR="0039646E" w:rsidRPr="00FF05F0">
          <w:rPr>
            <w:rStyle w:val="Hyperlink"/>
            <w:sz w:val="18"/>
          </w:rPr>
          <w:t>dawoodh@ukzn.ac.za</w:t>
        </w:r>
      </w:hyperlink>
      <w:r w:rsidR="0039646E" w:rsidRPr="003C0B11">
        <w:rPr>
          <w:sz w:val="18"/>
        </w:rPr>
        <w:t> </w:t>
      </w:r>
    </w:p>
    <w:p w14:paraId="4D29A907" w14:textId="1857593C" w:rsidR="00041942" w:rsidRPr="00FB0C53" w:rsidRDefault="00C83526" w:rsidP="00041942">
      <w:pPr>
        <w:pStyle w:val="MDPI16affiliation"/>
        <w:rPr>
          <w:color w:val="auto"/>
          <w:lang w:val="en-GB"/>
        </w:rPr>
      </w:pPr>
      <w:r w:rsidRPr="00FB0C53">
        <w:rPr>
          <w:color w:val="auto"/>
          <w:lang w:val="en-GB"/>
        </w:rPr>
        <w:t xml:space="preserve">(HD) </w:t>
      </w:r>
    </w:p>
    <w:p w14:paraId="3B2C55B7" w14:textId="77777777" w:rsidR="00C14FAF" w:rsidRDefault="00EF20ED" w:rsidP="00041942">
      <w:pPr>
        <w:pStyle w:val="MDPI16affiliation"/>
        <w:rPr>
          <w:color w:val="auto"/>
          <w:lang w:val="en-GB"/>
        </w:rPr>
      </w:pPr>
      <w:r w:rsidRPr="00FB0C53">
        <w:rPr>
          <w:color w:val="auto"/>
          <w:vertAlign w:val="superscript"/>
          <w:lang w:val="en-GB"/>
        </w:rPr>
        <w:t>9</w:t>
      </w:r>
      <w:r w:rsidR="00041942" w:rsidRPr="00FB0C53">
        <w:rPr>
          <w:color w:val="auto"/>
          <w:lang w:val="en-GB"/>
        </w:rPr>
        <w:t xml:space="preserve"> </w:t>
      </w:r>
      <w:r w:rsidR="00460C31" w:rsidRPr="00FB0C53">
        <w:rPr>
          <w:color w:val="auto"/>
          <w:lang w:val="en-GB"/>
        </w:rPr>
        <w:t>Western Cape Department of Health and Wellness, Cape Town, South Africa</w:t>
      </w:r>
    </w:p>
    <w:p w14:paraId="524651C0" w14:textId="077E3C49" w:rsidR="00041942" w:rsidRPr="00FB0C53" w:rsidRDefault="00C14FAF" w:rsidP="00041942">
      <w:pPr>
        <w:pStyle w:val="MDPI16affiliation"/>
        <w:rPr>
          <w:color w:val="auto"/>
          <w:lang w:val="en-GB"/>
        </w:rPr>
      </w:pPr>
      <w:r w:rsidRPr="00C14FAF">
        <w:rPr>
          <w:color w:val="auto"/>
          <w:vertAlign w:val="superscript"/>
          <w:lang w:val="en-GB"/>
        </w:rPr>
        <w:t>10</w:t>
      </w:r>
      <w:r w:rsidR="00460C31">
        <w:rPr>
          <w:color w:val="auto"/>
          <w:lang w:val="en-GB"/>
        </w:rPr>
        <w:t>School of Pharmacy, University of the Western Cape, Cape Town, South Africa</w:t>
      </w:r>
      <w:r w:rsidR="00C83526" w:rsidRPr="00FB0C53">
        <w:rPr>
          <w:color w:val="auto"/>
          <w:lang w:val="en-GB"/>
        </w:rPr>
        <w:t xml:space="preserve">. Email: </w:t>
      </w:r>
      <w:hyperlink r:id="rId12" w:history="1">
        <w:r w:rsidR="00C83526" w:rsidRPr="00FB0C53">
          <w:rPr>
            <w:rStyle w:val="Hyperlink"/>
            <w:color w:val="auto"/>
            <w:u w:val="none"/>
            <w:lang w:val="en-GB"/>
          </w:rPr>
          <w:t>Yasmina.Johnson@westerncape.gov.za</w:t>
        </w:r>
      </w:hyperlink>
      <w:r w:rsidR="00C83526" w:rsidRPr="00FB0C53">
        <w:rPr>
          <w:color w:val="auto"/>
          <w:lang w:val="en-GB"/>
        </w:rPr>
        <w:t xml:space="preserve"> (YJ)</w:t>
      </w:r>
    </w:p>
    <w:p w14:paraId="6EBB1547" w14:textId="10DB7877" w:rsidR="00041942" w:rsidRPr="00FB0C53" w:rsidRDefault="00EF20ED" w:rsidP="00041942">
      <w:pPr>
        <w:pStyle w:val="MDPI16affiliation"/>
        <w:rPr>
          <w:color w:val="auto"/>
          <w:lang w:val="en-GB"/>
        </w:rPr>
      </w:pPr>
      <w:r w:rsidRPr="00FB0C53">
        <w:rPr>
          <w:color w:val="auto"/>
          <w:vertAlign w:val="superscript"/>
          <w:lang w:val="en-GB"/>
        </w:rPr>
        <w:t>1</w:t>
      </w:r>
      <w:r w:rsidR="00C14FAF">
        <w:rPr>
          <w:color w:val="auto"/>
          <w:vertAlign w:val="superscript"/>
          <w:lang w:val="en-GB"/>
        </w:rPr>
        <w:t>1</w:t>
      </w:r>
      <w:r w:rsidR="00041942" w:rsidRPr="00FB0C53">
        <w:rPr>
          <w:color w:val="auto"/>
          <w:lang w:val="en-GB"/>
        </w:rPr>
        <w:t xml:space="preserve"> School of Public Health, University of the Western Cape, Cape Town, South Africa</w:t>
      </w:r>
      <w:r w:rsidR="00C83526" w:rsidRPr="00FB0C53">
        <w:rPr>
          <w:color w:val="auto"/>
          <w:lang w:val="en-GB"/>
        </w:rPr>
        <w:t xml:space="preserve">. Email: </w:t>
      </w:r>
      <w:hyperlink r:id="rId13" w:history="1">
        <w:r w:rsidR="00C83526" w:rsidRPr="00FB0C53">
          <w:rPr>
            <w:rStyle w:val="Hyperlink"/>
            <w:color w:val="auto"/>
            <w:u w:val="none"/>
            <w:lang w:val="en-GB"/>
          </w:rPr>
          <w:t>recoetzee@uwc.ac.za</w:t>
        </w:r>
      </w:hyperlink>
      <w:r w:rsidR="00C83526" w:rsidRPr="00FB0C53">
        <w:rPr>
          <w:color w:val="auto"/>
          <w:lang w:val="en-GB"/>
        </w:rPr>
        <w:t xml:space="preserve"> (RC)</w:t>
      </w:r>
    </w:p>
    <w:p w14:paraId="0186D6E6" w14:textId="4EA92CB2" w:rsidR="003F1C43" w:rsidRPr="00F808CE" w:rsidRDefault="003F1C43" w:rsidP="00041942">
      <w:pPr>
        <w:pStyle w:val="MDPI16affiliation"/>
        <w:rPr>
          <w:color w:val="auto"/>
          <w:lang w:val="fr-CD"/>
        </w:rPr>
      </w:pPr>
      <w:r w:rsidRPr="00FB0C53">
        <w:rPr>
          <w:color w:val="auto"/>
          <w:vertAlign w:val="superscript"/>
          <w:lang w:val="en-GB"/>
        </w:rPr>
        <w:t>1</w:t>
      </w:r>
      <w:r w:rsidR="00C14FAF">
        <w:rPr>
          <w:color w:val="auto"/>
          <w:vertAlign w:val="superscript"/>
          <w:lang w:val="en-GB"/>
        </w:rPr>
        <w:t>2</w:t>
      </w:r>
      <w:r w:rsidR="00EF20ED" w:rsidRPr="00FB0C53">
        <w:rPr>
          <w:color w:val="auto"/>
          <w:lang w:val="en-GB"/>
        </w:rPr>
        <w:t xml:space="preserve">National Department of Health, Pretoria, South Africa. </w:t>
      </w:r>
      <w:proofErr w:type="gramStart"/>
      <w:r w:rsidR="00EF20ED" w:rsidRPr="00F808CE">
        <w:rPr>
          <w:color w:val="auto"/>
          <w:lang w:val="fr-CD"/>
        </w:rPr>
        <w:t>Email:</w:t>
      </w:r>
      <w:proofErr w:type="gramEnd"/>
      <w:r w:rsidR="00EF20ED" w:rsidRPr="00F808CE">
        <w:rPr>
          <w:color w:val="auto"/>
          <w:lang w:val="fr-CD"/>
        </w:rPr>
        <w:t xml:space="preserve"> </w:t>
      </w:r>
      <w:hyperlink r:id="rId14" w:history="1">
        <w:r w:rsidR="00EF20ED" w:rsidRPr="00F808CE">
          <w:rPr>
            <w:rStyle w:val="Hyperlink"/>
            <w:color w:val="auto"/>
            <w:u w:val="none"/>
            <w:lang w:val="fr-CD"/>
          </w:rPr>
          <w:t>vuyomaphathwana@gmail.com</w:t>
        </w:r>
      </w:hyperlink>
      <w:r w:rsidR="00EF20ED" w:rsidRPr="00F808CE">
        <w:rPr>
          <w:color w:val="auto"/>
          <w:lang w:val="fr-CD"/>
        </w:rPr>
        <w:t xml:space="preserve"> (CM)</w:t>
      </w:r>
    </w:p>
    <w:p w14:paraId="1A2C3F87" w14:textId="4B247CBC" w:rsidR="00041942" w:rsidRPr="00F808CE" w:rsidRDefault="00041942" w:rsidP="00041942">
      <w:pPr>
        <w:pStyle w:val="MDPI16affiliation"/>
        <w:rPr>
          <w:color w:val="auto"/>
          <w:lang w:val="fr-CD"/>
        </w:rPr>
      </w:pPr>
      <w:r w:rsidRPr="00FB0C53">
        <w:rPr>
          <w:color w:val="auto"/>
          <w:vertAlign w:val="superscript"/>
          <w:lang w:val="en-GB"/>
        </w:rPr>
        <w:t>1</w:t>
      </w:r>
      <w:r w:rsidR="00C14FAF">
        <w:rPr>
          <w:color w:val="auto"/>
          <w:vertAlign w:val="superscript"/>
          <w:lang w:val="en-GB"/>
        </w:rPr>
        <w:t>3</w:t>
      </w:r>
      <w:r w:rsidRPr="00FB0C53">
        <w:rPr>
          <w:color w:val="auto"/>
          <w:lang w:val="en-GB"/>
        </w:rPr>
        <w:t xml:space="preserve"> </w:t>
      </w:r>
      <w:proofErr w:type="spellStart"/>
      <w:r w:rsidRPr="00FB0C53">
        <w:rPr>
          <w:color w:val="auto"/>
          <w:lang w:val="en-GB"/>
        </w:rPr>
        <w:t>Bodibe</w:t>
      </w:r>
      <w:proofErr w:type="spellEnd"/>
      <w:r w:rsidRPr="00FB0C53">
        <w:rPr>
          <w:color w:val="auto"/>
          <w:lang w:val="en-GB"/>
        </w:rPr>
        <w:t xml:space="preserve"> new clinic, </w:t>
      </w:r>
      <w:proofErr w:type="spellStart"/>
      <w:r w:rsidRPr="00FB0C53">
        <w:rPr>
          <w:color w:val="auto"/>
          <w:lang w:val="en-GB"/>
        </w:rPr>
        <w:t>Litchenburg</w:t>
      </w:r>
      <w:proofErr w:type="spellEnd"/>
      <w:r w:rsidRPr="00FB0C53">
        <w:rPr>
          <w:color w:val="auto"/>
          <w:lang w:val="en-GB"/>
        </w:rPr>
        <w:t>, South Africa</w:t>
      </w:r>
      <w:r w:rsidR="00C83526" w:rsidRPr="00FB0C53">
        <w:rPr>
          <w:color w:val="auto"/>
          <w:lang w:val="en-GB"/>
        </w:rPr>
        <w:t xml:space="preserve">. </w:t>
      </w:r>
      <w:proofErr w:type="gramStart"/>
      <w:r w:rsidR="00C83526" w:rsidRPr="00F808CE">
        <w:rPr>
          <w:color w:val="auto"/>
          <w:lang w:val="fr-CD"/>
        </w:rPr>
        <w:t>Email:</w:t>
      </w:r>
      <w:proofErr w:type="gramEnd"/>
      <w:r w:rsidR="00C83526" w:rsidRPr="00F808CE">
        <w:rPr>
          <w:color w:val="auto"/>
          <w:lang w:val="fr-CD"/>
        </w:rPr>
        <w:t xml:space="preserve"> </w:t>
      </w:r>
      <w:hyperlink r:id="rId15" w:history="1">
        <w:r w:rsidR="00C83526" w:rsidRPr="00F808CE">
          <w:rPr>
            <w:rStyle w:val="Hyperlink"/>
            <w:color w:val="auto"/>
            <w:u w:val="none"/>
            <w:lang w:val="fr-CD"/>
          </w:rPr>
          <w:t>molokophaho@gmail.com</w:t>
        </w:r>
      </w:hyperlink>
      <w:r w:rsidR="00C83526" w:rsidRPr="00F808CE">
        <w:rPr>
          <w:color w:val="auto"/>
          <w:lang w:val="fr-CD"/>
        </w:rPr>
        <w:t xml:space="preserve"> (MP)</w:t>
      </w:r>
    </w:p>
    <w:p w14:paraId="2E8DE5E7" w14:textId="2E3192F1" w:rsidR="00041942" w:rsidRPr="00FB0C53" w:rsidRDefault="00041942" w:rsidP="0039646E">
      <w:pPr>
        <w:pStyle w:val="MDPI16affiliation"/>
        <w:rPr>
          <w:color w:val="auto"/>
          <w:lang w:val="en-GB"/>
        </w:rPr>
      </w:pPr>
      <w:r w:rsidRPr="00FB0C53">
        <w:rPr>
          <w:color w:val="auto"/>
          <w:vertAlign w:val="superscript"/>
          <w:lang w:val="en-GB"/>
        </w:rPr>
        <w:t>1</w:t>
      </w:r>
      <w:r w:rsidR="00C14FAF">
        <w:rPr>
          <w:color w:val="auto"/>
          <w:vertAlign w:val="superscript"/>
          <w:lang w:val="en-GB"/>
        </w:rPr>
        <w:t>4</w:t>
      </w:r>
      <w:r w:rsidRPr="00FB0C53">
        <w:rPr>
          <w:color w:val="auto"/>
          <w:lang w:val="en-GB"/>
        </w:rPr>
        <w:t xml:space="preserve"> Mangaung Metro District Health Services, Bloemfontein, South Africa</w:t>
      </w:r>
      <w:r w:rsidR="00C83526" w:rsidRPr="00FB0C53">
        <w:rPr>
          <w:color w:val="auto"/>
          <w:lang w:val="en-GB"/>
        </w:rPr>
        <w:t xml:space="preserve">. Email: </w:t>
      </w:r>
      <w:hyperlink r:id="rId16" w:history="1">
        <w:r w:rsidR="0039646E" w:rsidRPr="00FF05F0">
          <w:rPr>
            <w:rStyle w:val="Hyperlink"/>
            <w:sz w:val="18"/>
          </w:rPr>
          <w:t>MalebacoBP@fshealth.gov.za</w:t>
        </w:r>
      </w:hyperlink>
      <w:r w:rsidR="0039646E">
        <w:t xml:space="preserve"> </w:t>
      </w:r>
      <w:r w:rsidR="00C83526" w:rsidRPr="00FB0C53">
        <w:rPr>
          <w:color w:val="auto"/>
          <w:lang w:val="en-GB"/>
        </w:rPr>
        <w:t>(PM)</w:t>
      </w:r>
    </w:p>
    <w:p w14:paraId="14B989D1" w14:textId="01E96795" w:rsidR="00041942" w:rsidRPr="00F808CE" w:rsidRDefault="00041942" w:rsidP="00041942">
      <w:pPr>
        <w:pStyle w:val="MDPI16affiliation"/>
        <w:rPr>
          <w:color w:val="auto"/>
          <w:lang w:val="fr-CD"/>
        </w:rPr>
      </w:pPr>
      <w:r w:rsidRPr="00FB0C53">
        <w:rPr>
          <w:color w:val="auto"/>
          <w:vertAlign w:val="superscript"/>
          <w:lang w:val="en-GB"/>
        </w:rPr>
        <w:t>1</w:t>
      </w:r>
      <w:r w:rsidR="00C14FAF">
        <w:rPr>
          <w:color w:val="auto"/>
          <w:vertAlign w:val="superscript"/>
          <w:lang w:val="en-GB"/>
        </w:rPr>
        <w:t>5</w:t>
      </w:r>
      <w:r w:rsidRPr="00FB0C53">
        <w:rPr>
          <w:color w:val="auto"/>
        </w:rPr>
        <w:t xml:space="preserve"> </w:t>
      </w:r>
      <w:proofErr w:type="spellStart"/>
      <w:r w:rsidRPr="00FB0C53">
        <w:rPr>
          <w:color w:val="auto"/>
          <w:lang w:val="en-GB"/>
        </w:rPr>
        <w:t>Leratswana</w:t>
      </w:r>
      <w:proofErr w:type="spellEnd"/>
      <w:r w:rsidRPr="00FB0C53">
        <w:rPr>
          <w:color w:val="auto"/>
          <w:lang w:val="en-GB"/>
        </w:rPr>
        <w:t xml:space="preserve"> clinic, Arlington, South Africa</w:t>
      </w:r>
      <w:r w:rsidR="00C83526" w:rsidRPr="00FB0C53">
        <w:rPr>
          <w:color w:val="auto"/>
          <w:lang w:val="en-GB"/>
        </w:rPr>
        <w:t xml:space="preserve">. </w:t>
      </w:r>
      <w:proofErr w:type="gramStart"/>
      <w:r w:rsidR="00C83526" w:rsidRPr="00F808CE">
        <w:rPr>
          <w:color w:val="auto"/>
          <w:lang w:val="fr-CD"/>
        </w:rPr>
        <w:t>Email:</w:t>
      </w:r>
      <w:proofErr w:type="gramEnd"/>
      <w:r w:rsidR="00C83526" w:rsidRPr="00F808CE">
        <w:rPr>
          <w:color w:val="auto"/>
          <w:lang w:val="fr-CD"/>
        </w:rPr>
        <w:t xml:space="preserve"> </w:t>
      </w:r>
      <w:hyperlink r:id="rId17" w:history="1">
        <w:r w:rsidR="00C83526" w:rsidRPr="00F808CE">
          <w:rPr>
            <w:rStyle w:val="Hyperlink"/>
            <w:color w:val="auto"/>
            <w:u w:val="none"/>
            <w:lang w:val="fr-CD"/>
          </w:rPr>
          <w:t>nnhlapo02@gmail.com</w:t>
        </w:r>
      </w:hyperlink>
      <w:r w:rsidR="00C83526" w:rsidRPr="00F808CE">
        <w:rPr>
          <w:color w:val="auto"/>
          <w:lang w:val="fr-CD"/>
        </w:rPr>
        <w:t xml:space="preserve"> (NN)</w:t>
      </w:r>
    </w:p>
    <w:p w14:paraId="2CE8C190" w14:textId="72377081" w:rsidR="00041942" w:rsidRPr="00FB0C53" w:rsidRDefault="00041942" w:rsidP="00041942">
      <w:pPr>
        <w:pStyle w:val="MDPI16affiliation"/>
        <w:rPr>
          <w:color w:val="auto"/>
          <w:lang w:val="en-GB"/>
        </w:rPr>
      </w:pPr>
      <w:r w:rsidRPr="00FB0C53">
        <w:rPr>
          <w:color w:val="auto"/>
          <w:vertAlign w:val="superscript"/>
          <w:lang w:val="en-GB"/>
        </w:rPr>
        <w:t>1</w:t>
      </w:r>
      <w:r w:rsidR="00C14FAF">
        <w:rPr>
          <w:color w:val="auto"/>
          <w:vertAlign w:val="superscript"/>
          <w:lang w:val="en-GB"/>
        </w:rPr>
        <w:t>6</w:t>
      </w:r>
      <w:r w:rsidRPr="00FB0C53">
        <w:rPr>
          <w:color w:val="auto"/>
          <w:lang w:val="en-GB"/>
        </w:rPr>
        <w:t xml:space="preserve"> </w:t>
      </w:r>
      <w:r w:rsidR="00767233" w:rsidRPr="00767233">
        <w:rPr>
          <w:color w:val="auto"/>
          <w:lang w:val="en-GB"/>
        </w:rPr>
        <w:t>Antibiotic Policy Group, Institute for Infection and Immunity, City St. George’s, University of London, London, United Kingdom</w:t>
      </w:r>
      <w:r w:rsidR="00767233">
        <w:rPr>
          <w:color w:val="auto"/>
          <w:lang w:val="en-GB"/>
        </w:rPr>
        <w:t xml:space="preserve">. </w:t>
      </w:r>
      <w:r w:rsidR="00C83526" w:rsidRPr="00FB0C53">
        <w:rPr>
          <w:color w:val="auto"/>
          <w:lang w:val="en-GB"/>
        </w:rPr>
        <w:t xml:space="preserve">Email: </w:t>
      </w:r>
      <w:hyperlink r:id="rId18" w:history="1">
        <w:r w:rsidR="00C83526" w:rsidRPr="00FB0C53">
          <w:rPr>
            <w:rStyle w:val="Hyperlink"/>
            <w:color w:val="auto"/>
            <w:u w:val="none"/>
            <w:lang w:val="en-GB"/>
          </w:rPr>
          <w:t>fdjukic@citystgeorges.ac.uk</w:t>
        </w:r>
      </w:hyperlink>
      <w:r w:rsidR="00C83526" w:rsidRPr="00FB0C53">
        <w:rPr>
          <w:color w:val="auto"/>
          <w:lang w:val="en-GB"/>
        </w:rPr>
        <w:t xml:space="preserve"> (FD); </w:t>
      </w:r>
      <w:hyperlink r:id="rId19" w:history="1">
        <w:r w:rsidR="00734AC1" w:rsidRPr="00FB0C53">
          <w:rPr>
            <w:rStyle w:val="Hyperlink"/>
            <w:color w:val="auto"/>
            <w:u w:val="none"/>
            <w:lang w:val="en-GB"/>
          </w:rPr>
          <w:t>aheath@citystgeorges.ac.uk</w:t>
        </w:r>
      </w:hyperlink>
      <w:r w:rsidR="00734AC1" w:rsidRPr="00FB0C53">
        <w:rPr>
          <w:color w:val="auto"/>
          <w:lang w:val="en-GB"/>
        </w:rPr>
        <w:t xml:space="preserve"> (AH); </w:t>
      </w:r>
      <w:hyperlink r:id="rId20" w:history="1">
        <w:r w:rsidR="00734AC1" w:rsidRPr="00FB0C53">
          <w:rPr>
            <w:rStyle w:val="Hyperlink"/>
            <w:color w:val="auto"/>
            <w:u w:val="none"/>
            <w:lang w:val="en-GB"/>
          </w:rPr>
          <w:t>aicook@citystgeorges.ac.uk</w:t>
        </w:r>
      </w:hyperlink>
      <w:r w:rsidR="00734AC1" w:rsidRPr="00FB0C53">
        <w:rPr>
          <w:color w:val="auto"/>
          <w:lang w:val="en-GB"/>
        </w:rPr>
        <w:t xml:space="preserve"> (AC)</w:t>
      </w:r>
      <w:r w:rsidR="006763EA">
        <w:rPr>
          <w:color w:val="auto"/>
          <w:lang w:val="en-GB"/>
        </w:rPr>
        <w:t xml:space="preserve">; </w:t>
      </w:r>
      <w:hyperlink r:id="rId21" w:history="1">
        <w:r w:rsidR="006763EA" w:rsidRPr="00D549C4">
          <w:rPr>
            <w:rStyle w:val="Hyperlink"/>
            <w:lang w:val="en-GB"/>
          </w:rPr>
          <w:t>gkumar@citystgeorges.ac.uk</w:t>
        </w:r>
      </w:hyperlink>
      <w:r w:rsidR="006763EA">
        <w:rPr>
          <w:color w:val="auto"/>
          <w:lang w:val="en-GB"/>
        </w:rPr>
        <w:t xml:space="preserve"> (GK)</w:t>
      </w:r>
    </w:p>
    <w:p w14:paraId="15F3438A" w14:textId="2AE1C7D8" w:rsidR="003F1C43" w:rsidRPr="00FB0C53" w:rsidRDefault="00041942" w:rsidP="00767233">
      <w:pPr>
        <w:pStyle w:val="MDPI16affiliation"/>
        <w:rPr>
          <w:color w:val="auto"/>
          <w:lang w:val="en-GB"/>
        </w:rPr>
      </w:pPr>
      <w:r w:rsidRPr="00FB0C53">
        <w:rPr>
          <w:color w:val="auto"/>
          <w:vertAlign w:val="superscript"/>
          <w:lang w:val="en-GB"/>
        </w:rPr>
        <w:t>1</w:t>
      </w:r>
      <w:r w:rsidR="00C14FAF">
        <w:rPr>
          <w:color w:val="auto"/>
          <w:vertAlign w:val="superscript"/>
          <w:lang w:val="en-GB"/>
        </w:rPr>
        <w:t>7</w:t>
      </w:r>
      <w:r w:rsidRPr="00FB0C53">
        <w:rPr>
          <w:color w:val="auto"/>
          <w:lang w:val="en-GB"/>
        </w:rPr>
        <w:t xml:space="preserve"> School of Health Sciences, University of Manchester, Manchester, United Kingdom</w:t>
      </w:r>
      <w:r w:rsidR="00E77D68">
        <w:rPr>
          <w:color w:val="auto"/>
          <w:lang w:val="en-GB"/>
        </w:rPr>
        <w:t xml:space="preserve">. Email: </w:t>
      </w:r>
      <w:hyperlink r:id="rId22" w:history="1">
        <w:r w:rsidR="00E77D68" w:rsidRPr="005D0D74">
          <w:rPr>
            <w:rStyle w:val="Hyperlink"/>
            <w:lang w:val="en-GB"/>
          </w:rPr>
          <w:t>stephen.campbell@manchester.ac.uk</w:t>
        </w:r>
      </w:hyperlink>
      <w:r w:rsidR="00E77D68">
        <w:rPr>
          <w:color w:val="auto"/>
          <w:lang w:val="en-GB"/>
        </w:rPr>
        <w:t xml:space="preserve"> </w:t>
      </w:r>
    </w:p>
    <w:p w14:paraId="276DB3A6" w14:textId="6BEB79B6" w:rsidR="00041942" w:rsidRPr="00FB0C53" w:rsidRDefault="00041942" w:rsidP="00041942">
      <w:pPr>
        <w:pStyle w:val="MDPI16affiliation"/>
        <w:rPr>
          <w:color w:val="auto"/>
          <w:lang w:val="en-GB"/>
        </w:rPr>
      </w:pPr>
      <w:r w:rsidRPr="00FB0C53">
        <w:rPr>
          <w:color w:val="auto"/>
          <w:vertAlign w:val="superscript"/>
          <w:lang w:val="en-GB"/>
        </w:rPr>
        <w:t>1</w:t>
      </w:r>
      <w:r w:rsidR="00C14FAF">
        <w:rPr>
          <w:color w:val="auto"/>
          <w:vertAlign w:val="superscript"/>
          <w:lang w:val="en-GB"/>
        </w:rPr>
        <w:t>8</w:t>
      </w:r>
      <w:r w:rsidRPr="00FB0C53">
        <w:rPr>
          <w:color w:val="auto"/>
          <w:vertAlign w:val="superscript"/>
          <w:lang w:val="en-GB"/>
        </w:rPr>
        <w:t xml:space="preserve"> </w:t>
      </w:r>
      <w:r w:rsidRPr="00FB0C53">
        <w:rPr>
          <w:color w:val="auto"/>
          <w:lang w:val="en-GB"/>
        </w:rPr>
        <w:t>Division of Infectious Diseases and HIV Medicine, Department of Medicine, Groote Schuur Hospital, University of Cape Town, Cape Town, South Africa</w:t>
      </w:r>
      <w:r w:rsidR="00734AC1" w:rsidRPr="00FB0C53">
        <w:rPr>
          <w:color w:val="auto"/>
          <w:lang w:val="en-GB"/>
        </w:rPr>
        <w:t xml:space="preserve">. Email: </w:t>
      </w:r>
      <w:hyperlink r:id="rId23" w:history="1">
        <w:r w:rsidR="00734AC1" w:rsidRPr="00FB0C53">
          <w:rPr>
            <w:rStyle w:val="Hyperlink"/>
            <w:color w:val="auto"/>
            <w:u w:val="none"/>
            <w:lang w:val="en-GB"/>
          </w:rPr>
          <w:t>Marc.mendelson@uct.ac.za</w:t>
        </w:r>
      </w:hyperlink>
      <w:r w:rsidR="00734AC1" w:rsidRPr="00FB0C53">
        <w:rPr>
          <w:color w:val="auto"/>
          <w:lang w:val="en-GB"/>
        </w:rPr>
        <w:t xml:space="preserve"> (MM)</w:t>
      </w:r>
    </w:p>
    <w:p w14:paraId="3537A280" w14:textId="77777777" w:rsidR="00041942" w:rsidRPr="003D4CE1" w:rsidRDefault="00041942" w:rsidP="007713AF">
      <w:pPr>
        <w:pStyle w:val="MDPI16affiliation"/>
      </w:pPr>
    </w:p>
    <w:p w14:paraId="621CD489" w14:textId="3A27FA3A" w:rsidR="007713AF" w:rsidRPr="00530531" w:rsidRDefault="007713AF" w:rsidP="007713AF">
      <w:pPr>
        <w:pStyle w:val="MDPI16affiliation"/>
        <w:rPr>
          <w:szCs w:val="16"/>
        </w:rPr>
      </w:pPr>
      <w:r w:rsidRPr="003D4CE1">
        <w:rPr>
          <w:b/>
        </w:rPr>
        <w:t>*</w:t>
      </w:r>
      <w:r w:rsidRPr="003D4CE1">
        <w:tab/>
      </w:r>
      <w:r w:rsidRPr="00530531">
        <w:rPr>
          <w:szCs w:val="16"/>
        </w:rPr>
        <w:t>Correspondence:</w:t>
      </w:r>
      <w:r w:rsidR="00530531" w:rsidRPr="00530531">
        <w:rPr>
          <w:szCs w:val="16"/>
        </w:rPr>
        <w:t xml:space="preserve"> </w:t>
      </w:r>
      <w:hyperlink r:id="rId24" w:history="1">
        <w:r w:rsidR="00530531" w:rsidRPr="00530531">
          <w:rPr>
            <w:rStyle w:val="Hyperlink"/>
            <w:color w:val="auto"/>
            <w:szCs w:val="16"/>
            <w:u w:val="none"/>
            <w:bdr w:val="none" w:sz="0" w:space="0" w:color="auto" w:frame="1"/>
            <w:shd w:val="clear" w:color="auto" w:fill="FFFFFF"/>
            <w:lang w:val="en-GB"/>
          </w:rPr>
          <w:t>audrey.chigome@smu.ac.za</w:t>
        </w:r>
      </w:hyperlink>
      <w:r w:rsidR="00FB0C53" w:rsidRPr="00530531">
        <w:rPr>
          <w:color w:val="auto"/>
          <w:szCs w:val="16"/>
          <w:lang w:val="en-GB"/>
        </w:rPr>
        <w:t xml:space="preserve">; </w:t>
      </w:r>
      <w:r w:rsidR="00734AC1" w:rsidRPr="00530531">
        <w:rPr>
          <w:szCs w:val="16"/>
        </w:rPr>
        <w:t>brian.godman@smu.ac.za</w:t>
      </w:r>
    </w:p>
    <w:p w14:paraId="68C37FC2" w14:textId="77777777" w:rsidR="00041942" w:rsidRDefault="00041942" w:rsidP="00041942">
      <w:pPr>
        <w:pStyle w:val="MDPI16affiliation"/>
        <w:rPr>
          <w:bCs/>
          <w:szCs w:val="16"/>
          <w:lang w:val="en-GB"/>
        </w:rPr>
      </w:pPr>
      <w:r w:rsidRPr="00530531">
        <w:rPr>
          <w:b/>
          <w:szCs w:val="16"/>
          <w:vertAlign w:val="superscript"/>
          <w:lang w:val="en-GB"/>
        </w:rPr>
        <w:t xml:space="preserve">† </w:t>
      </w:r>
      <w:r w:rsidRPr="00530531">
        <w:rPr>
          <w:bCs/>
          <w:szCs w:val="16"/>
          <w:lang w:val="en-GB"/>
        </w:rPr>
        <w:t>RAND/UCLA Appropriateness Method (RAM) Panel</w:t>
      </w:r>
    </w:p>
    <w:p w14:paraId="79C01C6B" w14:textId="77777777" w:rsidR="004D30A7" w:rsidRPr="004D30A7" w:rsidRDefault="004D30A7" w:rsidP="00041942">
      <w:pPr>
        <w:pStyle w:val="MDPI16affiliation"/>
        <w:rPr>
          <w:b/>
          <w:sz w:val="20"/>
          <w:szCs w:val="20"/>
          <w:vertAlign w:val="superscript"/>
          <w:lang w:val="en-GB"/>
        </w:rPr>
      </w:pPr>
    </w:p>
    <w:p w14:paraId="1C5C478D" w14:textId="53C60EFD" w:rsidR="004D30A7" w:rsidRPr="004D30A7" w:rsidRDefault="004D30A7" w:rsidP="00041942">
      <w:pPr>
        <w:pStyle w:val="MDPI16affiliation"/>
        <w:rPr>
          <w:bCs/>
          <w:sz w:val="22"/>
          <w:szCs w:val="22"/>
          <w:vertAlign w:val="superscript"/>
          <w:lang w:val="en-GB"/>
        </w:rPr>
      </w:pPr>
      <w:r w:rsidRPr="004D30A7">
        <w:rPr>
          <w:bCs/>
          <w:sz w:val="22"/>
          <w:szCs w:val="22"/>
          <w:vertAlign w:val="superscript"/>
          <w:lang w:val="en-GB"/>
        </w:rPr>
        <w:t>(Accepted for publication)</w:t>
      </w:r>
    </w:p>
    <w:p w14:paraId="5740A0AC" w14:textId="2F0926B2" w:rsidR="00041942" w:rsidRPr="003D4CE1" w:rsidRDefault="00041942" w:rsidP="007713AF">
      <w:pPr>
        <w:pStyle w:val="MDPI16affiliation"/>
      </w:pPr>
    </w:p>
    <w:p w14:paraId="37EC5534" w14:textId="77777777" w:rsidR="004D30A7" w:rsidRDefault="004D30A7">
      <w:pPr>
        <w:spacing w:line="240" w:lineRule="auto"/>
        <w:jc w:val="left"/>
        <w:rPr>
          <w:rFonts w:eastAsia="Times New Roman"/>
          <w:b/>
          <w:szCs w:val="18"/>
          <w:lang w:eastAsia="de-DE" w:bidi="en-US"/>
        </w:rPr>
      </w:pPr>
      <w:r>
        <w:rPr>
          <w:b/>
          <w:szCs w:val="18"/>
        </w:rPr>
        <w:br w:type="page"/>
      </w:r>
    </w:p>
    <w:p w14:paraId="0712750C" w14:textId="044A780E" w:rsidR="00116A34" w:rsidRPr="00116A34" w:rsidRDefault="00166B96" w:rsidP="00116A34">
      <w:pPr>
        <w:pStyle w:val="MDPI17abstract"/>
        <w:jc w:val="left"/>
        <w:rPr>
          <w:b/>
          <w:szCs w:val="18"/>
        </w:rPr>
      </w:pPr>
      <w:r w:rsidRPr="00116A34">
        <w:rPr>
          <w:b/>
          <w:szCs w:val="18"/>
        </w:rPr>
        <w:lastRenderedPageBreak/>
        <w:t>Abstract</w:t>
      </w:r>
    </w:p>
    <w:p w14:paraId="6A2108B3" w14:textId="7D8494B8" w:rsidR="00166B96" w:rsidRPr="003D4CE1" w:rsidRDefault="00166B96" w:rsidP="00116A34">
      <w:pPr>
        <w:pStyle w:val="MDPI17abstract"/>
        <w:spacing w:before="0" w:after="0"/>
        <w:rPr>
          <w:rFonts w:eastAsiaTheme="minorEastAsia"/>
          <w:szCs w:val="18"/>
          <w:lang w:eastAsia="zh-CN"/>
        </w:rPr>
      </w:pPr>
      <w:bookmarkStart w:id="1" w:name="_Hlk216415790"/>
      <w:r w:rsidRPr="003D4CE1">
        <w:rPr>
          <w:b/>
          <w:bCs/>
        </w:rPr>
        <w:t>B</w:t>
      </w:r>
      <w:bookmarkStart w:id="2" w:name="_Hlk216415996"/>
      <w:r w:rsidRPr="003D4CE1">
        <w:rPr>
          <w:b/>
          <w:bCs/>
        </w:rPr>
        <w:t>ackground/Objectives</w:t>
      </w:r>
      <w:r w:rsidRPr="003D4CE1">
        <w:t xml:space="preserve">: </w:t>
      </w:r>
      <w:r w:rsidR="00C41638" w:rsidRPr="00C41638">
        <w:t xml:space="preserve">The overuse and misuse of antibiotics contribute to antimicrobial resistance (AMR) globally. The appropriateness of antibiotic prescribing at the primary healthcare (PHC) level must be </w:t>
      </w:r>
      <w:r w:rsidR="00634995">
        <w:t>urgently addressed</w:t>
      </w:r>
      <w:r w:rsidR="00C41638" w:rsidRPr="00C41638">
        <w:t xml:space="preserve"> to</w:t>
      </w:r>
      <w:r w:rsidR="00634995">
        <w:t xml:space="preserve"> reduce </w:t>
      </w:r>
      <w:r w:rsidR="00C41638" w:rsidRPr="00C41638">
        <w:t xml:space="preserve">high </w:t>
      </w:r>
      <w:r w:rsidR="00634995">
        <w:t xml:space="preserve">levels of </w:t>
      </w:r>
      <w:r w:rsidR="00C41638" w:rsidRPr="00C41638">
        <w:t xml:space="preserve">inappropriate </w:t>
      </w:r>
      <w:r w:rsidR="00634995">
        <w:t>antibiotic prescribing and associated AMR</w:t>
      </w:r>
      <w:r w:rsidR="00C41638" w:rsidRPr="00C41638">
        <w:t>.</w:t>
      </w:r>
      <w:r w:rsidRPr="003D4CE1">
        <w:t xml:space="preserve"> </w:t>
      </w:r>
      <w:r w:rsidR="00375FEA" w:rsidRPr="00375FEA">
        <w:t xml:space="preserve">This study aimed to develop quality indicators, based on the World Health </w:t>
      </w:r>
      <w:r w:rsidR="003E7AA9" w:rsidRPr="00375FEA">
        <w:t>Organization</w:t>
      </w:r>
      <w:r w:rsidR="00375FEA" w:rsidRPr="00375FEA">
        <w:t xml:space="preserve"> (WHO)’s Access, Watch, Reserve (AWaRe) guidance, to assess the appropriateness and quality </w:t>
      </w:r>
      <w:r w:rsidR="00490760">
        <w:t xml:space="preserve">regarding </w:t>
      </w:r>
      <w:r w:rsidR="00375FEA" w:rsidRPr="00375FEA">
        <w:t>antibiotic prescribing in public PHC settings in South Africa.</w:t>
      </w:r>
      <w:r w:rsidR="00375FEA">
        <w:t xml:space="preserve"> </w:t>
      </w:r>
      <w:r w:rsidRPr="003D4CE1">
        <w:rPr>
          <w:b/>
          <w:bCs/>
        </w:rPr>
        <w:t>Methods</w:t>
      </w:r>
      <w:r w:rsidRPr="003D4CE1">
        <w:t xml:space="preserve">: </w:t>
      </w:r>
      <w:r w:rsidR="005859AA" w:rsidRPr="005859AA">
        <w:t xml:space="preserve">Potential indicators were identified from indicators developed by City St George’s, University of London (SGUL); a review of AWaRe based indicators; and </w:t>
      </w:r>
      <w:r w:rsidR="000F5362">
        <w:t xml:space="preserve">the </w:t>
      </w:r>
      <w:r w:rsidR="005859AA" w:rsidRPr="005859AA">
        <w:t xml:space="preserve">results from point prevalence surveys </w:t>
      </w:r>
      <w:r w:rsidR="00490760">
        <w:t>a</w:t>
      </w:r>
      <w:r w:rsidR="000509FE">
        <w:t>t</w:t>
      </w:r>
      <w:r w:rsidR="005859AA" w:rsidRPr="005859AA">
        <w:t xml:space="preserve"> PHC clinics in </w:t>
      </w:r>
      <w:r w:rsidR="00490760">
        <w:t>South Africa</w:t>
      </w:r>
      <w:r w:rsidR="005859AA" w:rsidRPr="005859AA">
        <w:t xml:space="preserve">. The indicators were developed using the RAND/UCLA </w:t>
      </w:r>
      <w:r w:rsidR="00B96236">
        <w:t>A</w:t>
      </w:r>
      <w:r w:rsidR="005859AA" w:rsidRPr="005859AA">
        <w:t xml:space="preserve">ppropriateness </w:t>
      </w:r>
      <w:r w:rsidR="00B96236">
        <w:t>M</w:t>
      </w:r>
      <w:r w:rsidR="005859AA" w:rsidRPr="005859AA">
        <w:t>ethod. In Round 1, 12 experts individually rated 78 indicators for clarity and appropriateness. In Round 2, 10 experts rated 89 indicators for appropriateness and feasibility during an interactive online meeting.</w:t>
      </w:r>
      <w:r w:rsidRPr="003D4CE1">
        <w:t xml:space="preserve"> </w:t>
      </w:r>
      <w:r w:rsidRPr="003D4CE1">
        <w:rPr>
          <w:b/>
          <w:bCs/>
        </w:rPr>
        <w:t>Results</w:t>
      </w:r>
      <w:r w:rsidRPr="003D4CE1">
        <w:t xml:space="preserve">: </w:t>
      </w:r>
      <w:r w:rsidR="00794066" w:rsidRPr="00794066">
        <w:t xml:space="preserve">The final set had 61 indicators (68.5%) that were rated both appropriate and feasible with agreement. </w:t>
      </w:r>
      <w:r w:rsidR="000F5362">
        <w:t>D</w:t>
      </w:r>
      <w:r w:rsidR="00794066" w:rsidRPr="00794066">
        <w:t>ental infection</w:t>
      </w:r>
      <w:r w:rsidR="000F5362">
        <w:t>s</w:t>
      </w:r>
      <w:r w:rsidR="00794066" w:rsidRPr="00794066">
        <w:t xml:space="preserve"> (n=9; 100%) a</w:t>
      </w:r>
      <w:r w:rsidR="000F5362">
        <w:t>longside</w:t>
      </w:r>
      <w:r w:rsidR="00794066" w:rsidRPr="00794066">
        <w:t xml:space="preserve"> skin and soft tissue infection</w:t>
      </w:r>
      <w:r w:rsidR="00490760">
        <w:t>s</w:t>
      </w:r>
      <w:r w:rsidR="00794066" w:rsidRPr="00794066">
        <w:t xml:space="preserve"> (n=11; 84.6%) had the highest percentage of indicators that were rated appropriate and feasible with agreement. </w:t>
      </w:r>
      <w:r w:rsidR="000F5362">
        <w:t>L</w:t>
      </w:r>
      <w:r w:rsidR="00794066" w:rsidRPr="00794066">
        <w:t>ower urinary tract infection</w:t>
      </w:r>
      <w:r w:rsidR="000F5362">
        <w:t>s</w:t>
      </w:r>
      <w:r w:rsidR="00F05A21">
        <w:t xml:space="preserve"> </w:t>
      </w:r>
      <w:r w:rsidR="00794066" w:rsidRPr="00794066">
        <w:t xml:space="preserve">(n=6; 54.5%) and general (n=4; 50%) categories had the lowest percentage of indicators rated appropriate and feasible with agreement. </w:t>
      </w:r>
      <w:r w:rsidRPr="003D4CE1">
        <w:rPr>
          <w:b/>
          <w:bCs/>
        </w:rPr>
        <w:t>Conclusions</w:t>
      </w:r>
      <w:r w:rsidRPr="003D4CE1">
        <w:t xml:space="preserve">: </w:t>
      </w:r>
      <w:r w:rsidR="00F31EE2" w:rsidRPr="00F31EE2">
        <w:t xml:space="preserve">The </w:t>
      </w:r>
      <w:r w:rsidR="000F5362">
        <w:t xml:space="preserve">process proved valuable </w:t>
      </w:r>
      <w:r w:rsidR="000509FE">
        <w:t>in</w:t>
      </w:r>
      <w:r w:rsidR="000F5362">
        <w:t xml:space="preserve"> developing potential </w:t>
      </w:r>
      <w:r w:rsidR="00F31EE2" w:rsidRPr="00F31EE2">
        <w:t xml:space="preserve">indicators </w:t>
      </w:r>
      <w:r w:rsidR="00490760">
        <w:t xml:space="preserve">for </w:t>
      </w:r>
      <w:r w:rsidR="00F31EE2" w:rsidRPr="00F31EE2">
        <w:t>use in future antimicrobial stewardship programmes to</w:t>
      </w:r>
      <w:r w:rsidR="000F5362">
        <w:t xml:space="preserve"> </w:t>
      </w:r>
      <w:r w:rsidR="00F31EE2" w:rsidRPr="00F31EE2">
        <w:t>improve antibiotic prescribing in public sector PHC facilities in South Africa</w:t>
      </w:r>
      <w:r w:rsidR="000F5362">
        <w:t xml:space="preserve"> and wider</w:t>
      </w:r>
      <w:bookmarkEnd w:id="1"/>
      <w:r w:rsidR="00F31EE2" w:rsidRPr="00F31EE2">
        <w:t>.</w:t>
      </w:r>
    </w:p>
    <w:bookmarkEnd w:id="2"/>
    <w:p w14:paraId="1057B5D7" w14:textId="10F820C6" w:rsidR="007713AF" w:rsidRPr="003D4CE1" w:rsidRDefault="007713AF" w:rsidP="00517440">
      <w:pPr>
        <w:pStyle w:val="MDPI18keywords"/>
        <w:rPr>
          <w:szCs w:val="18"/>
        </w:rPr>
      </w:pPr>
      <w:r w:rsidRPr="003D4CE1">
        <w:rPr>
          <w:b/>
          <w:szCs w:val="18"/>
        </w:rPr>
        <w:t xml:space="preserve">Keywords: </w:t>
      </w:r>
      <w:r w:rsidR="004E62D1" w:rsidRPr="004E62D1">
        <w:rPr>
          <w:szCs w:val="18"/>
        </w:rPr>
        <w:t>Antimicrobial resistance; quality indicators; RAND/UCLA Appropriateness Method; primary healthcare; antibiotic prescribing; infection; antibiotic stewardship; WHO AWaRe system; South Africa</w:t>
      </w:r>
    </w:p>
    <w:p w14:paraId="0FE7A16C" w14:textId="77777777" w:rsidR="007713AF" w:rsidRPr="003D4CE1" w:rsidRDefault="007713AF" w:rsidP="00517440">
      <w:pPr>
        <w:pStyle w:val="MDPI19line"/>
      </w:pPr>
    </w:p>
    <w:p w14:paraId="4C6ACD5D" w14:textId="5A171C6B" w:rsidR="007713AF" w:rsidRPr="003D4CE1" w:rsidRDefault="007713AF" w:rsidP="00517440">
      <w:pPr>
        <w:pStyle w:val="MDPI21heading1"/>
      </w:pPr>
      <w:bookmarkStart w:id="3" w:name="_Hlk216432394"/>
      <w:r w:rsidRPr="003D4CE1">
        <w:t>1. Introduction</w:t>
      </w:r>
    </w:p>
    <w:p w14:paraId="35463E09" w14:textId="1D42B7F7" w:rsidR="00ED1B01" w:rsidRPr="00490760" w:rsidRDefault="00ED1B01" w:rsidP="00ED1B01">
      <w:pPr>
        <w:pStyle w:val="MDPI31text"/>
      </w:pPr>
      <w:bookmarkStart w:id="4" w:name="_Hlk216439932"/>
      <w:r>
        <w:t>Antibiotics play a significant role in the prevention and treatment of infections, saving millions of lives globally.</w:t>
      </w:r>
      <w:r w:rsidR="0000348D">
        <w:t xml:space="preserve"> </w:t>
      </w:r>
      <w:r w:rsidR="006855B5" w:rsidRPr="006855B5">
        <w:rPr>
          <w:vertAlign w:val="superscript"/>
        </w:rPr>
        <w:t>[1,2]</w:t>
      </w:r>
      <w:r>
        <w:t xml:space="preserve"> However, effective prevention and treatment of a range of infections is threatened by increasing rates of antimicrobial resistance (AMR) across countries</w:t>
      </w:r>
      <w:r w:rsidR="0087689A">
        <w:t>,</w:t>
      </w:r>
      <w:r>
        <w:t xml:space="preserve"> exacerbated by the overuse and misuse of antibiotics.</w:t>
      </w:r>
      <w:r w:rsidR="0000348D">
        <w:rPr>
          <w:vertAlign w:val="superscript"/>
        </w:rPr>
        <w:t>[3-9</w:t>
      </w:r>
      <w:r w:rsidR="0000348D" w:rsidRPr="006855B5">
        <w:rPr>
          <w:vertAlign w:val="superscript"/>
        </w:rPr>
        <w:t>]</w:t>
      </w:r>
      <w:r w:rsidR="0000348D">
        <w:t xml:space="preserve"> </w:t>
      </w:r>
      <w:r>
        <w:rPr>
          <w:szCs w:val="20"/>
        </w:rPr>
        <w:t xml:space="preserve">As a result, </w:t>
      </w:r>
      <w:r w:rsidRPr="00263BE1">
        <w:rPr>
          <w:szCs w:val="20"/>
        </w:rPr>
        <w:t xml:space="preserve">bacterial infections </w:t>
      </w:r>
      <w:r>
        <w:rPr>
          <w:szCs w:val="20"/>
        </w:rPr>
        <w:t xml:space="preserve">have become </w:t>
      </w:r>
      <w:r w:rsidRPr="00263BE1">
        <w:rPr>
          <w:szCs w:val="20"/>
        </w:rPr>
        <w:t xml:space="preserve">the second leading cause of death </w:t>
      </w:r>
      <w:r>
        <w:rPr>
          <w:szCs w:val="20"/>
        </w:rPr>
        <w:t>globally.</w:t>
      </w:r>
      <w:r w:rsidR="007D50E4">
        <w:rPr>
          <w:vertAlign w:val="superscript"/>
        </w:rPr>
        <w:t>[7</w:t>
      </w:r>
      <w:r w:rsidR="007D50E4" w:rsidRPr="006855B5">
        <w:rPr>
          <w:vertAlign w:val="superscript"/>
        </w:rPr>
        <w:t>]</w:t>
      </w:r>
      <w:r w:rsidR="007D50E4">
        <w:t xml:space="preserve"> </w:t>
      </w:r>
      <w:r>
        <w:rPr>
          <w:szCs w:val="20"/>
        </w:rPr>
        <w:t>E</w:t>
      </w:r>
      <w:r w:rsidRPr="00263BE1">
        <w:rPr>
          <w:szCs w:val="20"/>
        </w:rPr>
        <w:t xml:space="preserve">stimates suggest there </w:t>
      </w:r>
      <w:r>
        <w:rPr>
          <w:szCs w:val="20"/>
        </w:rPr>
        <w:t xml:space="preserve">have been </w:t>
      </w:r>
      <w:r w:rsidRPr="00263BE1">
        <w:rPr>
          <w:szCs w:val="20"/>
        </w:rPr>
        <w:t xml:space="preserve">up to 5 million deaths </w:t>
      </w:r>
      <w:r>
        <w:rPr>
          <w:szCs w:val="20"/>
        </w:rPr>
        <w:t xml:space="preserve">globally each year </w:t>
      </w:r>
      <w:r w:rsidRPr="00263BE1">
        <w:rPr>
          <w:szCs w:val="20"/>
        </w:rPr>
        <w:t>associated with bacterial resistance</w:t>
      </w:r>
      <w:r>
        <w:rPr>
          <w:szCs w:val="20"/>
        </w:rPr>
        <w:t xml:space="preserve">, and </w:t>
      </w:r>
      <w:r w:rsidRPr="00263BE1">
        <w:rPr>
          <w:szCs w:val="20"/>
        </w:rPr>
        <w:t>ri</w:t>
      </w:r>
      <w:r>
        <w:rPr>
          <w:szCs w:val="20"/>
        </w:rPr>
        <w:t xml:space="preserve">sing with increasing </w:t>
      </w:r>
      <w:r w:rsidR="007D50E4">
        <w:rPr>
          <w:szCs w:val="20"/>
        </w:rPr>
        <w:t xml:space="preserve">inappropriate </w:t>
      </w:r>
      <w:r>
        <w:rPr>
          <w:szCs w:val="20"/>
        </w:rPr>
        <w:t>antibiotic use</w:t>
      </w:r>
      <w:r w:rsidR="007D50E4">
        <w:rPr>
          <w:szCs w:val="20"/>
        </w:rPr>
        <w:t>.</w:t>
      </w:r>
      <w:r w:rsidR="007D50E4">
        <w:rPr>
          <w:vertAlign w:val="superscript"/>
        </w:rPr>
        <w:t>[10-12</w:t>
      </w:r>
      <w:r w:rsidR="007D50E4" w:rsidRPr="006855B5">
        <w:rPr>
          <w:vertAlign w:val="superscript"/>
        </w:rPr>
        <w:t>]</w:t>
      </w:r>
    </w:p>
    <w:p w14:paraId="62C6A7A6" w14:textId="3121A1CF" w:rsidR="00ED1B01" w:rsidRDefault="00ED1B01" w:rsidP="00ED1B01">
      <w:pPr>
        <w:pStyle w:val="MDPI31text"/>
      </w:pPr>
      <w:r>
        <w:t>The increase in AMR is higher among low</w:t>
      </w:r>
      <w:r w:rsidR="00844182">
        <w:t>-</w:t>
      </w:r>
      <w:r>
        <w:t xml:space="preserve"> to middle</w:t>
      </w:r>
      <w:r w:rsidR="00844182">
        <w:t>-</w:t>
      </w:r>
      <w:r>
        <w:t xml:space="preserve">income countries (LMICs), </w:t>
      </w:r>
      <w:bookmarkStart w:id="5" w:name="_Hlk216416569"/>
      <w:bookmarkStart w:id="6" w:name="_Hlk216416255"/>
      <w:r>
        <w:t>including African countries, compared with high-income countries.</w:t>
      </w:r>
      <w:r w:rsidR="00953744">
        <w:rPr>
          <w:vertAlign w:val="superscript"/>
        </w:rPr>
        <w:t>[11,13-15</w:t>
      </w:r>
      <w:r w:rsidR="00953744" w:rsidRPr="006855B5">
        <w:rPr>
          <w:vertAlign w:val="superscript"/>
        </w:rPr>
        <w:t>]</w:t>
      </w:r>
      <w:r w:rsidR="00953744">
        <w:t xml:space="preserve"> </w:t>
      </w:r>
      <w:r>
        <w:t xml:space="preserve"> </w:t>
      </w:r>
      <w:bookmarkEnd w:id="5"/>
      <w:r>
        <w:t xml:space="preserve">Similarly, the recent </w:t>
      </w:r>
      <w:r w:rsidRPr="00EA6436">
        <w:t xml:space="preserve">World Health Organization </w:t>
      </w:r>
      <w:r>
        <w:t>(WHO)’s global antibiotic resistance surveillance report shows that resistance to essential antibiotics is widespread, although unevenly distributed.</w:t>
      </w:r>
      <w:r w:rsidR="00953744">
        <w:rPr>
          <w:vertAlign w:val="superscript"/>
        </w:rPr>
        <w:t>[7</w:t>
      </w:r>
      <w:r w:rsidR="00953744" w:rsidRPr="006855B5">
        <w:rPr>
          <w:vertAlign w:val="superscript"/>
        </w:rPr>
        <w:t>]</w:t>
      </w:r>
      <w:r>
        <w:t xml:space="preserve"> As a result, increasingly compromising the effectiveness of first line antibiotics for common infections</w:t>
      </w:r>
      <w:bookmarkStart w:id="7" w:name="_Hlk216417448"/>
      <w:r>
        <w:t>.</w:t>
      </w:r>
      <w:r w:rsidR="00F66C2C">
        <w:rPr>
          <w:vertAlign w:val="superscript"/>
        </w:rPr>
        <w:t>[16</w:t>
      </w:r>
      <w:r w:rsidR="00F66C2C" w:rsidRPr="006855B5">
        <w:rPr>
          <w:vertAlign w:val="superscript"/>
        </w:rPr>
        <w:t>]</w:t>
      </w:r>
      <w:r w:rsidR="00F66C2C">
        <w:t xml:space="preserve"> </w:t>
      </w:r>
      <w:bookmarkEnd w:id="7"/>
      <w:r>
        <w:t xml:space="preserve">Increasing resistance rates are </w:t>
      </w:r>
      <w:bookmarkEnd w:id="6"/>
      <w:r>
        <w:t>enhanced by concerns with AMR surveillance and diagnostic capacity among LMICs, routine access to effective treatments, alongside the overuse of antibiotics including antibiotics from the WHO Watch and Reserve lists.</w:t>
      </w:r>
      <w:r w:rsidR="00B06DC9">
        <w:rPr>
          <w:vertAlign w:val="superscript"/>
        </w:rPr>
        <w:t>[17-22</w:t>
      </w:r>
      <w:r w:rsidR="00B06DC9" w:rsidRPr="006855B5">
        <w:rPr>
          <w:vertAlign w:val="superscript"/>
        </w:rPr>
        <w:t>]</w:t>
      </w:r>
      <w:r>
        <w:t xml:space="preserve"> As a result, in sub-Saharan Africa alone, it is projected </w:t>
      </w:r>
      <w:r w:rsidR="00E40E4F">
        <w:t xml:space="preserve">that </w:t>
      </w:r>
      <w:r>
        <w:t>there could be 4.1 million AMR-related deaths each year by 2050 unless urgent actions are undertaken.</w:t>
      </w:r>
      <w:r w:rsidR="00B06DC9">
        <w:rPr>
          <w:vertAlign w:val="superscript"/>
        </w:rPr>
        <w:t>[13</w:t>
      </w:r>
      <w:r w:rsidR="00B06DC9" w:rsidRPr="006855B5">
        <w:rPr>
          <w:vertAlign w:val="superscript"/>
        </w:rPr>
        <w:t>]</w:t>
      </w:r>
      <w:r w:rsidR="00B06DC9">
        <w:t xml:space="preserve"> </w:t>
      </w:r>
      <w:r>
        <w:t xml:space="preserve"> </w:t>
      </w:r>
    </w:p>
    <w:p w14:paraId="7A1A76F9" w14:textId="26698015" w:rsidR="00ED1B01" w:rsidRDefault="00ED1B01" w:rsidP="00ED1B01">
      <w:pPr>
        <w:pStyle w:val="MDPI31text"/>
      </w:pPr>
      <w:r>
        <w:t xml:space="preserve">To address </w:t>
      </w:r>
      <w:r w:rsidR="00697B1E">
        <w:t xml:space="preserve">rising </w:t>
      </w:r>
      <w:r>
        <w:t>AMR</w:t>
      </w:r>
      <w:r w:rsidR="00697B1E">
        <w:t xml:space="preserve"> rates</w:t>
      </w:r>
      <w:r>
        <w:t xml:space="preserve">, </w:t>
      </w:r>
      <w:r w:rsidR="00697B1E">
        <w:t xml:space="preserve">and the implications, </w:t>
      </w:r>
      <w:r>
        <w:t xml:space="preserve">many countries have developed their own National Action Plans (NAPs) based on the WHO Global Action Plan (GAP) </w:t>
      </w:r>
      <w:bookmarkStart w:id="8" w:name="_Hlk216417810"/>
      <w:r>
        <w:t xml:space="preserve">on </w:t>
      </w:r>
      <w:bookmarkStart w:id="9" w:name="_Hlk216417923"/>
      <w:r>
        <w:t>AMR (GAP-AMR).</w:t>
      </w:r>
      <w:r w:rsidR="00697B1E">
        <w:rPr>
          <w:vertAlign w:val="superscript"/>
        </w:rPr>
        <w:t>[23.24</w:t>
      </w:r>
      <w:r w:rsidR="00697B1E" w:rsidRPr="006855B5">
        <w:rPr>
          <w:vertAlign w:val="superscript"/>
        </w:rPr>
        <w:t>]</w:t>
      </w:r>
      <w:r w:rsidR="00697B1E">
        <w:t xml:space="preserve"> </w:t>
      </w:r>
      <w:bookmarkEnd w:id="8"/>
      <w:bookmarkEnd w:id="9"/>
      <w:r>
        <w:t xml:space="preserve">However, among LMICs there are gaps in their implementation due to </w:t>
      </w:r>
      <w:r w:rsidR="0067557D">
        <w:t>several</w:t>
      </w:r>
      <w:r>
        <w:t xml:space="preserve"> challenges, which include resource constraints and p</w:t>
      </w:r>
      <w:bookmarkStart w:id="10" w:name="_Hlk216417884"/>
      <w:r>
        <w:t>oor implementation strategies.</w:t>
      </w:r>
      <w:r w:rsidR="00697B1E">
        <w:rPr>
          <w:vertAlign w:val="superscript"/>
        </w:rPr>
        <w:t>[25-2</w:t>
      </w:r>
      <w:r w:rsidR="0039646E">
        <w:rPr>
          <w:vertAlign w:val="superscript"/>
        </w:rPr>
        <w:t>8</w:t>
      </w:r>
      <w:r w:rsidR="00697B1E" w:rsidRPr="006855B5">
        <w:rPr>
          <w:vertAlign w:val="superscript"/>
        </w:rPr>
        <w:t>]</w:t>
      </w:r>
      <w:r>
        <w:t xml:space="preserve"> </w:t>
      </w:r>
      <w:bookmarkEnd w:id="10"/>
      <w:r>
        <w:t xml:space="preserve">Whist the authorities in South Africa previously made progress with implementing its NAP </w:t>
      </w:r>
      <w:bookmarkStart w:id="11" w:name="_Hlk216418212"/>
      <w:r>
        <w:t xml:space="preserve">compared to other African countries, there is now an urgent need to update and reinstate the South African Antimicrobial Resistance National Strategy Framework given issues with </w:t>
      </w:r>
      <w:r w:rsidR="00E025AA">
        <w:t xml:space="preserve">the current </w:t>
      </w:r>
      <w:r>
        <w:t xml:space="preserve">lack of activities and resources, as well as concerns with rising AMR rates </w:t>
      </w:r>
      <w:r w:rsidR="00E025AA">
        <w:t xml:space="preserve">in the country </w:t>
      </w:r>
      <w:r>
        <w:t>and their implications.</w:t>
      </w:r>
      <w:r w:rsidR="00E025AA">
        <w:rPr>
          <w:vertAlign w:val="superscript"/>
        </w:rPr>
        <w:t>[2</w:t>
      </w:r>
      <w:r w:rsidR="00286749">
        <w:rPr>
          <w:vertAlign w:val="superscript"/>
        </w:rPr>
        <w:t>8</w:t>
      </w:r>
      <w:r w:rsidR="00E025AA">
        <w:rPr>
          <w:vertAlign w:val="superscript"/>
        </w:rPr>
        <w:t>-3</w:t>
      </w:r>
      <w:r w:rsidR="00286749">
        <w:rPr>
          <w:vertAlign w:val="superscript"/>
        </w:rPr>
        <w:t>1</w:t>
      </w:r>
      <w:r w:rsidR="00E025AA" w:rsidRPr="006855B5">
        <w:rPr>
          <w:vertAlign w:val="superscript"/>
        </w:rPr>
        <w:t>]</w:t>
      </w:r>
      <w:r w:rsidR="00E025AA">
        <w:t xml:space="preserve"> </w:t>
      </w:r>
      <w:bookmarkEnd w:id="11"/>
      <w:r>
        <w:t>Other key global activities to reduce AMR include the development and instigation of the WHO AWaRe category for antibiotics, which encourages increased use of Access antibiotics where pertinent with their lower resistance potential.</w:t>
      </w:r>
      <w:r w:rsidR="007A01F1">
        <w:rPr>
          <w:vertAlign w:val="superscript"/>
        </w:rPr>
        <w:t>[3</w:t>
      </w:r>
      <w:r w:rsidR="003E76BF">
        <w:rPr>
          <w:vertAlign w:val="superscript"/>
        </w:rPr>
        <w:t>2,</w:t>
      </w:r>
      <w:r w:rsidR="007A01F1">
        <w:rPr>
          <w:vertAlign w:val="superscript"/>
        </w:rPr>
        <w:t>3</w:t>
      </w:r>
      <w:r w:rsidR="003E76BF">
        <w:rPr>
          <w:vertAlign w:val="superscript"/>
        </w:rPr>
        <w:t>3</w:t>
      </w:r>
      <w:r w:rsidR="007A01F1" w:rsidRPr="006855B5">
        <w:rPr>
          <w:vertAlign w:val="superscript"/>
        </w:rPr>
        <w:t>]</w:t>
      </w:r>
    </w:p>
    <w:p w14:paraId="64532F55" w14:textId="03956734" w:rsidR="00ED1B01" w:rsidRDefault="00ED1B01" w:rsidP="00ED1B01">
      <w:pPr>
        <w:pStyle w:val="MDPI31text"/>
      </w:pPr>
      <w:r>
        <w:t xml:space="preserve">As mentioned, a key concern among LMICs adding to AMR is the increasing use of antibiotics from the Watch and Reserve </w:t>
      </w:r>
      <w:bookmarkStart w:id="12" w:name="_Hlk216420040"/>
      <w:r w:rsidR="005411BF">
        <w:t>categories</w:t>
      </w:r>
      <w:bookmarkEnd w:id="12"/>
      <w:r>
        <w:t>.</w:t>
      </w:r>
      <w:r w:rsidR="0088373E" w:rsidRPr="0088373E">
        <w:rPr>
          <w:vertAlign w:val="superscript"/>
        </w:rPr>
        <w:t xml:space="preserve"> </w:t>
      </w:r>
      <w:r w:rsidR="0088373E">
        <w:rPr>
          <w:vertAlign w:val="superscript"/>
        </w:rPr>
        <w:t>[20-22,3</w:t>
      </w:r>
      <w:r w:rsidR="00297A9C">
        <w:rPr>
          <w:vertAlign w:val="superscript"/>
        </w:rPr>
        <w:t>4</w:t>
      </w:r>
      <w:r w:rsidR="0088373E">
        <w:rPr>
          <w:vertAlign w:val="superscript"/>
        </w:rPr>
        <w:t>,3</w:t>
      </w:r>
      <w:r w:rsidR="00297A9C">
        <w:rPr>
          <w:vertAlign w:val="superscript"/>
        </w:rPr>
        <w:t>5</w:t>
      </w:r>
      <w:r w:rsidR="0088373E" w:rsidRPr="006855B5">
        <w:rPr>
          <w:vertAlign w:val="superscript"/>
        </w:rPr>
        <w:t>]</w:t>
      </w:r>
      <w:r>
        <w:t xml:space="preserve"> This is also seen in South Africa. Overall, there was a 50% increase from 17.9 Defined Daily Doses per 1000/population per day in antibiotic use between 2018</w:t>
      </w:r>
      <w:r w:rsidR="005411BF">
        <w:t xml:space="preserve"> and </w:t>
      </w:r>
      <w:r>
        <w:t>2022,</w:t>
      </w:r>
      <w:r w:rsidR="0088373E">
        <w:rPr>
          <w:vertAlign w:val="superscript"/>
        </w:rPr>
        <w:t>[3</w:t>
      </w:r>
      <w:r w:rsidR="00297A9C">
        <w:rPr>
          <w:vertAlign w:val="superscript"/>
        </w:rPr>
        <w:t>6</w:t>
      </w:r>
      <w:r w:rsidR="0088373E" w:rsidRPr="006855B5">
        <w:rPr>
          <w:vertAlign w:val="superscript"/>
        </w:rPr>
        <w:t>]</w:t>
      </w:r>
      <w:r>
        <w:t xml:space="preserve"> and in 2022, Watch antibiotics accounted for 52% of total consumption in the public sector compared to 48% for Access antibiotics.</w:t>
      </w:r>
      <w:r w:rsidR="0088373E">
        <w:rPr>
          <w:vertAlign w:val="superscript"/>
        </w:rPr>
        <w:t>[3</w:t>
      </w:r>
      <w:r w:rsidR="00297A9C">
        <w:rPr>
          <w:vertAlign w:val="superscript"/>
        </w:rPr>
        <w:t>6</w:t>
      </w:r>
      <w:r w:rsidR="0088373E" w:rsidRPr="006855B5">
        <w:rPr>
          <w:vertAlign w:val="superscript"/>
        </w:rPr>
        <w:t>]</w:t>
      </w:r>
      <w:r>
        <w:t xml:space="preserve"> This has fueled concerns with rising AMR rates in South Africa, and the impact on mortality, leading to recent calls to the Ministry of Health in South Africa to re-engage with the National Health Plan on </w:t>
      </w:r>
      <w:bookmarkStart w:id="13" w:name="_Hlk216419197"/>
      <w:r>
        <w:t>AMR to reduce rising AMR rates</w:t>
      </w:r>
      <w:bookmarkEnd w:id="13"/>
      <w:r>
        <w:t>.</w:t>
      </w:r>
      <w:r w:rsidR="0088373E" w:rsidRPr="0088373E">
        <w:rPr>
          <w:vertAlign w:val="superscript"/>
        </w:rPr>
        <w:t xml:space="preserve"> </w:t>
      </w:r>
      <w:r w:rsidR="0088373E">
        <w:rPr>
          <w:vertAlign w:val="superscript"/>
        </w:rPr>
        <w:t>[</w:t>
      </w:r>
      <w:r w:rsidR="00297A9C">
        <w:rPr>
          <w:vertAlign w:val="superscript"/>
        </w:rPr>
        <w:t>29</w:t>
      </w:r>
      <w:r w:rsidR="0088373E">
        <w:rPr>
          <w:vertAlign w:val="superscript"/>
        </w:rPr>
        <w:t>,3</w:t>
      </w:r>
      <w:r w:rsidR="00297A9C">
        <w:rPr>
          <w:vertAlign w:val="superscript"/>
        </w:rPr>
        <w:t>0</w:t>
      </w:r>
      <w:r w:rsidR="0088373E" w:rsidRPr="006855B5">
        <w:rPr>
          <w:vertAlign w:val="superscript"/>
        </w:rPr>
        <w:t>]</w:t>
      </w:r>
      <w:r w:rsidR="0088373E">
        <w:t xml:space="preserve"> </w:t>
      </w:r>
      <w:r>
        <w:t>The need to reverse the growing use of Watch and Reserve antibiotics</w:t>
      </w:r>
      <w:r w:rsidR="0088373E">
        <w:t xml:space="preserve"> in the country</w:t>
      </w:r>
      <w:r>
        <w:t>, and their subsequent impact on AMR, has become of increasing importance following the United Nations General Assembly’s (UN-GA) political declaration of the high-level meeting on AMR in 2024.</w:t>
      </w:r>
      <w:r w:rsidR="00326368">
        <w:rPr>
          <w:vertAlign w:val="superscript"/>
        </w:rPr>
        <w:t>[3</w:t>
      </w:r>
      <w:r w:rsidR="00297A9C">
        <w:rPr>
          <w:vertAlign w:val="superscript"/>
        </w:rPr>
        <w:t>7</w:t>
      </w:r>
      <w:r w:rsidR="00326368" w:rsidRPr="006855B5">
        <w:rPr>
          <w:vertAlign w:val="superscript"/>
        </w:rPr>
        <w:t>]</w:t>
      </w:r>
      <w:r>
        <w:t xml:space="preserve"> The target is that at least 70% of overall human antibiotic use should be Access antibiotics through investing in</w:t>
      </w:r>
      <w:r w:rsidR="005A67F4">
        <w:t xml:space="preserve"> </w:t>
      </w:r>
      <w:r>
        <w:t xml:space="preserve">and strengthening antimicrobial stewardship </w:t>
      </w:r>
      <w:bookmarkStart w:id="14" w:name="_Hlk216419269"/>
      <w:r>
        <w:t>programmes (ASPs).</w:t>
      </w:r>
      <w:r w:rsidR="00326368">
        <w:rPr>
          <w:vertAlign w:val="superscript"/>
        </w:rPr>
        <w:t>[3</w:t>
      </w:r>
      <w:r w:rsidR="00297A9C">
        <w:rPr>
          <w:vertAlign w:val="superscript"/>
        </w:rPr>
        <w:t>7</w:t>
      </w:r>
      <w:r w:rsidR="00326368" w:rsidRPr="006855B5">
        <w:rPr>
          <w:vertAlign w:val="superscript"/>
        </w:rPr>
        <w:t>]</w:t>
      </w:r>
      <w:r>
        <w:t xml:space="preserve"> </w:t>
      </w:r>
      <w:bookmarkEnd w:id="14"/>
    </w:p>
    <w:p w14:paraId="664BB9E7" w14:textId="58ADA182" w:rsidR="00ED1B01" w:rsidRDefault="00ED1B01" w:rsidP="00ED1B01">
      <w:pPr>
        <w:pStyle w:val="MDPI31text"/>
      </w:pPr>
      <w:r>
        <w:t>A key sector for addressing high rates of inappropriate use among LMICs is primary care</w:t>
      </w:r>
      <w:r w:rsidR="00194D33">
        <w:t>,</w:t>
      </w:r>
      <w:r>
        <w:t xml:space="preserve"> where antibiotics can account for up to 90% or more of antibiotic use in humans.</w:t>
      </w:r>
      <w:r w:rsidR="0042481D" w:rsidRPr="0042481D">
        <w:rPr>
          <w:vertAlign w:val="superscript"/>
        </w:rPr>
        <w:t xml:space="preserve"> </w:t>
      </w:r>
      <w:r w:rsidR="0042481D">
        <w:rPr>
          <w:vertAlign w:val="superscript"/>
        </w:rPr>
        <w:t>[</w:t>
      </w:r>
      <w:r w:rsidR="00297A9C">
        <w:rPr>
          <w:vertAlign w:val="superscript"/>
        </w:rPr>
        <w:t>38</w:t>
      </w:r>
      <w:r w:rsidR="0042481D">
        <w:rPr>
          <w:vertAlign w:val="superscript"/>
        </w:rPr>
        <w:t>,</w:t>
      </w:r>
      <w:r w:rsidR="00297A9C">
        <w:rPr>
          <w:vertAlign w:val="superscript"/>
        </w:rPr>
        <w:t>39</w:t>
      </w:r>
      <w:r w:rsidR="0042481D" w:rsidRPr="006855B5">
        <w:rPr>
          <w:vertAlign w:val="superscript"/>
        </w:rPr>
        <w:t>]</w:t>
      </w:r>
      <w:r>
        <w:t xml:space="preserve"> This is important as it is currently estimated that around half of all antibiotic use is </w:t>
      </w:r>
      <w:bookmarkStart w:id="15" w:name="_Hlk216419549"/>
      <w:r>
        <w:t>seen as inappropriate.</w:t>
      </w:r>
      <w:r w:rsidR="0056127A">
        <w:rPr>
          <w:vertAlign w:val="superscript"/>
        </w:rPr>
        <w:t>[1</w:t>
      </w:r>
      <w:r w:rsidR="0056127A" w:rsidRPr="006855B5">
        <w:rPr>
          <w:vertAlign w:val="superscript"/>
        </w:rPr>
        <w:t>]</w:t>
      </w:r>
      <w:r>
        <w:t xml:space="preserve"> </w:t>
      </w:r>
      <w:bookmarkEnd w:id="15"/>
      <w:r>
        <w:t>Alongside this, a recent systematic review found no significant decline in the prevalence of inappropriate antibiotic prescribing in primary care across countries</w:t>
      </w:r>
      <w:r w:rsidR="00EA28FB">
        <w:t xml:space="preserve"> in recent years</w:t>
      </w:r>
      <w:r>
        <w:t>, including LMICs, despite AMS efforts</w:t>
      </w:r>
      <w:bookmarkStart w:id="16" w:name="_Hlk216419742"/>
      <w:r>
        <w:t>.</w:t>
      </w:r>
      <w:r w:rsidR="0056127A">
        <w:rPr>
          <w:vertAlign w:val="superscript"/>
        </w:rPr>
        <w:t>[4</w:t>
      </w:r>
      <w:r w:rsidR="00172752">
        <w:rPr>
          <w:vertAlign w:val="superscript"/>
        </w:rPr>
        <w:t>0</w:t>
      </w:r>
      <w:r w:rsidR="0056127A" w:rsidRPr="006855B5">
        <w:rPr>
          <w:vertAlign w:val="superscript"/>
        </w:rPr>
        <w:t>]</w:t>
      </w:r>
      <w:r>
        <w:t xml:space="preserve"> </w:t>
      </w:r>
      <w:bookmarkEnd w:id="16"/>
      <w:r>
        <w:t xml:space="preserve">There is a similar situation in South Africa where several studies have found </w:t>
      </w:r>
      <w:r w:rsidR="00EA28FB">
        <w:t xml:space="preserve">continued </w:t>
      </w:r>
      <w:r>
        <w:t xml:space="preserve">high levels of inappropriate antibiotic use across both private and public primary </w:t>
      </w:r>
      <w:r w:rsidR="00EA28FB">
        <w:t xml:space="preserve">health </w:t>
      </w:r>
      <w:r>
        <w:t xml:space="preserve">care </w:t>
      </w:r>
      <w:r w:rsidR="00EA28FB">
        <w:t xml:space="preserve">(PHC) </w:t>
      </w:r>
      <w:r>
        <w:t>centers</w:t>
      </w:r>
      <w:r w:rsidR="00EA28FB">
        <w:t>,</w:t>
      </w:r>
      <w:r>
        <w:t xml:space="preserve"> exacerbated by variable compliance with </w:t>
      </w:r>
      <w:bookmarkStart w:id="17" w:name="_Hlk216419782"/>
      <w:r>
        <w:t>treatment guidelines (Supplementary Table S1).</w:t>
      </w:r>
      <w:r w:rsidR="00393C16" w:rsidRPr="00393C16">
        <w:rPr>
          <w:vertAlign w:val="superscript"/>
        </w:rPr>
        <w:t xml:space="preserve"> </w:t>
      </w:r>
      <w:r w:rsidR="00393C16">
        <w:rPr>
          <w:vertAlign w:val="superscript"/>
        </w:rPr>
        <w:t>[4</w:t>
      </w:r>
      <w:r w:rsidR="00172752">
        <w:rPr>
          <w:vertAlign w:val="superscript"/>
        </w:rPr>
        <w:t>1</w:t>
      </w:r>
      <w:r w:rsidR="00393C16">
        <w:rPr>
          <w:vertAlign w:val="superscript"/>
        </w:rPr>
        <w:t>-</w:t>
      </w:r>
      <w:r w:rsidR="00172752">
        <w:rPr>
          <w:vertAlign w:val="superscript"/>
        </w:rPr>
        <w:t>48</w:t>
      </w:r>
      <w:r w:rsidR="00393C16" w:rsidRPr="006855B5">
        <w:rPr>
          <w:vertAlign w:val="superscript"/>
        </w:rPr>
        <w:t>]</w:t>
      </w:r>
      <w:r>
        <w:t xml:space="preserve"> </w:t>
      </w:r>
      <w:bookmarkEnd w:id="17"/>
      <w:r>
        <w:t>One of the WHO’s eight priority AMR-related interventions for strengthening PHC-oriented health systems to combat AMR globally is ensuring that antimicrobials are used appropriately and according to updated, evidence-based treatment guidelines.</w:t>
      </w:r>
      <w:r w:rsidR="00393C16">
        <w:rPr>
          <w:vertAlign w:val="superscript"/>
        </w:rPr>
        <w:t>[</w:t>
      </w:r>
      <w:r w:rsidR="00172752">
        <w:rPr>
          <w:vertAlign w:val="superscript"/>
        </w:rPr>
        <w:t>49</w:t>
      </w:r>
      <w:r w:rsidR="00393C16" w:rsidRPr="006855B5">
        <w:rPr>
          <w:vertAlign w:val="superscript"/>
        </w:rPr>
        <w:t>]</w:t>
      </w:r>
      <w:r>
        <w:t xml:space="preserve"> The recent launch of the WHO AWaRe book providing prescribing guidance on a range of infectious diseases commonly seen in primary care, including non-antibiotic choices, is seen as an important development given concerns with the </w:t>
      </w:r>
      <w:r w:rsidR="00172752">
        <w:t xml:space="preserve">potential </w:t>
      </w:r>
      <w:r>
        <w:t>robustness of a number of national antibiotic guidelines among LMICs.</w:t>
      </w:r>
      <w:r w:rsidR="00045FCD">
        <w:rPr>
          <w:vertAlign w:val="superscript"/>
        </w:rPr>
        <w:t>[</w:t>
      </w:r>
      <w:r w:rsidR="00172752">
        <w:rPr>
          <w:vertAlign w:val="superscript"/>
        </w:rPr>
        <w:t>39</w:t>
      </w:r>
      <w:r w:rsidR="00045FCD">
        <w:rPr>
          <w:vertAlign w:val="superscript"/>
        </w:rPr>
        <w:t>,5</w:t>
      </w:r>
      <w:r w:rsidR="00172752">
        <w:rPr>
          <w:vertAlign w:val="superscript"/>
        </w:rPr>
        <w:t>0</w:t>
      </w:r>
      <w:r w:rsidR="00045FCD" w:rsidRPr="006855B5">
        <w:rPr>
          <w:vertAlign w:val="superscript"/>
        </w:rPr>
        <w:t>]</w:t>
      </w:r>
      <w:r w:rsidR="00045FCD">
        <w:t xml:space="preserve"> </w:t>
      </w:r>
      <w:r>
        <w:t xml:space="preserve">The guidance in the WHO AWaRe book is not intended to replace existing local and national evidence-based antibiotic prescribing guidelines and clinical judgment; however, to provide guidance where currently none is available or where there are concerns </w:t>
      </w:r>
      <w:r w:rsidR="00045FCD">
        <w:t>with the robustness of current guidelines especially among LMICs</w:t>
      </w:r>
      <w:r>
        <w:t>.</w:t>
      </w:r>
      <w:r w:rsidR="00045FCD" w:rsidRPr="00045FCD">
        <w:rPr>
          <w:vertAlign w:val="superscript"/>
        </w:rPr>
        <w:t xml:space="preserve"> </w:t>
      </w:r>
      <w:r w:rsidR="00045FCD">
        <w:rPr>
          <w:vertAlign w:val="superscript"/>
        </w:rPr>
        <w:t>[</w:t>
      </w:r>
      <w:r w:rsidR="002063BA">
        <w:rPr>
          <w:vertAlign w:val="superscript"/>
        </w:rPr>
        <w:t>39</w:t>
      </w:r>
      <w:r w:rsidR="00045FCD">
        <w:rPr>
          <w:vertAlign w:val="superscript"/>
        </w:rPr>
        <w:t>,5</w:t>
      </w:r>
      <w:r w:rsidR="002063BA">
        <w:rPr>
          <w:vertAlign w:val="superscript"/>
        </w:rPr>
        <w:t>0</w:t>
      </w:r>
      <w:r w:rsidR="00045FCD" w:rsidRPr="006855B5">
        <w:rPr>
          <w:vertAlign w:val="superscript"/>
        </w:rPr>
        <w:t>]</w:t>
      </w:r>
      <w:r w:rsidR="00045FCD">
        <w:t xml:space="preserve"> </w:t>
      </w:r>
      <w:r>
        <w:t>However, anti</w:t>
      </w:r>
      <w:r w:rsidR="00045FCD">
        <w:t>microbial</w:t>
      </w:r>
      <w:r>
        <w:t xml:space="preserve"> stewardship (AMS) initiatives</w:t>
      </w:r>
      <w:r w:rsidR="00045FCD">
        <w:t>,</w:t>
      </w:r>
      <w:r>
        <w:t xml:space="preserve"> a</w:t>
      </w:r>
      <w:r w:rsidR="00045FCD">
        <w:t>longside</w:t>
      </w:r>
      <w:r>
        <w:t xml:space="preserve"> measuring the quality and appropriateness of antibiotic prescribing in primary care, especially among LMICs, must be prioritized going forward to reduce AMR.</w:t>
      </w:r>
      <w:r w:rsidR="00045FCD">
        <w:rPr>
          <w:vertAlign w:val="superscript"/>
        </w:rPr>
        <w:t>[5</w:t>
      </w:r>
      <w:r w:rsidR="002063BA">
        <w:rPr>
          <w:vertAlign w:val="superscript"/>
        </w:rPr>
        <w:t>2</w:t>
      </w:r>
      <w:r w:rsidR="00045FCD">
        <w:rPr>
          <w:vertAlign w:val="superscript"/>
        </w:rPr>
        <w:t>]</w:t>
      </w:r>
      <w:r>
        <w:t xml:space="preserve"> </w:t>
      </w:r>
    </w:p>
    <w:p w14:paraId="0227AD96" w14:textId="59FE8243" w:rsidR="00ED1B01" w:rsidRDefault="00ED1B01" w:rsidP="00ED1B01">
      <w:pPr>
        <w:pStyle w:val="MDPI31text"/>
      </w:pPr>
      <w:r>
        <w:t>Appropriate and feasible evidence-based quality indicators are important for sustainable improvements in antibiotic stewardship in PHCs.</w:t>
      </w:r>
      <w:r w:rsidR="00045FCD">
        <w:rPr>
          <w:vertAlign w:val="superscript"/>
        </w:rPr>
        <w:t>[5</w:t>
      </w:r>
      <w:r w:rsidR="00D76DA2">
        <w:rPr>
          <w:vertAlign w:val="superscript"/>
        </w:rPr>
        <w:t>3</w:t>
      </w:r>
      <w:r w:rsidR="00045FCD">
        <w:rPr>
          <w:vertAlign w:val="superscript"/>
        </w:rPr>
        <w:t>,</w:t>
      </w:r>
      <w:r w:rsidR="00D76DA2">
        <w:rPr>
          <w:vertAlign w:val="superscript"/>
        </w:rPr>
        <w:t>54</w:t>
      </w:r>
      <w:r w:rsidR="00045FCD">
        <w:rPr>
          <w:vertAlign w:val="superscript"/>
        </w:rPr>
        <w:t>]</w:t>
      </w:r>
      <w:r>
        <w:t xml:space="preserve"> Quality indicators are increasingly seen as important tools in AMS activities across sectors as they help to measure the appropriateness of antibiotic prescribing and dispensing in the </w:t>
      </w:r>
      <w:bookmarkStart w:id="18" w:name="_Hlk216432121"/>
      <w:r>
        <w:t>treatment of infections.</w:t>
      </w:r>
      <w:r w:rsidR="004F4548">
        <w:rPr>
          <w:vertAlign w:val="superscript"/>
        </w:rPr>
        <w:t>[</w:t>
      </w:r>
      <w:r w:rsidR="00D76DA2">
        <w:rPr>
          <w:vertAlign w:val="superscript"/>
        </w:rPr>
        <w:t>55</w:t>
      </w:r>
      <w:r w:rsidR="004F4548">
        <w:rPr>
          <w:vertAlign w:val="superscript"/>
        </w:rPr>
        <w:t>-</w:t>
      </w:r>
      <w:r w:rsidR="00D76DA2">
        <w:rPr>
          <w:vertAlign w:val="superscript"/>
        </w:rPr>
        <w:t>59</w:t>
      </w:r>
      <w:r w:rsidR="004F4548">
        <w:rPr>
          <w:vertAlign w:val="superscript"/>
        </w:rPr>
        <w:t>]</w:t>
      </w:r>
      <w:r>
        <w:t xml:space="preserve"> </w:t>
      </w:r>
      <w:bookmarkEnd w:id="18"/>
      <w:r>
        <w:t>Assessing antibiotic prescribing quality helps to foster a stewardship culture among prescribers, supports adherence to treatment guidelines, reduces variation in clinical practice, improves patient safety and clinical outcomes a</w:t>
      </w:r>
      <w:r w:rsidR="004F4548">
        <w:t>s well as</w:t>
      </w:r>
      <w:r>
        <w:t xml:space="preserve"> facilitat</w:t>
      </w:r>
      <w:r w:rsidR="004F4548">
        <w:t>ing</w:t>
      </w:r>
      <w:r>
        <w:t xml:space="preserve"> the implementation of feedback driven quality improvement programmes.</w:t>
      </w:r>
      <w:r w:rsidR="004F4548">
        <w:rPr>
          <w:vertAlign w:val="superscript"/>
        </w:rPr>
        <w:t>[4</w:t>
      </w:r>
      <w:r w:rsidR="00D76DA2">
        <w:rPr>
          <w:vertAlign w:val="superscript"/>
        </w:rPr>
        <w:t>6</w:t>
      </w:r>
      <w:r w:rsidR="004F4548">
        <w:rPr>
          <w:vertAlign w:val="superscript"/>
        </w:rPr>
        <w:t>,6</w:t>
      </w:r>
      <w:r w:rsidR="00D76DA2">
        <w:rPr>
          <w:vertAlign w:val="superscript"/>
        </w:rPr>
        <w:t>0</w:t>
      </w:r>
      <w:r w:rsidR="004F4548">
        <w:rPr>
          <w:vertAlign w:val="superscript"/>
        </w:rPr>
        <w:t>-</w:t>
      </w:r>
      <w:r w:rsidR="00D76DA2">
        <w:rPr>
          <w:vertAlign w:val="superscript"/>
        </w:rPr>
        <w:t>62</w:t>
      </w:r>
      <w:r w:rsidR="004F4548">
        <w:rPr>
          <w:vertAlign w:val="superscript"/>
        </w:rPr>
        <w:t>]</w:t>
      </w:r>
      <w:r w:rsidR="004F4548">
        <w:t xml:space="preserve"> </w:t>
      </w:r>
      <w:r>
        <w:t xml:space="preserve"> </w:t>
      </w:r>
    </w:p>
    <w:p w14:paraId="473AFEBA" w14:textId="2FE12EBA" w:rsidR="00ED1B01" w:rsidRDefault="00ED1B01" w:rsidP="00ED1B01">
      <w:pPr>
        <w:pStyle w:val="MDPI31text"/>
      </w:pPr>
      <w:r>
        <w:t xml:space="preserve">Several indicators have been used across Africa and across </w:t>
      </w:r>
      <w:r w:rsidR="00DC5FDB">
        <w:t xml:space="preserve">the </w:t>
      </w:r>
      <w:r w:rsidR="00A40C3E">
        <w:t xml:space="preserve">different </w:t>
      </w:r>
      <w:r>
        <w:t xml:space="preserve">sectors, including both hospital and primary care, </w:t>
      </w:r>
      <w:bookmarkStart w:id="19" w:name="_Hlk216420387"/>
      <w:r>
        <w:t xml:space="preserve">as well as both private and public sectors, to </w:t>
      </w:r>
      <w:bookmarkStart w:id="20" w:name="_Hlk216433158"/>
      <w:r>
        <w:t>improve antibiotic use in primary care.</w:t>
      </w:r>
      <w:bookmarkEnd w:id="19"/>
      <w:bookmarkEnd w:id="20"/>
      <w:r w:rsidR="00DC5FDB">
        <w:rPr>
          <w:vertAlign w:val="superscript"/>
        </w:rPr>
        <w:t>[4</w:t>
      </w:r>
      <w:r w:rsidR="00D14038">
        <w:rPr>
          <w:vertAlign w:val="superscript"/>
        </w:rPr>
        <w:t>5</w:t>
      </w:r>
      <w:r w:rsidR="00DC5FDB">
        <w:rPr>
          <w:vertAlign w:val="superscript"/>
        </w:rPr>
        <w:t>,4</w:t>
      </w:r>
      <w:r w:rsidR="00D14038">
        <w:rPr>
          <w:vertAlign w:val="superscript"/>
        </w:rPr>
        <w:t>6</w:t>
      </w:r>
      <w:r w:rsidR="00DC5FDB">
        <w:rPr>
          <w:vertAlign w:val="superscript"/>
        </w:rPr>
        <w:t>,</w:t>
      </w:r>
      <w:r w:rsidR="00D14038">
        <w:rPr>
          <w:vertAlign w:val="superscript"/>
        </w:rPr>
        <w:t>54,6</w:t>
      </w:r>
      <w:r w:rsidR="00DC5FDB">
        <w:rPr>
          <w:vertAlign w:val="superscript"/>
        </w:rPr>
        <w:t>3]</w:t>
      </w:r>
      <w:r w:rsidR="00DC5FDB">
        <w:t xml:space="preserve"> </w:t>
      </w:r>
      <w:r>
        <w:t xml:space="preserve">In South Africa, examples of quality indicators that have been used to assess prescribing quality in PHC include the </w:t>
      </w:r>
      <w:r w:rsidR="00A40C3E">
        <w:t>percentage (</w:t>
      </w:r>
      <w:r>
        <w:t>%</w:t>
      </w:r>
      <w:r w:rsidR="00A40C3E">
        <w:t>)</w:t>
      </w:r>
      <w:r>
        <w:t xml:space="preserve"> of prescriptions adherent to current guidelines, % of monthly antibiotics used (defined daily doses per 100 prescriptions dispensed), % of antibiotics prescribed/procured broken down by </w:t>
      </w:r>
      <w:r w:rsidR="00FB0C53">
        <w:t xml:space="preserve">WHO </w:t>
      </w:r>
      <w:r>
        <w:t xml:space="preserve">AWaRe categories, and the % of patients prescribed an appropriate antibiotic dose and duration </w:t>
      </w:r>
      <w:bookmarkStart w:id="21" w:name="_Hlk216433724"/>
      <w:r>
        <w:t>for their diagnosed infectious disease.</w:t>
      </w:r>
      <w:r w:rsidR="00885AD3">
        <w:rPr>
          <w:vertAlign w:val="superscript"/>
        </w:rPr>
        <w:t>[4</w:t>
      </w:r>
      <w:r w:rsidR="00D14038">
        <w:rPr>
          <w:vertAlign w:val="superscript"/>
        </w:rPr>
        <w:t>4</w:t>
      </w:r>
      <w:r w:rsidR="00885AD3">
        <w:rPr>
          <w:vertAlign w:val="superscript"/>
        </w:rPr>
        <w:t>-4</w:t>
      </w:r>
      <w:r w:rsidR="00D14038">
        <w:rPr>
          <w:vertAlign w:val="superscript"/>
        </w:rPr>
        <w:t>6</w:t>
      </w:r>
      <w:r w:rsidR="00885AD3">
        <w:rPr>
          <w:vertAlign w:val="superscript"/>
        </w:rPr>
        <w:t>,</w:t>
      </w:r>
      <w:r w:rsidR="00D14038">
        <w:rPr>
          <w:vertAlign w:val="superscript"/>
        </w:rPr>
        <w:t>63</w:t>
      </w:r>
      <w:r w:rsidR="00885AD3">
        <w:rPr>
          <w:vertAlign w:val="superscript"/>
        </w:rPr>
        <w:t>,</w:t>
      </w:r>
      <w:r w:rsidR="00D14038">
        <w:rPr>
          <w:vertAlign w:val="superscript"/>
        </w:rPr>
        <w:t>6</w:t>
      </w:r>
      <w:r w:rsidR="00885AD3">
        <w:rPr>
          <w:vertAlign w:val="superscript"/>
        </w:rPr>
        <w:t>4-</w:t>
      </w:r>
      <w:r w:rsidR="00D14038">
        <w:rPr>
          <w:vertAlign w:val="superscript"/>
        </w:rPr>
        <w:t>6</w:t>
      </w:r>
      <w:r w:rsidR="00885AD3">
        <w:rPr>
          <w:vertAlign w:val="superscript"/>
        </w:rPr>
        <w:t>6]</w:t>
      </w:r>
      <w:r>
        <w:t xml:space="preserve"> </w:t>
      </w:r>
    </w:p>
    <w:p w14:paraId="3D4AF7FF" w14:textId="28F0B10F" w:rsidR="00ED1B01" w:rsidRDefault="00ED1B01" w:rsidP="00ED1B01">
      <w:pPr>
        <w:pStyle w:val="MDPI31text"/>
      </w:pPr>
      <w:bookmarkStart w:id="22" w:name="_Hlk216434470"/>
      <w:bookmarkEnd w:id="21"/>
      <w:r>
        <w:t xml:space="preserve">A recent international review found that a high number of quality indicators for appropriate antibiotic use have been developed; however, very few are currently based on the AWaRe system, identifying only 8 (1%) indicators directly related to the </w:t>
      </w:r>
      <w:r w:rsidR="00FB0C53">
        <w:t xml:space="preserve">WHO </w:t>
      </w:r>
      <w:r>
        <w:t>AWaRe system although 445 (57.6%) indicators reflect the guidance provided in the WHO AWaRe book</w:t>
      </w:r>
      <w:r w:rsidR="00EA4FC7">
        <w:rPr>
          <w:vertAlign w:val="superscript"/>
        </w:rPr>
        <w:t>[</w:t>
      </w:r>
      <w:r w:rsidR="00095DBD">
        <w:rPr>
          <w:vertAlign w:val="superscript"/>
        </w:rPr>
        <w:t>54</w:t>
      </w:r>
      <w:r w:rsidR="00EA4FC7">
        <w:rPr>
          <w:vertAlign w:val="superscript"/>
        </w:rPr>
        <w:t>]</w:t>
      </w:r>
      <w:r w:rsidR="00C95F6C">
        <w:rPr>
          <w:vertAlign w:val="superscript"/>
        </w:rPr>
        <w:t xml:space="preserve"> </w:t>
      </w:r>
      <w:r>
        <w:t xml:space="preserve">This is a concern with the growing use of the </w:t>
      </w:r>
      <w:r w:rsidR="00FB0C53">
        <w:t xml:space="preserve">WHO </w:t>
      </w:r>
      <w:r>
        <w:t>AWaRe classification among LMICs as a starting point for antimicrobial stewardship (AMS) activities.</w:t>
      </w:r>
      <w:r w:rsidR="00EA4FC7">
        <w:rPr>
          <w:vertAlign w:val="superscript"/>
        </w:rPr>
        <w:t>[</w:t>
      </w:r>
      <w:r w:rsidR="00095DBD">
        <w:rPr>
          <w:vertAlign w:val="superscript"/>
        </w:rPr>
        <w:t>6</w:t>
      </w:r>
      <w:r w:rsidR="00EA4FC7">
        <w:rPr>
          <w:vertAlign w:val="superscript"/>
        </w:rPr>
        <w:t>7]</w:t>
      </w:r>
    </w:p>
    <w:bookmarkEnd w:id="22"/>
    <w:p w14:paraId="6DBF5284" w14:textId="050F1743" w:rsidR="00ED1B01" w:rsidRPr="003D4CE1" w:rsidRDefault="00717A08" w:rsidP="005640E7">
      <w:pPr>
        <w:pStyle w:val="MDPI31text"/>
      </w:pPr>
      <w:r>
        <w:t>P</w:t>
      </w:r>
      <w:r w:rsidR="00B96236">
        <w:t>revious</w:t>
      </w:r>
      <w:r w:rsidR="00ED1B01">
        <w:t xml:space="preserve"> studies have used the Research and Development/University of California Los Angeles (</w:t>
      </w:r>
      <w:r w:rsidR="00B96236">
        <w:t>RAND/</w:t>
      </w:r>
      <w:r w:rsidR="00ED1B01">
        <w:t xml:space="preserve">UCLA) </w:t>
      </w:r>
      <w:r w:rsidR="00B96236">
        <w:t>A</w:t>
      </w:r>
      <w:r w:rsidR="00ED1B01">
        <w:t xml:space="preserve">ppropriateness </w:t>
      </w:r>
      <w:r w:rsidR="00B96236">
        <w:t>M</w:t>
      </w:r>
      <w:r w:rsidR="00ED1B01">
        <w:t xml:space="preserve">ethod (RAM), which </w:t>
      </w:r>
      <w:r w:rsidR="00177C56">
        <w:t xml:space="preserve">was </w:t>
      </w:r>
      <w:r w:rsidR="00C95F6C">
        <w:t xml:space="preserve">also </w:t>
      </w:r>
      <w:r w:rsidR="00ED1B01">
        <w:t xml:space="preserve">used in this study to develop quality indicators for assessing </w:t>
      </w:r>
      <w:r w:rsidR="00C95F6C">
        <w:t xml:space="preserve">the </w:t>
      </w:r>
      <w:r w:rsidR="00ED1B01">
        <w:t>appropriateness of antibiotic prescribing and use</w:t>
      </w:r>
      <w:r w:rsidR="00B96236">
        <w:t>.</w:t>
      </w:r>
      <w:r>
        <w:rPr>
          <w:vertAlign w:val="superscript"/>
        </w:rPr>
        <w:t>[</w:t>
      </w:r>
      <w:r w:rsidR="00212F02">
        <w:rPr>
          <w:vertAlign w:val="superscript"/>
        </w:rPr>
        <w:t>6</w:t>
      </w:r>
      <w:r>
        <w:rPr>
          <w:vertAlign w:val="superscript"/>
        </w:rPr>
        <w:t>8-</w:t>
      </w:r>
      <w:r w:rsidR="00212F02">
        <w:rPr>
          <w:vertAlign w:val="superscript"/>
        </w:rPr>
        <w:t>7</w:t>
      </w:r>
      <w:r w:rsidR="000B0942">
        <w:rPr>
          <w:vertAlign w:val="superscript"/>
        </w:rPr>
        <w:t>4</w:t>
      </w:r>
      <w:r>
        <w:rPr>
          <w:vertAlign w:val="superscript"/>
        </w:rPr>
        <w:t xml:space="preserve">] </w:t>
      </w:r>
      <w:r w:rsidR="00B96236">
        <w:t>Currently</w:t>
      </w:r>
      <w:r>
        <w:t xml:space="preserve"> though</w:t>
      </w:r>
      <w:r w:rsidR="00B96236">
        <w:t>,</w:t>
      </w:r>
      <w:r w:rsidR="00ED1B01">
        <w:t xml:space="preserve"> no set of appropriate and feasible quality indicators, based on the </w:t>
      </w:r>
      <w:r w:rsidR="00FB0C53">
        <w:t xml:space="preserve">WHO </w:t>
      </w:r>
      <w:r w:rsidR="00ED1B01">
        <w:t xml:space="preserve">AWaRe </w:t>
      </w:r>
      <w:r w:rsidR="00FB0C53">
        <w:t xml:space="preserve">prescribing </w:t>
      </w:r>
      <w:r w:rsidR="00ED1B01">
        <w:t xml:space="preserve">guidance, has been specifically developed to measure the appropriateness of antibiotic prescribing in primary care </w:t>
      </w:r>
      <w:r w:rsidR="002850F5">
        <w:t>in South Africa</w:t>
      </w:r>
      <w:r w:rsidR="00ED1B01">
        <w:t>. Consequently, this study focused on the development and application of feasible and actionable quality indicators to assess the appropriateness of antibiotic prescribing in public PHC settings</w:t>
      </w:r>
      <w:r w:rsidR="000B2B62">
        <w:t xml:space="preserve"> in </w:t>
      </w:r>
      <w:r w:rsidR="00ED1B01">
        <w:t xml:space="preserve">South Africa. The aim </w:t>
      </w:r>
      <w:r w:rsidR="00B96236">
        <w:t xml:space="preserve">of developing these indicators </w:t>
      </w:r>
      <w:r w:rsidR="00ED1B01">
        <w:t xml:space="preserve">is to ensure that antibiotics are prescribed and used </w:t>
      </w:r>
      <w:r w:rsidR="00B96236">
        <w:t xml:space="preserve">rationally and </w:t>
      </w:r>
      <w:r w:rsidR="00ED1B01">
        <w:t xml:space="preserve">appropriately </w:t>
      </w:r>
      <w:r w:rsidR="00B96236">
        <w:t>in primary care.</w:t>
      </w:r>
      <w:r w:rsidR="00ED1B01">
        <w:t xml:space="preserve"> This is important with the development of AWaRe antibiotic quality indicators for use across sectors, including primary </w:t>
      </w:r>
      <w:proofErr w:type="gramStart"/>
      <w:r w:rsidR="00ED1B01">
        <w:t>care,</w:t>
      </w:r>
      <w:r w:rsidR="00C95F6C">
        <w:rPr>
          <w:vertAlign w:val="superscript"/>
        </w:rPr>
        <w:t>[</w:t>
      </w:r>
      <w:r w:rsidR="00212F02">
        <w:rPr>
          <w:vertAlign w:val="superscript"/>
        </w:rPr>
        <w:t>7</w:t>
      </w:r>
      <w:r w:rsidR="00FE343C">
        <w:rPr>
          <w:vertAlign w:val="superscript"/>
        </w:rPr>
        <w:t>5</w:t>
      </w:r>
      <w:r w:rsidR="000B0942">
        <w:rPr>
          <w:vertAlign w:val="superscript"/>
        </w:rPr>
        <w:t>,</w:t>
      </w:r>
      <w:r w:rsidR="00052F30">
        <w:rPr>
          <w:vertAlign w:val="superscript"/>
        </w:rPr>
        <w:t>-</w:t>
      </w:r>
      <w:proofErr w:type="gramEnd"/>
      <w:r w:rsidR="00212F02">
        <w:rPr>
          <w:vertAlign w:val="superscript"/>
        </w:rPr>
        <w:t>6</w:t>
      </w:r>
      <w:r w:rsidR="00FE343C">
        <w:rPr>
          <w:vertAlign w:val="superscript"/>
        </w:rPr>
        <w:t>6</w:t>
      </w:r>
      <w:r w:rsidR="00C95F6C">
        <w:rPr>
          <w:vertAlign w:val="superscript"/>
        </w:rPr>
        <w:t xml:space="preserve">] </w:t>
      </w:r>
      <w:r w:rsidR="00ED1B01">
        <w:t>and subsequently assessing the feasibility of their implementation.</w:t>
      </w:r>
      <w:r w:rsidR="00FA0941">
        <w:rPr>
          <w:vertAlign w:val="superscript"/>
        </w:rPr>
        <w:t>[5</w:t>
      </w:r>
      <w:r w:rsidR="00212F02">
        <w:rPr>
          <w:vertAlign w:val="superscript"/>
        </w:rPr>
        <w:t>2</w:t>
      </w:r>
      <w:r w:rsidR="00FA0941">
        <w:rPr>
          <w:vertAlign w:val="superscript"/>
        </w:rPr>
        <w:t>]</w:t>
      </w:r>
    </w:p>
    <w:bookmarkEnd w:id="3"/>
    <w:bookmarkEnd w:id="4"/>
    <w:p w14:paraId="7A207EDD" w14:textId="77777777" w:rsidR="007713AF" w:rsidRPr="003D4CE1" w:rsidRDefault="003C4625" w:rsidP="00517440">
      <w:pPr>
        <w:pStyle w:val="MDPI21heading1"/>
      </w:pPr>
      <w:r w:rsidRPr="003D4CE1">
        <w:t>2</w:t>
      </w:r>
      <w:r w:rsidR="007713AF" w:rsidRPr="003D4CE1">
        <w:t>. Results</w:t>
      </w:r>
    </w:p>
    <w:p w14:paraId="3630BD55" w14:textId="7BE206D6" w:rsidR="007713AF" w:rsidRPr="00854E40" w:rsidRDefault="00B40676" w:rsidP="00B40676">
      <w:pPr>
        <w:pStyle w:val="MDPI22heading2"/>
        <w:spacing w:before="240"/>
        <w:rPr>
          <w:b/>
          <w:bCs/>
          <w:noProof w:val="0"/>
        </w:rPr>
      </w:pPr>
      <w:bookmarkStart w:id="23" w:name="page2"/>
      <w:bookmarkEnd w:id="23"/>
      <w:r w:rsidRPr="00854E40">
        <w:rPr>
          <w:b/>
          <w:bCs/>
          <w:noProof w:val="0"/>
        </w:rPr>
        <w:t xml:space="preserve">2.1. </w:t>
      </w:r>
      <w:r w:rsidR="00330627" w:rsidRPr="00854E40">
        <w:rPr>
          <w:b/>
          <w:bCs/>
          <w:noProof w:val="0"/>
        </w:rPr>
        <w:t>The rating process</w:t>
      </w:r>
    </w:p>
    <w:p w14:paraId="79FE0985" w14:textId="218E2B9C" w:rsidR="007713AF" w:rsidRDefault="001F3D56" w:rsidP="00FB0C53">
      <w:pPr>
        <w:pStyle w:val="MDPI31text"/>
      </w:pPr>
      <w:r>
        <w:t xml:space="preserve">For the first round, 12 panel experts individually rated 78 indicators for clarity and appropriateness. Each of the 78 statements had a median rating of at least </w:t>
      </w:r>
      <w:r w:rsidR="00205DEC">
        <w:t>7</w:t>
      </w:r>
      <w:r w:rsidR="00874CE0">
        <w:t>,</w:t>
      </w:r>
      <w:r>
        <w:t xml:space="preserve"> with agreement for clarity. This means that all statements were considered understandable and unambiguous. In the second round, 10 </w:t>
      </w:r>
      <w:r w:rsidR="00BF6CE3">
        <w:t xml:space="preserve">of the 12 experts </w:t>
      </w:r>
      <w:r>
        <w:t xml:space="preserve">(83.3%) attended the virtual consensus meeting and rated 89 indicators for appropriateness and feasibility. </w:t>
      </w:r>
    </w:p>
    <w:p w14:paraId="751E2FB7" w14:textId="429804F3" w:rsidR="00690507" w:rsidRPr="003D4CE1" w:rsidRDefault="003374E8" w:rsidP="00FB0C53">
      <w:pPr>
        <w:pStyle w:val="MDPI31text"/>
      </w:pPr>
      <w:r>
        <w:t xml:space="preserve">Results for the second round </w:t>
      </w:r>
      <w:r w:rsidR="004A6C7B">
        <w:t xml:space="preserve">of the RAM </w:t>
      </w:r>
      <w:r>
        <w:t xml:space="preserve">are </w:t>
      </w:r>
      <w:r w:rsidR="00FA0941">
        <w:t xml:space="preserve">also </w:t>
      </w:r>
      <w:r>
        <w:t>presented and discussed in this paper.</w:t>
      </w:r>
    </w:p>
    <w:p w14:paraId="525778C3" w14:textId="757352E6" w:rsidR="00B00150" w:rsidRDefault="003C4625" w:rsidP="00517440">
      <w:pPr>
        <w:pStyle w:val="MDPI22heading2"/>
        <w:spacing w:before="240"/>
        <w:rPr>
          <w:b/>
          <w:bCs/>
          <w:noProof w:val="0"/>
        </w:rPr>
      </w:pPr>
      <w:r w:rsidRPr="00540BE5">
        <w:rPr>
          <w:b/>
          <w:bCs/>
          <w:noProof w:val="0"/>
        </w:rPr>
        <w:t>2</w:t>
      </w:r>
      <w:r w:rsidR="007713AF" w:rsidRPr="00540BE5">
        <w:rPr>
          <w:b/>
          <w:bCs/>
          <w:noProof w:val="0"/>
        </w:rPr>
        <w:t>.2</w:t>
      </w:r>
      <w:r w:rsidR="007713AF" w:rsidRPr="003D4CE1">
        <w:rPr>
          <w:noProof w:val="0"/>
        </w:rPr>
        <w:t xml:space="preserve">. </w:t>
      </w:r>
      <w:r w:rsidR="00540BE5" w:rsidRPr="00540BE5">
        <w:rPr>
          <w:b/>
          <w:bCs/>
          <w:noProof w:val="0"/>
        </w:rPr>
        <w:t>Median scores and level of consensus for Round 2</w:t>
      </w:r>
    </w:p>
    <w:p w14:paraId="71095B8D" w14:textId="6B8DE418" w:rsidR="00540BE5" w:rsidRDefault="002668FB" w:rsidP="00FB0C53">
      <w:pPr>
        <w:pStyle w:val="MDPI31text"/>
        <w:rPr>
          <w:iCs/>
        </w:rPr>
      </w:pPr>
      <w:r w:rsidRPr="002668FB">
        <w:rPr>
          <w:iCs/>
        </w:rPr>
        <w:t xml:space="preserve">Table </w:t>
      </w:r>
      <w:r w:rsidR="004E5ED3">
        <w:rPr>
          <w:iCs/>
        </w:rPr>
        <w:t>1</w:t>
      </w:r>
      <w:r w:rsidRPr="002668FB">
        <w:rPr>
          <w:iCs/>
        </w:rPr>
        <w:t xml:space="preserve"> presents a summary of the median scores and level of consensus for the 89 indicators rated in the second round, organized according to the infection categories. Overall, there was agreement for 77 indicators (86.5%) for appropriateness ratings and 75 indicators (84.3%) for feasibility ratings. Indicators in the sexually transmitted infection</w:t>
      </w:r>
      <w:r w:rsidR="00F05A21">
        <w:rPr>
          <w:iCs/>
        </w:rPr>
        <w:t xml:space="preserve"> (STI)</w:t>
      </w:r>
      <w:r w:rsidRPr="002668FB">
        <w:rPr>
          <w:iCs/>
        </w:rPr>
        <w:t xml:space="preserve"> (n=12; 100%), dental infection (n=9; 100%) and general (n=8; 100%) categories had the highest level of agreement for appropriateness</w:t>
      </w:r>
      <w:r w:rsidR="00937E76">
        <w:rPr>
          <w:iCs/>
        </w:rPr>
        <w:t>,</w:t>
      </w:r>
      <w:r w:rsidRPr="002668FB">
        <w:rPr>
          <w:iCs/>
        </w:rPr>
        <w:t xml:space="preserve"> while indicators in the bacterial eye infection category had the lowest level of agreement (n=5; 62.5%). Indicators in the skin and soft tissue infection </w:t>
      </w:r>
      <w:r w:rsidR="00F05A21">
        <w:rPr>
          <w:iCs/>
        </w:rPr>
        <w:t xml:space="preserve">(SSTI) </w:t>
      </w:r>
      <w:r w:rsidRPr="002668FB">
        <w:rPr>
          <w:iCs/>
        </w:rPr>
        <w:t>(n=13; 100%) and dental infection (n=9; 100%) categories had the highest levels of agreement for feasibility</w:t>
      </w:r>
      <w:r w:rsidR="00FA0941">
        <w:rPr>
          <w:iCs/>
        </w:rPr>
        <w:t>,</w:t>
      </w:r>
      <w:r w:rsidRPr="002668FB">
        <w:rPr>
          <w:iCs/>
        </w:rPr>
        <w:t xml:space="preserve"> while indicators in </w:t>
      </w:r>
      <w:r w:rsidRPr="002668FB">
        <w:rPr>
          <w:rFonts w:hint="eastAsia"/>
          <w:iCs/>
        </w:rPr>
        <w:t xml:space="preserve">the </w:t>
      </w:r>
      <w:r w:rsidRPr="002668FB">
        <w:rPr>
          <w:iCs/>
        </w:rPr>
        <w:t>diarrhea</w:t>
      </w:r>
      <w:r w:rsidRPr="002668FB">
        <w:rPr>
          <w:rFonts w:hint="eastAsia"/>
          <w:iCs/>
        </w:rPr>
        <w:t xml:space="preserve"> and enteric fever (n=6; 66.7%) and general (n=4; 50%) categories had the lowest level of agreement. </w:t>
      </w:r>
      <w:r w:rsidR="00213BA6">
        <w:rPr>
          <w:iCs/>
        </w:rPr>
        <w:t xml:space="preserve">Disagreement within a panel </w:t>
      </w:r>
      <w:r w:rsidR="00FA0941">
        <w:rPr>
          <w:iCs/>
        </w:rPr>
        <w:t>using</w:t>
      </w:r>
      <w:r w:rsidR="00213BA6">
        <w:rPr>
          <w:iCs/>
        </w:rPr>
        <w:t xml:space="preserve"> this method is where </w:t>
      </w:r>
      <w:r w:rsidRPr="002668FB">
        <w:rPr>
          <w:rFonts w:hint="eastAsia"/>
          <w:iCs/>
        </w:rPr>
        <w:t xml:space="preserve">≥33% </w:t>
      </w:r>
      <w:r w:rsidR="007B7007">
        <w:rPr>
          <w:iCs/>
        </w:rPr>
        <w:t xml:space="preserve">of panelists </w:t>
      </w:r>
      <w:r w:rsidRPr="002668FB">
        <w:rPr>
          <w:rFonts w:hint="eastAsia"/>
          <w:iCs/>
        </w:rPr>
        <w:t>rated between 1-3</w:t>
      </w:r>
      <w:r w:rsidR="00FA0941">
        <w:rPr>
          <w:iCs/>
        </w:rPr>
        <w:t>,</w:t>
      </w:r>
      <w:r w:rsidRPr="002668FB">
        <w:rPr>
          <w:rFonts w:hint="eastAsia"/>
          <w:iCs/>
        </w:rPr>
        <w:t xml:space="preserve"> and ≥33% rated between 7-9</w:t>
      </w:r>
      <w:r w:rsidR="00213BA6">
        <w:rPr>
          <w:iCs/>
        </w:rPr>
        <w:t xml:space="preserve"> respectively</w:t>
      </w:r>
      <w:r w:rsidR="00FA0941">
        <w:rPr>
          <w:iCs/>
        </w:rPr>
        <w:t>,</w:t>
      </w:r>
      <w:r w:rsidR="00213BA6">
        <w:rPr>
          <w:iCs/>
        </w:rPr>
        <w:t xml:space="preserve"> </w:t>
      </w:r>
      <w:r w:rsidRPr="002668FB">
        <w:rPr>
          <w:rFonts w:hint="eastAsia"/>
          <w:iCs/>
        </w:rPr>
        <w:t>for</w:t>
      </w:r>
      <w:r w:rsidR="00213BA6">
        <w:rPr>
          <w:iCs/>
        </w:rPr>
        <w:t xml:space="preserve"> an indicator</w:t>
      </w:r>
      <w:r w:rsidR="00BC55CF">
        <w:rPr>
          <w:iCs/>
        </w:rPr>
        <w:t>.</w:t>
      </w:r>
      <w:r w:rsidR="00213BA6">
        <w:rPr>
          <w:iCs/>
        </w:rPr>
        <w:t xml:space="preserve"> </w:t>
      </w:r>
      <w:r w:rsidR="00213BA6" w:rsidRPr="002668FB">
        <w:rPr>
          <w:rFonts w:hint="eastAsia"/>
          <w:iCs/>
        </w:rPr>
        <w:t>There was no disagreement</w:t>
      </w:r>
      <w:r w:rsidR="00213BA6">
        <w:rPr>
          <w:iCs/>
        </w:rPr>
        <w:t xml:space="preserve"> for any indicator on</w:t>
      </w:r>
      <w:r w:rsidR="00213BA6" w:rsidRPr="002668FB">
        <w:rPr>
          <w:rFonts w:hint="eastAsia"/>
          <w:iCs/>
        </w:rPr>
        <w:t xml:space="preserve"> </w:t>
      </w:r>
      <w:r w:rsidR="00213BA6">
        <w:rPr>
          <w:iCs/>
        </w:rPr>
        <w:t>either scale of</w:t>
      </w:r>
      <w:r w:rsidR="00213BA6" w:rsidRPr="002668FB">
        <w:rPr>
          <w:rFonts w:hint="eastAsia"/>
          <w:iCs/>
        </w:rPr>
        <w:t xml:space="preserve"> appropriateness </w:t>
      </w:r>
      <w:r w:rsidR="00213BA6">
        <w:rPr>
          <w:iCs/>
        </w:rPr>
        <w:t>or</w:t>
      </w:r>
      <w:r w:rsidR="00213BA6" w:rsidRPr="002668FB">
        <w:rPr>
          <w:rFonts w:hint="eastAsia"/>
          <w:iCs/>
        </w:rPr>
        <w:t xml:space="preserve"> feasibility</w:t>
      </w:r>
      <w:r w:rsidR="00213BA6">
        <w:rPr>
          <w:iCs/>
        </w:rPr>
        <w:t>.</w:t>
      </w:r>
      <w:r w:rsidR="00213BA6" w:rsidRPr="002668FB">
        <w:rPr>
          <w:rFonts w:hint="eastAsia"/>
          <w:iCs/>
        </w:rPr>
        <w:t xml:space="preserve"> </w:t>
      </w:r>
      <w:r w:rsidRPr="002668FB">
        <w:rPr>
          <w:rFonts w:hint="eastAsia"/>
          <w:iCs/>
        </w:rPr>
        <w:t xml:space="preserve">No indicators </w:t>
      </w:r>
      <w:r w:rsidRPr="002668FB">
        <w:rPr>
          <w:iCs/>
        </w:rPr>
        <w:t xml:space="preserve">had a median score of 1-3 for </w:t>
      </w:r>
      <w:r w:rsidR="00213BA6">
        <w:rPr>
          <w:iCs/>
        </w:rPr>
        <w:t>either</w:t>
      </w:r>
      <w:r w:rsidR="00213BA6" w:rsidRPr="002668FB">
        <w:rPr>
          <w:iCs/>
        </w:rPr>
        <w:t xml:space="preserve"> </w:t>
      </w:r>
      <w:r w:rsidRPr="002668FB">
        <w:rPr>
          <w:iCs/>
        </w:rPr>
        <w:t xml:space="preserve">feasibility </w:t>
      </w:r>
      <w:r w:rsidR="00BC55CF">
        <w:rPr>
          <w:iCs/>
        </w:rPr>
        <w:t>or</w:t>
      </w:r>
      <w:r w:rsidRPr="002668FB">
        <w:rPr>
          <w:iCs/>
        </w:rPr>
        <w:t xml:space="preserve"> appropriateness.</w:t>
      </w:r>
    </w:p>
    <w:p w14:paraId="0BEAB92F" w14:textId="77777777" w:rsidR="004D30A7" w:rsidRDefault="004D30A7" w:rsidP="00FB0C53">
      <w:pPr>
        <w:pStyle w:val="MDPI31text"/>
        <w:rPr>
          <w:iCs/>
        </w:rPr>
      </w:pPr>
    </w:p>
    <w:p w14:paraId="08F221DD" w14:textId="77777777" w:rsidR="004D30A7" w:rsidRPr="00FB0C53" w:rsidRDefault="004D30A7" w:rsidP="00FB0C53">
      <w:pPr>
        <w:pStyle w:val="MDPI31text"/>
      </w:pPr>
    </w:p>
    <w:p w14:paraId="07F89077" w14:textId="742C8208" w:rsidR="00FA3C5C" w:rsidRPr="00F95401" w:rsidRDefault="001E7135" w:rsidP="00783D5F">
      <w:pPr>
        <w:spacing w:line="240" w:lineRule="auto"/>
        <w:jc w:val="left"/>
      </w:pPr>
      <w:r>
        <w:rPr>
          <w:b/>
        </w:rPr>
        <w:br w:type="page"/>
      </w:r>
      <w:r w:rsidR="00FA3C5C" w:rsidRPr="003D4CE1">
        <w:rPr>
          <w:b/>
        </w:rPr>
        <w:t>Table 1.</w:t>
      </w:r>
      <w:r w:rsidR="00FA3C5C" w:rsidRPr="003D4CE1">
        <w:t xml:space="preserve"> </w:t>
      </w:r>
      <w:r w:rsidR="00FA3C5C">
        <w:t xml:space="preserve">Summary of </w:t>
      </w:r>
      <w:r w:rsidR="007B7007">
        <w:t>R</w:t>
      </w:r>
      <w:r w:rsidR="00FA3C5C">
        <w:t>ound 2 appropriateness and feasibility ratings</w:t>
      </w:r>
    </w:p>
    <w:tbl>
      <w:tblPr>
        <w:tblStyle w:val="TableGrid"/>
        <w:tblW w:w="0" w:type="auto"/>
        <w:tblInd w:w="-5" w:type="dxa"/>
        <w:shd w:val="clear" w:color="auto" w:fill="FFFFFF" w:themeFill="background1"/>
        <w:tblLook w:val="04A0" w:firstRow="1" w:lastRow="0" w:firstColumn="1" w:lastColumn="0" w:noHBand="0" w:noVBand="1"/>
      </w:tblPr>
      <w:tblGrid>
        <w:gridCol w:w="2410"/>
        <w:gridCol w:w="851"/>
        <w:gridCol w:w="850"/>
        <w:gridCol w:w="851"/>
        <w:gridCol w:w="1134"/>
        <w:gridCol w:w="850"/>
        <w:gridCol w:w="992"/>
        <w:gridCol w:w="851"/>
        <w:gridCol w:w="850"/>
        <w:gridCol w:w="822"/>
      </w:tblGrid>
      <w:tr w:rsidR="00FA3C5C" w:rsidRPr="00CE4879" w14:paraId="58180D0E" w14:textId="77777777" w:rsidTr="00E02A7E">
        <w:trPr>
          <w:trHeight w:val="344"/>
        </w:trPr>
        <w:tc>
          <w:tcPr>
            <w:tcW w:w="2410" w:type="dxa"/>
            <w:vMerge w:val="restart"/>
            <w:shd w:val="clear" w:color="auto" w:fill="FFFFFF" w:themeFill="background1"/>
            <w:vAlign w:val="center"/>
          </w:tcPr>
          <w:p w14:paraId="65CAC8E5" w14:textId="77777777" w:rsidR="00FA3C5C" w:rsidRPr="00CE4879" w:rsidRDefault="00FA3C5C" w:rsidP="009D4D48">
            <w:pPr>
              <w:spacing w:line="240" w:lineRule="auto"/>
              <w:jc w:val="center"/>
              <w:rPr>
                <w:sz w:val="16"/>
                <w:szCs w:val="16"/>
              </w:rPr>
            </w:pPr>
          </w:p>
        </w:tc>
        <w:tc>
          <w:tcPr>
            <w:tcW w:w="8051" w:type="dxa"/>
            <w:gridSpan w:val="9"/>
            <w:shd w:val="clear" w:color="auto" w:fill="FFFFFF" w:themeFill="background1"/>
            <w:vAlign w:val="center"/>
          </w:tcPr>
          <w:p w14:paraId="2F89E4B7" w14:textId="77777777" w:rsidR="00FA3C5C" w:rsidRPr="00CE4879" w:rsidRDefault="00FA3C5C" w:rsidP="009D4D48">
            <w:pPr>
              <w:spacing w:line="240" w:lineRule="auto"/>
              <w:jc w:val="center"/>
              <w:rPr>
                <w:b/>
                <w:bCs/>
                <w:sz w:val="16"/>
                <w:szCs w:val="16"/>
              </w:rPr>
            </w:pPr>
            <w:r w:rsidRPr="00CE4879">
              <w:rPr>
                <w:b/>
                <w:bCs/>
                <w:sz w:val="16"/>
                <w:szCs w:val="16"/>
              </w:rPr>
              <w:t>Infection categories</w:t>
            </w:r>
          </w:p>
        </w:tc>
      </w:tr>
      <w:tr w:rsidR="00CE4879" w:rsidRPr="00CE4879" w14:paraId="47181E0C" w14:textId="77777777" w:rsidTr="005C7C4A">
        <w:trPr>
          <w:trHeight w:val="434"/>
        </w:trPr>
        <w:tc>
          <w:tcPr>
            <w:tcW w:w="2410" w:type="dxa"/>
            <w:vMerge/>
            <w:shd w:val="clear" w:color="auto" w:fill="FFFFFF" w:themeFill="background1"/>
            <w:vAlign w:val="center"/>
          </w:tcPr>
          <w:p w14:paraId="2DB9C45A" w14:textId="77777777" w:rsidR="00FA3C5C" w:rsidRPr="00CE4879" w:rsidRDefault="00FA3C5C" w:rsidP="009D4D48">
            <w:pPr>
              <w:spacing w:line="240" w:lineRule="auto"/>
              <w:jc w:val="center"/>
              <w:rPr>
                <w:sz w:val="16"/>
                <w:szCs w:val="16"/>
              </w:rPr>
            </w:pPr>
          </w:p>
        </w:tc>
        <w:tc>
          <w:tcPr>
            <w:tcW w:w="851" w:type="dxa"/>
            <w:shd w:val="clear" w:color="auto" w:fill="FFFFFF" w:themeFill="background1"/>
            <w:vAlign w:val="center"/>
          </w:tcPr>
          <w:p w14:paraId="4AAE8A9C" w14:textId="77777777" w:rsidR="00FA3C5C" w:rsidRPr="00CE4879" w:rsidRDefault="00FA3C5C" w:rsidP="009D4D48">
            <w:pPr>
              <w:spacing w:line="240" w:lineRule="auto"/>
              <w:jc w:val="center"/>
              <w:rPr>
                <w:b/>
                <w:bCs/>
                <w:sz w:val="16"/>
                <w:szCs w:val="16"/>
              </w:rPr>
            </w:pPr>
            <w:r w:rsidRPr="00CE4879">
              <w:rPr>
                <w:b/>
                <w:bCs/>
                <w:sz w:val="16"/>
                <w:szCs w:val="16"/>
              </w:rPr>
              <w:t>RTI</w:t>
            </w:r>
          </w:p>
        </w:tc>
        <w:tc>
          <w:tcPr>
            <w:tcW w:w="850" w:type="dxa"/>
            <w:shd w:val="clear" w:color="auto" w:fill="FFFFFF" w:themeFill="background1"/>
            <w:vAlign w:val="center"/>
          </w:tcPr>
          <w:p w14:paraId="25085B50" w14:textId="77777777" w:rsidR="00FA3C5C" w:rsidRPr="00CE4879" w:rsidRDefault="00FA3C5C" w:rsidP="009D4D48">
            <w:pPr>
              <w:spacing w:line="240" w:lineRule="auto"/>
              <w:jc w:val="center"/>
              <w:rPr>
                <w:b/>
                <w:bCs/>
                <w:sz w:val="16"/>
                <w:szCs w:val="16"/>
              </w:rPr>
            </w:pPr>
            <w:r w:rsidRPr="00CE4879">
              <w:rPr>
                <w:b/>
                <w:bCs/>
                <w:sz w:val="16"/>
                <w:szCs w:val="16"/>
              </w:rPr>
              <w:t>LUTI</w:t>
            </w:r>
          </w:p>
        </w:tc>
        <w:tc>
          <w:tcPr>
            <w:tcW w:w="851" w:type="dxa"/>
            <w:shd w:val="clear" w:color="auto" w:fill="FFFFFF" w:themeFill="background1"/>
            <w:vAlign w:val="center"/>
          </w:tcPr>
          <w:p w14:paraId="4CA3E155" w14:textId="77777777" w:rsidR="00FA3C5C" w:rsidRPr="00CE4879" w:rsidRDefault="00FA3C5C" w:rsidP="009D4D48">
            <w:pPr>
              <w:spacing w:line="240" w:lineRule="auto"/>
              <w:jc w:val="center"/>
              <w:rPr>
                <w:b/>
                <w:bCs/>
                <w:sz w:val="16"/>
                <w:szCs w:val="16"/>
              </w:rPr>
            </w:pPr>
            <w:r w:rsidRPr="00CE4879">
              <w:rPr>
                <w:b/>
                <w:bCs/>
                <w:sz w:val="16"/>
                <w:szCs w:val="16"/>
              </w:rPr>
              <w:t>SSTI</w:t>
            </w:r>
          </w:p>
        </w:tc>
        <w:tc>
          <w:tcPr>
            <w:tcW w:w="1134" w:type="dxa"/>
            <w:shd w:val="clear" w:color="auto" w:fill="FFFFFF" w:themeFill="background1"/>
            <w:vAlign w:val="center"/>
          </w:tcPr>
          <w:p w14:paraId="4608487B" w14:textId="77777777" w:rsidR="00FA3C5C" w:rsidRPr="00CE4879" w:rsidRDefault="00FA3C5C" w:rsidP="009D4D48">
            <w:pPr>
              <w:spacing w:line="240" w:lineRule="auto"/>
              <w:jc w:val="center"/>
              <w:rPr>
                <w:b/>
                <w:bCs/>
                <w:sz w:val="16"/>
                <w:szCs w:val="16"/>
              </w:rPr>
            </w:pPr>
            <w:r w:rsidRPr="00CE4879">
              <w:rPr>
                <w:b/>
                <w:bCs/>
                <w:sz w:val="16"/>
                <w:szCs w:val="16"/>
              </w:rPr>
              <w:t>Diarrhea &amp; enteric fever</w:t>
            </w:r>
          </w:p>
        </w:tc>
        <w:tc>
          <w:tcPr>
            <w:tcW w:w="850" w:type="dxa"/>
            <w:shd w:val="clear" w:color="auto" w:fill="FFFFFF" w:themeFill="background1"/>
            <w:vAlign w:val="center"/>
          </w:tcPr>
          <w:p w14:paraId="46D15EEA" w14:textId="77777777" w:rsidR="00FA3C5C" w:rsidRPr="00CE4879" w:rsidRDefault="00FA3C5C" w:rsidP="009D4D48">
            <w:pPr>
              <w:spacing w:line="240" w:lineRule="auto"/>
              <w:jc w:val="center"/>
              <w:rPr>
                <w:b/>
                <w:bCs/>
                <w:sz w:val="16"/>
                <w:szCs w:val="16"/>
              </w:rPr>
            </w:pPr>
            <w:r w:rsidRPr="00CE4879">
              <w:rPr>
                <w:b/>
                <w:bCs/>
                <w:sz w:val="16"/>
                <w:szCs w:val="16"/>
              </w:rPr>
              <w:t>STI</w:t>
            </w:r>
          </w:p>
        </w:tc>
        <w:tc>
          <w:tcPr>
            <w:tcW w:w="992" w:type="dxa"/>
            <w:shd w:val="clear" w:color="auto" w:fill="FFFFFF" w:themeFill="background1"/>
            <w:vAlign w:val="center"/>
          </w:tcPr>
          <w:p w14:paraId="693314BE" w14:textId="77777777" w:rsidR="00FA3C5C" w:rsidRPr="00CE4879" w:rsidRDefault="00FA3C5C" w:rsidP="009D4D48">
            <w:pPr>
              <w:spacing w:line="240" w:lineRule="auto"/>
              <w:jc w:val="center"/>
              <w:rPr>
                <w:b/>
                <w:bCs/>
                <w:sz w:val="16"/>
                <w:szCs w:val="16"/>
              </w:rPr>
            </w:pPr>
            <w:r w:rsidRPr="00CE4879">
              <w:rPr>
                <w:b/>
                <w:bCs/>
                <w:sz w:val="16"/>
                <w:szCs w:val="16"/>
              </w:rPr>
              <w:t>Bacterial eye</w:t>
            </w:r>
          </w:p>
        </w:tc>
        <w:tc>
          <w:tcPr>
            <w:tcW w:w="851" w:type="dxa"/>
            <w:shd w:val="clear" w:color="auto" w:fill="FFFFFF" w:themeFill="background1"/>
            <w:vAlign w:val="center"/>
          </w:tcPr>
          <w:p w14:paraId="67AF9FC7" w14:textId="77777777" w:rsidR="00FA3C5C" w:rsidRPr="00CE4879" w:rsidRDefault="00FA3C5C" w:rsidP="009D4D48">
            <w:pPr>
              <w:spacing w:line="240" w:lineRule="auto"/>
              <w:jc w:val="center"/>
              <w:rPr>
                <w:b/>
                <w:bCs/>
                <w:sz w:val="16"/>
                <w:szCs w:val="16"/>
              </w:rPr>
            </w:pPr>
            <w:r w:rsidRPr="00CE4879">
              <w:rPr>
                <w:b/>
                <w:bCs/>
                <w:sz w:val="16"/>
                <w:szCs w:val="16"/>
              </w:rPr>
              <w:t>Dental</w:t>
            </w:r>
          </w:p>
        </w:tc>
        <w:tc>
          <w:tcPr>
            <w:tcW w:w="850" w:type="dxa"/>
            <w:shd w:val="clear" w:color="auto" w:fill="FFFFFF" w:themeFill="background1"/>
            <w:vAlign w:val="center"/>
          </w:tcPr>
          <w:p w14:paraId="57917E91" w14:textId="77777777" w:rsidR="00FA3C5C" w:rsidRPr="00CE4879" w:rsidRDefault="00FA3C5C" w:rsidP="009D4D48">
            <w:pPr>
              <w:spacing w:line="240" w:lineRule="auto"/>
              <w:jc w:val="center"/>
              <w:rPr>
                <w:b/>
                <w:bCs/>
                <w:sz w:val="16"/>
                <w:szCs w:val="16"/>
              </w:rPr>
            </w:pPr>
            <w:r w:rsidRPr="00CE4879">
              <w:rPr>
                <w:b/>
                <w:bCs/>
                <w:sz w:val="16"/>
                <w:szCs w:val="16"/>
              </w:rPr>
              <w:t>General</w:t>
            </w:r>
          </w:p>
        </w:tc>
        <w:tc>
          <w:tcPr>
            <w:tcW w:w="822" w:type="dxa"/>
            <w:shd w:val="clear" w:color="auto" w:fill="FFFFFF" w:themeFill="background1"/>
            <w:vAlign w:val="center"/>
          </w:tcPr>
          <w:p w14:paraId="03B16263" w14:textId="77777777" w:rsidR="00FA3C5C" w:rsidRPr="00CE4879" w:rsidRDefault="00FA3C5C" w:rsidP="009D4D48">
            <w:pPr>
              <w:spacing w:line="240" w:lineRule="auto"/>
              <w:jc w:val="center"/>
              <w:rPr>
                <w:b/>
                <w:bCs/>
                <w:sz w:val="16"/>
                <w:szCs w:val="16"/>
              </w:rPr>
            </w:pPr>
            <w:r w:rsidRPr="00CE4879">
              <w:rPr>
                <w:b/>
                <w:bCs/>
                <w:sz w:val="16"/>
                <w:szCs w:val="16"/>
              </w:rPr>
              <w:t>Total</w:t>
            </w:r>
          </w:p>
        </w:tc>
      </w:tr>
      <w:tr w:rsidR="00CE4879" w:rsidRPr="00CE4879" w14:paraId="1E6FC63C" w14:textId="77777777" w:rsidTr="00E02A7E">
        <w:trPr>
          <w:trHeight w:val="163"/>
        </w:trPr>
        <w:tc>
          <w:tcPr>
            <w:tcW w:w="2410" w:type="dxa"/>
            <w:shd w:val="clear" w:color="auto" w:fill="FFFFFF" w:themeFill="background1"/>
            <w:vAlign w:val="center"/>
          </w:tcPr>
          <w:p w14:paraId="0345810A" w14:textId="77777777" w:rsidR="00FA3C5C" w:rsidRPr="00CE4879" w:rsidRDefault="00FA3C5C" w:rsidP="009D4D48">
            <w:pPr>
              <w:spacing w:line="240" w:lineRule="auto"/>
              <w:jc w:val="left"/>
              <w:rPr>
                <w:b/>
                <w:bCs/>
                <w:sz w:val="16"/>
                <w:szCs w:val="16"/>
              </w:rPr>
            </w:pPr>
            <w:r w:rsidRPr="00CE4879">
              <w:rPr>
                <w:b/>
                <w:bCs/>
                <w:sz w:val="16"/>
                <w:szCs w:val="16"/>
              </w:rPr>
              <w:t>Indicators (n)</w:t>
            </w:r>
          </w:p>
        </w:tc>
        <w:tc>
          <w:tcPr>
            <w:tcW w:w="851" w:type="dxa"/>
            <w:shd w:val="clear" w:color="auto" w:fill="FFFFFF" w:themeFill="background1"/>
            <w:vAlign w:val="center"/>
          </w:tcPr>
          <w:p w14:paraId="1C740579" w14:textId="77777777" w:rsidR="00FA3C5C" w:rsidRPr="00CE4879" w:rsidRDefault="00FA3C5C" w:rsidP="009D4D48">
            <w:pPr>
              <w:spacing w:line="240" w:lineRule="auto"/>
              <w:jc w:val="center"/>
              <w:rPr>
                <w:b/>
                <w:bCs/>
                <w:sz w:val="16"/>
                <w:szCs w:val="16"/>
              </w:rPr>
            </w:pPr>
            <w:r w:rsidRPr="00CE4879">
              <w:rPr>
                <w:b/>
                <w:bCs/>
                <w:sz w:val="16"/>
                <w:szCs w:val="16"/>
              </w:rPr>
              <w:t>19</w:t>
            </w:r>
          </w:p>
        </w:tc>
        <w:tc>
          <w:tcPr>
            <w:tcW w:w="850" w:type="dxa"/>
            <w:shd w:val="clear" w:color="auto" w:fill="FFFFFF" w:themeFill="background1"/>
            <w:vAlign w:val="center"/>
          </w:tcPr>
          <w:p w14:paraId="2A02A636" w14:textId="77777777" w:rsidR="00FA3C5C" w:rsidRPr="00CE4879" w:rsidRDefault="00FA3C5C" w:rsidP="009D4D48">
            <w:pPr>
              <w:spacing w:line="240" w:lineRule="auto"/>
              <w:jc w:val="center"/>
              <w:rPr>
                <w:b/>
                <w:bCs/>
                <w:sz w:val="16"/>
                <w:szCs w:val="16"/>
              </w:rPr>
            </w:pPr>
            <w:r w:rsidRPr="00CE4879">
              <w:rPr>
                <w:b/>
                <w:bCs/>
                <w:sz w:val="16"/>
                <w:szCs w:val="16"/>
              </w:rPr>
              <w:t>11</w:t>
            </w:r>
          </w:p>
        </w:tc>
        <w:tc>
          <w:tcPr>
            <w:tcW w:w="851" w:type="dxa"/>
            <w:shd w:val="clear" w:color="auto" w:fill="FFFFFF" w:themeFill="background1"/>
            <w:vAlign w:val="center"/>
          </w:tcPr>
          <w:p w14:paraId="42AF3963" w14:textId="77777777" w:rsidR="00FA3C5C" w:rsidRPr="00CE4879" w:rsidRDefault="00FA3C5C" w:rsidP="009D4D48">
            <w:pPr>
              <w:spacing w:line="240" w:lineRule="auto"/>
              <w:jc w:val="center"/>
              <w:rPr>
                <w:b/>
                <w:bCs/>
                <w:sz w:val="16"/>
                <w:szCs w:val="16"/>
              </w:rPr>
            </w:pPr>
            <w:r w:rsidRPr="00CE4879">
              <w:rPr>
                <w:b/>
                <w:bCs/>
                <w:sz w:val="16"/>
                <w:szCs w:val="16"/>
              </w:rPr>
              <w:t>13</w:t>
            </w:r>
          </w:p>
        </w:tc>
        <w:tc>
          <w:tcPr>
            <w:tcW w:w="1134" w:type="dxa"/>
            <w:shd w:val="clear" w:color="auto" w:fill="FFFFFF" w:themeFill="background1"/>
            <w:vAlign w:val="center"/>
          </w:tcPr>
          <w:p w14:paraId="573967A6" w14:textId="77777777" w:rsidR="00FA3C5C" w:rsidRPr="00CE4879" w:rsidRDefault="00FA3C5C" w:rsidP="009D4D48">
            <w:pPr>
              <w:spacing w:line="240" w:lineRule="auto"/>
              <w:jc w:val="center"/>
              <w:rPr>
                <w:b/>
                <w:bCs/>
                <w:sz w:val="16"/>
                <w:szCs w:val="16"/>
              </w:rPr>
            </w:pPr>
            <w:r w:rsidRPr="00CE4879">
              <w:rPr>
                <w:b/>
                <w:bCs/>
                <w:sz w:val="16"/>
                <w:szCs w:val="16"/>
              </w:rPr>
              <w:t>9</w:t>
            </w:r>
          </w:p>
        </w:tc>
        <w:tc>
          <w:tcPr>
            <w:tcW w:w="850" w:type="dxa"/>
            <w:shd w:val="clear" w:color="auto" w:fill="FFFFFF" w:themeFill="background1"/>
            <w:vAlign w:val="center"/>
          </w:tcPr>
          <w:p w14:paraId="504A3F98" w14:textId="77777777" w:rsidR="00FA3C5C" w:rsidRPr="00CE4879" w:rsidRDefault="00FA3C5C" w:rsidP="009D4D48">
            <w:pPr>
              <w:spacing w:line="240" w:lineRule="auto"/>
              <w:jc w:val="center"/>
              <w:rPr>
                <w:b/>
                <w:bCs/>
                <w:sz w:val="16"/>
                <w:szCs w:val="16"/>
              </w:rPr>
            </w:pPr>
            <w:r w:rsidRPr="00CE4879">
              <w:rPr>
                <w:b/>
                <w:bCs/>
                <w:sz w:val="16"/>
                <w:szCs w:val="16"/>
              </w:rPr>
              <w:t>12</w:t>
            </w:r>
          </w:p>
        </w:tc>
        <w:tc>
          <w:tcPr>
            <w:tcW w:w="992" w:type="dxa"/>
            <w:shd w:val="clear" w:color="auto" w:fill="FFFFFF" w:themeFill="background1"/>
            <w:vAlign w:val="center"/>
          </w:tcPr>
          <w:p w14:paraId="4B768076" w14:textId="77777777" w:rsidR="00FA3C5C" w:rsidRPr="00CE4879" w:rsidRDefault="00FA3C5C" w:rsidP="009D4D48">
            <w:pPr>
              <w:spacing w:line="240" w:lineRule="auto"/>
              <w:jc w:val="center"/>
              <w:rPr>
                <w:b/>
                <w:bCs/>
                <w:sz w:val="16"/>
                <w:szCs w:val="16"/>
              </w:rPr>
            </w:pPr>
            <w:r w:rsidRPr="00CE4879">
              <w:rPr>
                <w:b/>
                <w:bCs/>
                <w:sz w:val="16"/>
                <w:szCs w:val="16"/>
              </w:rPr>
              <w:t>8</w:t>
            </w:r>
          </w:p>
        </w:tc>
        <w:tc>
          <w:tcPr>
            <w:tcW w:w="851" w:type="dxa"/>
            <w:shd w:val="clear" w:color="auto" w:fill="FFFFFF" w:themeFill="background1"/>
            <w:vAlign w:val="center"/>
          </w:tcPr>
          <w:p w14:paraId="1C2B0B55" w14:textId="77777777" w:rsidR="00FA3C5C" w:rsidRPr="00CE4879" w:rsidRDefault="00FA3C5C" w:rsidP="009D4D48">
            <w:pPr>
              <w:spacing w:line="240" w:lineRule="auto"/>
              <w:jc w:val="center"/>
              <w:rPr>
                <w:b/>
                <w:bCs/>
                <w:sz w:val="16"/>
                <w:szCs w:val="16"/>
              </w:rPr>
            </w:pPr>
            <w:r w:rsidRPr="00CE4879">
              <w:rPr>
                <w:b/>
                <w:bCs/>
                <w:sz w:val="16"/>
                <w:szCs w:val="16"/>
              </w:rPr>
              <w:t>9</w:t>
            </w:r>
          </w:p>
        </w:tc>
        <w:tc>
          <w:tcPr>
            <w:tcW w:w="850" w:type="dxa"/>
            <w:shd w:val="clear" w:color="auto" w:fill="FFFFFF" w:themeFill="background1"/>
            <w:vAlign w:val="center"/>
          </w:tcPr>
          <w:p w14:paraId="3A5E74E6" w14:textId="77777777" w:rsidR="00FA3C5C" w:rsidRPr="00CE4879" w:rsidRDefault="00FA3C5C" w:rsidP="009D4D48">
            <w:pPr>
              <w:spacing w:line="240" w:lineRule="auto"/>
              <w:jc w:val="center"/>
              <w:rPr>
                <w:b/>
                <w:bCs/>
                <w:sz w:val="16"/>
                <w:szCs w:val="16"/>
              </w:rPr>
            </w:pPr>
            <w:r w:rsidRPr="00CE4879">
              <w:rPr>
                <w:b/>
                <w:bCs/>
                <w:sz w:val="16"/>
                <w:szCs w:val="16"/>
              </w:rPr>
              <w:t>8</w:t>
            </w:r>
          </w:p>
        </w:tc>
        <w:tc>
          <w:tcPr>
            <w:tcW w:w="822" w:type="dxa"/>
            <w:shd w:val="clear" w:color="auto" w:fill="FFFFFF" w:themeFill="background1"/>
            <w:vAlign w:val="center"/>
          </w:tcPr>
          <w:p w14:paraId="54B77E29" w14:textId="77777777" w:rsidR="00FA3C5C" w:rsidRPr="00CE4879" w:rsidRDefault="00FA3C5C" w:rsidP="009D4D48">
            <w:pPr>
              <w:spacing w:line="240" w:lineRule="auto"/>
              <w:jc w:val="center"/>
              <w:rPr>
                <w:b/>
                <w:bCs/>
                <w:sz w:val="16"/>
                <w:szCs w:val="16"/>
              </w:rPr>
            </w:pPr>
            <w:r w:rsidRPr="00CE4879">
              <w:rPr>
                <w:b/>
                <w:bCs/>
                <w:sz w:val="16"/>
                <w:szCs w:val="16"/>
              </w:rPr>
              <w:t>89</w:t>
            </w:r>
          </w:p>
        </w:tc>
      </w:tr>
      <w:tr w:rsidR="00FA3C5C" w:rsidRPr="00CE4879" w14:paraId="5199164C" w14:textId="77777777" w:rsidTr="00CE4879">
        <w:trPr>
          <w:trHeight w:val="180"/>
        </w:trPr>
        <w:tc>
          <w:tcPr>
            <w:tcW w:w="10461" w:type="dxa"/>
            <w:gridSpan w:val="10"/>
            <w:shd w:val="clear" w:color="auto" w:fill="FFFFFF" w:themeFill="background1"/>
            <w:vAlign w:val="center"/>
          </w:tcPr>
          <w:p w14:paraId="4114AF62" w14:textId="77777777" w:rsidR="00FA3C5C" w:rsidRPr="00CE4879" w:rsidRDefault="00FA3C5C" w:rsidP="009D4D48">
            <w:pPr>
              <w:spacing w:line="240" w:lineRule="auto"/>
              <w:jc w:val="center"/>
              <w:rPr>
                <w:b/>
                <w:bCs/>
                <w:sz w:val="16"/>
                <w:szCs w:val="16"/>
              </w:rPr>
            </w:pPr>
            <w:r w:rsidRPr="00CE4879">
              <w:rPr>
                <w:b/>
                <w:bCs/>
                <w:sz w:val="16"/>
                <w:szCs w:val="16"/>
              </w:rPr>
              <w:t>Appropriateness: Median scores</w:t>
            </w:r>
          </w:p>
        </w:tc>
      </w:tr>
      <w:tr w:rsidR="00CE4879" w:rsidRPr="00CE4879" w14:paraId="3F39AC69" w14:textId="77777777" w:rsidTr="00E02A7E">
        <w:trPr>
          <w:trHeight w:val="248"/>
        </w:trPr>
        <w:tc>
          <w:tcPr>
            <w:tcW w:w="2410" w:type="dxa"/>
            <w:shd w:val="clear" w:color="auto" w:fill="FFFFFF" w:themeFill="background1"/>
            <w:vAlign w:val="center"/>
          </w:tcPr>
          <w:p w14:paraId="78F93753" w14:textId="120D07A4" w:rsidR="00FA3C5C" w:rsidRPr="00CE4879" w:rsidRDefault="00FA3C5C" w:rsidP="009D4D48">
            <w:pPr>
              <w:spacing w:line="240" w:lineRule="auto"/>
              <w:jc w:val="left"/>
              <w:rPr>
                <w:sz w:val="16"/>
                <w:szCs w:val="16"/>
              </w:rPr>
            </w:pPr>
            <w:r w:rsidRPr="00CE4879">
              <w:rPr>
                <w:sz w:val="16"/>
                <w:szCs w:val="16"/>
              </w:rPr>
              <w:t>7-9 (appropriate)</w:t>
            </w:r>
            <w:r w:rsidR="009D4D48" w:rsidRPr="00CE4879">
              <w:rPr>
                <w:sz w:val="16"/>
                <w:szCs w:val="16"/>
              </w:rPr>
              <w:t>;</w:t>
            </w:r>
            <w:r w:rsidRPr="00CE4879">
              <w:rPr>
                <w:sz w:val="16"/>
                <w:szCs w:val="16"/>
              </w:rPr>
              <w:t xml:space="preserve"> n (%)</w:t>
            </w:r>
          </w:p>
        </w:tc>
        <w:tc>
          <w:tcPr>
            <w:tcW w:w="851" w:type="dxa"/>
            <w:shd w:val="clear" w:color="auto" w:fill="FFFFFF" w:themeFill="background1"/>
            <w:vAlign w:val="center"/>
          </w:tcPr>
          <w:p w14:paraId="0BCC6391" w14:textId="77777777" w:rsidR="00FA3C5C" w:rsidRPr="00CE4879" w:rsidRDefault="00FA3C5C" w:rsidP="009D4D48">
            <w:pPr>
              <w:spacing w:line="240" w:lineRule="auto"/>
              <w:jc w:val="center"/>
              <w:rPr>
                <w:sz w:val="16"/>
                <w:szCs w:val="16"/>
              </w:rPr>
            </w:pPr>
            <w:r w:rsidRPr="00CE4879">
              <w:rPr>
                <w:sz w:val="16"/>
                <w:szCs w:val="16"/>
              </w:rPr>
              <w:t>19 (100%)</w:t>
            </w:r>
          </w:p>
        </w:tc>
        <w:tc>
          <w:tcPr>
            <w:tcW w:w="850" w:type="dxa"/>
            <w:shd w:val="clear" w:color="auto" w:fill="FFFFFF" w:themeFill="background1"/>
            <w:vAlign w:val="center"/>
          </w:tcPr>
          <w:p w14:paraId="3B146142" w14:textId="77777777" w:rsidR="00FA3C5C" w:rsidRPr="00CE4879" w:rsidRDefault="00FA3C5C" w:rsidP="009D4D48">
            <w:pPr>
              <w:spacing w:line="240" w:lineRule="auto"/>
              <w:jc w:val="center"/>
              <w:rPr>
                <w:sz w:val="16"/>
                <w:szCs w:val="16"/>
              </w:rPr>
            </w:pPr>
            <w:r w:rsidRPr="00CE4879">
              <w:rPr>
                <w:sz w:val="16"/>
                <w:szCs w:val="16"/>
              </w:rPr>
              <w:t>11 (100%)</w:t>
            </w:r>
          </w:p>
        </w:tc>
        <w:tc>
          <w:tcPr>
            <w:tcW w:w="851" w:type="dxa"/>
            <w:shd w:val="clear" w:color="auto" w:fill="FFFFFF" w:themeFill="background1"/>
            <w:vAlign w:val="center"/>
          </w:tcPr>
          <w:p w14:paraId="17E3E191" w14:textId="77777777" w:rsidR="00FA3C5C" w:rsidRPr="00CE4879" w:rsidRDefault="00FA3C5C" w:rsidP="009D4D48">
            <w:pPr>
              <w:spacing w:line="240" w:lineRule="auto"/>
              <w:jc w:val="center"/>
              <w:rPr>
                <w:sz w:val="16"/>
                <w:szCs w:val="16"/>
              </w:rPr>
            </w:pPr>
            <w:r w:rsidRPr="00CE4879">
              <w:rPr>
                <w:sz w:val="16"/>
                <w:szCs w:val="16"/>
              </w:rPr>
              <w:t>13 (100%)</w:t>
            </w:r>
          </w:p>
        </w:tc>
        <w:tc>
          <w:tcPr>
            <w:tcW w:w="1134" w:type="dxa"/>
            <w:shd w:val="clear" w:color="auto" w:fill="FFFFFF" w:themeFill="background1"/>
            <w:vAlign w:val="center"/>
          </w:tcPr>
          <w:p w14:paraId="1C51412F" w14:textId="528ABE00" w:rsidR="00FA3C5C" w:rsidRPr="00CE4879" w:rsidRDefault="00FA3C5C" w:rsidP="009D4D48">
            <w:pPr>
              <w:spacing w:line="240" w:lineRule="auto"/>
              <w:jc w:val="center"/>
              <w:rPr>
                <w:sz w:val="16"/>
                <w:szCs w:val="16"/>
              </w:rPr>
            </w:pPr>
            <w:r w:rsidRPr="00CE4879">
              <w:rPr>
                <w:sz w:val="16"/>
                <w:szCs w:val="16"/>
              </w:rPr>
              <w:t xml:space="preserve">9 </w:t>
            </w:r>
            <w:r w:rsidR="00E02A7E">
              <w:rPr>
                <w:sz w:val="16"/>
                <w:szCs w:val="16"/>
              </w:rPr>
              <w:br/>
            </w:r>
            <w:r w:rsidRPr="00CE4879">
              <w:rPr>
                <w:sz w:val="16"/>
                <w:szCs w:val="16"/>
              </w:rPr>
              <w:t>(100%)</w:t>
            </w:r>
          </w:p>
        </w:tc>
        <w:tc>
          <w:tcPr>
            <w:tcW w:w="850" w:type="dxa"/>
            <w:shd w:val="clear" w:color="auto" w:fill="FFFFFF" w:themeFill="background1"/>
            <w:vAlign w:val="center"/>
          </w:tcPr>
          <w:p w14:paraId="743E62D1" w14:textId="77777777" w:rsidR="00FA3C5C" w:rsidRPr="00CE4879" w:rsidRDefault="00FA3C5C" w:rsidP="009D4D48">
            <w:pPr>
              <w:spacing w:line="240" w:lineRule="auto"/>
              <w:jc w:val="center"/>
              <w:rPr>
                <w:sz w:val="16"/>
                <w:szCs w:val="16"/>
              </w:rPr>
            </w:pPr>
            <w:r w:rsidRPr="00CE4879">
              <w:rPr>
                <w:sz w:val="16"/>
                <w:szCs w:val="16"/>
              </w:rPr>
              <w:t>12 (100%)</w:t>
            </w:r>
          </w:p>
        </w:tc>
        <w:tc>
          <w:tcPr>
            <w:tcW w:w="992" w:type="dxa"/>
            <w:shd w:val="clear" w:color="auto" w:fill="FFFFFF" w:themeFill="background1"/>
            <w:vAlign w:val="center"/>
          </w:tcPr>
          <w:p w14:paraId="1861D55A" w14:textId="09F8B897" w:rsidR="00FA3C5C" w:rsidRPr="00CE4879" w:rsidRDefault="00FA3C5C" w:rsidP="009D4D48">
            <w:pPr>
              <w:spacing w:line="240" w:lineRule="auto"/>
              <w:jc w:val="center"/>
              <w:rPr>
                <w:sz w:val="16"/>
                <w:szCs w:val="16"/>
              </w:rPr>
            </w:pPr>
            <w:r w:rsidRPr="00CE4879">
              <w:rPr>
                <w:sz w:val="16"/>
                <w:szCs w:val="16"/>
              </w:rPr>
              <w:t xml:space="preserve">8 </w:t>
            </w:r>
            <w:r w:rsidR="00E02A7E">
              <w:rPr>
                <w:sz w:val="16"/>
                <w:szCs w:val="16"/>
              </w:rPr>
              <w:br/>
            </w:r>
            <w:r w:rsidRPr="00CE4879">
              <w:rPr>
                <w:sz w:val="16"/>
                <w:szCs w:val="16"/>
              </w:rPr>
              <w:t>(100%)</w:t>
            </w:r>
          </w:p>
        </w:tc>
        <w:tc>
          <w:tcPr>
            <w:tcW w:w="851" w:type="dxa"/>
            <w:shd w:val="clear" w:color="auto" w:fill="FFFFFF" w:themeFill="background1"/>
            <w:vAlign w:val="center"/>
          </w:tcPr>
          <w:p w14:paraId="7C42A70C" w14:textId="07D2C97F" w:rsidR="00FA3C5C" w:rsidRPr="00CE4879" w:rsidRDefault="00FA3C5C" w:rsidP="009D4D48">
            <w:pPr>
              <w:spacing w:line="240" w:lineRule="auto"/>
              <w:jc w:val="center"/>
              <w:rPr>
                <w:sz w:val="16"/>
                <w:szCs w:val="16"/>
              </w:rPr>
            </w:pPr>
            <w:r w:rsidRPr="00CE4879">
              <w:rPr>
                <w:sz w:val="16"/>
                <w:szCs w:val="16"/>
              </w:rPr>
              <w:t xml:space="preserve">9 </w:t>
            </w:r>
            <w:r w:rsidR="00E02A7E">
              <w:rPr>
                <w:sz w:val="16"/>
                <w:szCs w:val="16"/>
              </w:rPr>
              <w:br/>
            </w:r>
            <w:r w:rsidRPr="00CE4879">
              <w:rPr>
                <w:sz w:val="16"/>
                <w:szCs w:val="16"/>
              </w:rPr>
              <w:t>(100%)</w:t>
            </w:r>
          </w:p>
        </w:tc>
        <w:tc>
          <w:tcPr>
            <w:tcW w:w="850" w:type="dxa"/>
            <w:shd w:val="clear" w:color="auto" w:fill="FFFFFF" w:themeFill="background1"/>
            <w:vAlign w:val="center"/>
          </w:tcPr>
          <w:p w14:paraId="240F70E5" w14:textId="44299F9C" w:rsidR="00FA3C5C" w:rsidRPr="00CE4879" w:rsidRDefault="00FA3C5C" w:rsidP="009D4D48">
            <w:pPr>
              <w:spacing w:line="240" w:lineRule="auto"/>
              <w:jc w:val="center"/>
              <w:rPr>
                <w:sz w:val="16"/>
                <w:szCs w:val="16"/>
              </w:rPr>
            </w:pPr>
            <w:r w:rsidRPr="00CE4879">
              <w:rPr>
                <w:sz w:val="16"/>
                <w:szCs w:val="16"/>
              </w:rPr>
              <w:t xml:space="preserve">8 </w:t>
            </w:r>
            <w:r w:rsidR="00E02A7E">
              <w:rPr>
                <w:sz w:val="16"/>
                <w:szCs w:val="16"/>
              </w:rPr>
              <w:br/>
            </w:r>
            <w:r w:rsidRPr="00CE4879">
              <w:rPr>
                <w:sz w:val="16"/>
                <w:szCs w:val="16"/>
              </w:rPr>
              <w:t>(100%)</w:t>
            </w:r>
          </w:p>
        </w:tc>
        <w:tc>
          <w:tcPr>
            <w:tcW w:w="822" w:type="dxa"/>
            <w:shd w:val="clear" w:color="auto" w:fill="FFFFFF" w:themeFill="background1"/>
            <w:vAlign w:val="center"/>
          </w:tcPr>
          <w:p w14:paraId="7F6ACCA4" w14:textId="17D328E9" w:rsidR="00FA3C5C" w:rsidRPr="00CE4879" w:rsidRDefault="00FA3C5C" w:rsidP="009D4D48">
            <w:pPr>
              <w:spacing w:line="240" w:lineRule="auto"/>
              <w:jc w:val="center"/>
              <w:rPr>
                <w:sz w:val="16"/>
                <w:szCs w:val="16"/>
              </w:rPr>
            </w:pPr>
            <w:r w:rsidRPr="00CE4879">
              <w:rPr>
                <w:sz w:val="16"/>
                <w:szCs w:val="16"/>
              </w:rPr>
              <w:t>89</w:t>
            </w:r>
            <w:r w:rsidR="00407A72">
              <w:rPr>
                <w:sz w:val="16"/>
                <w:szCs w:val="16"/>
              </w:rPr>
              <w:br/>
              <w:t>(100%)</w:t>
            </w:r>
          </w:p>
        </w:tc>
      </w:tr>
      <w:tr w:rsidR="00FA3C5C" w:rsidRPr="00CE4879" w14:paraId="3CC35B91" w14:textId="77777777" w:rsidTr="00CE4879">
        <w:trPr>
          <w:trHeight w:val="289"/>
        </w:trPr>
        <w:tc>
          <w:tcPr>
            <w:tcW w:w="10461" w:type="dxa"/>
            <w:gridSpan w:val="10"/>
            <w:shd w:val="clear" w:color="auto" w:fill="FFFFFF" w:themeFill="background1"/>
            <w:vAlign w:val="center"/>
          </w:tcPr>
          <w:p w14:paraId="2298034D" w14:textId="77777777" w:rsidR="00FA3C5C" w:rsidRPr="00CE4879" w:rsidRDefault="00FA3C5C" w:rsidP="009D4D48">
            <w:pPr>
              <w:spacing w:line="240" w:lineRule="auto"/>
              <w:jc w:val="center"/>
              <w:rPr>
                <w:b/>
                <w:bCs/>
                <w:sz w:val="16"/>
                <w:szCs w:val="16"/>
              </w:rPr>
            </w:pPr>
            <w:r w:rsidRPr="00CE4879">
              <w:rPr>
                <w:b/>
                <w:bCs/>
                <w:sz w:val="16"/>
                <w:szCs w:val="16"/>
              </w:rPr>
              <w:t>Appropriateness: Level of consensus</w:t>
            </w:r>
          </w:p>
        </w:tc>
      </w:tr>
      <w:tr w:rsidR="00CE4879" w:rsidRPr="00CE4879" w14:paraId="5CF1FB1C" w14:textId="77777777" w:rsidTr="00E02A7E">
        <w:trPr>
          <w:trHeight w:val="229"/>
        </w:trPr>
        <w:tc>
          <w:tcPr>
            <w:tcW w:w="2410" w:type="dxa"/>
            <w:shd w:val="clear" w:color="auto" w:fill="FFFFFF" w:themeFill="background1"/>
            <w:vAlign w:val="center"/>
          </w:tcPr>
          <w:p w14:paraId="2D9CA52A" w14:textId="4EFB50E1" w:rsidR="00FA3C5C" w:rsidRPr="00CE4879" w:rsidRDefault="00FA3C5C" w:rsidP="009D4D48">
            <w:pPr>
              <w:spacing w:line="240" w:lineRule="auto"/>
              <w:jc w:val="left"/>
              <w:rPr>
                <w:sz w:val="16"/>
                <w:szCs w:val="16"/>
              </w:rPr>
            </w:pPr>
            <w:r w:rsidRPr="00CE4879">
              <w:rPr>
                <w:sz w:val="16"/>
                <w:szCs w:val="16"/>
              </w:rPr>
              <w:t>Agreement</w:t>
            </w:r>
            <w:r w:rsidR="009D4D48" w:rsidRPr="00CE4879">
              <w:rPr>
                <w:sz w:val="16"/>
                <w:szCs w:val="16"/>
              </w:rPr>
              <w:t>;</w:t>
            </w:r>
            <w:r w:rsidRPr="00CE4879">
              <w:rPr>
                <w:sz w:val="16"/>
                <w:szCs w:val="16"/>
              </w:rPr>
              <w:t xml:space="preserve"> n (%)</w:t>
            </w:r>
          </w:p>
        </w:tc>
        <w:tc>
          <w:tcPr>
            <w:tcW w:w="851" w:type="dxa"/>
            <w:shd w:val="clear" w:color="auto" w:fill="FFFFFF" w:themeFill="background1"/>
            <w:vAlign w:val="center"/>
          </w:tcPr>
          <w:p w14:paraId="6D790DC7" w14:textId="77777777" w:rsidR="00FA3C5C" w:rsidRPr="00CE4879" w:rsidRDefault="00FA3C5C" w:rsidP="009D4D48">
            <w:pPr>
              <w:spacing w:line="240" w:lineRule="auto"/>
              <w:jc w:val="center"/>
              <w:rPr>
                <w:sz w:val="16"/>
                <w:szCs w:val="16"/>
              </w:rPr>
            </w:pPr>
            <w:r w:rsidRPr="00CE4879">
              <w:rPr>
                <w:sz w:val="16"/>
                <w:szCs w:val="16"/>
              </w:rPr>
              <w:t>16 (84.2%)</w:t>
            </w:r>
          </w:p>
        </w:tc>
        <w:tc>
          <w:tcPr>
            <w:tcW w:w="850" w:type="dxa"/>
            <w:shd w:val="clear" w:color="auto" w:fill="FFFFFF" w:themeFill="background1"/>
            <w:vAlign w:val="center"/>
          </w:tcPr>
          <w:p w14:paraId="58127D1C" w14:textId="77777777" w:rsidR="00FA3C5C" w:rsidRPr="00CE4879" w:rsidRDefault="00FA3C5C" w:rsidP="009D4D48">
            <w:pPr>
              <w:spacing w:line="240" w:lineRule="auto"/>
              <w:jc w:val="center"/>
              <w:rPr>
                <w:sz w:val="16"/>
                <w:szCs w:val="16"/>
              </w:rPr>
            </w:pPr>
            <w:r w:rsidRPr="00CE4879">
              <w:rPr>
                <w:sz w:val="16"/>
                <w:szCs w:val="16"/>
              </w:rPr>
              <w:t>9 (81.8%)</w:t>
            </w:r>
          </w:p>
        </w:tc>
        <w:tc>
          <w:tcPr>
            <w:tcW w:w="851" w:type="dxa"/>
            <w:shd w:val="clear" w:color="auto" w:fill="FFFFFF" w:themeFill="background1"/>
            <w:vAlign w:val="center"/>
          </w:tcPr>
          <w:p w14:paraId="585671B7" w14:textId="77777777" w:rsidR="00FA3C5C" w:rsidRPr="00CE4879" w:rsidRDefault="00FA3C5C" w:rsidP="009D4D48">
            <w:pPr>
              <w:spacing w:line="240" w:lineRule="auto"/>
              <w:jc w:val="center"/>
              <w:rPr>
                <w:sz w:val="16"/>
                <w:szCs w:val="16"/>
              </w:rPr>
            </w:pPr>
            <w:r w:rsidRPr="00CE4879">
              <w:rPr>
                <w:sz w:val="16"/>
                <w:szCs w:val="16"/>
              </w:rPr>
              <w:t>11 (84.6%)</w:t>
            </w:r>
          </w:p>
        </w:tc>
        <w:tc>
          <w:tcPr>
            <w:tcW w:w="1134" w:type="dxa"/>
            <w:shd w:val="clear" w:color="auto" w:fill="FFFFFF" w:themeFill="background1"/>
            <w:vAlign w:val="center"/>
          </w:tcPr>
          <w:p w14:paraId="07554B75" w14:textId="74D07D04" w:rsidR="00FA3C5C" w:rsidRPr="00CE4879" w:rsidRDefault="00FA3C5C" w:rsidP="009D4D48">
            <w:pPr>
              <w:spacing w:line="240" w:lineRule="auto"/>
              <w:jc w:val="center"/>
              <w:rPr>
                <w:sz w:val="16"/>
                <w:szCs w:val="16"/>
              </w:rPr>
            </w:pPr>
            <w:r w:rsidRPr="00CE4879">
              <w:rPr>
                <w:sz w:val="16"/>
                <w:szCs w:val="16"/>
              </w:rPr>
              <w:t xml:space="preserve">7 </w:t>
            </w:r>
            <w:r w:rsidR="00E02A7E">
              <w:rPr>
                <w:sz w:val="16"/>
                <w:szCs w:val="16"/>
              </w:rPr>
              <w:br/>
            </w:r>
            <w:r w:rsidRPr="00CE4879">
              <w:rPr>
                <w:sz w:val="16"/>
                <w:szCs w:val="16"/>
              </w:rPr>
              <w:t>(77.8%)</w:t>
            </w:r>
          </w:p>
        </w:tc>
        <w:tc>
          <w:tcPr>
            <w:tcW w:w="850" w:type="dxa"/>
            <w:shd w:val="clear" w:color="auto" w:fill="FFFFFF" w:themeFill="background1"/>
            <w:vAlign w:val="center"/>
          </w:tcPr>
          <w:p w14:paraId="6E3C700A" w14:textId="77777777" w:rsidR="00FA3C5C" w:rsidRPr="00CE4879" w:rsidRDefault="00FA3C5C" w:rsidP="009D4D48">
            <w:pPr>
              <w:spacing w:line="240" w:lineRule="auto"/>
              <w:jc w:val="center"/>
              <w:rPr>
                <w:sz w:val="16"/>
                <w:szCs w:val="16"/>
              </w:rPr>
            </w:pPr>
            <w:r w:rsidRPr="00CE4879">
              <w:rPr>
                <w:sz w:val="16"/>
                <w:szCs w:val="16"/>
              </w:rPr>
              <w:t>12 (100%)</w:t>
            </w:r>
          </w:p>
        </w:tc>
        <w:tc>
          <w:tcPr>
            <w:tcW w:w="992" w:type="dxa"/>
            <w:shd w:val="clear" w:color="auto" w:fill="FFFFFF" w:themeFill="background1"/>
            <w:vAlign w:val="center"/>
          </w:tcPr>
          <w:p w14:paraId="1FA313BD" w14:textId="0450D817" w:rsidR="00FA3C5C" w:rsidRPr="00CE4879" w:rsidRDefault="00FA3C5C" w:rsidP="009D4D48">
            <w:pPr>
              <w:spacing w:line="240" w:lineRule="auto"/>
              <w:jc w:val="center"/>
              <w:rPr>
                <w:sz w:val="16"/>
                <w:szCs w:val="16"/>
              </w:rPr>
            </w:pPr>
            <w:r w:rsidRPr="00CE4879">
              <w:rPr>
                <w:sz w:val="16"/>
                <w:szCs w:val="16"/>
              </w:rPr>
              <w:t xml:space="preserve">5 </w:t>
            </w:r>
            <w:r w:rsidR="00407A72">
              <w:rPr>
                <w:sz w:val="16"/>
                <w:szCs w:val="16"/>
              </w:rPr>
              <w:br/>
            </w:r>
            <w:r w:rsidRPr="00CE4879">
              <w:rPr>
                <w:sz w:val="16"/>
                <w:szCs w:val="16"/>
              </w:rPr>
              <w:t>(62.5%)</w:t>
            </w:r>
          </w:p>
        </w:tc>
        <w:tc>
          <w:tcPr>
            <w:tcW w:w="851" w:type="dxa"/>
            <w:shd w:val="clear" w:color="auto" w:fill="FFFFFF" w:themeFill="background1"/>
            <w:vAlign w:val="center"/>
          </w:tcPr>
          <w:p w14:paraId="4E3906E9" w14:textId="3CF00E19" w:rsidR="00FA3C5C" w:rsidRPr="00CE4879" w:rsidRDefault="00FA3C5C" w:rsidP="009D4D48">
            <w:pPr>
              <w:spacing w:line="240" w:lineRule="auto"/>
              <w:jc w:val="center"/>
              <w:rPr>
                <w:sz w:val="16"/>
                <w:szCs w:val="16"/>
              </w:rPr>
            </w:pPr>
            <w:r w:rsidRPr="00CE4879">
              <w:rPr>
                <w:sz w:val="16"/>
                <w:szCs w:val="16"/>
              </w:rPr>
              <w:t xml:space="preserve">9 </w:t>
            </w:r>
            <w:r w:rsidR="00407A72">
              <w:rPr>
                <w:sz w:val="16"/>
                <w:szCs w:val="16"/>
              </w:rPr>
              <w:br/>
            </w:r>
            <w:r w:rsidRPr="00CE4879">
              <w:rPr>
                <w:sz w:val="16"/>
                <w:szCs w:val="16"/>
              </w:rPr>
              <w:t>(100%)</w:t>
            </w:r>
          </w:p>
        </w:tc>
        <w:tc>
          <w:tcPr>
            <w:tcW w:w="850" w:type="dxa"/>
            <w:shd w:val="clear" w:color="auto" w:fill="FFFFFF" w:themeFill="background1"/>
            <w:vAlign w:val="center"/>
          </w:tcPr>
          <w:p w14:paraId="7CCAFCE5" w14:textId="381D19F7" w:rsidR="00FA3C5C" w:rsidRPr="00CE4879" w:rsidRDefault="00FA3C5C" w:rsidP="009D4D48">
            <w:pPr>
              <w:spacing w:line="240" w:lineRule="auto"/>
              <w:jc w:val="center"/>
              <w:rPr>
                <w:sz w:val="16"/>
                <w:szCs w:val="16"/>
              </w:rPr>
            </w:pPr>
            <w:r w:rsidRPr="00CE4879">
              <w:rPr>
                <w:sz w:val="16"/>
                <w:szCs w:val="16"/>
              </w:rPr>
              <w:t xml:space="preserve">9 </w:t>
            </w:r>
            <w:r w:rsidR="00407A72">
              <w:rPr>
                <w:sz w:val="16"/>
                <w:szCs w:val="16"/>
              </w:rPr>
              <w:br/>
            </w:r>
            <w:r w:rsidRPr="00CE4879">
              <w:rPr>
                <w:sz w:val="16"/>
                <w:szCs w:val="16"/>
              </w:rPr>
              <w:t>(100%)</w:t>
            </w:r>
          </w:p>
        </w:tc>
        <w:tc>
          <w:tcPr>
            <w:tcW w:w="822" w:type="dxa"/>
            <w:shd w:val="clear" w:color="auto" w:fill="FFFFFF" w:themeFill="background1"/>
            <w:vAlign w:val="center"/>
          </w:tcPr>
          <w:p w14:paraId="1254DEBF" w14:textId="77777777" w:rsidR="00FA3C5C" w:rsidRPr="00CE4879" w:rsidRDefault="00FA3C5C" w:rsidP="009D4D48">
            <w:pPr>
              <w:spacing w:line="240" w:lineRule="auto"/>
              <w:jc w:val="center"/>
              <w:rPr>
                <w:sz w:val="16"/>
                <w:szCs w:val="16"/>
              </w:rPr>
            </w:pPr>
            <w:r w:rsidRPr="00CE4879">
              <w:rPr>
                <w:sz w:val="16"/>
                <w:szCs w:val="16"/>
              </w:rPr>
              <w:t>77 (86.5%)</w:t>
            </w:r>
          </w:p>
        </w:tc>
      </w:tr>
      <w:tr w:rsidR="00CE4879" w:rsidRPr="00CE4879" w14:paraId="3DFF69E3" w14:textId="77777777" w:rsidTr="00E02A7E">
        <w:trPr>
          <w:trHeight w:val="233"/>
        </w:trPr>
        <w:tc>
          <w:tcPr>
            <w:tcW w:w="2410" w:type="dxa"/>
            <w:shd w:val="clear" w:color="auto" w:fill="FFFFFF" w:themeFill="background1"/>
            <w:vAlign w:val="center"/>
          </w:tcPr>
          <w:p w14:paraId="4A3B4414" w14:textId="25B07888" w:rsidR="00FA3C5C" w:rsidRPr="00CE4879" w:rsidRDefault="00FA3C5C" w:rsidP="009D4D48">
            <w:pPr>
              <w:spacing w:line="240" w:lineRule="auto"/>
              <w:jc w:val="left"/>
              <w:rPr>
                <w:sz w:val="16"/>
                <w:szCs w:val="16"/>
              </w:rPr>
            </w:pPr>
            <w:r w:rsidRPr="00CE4879">
              <w:rPr>
                <w:sz w:val="16"/>
                <w:szCs w:val="16"/>
              </w:rPr>
              <w:t>Equivocal</w:t>
            </w:r>
            <w:r w:rsidR="009D4D48" w:rsidRPr="00CE4879">
              <w:rPr>
                <w:sz w:val="16"/>
                <w:szCs w:val="16"/>
              </w:rPr>
              <w:t>;</w:t>
            </w:r>
            <w:r w:rsidRPr="00CE4879">
              <w:rPr>
                <w:sz w:val="16"/>
                <w:szCs w:val="16"/>
              </w:rPr>
              <w:t xml:space="preserve"> n (%)</w:t>
            </w:r>
          </w:p>
        </w:tc>
        <w:tc>
          <w:tcPr>
            <w:tcW w:w="851" w:type="dxa"/>
            <w:shd w:val="clear" w:color="auto" w:fill="FFFFFF" w:themeFill="background1"/>
            <w:vAlign w:val="center"/>
          </w:tcPr>
          <w:p w14:paraId="5EAF841D" w14:textId="77777777" w:rsidR="00FA3C5C" w:rsidRPr="00CE4879" w:rsidRDefault="00FA3C5C" w:rsidP="009D4D48">
            <w:pPr>
              <w:spacing w:line="240" w:lineRule="auto"/>
              <w:jc w:val="center"/>
              <w:rPr>
                <w:sz w:val="16"/>
                <w:szCs w:val="16"/>
              </w:rPr>
            </w:pPr>
            <w:r w:rsidRPr="00CE4879">
              <w:rPr>
                <w:sz w:val="16"/>
                <w:szCs w:val="16"/>
              </w:rPr>
              <w:t>3 (15.8%)</w:t>
            </w:r>
          </w:p>
        </w:tc>
        <w:tc>
          <w:tcPr>
            <w:tcW w:w="850" w:type="dxa"/>
            <w:shd w:val="clear" w:color="auto" w:fill="FFFFFF" w:themeFill="background1"/>
            <w:vAlign w:val="center"/>
          </w:tcPr>
          <w:p w14:paraId="0E6C2601" w14:textId="77777777" w:rsidR="00FA3C5C" w:rsidRPr="00CE4879" w:rsidRDefault="00FA3C5C" w:rsidP="009D4D48">
            <w:pPr>
              <w:spacing w:line="240" w:lineRule="auto"/>
              <w:jc w:val="center"/>
              <w:rPr>
                <w:sz w:val="16"/>
                <w:szCs w:val="16"/>
              </w:rPr>
            </w:pPr>
            <w:r w:rsidRPr="00CE4879">
              <w:rPr>
                <w:sz w:val="16"/>
                <w:szCs w:val="16"/>
              </w:rPr>
              <w:t>2 (18.2%)</w:t>
            </w:r>
          </w:p>
        </w:tc>
        <w:tc>
          <w:tcPr>
            <w:tcW w:w="851" w:type="dxa"/>
            <w:shd w:val="clear" w:color="auto" w:fill="FFFFFF" w:themeFill="background1"/>
            <w:vAlign w:val="center"/>
          </w:tcPr>
          <w:p w14:paraId="65FAA331" w14:textId="77777777" w:rsidR="00FA3C5C" w:rsidRPr="00CE4879" w:rsidRDefault="00FA3C5C" w:rsidP="009D4D48">
            <w:pPr>
              <w:spacing w:line="240" w:lineRule="auto"/>
              <w:jc w:val="center"/>
              <w:rPr>
                <w:sz w:val="16"/>
                <w:szCs w:val="16"/>
              </w:rPr>
            </w:pPr>
            <w:r w:rsidRPr="00CE4879">
              <w:rPr>
                <w:sz w:val="16"/>
                <w:szCs w:val="16"/>
              </w:rPr>
              <w:t>2 (15.4%)</w:t>
            </w:r>
          </w:p>
        </w:tc>
        <w:tc>
          <w:tcPr>
            <w:tcW w:w="1134" w:type="dxa"/>
            <w:shd w:val="clear" w:color="auto" w:fill="FFFFFF" w:themeFill="background1"/>
            <w:vAlign w:val="center"/>
          </w:tcPr>
          <w:p w14:paraId="5B537CCB" w14:textId="1E03BF33" w:rsidR="00FA3C5C" w:rsidRPr="00CE4879" w:rsidRDefault="00FA3C5C" w:rsidP="009D4D48">
            <w:pPr>
              <w:spacing w:line="240" w:lineRule="auto"/>
              <w:jc w:val="center"/>
              <w:rPr>
                <w:sz w:val="16"/>
                <w:szCs w:val="16"/>
              </w:rPr>
            </w:pPr>
            <w:r w:rsidRPr="00CE4879">
              <w:rPr>
                <w:sz w:val="16"/>
                <w:szCs w:val="16"/>
              </w:rPr>
              <w:t xml:space="preserve">2 </w:t>
            </w:r>
            <w:r w:rsidR="00E02A7E">
              <w:rPr>
                <w:sz w:val="16"/>
                <w:szCs w:val="16"/>
              </w:rPr>
              <w:br/>
            </w:r>
            <w:r w:rsidRPr="00CE4879">
              <w:rPr>
                <w:sz w:val="16"/>
                <w:szCs w:val="16"/>
              </w:rPr>
              <w:t>(22.2%)</w:t>
            </w:r>
          </w:p>
        </w:tc>
        <w:tc>
          <w:tcPr>
            <w:tcW w:w="850" w:type="dxa"/>
            <w:shd w:val="clear" w:color="auto" w:fill="FFFFFF" w:themeFill="background1"/>
            <w:vAlign w:val="center"/>
          </w:tcPr>
          <w:p w14:paraId="2CE76A76" w14:textId="77777777" w:rsidR="00FA3C5C" w:rsidRPr="00CE4879" w:rsidRDefault="00FA3C5C" w:rsidP="009D4D48">
            <w:pPr>
              <w:spacing w:line="240" w:lineRule="auto"/>
              <w:jc w:val="center"/>
              <w:rPr>
                <w:sz w:val="16"/>
                <w:szCs w:val="16"/>
              </w:rPr>
            </w:pPr>
            <w:r w:rsidRPr="00CE4879">
              <w:rPr>
                <w:sz w:val="16"/>
                <w:szCs w:val="16"/>
              </w:rPr>
              <w:t>0</w:t>
            </w:r>
          </w:p>
        </w:tc>
        <w:tc>
          <w:tcPr>
            <w:tcW w:w="992" w:type="dxa"/>
            <w:shd w:val="clear" w:color="auto" w:fill="FFFFFF" w:themeFill="background1"/>
            <w:vAlign w:val="center"/>
          </w:tcPr>
          <w:p w14:paraId="44EC0E3A" w14:textId="17B356D0" w:rsidR="00FA3C5C" w:rsidRPr="00CE4879" w:rsidRDefault="00FA3C5C" w:rsidP="009D4D48">
            <w:pPr>
              <w:spacing w:line="240" w:lineRule="auto"/>
              <w:jc w:val="center"/>
              <w:rPr>
                <w:sz w:val="16"/>
                <w:szCs w:val="16"/>
              </w:rPr>
            </w:pPr>
            <w:r w:rsidRPr="00CE4879">
              <w:rPr>
                <w:sz w:val="16"/>
                <w:szCs w:val="16"/>
              </w:rPr>
              <w:t xml:space="preserve">3 </w:t>
            </w:r>
            <w:r w:rsidR="00E02A7E">
              <w:rPr>
                <w:sz w:val="16"/>
                <w:szCs w:val="16"/>
              </w:rPr>
              <w:br/>
            </w:r>
            <w:r w:rsidRPr="00CE4879">
              <w:rPr>
                <w:sz w:val="16"/>
                <w:szCs w:val="16"/>
              </w:rPr>
              <w:t>(37.5%)</w:t>
            </w:r>
          </w:p>
        </w:tc>
        <w:tc>
          <w:tcPr>
            <w:tcW w:w="851" w:type="dxa"/>
            <w:shd w:val="clear" w:color="auto" w:fill="FFFFFF" w:themeFill="background1"/>
            <w:vAlign w:val="center"/>
          </w:tcPr>
          <w:p w14:paraId="2EEAAD59" w14:textId="77777777" w:rsidR="00FA3C5C" w:rsidRPr="00CE4879" w:rsidRDefault="00FA3C5C" w:rsidP="009D4D48">
            <w:pPr>
              <w:spacing w:line="240" w:lineRule="auto"/>
              <w:jc w:val="center"/>
              <w:rPr>
                <w:sz w:val="16"/>
                <w:szCs w:val="16"/>
              </w:rPr>
            </w:pPr>
            <w:r w:rsidRPr="00CE4879">
              <w:rPr>
                <w:sz w:val="16"/>
                <w:szCs w:val="16"/>
              </w:rPr>
              <w:t>0</w:t>
            </w:r>
          </w:p>
        </w:tc>
        <w:tc>
          <w:tcPr>
            <w:tcW w:w="850" w:type="dxa"/>
            <w:shd w:val="clear" w:color="auto" w:fill="FFFFFF" w:themeFill="background1"/>
            <w:vAlign w:val="center"/>
          </w:tcPr>
          <w:p w14:paraId="7C0906D8" w14:textId="77777777" w:rsidR="00FA3C5C" w:rsidRPr="00CE4879" w:rsidRDefault="00FA3C5C" w:rsidP="009D4D48">
            <w:pPr>
              <w:spacing w:line="240" w:lineRule="auto"/>
              <w:jc w:val="center"/>
              <w:rPr>
                <w:sz w:val="16"/>
                <w:szCs w:val="16"/>
              </w:rPr>
            </w:pPr>
            <w:r w:rsidRPr="00CE4879">
              <w:rPr>
                <w:sz w:val="16"/>
                <w:szCs w:val="16"/>
              </w:rPr>
              <w:t>0</w:t>
            </w:r>
          </w:p>
        </w:tc>
        <w:tc>
          <w:tcPr>
            <w:tcW w:w="822" w:type="dxa"/>
            <w:shd w:val="clear" w:color="auto" w:fill="FFFFFF" w:themeFill="background1"/>
            <w:vAlign w:val="center"/>
          </w:tcPr>
          <w:p w14:paraId="015892AB" w14:textId="77777777" w:rsidR="00FA3C5C" w:rsidRPr="00CE4879" w:rsidRDefault="00FA3C5C" w:rsidP="009D4D48">
            <w:pPr>
              <w:spacing w:line="240" w:lineRule="auto"/>
              <w:jc w:val="center"/>
              <w:rPr>
                <w:sz w:val="16"/>
                <w:szCs w:val="16"/>
              </w:rPr>
            </w:pPr>
            <w:r w:rsidRPr="00CE4879">
              <w:rPr>
                <w:sz w:val="16"/>
                <w:szCs w:val="16"/>
              </w:rPr>
              <w:t>12 (13.5%)</w:t>
            </w:r>
          </w:p>
        </w:tc>
      </w:tr>
      <w:tr w:rsidR="00FA3C5C" w:rsidRPr="00CE4879" w14:paraId="02B1E08A" w14:textId="77777777" w:rsidTr="00CE4879">
        <w:trPr>
          <w:trHeight w:val="225"/>
        </w:trPr>
        <w:tc>
          <w:tcPr>
            <w:tcW w:w="10461" w:type="dxa"/>
            <w:gridSpan w:val="10"/>
            <w:shd w:val="clear" w:color="auto" w:fill="FFFFFF" w:themeFill="background1"/>
            <w:vAlign w:val="center"/>
          </w:tcPr>
          <w:p w14:paraId="0A8DF30D" w14:textId="77777777" w:rsidR="00FA3C5C" w:rsidRPr="00CE4879" w:rsidRDefault="00FA3C5C" w:rsidP="009D4D48">
            <w:pPr>
              <w:spacing w:line="240" w:lineRule="auto"/>
              <w:jc w:val="center"/>
              <w:rPr>
                <w:b/>
                <w:bCs/>
                <w:sz w:val="16"/>
                <w:szCs w:val="16"/>
              </w:rPr>
            </w:pPr>
            <w:r w:rsidRPr="00CE4879">
              <w:rPr>
                <w:b/>
                <w:bCs/>
                <w:sz w:val="16"/>
                <w:szCs w:val="16"/>
              </w:rPr>
              <w:t>Feasibility: Median scores</w:t>
            </w:r>
          </w:p>
        </w:tc>
      </w:tr>
      <w:tr w:rsidR="00CE4879" w:rsidRPr="00CE4879" w14:paraId="0504AC81" w14:textId="77777777" w:rsidTr="00E02A7E">
        <w:trPr>
          <w:trHeight w:val="263"/>
        </w:trPr>
        <w:tc>
          <w:tcPr>
            <w:tcW w:w="2410" w:type="dxa"/>
            <w:shd w:val="clear" w:color="auto" w:fill="FFFFFF" w:themeFill="background1"/>
            <w:vAlign w:val="center"/>
          </w:tcPr>
          <w:p w14:paraId="7CFFC50D" w14:textId="6B073FD8" w:rsidR="00FA3C5C" w:rsidRPr="00CE4879" w:rsidRDefault="00FA3C5C" w:rsidP="009D4D48">
            <w:pPr>
              <w:spacing w:line="240" w:lineRule="auto"/>
              <w:jc w:val="left"/>
              <w:rPr>
                <w:sz w:val="16"/>
                <w:szCs w:val="16"/>
              </w:rPr>
            </w:pPr>
            <w:r w:rsidRPr="00CE4879">
              <w:rPr>
                <w:sz w:val="16"/>
                <w:szCs w:val="16"/>
              </w:rPr>
              <w:t>4-6 (equivocal)</w:t>
            </w:r>
            <w:r w:rsidR="009D4D48" w:rsidRPr="00CE4879">
              <w:rPr>
                <w:sz w:val="16"/>
                <w:szCs w:val="16"/>
              </w:rPr>
              <w:t>;</w:t>
            </w:r>
            <w:r w:rsidRPr="00CE4879">
              <w:rPr>
                <w:sz w:val="16"/>
                <w:szCs w:val="16"/>
              </w:rPr>
              <w:t xml:space="preserve"> n (%)</w:t>
            </w:r>
          </w:p>
        </w:tc>
        <w:tc>
          <w:tcPr>
            <w:tcW w:w="851" w:type="dxa"/>
            <w:shd w:val="clear" w:color="auto" w:fill="FFFFFF" w:themeFill="background1"/>
            <w:vAlign w:val="center"/>
          </w:tcPr>
          <w:p w14:paraId="7B378965" w14:textId="77777777" w:rsidR="00FA3C5C" w:rsidRPr="00CE4879" w:rsidRDefault="00FA3C5C" w:rsidP="009D4D48">
            <w:pPr>
              <w:spacing w:line="240" w:lineRule="auto"/>
              <w:jc w:val="center"/>
              <w:rPr>
                <w:sz w:val="16"/>
                <w:szCs w:val="16"/>
              </w:rPr>
            </w:pPr>
            <w:r w:rsidRPr="00CE4879">
              <w:rPr>
                <w:sz w:val="16"/>
                <w:szCs w:val="16"/>
              </w:rPr>
              <w:t>0</w:t>
            </w:r>
          </w:p>
        </w:tc>
        <w:tc>
          <w:tcPr>
            <w:tcW w:w="850" w:type="dxa"/>
            <w:shd w:val="clear" w:color="auto" w:fill="FFFFFF" w:themeFill="background1"/>
            <w:vAlign w:val="center"/>
          </w:tcPr>
          <w:p w14:paraId="1C9EDA69" w14:textId="77777777" w:rsidR="00FA3C5C" w:rsidRPr="00CE4879" w:rsidRDefault="00FA3C5C" w:rsidP="009D4D48">
            <w:pPr>
              <w:spacing w:line="240" w:lineRule="auto"/>
              <w:jc w:val="center"/>
              <w:rPr>
                <w:sz w:val="16"/>
                <w:szCs w:val="16"/>
              </w:rPr>
            </w:pPr>
            <w:r w:rsidRPr="00CE4879">
              <w:rPr>
                <w:sz w:val="16"/>
                <w:szCs w:val="16"/>
              </w:rPr>
              <w:t>0</w:t>
            </w:r>
          </w:p>
        </w:tc>
        <w:tc>
          <w:tcPr>
            <w:tcW w:w="851" w:type="dxa"/>
            <w:shd w:val="clear" w:color="auto" w:fill="FFFFFF" w:themeFill="background1"/>
            <w:vAlign w:val="center"/>
          </w:tcPr>
          <w:p w14:paraId="152DA538" w14:textId="77777777" w:rsidR="00FA3C5C" w:rsidRPr="00CE4879" w:rsidRDefault="00FA3C5C" w:rsidP="009D4D48">
            <w:pPr>
              <w:spacing w:line="240" w:lineRule="auto"/>
              <w:jc w:val="center"/>
              <w:rPr>
                <w:sz w:val="16"/>
                <w:szCs w:val="16"/>
              </w:rPr>
            </w:pPr>
            <w:r w:rsidRPr="00CE4879">
              <w:rPr>
                <w:sz w:val="16"/>
                <w:szCs w:val="16"/>
              </w:rPr>
              <w:t>0</w:t>
            </w:r>
          </w:p>
        </w:tc>
        <w:tc>
          <w:tcPr>
            <w:tcW w:w="1134" w:type="dxa"/>
            <w:shd w:val="clear" w:color="auto" w:fill="FFFFFF" w:themeFill="background1"/>
            <w:vAlign w:val="center"/>
          </w:tcPr>
          <w:p w14:paraId="13281C3B" w14:textId="77777777" w:rsidR="00FA3C5C" w:rsidRPr="00CE4879" w:rsidRDefault="00FA3C5C" w:rsidP="009D4D48">
            <w:pPr>
              <w:spacing w:line="240" w:lineRule="auto"/>
              <w:jc w:val="center"/>
              <w:rPr>
                <w:sz w:val="16"/>
                <w:szCs w:val="16"/>
              </w:rPr>
            </w:pPr>
            <w:r w:rsidRPr="00CE4879">
              <w:rPr>
                <w:sz w:val="16"/>
                <w:szCs w:val="16"/>
              </w:rPr>
              <w:t>0</w:t>
            </w:r>
          </w:p>
        </w:tc>
        <w:tc>
          <w:tcPr>
            <w:tcW w:w="850" w:type="dxa"/>
            <w:shd w:val="clear" w:color="auto" w:fill="FFFFFF" w:themeFill="background1"/>
            <w:vAlign w:val="center"/>
          </w:tcPr>
          <w:p w14:paraId="04CFB078" w14:textId="77777777" w:rsidR="00FA3C5C" w:rsidRPr="00CE4879" w:rsidRDefault="00FA3C5C" w:rsidP="009D4D48">
            <w:pPr>
              <w:spacing w:line="240" w:lineRule="auto"/>
              <w:jc w:val="center"/>
              <w:rPr>
                <w:sz w:val="16"/>
                <w:szCs w:val="16"/>
              </w:rPr>
            </w:pPr>
            <w:r w:rsidRPr="00CE4879">
              <w:rPr>
                <w:sz w:val="16"/>
                <w:szCs w:val="16"/>
              </w:rPr>
              <w:t>2 (16.7%)</w:t>
            </w:r>
          </w:p>
        </w:tc>
        <w:tc>
          <w:tcPr>
            <w:tcW w:w="992" w:type="dxa"/>
            <w:shd w:val="clear" w:color="auto" w:fill="FFFFFF" w:themeFill="background1"/>
            <w:vAlign w:val="center"/>
          </w:tcPr>
          <w:p w14:paraId="2EB1A571" w14:textId="77777777" w:rsidR="00FA3C5C" w:rsidRPr="00CE4879" w:rsidRDefault="00FA3C5C" w:rsidP="009D4D48">
            <w:pPr>
              <w:spacing w:line="240" w:lineRule="auto"/>
              <w:jc w:val="center"/>
              <w:rPr>
                <w:sz w:val="16"/>
                <w:szCs w:val="16"/>
              </w:rPr>
            </w:pPr>
            <w:r w:rsidRPr="00CE4879">
              <w:rPr>
                <w:sz w:val="16"/>
                <w:szCs w:val="16"/>
              </w:rPr>
              <w:t>0</w:t>
            </w:r>
          </w:p>
        </w:tc>
        <w:tc>
          <w:tcPr>
            <w:tcW w:w="851" w:type="dxa"/>
            <w:shd w:val="clear" w:color="auto" w:fill="FFFFFF" w:themeFill="background1"/>
            <w:vAlign w:val="center"/>
          </w:tcPr>
          <w:p w14:paraId="70249C37" w14:textId="77777777" w:rsidR="00FA3C5C" w:rsidRPr="00CE4879" w:rsidRDefault="00FA3C5C" w:rsidP="009D4D48">
            <w:pPr>
              <w:spacing w:line="240" w:lineRule="auto"/>
              <w:jc w:val="center"/>
              <w:rPr>
                <w:sz w:val="16"/>
                <w:szCs w:val="16"/>
              </w:rPr>
            </w:pPr>
            <w:r w:rsidRPr="00CE4879">
              <w:rPr>
                <w:sz w:val="16"/>
                <w:szCs w:val="16"/>
              </w:rPr>
              <w:t>0</w:t>
            </w:r>
          </w:p>
        </w:tc>
        <w:tc>
          <w:tcPr>
            <w:tcW w:w="850" w:type="dxa"/>
            <w:shd w:val="clear" w:color="auto" w:fill="FFFFFF" w:themeFill="background1"/>
            <w:vAlign w:val="center"/>
          </w:tcPr>
          <w:p w14:paraId="4789E4B6" w14:textId="59015DF3" w:rsidR="00FA3C5C" w:rsidRPr="00CE4879" w:rsidRDefault="00FA3C5C" w:rsidP="009D4D48">
            <w:pPr>
              <w:spacing w:line="240" w:lineRule="auto"/>
              <w:jc w:val="center"/>
              <w:rPr>
                <w:sz w:val="16"/>
                <w:szCs w:val="16"/>
              </w:rPr>
            </w:pPr>
            <w:r w:rsidRPr="00CE4879">
              <w:rPr>
                <w:sz w:val="16"/>
                <w:szCs w:val="16"/>
              </w:rPr>
              <w:t xml:space="preserve">2 </w:t>
            </w:r>
            <w:r w:rsidR="00407A72">
              <w:rPr>
                <w:sz w:val="16"/>
                <w:szCs w:val="16"/>
              </w:rPr>
              <w:br/>
            </w:r>
            <w:r w:rsidRPr="00CE4879">
              <w:rPr>
                <w:sz w:val="16"/>
                <w:szCs w:val="16"/>
              </w:rPr>
              <w:t>(25%)</w:t>
            </w:r>
          </w:p>
        </w:tc>
        <w:tc>
          <w:tcPr>
            <w:tcW w:w="822" w:type="dxa"/>
            <w:shd w:val="clear" w:color="auto" w:fill="FFFFFF" w:themeFill="background1"/>
            <w:vAlign w:val="center"/>
          </w:tcPr>
          <w:p w14:paraId="10180857" w14:textId="5838A4C2" w:rsidR="00FA3C5C" w:rsidRPr="00CE4879" w:rsidRDefault="00FA3C5C" w:rsidP="009D4D48">
            <w:pPr>
              <w:spacing w:line="240" w:lineRule="auto"/>
              <w:jc w:val="center"/>
              <w:rPr>
                <w:sz w:val="16"/>
                <w:szCs w:val="16"/>
              </w:rPr>
            </w:pPr>
            <w:r w:rsidRPr="00CE4879">
              <w:rPr>
                <w:sz w:val="16"/>
                <w:szCs w:val="16"/>
              </w:rPr>
              <w:t xml:space="preserve">4 </w:t>
            </w:r>
            <w:r w:rsidR="00407A72">
              <w:rPr>
                <w:sz w:val="16"/>
                <w:szCs w:val="16"/>
              </w:rPr>
              <w:br/>
            </w:r>
            <w:r w:rsidRPr="00CE4879">
              <w:rPr>
                <w:sz w:val="16"/>
                <w:szCs w:val="16"/>
              </w:rPr>
              <w:t>(4.5%)</w:t>
            </w:r>
          </w:p>
        </w:tc>
      </w:tr>
      <w:tr w:rsidR="00CE4879" w:rsidRPr="00CE4879" w14:paraId="2C5BF54B" w14:textId="77777777" w:rsidTr="00E02A7E">
        <w:trPr>
          <w:trHeight w:val="252"/>
        </w:trPr>
        <w:tc>
          <w:tcPr>
            <w:tcW w:w="2410" w:type="dxa"/>
            <w:shd w:val="clear" w:color="auto" w:fill="FFFFFF" w:themeFill="background1"/>
            <w:vAlign w:val="center"/>
          </w:tcPr>
          <w:p w14:paraId="1F5A7B80" w14:textId="016687BA" w:rsidR="00FA3C5C" w:rsidRPr="00CE4879" w:rsidRDefault="00FA3C5C" w:rsidP="009D4D48">
            <w:pPr>
              <w:spacing w:line="240" w:lineRule="auto"/>
              <w:jc w:val="left"/>
              <w:rPr>
                <w:sz w:val="16"/>
                <w:szCs w:val="16"/>
              </w:rPr>
            </w:pPr>
            <w:r w:rsidRPr="00CE4879">
              <w:rPr>
                <w:sz w:val="16"/>
                <w:szCs w:val="16"/>
              </w:rPr>
              <w:t>7-9 (feasible)</w:t>
            </w:r>
            <w:r w:rsidR="009D4D48" w:rsidRPr="00CE4879">
              <w:rPr>
                <w:sz w:val="16"/>
                <w:szCs w:val="16"/>
              </w:rPr>
              <w:t>;</w:t>
            </w:r>
            <w:r w:rsidRPr="00CE4879">
              <w:rPr>
                <w:sz w:val="16"/>
                <w:szCs w:val="16"/>
              </w:rPr>
              <w:t xml:space="preserve"> n (%)</w:t>
            </w:r>
          </w:p>
        </w:tc>
        <w:tc>
          <w:tcPr>
            <w:tcW w:w="851" w:type="dxa"/>
            <w:shd w:val="clear" w:color="auto" w:fill="FFFFFF" w:themeFill="background1"/>
            <w:vAlign w:val="center"/>
          </w:tcPr>
          <w:p w14:paraId="6D409E89" w14:textId="77777777" w:rsidR="00FA3C5C" w:rsidRPr="00CE4879" w:rsidRDefault="00FA3C5C" w:rsidP="009D4D48">
            <w:pPr>
              <w:spacing w:line="240" w:lineRule="auto"/>
              <w:jc w:val="center"/>
              <w:rPr>
                <w:sz w:val="16"/>
                <w:szCs w:val="16"/>
              </w:rPr>
            </w:pPr>
            <w:r w:rsidRPr="00CE4879">
              <w:rPr>
                <w:sz w:val="16"/>
                <w:szCs w:val="16"/>
              </w:rPr>
              <w:t>19 (100%)</w:t>
            </w:r>
          </w:p>
        </w:tc>
        <w:tc>
          <w:tcPr>
            <w:tcW w:w="850" w:type="dxa"/>
            <w:shd w:val="clear" w:color="auto" w:fill="FFFFFF" w:themeFill="background1"/>
            <w:vAlign w:val="center"/>
          </w:tcPr>
          <w:p w14:paraId="630EE115" w14:textId="77777777" w:rsidR="00FA3C5C" w:rsidRPr="00CE4879" w:rsidRDefault="00FA3C5C" w:rsidP="009D4D48">
            <w:pPr>
              <w:spacing w:line="240" w:lineRule="auto"/>
              <w:jc w:val="center"/>
              <w:rPr>
                <w:sz w:val="16"/>
                <w:szCs w:val="16"/>
              </w:rPr>
            </w:pPr>
            <w:r w:rsidRPr="00CE4879">
              <w:rPr>
                <w:sz w:val="16"/>
                <w:szCs w:val="16"/>
              </w:rPr>
              <w:t>11 (100%)</w:t>
            </w:r>
          </w:p>
        </w:tc>
        <w:tc>
          <w:tcPr>
            <w:tcW w:w="851" w:type="dxa"/>
            <w:shd w:val="clear" w:color="auto" w:fill="FFFFFF" w:themeFill="background1"/>
            <w:vAlign w:val="center"/>
          </w:tcPr>
          <w:p w14:paraId="4CDDD173" w14:textId="77777777" w:rsidR="00FA3C5C" w:rsidRPr="00CE4879" w:rsidRDefault="00FA3C5C" w:rsidP="009D4D48">
            <w:pPr>
              <w:spacing w:line="240" w:lineRule="auto"/>
              <w:jc w:val="center"/>
              <w:rPr>
                <w:sz w:val="16"/>
                <w:szCs w:val="16"/>
              </w:rPr>
            </w:pPr>
            <w:r w:rsidRPr="00CE4879">
              <w:rPr>
                <w:sz w:val="16"/>
                <w:szCs w:val="16"/>
              </w:rPr>
              <w:t>13 (100%)</w:t>
            </w:r>
          </w:p>
        </w:tc>
        <w:tc>
          <w:tcPr>
            <w:tcW w:w="1134" w:type="dxa"/>
            <w:shd w:val="clear" w:color="auto" w:fill="FFFFFF" w:themeFill="background1"/>
            <w:vAlign w:val="center"/>
          </w:tcPr>
          <w:p w14:paraId="74B8F50D" w14:textId="3A524946" w:rsidR="00FA3C5C" w:rsidRPr="00CE4879" w:rsidRDefault="00FA3C5C" w:rsidP="009D4D48">
            <w:pPr>
              <w:spacing w:line="240" w:lineRule="auto"/>
              <w:jc w:val="center"/>
              <w:rPr>
                <w:sz w:val="16"/>
                <w:szCs w:val="16"/>
              </w:rPr>
            </w:pPr>
            <w:r w:rsidRPr="00CE4879">
              <w:rPr>
                <w:sz w:val="16"/>
                <w:szCs w:val="16"/>
              </w:rPr>
              <w:t>9</w:t>
            </w:r>
            <w:r w:rsidR="00407A72">
              <w:rPr>
                <w:sz w:val="16"/>
                <w:szCs w:val="16"/>
              </w:rPr>
              <w:br/>
            </w:r>
            <w:r w:rsidRPr="00CE4879">
              <w:rPr>
                <w:sz w:val="16"/>
                <w:szCs w:val="16"/>
              </w:rPr>
              <w:t>(100%)</w:t>
            </w:r>
          </w:p>
        </w:tc>
        <w:tc>
          <w:tcPr>
            <w:tcW w:w="850" w:type="dxa"/>
            <w:shd w:val="clear" w:color="auto" w:fill="FFFFFF" w:themeFill="background1"/>
            <w:vAlign w:val="center"/>
          </w:tcPr>
          <w:p w14:paraId="769DF07A" w14:textId="77777777" w:rsidR="00FA3C5C" w:rsidRPr="00CE4879" w:rsidRDefault="00FA3C5C" w:rsidP="009D4D48">
            <w:pPr>
              <w:spacing w:line="240" w:lineRule="auto"/>
              <w:jc w:val="center"/>
              <w:rPr>
                <w:sz w:val="16"/>
                <w:szCs w:val="16"/>
              </w:rPr>
            </w:pPr>
            <w:r w:rsidRPr="00CE4879">
              <w:rPr>
                <w:sz w:val="16"/>
                <w:szCs w:val="16"/>
              </w:rPr>
              <w:t>10 (83.3%)</w:t>
            </w:r>
          </w:p>
        </w:tc>
        <w:tc>
          <w:tcPr>
            <w:tcW w:w="992" w:type="dxa"/>
            <w:shd w:val="clear" w:color="auto" w:fill="FFFFFF" w:themeFill="background1"/>
            <w:vAlign w:val="center"/>
          </w:tcPr>
          <w:p w14:paraId="241F62CC" w14:textId="229C0E8E" w:rsidR="00FA3C5C" w:rsidRPr="00CE4879" w:rsidRDefault="00FA3C5C" w:rsidP="009D4D48">
            <w:pPr>
              <w:spacing w:line="240" w:lineRule="auto"/>
              <w:jc w:val="center"/>
              <w:rPr>
                <w:sz w:val="16"/>
                <w:szCs w:val="16"/>
              </w:rPr>
            </w:pPr>
            <w:r w:rsidRPr="00CE4879">
              <w:rPr>
                <w:sz w:val="16"/>
                <w:szCs w:val="16"/>
              </w:rPr>
              <w:t xml:space="preserve">8 </w:t>
            </w:r>
            <w:r w:rsidR="00407A72">
              <w:rPr>
                <w:sz w:val="16"/>
                <w:szCs w:val="16"/>
              </w:rPr>
              <w:br/>
            </w:r>
            <w:r w:rsidRPr="00CE4879">
              <w:rPr>
                <w:sz w:val="16"/>
                <w:szCs w:val="16"/>
              </w:rPr>
              <w:t>(100%)</w:t>
            </w:r>
          </w:p>
        </w:tc>
        <w:tc>
          <w:tcPr>
            <w:tcW w:w="851" w:type="dxa"/>
            <w:shd w:val="clear" w:color="auto" w:fill="FFFFFF" w:themeFill="background1"/>
            <w:vAlign w:val="center"/>
          </w:tcPr>
          <w:p w14:paraId="631DE3EE" w14:textId="14F9C91A" w:rsidR="00FA3C5C" w:rsidRPr="00CE4879" w:rsidRDefault="00FA3C5C" w:rsidP="009D4D48">
            <w:pPr>
              <w:spacing w:line="240" w:lineRule="auto"/>
              <w:jc w:val="center"/>
              <w:rPr>
                <w:sz w:val="16"/>
                <w:szCs w:val="16"/>
              </w:rPr>
            </w:pPr>
            <w:r w:rsidRPr="00CE4879">
              <w:rPr>
                <w:sz w:val="16"/>
                <w:szCs w:val="16"/>
              </w:rPr>
              <w:t xml:space="preserve">9 </w:t>
            </w:r>
            <w:r w:rsidR="00407A72">
              <w:rPr>
                <w:sz w:val="16"/>
                <w:szCs w:val="16"/>
              </w:rPr>
              <w:br/>
            </w:r>
            <w:r w:rsidRPr="00CE4879">
              <w:rPr>
                <w:sz w:val="16"/>
                <w:szCs w:val="16"/>
              </w:rPr>
              <w:t>(100%)</w:t>
            </w:r>
          </w:p>
        </w:tc>
        <w:tc>
          <w:tcPr>
            <w:tcW w:w="850" w:type="dxa"/>
            <w:shd w:val="clear" w:color="auto" w:fill="FFFFFF" w:themeFill="background1"/>
            <w:vAlign w:val="center"/>
          </w:tcPr>
          <w:p w14:paraId="0CBE07AB" w14:textId="329868AC" w:rsidR="00FA3C5C" w:rsidRPr="00CE4879" w:rsidRDefault="00FA3C5C" w:rsidP="009D4D48">
            <w:pPr>
              <w:spacing w:line="240" w:lineRule="auto"/>
              <w:jc w:val="center"/>
              <w:rPr>
                <w:sz w:val="16"/>
                <w:szCs w:val="16"/>
              </w:rPr>
            </w:pPr>
            <w:r w:rsidRPr="00CE4879">
              <w:rPr>
                <w:sz w:val="16"/>
                <w:szCs w:val="16"/>
              </w:rPr>
              <w:t xml:space="preserve">6 </w:t>
            </w:r>
            <w:r w:rsidR="00407A72">
              <w:rPr>
                <w:sz w:val="16"/>
                <w:szCs w:val="16"/>
              </w:rPr>
              <w:br/>
            </w:r>
            <w:r w:rsidRPr="00CE4879">
              <w:rPr>
                <w:sz w:val="16"/>
                <w:szCs w:val="16"/>
              </w:rPr>
              <w:t>(75%)</w:t>
            </w:r>
          </w:p>
        </w:tc>
        <w:tc>
          <w:tcPr>
            <w:tcW w:w="822" w:type="dxa"/>
            <w:shd w:val="clear" w:color="auto" w:fill="FFFFFF" w:themeFill="background1"/>
            <w:vAlign w:val="center"/>
          </w:tcPr>
          <w:p w14:paraId="7138D54E" w14:textId="77777777" w:rsidR="00FA3C5C" w:rsidRPr="00CE4879" w:rsidRDefault="00FA3C5C" w:rsidP="009D4D48">
            <w:pPr>
              <w:spacing w:line="240" w:lineRule="auto"/>
              <w:jc w:val="center"/>
              <w:rPr>
                <w:sz w:val="16"/>
                <w:szCs w:val="16"/>
              </w:rPr>
            </w:pPr>
            <w:r w:rsidRPr="00CE4879">
              <w:rPr>
                <w:sz w:val="16"/>
                <w:szCs w:val="16"/>
              </w:rPr>
              <w:t>85 (95.5%)</w:t>
            </w:r>
          </w:p>
        </w:tc>
      </w:tr>
      <w:tr w:rsidR="00FA3C5C" w:rsidRPr="00CE4879" w14:paraId="055B0331" w14:textId="77777777" w:rsidTr="00CE4879">
        <w:trPr>
          <w:trHeight w:val="334"/>
        </w:trPr>
        <w:tc>
          <w:tcPr>
            <w:tcW w:w="10461" w:type="dxa"/>
            <w:gridSpan w:val="10"/>
            <w:shd w:val="clear" w:color="auto" w:fill="FFFFFF" w:themeFill="background1"/>
            <w:vAlign w:val="center"/>
          </w:tcPr>
          <w:p w14:paraId="5EDDFDB5" w14:textId="77777777" w:rsidR="00FA3C5C" w:rsidRPr="00CE4879" w:rsidRDefault="00FA3C5C" w:rsidP="009D4D48">
            <w:pPr>
              <w:spacing w:line="240" w:lineRule="auto"/>
              <w:jc w:val="center"/>
              <w:rPr>
                <w:b/>
                <w:bCs/>
                <w:sz w:val="16"/>
                <w:szCs w:val="16"/>
              </w:rPr>
            </w:pPr>
            <w:r w:rsidRPr="00CE4879">
              <w:rPr>
                <w:b/>
                <w:bCs/>
                <w:sz w:val="16"/>
                <w:szCs w:val="16"/>
              </w:rPr>
              <w:t>Feasibility: Level of consensus</w:t>
            </w:r>
          </w:p>
        </w:tc>
      </w:tr>
      <w:tr w:rsidR="00CE4879" w:rsidRPr="00CE4879" w14:paraId="369CC8A4" w14:textId="77777777" w:rsidTr="00E02A7E">
        <w:trPr>
          <w:trHeight w:val="206"/>
        </w:trPr>
        <w:tc>
          <w:tcPr>
            <w:tcW w:w="2410" w:type="dxa"/>
            <w:shd w:val="clear" w:color="auto" w:fill="FFFFFF" w:themeFill="background1"/>
            <w:vAlign w:val="center"/>
          </w:tcPr>
          <w:p w14:paraId="0F961AA3" w14:textId="51BC4951" w:rsidR="00FA3C5C" w:rsidRPr="00CE4879" w:rsidRDefault="00FA3C5C" w:rsidP="009D4D48">
            <w:pPr>
              <w:spacing w:line="240" w:lineRule="auto"/>
              <w:jc w:val="left"/>
              <w:rPr>
                <w:sz w:val="16"/>
                <w:szCs w:val="16"/>
              </w:rPr>
            </w:pPr>
            <w:r w:rsidRPr="00CE4879">
              <w:rPr>
                <w:sz w:val="16"/>
                <w:szCs w:val="16"/>
              </w:rPr>
              <w:t>Agreement</w:t>
            </w:r>
            <w:r w:rsidR="009D4D48" w:rsidRPr="00CE4879">
              <w:rPr>
                <w:sz w:val="16"/>
                <w:szCs w:val="16"/>
              </w:rPr>
              <w:t>;</w:t>
            </w:r>
            <w:r w:rsidRPr="00CE4879">
              <w:rPr>
                <w:sz w:val="16"/>
                <w:szCs w:val="16"/>
              </w:rPr>
              <w:t xml:space="preserve"> n (%)</w:t>
            </w:r>
          </w:p>
        </w:tc>
        <w:tc>
          <w:tcPr>
            <w:tcW w:w="851" w:type="dxa"/>
            <w:shd w:val="clear" w:color="auto" w:fill="FFFFFF" w:themeFill="background1"/>
            <w:vAlign w:val="center"/>
          </w:tcPr>
          <w:p w14:paraId="0C889CA9" w14:textId="77777777" w:rsidR="00FA3C5C" w:rsidRPr="00CE4879" w:rsidRDefault="00FA3C5C" w:rsidP="009D4D48">
            <w:pPr>
              <w:spacing w:line="240" w:lineRule="auto"/>
              <w:jc w:val="center"/>
              <w:rPr>
                <w:sz w:val="16"/>
                <w:szCs w:val="16"/>
              </w:rPr>
            </w:pPr>
            <w:r w:rsidRPr="00CE4879">
              <w:rPr>
                <w:sz w:val="16"/>
                <w:szCs w:val="16"/>
              </w:rPr>
              <w:t>17 (89.5%)</w:t>
            </w:r>
          </w:p>
        </w:tc>
        <w:tc>
          <w:tcPr>
            <w:tcW w:w="850" w:type="dxa"/>
            <w:shd w:val="clear" w:color="auto" w:fill="FFFFFF" w:themeFill="background1"/>
            <w:vAlign w:val="center"/>
          </w:tcPr>
          <w:p w14:paraId="6FEEB0C5" w14:textId="77777777" w:rsidR="00FA3C5C" w:rsidRPr="00CE4879" w:rsidRDefault="00FA3C5C" w:rsidP="009D4D48">
            <w:pPr>
              <w:spacing w:line="240" w:lineRule="auto"/>
              <w:jc w:val="center"/>
              <w:rPr>
                <w:sz w:val="16"/>
                <w:szCs w:val="16"/>
              </w:rPr>
            </w:pPr>
            <w:r w:rsidRPr="00CE4879">
              <w:rPr>
                <w:sz w:val="16"/>
                <w:szCs w:val="16"/>
              </w:rPr>
              <w:t>10 (90.9%)</w:t>
            </w:r>
          </w:p>
        </w:tc>
        <w:tc>
          <w:tcPr>
            <w:tcW w:w="851" w:type="dxa"/>
            <w:shd w:val="clear" w:color="auto" w:fill="FFFFFF" w:themeFill="background1"/>
            <w:vAlign w:val="center"/>
          </w:tcPr>
          <w:p w14:paraId="33006A4E" w14:textId="77777777" w:rsidR="00FA3C5C" w:rsidRPr="00CE4879" w:rsidRDefault="00FA3C5C" w:rsidP="009D4D48">
            <w:pPr>
              <w:spacing w:line="240" w:lineRule="auto"/>
              <w:jc w:val="center"/>
              <w:rPr>
                <w:sz w:val="16"/>
                <w:szCs w:val="16"/>
              </w:rPr>
            </w:pPr>
            <w:r w:rsidRPr="00CE4879">
              <w:rPr>
                <w:sz w:val="16"/>
                <w:szCs w:val="16"/>
              </w:rPr>
              <w:t>13 (100%)</w:t>
            </w:r>
          </w:p>
        </w:tc>
        <w:tc>
          <w:tcPr>
            <w:tcW w:w="1134" w:type="dxa"/>
            <w:shd w:val="clear" w:color="auto" w:fill="FFFFFF" w:themeFill="background1"/>
            <w:vAlign w:val="center"/>
          </w:tcPr>
          <w:p w14:paraId="31FB0C2D" w14:textId="1A9B7D2D" w:rsidR="00FA3C5C" w:rsidRPr="00CE4879" w:rsidRDefault="00FA3C5C" w:rsidP="009D4D48">
            <w:pPr>
              <w:spacing w:line="240" w:lineRule="auto"/>
              <w:jc w:val="center"/>
              <w:rPr>
                <w:sz w:val="16"/>
                <w:szCs w:val="16"/>
              </w:rPr>
            </w:pPr>
            <w:r w:rsidRPr="00CE4879">
              <w:rPr>
                <w:sz w:val="16"/>
                <w:szCs w:val="16"/>
              </w:rPr>
              <w:t xml:space="preserve">6 </w:t>
            </w:r>
            <w:r w:rsidR="00407A72">
              <w:rPr>
                <w:sz w:val="16"/>
                <w:szCs w:val="16"/>
              </w:rPr>
              <w:br/>
            </w:r>
            <w:r w:rsidRPr="00CE4879">
              <w:rPr>
                <w:sz w:val="16"/>
                <w:szCs w:val="16"/>
              </w:rPr>
              <w:t>(66.7%)</w:t>
            </w:r>
          </w:p>
        </w:tc>
        <w:tc>
          <w:tcPr>
            <w:tcW w:w="850" w:type="dxa"/>
            <w:shd w:val="clear" w:color="auto" w:fill="FFFFFF" w:themeFill="background1"/>
            <w:vAlign w:val="center"/>
          </w:tcPr>
          <w:p w14:paraId="070EEC06" w14:textId="01F49990" w:rsidR="00FA3C5C" w:rsidRPr="00CE4879" w:rsidRDefault="00FA3C5C" w:rsidP="009D4D48">
            <w:pPr>
              <w:spacing w:line="240" w:lineRule="auto"/>
              <w:jc w:val="center"/>
              <w:rPr>
                <w:sz w:val="16"/>
                <w:szCs w:val="16"/>
              </w:rPr>
            </w:pPr>
            <w:r w:rsidRPr="00CE4879">
              <w:rPr>
                <w:sz w:val="16"/>
                <w:szCs w:val="16"/>
              </w:rPr>
              <w:t xml:space="preserve">9 </w:t>
            </w:r>
            <w:r w:rsidR="00407A72">
              <w:rPr>
                <w:sz w:val="16"/>
                <w:szCs w:val="16"/>
              </w:rPr>
              <w:br/>
            </w:r>
            <w:r w:rsidRPr="00CE4879">
              <w:rPr>
                <w:sz w:val="16"/>
                <w:szCs w:val="16"/>
              </w:rPr>
              <w:t>(75%)</w:t>
            </w:r>
          </w:p>
        </w:tc>
        <w:tc>
          <w:tcPr>
            <w:tcW w:w="992" w:type="dxa"/>
            <w:shd w:val="clear" w:color="auto" w:fill="FFFFFF" w:themeFill="background1"/>
            <w:vAlign w:val="center"/>
          </w:tcPr>
          <w:p w14:paraId="62815534" w14:textId="6E393683" w:rsidR="00FA3C5C" w:rsidRPr="00CE4879" w:rsidRDefault="00FA3C5C" w:rsidP="009D4D48">
            <w:pPr>
              <w:spacing w:line="240" w:lineRule="auto"/>
              <w:jc w:val="center"/>
              <w:rPr>
                <w:sz w:val="16"/>
                <w:szCs w:val="16"/>
              </w:rPr>
            </w:pPr>
            <w:r w:rsidRPr="00CE4879">
              <w:rPr>
                <w:sz w:val="16"/>
                <w:szCs w:val="16"/>
              </w:rPr>
              <w:t xml:space="preserve">7 </w:t>
            </w:r>
            <w:r w:rsidR="00407A72">
              <w:rPr>
                <w:sz w:val="16"/>
                <w:szCs w:val="16"/>
              </w:rPr>
              <w:br/>
            </w:r>
            <w:r w:rsidRPr="00CE4879">
              <w:rPr>
                <w:sz w:val="16"/>
                <w:szCs w:val="16"/>
              </w:rPr>
              <w:t>(87.5%)</w:t>
            </w:r>
          </w:p>
        </w:tc>
        <w:tc>
          <w:tcPr>
            <w:tcW w:w="851" w:type="dxa"/>
            <w:shd w:val="clear" w:color="auto" w:fill="FFFFFF" w:themeFill="background1"/>
            <w:vAlign w:val="center"/>
          </w:tcPr>
          <w:p w14:paraId="16AEA07B" w14:textId="1DB3E846" w:rsidR="00FA3C5C" w:rsidRPr="00CE4879" w:rsidRDefault="00FA3C5C" w:rsidP="009D4D48">
            <w:pPr>
              <w:spacing w:line="240" w:lineRule="auto"/>
              <w:jc w:val="center"/>
              <w:rPr>
                <w:sz w:val="16"/>
                <w:szCs w:val="16"/>
              </w:rPr>
            </w:pPr>
            <w:r w:rsidRPr="00CE4879">
              <w:rPr>
                <w:sz w:val="16"/>
                <w:szCs w:val="16"/>
              </w:rPr>
              <w:t xml:space="preserve">9 </w:t>
            </w:r>
            <w:r w:rsidR="00407A72">
              <w:rPr>
                <w:sz w:val="16"/>
                <w:szCs w:val="16"/>
              </w:rPr>
              <w:br/>
            </w:r>
            <w:r w:rsidRPr="00CE4879">
              <w:rPr>
                <w:sz w:val="16"/>
                <w:szCs w:val="16"/>
              </w:rPr>
              <w:t>(100%)</w:t>
            </w:r>
          </w:p>
        </w:tc>
        <w:tc>
          <w:tcPr>
            <w:tcW w:w="850" w:type="dxa"/>
            <w:shd w:val="clear" w:color="auto" w:fill="FFFFFF" w:themeFill="background1"/>
            <w:vAlign w:val="center"/>
          </w:tcPr>
          <w:p w14:paraId="444F5A70" w14:textId="21A6630A" w:rsidR="00FA3C5C" w:rsidRPr="00CE4879" w:rsidRDefault="00FA3C5C" w:rsidP="009D4D48">
            <w:pPr>
              <w:spacing w:line="240" w:lineRule="auto"/>
              <w:jc w:val="center"/>
              <w:rPr>
                <w:sz w:val="16"/>
                <w:szCs w:val="16"/>
              </w:rPr>
            </w:pPr>
            <w:r w:rsidRPr="00CE4879">
              <w:rPr>
                <w:sz w:val="16"/>
                <w:szCs w:val="16"/>
              </w:rPr>
              <w:t xml:space="preserve">4 </w:t>
            </w:r>
            <w:r w:rsidR="00407A72">
              <w:rPr>
                <w:sz w:val="16"/>
                <w:szCs w:val="16"/>
              </w:rPr>
              <w:br/>
            </w:r>
            <w:r w:rsidRPr="00CE4879">
              <w:rPr>
                <w:sz w:val="16"/>
                <w:szCs w:val="16"/>
              </w:rPr>
              <w:t>(50%)</w:t>
            </w:r>
          </w:p>
        </w:tc>
        <w:tc>
          <w:tcPr>
            <w:tcW w:w="822" w:type="dxa"/>
            <w:shd w:val="clear" w:color="auto" w:fill="FFFFFF" w:themeFill="background1"/>
            <w:vAlign w:val="center"/>
          </w:tcPr>
          <w:p w14:paraId="334D46AA" w14:textId="77777777" w:rsidR="00FA3C5C" w:rsidRPr="00CE4879" w:rsidRDefault="00FA3C5C" w:rsidP="009D4D48">
            <w:pPr>
              <w:spacing w:line="240" w:lineRule="auto"/>
              <w:jc w:val="center"/>
              <w:rPr>
                <w:sz w:val="16"/>
                <w:szCs w:val="16"/>
              </w:rPr>
            </w:pPr>
            <w:r w:rsidRPr="00CE4879">
              <w:rPr>
                <w:sz w:val="16"/>
                <w:szCs w:val="16"/>
              </w:rPr>
              <w:t>75 (84.3%)</w:t>
            </w:r>
          </w:p>
        </w:tc>
      </w:tr>
      <w:tr w:rsidR="00CE4879" w:rsidRPr="00CE4879" w14:paraId="6624F549" w14:textId="77777777" w:rsidTr="00E02A7E">
        <w:trPr>
          <w:trHeight w:val="209"/>
        </w:trPr>
        <w:tc>
          <w:tcPr>
            <w:tcW w:w="2410" w:type="dxa"/>
            <w:shd w:val="clear" w:color="auto" w:fill="FFFFFF" w:themeFill="background1"/>
            <w:vAlign w:val="center"/>
          </w:tcPr>
          <w:p w14:paraId="37CA1019" w14:textId="0AFE0220" w:rsidR="00FA3C5C" w:rsidRPr="00CE4879" w:rsidRDefault="00FA3C5C" w:rsidP="009D4D48">
            <w:pPr>
              <w:spacing w:line="240" w:lineRule="auto"/>
              <w:jc w:val="left"/>
              <w:rPr>
                <w:sz w:val="16"/>
                <w:szCs w:val="16"/>
              </w:rPr>
            </w:pPr>
            <w:r w:rsidRPr="00CE4879">
              <w:rPr>
                <w:sz w:val="16"/>
                <w:szCs w:val="16"/>
              </w:rPr>
              <w:t>Equivocal</w:t>
            </w:r>
            <w:r w:rsidR="009D4D48" w:rsidRPr="00CE4879">
              <w:rPr>
                <w:sz w:val="16"/>
                <w:szCs w:val="16"/>
              </w:rPr>
              <w:t>;</w:t>
            </w:r>
            <w:r w:rsidRPr="00CE4879">
              <w:rPr>
                <w:sz w:val="16"/>
                <w:szCs w:val="16"/>
              </w:rPr>
              <w:t xml:space="preserve"> n (%)</w:t>
            </w:r>
          </w:p>
        </w:tc>
        <w:tc>
          <w:tcPr>
            <w:tcW w:w="851" w:type="dxa"/>
            <w:shd w:val="clear" w:color="auto" w:fill="FFFFFF" w:themeFill="background1"/>
            <w:vAlign w:val="center"/>
          </w:tcPr>
          <w:p w14:paraId="5DD864B9" w14:textId="77777777" w:rsidR="00FA3C5C" w:rsidRPr="00CE4879" w:rsidRDefault="00FA3C5C" w:rsidP="009D4D48">
            <w:pPr>
              <w:spacing w:line="240" w:lineRule="auto"/>
              <w:jc w:val="center"/>
              <w:rPr>
                <w:sz w:val="16"/>
                <w:szCs w:val="16"/>
              </w:rPr>
            </w:pPr>
            <w:r w:rsidRPr="00CE4879">
              <w:rPr>
                <w:sz w:val="16"/>
                <w:szCs w:val="16"/>
              </w:rPr>
              <w:t>2 (10.5%)</w:t>
            </w:r>
          </w:p>
        </w:tc>
        <w:tc>
          <w:tcPr>
            <w:tcW w:w="850" w:type="dxa"/>
            <w:shd w:val="clear" w:color="auto" w:fill="FFFFFF" w:themeFill="background1"/>
            <w:vAlign w:val="center"/>
          </w:tcPr>
          <w:p w14:paraId="519CFEA6" w14:textId="22C0C24D" w:rsidR="00FA3C5C" w:rsidRPr="00CE4879" w:rsidRDefault="00FA3C5C" w:rsidP="009D4D48">
            <w:pPr>
              <w:spacing w:line="240" w:lineRule="auto"/>
              <w:jc w:val="center"/>
              <w:rPr>
                <w:sz w:val="16"/>
                <w:szCs w:val="16"/>
              </w:rPr>
            </w:pPr>
            <w:r w:rsidRPr="00CE4879">
              <w:rPr>
                <w:sz w:val="16"/>
                <w:szCs w:val="16"/>
              </w:rPr>
              <w:t>1</w:t>
            </w:r>
            <w:r w:rsidR="00C5263C" w:rsidRPr="00CE4879">
              <w:rPr>
                <w:sz w:val="16"/>
                <w:szCs w:val="16"/>
              </w:rPr>
              <w:t xml:space="preserve"> </w:t>
            </w:r>
            <w:r w:rsidR="00407A72">
              <w:rPr>
                <w:sz w:val="16"/>
                <w:szCs w:val="16"/>
              </w:rPr>
              <w:br/>
            </w:r>
            <w:r w:rsidRPr="00CE4879">
              <w:rPr>
                <w:sz w:val="16"/>
                <w:szCs w:val="16"/>
              </w:rPr>
              <w:t>(9.1%)</w:t>
            </w:r>
          </w:p>
        </w:tc>
        <w:tc>
          <w:tcPr>
            <w:tcW w:w="851" w:type="dxa"/>
            <w:shd w:val="clear" w:color="auto" w:fill="FFFFFF" w:themeFill="background1"/>
            <w:vAlign w:val="center"/>
          </w:tcPr>
          <w:p w14:paraId="0EE2004C" w14:textId="77777777" w:rsidR="00FA3C5C" w:rsidRPr="00CE4879" w:rsidRDefault="00FA3C5C" w:rsidP="009D4D48">
            <w:pPr>
              <w:spacing w:line="240" w:lineRule="auto"/>
              <w:jc w:val="center"/>
              <w:rPr>
                <w:sz w:val="16"/>
                <w:szCs w:val="16"/>
              </w:rPr>
            </w:pPr>
            <w:r w:rsidRPr="00CE4879">
              <w:rPr>
                <w:sz w:val="16"/>
                <w:szCs w:val="16"/>
              </w:rPr>
              <w:t>0</w:t>
            </w:r>
          </w:p>
        </w:tc>
        <w:tc>
          <w:tcPr>
            <w:tcW w:w="1134" w:type="dxa"/>
            <w:shd w:val="clear" w:color="auto" w:fill="FFFFFF" w:themeFill="background1"/>
            <w:vAlign w:val="center"/>
          </w:tcPr>
          <w:p w14:paraId="0F321CDC" w14:textId="131E5503" w:rsidR="00FA3C5C" w:rsidRPr="00CE4879" w:rsidRDefault="00FA3C5C" w:rsidP="009D4D48">
            <w:pPr>
              <w:spacing w:line="240" w:lineRule="auto"/>
              <w:jc w:val="center"/>
              <w:rPr>
                <w:sz w:val="16"/>
                <w:szCs w:val="16"/>
              </w:rPr>
            </w:pPr>
            <w:r w:rsidRPr="00CE4879">
              <w:rPr>
                <w:sz w:val="16"/>
                <w:szCs w:val="16"/>
              </w:rPr>
              <w:t xml:space="preserve">3 </w:t>
            </w:r>
            <w:r w:rsidR="00407A72">
              <w:rPr>
                <w:sz w:val="16"/>
                <w:szCs w:val="16"/>
              </w:rPr>
              <w:br/>
            </w:r>
            <w:r w:rsidRPr="00CE4879">
              <w:rPr>
                <w:sz w:val="16"/>
                <w:szCs w:val="16"/>
              </w:rPr>
              <w:t>(33.3%)</w:t>
            </w:r>
          </w:p>
        </w:tc>
        <w:tc>
          <w:tcPr>
            <w:tcW w:w="850" w:type="dxa"/>
            <w:shd w:val="clear" w:color="auto" w:fill="FFFFFF" w:themeFill="background1"/>
            <w:vAlign w:val="center"/>
          </w:tcPr>
          <w:p w14:paraId="1089CEB6" w14:textId="7AC1E033" w:rsidR="00FA3C5C" w:rsidRPr="00CE4879" w:rsidRDefault="00FA3C5C" w:rsidP="009D4D48">
            <w:pPr>
              <w:spacing w:line="240" w:lineRule="auto"/>
              <w:jc w:val="center"/>
              <w:rPr>
                <w:sz w:val="16"/>
                <w:szCs w:val="16"/>
              </w:rPr>
            </w:pPr>
            <w:r w:rsidRPr="00CE4879">
              <w:rPr>
                <w:sz w:val="16"/>
                <w:szCs w:val="16"/>
              </w:rPr>
              <w:t xml:space="preserve">3 </w:t>
            </w:r>
            <w:r w:rsidR="00407A72">
              <w:rPr>
                <w:sz w:val="16"/>
                <w:szCs w:val="16"/>
              </w:rPr>
              <w:br/>
            </w:r>
            <w:r w:rsidRPr="00CE4879">
              <w:rPr>
                <w:sz w:val="16"/>
                <w:szCs w:val="16"/>
              </w:rPr>
              <w:t>(25%)</w:t>
            </w:r>
          </w:p>
        </w:tc>
        <w:tc>
          <w:tcPr>
            <w:tcW w:w="992" w:type="dxa"/>
            <w:shd w:val="clear" w:color="auto" w:fill="FFFFFF" w:themeFill="background1"/>
            <w:vAlign w:val="center"/>
          </w:tcPr>
          <w:p w14:paraId="11CBC4BB" w14:textId="11A959EB" w:rsidR="00FA3C5C" w:rsidRPr="00CE4879" w:rsidRDefault="00FA3C5C" w:rsidP="009D4D48">
            <w:pPr>
              <w:spacing w:line="240" w:lineRule="auto"/>
              <w:jc w:val="center"/>
              <w:rPr>
                <w:sz w:val="16"/>
                <w:szCs w:val="16"/>
              </w:rPr>
            </w:pPr>
            <w:r w:rsidRPr="00CE4879">
              <w:rPr>
                <w:sz w:val="16"/>
                <w:szCs w:val="16"/>
              </w:rPr>
              <w:t xml:space="preserve">1 </w:t>
            </w:r>
            <w:r w:rsidR="00407A72">
              <w:rPr>
                <w:sz w:val="16"/>
                <w:szCs w:val="16"/>
              </w:rPr>
              <w:br/>
            </w:r>
            <w:r w:rsidRPr="00CE4879">
              <w:rPr>
                <w:sz w:val="16"/>
                <w:szCs w:val="16"/>
              </w:rPr>
              <w:t>(12.5%)</w:t>
            </w:r>
          </w:p>
        </w:tc>
        <w:tc>
          <w:tcPr>
            <w:tcW w:w="851" w:type="dxa"/>
            <w:shd w:val="clear" w:color="auto" w:fill="FFFFFF" w:themeFill="background1"/>
            <w:vAlign w:val="center"/>
          </w:tcPr>
          <w:p w14:paraId="5146FEA4" w14:textId="77777777" w:rsidR="00FA3C5C" w:rsidRPr="00CE4879" w:rsidRDefault="00FA3C5C" w:rsidP="009D4D48">
            <w:pPr>
              <w:spacing w:line="240" w:lineRule="auto"/>
              <w:jc w:val="center"/>
              <w:rPr>
                <w:sz w:val="16"/>
                <w:szCs w:val="16"/>
              </w:rPr>
            </w:pPr>
            <w:r w:rsidRPr="00CE4879">
              <w:rPr>
                <w:sz w:val="16"/>
                <w:szCs w:val="16"/>
              </w:rPr>
              <w:t>0</w:t>
            </w:r>
          </w:p>
        </w:tc>
        <w:tc>
          <w:tcPr>
            <w:tcW w:w="850" w:type="dxa"/>
            <w:shd w:val="clear" w:color="auto" w:fill="FFFFFF" w:themeFill="background1"/>
            <w:vAlign w:val="center"/>
          </w:tcPr>
          <w:p w14:paraId="2BA3C913" w14:textId="1D3B5536" w:rsidR="00FA3C5C" w:rsidRPr="00CE4879" w:rsidRDefault="00FA3C5C" w:rsidP="009D4D48">
            <w:pPr>
              <w:spacing w:line="240" w:lineRule="auto"/>
              <w:jc w:val="center"/>
              <w:rPr>
                <w:sz w:val="16"/>
                <w:szCs w:val="16"/>
              </w:rPr>
            </w:pPr>
            <w:r w:rsidRPr="00CE4879">
              <w:rPr>
                <w:sz w:val="16"/>
                <w:szCs w:val="16"/>
              </w:rPr>
              <w:t xml:space="preserve">4 </w:t>
            </w:r>
            <w:r w:rsidR="00407A72">
              <w:rPr>
                <w:sz w:val="16"/>
                <w:szCs w:val="16"/>
              </w:rPr>
              <w:br/>
            </w:r>
            <w:r w:rsidRPr="00CE4879">
              <w:rPr>
                <w:sz w:val="16"/>
                <w:szCs w:val="16"/>
              </w:rPr>
              <w:t>(50%)</w:t>
            </w:r>
          </w:p>
        </w:tc>
        <w:tc>
          <w:tcPr>
            <w:tcW w:w="822" w:type="dxa"/>
            <w:shd w:val="clear" w:color="auto" w:fill="FFFFFF" w:themeFill="background1"/>
            <w:vAlign w:val="center"/>
          </w:tcPr>
          <w:p w14:paraId="45659C2B" w14:textId="77777777" w:rsidR="00FA3C5C" w:rsidRPr="00CE4879" w:rsidRDefault="00FA3C5C" w:rsidP="009D4D48">
            <w:pPr>
              <w:spacing w:line="240" w:lineRule="auto"/>
              <w:jc w:val="center"/>
              <w:rPr>
                <w:sz w:val="16"/>
                <w:szCs w:val="16"/>
              </w:rPr>
            </w:pPr>
            <w:r w:rsidRPr="00CE4879">
              <w:rPr>
                <w:sz w:val="16"/>
                <w:szCs w:val="16"/>
              </w:rPr>
              <w:t>14 (15.7%)</w:t>
            </w:r>
          </w:p>
        </w:tc>
      </w:tr>
    </w:tbl>
    <w:p w14:paraId="32E2DF4A" w14:textId="01D1D860" w:rsidR="00FA3C5C" w:rsidRPr="00C5263C" w:rsidRDefault="00FA3C5C" w:rsidP="00FA3C5C">
      <w:pPr>
        <w:pStyle w:val="NoSpacing1"/>
        <w:rPr>
          <w:rFonts w:ascii="Palatino Linotype" w:hAnsi="Palatino Linotype" w:cs="Arial"/>
          <w:sz w:val="16"/>
          <w:szCs w:val="16"/>
          <w:lang w:val="en-GB"/>
        </w:rPr>
      </w:pPr>
      <w:r w:rsidRPr="00C5263C">
        <w:rPr>
          <w:rFonts w:ascii="Palatino Linotype" w:hAnsi="Palatino Linotype" w:cs="Arial"/>
          <w:sz w:val="16"/>
          <w:szCs w:val="16"/>
          <w:lang w:val="en-GB"/>
        </w:rPr>
        <w:t xml:space="preserve">NB: </w:t>
      </w:r>
      <w:r w:rsidR="00F05A21" w:rsidRPr="00C5263C">
        <w:rPr>
          <w:rFonts w:ascii="Palatino Linotype" w:hAnsi="Palatino Linotype" w:cs="Arial"/>
          <w:sz w:val="16"/>
          <w:szCs w:val="16"/>
          <w:lang w:val="en-GB"/>
        </w:rPr>
        <w:t xml:space="preserve">LUTI = lower urinary tract infection; </w:t>
      </w:r>
      <w:r w:rsidRPr="00C5263C">
        <w:rPr>
          <w:rFonts w:ascii="Palatino Linotype" w:hAnsi="Palatino Linotype" w:cs="Arial"/>
          <w:sz w:val="16"/>
          <w:szCs w:val="16"/>
          <w:lang w:val="en-GB"/>
        </w:rPr>
        <w:t>RTI = respiratory tract infection</w:t>
      </w:r>
      <w:r w:rsidR="00F05A21">
        <w:rPr>
          <w:rFonts w:ascii="Palatino Linotype" w:hAnsi="Palatino Linotype" w:cs="Arial"/>
          <w:sz w:val="16"/>
          <w:szCs w:val="16"/>
          <w:lang w:val="en-GB"/>
        </w:rPr>
        <w:t xml:space="preserve">; </w:t>
      </w:r>
      <w:r w:rsidRPr="00C5263C">
        <w:rPr>
          <w:rFonts w:ascii="Palatino Linotype" w:hAnsi="Palatino Linotype" w:cs="Arial"/>
          <w:sz w:val="16"/>
          <w:szCs w:val="16"/>
          <w:lang w:val="en-GB"/>
        </w:rPr>
        <w:t xml:space="preserve">SSTI = skin and soft tissue infection; STI = sexually transmitted infection </w:t>
      </w:r>
      <w:r w:rsidRPr="00C5263C">
        <w:rPr>
          <w:sz w:val="16"/>
          <w:szCs w:val="16"/>
        </w:rPr>
        <w:t xml:space="preserve">                       </w:t>
      </w:r>
    </w:p>
    <w:p w14:paraId="72C95422" w14:textId="6E4CF9A4" w:rsidR="00996366" w:rsidRDefault="00FA3C5C" w:rsidP="00996366">
      <w:pPr>
        <w:pStyle w:val="MDPI22heading2"/>
        <w:spacing w:before="240"/>
        <w:rPr>
          <w:b/>
          <w:bCs/>
          <w:noProof w:val="0"/>
        </w:rPr>
      </w:pPr>
      <w:r w:rsidRPr="00FA3C5C">
        <w:rPr>
          <w:b/>
          <w:bCs/>
          <w:noProof w:val="0"/>
        </w:rPr>
        <w:t>2.3. Round 2 rating outcomes for appropriateness and feasibility</w:t>
      </w:r>
    </w:p>
    <w:p w14:paraId="30AD9630" w14:textId="3A29AF95" w:rsidR="00996366" w:rsidRPr="00FB0C53" w:rsidRDefault="00FA3C5C" w:rsidP="00FB0C53">
      <w:pPr>
        <w:pStyle w:val="MDPI31text"/>
      </w:pPr>
      <w:r w:rsidRPr="00FA3C5C">
        <w:rPr>
          <w:iCs/>
        </w:rPr>
        <w:t>The rating outcomes for the 89 indicators rated in the second round are presented in Table 2. In total, 66 statements (74.2%) were rated appropriate and feasible with agreement. There were 11 indicators rated appropriate but not feasible (12.4%)</w:t>
      </w:r>
      <w:r w:rsidR="005600A9">
        <w:rPr>
          <w:iCs/>
        </w:rPr>
        <w:t>, 9</w:t>
      </w:r>
      <w:r w:rsidRPr="00FA3C5C">
        <w:rPr>
          <w:iCs/>
        </w:rPr>
        <w:t xml:space="preserve"> indicators were rated feasible but not appropriate (10.1%)</w:t>
      </w:r>
      <w:r w:rsidR="00D059A2">
        <w:rPr>
          <w:iCs/>
        </w:rPr>
        <w:t xml:space="preserve"> while 3 </w:t>
      </w:r>
      <w:r w:rsidRPr="00FA3C5C">
        <w:rPr>
          <w:iCs/>
        </w:rPr>
        <w:t xml:space="preserve">indicators (3.4%) were rated both inappropriate and </w:t>
      </w:r>
      <w:r w:rsidR="00FA0941">
        <w:rPr>
          <w:iCs/>
        </w:rPr>
        <w:t xml:space="preserve">not </w:t>
      </w:r>
      <w:r w:rsidRPr="00FA3C5C">
        <w:rPr>
          <w:iCs/>
        </w:rPr>
        <w:t>feasible.</w:t>
      </w:r>
    </w:p>
    <w:p w14:paraId="0769FD05" w14:textId="77777777" w:rsidR="00FB0C53" w:rsidRDefault="00FB0C53">
      <w:pPr>
        <w:spacing w:line="240" w:lineRule="auto"/>
        <w:jc w:val="left"/>
        <w:rPr>
          <w:rFonts w:eastAsia="Times New Roman" w:cs="Cordia New"/>
          <w:b/>
          <w:sz w:val="18"/>
          <w:szCs w:val="22"/>
          <w:lang w:eastAsia="de-DE" w:bidi="en-US"/>
        </w:rPr>
      </w:pPr>
      <w:bookmarkStart w:id="24" w:name="_Hlk216284591"/>
      <w:bookmarkStart w:id="25" w:name="_Hlk216283135"/>
      <w:r>
        <w:rPr>
          <w:b/>
        </w:rPr>
        <w:br w:type="page"/>
      </w:r>
    </w:p>
    <w:p w14:paraId="7DA948A6" w14:textId="7292DE60" w:rsidR="00F95401" w:rsidRDefault="001B4E81" w:rsidP="007A6035">
      <w:pPr>
        <w:pStyle w:val="MDPI41tablecaption"/>
      </w:pPr>
      <w:r w:rsidRPr="003D4CE1">
        <w:rPr>
          <w:b/>
        </w:rPr>
        <w:t xml:space="preserve">Table </w:t>
      </w:r>
      <w:r w:rsidR="001A280A">
        <w:rPr>
          <w:b/>
        </w:rPr>
        <w:t>2</w:t>
      </w:r>
      <w:r w:rsidRPr="003D4CE1">
        <w:rPr>
          <w:b/>
        </w:rPr>
        <w:t>.</w:t>
      </w:r>
      <w:r w:rsidRPr="003D4CE1">
        <w:t xml:space="preserve"> </w:t>
      </w:r>
      <w:r w:rsidR="001446A0">
        <w:t xml:space="preserve">Round 2 rating outcomes for appropriateness and feasibility </w:t>
      </w:r>
      <w:r w:rsidR="00015163">
        <w:t>(n=89)</w:t>
      </w:r>
    </w:p>
    <w:tbl>
      <w:tblPr>
        <w:tblStyle w:val="TableGrid"/>
        <w:tblW w:w="11624" w:type="dxa"/>
        <w:tblInd w:w="-572" w:type="dxa"/>
        <w:tblLayout w:type="fixed"/>
        <w:tblLook w:val="04A0" w:firstRow="1" w:lastRow="0" w:firstColumn="1" w:lastColumn="0" w:noHBand="0" w:noVBand="1"/>
      </w:tblPr>
      <w:tblGrid>
        <w:gridCol w:w="709"/>
        <w:gridCol w:w="567"/>
        <w:gridCol w:w="6662"/>
        <w:gridCol w:w="567"/>
        <w:gridCol w:w="567"/>
        <w:gridCol w:w="709"/>
        <w:gridCol w:w="567"/>
        <w:gridCol w:w="567"/>
        <w:gridCol w:w="709"/>
      </w:tblGrid>
      <w:tr w:rsidR="00C07BC6" w:rsidRPr="00687BD6" w14:paraId="5790D961" w14:textId="77777777" w:rsidTr="008D6400">
        <w:trPr>
          <w:trHeight w:val="131"/>
        </w:trPr>
        <w:tc>
          <w:tcPr>
            <w:tcW w:w="709" w:type="dxa"/>
            <w:vMerge w:val="restart"/>
            <w:vAlign w:val="center"/>
          </w:tcPr>
          <w:bookmarkEnd w:id="24"/>
          <w:p w14:paraId="6FB1E186" w14:textId="44A77625" w:rsidR="007412F8" w:rsidRPr="00687BD6" w:rsidRDefault="007412F8" w:rsidP="00687BD6">
            <w:pPr>
              <w:spacing w:line="240" w:lineRule="auto"/>
              <w:jc w:val="center"/>
              <w:rPr>
                <w:b/>
                <w:bCs/>
                <w:sz w:val="16"/>
                <w:szCs w:val="16"/>
              </w:rPr>
            </w:pPr>
            <w:r w:rsidRPr="00687BD6">
              <w:rPr>
                <w:b/>
                <w:bCs/>
                <w:sz w:val="16"/>
                <w:szCs w:val="16"/>
              </w:rPr>
              <w:t>Infection</w:t>
            </w:r>
          </w:p>
        </w:tc>
        <w:tc>
          <w:tcPr>
            <w:tcW w:w="567" w:type="dxa"/>
            <w:vMerge w:val="restart"/>
            <w:vAlign w:val="center"/>
          </w:tcPr>
          <w:p w14:paraId="1625D64E" w14:textId="77777777" w:rsidR="007412F8" w:rsidRPr="00687BD6" w:rsidRDefault="007412F8" w:rsidP="00687BD6">
            <w:pPr>
              <w:spacing w:line="240" w:lineRule="auto"/>
              <w:jc w:val="center"/>
              <w:rPr>
                <w:b/>
                <w:bCs/>
                <w:sz w:val="16"/>
                <w:szCs w:val="16"/>
              </w:rPr>
            </w:pPr>
            <w:r w:rsidRPr="00687BD6">
              <w:rPr>
                <w:b/>
                <w:bCs/>
                <w:sz w:val="16"/>
                <w:szCs w:val="16"/>
              </w:rPr>
              <w:t>No.</w:t>
            </w:r>
          </w:p>
        </w:tc>
        <w:tc>
          <w:tcPr>
            <w:tcW w:w="6662" w:type="dxa"/>
            <w:vMerge w:val="restart"/>
            <w:vAlign w:val="center"/>
          </w:tcPr>
          <w:p w14:paraId="449B354B" w14:textId="77777777" w:rsidR="007412F8" w:rsidRPr="00687BD6" w:rsidRDefault="007412F8" w:rsidP="00687BD6">
            <w:pPr>
              <w:spacing w:line="240" w:lineRule="auto"/>
              <w:jc w:val="center"/>
              <w:rPr>
                <w:b/>
                <w:bCs/>
                <w:sz w:val="16"/>
                <w:szCs w:val="16"/>
              </w:rPr>
            </w:pPr>
            <w:r w:rsidRPr="00687BD6">
              <w:rPr>
                <w:b/>
                <w:bCs/>
                <w:sz w:val="16"/>
                <w:szCs w:val="16"/>
              </w:rPr>
              <w:t>Statement</w:t>
            </w:r>
          </w:p>
        </w:tc>
        <w:tc>
          <w:tcPr>
            <w:tcW w:w="1843" w:type="dxa"/>
            <w:gridSpan w:val="3"/>
            <w:vAlign w:val="center"/>
          </w:tcPr>
          <w:p w14:paraId="1158589D" w14:textId="77777777" w:rsidR="007412F8" w:rsidRPr="00687BD6" w:rsidRDefault="007412F8" w:rsidP="00687BD6">
            <w:pPr>
              <w:spacing w:line="240" w:lineRule="auto"/>
              <w:jc w:val="center"/>
              <w:rPr>
                <w:b/>
                <w:bCs/>
                <w:sz w:val="16"/>
                <w:szCs w:val="16"/>
              </w:rPr>
            </w:pPr>
            <w:r w:rsidRPr="00687BD6">
              <w:rPr>
                <w:b/>
                <w:bCs/>
                <w:sz w:val="16"/>
                <w:szCs w:val="16"/>
              </w:rPr>
              <w:t>Appropriateness</w:t>
            </w:r>
          </w:p>
        </w:tc>
        <w:tc>
          <w:tcPr>
            <w:tcW w:w="1843" w:type="dxa"/>
            <w:gridSpan w:val="3"/>
            <w:vAlign w:val="center"/>
          </w:tcPr>
          <w:p w14:paraId="054C34C3" w14:textId="77777777" w:rsidR="007412F8" w:rsidRPr="00687BD6" w:rsidRDefault="007412F8" w:rsidP="00687BD6">
            <w:pPr>
              <w:spacing w:line="240" w:lineRule="auto"/>
              <w:jc w:val="center"/>
              <w:rPr>
                <w:b/>
                <w:bCs/>
                <w:sz w:val="16"/>
                <w:szCs w:val="16"/>
              </w:rPr>
            </w:pPr>
            <w:r w:rsidRPr="00687BD6">
              <w:rPr>
                <w:b/>
                <w:bCs/>
                <w:sz w:val="16"/>
                <w:szCs w:val="16"/>
              </w:rPr>
              <w:t>Feasibility</w:t>
            </w:r>
          </w:p>
        </w:tc>
      </w:tr>
      <w:tr w:rsidR="00C07BC6" w:rsidRPr="00687BD6" w14:paraId="71420AB9" w14:textId="77777777" w:rsidTr="008D6400">
        <w:trPr>
          <w:trHeight w:val="131"/>
        </w:trPr>
        <w:tc>
          <w:tcPr>
            <w:tcW w:w="709" w:type="dxa"/>
            <w:vMerge/>
            <w:vAlign w:val="center"/>
          </w:tcPr>
          <w:p w14:paraId="6AF05572" w14:textId="77777777" w:rsidR="007412F8" w:rsidRPr="00687BD6" w:rsidRDefault="007412F8" w:rsidP="00687BD6">
            <w:pPr>
              <w:spacing w:line="240" w:lineRule="auto"/>
              <w:jc w:val="center"/>
              <w:rPr>
                <w:b/>
                <w:bCs/>
                <w:sz w:val="16"/>
                <w:szCs w:val="16"/>
              </w:rPr>
            </w:pPr>
          </w:p>
        </w:tc>
        <w:tc>
          <w:tcPr>
            <w:tcW w:w="567" w:type="dxa"/>
            <w:vMerge/>
            <w:vAlign w:val="center"/>
          </w:tcPr>
          <w:p w14:paraId="210AF63E" w14:textId="77777777" w:rsidR="007412F8" w:rsidRPr="00687BD6" w:rsidRDefault="007412F8" w:rsidP="00687BD6">
            <w:pPr>
              <w:spacing w:line="240" w:lineRule="auto"/>
              <w:jc w:val="center"/>
              <w:rPr>
                <w:b/>
                <w:bCs/>
                <w:sz w:val="16"/>
                <w:szCs w:val="16"/>
              </w:rPr>
            </w:pPr>
          </w:p>
        </w:tc>
        <w:tc>
          <w:tcPr>
            <w:tcW w:w="6662" w:type="dxa"/>
            <w:vMerge/>
            <w:vAlign w:val="center"/>
          </w:tcPr>
          <w:p w14:paraId="3C957DDE" w14:textId="77777777" w:rsidR="007412F8" w:rsidRPr="00687BD6" w:rsidRDefault="007412F8" w:rsidP="00687BD6">
            <w:pPr>
              <w:spacing w:line="240" w:lineRule="auto"/>
              <w:jc w:val="center"/>
              <w:rPr>
                <w:b/>
                <w:bCs/>
                <w:sz w:val="16"/>
                <w:szCs w:val="16"/>
              </w:rPr>
            </w:pPr>
          </w:p>
        </w:tc>
        <w:tc>
          <w:tcPr>
            <w:tcW w:w="567" w:type="dxa"/>
            <w:vAlign w:val="center"/>
          </w:tcPr>
          <w:p w14:paraId="4E0A8337" w14:textId="1D14B2E7" w:rsidR="007412F8" w:rsidRPr="00687BD6" w:rsidRDefault="007412F8" w:rsidP="00687BD6">
            <w:pPr>
              <w:spacing w:line="240" w:lineRule="auto"/>
              <w:jc w:val="center"/>
              <w:rPr>
                <w:b/>
                <w:bCs/>
                <w:sz w:val="16"/>
                <w:szCs w:val="16"/>
              </w:rPr>
            </w:pPr>
            <w:r w:rsidRPr="00687BD6">
              <w:rPr>
                <w:b/>
                <w:bCs/>
                <w:sz w:val="16"/>
                <w:szCs w:val="16"/>
              </w:rPr>
              <w:t>Med</w:t>
            </w:r>
          </w:p>
        </w:tc>
        <w:tc>
          <w:tcPr>
            <w:tcW w:w="567" w:type="dxa"/>
            <w:vAlign w:val="center"/>
          </w:tcPr>
          <w:p w14:paraId="0458BF75" w14:textId="77777777" w:rsidR="007412F8" w:rsidRPr="00687BD6" w:rsidRDefault="007412F8" w:rsidP="00687BD6">
            <w:pPr>
              <w:spacing w:line="240" w:lineRule="auto"/>
              <w:jc w:val="center"/>
              <w:rPr>
                <w:b/>
                <w:bCs/>
                <w:sz w:val="16"/>
                <w:szCs w:val="16"/>
              </w:rPr>
            </w:pPr>
            <w:r w:rsidRPr="00687BD6">
              <w:rPr>
                <w:b/>
                <w:bCs/>
                <w:sz w:val="16"/>
                <w:szCs w:val="16"/>
              </w:rPr>
              <w:t>LOC</w:t>
            </w:r>
          </w:p>
        </w:tc>
        <w:tc>
          <w:tcPr>
            <w:tcW w:w="709" w:type="dxa"/>
            <w:vAlign w:val="center"/>
          </w:tcPr>
          <w:p w14:paraId="5BB5A340" w14:textId="389AABBD" w:rsidR="007412F8" w:rsidRPr="00687BD6" w:rsidRDefault="007412F8" w:rsidP="00687BD6">
            <w:pPr>
              <w:spacing w:line="240" w:lineRule="auto"/>
              <w:jc w:val="center"/>
              <w:rPr>
                <w:b/>
                <w:bCs/>
                <w:sz w:val="16"/>
                <w:szCs w:val="16"/>
              </w:rPr>
            </w:pPr>
            <w:r w:rsidRPr="00687BD6">
              <w:rPr>
                <w:b/>
                <w:bCs/>
                <w:sz w:val="16"/>
                <w:szCs w:val="16"/>
              </w:rPr>
              <w:t>A (</w:t>
            </w:r>
            <w:proofErr w:type="gramStart"/>
            <w:r w:rsidRPr="00687BD6">
              <w:rPr>
                <w:b/>
                <w:bCs/>
                <w:sz w:val="16"/>
                <w:szCs w:val="16"/>
              </w:rPr>
              <w:t>%)҂</w:t>
            </w:r>
            <w:proofErr w:type="gramEnd"/>
          </w:p>
        </w:tc>
        <w:tc>
          <w:tcPr>
            <w:tcW w:w="567" w:type="dxa"/>
            <w:vAlign w:val="center"/>
          </w:tcPr>
          <w:p w14:paraId="6244AD7B" w14:textId="221882CD" w:rsidR="007412F8" w:rsidRPr="00687BD6" w:rsidRDefault="007412F8" w:rsidP="00687BD6">
            <w:pPr>
              <w:spacing w:line="240" w:lineRule="auto"/>
              <w:jc w:val="center"/>
              <w:rPr>
                <w:b/>
                <w:bCs/>
                <w:sz w:val="16"/>
                <w:szCs w:val="16"/>
              </w:rPr>
            </w:pPr>
            <w:r w:rsidRPr="00687BD6">
              <w:rPr>
                <w:b/>
                <w:bCs/>
                <w:sz w:val="16"/>
                <w:szCs w:val="16"/>
              </w:rPr>
              <w:t>Med</w:t>
            </w:r>
          </w:p>
        </w:tc>
        <w:tc>
          <w:tcPr>
            <w:tcW w:w="567" w:type="dxa"/>
            <w:vAlign w:val="center"/>
          </w:tcPr>
          <w:p w14:paraId="7FC042B6" w14:textId="77777777" w:rsidR="007412F8" w:rsidRPr="00687BD6" w:rsidRDefault="007412F8" w:rsidP="00687BD6">
            <w:pPr>
              <w:spacing w:line="240" w:lineRule="auto"/>
              <w:jc w:val="center"/>
              <w:rPr>
                <w:b/>
                <w:bCs/>
                <w:sz w:val="16"/>
                <w:szCs w:val="16"/>
              </w:rPr>
            </w:pPr>
            <w:r w:rsidRPr="00687BD6">
              <w:rPr>
                <w:b/>
                <w:bCs/>
                <w:sz w:val="16"/>
                <w:szCs w:val="16"/>
              </w:rPr>
              <w:t>LOC</w:t>
            </w:r>
          </w:p>
        </w:tc>
        <w:tc>
          <w:tcPr>
            <w:tcW w:w="709" w:type="dxa"/>
            <w:vAlign w:val="center"/>
          </w:tcPr>
          <w:p w14:paraId="0DCC4A10" w14:textId="20BB4941" w:rsidR="007412F8" w:rsidRPr="00687BD6" w:rsidRDefault="007412F8" w:rsidP="00687BD6">
            <w:pPr>
              <w:spacing w:line="240" w:lineRule="auto"/>
              <w:jc w:val="center"/>
              <w:rPr>
                <w:b/>
                <w:bCs/>
                <w:sz w:val="16"/>
                <w:szCs w:val="16"/>
              </w:rPr>
            </w:pPr>
            <w:r w:rsidRPr="00687BD6">
              <w:rPr>
                <w:b/>
                <w:bCs/>
                <w:sz w:val="16"/>
                <w:szCs w:val="16"/>
              </w:rPr>
              <w:t>A (</w:t>
            </w:r>
            <w:proofErr w:type="gramStart"/>
            <w:r w:rsidRPr="00687BD6">
              <w:rPr>
                <w:b/>
                <w:bCs/>
                <w:sz w:val="16"/>
                <w:szCs w:val="16"/>
              </w:rPr>
              <w:t>%)҂</w:t>
            </w:r>
            <w:proofErr w:type="gramEnd"/>
          </w:p>
        </w:tc>
      </w:tr>
      <w:tr w:rsidR="00C07BC6" w:rsidRPr="00687BD6" w14:paraId="177C3975" w14:textId="77777777" w:rsidTr="008D6400">
        <w:tc>
          <w:tcPr>
            <w:tcW w:w="709" w:type="dxa"/>
            <w:vMerge w:val="restart"/>
          </w:tcPr>
          <w:p w14:paraId="0DA23CEB" w14:textId="01455A1D" w:rsidR="007412F8" w:rsidRPr="00687BD6" w:rsidRDefault="007412F8" w:rsidP="00687BD6">
            <w:pPr>
              <w:spacing w:line="240" w:lineRule="auto"/>
              <w:rPr>
                <w:b/>
                <w:bCs/>
                <w:sz w:val="16"/>
                <w:szCs w:val="16"/>
              </w:rPr>
            </w:pPr>
            <w:r w:rsidRPr="00687BD6">
              <w:rPr>
                <w:b/>
                <w:bCs/>
                <w:sz w:val="16"/>
                <w:szCs w:val="16"/>
              </w:rPr>
              <w:t>R</w:t>
            </w:r>
            <w:r w:rsidR="00971E3D" w:rsidRPr="00687BD6">
              <w:rPr>
                <w:b/>
                <w:bCs/>
                <w:sz w:val="16"/>
                <w:szCs w:val="16"/>
              </w:rPr>
              <w:t>TI</w:t>
            </w:r>
            <w:r w:rsidRPr="00687BD6">
              <w:rPr>
                <w:b/>
                <w:bCs/>
                <w:sz w:val="16"/>
                <w:szCs w:val="16"/>
              </w:rPr>
              <w:t xml:space="preserve"> (n=19)</w:t>
            </w:r>
          </w:p>
        </w:tc>
        <w:tc>
          <w:tcPr>
            <w:tcW w:w="567" w:type="dxa"/>
            <w:vAlign w:val="center"/>
          </w:tcPr>
          <w:p w14:paraId="2407B174" w14:textId="77777777" w:rsidR="007412F8" w:rsidRPr="00687BD6" w:rsidRDefault="007412F8" w:rsidP="00687BD6">
            <w:pPr>
              <w:spacing w:line="240" w:lineRule="auto"/>
              <w:jc w:val="center"/>
              <w:rPr>
                <w:sz w:val="16"/>
                <w:szCs w:val="16"/>
              </w:rPr>
            </w:pPr>
            <w:r w:rsidRPr="00687BD6">
              <w:rPr>
                <w:sz w:val="16"/>
                <w:szCs w:val="16"/>
              </w:rPr>
              <w:t>1</w:t>
            </w:r>
          </w:p>
        </w:tc>
        <w:tc>
          <w:tcPr>
            <w:tcW w:w="6662" w:type="dxa"/>
            <w:vAlign w:val="center"/>
          </w:tcPr>
          <w:p w14:paraId="562F7DD0" w14:textId="24604F05" w:rsidR="007412F8" w:rsidRPr="00687BD6" w:rsidRDefault="007412F8" w:rsidP="004F78B0">
            <w:pPr>
              <w:spacing w:line="240" w:lineRule="auto"/>
              <w:jc w:val="left"/>
              <w:rPr>
                <w:sz w:val="16"/>
                <w:szCs w:val="16"/>
              </w:rPr>
            </w:pPr>
            <w:r w:rsidRPr="00687BD6">
              <w:rPr>
                <w:sz w:val="16"/>
                <w:szCs w:val="16"/>
              </w:rPr>
              <w:t>Proportion of all patients presenting with any acute RTI given an oral antibiotic</w:t>
            </w:r>
          </w:p>
        </w:tc>
        <w:tc>
          <w:tcPr>
            <w:tcW w:w="567" w:type="dxa"/>
            <w:vAlign w:val="center"/>
          </w:tcPr>
          <w:p w14:paraId="76FA8A1F" w14:textId="77777777" w:rsidR="007412F8" w:rsidRPr="00687BD6" w:rsidRDefault="007412F8" w:rsidP="004F78B0">
            <w:pPr>
              <w:spacing w:line="240" w:lineRule="auto"/>
              <w:jc w:val="center"/>
              <w:rPr>
                <w:sz w:val="16"/>
                <w:szCs w:val="16"/>
              </w:rPr>
            </w:pPr>
            <w:r w:rsidRPr="00687BD6">
              <w:rPr>
                <w:sz w:val="16"/>
                <w:szCs w:val="16"/>
              </w:rPr>
              <w:t>9</w:t>
            </w:r>
          </w:p>
        </w:tc>
        <w:tc>
          <w:tcPr>
            <w:tcW w:w="567" w:type="dxa"/>
            <w:vAlign w:val="center"/>
          </w:tcPr>
          <w:p w14:paraId="0491C73E" w14:textId="77777777" w:rsidR="007412F8" w:rsidRPr="00687BD6" w:rsidRDefault="007412F8" w:rsidP="004F78B0">
            <w:pPr>
              <w:spacing w:line="240" w:lineRule="auto"/>
              <w:jc w:val="center"/>
              <w:rPr>
                <w:sz w:val="16"/>
                <w:szCs w:val="16"/>
              </w:rPr>
            </w:pPr>
            <w:r w:rsidRPr="00687BD6">
              <w:rPr>
                <w:sz w:val="16"/>
                <w:szCs w:val="16"/>
              </w:rPr>
              <w:t>E</w:t>
            </w:r>
          </w:p>
        </w:tc>
        <w:tc>
          <w:tcPr>
            <w:tcW w:w="709" w:type="dxa"/>
            <w:vAlign w:val="center"/>
          </w:tcPr>
          <w:p w14:paraId="6795524A" w14:textId="77777777" w:rsidR="007412F8" w:rsidRPr="00687BD6" w:rsidRDefault="007412F8" w:rsidP="004F78B0">
            <w:pPr>
              <w:spacing w:line="240" w:lineRule="auto"/>
              <w:jc w:val="center"/>
              <w:rPr>
                <w:sz w:val="16"/>
                <w:szCs w:val="16"/>
              </w:rPr>
            </w:pPr>
            <w:r w:rsidRPr="00687BD6">
              <w:rPr>
                <w:sz w:val="16"/>
                <w:szCs w:val="16"/>
              </w:rPr>
              <w:t>60%</w:t>
            </w:r>
          </w:p>
        </w:tc>
        <w:tc>
          <w:tcPr>
            <w:tcW w:w="567" w:type="dxa"/>
            <w:vAlign w:val="center"/>
          </w:tcPr>
          <w:p w14:paraId="6682C6A2"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420B2851"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411681BE" w14:textId="77777777" w:rsidR="007412F8" w:rsidRPr="00687BD6" w:rsidRDefault="007412F8" w:rsidP="004F78B0">
            <w:pPr>
              <w:spacing w:line="240" w:lineRule="auto"/>
              <w:jc w:val="center"/>
              <w:rPr>
                <w:sz w:val="16"/>
                <w:szCs w:val="16"/>
              </w:rPr>
            </w:pPr>
            <w:r w:rsidRPr="00687BD6">
              <w:rPr>
                <w:sz w:val="16"/>
                <w:szCs w:val="16"/>
              </w:rPr>
              <w:t>100%</w:t>
            </w:r>
          </w:p>
        </w:tc>
      </w:tr>
      <w:tr w:rsidR="00C07BC6" w:rsidRPr="00687BD6" w14:paraId="5FE91423" w14:textId="77777777" w:rsidTr="008D6400">
        <w:tc>
          <w:tcPr>
            <w:tcW w:w="709" w:type="dxa"/>
            <w:vMerge/>
          </w:tcPr>
          <w:p w14:paraId="13B4F268" w14:textId="77777777" w:rsidR="007412F8" w:rsidRPr="00687BD6" w:rsidRDefault="007412F8" w:rsidP="00687BD6">
            <w:pPr>
              <w:spacing w:line="240" w:lineRule="auto"/>
              <w:rPr>
                <w:b/>
                <w:bCs/>
                <w:sz w:val="16"/>
                <w:szCs w:val="16"/>
              </w:rPr>
            </w:pPr>
          </w:p>
        </w:tc>
        <w:tc>
          <w:tcPr>
            <w:tcW w:w="567" w:type="dxa"/>
            <w:vAlign w:val="center"/>
          </w:tcPr>
          <w:p w14:paraId="1FC43C67" w14:textId="77777777" w:rsidR="007412F8" w:rsidRPr="00687BD6" w:rsidRDefault="007412F8" w:rsidP="00687BD6">
            <w:pPr>
              <w:spacing w:line="240" w:lineRule="auto"/>
              <w:jc w:val="center"/>
              <w:rPr>
                <w:sz w:val="16"/>
                <w:szCs w:val="16"/>
              </w:rPr>
            </w:pPr>
            <w:r w:rsidRPr="00687BD6">
              <w:rPr>
                <w:sz w:val="16"/>
                <w:szCs w:val="16"/>
              </w:rPr>
              <w:t>2</w:t>
            </w:r>
          </w:p>
        </w:tc>
        <w:tc>
          <w:tcPr>
            <w:tcW w:w="6662" w:type="dxa"/>
            <w:vAlign w:val="center"/>
          </w:tcPr>
          <w:p w14:paraId="464DECDF" w14:textId="5886E31C" w:rsidR="007412F8" w:rsidRPr="00687BD6" w:rsidRDefault="007412F8" w:rsidP="004F78B0">
            <w:pPr>
              <w:spacing w:line="240" w:lineRule="auto"/>
              <w:jc w:val="left"/>
              <w:rPr>
                <w:sz w:val="16"/>
                <w:szCs w:val="16"/>
              </w:rPr>
            </w:pPr>
            <w:r w:rsidRPr="00687BD6">
              <w:rPr>
                <w:sz w:val="16"/>
                <w:szCs w:val="16"/>
              </w:rPr>
              <w:t>Proportion of all patients presenting with any acute RTI given oral amoxicillin</w:t>
            </w:r>
          </w:p>
        </w:tc>
        <w:tc>
          <w:tcPr>
            <w:tcW w:w="567" w:type="dxa"/>
            <w:vAlign w:val="center"/>
          </w:tcPr>
          <w:p w14:paraId="3684FC5B"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26D204A1"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62085899" w14:textId="77777777" w:rsidR="007412F8" w:rsidRPr="00687BD6" w:rsidRDefault="007412F8" w:rsidP="004F78B0">
            <w:pPr>
              <w:spacing w:line="240" w:lineRule="auto"/>
              <w:jc w:val="center"/>
              <w:rPr>
                <w:sz w:val="16"/>
                <w:szCs w:val="16"/>
              </w:rPr>
            </w:pPr>
            <w:r w:rsidRPr="00687BD6">
              <w:rPr>
                <w:sz w:val="16"/>
                <w:szCs w:val="16"/>
              </w:rPr>
              <w:t>100%</w:t>
            </w:r>
          </w:p>
        </w:tc>
        <w:tc>
          <w:tcPr>
            <w:tcW w:w="567" w:type="dxa"/>
            <w:vAlign w:val="center"/>
          </w:tcPr>
          <w:p w14:paraId="753BC3B0"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10CF3C8A"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79522883" w14:textId="77777777" w:rsidR="007412F8" w:rsidRPr="00687BD6" w:rsidRDefault="007412F8" w:rsidP="004F78B0">
            <w:pPr>
              <w:spacing w:line="240" w:lineRule="auto"/>
              <w:jc w:val="center"/>
              <w:rPr>
                <w:sz w:val="16"/>
                <w:szCs w:val="16"/>
              </w:rPr>
            </w:pPr>
            <w:r w:rsidRPr="00687BD6">
              <w:rPr>
                <w:sz w:val="16"/>
                <w:szCs w:val="16"/>
              </w:rPr>
              <w:t>100%</w:t>
            </w:r>
          </w:p>
        </w:tc>
      </w:tr>
      <w:tr w:rsidR="00C07BC6" w:rsidRPr="00687BD6" w14:paraId="47C79100" w14:textId="77777777" w:rsidTr="008D6400">
        <w:tc>
          <w:tcPr>
            <w:tcW w:w="709" w:type="dxa"/>
            <w:vMerge/>
          </w:tcPr>
          <w:p w14:paraId="0BB667F2" w14:textId="77777777" w:rsidR="007412F8" w:rsidRPr="00687BD6" w:rsidRDefault="007412F8" w:rsidP="00687BD6">
            <w:pPr>
              <w:spacing w:line="240" w:lineRule="auto"/>
              <w:rPr>
                <w:sz w:val="16"/>
                <w:szCs w:val="16"/>
              </w:rPr>
            </w:pPr>
          </w:p>
        </w:tc>
        <w:tc>
          <w:tcPr>
            <w:tcW w:w="567" w:type="dxa"/>
            <w:vAlign w:val="center"/>
          </w:tcPr>
          <w:p w14:paraId="6FBE7199" w14:textId="77777777" w:rsidR="007412F8" w:rsidRPr="00687BD6" w:rsidRDefault="007412F8" w:rsidP="00687BD6">
            <w:pPr>
              <w:spacing w:line="240" w:lineRule="auto"/>
              <w:jc w:val="center"/>
              <w:rPr>
                <w:sz w:val="16"/>
                <w:szCs w:val="16"/>
              </w:rPr>
            </w:pPr>
            <w:r w:rsidRPr="00687BD6">
              <w:rPr>
                <w:sz w:val="16"/>
                <w:szCs w:val="16"/>
              </w:rPr>
              <w:t>3</w:t>
            </w:r>
          </w:p>
        </w:tc>
        <w:tc>
          <w:tcPr>
            <w:tcW w:w="6662" w:type="dxa"/>
            <w:vAlign w:val="center"/>
          </w:tcPr>
          <w:p w14:paraId="7818EDBE" w14:textId="09243BEB" w:rsidR="007412F8" w:rsidRPr="00687BD6" w:rsidRDefault="007412F8" w:rsidP="004F78B0">
            <w:pPr>
              <w:spacing w:line="240" w:lineRule="auto"/>
              <w:jc w:val="left"/>
              <w:rPr>
                <w:sz w:val="16"/>
                <w:szCs w:val="16"/>
              </w:rPr>
            </w:pPr>
            <w:r w:rsidRPr="00687BD6">
              <w:rPr>
                <w:sz w:val="16"/>
                <w:szCs w:val="16"/>
              </w:rPr>
              <w:t>Proportion of all patients presenting with any acute RTI given any oral Access antibiotic (including amoxicillin)</w:t>
            </w:r>
          </w:p>
        </w:tc>
        <w:tc>
          <w:tcPr>
            <w:tcW w:w="567" w:type="dxa"/>
            <w:vAlign w:val="center"/>
          </w:tcPr>
          <w:p w14:paraId="6F659944"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27B5C0AA"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02ACF016" w14:textId="77777777" w:rsidR="007412F8" w:rsidRPr="00687BD6" w:rsidRDefault="007412F8" w:rsidP="004F78B0">
            <w:pPr>
              <w:spacing w:line="240" w:lineRule="auto"/>
              <w:jc w:val="center"/>
              <w:rPr>
                <w:sz w:val="16"/>
                <w:szCs w:val="16"/>
              </w:rPr>
            </w:pPr>
            <w:r w:rsidRPr="00687BD6">
              <w:rPr>
                <w:sz w:val="16"/>
                <w:szCs w:val="16"/>
              </w:rPr>
              <w:t>100%</w:t>
            </w:r>
          </w:p>
        </w:tc>
        <w:tc>
          <w:tcPr>
            <w:tcW w:w="567" w:type="dxa"/>
            <w:vAlign w:val="center"/>
          </w:tcPr>
          <w:p w14:paraId="3F83238E"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24F7D4D5"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52ACBC7B" w14:textId="77777777" w:rsidR="007412F8" w:rsidRPr="00687BD6" w:rsidRDefault="007412F8" w:rsidP="004F78B0">
            <w:pPr>
              <w:spacing w:line="240" w:lineRule="auto"/>
              <w:jc w:val="center"/>
              <w:rPr>
                <w:sz w:val="16"/>
                <w:szCs w:val="16"/>
              </w:rPr>
            </w:pPr>
            <w:r w:rsidRPr="00687BD6">
              <w:rPr>
                <w:sz w:val="16"/>
                <w:szCs w:val="16"/>
              </w:rPr>
              <w:t>100%</w:t>
            </w:r>
          </w:p>
        </w:tc>
      </w:tr>
      <w:tr w:rsidR="00C07BC6" w:rsidRPr="00687BD6" w14:paraId="069D1083" w14:textId="77777777" w:rsidTr="008D6400">
        <w:tc>
          <w:tcPr>
            <w:tcW w:w="709" w:type="dxa"/>
            <w:vMerge/>
          </w:tcPr>
          <w:p w14:paraId="4E12906E" w14:textId="77777777" w:rsidR="007412F8" w:rsidRPr="00687BD6" w:rsidRDefault="007412F8" w:rsidP="00687BD6">
            <w:pPr>
              <w:spacing w:line="240" w:lineRule="auto"/>
              <w:rPr>
                <w:sz w:val="16"/>
                <w:szCs w:val="16"/>
              </w:rPr>
            </w:pPr>
          </w:p>
        </w:tc>
        <w:tc>
          <w:tcPr>
            <w:tcW w:w="567" w:type="dxa"/>
            <w:vAlign w:val="center"/>
          </w:tcPr>
          <w:p w14:paraId="393BA739" w14:textId="77777777" w:rsidR="007412F8" w:rsidRPr="00687BD6" w:rsidRDefault="007412F8" w:rsidP="00687BD6">
            <w:pPr>
              <w:spacing w:line="240" w:lineRule="auto"/>
              <w:jc w:val="center"/>
              <w:rPr>
                <w:sz w:val="16"/>
                <w:szCs w:val="16"/>
              </w:rPr>
            </w:pPr>
            <w:r w:rsidRPr="00687BD6">
              <w:rPr>
                <w:sz w:val="16"/>
                <w:szCs w:val="16"/>
              </w:rPr>
              <w:t>4</w:t>
            </w:r>
          </w:p>
        </w:tc>
        <w:tc>
          <w:tcPr>
            <w:tcW w:w="6662" w:type="dxa"/>
            <w:vAlign w:val="center"/>
          </w:tcPr>
          <w:p w14:paraId="408B18B0" w14:textId="63A2DD8F" w:rsidR="007412F8" w:rsidRPr="00687BD6" w:rsidRDefault="007412F8" w:rsidP="004F78B0">
            <w:pPr>
              <w:spacing w:line="240" w:lineRule="auto"/>
              <w:jc w:val="left"/>
              <w:rPr>
                <w:sz w:val="16"/>
                <w:szCs w:val="16"/>
              </w:rPr>
            </w:pPr>
            <w:r w:rsidRPr="00687BD6">
              <w:rPr>
                <w:sz w:val="16"/>
                <w:szCs w:val="16"/>
              </w:rPr>
              <w:t>Proportion of all patients presenting with any acute RTI given any oral Watch antibiotic</w:t>
            </w:r>
          </w:p>
        </w:tc>
        <w:tc>
          <w:tcPr>
            <w:tcW w:w="567" w:type="dxa"/>
            <w:vAlign w:val="center"/>
          </w:tcPr>
          <w:p w14:paraId="333EEFC1"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10809476"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2FCC2213" w14:textId="77777777" w:rsidR="007412F8" w:rsidRPr="00687BD6" w:rsidRDefault="007412F8" w:rsidP="004F78B0">
            <w:pPr>
              <w:spacing w:line="240" w:lineRule="auto"/>
              <w:jc w:val="center"/>
              <w:rPr>
                <w:sz w:val="16"/>
                <w:szCs w:val="16"/>
              </w:rPr>
            </w:pPr>
            <w:r w:rsidRPr="00687BD6">
              <w:rPr>
                <w:sz w:val="16"/>
                <w:szCs w:val="16"/>
              </w:rPr>
              <w:t>100%</w:t>
            </w:r>
          </w:p>
        </w:tc>
        <w:tc>
          <w:tcPr>
            <w:tcW w:w="567" w:type="dxa"/>
            <w:vAlign w:val="center"/>
          </w:tcPr>
          <w:p w14:paraId="4543F703" w14:textId="77777777" w:rsidR="007412F8" w:rsidRPr="00687BD6" w:rsidRDefault="007412F8" w:rsidP="004F78B0">
            <w:pPr>
              <w:spacing w:line="240" w:lineRule="auto"/>
              <w:jc w:val="center"/>
              <w:rPr>
                <w:sz w:val="16"/>
                <w:szCs w:val="16"/>
              </w:rPr>
            </w:pPr>
            <w:r w:rsidRPr="00687BD6">
              <w:rPr>
                <w:sz w:val="16"/>
                <w:szCs w:val="16"/>
              </w:rPr>
              <w:t>7</w:t>
            </w:r>
          </w:p>
        </w:tc>
        <w:tc>
          <w:tcPr>
            <w:tcW w:w="567" w:type="dxa"/>
            <w:vAlign w:val="center"/>
          </w:tcPr>
          <w:p w14:paraId="5B680C33"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41A8DFC3" w14:textId="77777777" w:rsidR="007412F8" w:rsidRPr="00687BD6" w:rsidRDefault="007412F8" w:rsidP="004F78B0">
            <w:pPr>
              <w:spacing w:line="240" w:lineRule="auto"/>
              <w:jc w:val="center"/>
              <w:rPr>
                <w:sz w:val="16"/>
                <w:szCs w:val="16"/>
              </w:rPr>
            </w:pPr>
            <w:r w:rsidRPr="00687BD6">
              <w:rPr>
                <w:sz w:val="16"/>
                <w:szCs w:val="16"/>
              </w:rPr>
              <w:t>100%</w:t>
            </w:r>
          </w:p>
        </w:tc>
      </w:tr>
      <w:tr w:rsidR="00C07BC6" w:rsidRPr="00687BD6" w14:paraId="5F1E5BC7" w14:textId="77777777" w:rsidTr="008D6400">
        <w:tc>
          <w:tcPr>
            <w:tcW w:w="709" w:type="dxa"/>
            <w:vMerge/>
          </w:tcPr>
          <w:p w14:paraId="528F2ECE" w14:textId="77777777" w:rsidR="007412F8" w:rsidRPr="00687BD6" w:rsidRDefault="007412F8" w:rsidP="00687BD6">
            <w:pPr>
              <w:spacing w:line="240" w:lineRule="auto"/>
              <w:rPr>
                <w:sz w:val="16"/>
                <w:szCs w:val="16"/>
              </w:rPr>
            </w:pPr>
          </w:p>
        </w:tc>
        <w:tc>
          <w:tcPr>
            <w:tcW w:w="567" w:type="dxa"/>
            <w:vAlign w:val="center"/>
          </w:tcPr>
          <w:p w14:paraId="5A037E09" w14:textId="77777777" w:rsidR="007412F8" w:rsidRPr="00687BD6" w:rsidRDefault="007412F8" w:rsidP="00687BD6">
            <w:pPr>
              <w:spacing w:line="240" w:lineRule="auto"/>
              <w:jc w:val="center"/>
              <w:rPr>
                <w:sz w:val="16"/>
                <w:szCs w:val="16"/>
              </w:rPr>
            </w:pPr>
            <w:r w:rsidRPr="00687BD6">
              <w:rPr>
                <w:sz w:val="16"/>
                <w:szCs w:val="16"/>
              </w:rPr>
              <w:t>5</w:t>
            </w:r>
          </w:p>
        </w:tc>
        <w:tc>
          <w:tcPr>
            <w:tcW w:w="6662" w:type="dxa"/>
            <w:vAlign w:val="center"/>
          </w:tcPr>
          <w:p w14:paraId="5306FA02" w14:textId="7A1AB56D" w:rsidR="007412F8" w:rsidRPr="00687BD6" w:rsidRDefault="007412F8" w:rsidP="004F78B0">
            <w:pPr>
              <w:spacing w:line="240" w:lineRule="auto"/>
              <w:jc w:val="left"/>
              <w:rPr>
                <w:sz w:val="16"/>
                <w:szCs w:val="16"/>
              </w:rPr>
            </w:pPr>
            <w:r w:rsidRPr="00687BD6">
              <w:rPr>
                <w:sz w:val="16"/>
                <w:szCs w:val="16"/>
              </w:rPr>
              <w:t>Proportion of patients presenting with bronchitis given an oral antibiotic</w:t>
            </w:r>
          </w:p>
        </w:tc>
        <w:tc>
          <w:tcPr>
            <w:tcW w:w="567" w:type="dxa"/>
            <w:vAlign w:val="center"/>
          </w:tcPr>
          <w:p w14:paraId="4DB1F74B"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3F68C68C"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3195BB95" w14:textId="77777777" w:rsidR="007412F8" w:rsidRPr="00687BD6" w:rsidRDefault="007412F8" w:rsidP="004F78B0">
            <w:pPr>
              <w:spacing w:line="240" w:lineRule="auto"/>
              <w:jc w:val="center"/>
              <w:rPr>
                <w:sz w:val="16"/>
                <w:szCs w:val="16"/>
              </w:rPr>
            </w:pPr>
            <w:r w:rsidRPr="00687BD6">
              <w:rPr>
                <w:sz w:val="16"/>
                <w:szCs w:val="16"/>
              </w:rPr>
              <w:t>100%</w:t>
            </w:r>
          </w:p>
        </w:tc>
        <w:tc>
          <w:tcPr>
            <w:tcW w:w="567" w:type="dxa"/>
            <w:vAlign w:val="center"/>
          </w:tcPr>
          <w:p w14:paraId="584A0AFC" w14:textId="77777777" w:rsidR="007412F8" w:rsidRPr="00687BD6" w:rsidRDefault="007412F8" w:rsidP="004F78B0">
            <w:pPr>
              <w:spacing w:line="240" w:lineRule="auto"/>
              <w:jc w:val="center"/>
              <w:rPr>
                <w:sz w:val="16"/>
                <w:szCs w:val="16"/>
              </w:rPr>
            </w:pPr>
            <w:r w:rsidRPr="00687BD6">
              <w:rPr>
                <w:sz w:val="16"/>
                <w:szCs w:val="16"/>
              </w:rPr>
              <w:t>7</w:t>
            </w:r>
          </w:p>
        </w:tc>
        <w:tc>
          <w:tcPr>
            <w:tcW w:w="567" w:type="dxa"/>
            <w:vAlign w:val="center"/>
          </w:tcPr>
          <w:p w14:paraId="2B9446CE" w14:textId="77777777" w:rsidR="007412F8" w:rsidRPr="00687BD6" w:rsidRDefault="007412F8" w:rsidP="004F78B0">
            <w:pPr>
              <w:spacing w:line="240" w:lineRule="auto"/>
              <w:jc w:val="center"/>
              <w:rPr>
                <w:sz w:val="16"/>
                <w:szCs w:val="16"/>
              </w:rPr>
            </w:pPr>
            <w:r w:rsidRPr="00687BD6">
              <w:rPr>
                <w:sz w:val="16"/>
                <w:szCs w:val="16"/>
              </w:rPr>
              <w:t>E</w:t>
            </w:r>
          </w:p>
        </w:tc>
        <w:tc>
          <w:tcPr>
            <w:tcW w:w="709" w:type="dxa"/>
            <w:vAlign w:val="center"/>
          </w:tcPr>
          <w:p w14:paraId="726D1DD5" w14:textId="77777777" w:rsidR="007412F8" w:rsidRPr="00687BD6" w:rsidRDefault="007412F8" w:rsidP="004F78B0">
            <w:pPr>
              <w:spacing w:line="240" w:lineRule="auto"/>
              <w:jc w:val="center"/>
              <w:rPr>
                <w:sz w:val="16"/>
                <w:szCs w:val="16"/>
              </w:rPr>
            </w:pPr>
            <w:r w:rsidRPr="00687BD6">
              <w:rPr>
                <w:sz w:val="16"/>
                <w:szCs w:val="16"/>
              </w:rPr>
              <w:t>50%</w:t>
            </w:r>
          </w:p>
        </w:tc>
      </w:tr>
      <w:tr w:rsidR="00C07BC6" w:rsidRPr="00687BD6" w14:paraId="54DE75EA" w14:textId="77777777" w:rsidTr="008D6400">
        <w:tc>
          <w:tcPr>
            <w:tcW w:w="709" w:type="dxa"/>
            <w:vMerge/>
          </w:tcPr>
          <w:p w14:paraId="2AB3D49C" w14:textId="77777777" w:rsidR="007412F8" w:rsidRPr="00687BD6" w:rsidRDefault="007412F8" w:rsidP="00687BD6">
            <w:pPr>
              <w:spacing w:line="240" w:lineRule="auto"/>
              <w:rPr>
                <w:sz w:val="16"/>
                <w:szCs w:val="16"/>
              </w:rPr>
            </w:pPr>
          </w:p>
        </w:tc>
        <w:tc>
          <w:tcPr>
            <w:tcW w:w="567" w:type="dxa"/>
            <w:vAlign w:val="center"/>
          </w:tcPr>
          <w:p w14:paraId="4FF02D0D" w14:textId="77777777" w:rsidR="007412F8" w:rsidRPr="00687BD6" w:rsidRDefault="007412F8" w:rsidP="00687BD6">
            <w:pPr>
              <w:spacing w:line="240" w:lineRule="auto"/>
              <w:jc w:val="center"/>
              <w:rPr>
                <w:sz w:val="16"/>
                <w:szCs w:val="16"/>
              </w:rPr>
            </w:pPr>
            <w:r w:rsidRPr="00687BD6">
              <w:rPr>
                <w:sz w:val="16"/>
                <w:szCs w:val="16"/>
              </w:rPr>
              <w:t>6</w:t>
            </w:r>
          </w:p>
        </w:tc>
        <w:tc>
          <w:tcPr>
            <w:tcW w:w="6662" w:type="dxa"/>
            <w:vAlign w:val="center"/>
          </w:tcPr>
          <w:p w14:paraId="4BFD3765" w14:textId="6DAF07D0" w:rsidR="007412F8" w:rsidRPr="00687BD6" w:rsidRDefault="007412F8" w:rsidP="004F78B0">
            <w:pPr>
              <w:spacing w:line="240" w:lineRule="auto"/>
              <w:jc w:val="left"/>
              <w:rPr>
                <w:sz w:val="16"/>
                <w:szCs w:val="16"/>
              </w:rPr>
            </w:pPr>
            <w:r w:rsidRPr="00687BD6">
              <w:rPr>
                <w:sz w:val="16"/>
                <w:szCs w:val="16"/>
              </w:rPr>
              <w:t>Proportion of patients with any ear/sinus/throat infection (not pneumonia) given an oral antibiotic</w:t>
            </w:r>
          </w:p>
        </w:tc>
        <w:tc>
          <w:tcPr>
            <w:tcW w:w="567" w:type="dxa"/>
            <w:vAlign w:val="center"/>
          </w:tcPr>
          <w:p w14:paraId="4C42F834"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4038CCEA"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5E1A07AB" w14:textId="77777777" w:rsidR="007412F8" w:rsidRPr="00687BD6" w:rsidRDefault="007412F8" w:rsidP="004F78B0">
            <w:pPr>
              <w:spacing w:line="240" w:lineRule="auto"/>
              <w:jc w:val="center"/>
              <w:rPr>
                <w:sz w:val="16"/>
                <w:szCs w:val="16"/>
              </w:rPr>
            </w:pPr>
            <w:r w:rsidRPr="00687BD6">
              <w:rPr>
                <w:sz w:val="16"/>
                <w:szCs w:val="16"/>
              </w:rPr>
              <w:t>100%</w:t>
            </w:r>
          </w:p>
        </w:tc>
        <w:tc>
          <w:tcPr>
            <w:tcW w:w="567" w:type="dxa"/>
            <w:vAlign w:val="center"/>
          </w:tcPr>
          <w:p w14:paraId="27A52315"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053FAF0E"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772B5811" w14:textId="77777777" w:rsidR="007412F8" w:rsidRPr="00687BD6" w:rsidRDefault="007412F8" w:rsidP="004F78B0">
            <w:pPr>
              <w:spacing w:line="240" w:lineRule="auto"/>
              <w:jc w:val="center"/>
              <w:rPr>
                <w:sz w:val="16"/>
                <w:szCs w:val="16"/>
              </w:rPr>
            </w:pPr>
            <w:r w:rsidRPr="00687BD6">
              <w:rPr>
                <w:sz w:val="16"/>
                <w:szCs w:val="16"/>
              </w:rPr>
              <w:t>100%</w:t>
            </w:r>
          </w:p>
        </w:tc>
      </w:tr>
      <w:tr w:rsidR="00C07BC6" w:rsidRPr="00687BD6" w14:paraId="2448823C" w14:textId="77777777" w:rsidTr="008D6400">
        <w:tc>
          <w:tcPr>
            <w:tcW w:w="709" w:type="dxa"/>
            <w:vMerge/>
          </w:tcPr>
          <w:p w14:paraId="755E8804" w14:textId="77777777" w:rsidR="007412F8" w:rsidRPr="00687BD6" w:rsidRDefault="007412F8" w:rsidP="00687BD6">
            <w:pPr>
              <w:spacing w:line="240" w:lineRule="auto"/>
              <w:rPr>
                <w:sz w:val="16"/>
                <w:szCs w:val="16"/>
              </w:rPr>
            </w:pPr>
          </w:p>
        </w:tc>
        <w:tc>
          <w:tcPr>
            <w:tcW w:w="567" w:type="dxa"/>
            <w:vAlign w:val="center"/>
          </w:tcPr>
          <w:p w14:paraId="469504E1" w14:textId="77777777" w:rsidR="007412F8" w:rsidRPr="00687BD6" w:rsidRDefault="007412F8" w:rsidP="00687BD6">
            <w:pPr>
              <w:spacing w:line="240" w:lineRule="auto"/>
              <w:jc w:val="center"/>
              <w:rPr>
                <w:sz w:val="16"/>
                <w:szCs w:val="16"/>
              </w:rPr>
            </w:pPr>
            <w:r w:rsidRPr="00687BD6">
              <w:rPr>
                <w:sz w:val="16"/>
                <w:szCs w:val="16"/>
              </w:rPr>
              <w:t>7</w:t>
            </w:r>
          </w:p>
        </w:tc>
        <w:tc>
          <w:tcPr>
            <w:tcW w:w="6662" w:type="dxa"/>
            <w:vAlign w:val="center"/>
          </w:tcPr>
          <w:p w14:paraId="5DE8F64A" w14:textId="1515F2A6" w:rsidR="007412F8" w:rsidRPr="00687BD6" w:rsidRDefault="007412F8" w:rsidP="004F78B0">
            <w:pPr>
              <w:spacing w:line="240" w:lineRule="auto"/>
              <w:jc w:val="left"/>
              <w:rPr>
                <w:sz w:val="16"/>
                <w:szCs w:val="16"/>
              </w:rPr>
            </w:pPr>
            <w:r w:rsidRPr="00687BD6">
              <w:rPr>
                <w:sz w:val="16"/>
                <w:szCs w:val="16"/>
              </w:rPr>
              <w:t>Proportion of patients with any ear/sinus/throat infection (not pneumonia) at high risk* of severe complications given an oral antibiotic</w:t>
            </w:r>
          </w:p>
        </w:tc>
        <w:tc>
          <w:tcPr>
            <w:tcW w:w="567" w:type="dxa"/>
            <w:vAlign w:val="center"/>
          </w:tcPr>
          <w:p w14:paraId="4D3D6AD2"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4837D062"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20420E21" w14:textId="77777777" w:rsidR="007412F8" w:rsidRPr="00687BD6" w:rsidRDefault="007412F8" w:rsidP="004F78B0">
            <w:pPr>
              <w:spacing w:line="240" w:lineRule="auto"/>
              <w:jc w:val="center"/>
              <w:rPr>
                <w:sz w:val="16"/>
                <w:szCs w:val="16"/>
              </w:rPr>
            </w:pPr>
            <w:r w:rsidRPr="00687BD6">
              <w:rPr>
                <w:sz w:val="16"/>
                <w:szCs w:val="16"/>
              </w:rPr>
              <w:t>100%</w:t>
            </w:r>
          </w:p>
        </w:tc>
        <w:tc>
          <w:tcPr>
            <w:tcW w:w="567" w:type="dxa"/>
            <w:vAlign w:val="center"/>
          </w:tcPr>
          <w:p w14:paraId="2124C941"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1B497E1C" w14:textId="77777777" w:rsidR="007412F8" w:rsidRPr="00687BD6" w:rsidRDefault="007412F8" w:rsidP="004F78B0">
            <w:pPr>
              <w:spacing w:line="240" w:lineRule="auto"/>
              <w:jc w:val="center"/>
              <w:rPr>
                <w:sz w:val="16"/>
                <w:szCs w:val="16"/>
              </w:rPr>
            </w:pPr>
            <w:r w:rsidRPr="00687BD6">
              <w:rPr>
                <w:sz w:val="16"/>
                <w:szCs w:val="16"/>
              </w:rPr>
              <w:t>E</w:t>
            </w:r>
          </w:p>
        </w:tc>
        <w:tc>
          <w:tcPr>
            <w:tcW w:w="709" w:type="dxa"/>
            <w:vAlign w:val="center"/>
          </w:tcPr>
          <w:p w14:paraId="6D77B430" w14:textId="77777777" w:rsidR="007412F8" w:rsidRPr="00687BD6" w:rsidRDefault="007412F8" w:rsidP="004F78B0">
            <w:pPr>
              <w:spacing w:line="240" w:lineRule="auto"/>
              <w:jc w:val="center"/>
              <w:rPr>
                <w:sz w:val="16"/>
                <w:szCs w:val="16"/>
              </w:rPr>
            </w:pPr>
            <w:r w:rsidRPr="00687BD6">
              <w:rPr>
                <w:sz w:val="16"/>
                <w:szCs w:val="16"/>
              </w:rPr>
              <w:t>70%</w:t>
            </w:r>
          </w:p>
        </w:tc>
      </w:tr>
      <w:tr w:rsidR="00C07BC6" w:rsidRPr="00687BD6" w14:paraId="10E04A84" w14:textId="77777777" w:rsidTr="008D6400">
        <w:tc>
          <w:tcPr>
            <w:tcW w:w="709" w:type="dxa"/>
            <w:vMerge/>
          </w:tcPr>
          <w:p w14:paraId="0CB907C0" w14:textId="77777777" w:rsidR="007412F8" w:rsidRPr="00687BD6" w:rsidRDefault="007412F8" w:rsidP="00687BD6">
            <w:pPr>
              <w:spacing w:line="240" w:lineRule="auto"/>
              <w:rPr>
                <w:sz w:val="16"/>
                <w:szCs w:val="16"/>
              </w:rPr>
            </w:pPr>
          </w:p>
        </w:tc>
        <w:tc>
          <w:tcPr>
            <w:tcW w:w="567" w:type="dxa"/>
            <w:vAlign w:val="center"/>
          </w:tcPr>
          <w:p w14:paraId="316AFCF5" w14:textId="77777777" w:rsidR="007412F8" w:rsidRPr="00687BD6" w:rsidRDefault="007412F8" w:rsidP="00687BD6">
            <w:pPr>
              <w:spacing w:line="240" w:lineRule="auto"/>
              <w:jc w:val="center"/>
              <w:rPr>
                <w:sz w:val="16"/>
                <w:szCs w:val="16"/>
              </w:rPr>
            </w:pPr>
            <w:r w:rsidRPr="00687BD6">
              <w:rPr>
                <w:sz w:val="16"/>
                <w:szCs w:val="16"/>
              </w:rPr>
              <w:t>8</w:t>
            </w:r>
          </w:p>
        </w:tc>
        <w:tc>
          <w:tcPr>
            <w:tcW w:w="6662" w:type="dxa"/>
            <w:vAlign w:val="center"/>
          </w:tcPr>
          <w:p w14:paraId="70772349" w14:textId="060A76E4" w:rsidR="007412F8" w:rsidRPr="00687BD6" w:rsidRDefault="007412F8" w:rsidP="004F78B0">
            <w:pPr>
              <w:spacing w:line="240" w:lineRule="auto"/>
              <w:jc w:val="left"/>
              <w:rPr>
                <w:sz w:val="16"/>
                <w:szCs w:val="16"/>
              </w:rPr>
            </w:pPr>
            <w:r w:rsidRPr="00687BD6">
              <w:rPr>
                <w:sz w:val="16"/>
                <w:szCs w:val="16"/>
              </w:rPr>
              <w:t>Proportion of patients with any ear/sinus/throat infection (not pneumonia) at high risk* of severe complications given amoxicillin</w:t>
            </w:r>
          </w:p>
        </w:tc>
        <w:tc>
          <w:tcPr>
            <w:tcW w:w="567" w:type="dxa"/>
            <w:vAlign w:val="center"/>
          </w:tcPr>
          <w:p w14:paraId="25919105"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5C753D10"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18B47D42" w14:textId="77777777" w:rsidR="007412F8" w:rsidRPr="00687BD6" w:rsidRDefault="007412F8" w:rsidP="004F78B0">
            <w:pPr>
              <w:spacing w:line="240" w:lineRule="auto"/>
              <w:jc w:val="center"/>
              <w:rPr>
                <w:sz w:val="16"/>
                <w:szCs w:val="16"/>
              </w:rPr>
            </w:pPr>
            <w:r w:rsidRPr="00687BD6">
              <w:rPr>
                <w:sz w:val="16"/>
                <w:szCs w:val="16"/>
              </w:rPr>
              <w:t>100%</w:t>
            </w:r>
          </w:p>
        </w:tc>
        <w:tc>
          <w:tcPr>
            <w:tcW w:w="567" w:type="dxa"/>
            <w:vAlign w:val="center"/>
          </w:tcPr>
          <w:p w14:paraId="5F361CC6"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39FAC2EE"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6414E69F" w14:textId="77777777" w:rsidR="007412F8" w:rsidRPr="00687BD6" w:rsidRDefault="007412F8" w:rsidP="004F78B0">
            <w:pPr>
              <w:spacing w:line="240" w:lineRule="auto"/>
              <w:jc w:val="center"/>
              <w:rPr>
                <w:sz w:val="16"/>
                <w:szCs w:val="16"/>
              </w:rPr>
            </w:pPr>
            <w:r w:rsidRPr="00687BD6">
              <w:rPr>
                <w:sz w:val="16"/>
                <w:szCs w:val="16"/>
              </w:rPr>
              <w:t>80%</w:t>
            </w:r>
          </w:p>
        </w:tc>
      </w:tr>
      <w:tr w:rsidR="00C07BC6" w:rsidRPr="00687BD6" w14:paraId="1A29F2BF" w14:textId="77777777" w:rsidTr="008D6400">
        <w:tc>
          <w:tcPr>
            <w:tcW w:w="709" w:type="dxa"/>
            <w:vMerge/>
          </w:tcPr>
          <w:p w14:paraId="07975AE3" w14:textId="77777777" w:rsidR="007412F8" w:rsidRPr="00687BD6" w:rsidRDefault="007412F8" w:rsidP="00687BD6">
            <w:pPr>
              <w:spacing w:line="240" w:lineRule="auto"/>
              <w:rPr>
                <w:sz w:val="16"/>
                <w:szCs w:val="16"/>
              </w:rPr>
            </w:pPr>
          </w:p>
        </w:tc>
        <w:tc>
          <w:tcPr>
            <w:tcW w:w="567" w:type="dxa"/>
            <w:vAlign w:val="center"/>
          </w:tcPr>
          <w:p w14:paraId="54865B07" w14:textId="77777777" w:rsidR="007412F8" w:rsidRPr="00687BD6" w:rsidRDefault="007412F8" w:rsidP="00687BD6">
            <w:pPr>
              <w:spacing w:line="240" w:lineRule="auto"/>
              <w:jc w:val="center"/>
              <w:rPr>
                <w:sz w:val="16"/>
                <w:szCs w:val="16"/>
              </w:rPr>
            </w:pPr>
            <w:r w:rsidRPr="00687BD6">
              <w:rPr>
                <w:sz w:val="16"/>
                <w:szCs w:val="16"/>
              </w:rPr>
              <w:t>9</w:t>
            </w:r>
          </w:p>
        </w:tc>
        <w:tc>
          <w:tcPr>
            <w:tcW w:w="6662" w:type="dxa"/>
            <w:vAlign w:val="center"/>
          </w:tcPr>
          <w:p w14:paraId="415F0DF5" w14:textId="5A7FBF3A" w:rsidR="007412F8" w:rsidRPr="00687BD6" w:rsidRDefault="007412F8" w:rsidP="004F78B0">
            <w:pPr>
              <w:spacing w:line="240" w:lineRule="auto"/>
              <w:jc w:val="left"/>
              <w:rPr>
                <w:sz w:val="16"/>
                <w:szCs w:val="16"/>
              </w:rPr>
            </w:pPr>
            <w:r w:rsidRPr="00687BD6">
              <w:rPr>
                <w:sz w:val="16"/>
                <w:szCs w:val="16"/>
              </w:rPr>
              <w:t>Proportion of patients with any ear/sinus/throat infection (not pneumonia) at high risk* of severe complications given any oral Access antibiotic (including amoxicillin)</w:t>
            </w:r>
          </w:p>
        </w:tc>
        <w:tc>
          <w:tcPr>
            <w:tcW w:w="567" w:type="dxa"/>
            <w:vAlign w:val="center"/>
          </w:tcPr>
          <w:p w14:paraId="76A757DA"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0CE23CF6"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5E495918" w14:textId="77777777" w:rsidR="007412F8" w:rsidRPr="00687BD6" w:rsidRDefault="007412F8" w:rsidP="004F78B0">
            <w:pPr>
              <w:spacing w:line="240" w:lineRule="auto"/>
              <w:jc w:val="center"/>
              <w:rPr>
                <w:sz w:val="16"/>
                <w:szCs w:val="16"/>
              </w:rPr>
            </w:pPr>
            <w:r w:rsidRPr="00687BD6">
              <w:rPr>
                <w:sz w:val="16"/>
                <w:szCs w:val="16"/>
              </w:rPr>
              <w:t>100%</w:t>
            </w:r>
          </w:p>
        </w:tc>
        <w:tc>
          <w:tcPr>
            <w:tcW w:w="567" w:type="dxa"/>
            <w:vAlign w:val="center"/>
          </w:tcPr>
          <w:p w14:paraId="3EEBE29B"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7A613BEE"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7F4521AD" w14:textId="77777777" w:rsidR="007412F8" w:rsidRPr="00687BD6" w:rsidRDefault="007412F8" w:rsidP="004F78B0">
            <w:pPr>
              <w:spacing w:line="240" w:lineRule="auto"/>
              <w:jc w:val="center"/>
              <w:rPr>
                <w:sz w:val="16"/>
                <w:szCs w:val="16"/>
              </w:rPr>
            </w:pPr>
            <w:r w:rsidRPr="00687BD6">
              <w:rPr>
                <w:sz w:val="16"/>
                <w:szCs w:val="16"/>
              </w:rPr>
              <w:t>100%</w:t>
            </w:r>
          </w:p>
        </w:tc>
      </w:tr>
      <w:tr w:rsidR="00C07BC6" w:rsidRPr="00687BD6" w14:paraId="0AD6C25C" w14:textId="77777777" w:rsidTr="008D6400">
        <w:tc>
          <w:tcPr>
            <w:tcW w:w="709" w:type="dxa"/>
            <w:vMerge/>
          </w:tcPr>
          <w:p w14:paraId="56523777" w14:textId="77777777" w:rsidR="007412F8" w:rsidRPr="00687BD6" w:rsidRDefault="007412F8" w:rsidP="00687BD6">
            <w:pPr>
              <w:spacing w:line="240" w:lineRule="auto"/>
              <w:rPr>
                <w:sz w:val="16"/>
                <w:szCs w:val="16"/>
              </w:rPr>
            </w:pPr>
          </w:p>
        </w:tc>
        <w:tc>
          <w:tcPr>
            <w:tcW w:w="567" w:type="dxa"/>
            <w:vAlign w:val="center"/>
          </w:tcPr>
          <w:p w14:paraId="2B26C545" w14:textId="77777777" w:rsidR="007412F8" w:rsidRPr="00687BD6" w:rsidRDefault="007412F8" w:rsidP="00687BD6">
            <w:pPr>
              <w:spacing w:line="240" w:lineRule="auto"/>
              <w:jc w:val="center"/>
              <w:rPr>
                <w:sz w:val="16"/>
                <w:szCs w:val="16"/>
              </w:rPr>
            </w:pPr>
            <w:r w:rsidRPr="00687BD6">
              <w:rPr>
                <w:sz w:val="16"/>
                <w:szCs w:val="16"/>
              </w:rPr>
              <w:t>10</w:t>
            </w:r>
          </w:p>
        </w:tc>
        <w:tc>
          <w:tcPr>
            <w:tcW w:w="6662" w:type="dxa"/>
            <w:vAlign w:val="center"/>
          </w:tcPr>
          <w:p w14:paraId="096AB745" w14:textId="71D7E8F6" w:rsidR="007412F8" w:rsidRPr="00687BD6" w:rsidRDefault="007412F8" w:rsidP="004F78B0">
            <w:pPr>
              <w:spacing w:line="240" w:lineRule="auto"/>
              <w:jc w:val="left"/>
              <w:rPr>
                <w:sz w:val="16"/>
                <w:szCs w:val="16"/>
              </w:rPr>
            </w:pPr>
            <w:r w:rsidRPr="00687BD6">
              <w:rPr>
                <w:sz w:val="16"/>
                <w:szCs w:val="16"/>
              </w:rPr>
              <w:t>Proportion of patients at lower risk of a bacterial respiratory tract infection given an oral antibiotic</w:t>
            </w:r>
          </w:p>
        </w:tc>
        <w:tc>
          <w:tcPr>
            <w:tcW w:w="567" w:type="dxa"/>
            <w:vAlign w:val="center"/>
          </w:tcPr>
          <w:p w14:paraId="5E058551"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14D8578F"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4AA3C857" w14:textId="77777777" w:rsidR="007412F8" w:rsidRPr="00687BD6" w:rsidRDefault="007412F8" w:rsidP="004F78B0">
            <w:pPr>
              <w:spacing w:line="240" w:lineRule="auto"/>
              <w:jc w:val="center"/>
              <w:rPr>
                <w:sz w:val="16"/>
                <w:szCs w:val="16"/>
              </w:rPr>
            </w:pPr>
            <w:r w:rsidRPr="00687BD6">
              <w:rPr>
                <w:sz w:val="16"/>
                <w:szCs w:val="16"/>
              </w:rPr>
              <w:t>100%</w:t>
            </w:r>
          </w:p>
        </w:tc>
        <w:tc>
          <w:tcPr>
            <w:tcW w:w="567" w:type="dxa"/>
            <w:vAlign w:val="center"/>
          </w:tcPr>
          <w:p w14:paraId="08497EB6" w14:textId="77777777" w:rsidR="007412F8" w:rsidRPr="00687BD6" w:rsidRDefault="007412F8" w:rsidP="004F78B0">
            <w:pPr>
              <w:spacing w:line="240" w:lineRule="auto"/>
              <w:jc w:val="center"/>
              <w:rPr>
                <w:sz w:val="16"/>
                <w:szCs w:val="16"/>
              </w:rPr>
            </w:pPr>
            <w:r w:rsidRPr="00687BD6">
              <w:rPr>
                <w:sz w:val="16"/>
                <w:szCs w:val="16"/>
              </w:rPr>
              <w:t>7</w:t>
            </w:r>
          </w:p>
        </w:tc>
        <w:tc>
          <w:tcPr>
            <w:tcW w:w="567" w:type="dxa"/>
            <w:vAlign w:val="center"/>
          </w:tcPr>
          <w:p w14:paraId="068EBC13"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2CD1E1F8" w14:textId="77777777" w:rsidR="007412F8" w:rsidRPr="00687BD6" w:rsidRDefault="007412F8" w:rsidP="004F78B0">
            <w:pPr>
              <w:spacing w:line="240" w:lineRule="auto"/>
              <w:jc w:val="center"/>
              <w:rPr>
                <w:sz w:val="16"/>
                <w:szCs w:val="16"/>
              </w:rPr>
            </w:pPr>
            <w:r w:rsidRPr="00687BD6">
              <w:rPr>
                <w:sz w:val="16"/>
                <w:szCs w:val="16"/>
              </w:rPr>
              <w:t>80%</w:t>
            </w:r>
          </w:p>
        </w:tc>
      </w:tr>
      <w:tr w:rsidR="00C07BC6" w:rsidRPr="00687BD6" w14:paraId="7792E4FA" w14:textId="77777777" w:rsidTr="008D6400">
        <w:tc>
          <w:tcPr>
            <w:tcW w:w="709" w:type="dxa"/>
            <w:vMerge/>
          </w:tcPr>
          <w:p w14:paraId="6BEB0009" w14:textId="77777777" w:rsidR="007412F8" w:rsidRPr="00687BD6" w:rsidRDefault="007412F8" w:rsidP="00687BD6">
            <w:pPr>
              <w:spacing w:line="240" w:lineRule="auto"/>
              <w:rPr>
                <w:sz w:val="16"/>
                <w:szCs w:val="16"/>
              </w:rPr>
            </w:pPr>
          </w:p>
        </w:tc>
        <w:tc>
          <w:tcPr>
            <w:tcW w:w="567" w:type="dxa"/>
            <w:vAlign w:val="center"/>
          </w:tcPr>
          <w:p w14:paraId="316D5773" w14:textId="77777777" w:rsidR="007412F8" w:rsidRPr="00687BD6" w:rsidRDefault="007412F8" w:rsidP="00687BD6">
            <w:pPr>
              <w:spacing w:line="240" w:lineRule="auto"/>
              <w:jc w:val="center"/>
              <w:rPr>
                <w:sz w:val="16"/>
                <w:szCs w:val="16"/>
              </w:rPr>
            </w:pPr>
            <w:r w:rsidRPr="00687BD6">
              <w:rPr>
                <w:sz w:val="16"/>
                <w:szCs w:val="16"/>
              </w:rPr>
              <w:t>11</w:t>
            </w:r>
          </w:p>
        </w:tc>
        <w:tc>
          <w:tcPr>
            <w:tcW w:w="6662" w:type="dxa"/>
            <w:vAlign w:val="center"/>
          </w:tcPr>
          <w:p w14:paraId="4AC0AC1F" w14:textId="03111DDB" w:rsidR="007412F8" w:rsidRPr="00687BD6" w:rsidRDefault="007412F8" w:rsidP="004F78B0">
            <w:pPr>
              <w:spacing w:line="240" w:lineRule="auto"/>
              <w:jc w:val="left"/>
              <w:rPr>
                <w:sz w:val="16"/>
                <w:szCs w:val="16"/>
              </w:rPr>
            </w:pPr>
            <w:r w:rsidRPr="00687BD6">
              <w:rPr>
                <w:sz w:val="16"/>
                <w:szCs w:val="16"/>
              </w:rPr>
              <w:t>Proportion of patients with acute RTIs given the duration in days of oral antibiotics recommended in the WHO AWaRe Antibiotic Book</w:t>
            </w:r>
          </w:p>
        </w:tc>
        <w:tc>
          <w:tcPr>
            <w:tcW w:w="567" w:type="dxa"/>
            <w:vAlign w:val="center"/>
          </w:tcPr>
          <w:p w14:paraId="5C97F6D4"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4CE50D7D"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0A435286" w14:textId="77777777" w:rsidR="007412F8" w:rsidRPr="00687BD6" w:rsidRDefault="007412F8" w:rsidP="004F78B0">
            <w:pPr>
              <w:spacing w:line="240" w:lineRule="auto"/>
              <w:jc w:val="center"/>
              <w:rPr>
                <w:sz w:val="16"/>
                <w:szCs w:val="16"/>
              </w:rPr>
            </w:pPr>
            <w:r w:rsidRPr="00687BD6">
              <w:rPr>
                <w:sz w:val="16"/>
                <w:szCs w:val="16"/>
              </w:rPr>
              <w:t>100%</w:t>
            </w:r>
          </w:p>
        </w:tc>
        <w:tc>
          <w:tcPr>
            <w:tcW w:w="567" w:type="dxa"/>
            <w:vAlign w:val="center"/>
          </w:tcPr>
          <w:p w14:paraId="53C1978D"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44DFD0E4"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595D9E68" w14:textId="77777777" w:rsidR="007412F8" w:rsidRPr="00687BD6" w:rsidRDefault="007412F8" w:rsidP="004F78B0">
            <w:pPr>
              <w:spacing w:line="240" w:lineRule="auto"/>
              <w:jc w:val="center"/>
              <w:rPr>
                <w:sz w:val="16"/>
                <w:szCs w:val="16"/>
              </w:rPr>
            </w:pPr>
            <w:r w:rsidRPr="00687BD6">
              <w:rPr>
                <w:sz w:val="16"/>
                <w:szCs w:val="16"/>
              </w:rPr>
              <w:t>100%</w:t>
            </w:r>
          </w:p>
        </w:tc>
      </w:tr>
      <w:tr w:rsidR="00C07BC6" w:rsidRPr="00687BD6" w14:paraId="4B3D816F" w14:textId="77777777" w:rsidTr="008D6400">
        <w:tc>
          <w:tcPr>
            <w:tcW w:w="709" w:type="dxa"/>
            <w:vMerge/>
          </w:tcPr>
          <w:p w14:paraId="59674BEC" w14:textId="77777777" w:rsidR="007412F8" w:rsidRPr="00687BD6" w:rsidRDefault="007412F8" w:rsidP="00687BD6">
            <w:pPr>
              <w:spacing w:line="240" w:lineRule="auto"/>
              <w:rPr>
                <w:sz w:val="16"/>
                <w:szCs w:val="16"/>
              </w:rPr>
            </w:pPr>
          </w:p>
        </w:tc>
        <w:tc>
          <w:tcPr>
            <w:tcW w:w="567" w:type="dxa"/>
            <w:vAlign w:val="center"/>
          </w:tcPr>
          <w:p w14:paraId="6AD8755F" w14:textId="77777777" w:rsidR="007412F8" w:rsidRPr="00687BD6" w:rsidRDefault="007412F8" w:rsidP="00687BD6">
            <w:pPr>
              <w:spacing w:line="240" w:lineRule="auto"/>
              <w:jc w:val="center"/>
              <w:rPr>
                <w:sz w:val="16"/>
                <w:szCs w:val="16"/>
              </w:rPr>
            </w:pPr>
            <w:r w:rsidRPr="00687BD6">
              <w:rPr>
                <w:sz w:val="16"/>
                <w:szCs w:val="16"/>
              </w:rPr>
              <w:t>12</w:t>
            </w:r>
          </w:p>
        </w:tc>
        <w:tc>
          <w:tcPr>
            <w:tcW w:w="6662" w:type="dxa"/>
            <w:vAlign w:val="center"/>
          </w:tcPr>
          <w:p w14:paraId="0D1BB926" w14:textId="42B31108" w:rsidR="007412F8" w:rsidRPr="00687BD6" w:rsidRDefault="007412F8" w:rsidP="004F78B0">
            <w:pPr>
              <w:spacing w:line="240" w:lineRule="auto"/>
              <w:jc w:val="left"/>
              <w:rPr>
                <w:sz w:val="16"/>
                <w:szCs w:val="16"/>
              </w:rPr>
            </w:pPr>
            <w:r w:rsidRPr="00687BD6">
              <w:rPr>
                <w:sz w:val="16"/>
                <w:szCs w:val="16"/>
              </w:rPr>
              <w:t>Proportion of patients with acute RTIs prescribed the total daily dose of oral antibiotics recommended in the WHO AWaRe Antibiotic Book</w:t>
            </w:r>
          </w:p>
        </w:tc>
        <w:tc>
          <w:tcPr>
            <w:tcW w:w="567" w:type="dxa"/>
            <w:vAlign w:val="center"/>
          </w:tcPr>
          <w:p w14:paraId="7B9A8F30" w14:textId="77777777" w:rsidR="007412F8" w:rsidRPr="00687BD6" w:rsidRDefault="007412F8" w:rsidP="004F78B0">
            <w:pPr>
              <w:spacing w:line="240" w:lineRule="auto"/>
              <w:jc w:val="center"/>
              <w:rPr>
                <w:sz w:val="16"/>
                <w:szCs w:val="16"/>
              </w:rPr>
            </w:pPr>
            <w:r w:rsidRPr="00687BD6">
              <w:rPr>
                <w:sz w:val="16"/>
                <w:szCs w:val="16"/>
              </w:rPr>
              <w:t>9</w:t>
            </w:r>
          </w:p>
        </w:tc>
        <w:tc>
          <w:tcPr>
            <w:tcW w:w="567" w:type="dxa"/>
            <w:vAlign w:val="center"/>
          </w:tcPr>
          <w:p w14:paraId="737420F7" w14:textId="77777777" w:rsidR="007412F8" w:rsidRPr="00687BD6" w:rsidRDefault="007412F8" w:rsidP="004F78B0">
            <w:pPr>
              <w:spacing w:line="240" w:lineRule="auto"/>
              <w:jc w:val="center"/>
              <w:rPr>
                <w:sz w:val="16"/>
                <w:szCs w:val="16"/>
              </w:rPr>
            </w:pPr>
            <w:r w:rsidRPr="00687BD6">
              <w:rPr>
                <w:sz w:val="16"/>
                <w:szCs w:val="16"/>
              </w:rPr>
              <w:t>E</w:t>
            </w:r>
          </w:p>
        </w:tc>
        <w:tc>
          <w:tcPr>
            <w:tcW w:w="709" w:type="dxa"/>
            <w:vAlign w:val="center"/>
          </w:tcPr>
          <w:p w14:paraId="49219FBD" w14:textId="77777777" w:rsidR="007412F8" w:rsidRPr="00687BD6" w:rsidRDefault="007412F8" w:rsidP="004F78B0">
            <w:pPr>
              <w:spacing w:line="240" w:lineRule="auto"/>
              <w:jc w:val="center"/>
              <w:rPr>
                <w:sz w:val="16"/>
                <w:szCs w:val="16"/>
              </w:rPr>
            </w:pPr>
            <w:r w:rsidRPr="00687BD6">
              <w:rPr>
                <w:sz w:val="16"/>
                <w:szCs w:val="16"/>
              </w:rPr>
              <w:t>60%</w:t>
            </w:r>
          </w:p>
        </w:tc>
        <w:tc>
          <w:tcPr>
            <w:tcW w:w="567" w:type="dxa"/>
            <w:vAlign w:val="center"/>
          </w:tcPr>
          <w:p w14:paraId="29F9E0D1" w14:textId="77777777" w:rsidR="007412F8" w:rsidRPr="00687BD6" w:rsidRDefault="007412F8" w:rsidP="004F78B0">
            <w:pPr>
              <w:spacing w:line="240" w:lineRule="auto"/>
              <w:jc w:val="center"/>
              <w:rPr>
                <w:sz w:val="16"/>
                <w:szCs w:val="16"/>
              </w:rPr>
            </w:pPr>
            <w:r w:rsidRPr="00687BD6">
              <w:rPr>
                <w:sz w:val="16"/>
                <w:szCs w:val="16"/>
              </w:rPr>
              <w:t>7</w:t>
            </w:r>
          </w:p>
        </w:tc>
        <w:tc>
          <w:tcPr>
            <w:tcW w:w="567" w:type="dxa"/>
            <w:vAlign w:val="center"/>
          </w:tcPr>
          <w:p w14:paraId="72326C84"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137A05CF" w14:textId="77777777" w:rsidR="007412F8" w:rsidRPr="00687BD6" w:rsidRDefault="007412F8" w:rsidP="004F78B0">
            <w:pPr>
              <w:spacing w:line="240" w:lineRule="auto"/>
              <w:jc w:val="center"/>
              <w:rPr>
                <w:sz w:val="16"/>
                <w:szCs w:val="16"/>
              </w:rPr>
            </w:pPr>
            <w:r w:rsidRPr="00687BD6">
              <w:rPr>
                <w:sz w:val="16"/>
                <w:szCs w:val="16"/>
              </w:rPr>
              <w:t>90%</w:t>
            </w:r>
          </w:p>
        </w:tc>
      </w:tr>
      <w:tr w:rsidR="00C07BC6" w:rsidRPr="00687BD6" w14:paraId="3437BB1E" w14:textId="77777777" w:rsidTr="008D6400">
        <w:tc>
          <w:tcPr>
            <w:tcW w:w="709" w:type="dxa"/>
            <w:vMerge/>
          </w:tcPr>
          <w:p w14:paraId="119B51C0" w14:textId="77777777" w:rsidR="007412F8" w:rsidRPr="00687BD6" w:rsidRDefault="007412F8" w:rsidP="00687BD6">
            <w:pPr>
              <w:spacing w:line="240" w:lineRule="auto"/>
              <w:rPr>
                <w:sz w:val="16"/>
                <w:szCs w:val="16"/>
              </w:rPr>
            </w:pPr>
          </w:p>
        </w:tc>
        <w:tc>
          <w:tcPr>
            <w:tcW w:w="567" w:type="dxa"/>
            <w:vAlign w:val="center"/>
          </w:tcPr>
          <w:p w14:paraId="0E9BDEBC" w14:textId="77777777" w:rsidR="007412F8" w:rsidRPr="00687BD6" w:rsidRDefault="007412F8" w:rsidP="00687BD6">
            <w:pPr>
              <w:spacing w:line="240" w:lineRule="auto"/>
              <w:jc w:val="center"/>
              <w:rPr>
                <w:sz w:val="16"/>
                <w:szCs w:val="16"/>
              </w:rPr>
            </w:pPr>
            <w:r w:rsidRPr="00687BD6">
              <w:rPr>
                <w:sz w:val="16"/>
                <w:szCs w:val="16"/>
              </w:rPr>
              <w:t>13</w:t>
            </w:r>
          </w:p>
        </w:tc>
        <w:tc>
          <w:tcPr>
            <w:tcW w:w="6662" w:type="dxa"/>
            <w:vAlign w:val="center"/>
          </w:tcPr>
          <w:p w14:paraId="0CBC9DAE" w14:textId="77777777" w:rsidR="007412F8" w:rsidRPr="00687BD6" w:rsidRDefault="007412F8" w:rsidP="004F78B0">
            <w:pPr>
              <w:spacing w:line="240" w:lineRule="auto"/>
              <w:jc w:val="left"/>
              <w:rPr>
                <w:sz w:val="16"/>
                <w:szCs w:val="16"/>
              </w:rPr>
            </w:pPr>
            <w:r w:rsidRPr="00687BD6">
              <w:rPr>
                <w:sz w:val="16"/>
                <w:szCs w:val="16"/>
              </w:rPr>
              <w:t>Proportion of patients with bacterial RTIs given oral Access or Watch antibiotics</w:t>
            </w:r>
          </w:p>
        </w:tc>
        <w:tc>
          <w:tcPr>
            <w:tcW w:w="567" w:type="dxa"/>
            <w:vAlign w:val="center"/>
          </w:tcPr>
          <w:p w14:paraId="3AF9C559"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1B14B675"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04A87927" w14:textId="77777777" w:rsidR="007412F8" w:rsidRPr="00687BD6" w:rsidRDefault="007412F8" w:rsidP="004F78B0">
            <w:pPr>
              <w:spacing w:line="240" w:lineRule="auto"/>
              <w:jc w:val="center"/>
              <w:rPr>
                <w:sz w:val="16"/>
                <w:szCs w:val="16"/>
              </w:rPr>
            </w:pPr>
            <w:r w:rsidRPr="00687BD6">
              <w:rPr>
                <w:sz w:val="16"/>
                <w:szCs w:val="16"/>
              </w:rPr>
              <w:t>100%</w:t>
            </w:r>
          </w:p>
        </w:tc>
        <w:tc>
          <w:tcPr>
            <w:tcW w:w="567" w:type="dxa"/>
            <w:vAlign w:val="center"/>
          </w:tcPr>
          <w:p w14:paraId="4E3C8E0E" w14:textId="77777777" w:rsidR="007412F8" w:rsidRPr="00687BD6" w:rsidRDefault="007412F8" w:rsidP="004F78B0">
            <w:pPr>
              <w:spacing w:line="240" w:lineRule="auto"/>
              <w:jc w:val="center"/>
              <w:rPr>
                <w:sz w:val="16"/>
                <w:szCs w:val="16"/>
              </w:rPr>
            </w:pPr>
            <w:r w:rsidRPr="00687BD6">
              <w:rPr>
                <w:sz w:val="16"/>
                <w:szCs w:val="16"/>
              </w:rPr>
              <w:t>7</w:t>
            </w:r>
          </w:p>
        </w:tc>
        <w:tc>
          <w:tcPr>
            <w:tcW w:w="567" w:type="dxa"/>
            <w:vAlign w:val="center"/>
          </w:tcPr>
          <w:p w14:paraId="04229478"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3DA669DB" w14:textId="77777777" w:rsidR="007412F8" w:rsidRPr="00687BD6" w:rsidRDefault="007412F8" w:rsidP="004F78B0">
            <w:pPr>
              <w:spacing w:line="240" w:lineRule="auto"/>
              <w:jc w:val="center"/>
              <w:rPr>
                <w:sz w:val="16"/>
                <w:szCs w:val="16"/>
              </w:rPr>
            </w:pPr>
            <w:r w:rsidRPr="00687BD6">
              <w:rPr>
                <w:sz w:val="16"/>
                <w:szCs w:val="16"/>
              </w:rPr>
              <w:t>90%</w:t>
            </w:r>
          </w:p>
        </w:tc>
      </w:tr>
      <w:tr w:rsidR="00C07BC6" w:rsidRPr="00687BD6" w14:paraId="6F3E2921" w14:textId="77777777" w:rsidTr="008D6400">
        <w:tc>
          <w:tcPr>
            <w:tcW w:w="709" w:type="dxa"/>
            <w:vMerge/>
          </w:tcPr>
          <w:p w14:paraId="59124F74" w14:textId="77777777" w:rsidR="007412F8" w:rsidRPr="00687BD6" w:rsidRDefault="007412F8" w:rsidP="00687BD6">
            <w:pPr>
              <w:spacing w:line="240" w:lineRule="auto"/>
              <w:rPr>
                <w:sz w:val="16"/>
                <w:szCs w:val="16"/>
              </w:rPr>
            </w:pPr>
          </w:p>
        </w:tc>
        <w:tc>
          <w:tcPr>
            <w:tcW w:w="567" w:type="dxa"/>
            <w:vAlign w:val="center"/>
          </w:tcPr>
          <w:p w14:paraId="2E7F0203" w14:textId="77777777" w:rsidR="007412F8" w:rsidRPr="00687BD6" w:rsidRDefault="007412F8" w:rsidP="00687BD6">
            <w:pPr>
              <w:spacing w:line="240" w:lineRule="auto"/>
              <w:jc w:val="center"/>
              <w:rPr>
                <w:sz w:val="16"/>
                <w:szCs w:val="16"/>
              </w:rPr>
            </w:pPr>
            <w:r w:rsidRPr="00687BD6">
              <w:rPr>
                <w:sz w:val="16"/>
                <w:szCs w:val="16"/>
              </w:rPr>
              <w:t>14</w:t>
            </w:r>
          </w:p>
        </w:tc>
        <w:tc>
          <w:tcPr>
            <w:tcW w:w="6662" w:type="dxa"/>
            <w:vAlign w:val="center"/>
          </w:tcPr>
          <w:p w14:paraId="597D0401" w14:textId="0B6D8A30" w:rsidR="007412F8" w:rsidRPr="00687BD6" w:rsidRDefault="007412F8" w:rsidP="004F78B0">
            <w:pPr>
              <w:spacing w:line="240" w:lineRule="auto"/>
              <w:jc w:val="left"/>
              <w:rPr>
                <w:sz w:val="16"/>
                <w:szCs w:val="16"/>
              </w:rPr>
            </w:pPr>
            <w:r w:rsidRPr="00687BD6">
              <w:rPr>
                <w:sz w:val="16"/>
                <w:szCs w:val="16"/>
              </w:rPr>
              <w:t xml:space="preserve">Proportion of patients (no relevant comorbidities) presenting with acute cough </w:t>
            </w:r>
            <w:r w:rsidR="0045256C">
              <w:rPr>
                <w:sz w:val="16"/>
                <w:szCs w:val="16"/>
              </w:rPr>
              <w:t>who</w:t>
            </w:r>
            <w:r w:rsidRPr="00687BD6">
              <w:rPr>
                <w:sz w:val="16"/>
                <w:szCs w:val="16"/>
              </w:rPr>
              <w:t xml:space="preserve"> should be prescribed oral antibiotics</w:t>
            </w:r>
            <w:r w:rsidRPr="00687BD6">
              <w:rPr>
                <w:b/>
                <w:bCs/>
                <w:sz w:val="16"/>
                <w:szCs w:val="16"/>
              </w:rPr>
              <w:t>‡</w:t>
            </w:r>
          </w:p>
        </w:tc>
        <w:tc>
          <w:tcPr>
            <w:tcW w:w="567" w:type="dxa"/>
            <w:vAlign w:val="center"/>
          </w:tcPr>
          <w:p w14:paraId="2C0F8F2E" w14:textId="77777777" w:rsidR="007412F8" w:rsidRPr="00687BD6" w:rsidRDefault="007412F8" w:rsidP="004F78B0">
            <w:pPr>
              <w:spacing w:line="240" w:lineRule="auto"/>
              <w:jc w:val="center"/>
              <w:rPr>
                <w:sz w:val="16"/>
                <w:szCs w:val="16"/>
              </w:rPr>
            </w:pPr>
            <w:r w:rsidRPr="00687BD6">
              <w:rPr>
                <w:sz w:val="16"/>
                <w:szCs w:val="16"/>
              </w:rPr>
              <w:t>7</w:t>
            </w:r>
          </w:p>
        </w:tc>
        <w:tc>
          <w:tcPr>
            <w:tcW w:w="567" w:type="dxa"/>
            <w:vAlign w:val="center"/>
          </w:tcPr>
          <w:p w14:paraId="6BF49201"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20921658" w14:textId="77777777" w:rsidR="007412F8" w:rsidRPr="00687BD6" w:rsidRDefault="007412F8" w:rsidP="004F78B0">
            <w:pPr>
              <w:spacing w:line="240" w:lineRule="auto"/>
              <w:jc w:val="center"/>
              <w:rPr>
                <w:sz w:val="16"/>
                <w:szCs w:val="16"/>
              </w:rPr>
            </w:pPr>
            <w:r w:rsidRPr="00687BD6">
              <w:rPr>
                <w:sz w:val="16"/>
                <w:szCs w:val="16"/>
              </w:rPr>
              <w:t>90%</w:t>
            </w:r>
          </w:p>
        </w:tc>
        <w:tc>
          <w:tcPr>
            <w:tcW w:w="567" w:type="dxa"/>
            <w:vAlign w:val="center"/>
          </w:tcPr>
          <w:p w14:paraId="1F6FE9B0" w14:textId="77777777" w:rsidR="007412F8" w:rsidRPr="00687BD6" w:rsidRDefault="007412F8" w:rsidP="004F78B0">
            <w:pPr>
              <w:spacing w:line="240" w:lineRule="auto"/>
              <w:jc w:val="center"/>
              <w:rPr>
                <w:sz w:val="16"/>
                <w:szCs w:val="16"/>
              </w:rPr>
            </w:pPr>
            <w:r w:rsidRPr="00687BD6">
              <w:rPr>
                <w:sz w:val="16"/>
                <w:szCs w:val="16"/>
              </w:rPr>
              <w:t>7</w:t>
            </w:r>
          </w:p>
        </w:tc>
        <w:tc>
          <w:tcPr>
            <w:tcW w:w="567" w:type="dxa"/>
            <w:vAlign w:val="center"/>
          </w:tcPr>
          <w:p w14:paraId="2364D5DD"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6E6D395A" w14:textId="77777777" w:rsidR="007412F8" w:rsidRPr="00687BD6" w:rsidRDefault="007412F8" w:rsidP="004F78B0">
            <w:pPr>
              <w:spacing w:line="240" w:lineRule="auto"/>
              <w:jc w:val="center"/>
              <w:rPr>
                <w:sz w:val="16"/>
                <w:szCs w:val="16"/>
              </w:rPr>
            </w:pPr>
            <w:r w:rsidRPr="00687BD6">
              <w:rPr>
                <w:sz w:val="16"/>
                <w:szCs w:val="16"/>
              </w:rPr>
              <w:t>80%</w:t>
            </w:r>
          </w:p>
        </w:tc>
      </w:tr>
      <w:tr w:rsidR="00C07BC6" w:rsidRPr="00687BD6" w14:paraId="7CDC4561" w14:textId="77777777" w:rsidTr="008D6400">
        <w:tc>
          <w:tcPr>
            <w:tcW w:w="709" w:type="dxa"/>
            <w:vMerge/>
          </w:tcPr>
          <w:p w14:paraId="3EBCC582" w14:textId="77777777" w:rsidR="007412F8" w:rsidRPr="00687BD6" w:rsidRDefault="007412F8" w:rsidP="00687BD6">
            <w:pPr>
              <w:spacing w:line="240" w:lineRule="auto"/>
              <w:rPr>
                <w:sz w:val="16"/>
                <w:szCs w:val="16"/>
              </w:rPr>
            </w:pPr>
          </w:p>
        </w:tc>
        <w:tc>
          <w:tcPr>
            <w:tcW w:w="567" w:type="dxa"/>
            <w:vAlign w:val="center"/>
          </w:tcPr>
          <w:p w14:paraId="6AF1E311" w14:textId="77777777" w:rsidR="007412F8" w:rsidRPr="00687BD6" w:rsidRDefault="007412F8" w:rsidP="00687BD6">
            <w:pPr>
              <w:spacing w:line="240" w:lineRule="auto"/>
              <w:jc w:val="center"/>
              <w:rPr>
                <w:sz w:val="16"/>
                <w:szCs w:val="16"/>
              </w:rPr>
            </w:pPr>
            <w:r w:rsidRPr="00687BD6">
              <w:rPr>
                <w:sz w:val="16"/>
                <w:szCs w:val="16"/>
              </w:rPr>
              <w:t>14a</w:t>
            </w:r>
          </w:p>
        </w:tc>
        <w:tc>
          <w:tcPr>
            <w:tcW w:w="6662" w:type="dxa"/>
            <w:vAlign w:val="center"/>
          </w:tcPr>
          <w:p w14:paraId="5CA0F105" w14:textId="045B063E" w:rsidR="007412F8" w:rsidRPr="00687BD6" w:rsidRDefault="007412F8" w:rsidP="004F78B0">
            <w:pPr>
              <w:spacing w:line="240" w:lineRule="auto"/>
              <w:jc w:val="left"/>
              <w:rPr>
                <w:sz w:val="16"/>
                <w:szCs w:val="16"/>
              </w:rPr>
            </w:pPr>
            <w:r w:rsidRPr="00687BD6">
              <w:rPr>
                <w:sz w:val="16"/>
                <w:szCs w:val="16"/>
              </w:rPr>
              <w:t>Proportion of patients (no relevant comorbidities) presenting with acute cough, who met WHO AWaRe guidelines for antibiotic prescription</w:t>
            </w:r>
            <w:r w:rsidRPr="00687BD6">
              <w:rPr>
                <w:b/>
                <w:bCs/>
                <w:sz w:val="16"/>
                <w:szCs w:val="16"/>
              </w:rPr>
              <w:t>†</w:t>
            </w:r>
          </w:p>
        </w:tc>
        <w:tc>
          <w:tcPr>
            <w:tcW w:w="567" w:type="dxa"/>
            <w:vAlign w:val="center"/>
          </w:tcPr>
          <w:p w14:paraId="254B31BF"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50C03990"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796D2698" w14:textId="77777777" w:rsidR="007412F8" w:rsidRPr="00687BD6" w:rsidRDefault="007412F8" w:rsidP="004F78B0">
            <w:pPr>
              <w:spacing w:line="240" w:lineRule="auto"/>
              <w:jc w:val="center"/>
              <w:rPr>
                <w:sz w:val="16"/>
                <w:szCs w:val="16"/>
              </w:rPr>
            </w:pPr>
            <w:r w:rsidRPr="00687BD6">
              <w:rPr>
                <w:sz w:val="16"/>
                <w:szCs w:val="16"/>
              </w:rPr>
              <w:t>100%</w:t>
            </w:r>
          </w:p>
        </w:tc>
        <w:tc>
          <w:tcPr>
            <w:tcW w:w="567" w:type="dxa"/>
            <w:vAlign w:val="center"/>
          </w:tcPr>
          <w:p w14:paraId="6B6E9AE3" w14:textId="77777777" w:rsidR="007412F8" w:rsidRPr="00687BD6" w:rsidRDefault="007412F8" w:rsidP="004F78B0">
            <w:pPr>
              <w:spacing w:line="240" w:lineRule="auto"/>
              <w:jc w:val="center"/>
              <w:rPr>
                <w:sz w:val="16"/>
                <w:szCs w:val="16"/>
              </w:rPr>
            </w:pPr>
            <w:r w:rsidRPr="00687BD6">
              <w:rPr>
                <w:sz w:val="16"/>
                <w:szCs w:val="16"/>
              </w:rPr>
              <w:t>7</w:t>
            </w:r>
          </w:p>
        </w:tc>
        <w:tc>
          <w:tcPr>
            <w:tcW w:w="567" w:type="dxa"/>
            <w:vAlign w:val="center"/>
          </w:tcPr>
          <w:p w14:paraId="0D38F878"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5DA0CCC3" w14:textId="77777777" w:rsidR="007412F8" w:rsidRPr="00687BD6" w:rsidRDefault="007412F8" w:rsidP="004F78B0">
            <w:pPr>
              <w:spacing w:line="240" w:lineRule="auto"/>
              <w:jc w:val="center"/>
              <w:rPr>
                <w:sz w:val="16"/>
                <w:szCs w:val="16"/>
              </w:rPr>
            </w:pPr>
            <w:r w:rsidRPr="00687BD6">
              <w:rPr>
                <w:sz w:val="16"/>
                <w:szCs w:val="16"/>
              </w:rPr>
              <w:t>80%</w:t>
            </w:r>
          </w:p>
        </w:tc>
      </w:tr>
      <w:tr w:rsidR="00C07BC6" w:rsidRPr="00687BD6" w14:paraId="2AB4D8DD" w14:textId="77777777" w:rsidTr="008D6400">
        <w:tc>
          <w:tcPr>
            <w:tcW w:w="709" w:type="dxa"/>
            <w:vMerge/>
          </w:tcPr>
          <w:p w14:paraId="295E93B3" w14:textId="77777777" w:rsidR="007412F8" w:rsidRPr="00687BD6" w:rsidRDefault="007412F8" w:rsidP="00687BD6">
            <w:pPr>
              <w:spacing w:line="240" w:lineRule="auto"/>
              <w:rPr>
                <w:sz w:val="16"/>
                <w:szCs w:val="16"/>
              </w:rPr>
            </w:pPr>
          </w:p>
        </w:tc>
        <w:tc>
          <w:tcPr>
            <w:tcW w:w="567" w:type="dxa"/>
            <w:vAlign w:val="center"/>
          </w:tcPr>
          <w:p w14:paraId="2C54FE70" w14:textId="77777777" w:rsidR="007412F8" w:rsidRPr="00687BD6" w:rsidRDefault="007412F8" w:rsidP="00687BD6">
            <w:pPr>
              <w:spacing w:line="240" w:lineRule="auto"/>
              <w:jc w:val="center"/>
              <w:rPr>
                <w:sz w:val="16"/>
                <w:szCs w:val="16"/>
              </w:rPr>
            </w:pPr>
            <w:r w:rsidRPr="00687BD6">
              <w:rPr>
                <w:sz w:val="16"/>
                <w:szCs w:val="16"/>
              </w:rPr>
              <w:t>15</w:t>
            </w:r>
          </w:p>
        </w:tc>
        <w:tc>
          <w:tcPr>
            <w:tcW w:w="6662" w:type="dxa"/>
            <w:vAlign w:val="center"/>
          </w:tcPr>
          <w:p w14:paraId="53B1E24E" w14:textId="330B31D8" w:rsidR="007412F8" w:rsidRPr="00687BD6" w:rsidRDefault="007412F8" w:rsidP="004F78B0">
            <w:pPr>
              <w:spacing w:line="240" w:lineRule="auto"/>
              <w:jc w:val="left"/>
              <w:rPr>
                <w:sz w:val="16"/>
                <w:szCs w:val="16"/>
              </w:rPr>
            </w:pPr>
            <w:r w:rsidRPr="00687BD6">
              <w:rPr>
                <w:sz w:val="16"/>
                <w:szCs w:val="16"/>
              </w:rPr>
              <w:t>Proportion of patients (no relevant comorbidities) presenting with acute cough prescribed Access antibiotics</w:t>
            </w:r>
          </w:p>
        </w:tc>
        <w:tc>
          <w:tcPr>
            <w:tcW w:w="567" w:type="dxa"/>
            <w:vAlign w:val="center"/>
          </w:tcPr>
          <w:p w14:paraId="6A43BF72"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441474F2"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5FD73D68" w14:textId="77777777" w:rsidR="007412F8" w:rsidRPr="00687BD6" w:rsidRDefault="007412F8" w:rsidP="004F78B0">
            <w:pPr>
              <w:spacing w:line="240" w:lineRule="auto"/>
              <w:jc w:val="center"/>
              <w:rPr>
                <w:sz w:val="16"/>
                <w:szCs w:val="16"/>
              </w:rPr>
            </w:pPr>
            <w:r w:rsidRPr="00687BD6">
              <w:rPr>
                <w:sz w:val="16"/>
                <w:szCs w:val="16"/>
              </w:rPr>
              <w:t>100%</w:t>
            </w:r>
          </w:p>
        </w:tc>
        <w:tc>
          <w:tcPr>
            <w:tcW w:w="567" w:type="dxa"/>
            <w:vAlign w:val="center"/>
          </w:tcPr>
          <w:p w14:paraId="5F5BA249"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596DACC0"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5F89209C" w14:textId="77777777" w:rsidR="007412F8" w:rsidRPr="00687BD6" w:rsidRDefault="007412F8" w:rsidP="004F78B0">
            <w:pPr>
              <w:spacing w:line="240" w:lineRule="auto"/>
              <w:jc w:val="center"/>
              <w:rPr>
                <w:sz w:val="16"/>
                <w:szCs w:val="16"/>
              </w:rPr>
            </w:pPr>
            <w:r w:rsidRPr="00687BD6">
              <w:rPr>
                <w:sz w:val="16"/>
                <w:szCs w:val="16"/>
              </w:rPr>
              <w:t>100%</w:t>
            </w:r>
          </w:p>
        </w:tc>
      </w:tr>
      <w:tr w:rsidR="00C07BC6" w:rsidRPr="00687BD6" w14:paraId="1F244D7E" w14:textId="77777777" w:rsidTr="008D6400">
        <w:tc>
          <w:tcPr>
            <w:tcW w:w="709" w:type="dxa"/>
            <w:vMerge/>
          </w:tcPr>
          <w:p w14:paraId="76F0681B" w14:textId="77777777" w:rsidR="007412F8" w:rsidRPr="00687BD6" w:rsidRDefault="007412F8" w:rsidP="00687BD6">
            <w:pPr>
              <w:spacing w:line="240" w:lineRule="auto"/>
              <w:rPr>
                <w:sz w:val="16"/>
                <w:szCs w:val="16"/>
              </w:rPr>
            </w:pPr>
          </w:p>
        </w:tc>
        <w:tc>
          <w:tcPr>
            <w:tcW w:w="567" w:type="dxa"/>
            <w:vAlign w:val="center"/>
          </w:tcPr>
          <w:p w14:paraId="7FD6BB22" w14:textId="77777777" w:rsidR="007412F8" w:rsidRPr="00687BD6" w:rsidRDefault="007412F8" w:rsidP="00687BD6">
            <w:pPr>
              <w:spacing w:line="240" w:lineRule="auto"/>
              <w:jc w:val="center"/>
              <w:rPr>
                <w:sz w:val="16"/>
                <w:szCs w:val="16"/>
              </w:rPr>
            </w:pPr>
            <w:r w:rsidRPr="00687BD6">
              <w:rPr>
                <w:sz w:val="16"/>
                <w:szCs w:val="16"/>
              </w:rPr>
              <w:t>16</w:t>
            </w:r>
          </w:p>
        </w:tc>
        <w:tc>
          <w:tcPr>
            <w:tcW w:w="6662" w:type="dxa"/>
            <w:vAlign w:val="center"/>
          </w:tcPr>
          <w:p w14:paraId="6BD5F3C5" w14:textId="4F840395" w:rsidR="007412F8" w:rsidRPr="00687BD6" w:rsidRDefault="007412F8" w:rsidP="004F78B0">
            <w:pPr>
              <w:spacing w:line="240" w:lineRule="auto"/>
              <w:jc w:val="left"/>
              <w:rPr>
                <w:sz w:val="16"/>
                <w:szCs w:val="16"/>
              </w:rPr>
            </w:pPr>
            <w:r w:rsidRPr="00687BD6">
              <w:rPr>
                <w:sz w:val="16"/>
                <w:szCs w:val="16"/>
              </w:rPr>
              <w:t>Proportion of patients (no relevant comorbidities) presenting with acute cough prescribed Watch antibiotics</w:t>
            </w:r>
          </w:p>
        </w:tc>
        <w:tc>
          <w:tcPr>
            <w:tcW w:w="567" w:type="dxa"/>
            <w:vAlign w:val="center"/>
          </w:tcPr>
          <w:p w14:paraId="09F5C67A"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34CBFE2D"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10E2E59C" w14:textId="77777777" w:rsidR="007412F8" w:rsidRPr="00687BD6" w:rsidRDefault="007412F8" w:rsidP="004F78B0">
            <w:pPr>
              <w:spacing w:line="240" w:lineRule="auto"/>
              <w:jc w:val="center"/>
              <w:rPr>
                <w:sz w:val="16"/>
                <w:szCs w:val="16"/>
              </w:rPr>
            </w:pPr>
            <w:r w:rsidRPr="00687BD6">
              <w:rPr>
                <w:sz w:val="16"/>
                <w:szCs w:val="16"/>
              </w:rPr>
              <w:t>100%</w:t>
            </w:r>
          </w:p>
        </w:tc>
        <w:tc>
          <w:tcPr>
            <w:tcW w:w="567" w:type="dxa"/>
            <w:vAlign w:val="center"/>
          </w:tcPr>
          <w:p w14:paraId="6B8F3C4E"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710963BC"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1044169D" w14:textId="77777777" w:rsidR="007412F8" w:rsidRPr="00687BD6" w:rsidRDefault="007412F8" w:rsidP="004F78B0">
            <w:pPr>
              <w:spacing w:line="240" w:lineRule="auto"/>
              <w:jc w:val="center"/>
              <w:rPr>
                <w:sz w:val="16"/>
                <w:szCs w:val="16"/>
              </w:rPr>
            </w:pPr>
            <w:r w:rsidRPr="00687BD6">
              <w:rPr>
                <w:sz w:val="16"/>
                <w:szCs w:val="16"/>
              </w:rPr>
              <w:t>100%</w:t>
            </w:r>
          </w:p>
        </w:tc>
      </w:tr>
      <w:tr w:rsidR="00C07BC6" w:rsidRPr="00687BD6" w14:paraId="27C85253" w14:textId="77777777" w:rsidTr="008D6400">
        <w:tc>
          <w:tcPr>
            <w:tcW w:w="709" w:type="dxa"/>
            <w:vMerge/>
          </w:tcPr>
          <w:p w14:paraId="4EBDA70D" w14:textId="77777777" w:rsidR="007412F8" w:rsidRPr="00687BD6" w:rsidRDefault="007412F8" w:rsidP="00687BD6">
            <w:pPr>
              <w:spacing w:line="240" w:lineRule="auto"/>
              <w:rPr>
                <w:sz w:val="16"/>
                <w:szCs w:val="16"/>
              </w:rPr>
            </w:pPr>
          </w:p>
        </w:tc>
        <w:tc>
          <w:tcPr>
            <w:tcW w:w="567" w:type="dxa"/>
            <w:vAlign w:val="center"/>
          </w:tcPr>
          <w:p w14:paraId="5CBE741D" w14:textId="77777777" w:rsidR="007412F8" w:rsidRPr="00687BD6" w:rsidRDefault="007412F8" w:rsidP="00687BD6">
            <w:pPr>
              <w:spacing w:line="240" w:lineRule="auto"/>
              <w:jc w:val="center"/>
              <w:rPr>
                <w:sz w:val="16"/>
                <w:szCs w:val="16"/>
              </w:rPr>
            </w:pPr>
            <w:r w:rsidRPr="00687BD6">
              <w:rPr>
                <w:sz w:val="16"/>
                <w:szCs w:val="16"/>
              </w:rPr>
              <w:t>17</w:t>
            </w:r>
          </w:p>
        </w:tc>
        <w:tc>
          <w:tcPr>
            <w:tcW w:w="6662" w:type="dxa"/>
            <w:vAlign w:val="center"/>
          </w:tcPr>
          <w:p w14:paraId="117966F0" w14:textId="5028D97B" w:rsidR="007412F8" w:rsidRPr="00687BD6" w:rsidRDefault="007412F8" w:rsidP="004F78B0">
            <w:pPr>
              <w:spacing w:line="240" w:lineRule="auto"/>
              <w:jc w:val="left"/>
              <w:rPr>
                <w:sz w:val="16"/>
                <w:szCs w:val="16"/>
              </w:rPr>
            </w:pPr>
            <w:r w:rsidRPr="00687BD6">
              <w:rPr>
                <w:sz w:val="16"/>
                <w:szCs w:val="16"/>
              </w:rPr>
              <w:t>Proportion of acute cough cases with documented bacterial indicatio</w:t>
            </w:r>
            <w:r w:rsidRPr="00C53A9E">
              <w:rPr>
                <w:sz w:val="16"/>
                <w:szCs w:val="16"/>
              </w:rPr>
              <w:t xml:space="preserve">ns </w:t>
            </w:r>
            <w:r w:rsidR="00C53A9E" w:rsidRPr="00C53A9E">
              <w:rPr>
                <w:sz w:val="16"/>
                <w:szCs w:val="16"/>
              </w:rPr>
              <w:t>(</w:t>
            </w:r>
            <w:r w:rsidRPr="00C53A9E">
              <w:rPr>
                <w:sz w:val="16"/>
                <w:szCs w:val="16"/>
              </w:rPr>
              <w:t>c</w:t>
            </w:r>
            <w:r w:rsidRPr="00687BD6">
              <w:rPr>
                <w:sz w:val="16"/>
                <w:szCs w:val="16"/>
              </w:rPr>
              <w:t xml:space="preserve">linical justification for antibiotic use where the documented signs are suggestive of bacterial infection e.g., fever &gt; 38°C, purulent sputum, </w:t>
            </w:r>
            <w:r w:rsidR="00EB50BE" w:rsidRPr="00687BD6">
              <w:rPr>
                <w:sz w:val="16"/>
                <w:szCs w:val="16"/>
              </w:rPr>
              <w:t>dyspnea</w:t>
            </w:r>
            <w:r w:rsidRPr="00687BD6">
              <w:rPr>
                <w:sz w:val="16"/>
                <w:szCs w:val="16"/>
              </w:rPr>
              <w:t>, or suspected pneumonia)</w:t>
            </w:r>
          </w:p>
        </w:tc>
        <w:tc>
          <w:tcPr>
            <w:tcW w:w="567" w:type="dxa"/>
            <w:vAlign w:val="center"/>
          </w:tcPr>
          <w:p w14:paraId="796EB5F6" w14:textId="77777777" w:rsidR="007412F8" w:rsidRPr="00687BD6" w:rsidRDefault="007412F8" w:rsidP="004F78B0">
            <w:pPr>
              <w:spacing w:line="240" w:lineRule="auto"/>
              <w:jc w:val="center"/>
              <w:rPr>
                <w:sz w:val="16"/>
                <w:szCs w:val="16"/>
              </w:rPr>
            </w:pPr>
            <w:r w:rsidRPr="00687BD6">
              <w:rPr>
                <w:sz w:val="16"/>
                <w:szCs w:val="16"/>
              </w:rPr>
              <w:t>9</w:t>
            </w:r>
          </w:p>
        </w:tc>
        <w:tc>
          <w:tcPr>
            <w:tcW w:w="567" w:type="dxa"/>
            <w:vAlign w:val="center"/>
          </w:tcPr>
          <w:p w14:paraId="2747A816"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03082871" w14:textId="77777777" w:rsidR="007412F8" w:rsidRPr="00687BD6" w:rsidRDefault="007412F8" w:rsidP="004F78B0">
            <w:pPr>
              <w:spacing w:line="240" w:lineRule="auto"/>
              <w:jc w:val="center"/>
              <w:rPr>
                <w:sz w:val="16"/>
                <w:szCs w:val="16"/>
              </w:rPr>
            </w:pPr>
            <w:r w:rsidRPr="00687BD6">
              <w:rPr>
                <w:sz w:val="16"/>
                <w:szCs w:val="16"/>
              </w:rPr>
              <w:t>90%</w:t>
            </w:r>
          </w:p>
        </w:tc>
        <w:tc>
          <w:tcPr>
            <w:tcW w:w="567" w:type="dxa"/>
            <w:vAlign w:val="center"/>
          </w:tcPr>
          <w:p w14:paraId="6B041F5C"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183401FD"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1E3D112B" w14:textId="77777777" w:rsidR="007412F8" w:rsidRPr="00687BD6" w:rsidRDefault="007412F8" w:rsidP="004F78B0">
            <w:pPr>
              <w:spacing w:line="240" w:lineRule="auto"/>
              <w:jc w:val="center"/>
              <w:rPr>
                <w:sz w:val="16"/>
                <w:szCs w:val="16"/>
              </w:rPr>
            </w:pPr>
            <w:r w:rsidRPr="00687BD6">
              <w:rPr>
                <w:sz w:val="16"/>
                <w:szCs w:val="16"/>
              </w:rPr>
              <w:t>90%</w:t>
            </w:r>
          </w:p>
        </w:tc>
      </w:tr>
      <w:tr w:rsidR="00C07BC6" w:rsidRPr="00687BD6" w14:paraId="3148978A" w14:textId="77777777" w:rsidTr="008D6400">
        <w:tc>
          <w:tcPr>
            <w:tcW w:w="709" w:type="dxa"/>
            <w:vMerge/>
          </w:tcPr>
          <w:p w14:paraId="4B0AFA5E" w14:textId="77777777" w:rsidR="007412F8" w:rsidRPr="00687BD6" w:rsidRDefault="007412F8" w:rsidP="00687BD6">
            <w:pPr>
              <w:spacing w:line="240" w:lineRule="auto"/>
              <w:rPr>
                <w:b/>
                <w:bCs/>
                <w:sz w:val="16"/>
                <w:szCs w:val="16"/>
              </w:rPr>
            </w:pPr>
          </w:p>
        </w:tc>
        <w:tc>
          <w:tcPr>
            <w:tcW w:w="567" w:type="dxa"/>
            <w:vAlign w:val="center"/>
          </w:tcPr>
          <w:p w14:paraId="7F33B52C" w14:textId="77777777" w:rsidR="007412F8" w:rsidRPr="00687BD6" w:rsidRDefault="007412F8" w:rsidP="00687BD6">
            <w:pPr>
              <w:spacing w:line="240" w:lineRule="auto"/>
              <w:jc w:val="center"/>
              <w:rPr>
                <w:sz w:val="16"/>
                <w:szCs w:val="16"/>
              </w:rPr>
            </w:pPr>
            <w:r w:rsidRPr="00687BD6">
              <w:rPr>
                <w:sz w:val="16"/>
                <w:szCs w:val="16"/>
              </w:rPr>
              <w:t>18</w:t>
            </w:r>
          </w:p>
        </w:tc>
        <w:tc>
          <w:tcPr>
            <w:tcW w:w="6662" w:type="dxa"/>
            <w:vAlign w:val="center"/>
          </w:tcPr>
          <w:p w14:paraId="7DBA4EB1" w14:textId="4A2C13B5" w:rsidR="007412F8" w:rsidRPr="00687BD6" w:rsidRDefault="007412F8" w:rsidP="004F78B0">
            <w:pPr>
              <w:spacing w:line="240" w:lineRule="auto"/>
              <w:jc w:val="left"/>
              <w:rPr>
                <w:sz w:val="16"/>
                <w:szCs w:val="16"/>
              </w:rPr>
            </w:pPr>
            <w:r w:rsidRPr="00687BD6">
              <w:rPr>
                <w:sz w:val="16"/>
                <w:szCs w:val="16"/>
              </w:rPr>
              <w:t>Proportion of antibiotics prescribed for acute cough that are aligned with treatment guidelines (e.g., acute cough if pneumonia is suspected)</w:t>
            </w:r>
          </w:p>
        </w:tc>
        <w:tc>
          <w:tcPr>
            <w:tcW w:w="567" w:type="dxa"/>
            <w:vAlign w:val="center"/>
          </w:tcPr>
          <w:p w14:paraId="6F69EA4A" w14:textId="77777777" w:rsidR="007412F8" w:rsidRPr="00687BD6" w:rsidRDefault="007412F8" w:rsidP="004F78B0">
            <w:pPr>
              <w:spacing w:line="240" w:lineRule="auto"/>
              <w:jc w:val="center"/>
              <w:rPr>
                <w:sz w:val="16"/>
                <w:szCs w:val="16"/>
              </w:rPr>
            </w:pPr>
            <w:r w:rsidRPr="00687BD6">
              <w:rPr>
                <w:sz w:val="16"/>
                <w:szCs w:val="16"/>
              </w:rPr>
              <w:t>7</w:t>
            </w:r>
          </w:p>
        </w:tc>
        <w:tc>
          <w:tcPr>
            <w:tcW w:w="567" w:type="dxa"/>
            <w:vAlign w:val="center"/>
          </w:tcPr>
          <w:p w14:paraId="4D4DFAD0" w14:textId="77777777" w:rsidR="007412F8" w:rsidRPr="00687BD6" w:rsidRDefault="007412F8" w:rsidP="004F78B0">
            <w:pPr>
              <w:spacing w:line="240" w:lineRule="auto"/>
              <w:jc w:val="center"/>
              <w:rPr>
                <w:sz w:val="16"/>
                <w:szCs w:val="16"/>
              </w:rPr>
            </w:pPr>
            <w:r w:rsidRPr="00687BD6">
              <w:rPr>
                <w:sz w:val="16"/>
                <w:szCs w:val="16"/>
              </w:rPr>
              <w:t>E</w:t>
            </w:r>
          </w:p>
        </w:tc>
        <w:tc>
          <w:tcPr>
            <w:tcW w:w="709" w:type="dxa"/>
            <w:vAlign w:val="center"/>
          </w:tcPr>
          <w:p w14:paraId="439BE6FD" w14:textId="77777777" w:rsidR="007412F8" w:rsidRPr="00687BD6" w:rsidRDefault="007412F8" w:rsidP="004F78B0">
            <w:pPr>
              <w:spacing w:line="240" w:lineRule="auto"/>
              <w:jc w:val="center"/>
              <w:rPr>
                <w:sz w:val="16"/>
                <w:szCs w:val="16"/>
              </w:rPr>
            </w:pPr>
            <w:r w:rsidRPr="00687BD6">
              <w:rPr>
                <w:sz w:val="16"/>
                <w:szCs w:val="16"/>
              </w:rPr>
              <w:t>60%</w:t>
            </w:r>
          </w:p>
        </w:tc>
        <w:tc>
          <w:tcPr>
            <w:tcW w:w="567" w:type="dxa"/>
            <w:vAlign w:val="center"/>
          </w:tcPr>
          <w:p w14:paraId="4EF94130"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4B46C101"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746712C9" w14:textId="77777777" w:rsidR="007412F8" w:rsidRPr="00687BD6" w:rsidRDefault="007412F8" w:rsidP="004F78B0">
            <w:pPr>
              <w:spacing w:line="240" w:lineRule="auto"/>
              <w:jc w:val="center"/>
              <w:rPr>
                <w:sz w:val="16"/>
                <w:szCs w:val="16"/>
              </w:rPr>
            </w:pPr>
            <w:r w:rsidRPr="00687BD6">
              <w:rPr>
                <w:sz w:val="16"/>
                <w:szCs w:val="16"/>
              </w:rPr>
              <w:t>100%</w:t>
            </w:r>
          </w:p>
        </w:tc>
      </w:tr>
      <w:tr w:rsidR="00C07BC6" w:rsidRPr="00687BD6" w14:paraId="456F8D3E" w14:textId="77777777" w:rsidTr="008D6400">
        <w:tc>
          <w:tcPr>
            <w:tcW w:w="709" w:type="dxa"/>
            <w:vMerge w:val="restart"/>
          </w:tcPr>
          <w:p w14:paraId="48EA5FF9" w14:textId="4AB31BE3" w:rsidR="007412F8" w:rsidRPr="00687BD6" w:rsidRDefault="007412F8" w:rsidP="00687BD6">
            <w:pPr>
              <w:spacing w:line="240" w:lineRule="auto"/>
              <w:rPr>
                <w:b/>
                <w:bCs/>
                <w:sz w:val="16"/>
                <w:szCs w:val="16"/>
              </w:rPr>
            </w:pPr>
            <w:r w:rsidRPr="00687BD6">
              <w:rPr>
                <w:b/>
                <w:bCs/>
                <w:sz w:val="16"/>
                <w:szCs w:val="16"/>
              </w:rPr>
              <w:t>L</w:t>
            </w:r>
            <w:r w:rsidR="00524D1F" w:rsidRPr="00687BD6">
              <w:rPr>
                <w:b/>
                <w:bCs/>
                <w:sz w:val="16"/>
                <w:szCs w:val="16"/>
              </w:rPr>
              <w:t>UTI</w:t>
            </w:r>
            <w:r w:rsidRPr="00687BD6">
              <w:rPr>
                <w:b/>
                <w:bCs/>
                <w:sz w:val="16"/>
                <w:szCs w:val="16"/>
              </w:rPr>
              <w:t xml:space="preserve"> (n=11)</w:t>
            </w:r>
          </w:p>
        </w:tc>
        <w:tc>
          <w:tcPr>
            <w:tcW w:w="567" w:type="dxa"/>
            <w:vAlign w:val="center"/>
          </w:tcPr>
          <w:p w14:paraId="6270C14D" w14:textId="77777777" w:rsidR="007412F8" w:rsidRPr="00687BD6" w:rsidRDefault="007412F8" w:rsidP="00687BD6">
            <w:pPr>
              <w:spacing w:line="240" w:lineRule="auto"/>
              <w:jc w:val="center"/>
              <w:rPr>
                <w:sz w:val="16"/>
                <w:szCs w:val="16"/>
              </w:rPr>
            </w:pPr>
            <w:r w:rsidRPr="00687BD6">
              <w:rPr>
                <w:sz w:val="16"/>
                <w:szCs w:val="16"/>
              </w:rPr>
              <w:t>19</w:t>
            </w:r>
          </w:p>
        </w:tc>
        <w:tc>
          <w:tcPr>
            <w:tcW w:w="6662" w:type="dxa"/>
            <w:vAlign w:val="center"/>
          </w:tcPr>
          <w:p w14:paraId="1AB48BC1" w14:textId="17FCE04C" w:rsidR="007412F8" w:rsidRPr="00687BD6" w:rsidRDefault="007412F8" w:rsidP="004F78B0">
            <w:pPr>
              <w:spacing w:line="240" w:lineRule="auto"/>
              <w:jc w:val="left"/>
              <w:rPr>
                <w:sz w:val="16"/>
                <w:szCs w:val="16"/>
              </w:rPr>
            </w:pPr>
            <w:r w:rsidRPr="00687BD6">
              <w:rPr>
                <w:sz w:val="16"/>
                <w:szCs w:val="16"/>
              </w:rPr>
              <w:t>Proportion of patients presenting with lower urinary tract infection (UTI) given an oral antibiotic</w:t>
            </w:r>
            <w:r w:rsidRPr="00687BD6">
              <w:rPr>
                <w:b/>
                <w:bCs/>
                <w:sz w:val="16"/>
                <w:szCs w:val="16"/>
              </w:rPr>
              <w:t>‡</w:t>
            </w:r>
          </w:p>
        </w:tc>
        <w:tc>
          <w:tcPr>
            <w:tcW w:w="567" w:type="dxa"/>
            <w:vAlign w:val="center"/>
          </w:tcPr>
          <w:p w14:paraId="1B622A5B"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1FFFA43A"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2D4BFD45" w14:textId="77777777" w:rsidR="007412F8" w:rsidRPr="00687BD6" w:rsidRDefault="007412F8" w:rsidP="004F78B0">
            <w:pPr>
              <w:spacing w:line="240" w:lineRule="auto"/>
              <w:jc w:val="center"/>
              <w:rPr>
                <w:sz w:val="16"/>
                <w:szCs w:val="16"/>
              </w:rPr>
            </w:pPr>
            <w:r w:rsidRPr="00687BD6">
              <w:rPr>
                <w:sz w:val="16"/>
                <w:szCs w:val="16"/>
              </w:rPr>
              <w:t>80%</w:t>
            </w:r>
          </w:p>
        </w:tc>
        <w:tc>
          <w:tcPr>
            <w:tcW w:w="567" w:type="dxa"/>
            <w:vAlign w:val="center"/>
          </w:tcPr>
          <w:p w14:paraId="573FFC62"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4CC21DE8"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4E02331C" w14:textId="77777777" w:rsidR="007412F8" w:rsidRPr="00687BD6" w:rsidRDefault="007412F8" w:rsidP="004F78B0">
            <w:pPr>
              <w:spacing w:line="240" w:lineRule="auto"/>
              <w:jc w:val="center"/>
              <w:rPr>
                <w:sz w:val="16"/>
                <w:szCs w:val="16"/>
              </w:rPr>
            </w:pPr>
            <w:r w:rsidRPr="00687BD6">
              <w:rPr>
                <w:sz w:val="16"/>
                <w:szCs w:val="16"/>
              </w:rPr>
              <w:t>100%</w:t>
            </w:r>
          </w:p>
        </w:tc>
      </w:tr>
      <w:tr w:rsidR="00C07BC6" w:rsidRPr="00687BD6" w14:paraId="6448AA98" w14:textId="77777777" w:rsidTr="008D6400">
        <w:tc>
          <w:tcPr>
            <w:tcW w:w="709" w:type="dxa"/>
            <w:vMerge/>
          </w:tcPr>
          <w:p w14:paraId="638A55B8" w14:textId="77777777" w:rsidR="007412F8" w:rsidRPr="00687BD6" w:rsidRDefault="007412F8" w:rsidP="00687BD6">
            <w:pPr>
              <w:spacing w:line="240" w:lineRule="auto"/>
              <w:rPr>
                <w:sz w:val="16"/>
                <w:szCs w:val="16"/>
              </w:rPr>
            </w:pPr>
          </w:p>
        </w:tc>
        <w:tc>
          <w:tcPr>
            <w:tcW w:w="567" w:type="dxa"/>
            <w:vAlign w:val="center"/>
          </w:tcPr>
          <w:p w14:paraId="4D0757A6" w14:textId="77777777" w:rsidR="007412F8" w:rsidRPr="00687BD6" w:rsidRDefault="007412F8" w:rsidP="00687BD6">
            <w:pPr>
              <w:spacing w:line="240" w:lineRule="auto"/>
              <w:jc w:val="center"/>
              <w:rPr>
                <w:sz w:val="16"/>
                <w:szCs w:val="16"/>
              </w:rPr>
            </w:pPr>
            <w:r w:rsidRPr="00687BD6">
              <w:rPr>
                <w:sz w:val="16"/>
                <w:szCs w:val="16"/>
              </w:rPr>
              <w:t>19a</w:t>
            </w:r>
          </w:p>
        </w:tc>
        <w:tc>
          <w:tcPr>
            <w:tcW w:w="6662" w:type="dxa"/>
            <w:vAlign w:val="center"/>
          </w:tcPr>
          <w:p w14:paraId="2DBA530C" w14:textId="0DAB1DC3" w:rsidR="007412F8" w:rsidRPr="00687BD6" w:rsidRDefault="007412F8" w:rsidP="004F78B0">
            <w:pPr>
              <w:spacing w:line="240" w:lineRule="auto"/>
              <w:jc w:val="left"/>
              <w:rPr>
                <w:sz w:val="16"/>
                <w:szCs w:val="16"/>
              </w:rPr>
            </w:pPr>
            <w:r w:rsidRPr="00687BD6">
              <w:rPr>
                <w:sz w:val="16"/>
                <w:szCs w:val="16"/>
              </w:rPr>
              <w:t xml:space="preserve">Proportion of patients presenting with </w:t>
            </w:r>
            <w:r w:rsidR="00C1215F">
              <w:rPr>
                <w:sz w:val="16"/>
                <w:szCs w:val="16"/>
              </w:rPr>
              <w:t>L</w:t>
            </w:r>
            <w:r w:rsidRPr="00687BD6">
              <w:rPr>
                <w:sz w:val="16"/>
                <w:szCs w:val="16"/>
              </w:rPr>
              <w:t>UTI given an antibiotic</w:t>
            </w:r>
            <w:r w:rsidRPr="00687BD6">
              <w:rPr>
                <w:b/>
                <w:bCs/>
                <w:sz w:val="16"/>
                <w:szCs w:val="16"/>
              </w:rPr>
              <w:t>†</w:t>
            </w:r>
          </w:p>
        </w:tc>
        <w:tc>
          <w:tcPr>
            <w:tcW w:w="567" w:type="dxa"/>
            <w:vAlign w:val="center"/>
          </w:tcPr>
          <w:p w14:paraId="6010C1BC" w14:textId="77777777" w:rsidR="007412F8" w:rsidRPr="00687BD6" w:rsidRDefault="007412F8" w:rsidP="004F78B0">
            <w:pPr>
              <w:spacing w:line="240" w:lineRule="auto"/>
              <w:jc w:val="center"/>
              <w:rPr>
                <w:sz w:val="16"/>
                <w:szCs w:val="16"/>
              </w:rPr>
            </w:pPr>
            <w:r w:rsidRPr="00687BD6">
              <w:rPr>
                <w:sz w:val="16"/>
                <w:szCs w:val="16"/>
              </w:rPr>
              <w:t>9</w:t>
            </w:r>
          </w:p>
        </w:tc>
        <w:tc>
          <w:tcPr>
            <w:tcW w:w="567" w:type="dxa"/>
            <w:vAlign w:val="center"/>
          </w:tcPr>
          <w:p w14:paraId="7DE522FC"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5A7C07A5" w14:textId="77777777" w:rsidR="007412F8" w:rsidRPr="00687BD6" w:rsidRDefault="007412F8" w:rsidP="004F78B0">
            <w:pPr>
              <w:spacing w:line="240" w:lineRule="auto"/>
              <w:jc w:val="center"/>
              <w:rPr>
                <w:sz w:val="16"/>
                <w:szCs w:val="16"/>
              </w:rPr>
            </w:pPr>
            <w:r w:rsidRPr="00687BD6">
              <w:rPr>
                <w:sz w:val="16"/>
                <w:szCs w:val="16"/>
              </w:rPr>
              <w:t>90%</w:t>
            </w:r>
          </w:p>
        </w:tc>
        <w:tc>
          <w:tcPr>
            <w:tcW w:w="567" w:type="dxa"/>
            <w:vAlign w:val="center"/>
          </w:tcPr>
          <w:p w14:paraId="633E2692"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625AA2E0"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4A276489" w14:textId="77777777" w:rsidR="007412F8" w:rsidRPr="00687BD6" w:rsidRDefault="007412F8" w:rsidP="004F78B0">
            <w:pPr>
              <w:spacing w:line="240" w:lineRule="auto"/>
              <w:jc w:val="center"/>
              <w:rPr>
                <w:sz w:val="16"/>
                <w:szCs w:val="16"/>
              </w:rPr>
            </w:pPr>
            <w:r w:rsidRPr="00687BD6">
              <w:rPr>
                <w:sz w:val="16"/>
                <w:szCs w:val="16"/>
              </w:rPr>
              <w:t>100%</w:t>
            </w:r>
          </w:p>
        </w:tc>
      </w:tr>
      <w:tr w:rsidR="00C07BC6" w:rsidRPr="00687BD6" w14:paraId="309E53DB" w14:textId="77777777" w:rsidTr="008D6400">
        <w:tc>
          <w:tcPr>
            <w:tcW w:w="709" w:type="dxa"/>
            <w:vMerge/>
          </w:tcPr>
          <w:p w14:paraId="52C5665B" w14:textId="77777777" w:rsidR="007412F8" w:rsidRPr="00687BD6" w:rsidRDefault="007412F8" w:rsidP="00687BD6">
            <w:pPr>
              <w:spacing w:line="240" w:lineRule="auto"/>
              <w:rPr>
                <w:sz w:val="16"/>
                <w:szCs w:val="16"/>
              </w:rPr>
            </w:pPr>
          </w:p>
        </w:tc>
        <w:tc>
          <w:tcPr>
            <w:tcW w:w="567" w:type="dxa"/>
            <w:vAlign w:val="center"/>
          </w:tcPr>
          <w:p w14:paraId="79F4826D" w14:textId="77777777" w:rsidR="007412F8" w:rsidRPr="00687BD6" w:rsidRDefault="007412F8" w:rsidP="00687BD6">
            <w:pPr>
              <w:spacing w:line="240" w:lineRule="auto"/>
              <w:jc w:val="center"/>
              <w:rPr>
                <w:sz w:val="16"/>
                <w:szCs w:val="16"/>
              </w:rPr>
            </w:pPr>
            <w:r w:rsidRPr="00687BD6">
              <w:rPr>
                <w:sz w:val="16"/>
                <w:szCs w:val="16"/>
              </w:rPr>
              <w:t>20</w:t>
            </w:r>
          </w:p>
        </w:tc>
        <w:tc>
          <w:tcPr>
            <w:tcW w:w="6662" w:type="dxa"/>
            <w:vAlign w:val="center"/>
          </w:tcPr>
          <w:p w14:paraId="343C99D7" w14:textId="52C48DEC" w:rsidR="007412F8" w:rsidRPr="00687BD6" w:rsidRDefault="007412F8" w:rsidP="004F78B0">
            <w:pPr>
              <w:spacing w:line="240" w:lineRule="auto"/>
              <w:jc w:val="left"/>
              <w:rPr>
                <w:sz w:val="16"/>
                <w:szCs w:val="16"/>
              </w:rPr>
            </w:pPr>
            <w:r w:rsidRPr="00687BD6">
              <w:rPr>
                <w:sz w:val="16"/>
                <w:szCs w:val="16"/>
              </w:rPr>
              <w:t>Proportion of low-risk</w:t>
            </w:r>
            <w:r w:rsidR="00A52852">
              <w:rPr>
                <w:sz w:val="16"/>
                <w:szCs w:val="16"/>
              </w:rPr>
              <w:t>*</w:t>
            </w:r>
            <w:r w:rsidRPr="00687BD6">
              <w:rPr>
                <w:sz w:val="16"/>
                <w:szCs w:val="16"/>
              </w:rPr>
              <w:t xml:space="preserve"> patients with positive urine test (positive urine leucocytes/leucocyte esterase or positive urine culture), but no UTI symptoms (e.g., no dysuria, no increased urinary urgency and frequency, no lower abdominal pain or discomfort or sometimes visible hematuria), given oral antibiotics</w:t>
            </w:r>
            <w:r w:rsidRPr="00687BD6">
              <w:rPr>
                <w:b/>
                <w:bCs/>
                <w:sz w:val="16"/>
                <w:szCs w:val="16"/>
              </w:rPr>
              <w:t>‡</w:t>
            </w:r>
          </w:p>
        </w:tc>
        <w:tc>
          <w:tcPr>
            <w:tcW w:w="567" w:type="dxa"/>
            <w:vAlign w:val="center"/>
          </w:tcPr>
          <w:p w14:paraId="13E6ABE5"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135D1B0E" w14:textId="77777777" w:rsidR="007412F8" w:rsidRPr="00687BD6" w:rsidRDefault="007412F8" w:rsidP="004F78B0">
            <w:pPr>
              <w:spacing w:line="240" w:lineRule="auto"/>
              <w:jc w:val="center"/>
              <w:rPr>
                <w:sz w:val="16"/>
                <w:szCs w:val="16"/>
              </w:rPr>
            </w:pPr>
            <w:r w:rsidRPr="00687BD6">
              <w:rPr>
                <w:sz w:val="16"/>
                <w:szCs w:val="16"/>
              </w:rPr>
              <w:t>E</w:t>
            </w:r>
          </w:p>
        </w:tc>
        <w:tc>
          <w:tcPr>
            <w:tcW w:w="709" w:type="dxa"/>
            <w:vAlign w:val="center"/>
          </w:tcPr>
          <w:p w14:paraId="75E397AA" w14:textId="77777777" w:rsidR="007412F8" w:rsidRPr="00687BD6" w:rsidRDefault="007412F8" w:rsidP="004F78B0">
            <w:pPr>
              <w:spacing w:line="240" w:lineRule="auto"/>
              <w:jc w:val="center"/>
              <w:rPr>
                <w:sz w:val="16"/>
                <w:szCs w:val="16"/>
              </w:rPr>
            </w:pPr>
            <w:r w:rsidRPr="00687BD6">
              <w:rPr>
                <w:sz w:val="16"/>
                <w:szCs w:val="16"/>
              </w:rPr>
              <w:t>70%</w:t>
            </w:r>
          </w:p>
        </w:tc>
        <w:tc>
          <w:tcPr>
            <w:tcW w:w="567" w:type="dxa"/>
            <w:vAlign w:val="center"/>
          </w:tcPr>
          <w:p w14:paraId="373E3BB6"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69857EC5" w14:textId="77777777" w:rsidR="007412F8" w:rsidRPr="00687BD6" w:rsidRDefault="007412F8" w:rsidP="004F78B0">
            <w:pPr>
              <w:spacing w:line="240" w:lineRule="auto"/>
              <w:jc w:val="center"/>
              <w:rPr>
                <w:sz w:val="16"/>
                <w:szCs w:val="16"/>
              </w:rPr>
            </w:pPr>
            <w:r w:rsidRPr="00687BD6">
              <w:rPr>
                <w:sz w:val="16"/>
                <w:szCs w:val="16"/>
              </w:rPr>
              <w:t>E</w:t>
            </w:r>
          </w:p>
        </w:tc>
        <w:tc>
          <w:tcPr>
            <w:tcW w:w="709" w:type="dxa"/>
            <w:vAlign w:val="center"/>
          </w:tcPr>
          <w:p w14:paraId="415D3A9C" w14:textId="77777777" w:rsidR="007412F8" w:rsidRPr="00687BD6" w:rsidRDefault="007412F8" w:rsidP="004F78B0">
            <w:pPr>
              <w:spacing w:line="240" w:lineRule="auto"/>
              <w:jc w:val="center"/>
              <w:rPr>
                <w:sz w:val="16"/>
                <w:szCs w:val="16"/>
              </w:rPr>
            </w:pPr>
            <w:r w:rsidRPr="00687BD6">
              <w:rPr>
                <w:sz w:val="16"/>
                <w:szCs w:val="16"/>
              </w:rPr>
              <w:t>70%</w:t>
            </w:r>
          </w:p>
        </w:tc>
      </w:tr>
      <w:tr w:rsidR="00C07BC6" w:rsidRPr="00687BD6" w14:paraId="6D075B13" w14:textId="77777777" w:rsidTr="008D6400">
        <w:tc>
          <w:tcPr>
            <w:tcW w:w="709" w:type="dxa"/>
            <w:vMerge/>
          </w:tcPr>
          <w:p w14:paraId="4503C296" w14:textId="77777777" w:rsidR="007412F8" w:rsidRPr="00687BD6" w:rsidRDefault="007412F8" w:rsidP="00687BD6">
            <w:pPr>
              <w:spacing w:line="240" w:lineRule="auto"/>
              <w:rPr>
                <w:sz w:val="16"/>
                <w:szCs w:val="16"/>
              </w:rPr>
            </w:pPr>
          </w:p>
        </w:tc>
        <w:tc>
          <w:tcPr>
            <w:tcW w:w="567" w:type="dxa"/>
            <w:vAlign w:val="center"/>
          </w:tcPr>
          <w:p w14:paraId="3C4CE004" w14:textId="77777777" w:rsidR="007412F8" w:rsidRPr="00687BD6" w:rsidRDefault="007412F8" w:rsidP="004F78B0">
            <w:pPr>
              <w:spacing w:line="240" w:lineRule="auto"/>
              <w:jc w:val="center"/>
              <w:rPr>
                <w:sz w:val="16"/>
                <w:szCs w:val="16"/>
              </w:rPr>
            </w:pPr>
            <w:r w:rsidRPr="00687BD6">
              <w:rPr>
                <w:sz w:val="16"/>
                <w:szCs w:val="16"/>
              </w:rPr>
              <w:t>20a</w:t>
            </w:r>
          </w:p>
        </w:tc>
        <w:tc>
          <w:tcPr>
            <w:tcW w:w="6662" w:type="dxa"/>
            <w:shd w:val="clear" w:color="auto" w:fill="FFFFFF" w:themeFill="background1"/>
            <w:vAlign w:val="center"/>
          </w:tcPr>
          <w:p w14:paraId="6C3AC607" w14:textId="14E7448C" w:rsidR="007412F8" w:rsidRPr="00687BD6" w:rsidRDefault="007412F8" w:rsidP="004F78B0">
            <w:pPr>
              <w:spacing w:line="240" w:lineRule="auto"/>
              <w:jc w:val="left"/>
              <w:rPr>
                <w:sz w:val="16"/>
                <w:szCs w:val="16"/>
              </w:rPr>
            </w:pPr>
            <w:r w:rsidRPr="00687BD6">
              <w:rPr>
                <w:sz w:val="16"/>
                <w:szCs w:val="16"/>
              </w:rPr>
              <w:t>Proportion of low-risk</w:t>
            </w:r>
            <w:r w:rsidR="008E6B44">
              <w:rPr>
                <w:sz w:val="16"/>
                <w:szCs w:val="16"/>
              </w:rPr>
              <w:t>*</w:t>
            </w:r>
            <w:r w:rsidRPr="00687BD6">
              <w:rPr>
                <w:sz w:val="16"/>
                <w:szCs w:val="16"/>
              </w:rPr>
              <w:t xml:space="preserve"> patients with positive urine test (positive urine leucocytes/leucocyte esterase or positive urine culture), but no UTI symptoms (e.g., no dysuria, no increased urinary urgency and frequency, no lower abdominal pain or discomfort or sometimes visible hematuria), given antibiotics</w:t>
            </w:r>
            <w:r w:rsidRPr="00687BD6">
              <w:rPr>
                <w:b/>
                <w:bCs/>
                <w:sz w:val="16"/>
                <w:szCs w:val="16"/>
              </w:rPr>
              <w:t>†</w:t>
            </w:r>
          </w:p>
        </w:tc>
        <w:tc>
          <w:tcPr>
            <w:tcW w:w="567" w:type="dxa"/>
            <w:vAlign w:val="center"/>
          </w:tcPr>
          <w:p w14:paraId="25CBECCF" w14:textId="77777777" w:rsidR="007412F8" w:rsidRPr="00687BD6" w:rsidRDefault="007412F8" w:rsidP="004F78B0">
            <w:pPr>
              <w:spacing w:line="240" w:lineRule="auto"/>
              <w:jc w:val="center"/>
              <w:rPr>
                <w:sz w:val="16"/>
                <w:szCs w:val="16"/>
              </w:rPr>
            </w:pPr>
            <w:r w:rsidRPr="00687BD6">
              <w:rPr>
                <w:sz w:val="16"/>
                <w:szCs w:val="16"/>
              </w:rPr>
              <w:t>9</w:t>
            </w:r>
          </w:p>
        </w:tc>
        <w:tc>
          <w:tcPr>
            <w:tcW w:w="567" w:type="dxa"/>
            <w:vAlign w:val="center"/>
          </w:tcPr>
          <w:p w14:paraId="1B489B31"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4B76600C" w14:textId="77777777" w:rsidR="007412F8" w:rsidRPr="00687BD6" w:rsidRDefault="007412F8" w:rsidP="004F78B0">
            <w:pPr>
              <w:spacing w:line="240" w:lineRule="auto"/>
              <w:jc w:val="center"/>
              <w:rPr>
                <w:sz w:val="16"/>
                <w:szCs w:val="16"/>
              </w:rPr>
            </w:pPr>
            <w:r w:rsidRPr="00687BD6">
              <w:rPr>
                <w:sz w:val="16"/>
                <w:szCs w:val="16"/>
              </w:rPr>
              <w:t>90%</w:t>
            </w:r>
          </w:p>
        </w:tc>
        <w:tc>
          <w:tcPr>
            <w:tcW w:w="567" w:type="dxa"/>
            <w:vAlign w:val="center"/>
          </w:tcPr>
          <w:p w14:paraId="174F7D82"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5F8EB333"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007D969B" w14:textId="77777777" w:rsidR="007412F8" w:rsidRPr="00687BD6" w:rsidRDefault="007412F8" w:rsidP="004F78B0">
            <w:pPr>
              <w:spacing w:line="240" w:lineRule="auto"/>
              <w:jc w:val="center"/>
              <w:rPr>
                <w:sz w:val="16"/>
                <w:szCs w:val="16"/>
              </w:rPr>
            </w:pPr>
            <w:r w:rsidRPr="00687BD6">
              <w:rPr>
                <w:sz w:val="16"/>
                <w:szCs w:val="16"/>
              </w:rPr>
              <w:t>90%</w:t>
            </w:r>
          </w:p>
        </w:tc>
      </w:tr>
      <w:tr w:rsidR="00C07BC6" w:rsidRPr="00687BD6" w14:paraId="6C2735C6" w14:textId="77777777" w:rsidTr="008D6400">
        <w:tc>
          <w:tcPr>
            <w:tcW w:w="709" w:type="dxa"/>
            <w:vMerge/>
          </w:tcPr>
          <w:p w14:paraId="4E3DCC88" w14:textId="77777777" w:rsidR="007412F8" w:rsidRPr="00687BD6" w:rsidRDefault="007412F8" w:rsidP="00687BD6">
            <w:pPr>
              <w:spacing w:line="240" w:lineRule="auto"/>
              <w:rPr>
                <w:sz w:val="16"/>
                <w:szCs w:val="16"/>
              </w:rPr>
            </w:pPr>
          </w:p>
        </w:tc>
        <w:tc>
          <w:tcPr>
            <w:tcW w:w="567" w:type="dxa"/>
            <w:vAlign w:val="center"/>
          </w:tcPr>
          <w:p w14:paraId="33DC60B0" w14:textId="77777777" w:rsidR="007412F8" w:rsidRPr="00687BD6" w:rsidRDefault="007412F8" w:rsidP="004F78B0">
            <w:pPr>
              <w:spacing w:line="240" w:lineRule="auto"/>
              <w:jc w:val="center"/>
              <w:rPr>
                <w:sz w:val="16"/>
                <w:szCs w:val="16"/>
              </w:rPr>
            </w:pPr>
            <w:r w:rsidRPr="00687BD6">
              <w:rPr>
                <w:sz w:val="16"/>
                <w:szCs w:val="16"/>
              </w:rPr>
              <w:t>21</w:t>
            </w:r>
          </w:p>
        </w:tc>
        <w:tc>
          <w:tcPr>
            <w:tcW w:w="6662" w:type="dxa"/>
            <w:shd w:val="clear" w:color="auto" w:fill="FFFFFF" w:themeFill="background1"/>
            <w:vAlign w:val="center"/>
          </w:tcPr>
          <w:p w14:paraId="28760D44" w14:textId="681BF483" w:rsidR="007412F8" w:rsidRPr="00687BD6" w:rsidRDefault="007412F8" w:rsidP="004F78B0">
            <w:pPr>
              <w:spacing w:line="240" w:lineRule="auto"/>
              <w:jc w:val="left"/>
              <w:rPr>
                <w:sz w:val="16"/>
                <w:szCs w:val="16"/>
              </w:rPr>
            </w:pPr>
            <w:r w:rsidRPr="00687BD6">
              <w:rPr>
                <w:sz w:val="16"/>
                <w:szCs w:val="16"/>
              </w:rPr>
              <w:t xml:space="preserve">Proportion of patients presenting with </w:t>
            </w:r>
            <w:r w:rsidR="008E6B44">
              <w:rPr>
                <w:sz w:val="16"/>
                <w:szCs w:val="16"/>
              </w:rPr>
              <w:t>L</w:t>
            </w:r>
            <w:r w:rsidRPr="00687BD6">
              <w:rPr>
                <w:sz w:val="16"/>
                <w:szCs w:val="16"/>
              </w:rPr>
              <w:t>UTI given any oral Access antibiotic</w:t>
            </w:r>
            <w:r w:rsidRPr="00687BD6">
              <w:rPr>
                <w:b/>
                <w:bCs/>
                <w:sz w:val="16"/>
                <w:szCs w:val="16"/>
              </w:rPr>
              <w:t>‡</w:t>
            </w:r>
          </w:p>
        </w:tc>
        <w:tc>
          <w:tcPr>
            <w:tcW w:w="567" w:type="dxa"/>
            <w:vAlign w:val="center"/>
          </w:tcPr>
          <w:p w14:paraId="53E7AE90"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7A20A160"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50DBE2A0" w14:textId="77777777" w:rsidR="007412F8" w:rsidRPr="00687BD6" w:rsidRDefault="007412F8" w:rsidP="004F78B0">
            <w:pPr>
              <w:spacing w:line="240" w:lineRule="auto"/>
              <w:jc w:val="center"/>
              <w:rPr>
                <w:sz w:val="16"/>
                <w:szCs w:val="16"/>
              </w:rPr>
            </w:pPr>
            <w:r w:rsidRPr="00687BD6">
              <w:rPr>
                <w:sz w:val="16"/>
                <w:szCs w:val="16"/>
              </w:rPr>
              <w:t>80%</w:t>
            </w:r>
          </w:p>
        </w:tc>
        <w:tc>
          <w:tcPr>
            <w:tcW w:w="567" w:type="dxa"/>
            <w:vAlign w:val="center"/>
          </w:tcPr>
          <w:p w14:paraId="1E91EC9E"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5F2F30BB"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306D4CC7" w14:textId="77777777" w:rsidR="007412F8" w:rsidRPr="00687BD6" w:rsidRDefault="007412F8" w:rsidP="004F78B0">
            <w:pPr>
              <w:spacing w:line="240" w:lineRule="auto"/>
              <w:jc w:val="center"/>
              <w:rPr>
                <w:sz w:val="16"/>
                <w:szCs w:val="16"/>
              </w:rPr>
            </w:pPr>
            <w:r w:rsidRPr="00687BD6">
              <w:rPr>
                <w:sz w:val="16"/>
                <w:szCs w:val="16"/>
              </w:rPr>
              <w:t>100%</w:t>
            </w:r>
          </w:p>
        </w:tc>
      </w:tr>
      <w:tr w:rsidR="00C07BC6" w:rsidRPr="00687BD6" w14:paraId="38A0DE3A" w14:textId="77777777" w:rsidTr="008D6400">
        <w:tc>
          <w:tcPr>
            <w:tcW w:w="709" w:type="dxa"/>
            <w:vMerge/>
          </w:tcPr>
          <w:p w14:paraId="3746D1B6" w14:textId="77777777" w:rsidR="007412F8" w:rsidRPr="00687BD6" w:rsidRDefault="007412F8" w:rsidP="00687BD6">
            <w:pPr>
              <w:spacing w:line="240" w:lineRule="auto"/>
              <w:rPr>
                <w:sz w:val="16"/>
                <w:szCs w:val="16"/>
              </w:rPr>
            </w:pPr>
          </w:p>
        </w:tc>
        <w:tc>
          <w:tcPr>
            <w:tcW w:w="567" w:type="dxa"/>
            <w:vAlign w:val="center"/>
          </w:tcPr>
          <w:p w14:paraId="32E7F26F" w14:textId="77777777" w:rsidR="007412F8" w:rsidRPr="00687BD6" w:rsidRDefault="007412F8" w:rsidP="004F78B0">
            <w:pPr>
              <w:spacing w:line="240" w:lineRule="auto"/>
              <w:jc w:val="center"/>
              <w:rPr>
                <w:sz w:val="16"/>
                <w:szCs w:val="16"/>
              </w:rPr>
            </w:pPr>
            <w:r w:rsidRPr="00687BD6">
              <w:rPr>
                <w:sz w:val="16"/>
                <w:szCs w:val="16"/>
              </w:rPr>
              <w:t>21a</w:t>
            </w:r>
          </w:p>
        </w:tc>
        <w:tc>
          <w:tcPr>
            <w:tcW w:w="6662" w:type="dxa"/>
            <w:vAlign w:val="center"/>
          </w:tcPr>
          <w:p w14:paraId="074C5276" w14:textId="676867A4" w:rsidR="007412F8" w:rsidRPr="00687BD6" w:rsidRDefault="007412F8" w:rsidP="004F78B0">
            <w:pPr>
              <w:spacing w:line="240" w:lineRule="auto"/>
              <w:jc w:val="left"/>
              <w:rPr>
                <w:sz w:val="16"/>
                <w:szCs w:val="16"/>
              </w:rPr>
            </w:pPr>
            <w:r w:rsidRPr="00687BD6">
              <w:rPr>
                <w:sz w:val="16"/>
                <w:szCs w:val="16"/>
              </w:rPr>
              <w:t xml:space="preserve">Proportion of patients presenting with </w:t>
            </w:r>
            <w:r w:rsidR="008E6B44">
              <w:rPr>
                <w:sz w:val="16"/>
                <w:szCs w:val="16"/>
              </w:rPr>
              <w:t>L</w:t>
            </w:r>
            <w:r w:rsidRPr="00687BD6">
              <w:rPr>
                <w:sz w:val="16"/>
                <w:szCs w:val="16"/>
              </w:rPr>
              <w:t>UTI given any Access antibiotic</w:t>
            </w:r>
            <w:r w:rsidRPr="00687BD6">
              <w:rPr>
                <w:b/>
                <w:bCs/>
                <w:sz w:val="16"/>
                <w:szCs w:val="16"/>
              </w:rPr>
              <w:t>†</w:t>
            </w:r>
          </w:p>
        </w:tc>
        <w:tc>
          <w:tcPr>
            <w:tcW w:w="567" w:type="dxa"/>
            <w:vAlign w:val="center"/>
          </w:tcPr>
          <w:p w14:paraId="16042CF2"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393CFC9B"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73B3A517" w14:textId="77777777" w:rsidR="007412F8" w:rsidRPr="00687BD6" w:rsidRDefault="007412F8" w:rsidP="004F78B0">
            <w:pPr>
              <w:spacing w:line="240" w:lineRule="auto"/>
              <w:jc w:val="center"/>
              <w:rPr>
                <w:sz w:val="16"/>
                <w:szCs w:val="16"/>
              </w:rPr>
            </w:pPr>
            <w:r w:rsidRPr="00687BD6">
              <w:rPr>
                <w:sz w:val="16"/>
                <w:szCs w:val="16"/>
              </w:rPr>
              <w:t>100%</w:t>
            </w:r>
          </w:p>
        </w:tc>
        <w:tc>
          <w:tcPr>
            <w:tcW w:w="567" w:type="dxa"/>
            <w:vAlign w:val="center"/>
          </w:tcPr>
          <w:p w14:paraId="4DD15AF1"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739AA57E"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0ECBB9BA" w14:textId="77777777" w:rsidR="007412F8" w:rsidRPr="00687BD6" w:rsidRDefault="007412F8" w:rsidP="004F78B0">
            <w:pPr>
              <w:spacing w:line="240" w:lineRule="auto"/>
              <w:jc w:val="center"/>
              <w:rPr>
                <w:sz w:val="16"/>
                <w:szCs w:val="16"/>
              </w:rPr>
            </w:pPr>
            <w:r w:rsidRPr="00687BD6">
              <w:rPr>
                <w:sz w:val="16"/>
                <w:szCs w:val="16"/>
              </w:rPr>
              <w:t>100%</w:t>
            </w:r>
          </w:p>
        </w:tc>
      </w:tr>
      <w:tr w:rsidR="00C07BC6" w:rsidRPr="00687BD6" w14:paraId="62F7A593" w14:textId="77777777" w:rsidTr="008D6400">
        <w:tc>
          <w:tcPr>
            <w:tcW w:w="709" w:type="dxa"/>
            <w:vMerge/>
          </w:tcPr>
          <w:p w14:paraId="0E7A1FC1" w14:textId="77777777" w:rsidR="007412F8" w:rsidRPr="00687BD6" w:rsidRDefault="007412F8" w:rsidP="00687BD6">
            <w:pPr>
              <w:spacing w:line="240" w:lineRule="auto"/>
              <w:rPr>
                <w:sz w:val="16"/>
                <w:szCs w:val="16"/>
              </w:rPr>
            </w:pPr>
          </w:p>
        </w:tc>
        <w:tc>
          <w:tcPr>
            <w:tcW w:w="567" w:type="dxa"/>
            <w:vAlign w:val="center"/>
          </w:tcPr>
          <w:p w14:paraId="7E20E9EE" w14:textId="77777777" w:rsidR="007412F8" w:rsidRPr="00687BD6" w:rsidRDefault="007412F8" w:rsidP="004F78B0">
            <w:pPr>
              <w:spacing w:line="240" w:lineRule="auto"/>
              <w:jc w:val="center"/>
              <w:rPr>
                <w:sz w:val="16"/>
                <w:szCs w:val="16"/>
              </w:rPr>
            </w:pPr>
            <w:r w:rsidRPr="00687BD6">
              <w:rPr>
                <w:sz w:val="16"/>
                <w:szCs w:val="16"/>
              </w:rPr>
              <w:t>22</w:t>
            </w:r>
          </w:p>
        </w:tc>
        <w:tc>
          <w:tcPr>
            <w:tcW w:w="6662" w:type="dxa"/>
            <w:vAlign w:val="center"/>
          </w:tcPr>
          <w:p w14:paraId="4FBB3FDA" w14:textId="0ACDD372" w:rsidR="007412F8" w:rsidRPr="00687BD6" w:rsidRDefault="007412F8" w:rsidP="004F78B0">
            <w:pPr>
              <w:spacing w:line="240" w:lineRule="auto"/>
              <w:jc w:val="left"/>
              <w:rPr>
                <w:sz w:val="16"/>
                <w:szCs w:val="16"/>
              </w:rPr>
            </w:pPr>
            <w:r w:rsidRPr="00687BD6">
              <w:rPr>
                <w:sz w:val="16"/>
                <w:szCs w:val="16"/>
              </w:rPr>
              <w:t xml:space="preserve">Proportion of patients with </w:t>
            </w:r>
            <w:r w:rsidR="008E6B44">
              <w:rPr>
                <w:sz w:val="16"/>
                <w:szCs w:val="16"/>
              </w:rPr>
              <w:t>L</w:t>
            </w:r>
            <w:r w:rsidRPr="00687BD6">
              <w:rPr>
                <w:sz w:val="16"/>
                <w:szCs w:val="16"/>
              </w:rPr>
              <w:t>UTI given oral Watch antibiotics</w:t>
            </w:r>
            <w:r w:rsidRPr="00687BD6">
              <w:rPr>
                <w:b/>
                <w:bCs/>
                <w:sz w:val="16"/>
                <w:szCs w:val="16"/>
              </w:rPr>
              <w:t>₶</w:t>
            </w:r>
            <w:r w:rsidRPr="00687BD6">
              <w:rPr>
                <w:sz w:val="16"/>
                <w:szCs w:val="16"/>
              </w:rPr>
              <w:t xml:space="preserve"> </w:t>
            </w:r>
          </w:p>
        </w:tc>
        <w:tc>
          <w:tcPr>
            <w:tcW w:w="567" w:type="dxa"/>
            <w:vAlign w:val="center"/>
          </w:tcPr>
          <w:p w14:paraId="5D8D79B7"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1783546C"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244A7F24" w14:textId="77777777" w:rsidR="007412F8" w:rsidRPr="00687BD6" w:rsidRDefault="007412F8" w:rsidP="004F78B0">
            <w:pPr>
              <w:spacing w:line="240" w:lineRule="auto"/>
              <w:jc w:val="center"/>
              <w:rPr>
                <w:sz w:val="16"/>
                <w:szCs w:val="16"/>
              </w:rPr>
            </w:pPr>
            <w:r w:rsidRPr="00687BD6">
              <w:rPr>
                <w:sz w:val="16"/>
                <w:szCs w:val="16"/>
              </w:rPr>
              <w:t>90%</w:t>
            </w:r>
          </w:p>
        </w:tc>
        <w:tc>
          <w:tcPr>
            <w:tcW w:w="567" w:type="dxa"/>
            <w:vAlign w:val="center"/>
          </w:tcPr>
          <w:p w14:paraId="58FC3BA1"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5F886820"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0F0F8F43" w14:textId="77777777" w:rsidR="007412F8" w:rsidRPr="00687BD6" w:rsidRDefault="007412F8" w:rsidP="004F78B0">
            <w:pPr>
              <w:spacing w:line="240" w:lineRule="auto"/>
              <w:jc w:val="center"/>
              <w:rPr>
                <w:sz w:val="16"/>
                <w:szCs w:val="16"/>
              </w:rPr>
            </w:pPr>
            <w:r w:rsidRPr="00687BD6">
              <w:rPr>
                <w:sz w:val="16"/>
                <w:szCs w:val="16"/>
              </w:rPr>
              <w:t>100%</w:t>
            </w:r>
          </w:p>
        </w:tc>
      </w:tr>
      <w:tr w:rsidR="00C07BC6" w:rsidRPr="00687BD6" w14:paraId="7C130CA2" w14:textId="77777777" w:rsidTr="008D6400">
        <w:tc>
          <w:tcPr>
            <w:tcW w:w="709" w:type="dxa"/>
            <w:vMerge/>
          </w:tcPr>
          <w:p w14:paraId="5197E6FF" w14:textId="77777777" w:rsidR="007412F8" w:rsidRPr="00687BD6" w:rsidRDefault="007412F8" w:rsidP="00687BD6">
            <w:pPr>
              <w:spacing w:line="240" w:lineRule="auto"/>
              <w:rPr>
                <w:sz w:val="16"/>
                <w:szCs w:val="16"/>
              </w:rPr>
            </w:pPr>
          </w:p>
        </w:tc>
        <w:tc>
          <w:tcPr>
            <w:tcW w:w="567" w:type="dxa"/>
            <w:vAlign w:val="center"/>
          </w:tcPr>
          <w:p w14:paraId="4B85A25F" w14:textId="77777777" w:rsidR="007412F8" w:rsidRPr="00687BD6" w:rsidRDefault="007412F8" w:rsidP="004F78B0">
            <w:pPr>
              <w:spacing w:line="240" w:lineRule="auto"/>
              <w:jc w:val="center"/>
              <w:rPr>
                <w:sz w:val="16"/>
                <w:szCs w:val="16"/>
              </w:rPr>
            </w:pPr>
            <w:r w:rsidRPr="00687BD6">
              <w:rPr>
                <w:sz w:val="16"/>
                <w:szCs w:val="16"/>
              </w:rPr>
              <w:t>23</w:t>
            </w:r>
          </w:p>
        </w:tc>
        <w:tc>
          <w:tcPr>
            <w:tcW w:w="6662" w:type="dxa"/>
            <w:vAlign w:val="center"/>
          </w:tcPr>
          <w:p w14:paraId="60B2F944" w14:textId="6F344FD3" w:rsidR="007412F8" w:rsidRPr="00687BD6" w:rsidRDefault="007412F8" w:rsidP="004F78B0">
            <w:pPr>
              <w:spacing w:line="240" w:lineRule="auto"/>
              <w:jc w:val="left"/>
              <w:rPr>
                <w:sz w:val="16"/>
                <w:szCs w:val="16"/>
              </w:rPr>
            </w:pPr>
            <w:r w:rsidRPr="00687BD6">
              <w:rPr>
                <w:sz w:val="16"/>
                <w:szCs w:val="16"/>
              </w:rPr>
              <w:t xml:space="preserve">Proportion of patients presenting with </w:t>
            </w:r>
            <w:r w:rsidR="008E6B44">
              <w:rPr>
                <w:sz w:val="16"/>
                <w:szCs w:val="16"/>
              </w:rPr>
              <w:t>L</w:t>
            </w:r>
            <w:r w:rsidRPr="00687BD6">
              <w:rPr>
                <w:sz w:val="16"/>
                <w:szCs w:val="16"/>
              </w:rPr>
              <w:t>UTI given any oral Watch antibiotic</w:t>
            </w:r>
            <w:r w:rsidRPr="00687BD6">
              <w:rPr>
                <w:b/>
                <w:bCs/>
                <w:sz w:val="16"/>
                <w:szCs w:val="16"/>
              </w:rPr>
              <w:t>₶</w:t>
            </w:r>
          </w:p>
        </w:tc>
        <w:tc>
          <w:tcPr>
            <w:tcW w:w="567" w:type="dxa"/>
            <w:vAlign w:val="center"/>
          </w:tcPr>
          <w:p w14:paraId="4D118EFA"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35A6EE87"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6019857C" w14:textId="77777777" w:rsidR="007412F8" w:rsidRPr="00687BD6" w:rsidRDefault="007412F8" w:rsidP="004F78B0">
            <w:pPr>
              <w:spacing w:line="240" w:lineRule="auto"/>
              <w:jc w:val="center"/>
              <w:rPr>
                <w:sz w:val="16"/>
                <w:szCs w:val="16"/>
              </w:rPr>
            </w:pPr>
            <w:r w:rsidRPr="00687BD6">
              <w:rPr>
                <w:sz w:val="16"/>
                <w:szCs w:val="16"/>
              </w:rPr>
              <w:t>90%</w:t>
            </w:r>
          </w:p>
        </w:tc>
        <w:tc>
          <w:tcPr>
            <w:tcW w:w="567" w:type="dxa"/>
            <w:vAlign w:val="center"/>
          </w:tcPr>
          <w:p w14:paraId="4E22DB16"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2A3BAA31"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4DFCF36A" w14:textId="77777777" w:rsidR="007412F8" w:rsidRPr="00687BD6" w:rsidRDefault="007412F8" w:rsidP="004F78B0">
            <w:pPr>
              <w:spacing w:line="240" w:lineRule="auto"/>
              <w:jc w:val="center"/>
              <w:rPr>
                <w:sz w:val="16"/>
                <w:szCs w:val="16"/>
              </w:rPr>
            </w:pPr>
            <w:r w:rsidRPr="00687BD6">
              <w:rPr>
                <w:sz w:val="16"/>
                <w:szCs w:val="16"/>
              </w:rPr>
              <w:t>90%</w:t>
            </w:r>
          </w:p>
        </w:tc>
      </w:tr>
      <w:tr w:rsidR="00C07BC6" w:rsidRPr="00687BD6" w14:paraId="2B053D46" w14:textId="77777777" w:rsidTr="008D6400">
        <w:tc>
          <w:tcPr>
            <w:tcW w:w="709" w:type="dxa"/>
            <w:vMerge/>
          </w:tcPr>
          <w:p w14:paraId="01D8AEF9" w14:textId="77777777" w:rsidR="007412F8" w:rsidRPr="00687BD6" w:rsidRDefault="007412F8" w:rsidP="00687BD6">
            <w:pPr>
              <w:spacing w:line="240" w:lineRule="auto"/>
              <w:rPr>
                <w:sz w:val="16"/>
                <w:szCs w:val="16"/>
              </w:rPr>
            </w:pPr>
          </w:p>
        </w:tc>
        <w:tc>
          <w:tcPr>
            <w:tcW w:w="567" w:type="dxa"/>
            <w:vAlign w:val="center"/>
          </w:tcPr>
          <w:p w14:paraId="70BD2D58" w14:textId="77777777" w:rsidR="007412F8" w:rsidRPr="00687BD6" w:rsidRDefault="007412F8" w:rsidP="004F78B0">
            <w:pPr>
              <w:spacing w:line="240" w:lineRule="auto"/>
              <w:jc w:val="center"/>
              <w:rPr>
                <w:sz w:val="16"/>
                <w:szCs w:val="16"/>
              </w:rPr>
            </w:pPr>
            <w:r w:rsidRPr="00687BD6">
              <w:rPr>
                <w:sz w:val="16"/>
                <w:szCs w:val="16"/>
              </w:rPr>
              <w:t>24</w:t>
            </w:r>
          </w:p>
        </w:tc>
        <w:tc>
          <w:tcPr>
            <w:tcW w:w="6662" w:type="dxa"/>
            <w:vAlign w:val="center"/>
          </w:tcPr>
          <w:p w14:paraId="24816D3A" w14:textId="70AD39FC" w:rsidR="007412F8" w:rsidRPr="00687BD6" w:rsidRDefault="007412F8" w:rsidP="004F78B0">
            <w:pPr>
              <w:spacing w:line="240" w:lineRule="auto"/>
              <w:jc w:val="left"/>
              <w:rPr>
                <w:sz w:val="16"/>
                <w:szCs w:val="16"/>
              </w:rPr>
            </w:pPr>
            <w:r w:rsidRPr="00687BD6">
              <w:rPr>
                <w:sz w:val="16"/>
                <w:szCs w:val="16"/>
              </w:rPr>
              <w:t xml:space="preserve">Proportion of patients presenting with </w:t>
            </w:r>
            <w:r w:rsidR="004A7F94">
              <w:rPr>
                <w:sz w:val="16"/>
                <w:szCs w:val="16"/>
              </w:rPr>
              <w:t>L</w:t>
            </w:r>
            <w:r w:rsidRPr="00687BD6">
              <w:rPr>
                <w:sz w:val="16"/>
                <w:szCs w:val="16"/>
              </w:rPr>
              <w:t>UTIs given the duration in days of oral antibiotics recommended in the WHO AWaRe Antibiotic Book</w:t>
            </w:r>
            <w:r w:rsidRPr="00687BD6">
              <w:rPr>
                <w:b/>
                <w:bCs/>
                <w:sz w:val="16"/>
                <w:szCs w:val="16"/>
              </w:rPr>
              <w:t>‡</w:t>
            </w:r>
          </w:p>
        </w:tc>
        <w:tc>
          <w:tcPr>
            <w:tcW w:w="567" w:type="dxa"/>
            <w:vAlign w:val="center"/>
          </w:tcPr>
          <w:p w14:paraId="144815FA" w14:textId="77777777" w:rsidR="007412F8" w:rsidRPr="00687BD6" w:rsidRDefault="007412F8" w:rsidP="004F78B0">
            <w:pPr>
              <w:spacing w:line="240" w:lineRule="auto"/>
              <w:jc w:val="center"/>
              <w:rPr>
                <w:sz w:val="16"/>
                <w:szCs w:val="16"/>
              </w:rPr>
            </w:pPr>
            <w:r w:rsidRPr="00687BD6">
              <w:rPr>
                <w:sz w:val="16"/>
                <w:szCs w:val="16"/>
              </w:rPr>
              <w:t>9</w:t>
            </w:r>
          </w:p>
        </w:tc>
        <w:tc>
          <w:tcPr>
            <w:tcW w:w="567" w:type="dxa"/>
            <w:vAlign w:val="center"/>
          </w:tcPr>
          <w:p w14:paraId="2C7FCB5F" w14:textId="77777777" w:rsidR="007412F8" w:rsidRPr="00687BD6" w:rsidRDefault="007412F8" w:rsidP="004F78B0">
            <w:pPr>
              <w:spacing w:line="240" w:lineRule="auto"/>
              <w:jc w:val="center"/>
              <w:rPr>
                <w:sz w:val="16"/>
                <w:szCs w:val="16"/>
              </w:rPr>
            </w:pPr>
            <w:r w:rsidRPr="00687BD6">
              <w:rPr>
                <w:sz w:val="16"/>
                <w:szCs w:val="16"/>
              </w:rPr>
              <w:t>E</w:t>
            </w:r>
          </w:p>
        </w:tc>
        <w:tc>
          <w:tcPr>
            <w:tcW w:w="709" w:type="dxa"/>
            <w:vAlign w:val="center"/>
          </w:tcPr>
          <w:p w14:paraId="3DA9D427" w14:textId="77777777" w:rsidR="007412F8" w:rsidRPr="00687BD6" w:rsidRDefault="007412F8" w:rsidP="004F78B0">
            <w:pPr>
              <w:spacing w:line="240" w:lineRule="auto"/>
              <w:jc w:val="center"/>
              <w:rPr>
                <w:sz w:val="16"/>
                <w:szCs w:val="16"/>
              </w:rPr>
            </w:pPr>
            <w:r w:rsidRPr="00687BD6">
              <w:rPr>
                <w:sz w:val="16"/>
                <w:szCs w:val="16"/>
              </w:rPr>
              <w:t>60%</w:t>
            </w:r>
          </w:p>
        </w:tc>
        <w:tc>
          <w:tcPr>
            <w:tcW w:w="567" w:type="dxa"/>
            <w:vAlign w:val="center"/>
          </w:tcPr>
          <w:p w14:paraId="373CB170"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2E6FE44A"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1595B31E" w14:textId="77777777" w:rsidR="007412F8" w:rsidRPr="00687BD6" w:rsidRDefault="007412F8" w:rsidP="004F78B0">
            <w:pPr>
              <w:spacing w:line="240" w:lineRule="auto"/>
              <w:jc w:val="center"/>
              <w:rPr>
                <w:sz w:val="16"/>
                <w:szCs w:val="16"/>
              </w:rPr>
            </w:pPr>
            <w:r w:rsidRPr="00687BD6">
              <w:rPr>
                <w:sz w:val="16"/>
                <w:szCs w:val="16"/>
              </w:rPr>
              <w:t>100%</w:t>
            </w:r>
          </w:p>
        </w:tc>
      </w:tr>
      <w:tr w:rsidR="00C07BC6" w:rsidRPr="00687BD6" w14:paraId="6E0585D6" w14:textId="77777777" w:rsidTr="008D6400">
        <w:tc>
          <w:tcPr>
            <w:tcW w:w="709" w:type="dxa"/>
            <w:vMerge/>
          </w:tcPr>
          <w:p w14:paraId="030C62D3" w14:textId="77777777" w:rsidR="007412F8" w:rsidRPr="00687BD6" w:rsidRDefault="007412F8" w:rsidP="00687BD6">
            <w:pPr>
              <w:spacing w:line="240" w:lineRule="auto"/>
              <w:rPr>
                <w:sz w:val="16"/>
                <w:szCs w:val="16"/>
              </w:rPr>
            </w:pPr>
          </w:p>
        </w:tc>
        <w:tc>
          <w:tcPr>
            <w:tcW w:w="567" w:type="dxa"/>
            <w:vAlign w:val="center"/>
          </w:tcPr>
          <w:p w14:paraId="0D37FB91" w14:textId="77777777" w:rsidR="007412F8" w:rsidRPr="00687BD6" w:rsidRDefault="007412F8" w:rsidP="004F78B0">
            <w:pPr>
              <w:spacing w:line="240" w:lineRule="auto"/>
              <w:jc w:val="center"/>
              <w:rPr>
                <w:sz w:val="16"/>
                <w:szCs w:val="16"/>
              </w:rPr>
            </w:pPr>
            <w:r w:rsidRPr="00687BD6">
              <w:rPr>
                <w:sz w:val="16"/>
                <w:szCs w:val="16"/>
              </w:rPr>
              <w:t>24a</w:t>
            </w:r>
          </w:p>
        </w:tc>
        <w:tc>
          <w:tcPr>
            <w:tcW w:w="6662" w:type="dxa"/>
            <w:vAlign w:val="center"/>
          </w:tcPr>
          <w:p w14:paraId="37BAA506" w14:textId="341A1477" w:rsidR="007412F8" w:rsidRPr="00687BD6" w:rsidRDefault="007412F8" w:rsidP="004F78B0">
            <w:pPr>
              <w:spacing w:line="240" w:lineRule="auto"/>
              <w:jc w:val="left"/>
              <w:rPr>
                <w:sz w:val="16"/>
                <w:szCs w:val="16"/>
              </w:rPr>
            </w:pPr>
            <w:r w:rsidRPr="00687BD6">
              <w:rPr>
                <w:sz w:val="16"/>
                <w:szCs w:val="16"/>
              </w:rPr>
              <w:t xml:space="preserve">Proportion of patients presenting with </w:t>
            </w:r>
            <w:r w:rsidR="004A7F94">
              <w:rPr>
                <w:sz w:val="16"/>
                <w:szCs w:val="16"/>
              </w:rPr>
              <w:t>L</w:t>
            </w:r>
            <w:r w:rsidRPr="00687BD6">
              <w:rPr>
                <w:sz w:val="16"/>
                <w:szCs w:val="16"/>
              </w:rPr>
              <w:t>UTIs given the duration in days of antibiotics recommended in the WHO AWaRe Antibiotic Book</w:t>
            </w:r>
            <w:r w:rsidRPr="00687BD6">
              <w:rPr>
                <w:b/>
                <w:bCs/>
                <w:sz w:val="16"/>
                <w:szCs w:val="16"/>
              </w:rPr>
              <w:t>†</w:t>
            </w:r>
          </w:p>
        </w:tc>
        <w:tc>
          <w:tcPr>
            <w:tcW w:w="567" w:type="dxa"/>
            <w:vAlign w:val="center"/>
          </w:tcPr>
          <w:p w14:paraId="0E599C42" w14:textId="77777777" w:rsidR="007412F8" w:rsidRPr="00687BD6" w:rsidRDefault="007412F8" w:rsidP="004F78B0">
            <w:pPr>
              <w:spacing w:line="240" w:lineRule="auto"/>
              <w:jc w:val="center"/>
              <w:rPr>
                <w:sz w:val="16"/>
                <w:szCs w:val="16"/>
              </w:rPr>
            </w:pPr>
            <w:r w:rsidRPr="00687BD6">
              <w:rPr>
                <w:sz w:val="16"/>
                <w:szCs w:val="16"/>
              </w:rPr>
              <w:t>9</w:t>
            </w:r>
          </w:p>
        </w:tc>
        <w:tc>
          <w:tcPr>
            <w:tcW w:w="567" w:type="dxa"/>
            <w:vAlign w:val="center"/>
          </w:tcPr>
          <w:p w14:paraId="1ECC464D"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1DB1C5E7" w14:textId="77777777" w:rsidR="007412F8" w:rsidRPr="00687BD6" w:rsidRDefault="007412F8" w:rsidP="004F78B0">
            <w:pPr>
              <w:spacing w:line="240" w:lineRule="auto"/>
              <w:jc w:val="center"/>
              <w:rPr>
                <w:sz w:val="16"/>
                <w:szCs w:val="16"/>
              </w:rPr>
            </w:pPr>
            <w:r w:rsidRPr="00687BD6">
              <w:rPr>
                <w:sz w:val="16"/>
                <w:szCs w:val="16"/>
              </w:rPr>
              <w:t>100%</w:t>
            </w:r>
          </w:p>
        </w:tc>
        <w:tc>
          <w:tcPr>
            <w:tcW w:w="567" w:type="dxa"/>
            <w:vAlign w:val="center"/>
          </w:tcPr>
          <w:p w14:paraId="4801DECC"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0ACD1493"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789B046B" w14:textId="77777777" w:rsidR="007412F8" w:rsidRPr="00687BD6" w:rsidRDefault="007412F8" w:rsidP="004F78B0">
            <w:pPr>
              <w:spacing w:line="240" w:lineRule="auto"/>
              <w:jc w:val="center"/>
              <w:rPr>
                <w:sz w:val="16"/>
                <w:szCs w:val="16"/>
              </w:rPr>
            </w:pPr>
            <w:r w:rsidRPr="00687BD6">
              <w:rPr>
                <w:sz w:val="16"/>
                <w:szCs w:val="16"/>
              </w:rPr>
              <w:t>100%</w:t>
            </w:r>
          </w:p>
        </w:tc>
      </w:tr>
      <w:tr w:rsidR="00C07BC6" w:rsidRPr="00687BD6" w14:paraId="0DB93426" w14:textId="77777777" w:rsidTr="008D6400">
        <w:tc>
          <w:tcPr>
            <w:tcW w:w="709" w:type="dxa"/>
            <w:vMerge/>
          </w:tcPr>
          <w:p w14:paraId="64EC6471" w14:textId="77777777" w:rsidR="007412F8" w:rsidRPr="00687BD6" w:rsidRDefault="007412F8" w:rsidP="00687BD6">
            <w:pPr>
              <w:spacing w:line="240" w:lineRule="auto"/>
              <w:rPr>
                <w:sz w:val="16"/>
                <w:szCs w:val="16"/>
              </w:rPr>
            </w:pPr>
          </w:p>
        </w:tc>
        <w:tc>
          <w:tcPr>
            <w:tcW w:w="567" w:type="dxa"/>
            <w:vAlign w:val="center"/>
          </w:tcPr>
          <w:p w14:paraId="5BD62D13" w14:textId="77777777" w:rsidR="007412F8" w:rsidRPr="00687BD6" w:rsidRDefault="007412F8" w:rsidP="004F78B0">
            <w:pPr>
              <w:spacing w:line="240" w:lineRule="auto"/>
              <w:jc w:val="center"/>
              <w:rPr>
                <w:sz w:val="16"/>
                <w:szCs w:val="16"/>
              </w:rPr>
            </w:pPr>
            <w:r w:rsidRPr="00687BD6">
              <w:rPr>
                <w:sz w:val="16"/>
                <w:szCs w:val="16"/>
              </w:rPr>
              <w:t>25</w:t>
            </w:r>
          </w:p>
        </w:tc>
        <w:tc>
          <w:tcPr>
            <w:tcW w:w="6662" w:type="dxa"/>
            <w:vAlign w:val="center"/>
          </w:tcPr>
          <w:p w14:paraId="428C0C91" w14:textId="40DE8887" w:rsidR="007412F8" w:rsidRPr="00687BD6" w:rsidRDefault="007412F8" w:rsidP="004F78B0">
            <w:pPr>
              <w:spacing w:line="240" w:lineRule="auto"/>
              <w:jc w:val="left"/>
              <w:rPr>
                <w:sz w:val="16"/>
                <w:szCs w:val="16"/>
              </w:rPr>
            </w:pPr>
            <w:r w:rsidRPr="00687BD6">
              <w:rPr>
                <w:sz w:val="16"/>
                <w:szCs w:val="16"/>
              </w:rPr>
              <w:t xml:space="preserve">Proportion of patients presenting with </w:t>
            </w:r>
            <w:r w:rsidR="004A7F94">
              <w:rPr>
                <w:sz w:val="16"/>
                <w:szCs w:val="16"/>
              </w:rPr>
              <w:t>L</w:t>
            </w:r>
            <w:r w:rsidRPr="00687BD6">
              <w:rPr>
                <w:sz w:val="16"/>
                <w:szCs w:val="16"/>
              </w:rPr>
              <w:t>UTI prescribed the total daily dose of oral antibiotics recommended in the WHO AWaRe Antibiotic Book</w:t>
            </w:r>
          </w:p>
        </w:tc>
        <w:tc>
          <w:tcPr>
            <w:tcW w:w="567" w:type="dxa"/>
            <w:vAlign w:val="center"/>
          </w:tcPr>
          <w:p w14:paraId="11CAE847"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303D97DA"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45F7588B" w14:textId="77777777" w:rsidR="007412F8" w:rsidRPr="00687BD6" w:rsidRDefault="007412F8" w:rsidP="004F78B0">
            <w:pPr>
              <w:spacing w:line="240" w:lineRule="auto"/>
              <w:jc w:val="center"/>
              <w:rPr>
                <w:sz w:val="16"/>
                <w:szCs w:val="16"/>
              </w:rPr>
            </w:pPr>
            <w:r w:rsidRPr="00687BD6">
              <w:rPr>
                <w:sz w:val="16"/>
                <w:szCs w:val="16"/>
              </w:rPr>
              <w:t>90%</w:t>
            </w:r>
          </w:p>
        </w:tc>
        <w:tc>
          <w:tcPr>
            <w:tcW w:w="567" w:type="dxa"/>
            <w:vAlign w:val="center"/>
          </w:tcPr>
          <w:p w14:paraId="3D0C97E0"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272B3BE0"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40A4CF80" w14:textId="77777777" w:rsidR="007412F8" w:rsidRPr="00687BD6" w:rsidRDefault="007412F8" w:rsidP="004F78B0">
            <w:pPr>
              <w:spacing w:line="240" w:lineRule="auto"/>
              <w:jc w:val="center"/>
              <w:rPr>
                <w:sz w:val="16"/>
                <w:szCs w:val="16"/>
              </w:rPr>
            </w:pPr>
            <w:r w:rsidRPr="00687BD6">
              <w:rPr>
                <w:sz w:val="16"/>
                <w:szCs w:val="16"/>
              </w:rPr>
              <w:t>100%</w:t>
            </w:r>
          </w:p>
        </w:tc>
      </w:tr>
      <w:tr w:rsidR="00C07BC6" w:rsidRPr="00687BD6" w14:paraId="0A56D5EF" w14:textId="77777777" w:rsidTr="008D6400">
        <w:tc>
          <w:tcPr>
            <w:tcW w:w="709" w:type="dxa"/>
            <w:vMerge w:val="restart"/>
          </w:tcPr>
          <w:p w14:paraId="151256B2" w14:textId="6A0747D6" w:rsidR="007412F8" w:rsidRPr="00687BD6" w:rsidRDefault="007412F8" w:rsidP="00687BD6">
            <w:pPr>
              <w:spacing w:line="240" w:lineRule="auto"/>
              <w:rPr>
                <w:b/>
                <w:bCs/>
                <w:sz w:val="16"/>
                <w:szCs w:val="16"/>
              </w:rPr>
            </w:pPr>
            <w:r w:rsidRPr="00687BD6">
              <w:rPr>
                <w:b/>
                <w:bCs/>
                <w:sz w:val="16"/>
                <w:szCs w:val="16"/>
              </w:rPr>
              <w:t>S</w:t>
            </w:r>
            <w:r w:rsidR="00524D1F" w:rsidRPr="00687BD6">
              <w:rPr>
                <w:b/>
                <w:bCs/>
                <w:sz w:val="16"/>
                <w:szCs w:val="16"/>
              </w:rPr>
              <w:t>STI</w:t>
            </w:r>
            <w:r w:rsidRPr="00687BD6">
              <w:rPr>
                <w:b/>
                <w:bCs/>
                <w:sz w:val="16"/>
                <w:szCs w:val="16"/>
              </w:rPr>
              <w:t xml:space="preserve"> (n=13)</w:t>
            </w:r>
          </w:p>
        </w:tc>
        <w:tc>
          <w:tcPr>
            <w:tcW w:w="567" w:type="dxa"/>
            <w:vAlign w:val="center"/>
          </w:tcPr>
          <w:p w14:paraId="7B94A9AD" w14:textId="77777777" w:rsidR="007412F8" w:rsidRPr="00687BD6" w:rsidRDefault="007412F8" w:rsidP="004F78B0">
            <w:pPr>
              <w:spacing w:line="240" w:lineRule="auto"/>
              <w:jc w:val="center"/>
              <w:rPr>
                <w:sz w:val="16"/>
                <w:szCs w:val="16"/>
              </w:rPr>
            </w:pPr>
            <w:r w:rsidRPr="00687BD6">
              <w:rPr>
                <w:sz w:val="16"/>
                <w:szCs w:val="16"/>
              </w:rPr>
              <w:t>26</w:t>
            </w:r>
          </w:p>
        </w:tc>
        <w:tc>
          <w:tcPr>
            <w:tcW w:w="6662" w:type="dxa"/>
            <w:vAlign w:val="center"/>
          </w:tcPr>
          <w:p w14:paraId="113E48D6" w14:textId="3428673B" w:rsidR="007412F8" w:rsidRPr="00687BD6" w:rsidRDefault="007412F8" w:rsidP="004F78B0">
            <w:pPr>
              <w:spacing w:line="240" w:lineRule="auto"/>
              <w:jc w:val="left"/>
              <w:rPr>
                <w:sz w:val="16"/>
                <w:szCs w:val="16"/>
              </w:rPr>
            </w:pPr>
            <w:r w:rsidRPr="00687BD6">
              <w:rPr>
                <w:sz w:val="16"/>
                <w:szCs w:val="16"/>
              </w:rPr>
              <w:t>Proportion of patients presenting with acute lymphadenitis given an oral antibiotic</w:t>
            </w:r>
          </w:p>
        </w:tc>
        <w:tc>
          <w:tcPr>
            <w:tcW w:w="567" w:type="dxa"/>
            <w:vAlign w:val="center"/>
          </w:tcPr>
          <w:p w14:paraId="1D7CFE4E"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5F34B187"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038B74EB" w14:textId="77777777" w:rsidR="007412F8" w:rsidRPr="00687BD6" w:rsidRDefault="007412F8" w:rsidP="004F78B0">
            <w:pPr>
              <w:spacing w:line="240" w:lineRule="auto"/>
              <w:jc w:val="center"/>
              <w:rPr>
                <w:sz w:val="16"/>
                <w:szCs w:val="16"/>
              </w:rPr>
            </w:pPr>
            <w:r w:rsidRPr="00687BD6">
              <w:rPr>
                <w:sz w:val="16"/>
                <w:szCs w:val="16"/>
              </w:rPr>
              <w:t>100%</w:t>
            </w:r>
          </w:p>
        </w:tc>
        <w:tc>
          <w:tcPr>
            <w:tcW w:w="567" w:type="dxa"/>
            <w:vAlign w:val="center"/>
          </w:tcPr>
          <w:p w14:paraId="18110BED"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6103518C"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575C4884" w14:textId="77777777" w:rsidR="007412F8" w:rsidRPr="00687BD6" w:rsidRDefault="007412F8" w:rsidP="004F78B0">
            <w:pPr>
              <w:spacing w:line="240" w:lineRule="auto"/>
              <w:jc w:val="center"/>
              <w:rPr>
                <w:sz w:val="16"/>
                <w:szCs w:val="16"/>
              </w:rPr>
            </w:pPr>
            <w:r w:rsidRPr="00687BD6">
              <w:rPr>
                <w:sz w:val="16"/>
                <w:szCs w:val="16"/>
              </w:rPr>
              <w:t>90%</w:t>
            </w:r>
          </w:p>
        </w:tc>
      </w:tr>
      <w:tr w:rsidR="00C07BC6" w:rsidRPr="00687BD6" w14:paraId="37CE1318" w14:textId="77777777" w:rsidTr="008D6400">
        <w:tc>
          <w:tcPr>
            <w:tcW w:w="709" w:type="dxa"/>
            <w:vMerge/>
          </w:tcPr>
          <w:p w14:paraId="4059ED78" w14:textId="77777777" w:rsidR="007412F8" w:rsidRPr="00687BD6" w:rsidRDefault="007412F8" w:rsidP="00687BD6">
            <w:pPr>
              <w:spacing w:line="240" w:lineRule="auto"/>
              <w:rPr>
                <w:b/>
                <w:bCs/>
                <w:sz w:val="16"/>
                <w:szCs w:val="16"/>
              </w:rPr>
            </w:pPr>
          </w:p>
        </w:tc>
        <w:tc>
          <w:tcPr>
            <w:tcW w:w="567" w:type="dxa"/>
            <w:vAlign w:val="center"/>
          </w:tcPr>
          <w:p w14:paraId="54F7DE8C" w14:textId="77777777" w:rsidR="007412F8" w:rsidRPr="00687BD6" w:rsidRDefault="007412F8" w:rsidP="004F78B0">
            <w:pPr>
              <w:spacing w:line="240" w:lineRule="auto"/>
              <w:jc w:val="center"/>
              <w:rPr>
                <w:sz w:val="16"/>
                <w:szCs w:val="16"/>
              </w:rPr>
            </w:pPr>
            <w:r w:rsidRPr="00687BD6">
              <w:rPr>
                <w:sz w:val="16"/>
                <w:szCs w:val="16"/>
              </w:rPr>
              <w:t>27</w:t>
            </w:r>
          </w:p>
        </w:tc>
        <w:tc>
          <w:tcPr>
            <w:tcW w:w="6662" w:type="dxa"/>
            <w:vAlign w:val="center"/>
          </w:tcPr>
          <w:p w14:paraId="4421856A" w14:textId="0D0D0127" w:rsidR="007412F8" w:rsidRPr="00687BD6" w:rsidRDefault="007412F8" w:rsidP="004F78B0">
            <w:pPr>
              <w:spacing w:line="240" w:lineRule="auto"/>
              <w:jc w:val="left"/>
              <w:rPr>
                <w:sz w:val="16"/>
                <w:szCs w:val="16"/>
              </w:rPr>
            </w:pPr>
            <w:r w:rsidRPr="00687BD6">
              <w:rPr>
                <w:sz w:val="16"/>
                <w:szCs w:val="16"/>
              </w:rPr>
              <w:t>Proportion of patients presenting with higher risk* (of bacterial infection) acute lymphadenitis given an oral antibiotic</w:t>
            </w:r>
          </w:p>
        </w:tc>
        <w:tc>
          <w:tcPr>
            <w:tcW w:w="567" w:type="dxa"/>
            <w:vAlign w:val="center"/>
          </w:tcPr>
          <w:p w14:paraId="55080434" w14:textId="77777777" w:rsidR="007412F8" w:rsidRPr="00687BD6" w:rsidRDefault="007412F8" w:rsidP="004F78B0">
            <w:pPr>
              <w:spacing w:line="240" w:lineRule="auto"/>
              <w:jc w:val="center"/>
              <w:rPr>
                <w:sz w:val="16"/>
                <w:szCs w:val="16"/>
              </w:rPr>
            </w:pPr>
            <w:r w:rsidRPr="00687BD6">
              <w:rPr>
                <w:sz w:val="16"/>
                <w:szCs w:val="16"/>
              </w:rPr>
              <w:t>9</w:t>
            </w:r>
          </w:p>
        </w:tc>
        <w:tc>
          <w:tcPr>
            <w:tcW w:w="567" w:type="dxa"/>
            <w:vAlign w:val="center"/>
          </w:tcPr>
          <w:p w14:paraId="2F9630C8" w14:textId="77777777" w:rsidR="007412F8" w:rsidRPr="00687BD6" w:rsidRDefault="007412F8" w:rsidP="004F78B0">
            <w:pPr>
              <w:spacing w:line="240" w:lineRule="auto"/>
              <w:jc w:val="center"/>
              <w:rPr>
                <w:sz w:val="16"/>
                <w:szCs w:val="16"/>
              </w:rPr>
            </w:pPr>
            <w:r w:rsidRPr="00687BD6">
              <w:rPr>
                <w:sz w:val="16"/>
                <w:szCs w:val="16"/>
              </w:rPr>
              <w:t>E</w:t>
            </w:r>
          </w:p>
        </w:tc>
        <w:tc>
          <w:tcPr>
            <w:tcW w:w="709" w:type="dxa"/>
            <w:vAlign w:val="center"/>
          </w:tcPr>
          <w:p w14:paraId="2FDA4618" w14:textId="77777777" w:rsidR="007412F8" w:rsidRPr="00687BD6" w:rsidRDefault="007412F8" w:rsidP="004F78B0">
            <w:pPr>
              <w:spacing w:line="240" w:lineRule="auto"/>
              <w:jc w:val="center"/>
              <w:rPr>
                <w:sz w:val="16"/>
                <w:szCs w:val="16"/>
              </w:rPr>
            </w:pPr>
            <w:r w:rsidRPr="00687BD6">
              <w:rPr>
                <w:sz w:val="16"/>
                <w:szCs w:val="16"/>
              </w:rPr>
              <w:t>60%</w:t>
            </w:r>
          </w:p>
        </w:tc>
        <w:tc>
          <w:tcPr>
            <w:tcW w:w="567" w:type="dxa"/>
            <w:vAlign w:val="center"/>
          </w:tcPr>
          <w:p w14:paraId="63BFCD99" w14:textId="77777777" w:rsidR="007412F8" w:rsidRPr="00687BD6" w:rsidRDefault="007412F8" w:rsidP="004F78B0">
            <w:pPr>
              <w:spacing w:line="240" w:lineRule="auto"/>
              <w:jc w:val="center"/>
              <w:rPr>
                <w:sz w:val="16"/>
                <w:szCs w:val="16"/>
              </w:rPr>
            </w:pPr>
            <w:r w:rsidRPr="00687BD6">
              <w:rPr>
                <w:sz w:val="16"/>
                <w:szCs w:val="16"/>
              </w:rPr>
              <w:t>7</w:t>
            </w:r>
          </w:p>
        </w:tc>
        <w:tc>
          <w:tcPr>
            <w:tcW w:w="567" w:type="dxa"/>
            <w:vAlign w:val="center"/>
          </w:tcPr>
          <w:p w14:paraId="503F6057"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2A5FC9D1" w14:textId="77777777" w:rsidR="007412F8" w:rsidRPr="00687BD6" w:rsidRDefault="007412F8" w:rsidP="004F78B0">
            <w:pPr>
              <w:spacing w:line="240" w:lineRule="auto"/>
              <w:jc w:val="center"/>
              <w:rPr>
                <w:sz w:val="16"/>
                <w:szCs w:val="16"/>
              </w:rPr>
            </w:pPr>
            <w:r w:rsidRPr="00687BD6">
              <w:rPr>
                <w:sz w:val="16"/>
                <w:szCs w:val="16"/>
              </w:rPr>
              <w:t>90%</w:t>
            </w:r>
          </w:p>
        </w:tc>
      </w:tr>
      <w:tr w:rsidR="00C07BC6" w:rsidRPr="00687BD6" w14:paraId="032671DF" w14:textId="77777777" w:rsidTr="008D6400">
        <w:tc>
          <w:tcPr>
            <w:tcW w:w="709" w:type="dxa"/>
            <w:vMerge/>
          </w:tcPr>
          <w:p w14:paraId="77BF5416" w14:textId="77777777" w:rsidR="007412F8" w:rsidRPr="00687BD6" w:rsidRDefault="007412F8" w:rsidP="00687BD6">
            <w:pPr>
              <w:spacing w:line="240" w:lineRule="auto"/>
              <w:rPr>
                <w:sz w:val="16"/>
                <w:szCs w:val="16"/>
              </w:rPr>
            </w:pPr>
          </w:p>
        </w:tc>
        <w:tc>
          <w:tcPr>
            <w:tcW w:w="567" w:type="dxa"/>
            <w:vAlign w:val="center"/>
          </w:tcPr>
          <w:p w14:paraId="0209BE11" w14:textId="77777777" w:rsidR="007412F8" w:rsidRPr="00687BD6" w:rsidRDefault="007412F8" w:rsidP="004F78B0">
            <w:pPr>
              <w:spacing w:line="240" w:lineRule="auto"/>
              <w:jc w:val="center"/>
              <w:rPr>
                <w:sz w:val="16"/>
                <w:szCs w:val="16"/>
              </w:rPr>
            </w:pPr>
            <w:r w:rsidRPr="00687BD6">
              <w:rPr>
                <w:sz w:val="16"/>
                <w:szCs w:val="16"/>
              </w:rPr>
              <w:t>28</w:t>
            </w:r>
          </w:p>
        </w:tc>
        <w:tc>
          <w:tcPr>
            <w:tcW w:w="6662" w:type="dxa"/>
            <w:vAlign w:val="center"/>
          </w:tcPr>
          <w:p w14:paraId="4ACD3F35" w14:textId="46F1E9EB" w:rsidR="007412F8" w:rsidRPr="00687BD6" w:rsidRDefault="007412F8" w:rsidP="004F78B0">
            <w:pPr>
              <w:spacing w:line="240" w:lineRule="auto"/>
              <w:jc w:val="left"/>
              <w:rPr>
                <w:sz w:val="16"/>
                <w:szCs w:val="16"/>
              </w:rPr>
            </w:pPr>
            <w:r w:rsidRPr="00687BD6">
              <w:rPr>
                <w:sz w:val="16"/>
                <w:szCs w:val="16"/>
              </w:rPr>
              <w:t>Proportion of patients presenting with higher risk* (of bacterial infection) acute lymphadenitis given any oral Access antibiotic</w:t>
            </w:r>
          </w:p>
        </w:tc>
        <w:tc>
          <w:tcPr>
            <w:tcW w:w="567" w:type="dxa"/>
            <w:vAlign w:val="center"/>
          </w:tcPr>
          <w:p w14:paraId="3EFEB477" w14:textId="77777777" w:rsidR="007412F8" w:rsidRPr="00687BD6" w:rsidRDefault="007412F8" w:rsidP="004F78B0">
            <w:pPr>
              <w:spacing w:line="240" w:lineRule="auto"/>
              <w:jc w:val="center"/>
              <w:rPr>
                <w:sz w:val="16"/>
                <w:szCs w:val="16"/>
              </w:rPr>
            </w:pPr>
            <w:r w:rsidRPr="00687BD6">
              <w:rPr>
                <w:sz w:val="16"/>
                <w:szCs w:val="16"/>
              </w:rPr>
              <w:t>9</w:t>
            </w:r>
          </w:p>
        </w:tc>
        <w:tc>
          <w:tcPr>
            <w:tcW w:w="567" w:type="dxa"/>
            <w:vAlign w:val="center"/>
          </w:tcPr>
          <w:p w14:paraId="4C5E0C67"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4F0E96B8" w14:textId="77777777" w:rsidR="007412F8" w:rsidRPr="00687BD6" w:rsidRDefault="007412F8" w:rsidP="004F78B0">
            <w:pPr>
              <w:spacing w:line="240" w:lineRule="auto"/>
              <w:jc w:val="center"/>
              <w:rPr>
                <w:sz w:val="16"/>
                <w:szCs w:val="16"/>
              </w:rPr>
            </w:pPr>
            <w:r w:rsidRPr="00687BD6">
              <w:rPr>
                <w:sz w:val="16"/>
                <w:szCs w:val="16"/>
              </w:rPr>
              <w:t>80%</w:t>
            </w:r>
          </w:p>
        </w:tc>
        <w:tc>
          <w:tcPr>
            <w:tcW w:w="567" w:type="dxa"/>
            <w:vAlign w:val="center"/>
          </w:tcPr>
          <w:p w14:paraId="7DB8FFBC" w14:textId="77777777" w:rsidR="007412F8" w:rsidRPr="00687BD6" w:rsidRDefault="007412F8" w:rsidP="004F78B0">
            <w:pPr>
              <w:spacing w:line="240" w:lineRule="auto"/>
              <w:jc w:val="center"/>
              <w:rPr>
                <w:sz w:val="16"/>
                <w:szCs w:val="16"/>
              </w:rPr>
            </w:pPr>
            <w:r w:rsidRPr="00687BD6">
              <w:rPr>
                <w:sz w:val="16"/>
                <w:szCs w:val="16"/>
              </w:rPr>
              <w:t>7</w:t>
            </w:r>
          </w:p>
        </w:tc>
        <w:tc>
          <w:tcPr>
            <w:tcW w:w="567" w:type="dxa"/>
            <w:vAlign w:val="center"/>
          </w:tcPr>
          <w:p w14:paraId="3D37C8E8"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20233EA1" w14:textId="77777777" w:rsidR="007412F8" w:rsidRPr="00687BD6" w:rsidRDefault="007412F8" w:rsidP="004F78B0">
            <w:pPr>
              <w:spacing w:line="240" w:lineRule="auto"/>
              <w:jc w:val="center"/>
              <w:rPr>
                <w:sz w:val="16"/>
                <w:szCs w:val="16"/>
              </w:rPr>
            </w:pPr>
            <w:r w:rsidRPr="00687BD6">
              <w:rPr>
                <w:sz w:val="16"/>
                <w:szCs w:val="16"/>
              </w:rPr>
              <w:t>90%</w:t>
            </w:r>
          </w:p>
        </w:tc>
      </w:tr>
      <w:tr w:rsidR="00C07BC6" w:rsidRPr="00687BD6" w14:paraId="2D5872A7" w14:textId="77777777" w:rsidTr="008D6400">
        <w:tc>
          <w:tcPr>
            <w:tcW w:w="709" w:type="dxa"/>
            <w:vMerge/>
          </w:tcPr>
          <w:p w14:paraId="74EB2125" w14:textId="77777777" w:rsidR="007412F8" w:rsidRPr="00687BD6" w:rsidRDefault="007412F8" w:rsidP="00687BD6">
            <w:pPr>
              <w:spacing w:line="240" w:lineRule="auto"/>
              <w:rPr>
                <w:sz w:val="16"/>
                <w:szCs w:val="16"/>
              </w:rPr>
            </w:pPr>
          </w:p>
        </w:tc>
        <w:tc>
          <w:tcPr>
            <w:tcW w:w="567" w:type="dxa"/>
            <w:vAlign w:val="center"/>
          </w:tcPr>
          <w:p w14:paraId="7B637DEE" w14:textId="77777777" w:rsidR="007412F8" w:rsidRPr="00687BD6" w:rsidRDefault="007412F8" w:rsidP="004F78B0">
            <w:pPr>
              <w:spacing w:line="240" w:lineRule="auto"/>
              <w:jc w:val="center"/>
              <w:rPr>
                <w:sz w:val="16"/>
                <w:szCs w:val="16"/>
              </w:rPr>
            </w:pPr>
            <w:r w:rsidRPr="00687BD6">
              <w:rPr>
                <w:sz w:val="16"/>
                <w:szCs w:val="16"/>
              </w:rPr>
              <w:t>29</w:t>
            </w:r>
          </w:p>
        </w:tc>
        <w:tc>
          <w:tcPr>
            <w:tcW w:w="6662" w:type="dxa"/>
            <w:vAlign w:val="center"/>
          </w:tcPr>
          <w:p w14:paraId="32E2FD30" w14:textId="49A7B16A" w:rsidR="007412F8" w:rsidRPr="00687BD6" w:rsidRDefault="007412F8" w:rsidP="004F78B0">
            <w:pPr>
              <w:spacing w:line="240" w:lineRule="auto"/>
              <w:jc w:val="left"/>
              <w:rPr>
                <w:sz w:val="16"/>
                <w:szCs w:val="16"/>
              </w:rPr>
            </w:pPr>
            <w:r w:rsidRPr="00687BD6">
              <w:rPr>
                <w:sz w:val="16"/>
                <w:szCs w:val="16"/>
              </w:rPr>
              <w:t>Proportion of patients presenting with higher risk* (of bacterial infection) acute lymphadenitis given any oral Watch antibiotic</w:t>
            </w:r>
          </w:p>
        </w:tc>
        <w:tc>
          <w:tcPr>
            <w:tcW w:w="567" w:type="dxa"/>
            <w:vAlign w:val="center"/>
          </w:tcPr>
          <w:p w14:paraId="4917D94D"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32F84806"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79EFDAFA" w14:textId="77777777" w:rsidR="007412F8" w:rsidRPr="00687BD6" w:rsidRDefault="007412F8" w:rsidP="004F78B0">
            <w:pPr>
              <w:spacing w:line="240" w:lineRule="auto"/>
              <w:jc w:val="center"/>
              <w:rPr>
                <w:sz w:val="16"/>
                <w:szCs w:val="16"/>
              </w:rPr>
            </w:pPr>
            <w:r w:rsidRPr="00687BD6">
              <w:rPr>
                <w:sz w:val="16"/>
                <w:szCs w:val="16"/>
              </w:rPr>
              <w:t>100%</w:t>
            </w:r>
          </w:p>
        </w:tc>
        <w:tc>
          <w:tcPr>
            <w:tcW w:w="567" w:type="dxa"/>
            <w:vAlign w:val="center"/>
          </w:tcPr>
          <w:p w14:paraId="01B0AFFF" w14:textId="77777777" w:rsidR="007412F8" w:rsidRPr="00687BD6" w:rsidRDefault="007412F8" w:rsidP="004F78B0">
            <w:pPr>
              <w:spacing w:line="240" w:lineRule="auto"/>
              <w:jc w:val="center"/>
              <w:rPr>
                <w:sz w:val="16"/>
                <w:szCs w:val="16"/>
              </w:rPr>
            </w:pPr>
            <w:r w:rsidRPr="00687BD6">
              <w:rPr>
                <w:sz w:val="16"/>
                <w:szCs w:val="16"/>
              </w:rPr>
              <w:t>7</w:t>
            </w:r>
          </w:p>
        </w:tc>
        <w:tc>
          <w:tcPr>
            <w:tcW w:w="567" w:type="dxa"/>
            <w:vAlign w:val="center"/>
          </w:tcPr>
          <w:p w14:paraId="725C70D2"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5F61286B" w14:textId="77777777" w:rsidR="007412F8" w:rsidRPr="00687BD6" w:rsidRDefault="007412F8" w:rsidP="004F78B0">
            <w:pPr>
              <w:spacing w:line="240" w:lineRule="auto"/>
              <w:jc w:val="center"/>
              <w:rPr>
                <w:sz w:val="16"/>
                <w:szCs w:val="16"/>
              </w:rPr>
            </w:pPr>
            <w:r w:rsidRPr="00687BD6">
              <w:rPr>
                <w:sz w:val="16"/>
                <w:szCs w:val="16"/>
              </w:rPr>
              <w:t>80%</w:t>
            </w:r>
          </w:p>
        </w:tc>
      </w:tr>
      <w:tr w:rsidR="00C07BC6" w:rsidRPr="00687BD6" w14:paraId="17D6BC15" w14:textId="77777777" w:rsidTr="008D6400">
        <w:tc>
          <w:tcPr>
            <w:tcW w:w="709" w:type="dxa"/>
            <w:vMerge/>
          </w:tcPr>
          <w:p w14:paraId="35334C15" w14:textId="77777777" w:rsidR="007412F8" w:rsidRPr="00687BD6" w:rsidRDefault="007412F8" w:rsidP="00687BD6">
            <w:pPr>
              <w:spacing w:line="240" w:lineRule="auto"/>
              <w:rPr>
                <w:sz w:val="16"/>
                <w:szCs w:val="16"/>
              </w:rPr>
            </w:pPr>
          </w:p>
        </w:tc>
        <w:tc>
          <w:tcPr>
            <w:tcW w:w="567" w:type="dxa"/>
            <w:vAlign w:val="center"/>
          </w:tcPr>
          <w:p w14:paraId="0BFA8C30" w14:textId="77777777" w:rsidR="007412F8" w:rsidRPr="00687BD6" w:rsidRDefault="007412F8" w:rsidP="004F78B0">
            <w:pPr>
              <w:spacing w:line="240" w:lineRule="auto"/>
              <w:jc w:val="center"/>
              <w:rPr>
                <w:sz w:val="16"/>
                <w:szCs w:val="16"/>
              </w:rPr>
            </w:pPr>
            <w:r w:rsidRPr="00687BD6">
              <w:rPr>
                <w:sz w:val="16"/>
                <w:szCs w:val="16"/>
              </w:rPr>
              <w:t>30</w:t>
            </w:r>
          </w:p>
        </w:tc>
        <w:tc>
          <w:tcPr>
            <w:tcW w:w="6662" w:type="dxa"/>
            <w:vAlign w:val="center"/>
          </w:tcPr>
          <w:p w14:paraId="25E0B6A6" w14:textId="414E0F91" w:rsidR="007412F8" w:rsidRPr="00687BD6" w:rsidRDefault="007412F8" w:rsidP="004F78B0">
            <w:pPr>
              <w:spacing w:line="240" w:lineRule="auto"/>
              <w:jc w:val="left"/>
              <w:rPr>
                <w:sz w:val="16"/>
                <w:szCs w:val="16"/>
              </w:rPr>
            </w:pPr>
            <w:r w:rsidRPr="00687BD6">
              <w:rPr>
                <w:sz w:val="16"/>
                <w:szCs w:val="16"/>
              </w:rPr>
              <w:t>Proportion of patients with lower risk (of bacterial infection) acute lymphadenitis given oral antibiotics</w:t>
            </w:r>
          </w:p>
        </w:tc>
        <w:tc>
          <w:tcPr>
            <w:tcW w:w="567" w:type="dxa"/>
            <w:vAlign w:val="center"/>
          </w:tcPr>
          <w:p w14:paraId="38CBD466"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7EA01B93"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5F4EE464" w14:textId="77777777" w:rsidR="007412F8" w:rsidRPr="00687BD6" w:rsidRDefault="007412F8" w:rsidP="004F78B0">
            <w:pPr>
              <w:spacing w:line="240" w:lineRule="auto"/>
              <w:jc w:val="center"/>
              <w:rPr>
                <w:sz w:val="16"/>
                <w:szCs w:val="16"/>
              </w:rPr>
            </w:pPr>
            <w:r w:rsidRPr="00687BD6">
              <w:rPr>
                <w:sz w:val="16"/>
                <w:szCs w:val="16"/>
              </w:rPr>
              <w:t>90%</w:t>
            </w:r>
          </w:p>
        </w:tc>
        <w:tc>
          <w:tcPr>
            <w:tcW w:w="567" w:type="dxa"/>
            <w:vAlign w:val="center"/>
          </w:tcPr>
          <w:p w14:paraId="709CB242" w14:textId="77777777" w:rsidR="007412F8" w:rsidRPr="00687BD6" w:rsidRDefault="007412F8" w:rsidP="004F78B0">
            <w:pPr>
              <w:spacing w:line="240" w:lineRule="auto"/>
              <w:jc w:val="center"/>
              <w:rPr>
                <w:sz w:val="16"/>
                <w:szCs w:val="16"/>
              </w:rPr>
            </w:pPr>
            <w:r w:rsidRPr="00687BD6">
              <w:rPr>
                <w:sz w:val="16"/>
                <w:szCs w:val="16"/>
              </w:rPr>
              <w:t>7</w:t>
            </w:r>
          </w:p>
        </w:tc>
        <w:tc>
          <w:tcPr>
            <w:tcW w:w="567" w:type="dxa"/>
            <w:vAlign w:val="center"/>
          </w:tcPr>
          <w:p w14:paraId="466F7753"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3D4193FA" w14:textId="77777777" w:rsidR="007412F8" w:rsidRPr="00687BD6" w:rsidRDefault="007412F8" w:rsidP="004F78B0">
            <w:pPr>
              <w:spacing w:line="240" w:lineRule="auto"/>
              <w:jc w:val="center"/>
              <w:rPr>
                <w:sz w:val="16"/>
                <w:szCs w:val="16"/>
              </w:rPr>
            </w:pPr>
            <w:r w:rsidRPr="00687BD6">
              <w:rPr>
                <w:sz w:val="16"/>
                <w:szCs w:val="16"/>
              </w:rPr>
              <w:t>90%</w:t>
            </w:r>
          </w:p>
        </w:tc>
      </w:tr>
      <w:tr w:rsidR="00C07BC6" w:rsidRPr="00687BD6" w14:paraId="58378D84" w14:textId="77777777" w:rsidTr="008D6400">
        <w:tc>
          <w:tcPr>
            <w:tcW w:w="709" w:type="dxa"/>
            <w:vMerge/>
          </w:tcPr>
          <w:p w14:paraId="23FA3870" w14:textId="77777777" w:rsidR="007412F8" w:rsidRPr="00687BD6" w:rsidRDefault="007412F8" w:rsidP="00687BD6">
            <w:pPr>
              <w:spacing w:line="240" w:lineRule="auto"/>
              <w:rPr>
                <w:sz w:val="16"/>
                <w:szCs w:val="16"/>
              </w:rPr>
            </w:pPr>
          </w:p>
        </w:tc>
        <w:tc>
          <w:tcPr>
            <w:tcW w:w="567" w:type="dxa"/>
            <w:vAlign w:val="center"/>
          </w:tcPr>
          <w:p w14:paraId="5153ED1D" w14:textId="77777777" w:rsidR="007412F8" w:rsidRPr="00687BD6" w:rsidRDefault="007412F8" w:rsidP="004F78B0">
            <w:pPr>
              <w:spacing w:line="240" w:lineRule="auto"/>
              <w:jc w:val="center"/>
              <w:rPr>
                <w:sz w:val="16"/>
                <w:szCs w:val="16"/>
              </w:rPr>
            </w:pPr>
            <w:r w:rsidRPr="00687BD6">
              <w:rPr>
                <w:sz w:val="16"/>
                <w:szCs w:val="16"/>
              </w:rPr>
              <w:t>31</w:t>
            </w:r>
          </w:p>
        </w:tc>
        <w:tc>
          <w:tcPr>
            <w:tcW w:w="6662" w:type="dxa"/>
            <w:vAlign w:val="center"/>
          </w:tcPr>
          <w:p w14:paraId="1BBC55DE" w14:textId="6AB80244" w:rsidR="007412F8" w:rsidRPr="00687BD6" w:rsidRDefault="007412F8" w:rsidP="004F78B0">
            <w:pPr>
              <w:spacing w:line="240" w:lineRule="auto"/>
              <w:jc w:val="left"/>
              <w:rPr>
                <w:sz w:val="16"/>
                <w:szCs w:val="16"/>
              </w:rPr>
            </w:pPr>
            <w:r w:rsidRPr="00687BD6">
              <w:rPr>
                <w:sz w:val="16"/>
                <w:szCs w:val="16"/>
              </w:rPr>
              <w:t>Proportion of patients presenting with acute lymphadenitis given the duration in days of oral antibiotics recommended in the WHO AWaRe Antibiotic Book</w:t>
            </w:r>
          </w:p>
        </w:tc>
        <w:tc>
          <w:tcPr>
            <w:tcW w:w="567" w:type="dxa"/>
            <w:vAlign w:val="center"/>
          </w:tcPr>
          <w:p w14:paraId="2336E171" w14:textId="77777777" w:rsidR="007412F8" w:rsidRPr="00687BD6" w:rsidRDefault="007412F8" w:rsidP="004F78B0">
            <w:pPr>
              <w:spacing w:line="240" w:lineRule="auto"/>
              <w:jc w:val="center"/>
              <w:rPr>
                <w:sz w:val="16"/>
                <w:szCs w:val="16"/>
              </w:rPr>
            </w:pPr>
            <w:r w:rsidRPr="00687BD6">
              <w:rPr>
                <w:sz w:val="16"/>
                <w:szCs w:val="16"/>
              </w:rPr>
              <w:t>9</w:t>
            </w:r>
          </w:p>
        </w:tc>
        <w:tc>
          <w:tcPr>
            <w:tcW w:w="567" w:type="dxa"/>
            <w:vAlign w:val="center"/>
          </w:tcPr>
          <w:p w14:paraId="0B7383F2"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699990DC" w14:textId="77777777" w:rsidR="007412F8" w:rsidRPr="00687BD6" w:rsidRDefault="007412F8" w:rsidP="004F78B0">
            <w:pPr>
              <w:spacing w:line="240" w:lineRule="auto"/>
              <w:jc w:val="center"/>
              <w:rPr>
                <w:sz w:val="16"/>
                <w:szCs w:val="16"/>
              </w:rPr>
            </w:pPr>
            <w:r w:rsidRPr="00687BD6">
              <w:rPr>
                <w:sz w:val="16"/>
                <w:szCs w:val="16"/>
              </w:rPr>
              <w:t>90%</w:t>
            </w:r>
          </w:p>
        </w:tc>
        <w:tc>
          <w:tcPr>
            <w:tcW w:w="567" w:type="dxa"/>
            <w:vAlign w:val="center"/>
          </w:tcPr>
          <w:p w14:paraId="43573FBB"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0534D3C9"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56AD7A3E" w14:textId="77777777" w:rsidR="007412F8" w:rsidRPr="00687BD6" w:rsidRDefault="007412F8" w:rsidP="004F78B0">
            <w:pPr>
              <w:spacing w:line="240" w:lineRule="auto"/>
              <w:jc w:val="center"/>
              <w:rPr>
                <w:sz w:val="16"/>
                <w:szCs w:val="16"/>
              </w:rPr>
            </w:pPr>
            <w:r w:rsidRPr="00687BD6">
              <w:rPr>
                <w:sz w:val="16"/>
                <w:szCs w:val="16"/>
              </w:rPr>
              <w:t>80%</w:t>
            </w:r>
          </w:p>
        </w:tc>
      </w:tr>
      <w:tr w:rsidR="00C07BC6" w:rsidRPr="00687BD6" w14:paraId="43EF8CE1" w14:textId="77777777" w:rsidTr="008D6400">
        <w:tc>
          <w:tcPr>
            <w:tcW w:w="709" w:type="dxa"/>
            <w:vMerge/>
          </w:tcPr>
          <w:p w14:paraId="663CD77E" w14:textId="77777777" w:rsidR="007412F8" w:rsidRPr="00687BD6" w:rsidRDefault="007412F8" w:rsidP="00687BD6">
            <w:pPr>
              <w:spacing w:line="240" w:lineRule="auto"/>
              <w:rPr>
                <w:sz w:val="16"/>
                <w:szCs w:val="16"/>
              </w:rPr>
            </w:pPr>
          </w:p>
        </w:tc>
        <w:tc>
          <w:tcPr>
            <w:tcW w:w="567" w:type="dxa"/>
            <w:vAlign w:val="center"/>
          </w:tcPr>
          <w:p w14:paraId="4723F51C" w14:textId="77777777" w:rsidR="007412F8" w:rsidRPr="00687BD6" w:rsidRDefault="007412F8" w:rsidP="004F78B0">
            <w:pPr>
              <w:spacing w:line="240" w:lineRule="auto"/>
              <w:jc w:val="center"/>
              <w:rPr>
                <w:sz w:val="16"/>
                <w:szCs w:val="16"/>
              </w:rPr>
            </w:pPr>
            <w:r w:rsidRPr="00687BD6">
              <w:rPr>
                <w:sz w:val="16"/>
                <w:szCs w:val="16"/>
              </w:rPr>
              <w:t>32</w:t>
            </w:r>
          </w:p>
        </w:tc>
        <w:tc>
          <w:tcPr>
            <w:tcW w:w="6662" w:type="dxa"/>
            <w:vAlign w:val="center"/>
          </w:tcPr>
          <w:p w14:paraId="497F0212" w14:textId="303BEDAE" w:rsidR="007412F8" w:rsidRPr="00687BD6" w:rsidRDefault="007412F8" w:rsidP="004F78B0">
            <w:pPr>
              <w:spacing w:line="240" w:lineRule="auto"/>
              <w:jc w:val="left"/>
              <w:rPr>
                <w:sz w:val="16"/>
                <w:szCs w:val="16"/>
              </w:rPr>
            </w:pPr>
            <w:r w:rsidRPr="00687BD6">
              <w:rPr>
                <w:sz w:val="16"/>
                <w:szCs w:val="16"/>
              </w:rPr>
              <w:t>Proportion of patients presenting with acute lymphadenitis prescribed the total daily dose of oral antibiotics recommended in the WHO AWaRe Antibiotic Book</w:t>
            </w:r>
          </w:p>
        </w:tc>
        <w:tc>
          <w:tcPr>
            <w:tcW w:w="567" w:type="dxa"/>
            <w:vAlign w:val="center"/>
          </w:tcPr>
          <w:p w14:paraId="287F50A5" w14:textId="77777777" w:rsidR="007412F8" w:rsidRPr="00687BD6" w:rsidRDefault="007412F8" w:rsidP="004F78B0">
            <w:pPr>
              <w:spacing w:line="240" w:lineRule="auto"/>
              <w:jc w:val="center"/>
              <w:rPr>
                <w:sz w:val="16"/>
                <w:szCs w:val="16"/>
              </w:rPr>
            </w:pPr>
            <w:r w:rsidRPr="00687BD6">
              <w:rPr>
                <w:sz w:val="16"/>
                <w:szCs w:val="16"/>
              </w:rPr>
              <w:t>9</w:t>
            </w:r>
          </w:p>
        </w:tc>
        <w:tc>
          <w:tcPr>
            <w:tcW w:w="567" w:type="dxa"/>
            <w:vAlign w:val="center"/>
          </w:tcPr>
          <w:p w14:paraId="37459731"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03C6170F" w14:textId="77777777" w:rsidR="007412F8" w:rsidRPr="00687BD6" w:rsidRDefault="007412F8" w:rsidP="004F78B0">
            <w:pPr>
              <w:spacing w:line="240" w:lineRule="auto"/>
              <w:jc w:val="center"/>
              <w:rPr>
                <w:sz w:val="16"/>
                <w:szCs w:val="16"/>
              </w:rPr>
            </w:pPr>
            <w:r w:rsidRPr="00687BD6">
              <w:rPr>
                <w:sz w:val="16"/>
                <w:szCs w:val="16"/>
              </w:rPr>
              <w:t>90%</w:t>
            </w:r>
          </w:p>
        </w:tc>
        <w:tc>
          <w:tcPr>
            <w:tcW w:w="567" w:type="dxa"/>
            <w:vAlign w:val="center"/>
          </w:tcPr>
          <w:p w14:paraId="616F4F46"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06410C72"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088726FE" w14:textId="77777777" w:rsidR="007412F8" w:rsidRPr="00687BD6" w:rsidRDefault="007412F8" w:rsidP="004F78B0">
            <w:pPr>
              <w:spacing w:line="240" w:lineRule="auto"/>
              <w:jc w:val="center"/>
              <w:rPr>
                <w:sz w:val="16"/>
                <w:szCs w:val="16"/>
              </w:rPr>
            </w:pPr>
            <w:r w:rsidRPr="00687BD6">
              <w:rPr>
                <w:sz w:val="16"/>
                <w:szCs w:val="16"/>
              </w:rPr>
              <w:t>80%</w:t>
            </w:r>
          </w:p>
        </w:tc>
      </w:tr>
      <w:tr w:rsidR="00C07BC6" w:rsidRPr="00687BD6" w14:paraId="657F02F2" w14:textId="77777777" w:rsidTr="008D6400">
        <w:tc>
          <w:tcPr>
            <w:tcW w:w="709" w:type="dxa"/>
            <w:vMerge/>
          </w:tcPr>
          <w:p w14:paraId="57FC6CD4" w14:textId="77777777" w:rsidR="007412F8" w:rsidRPr="00687BD6" w:rsidRDefault="007412F8" w:rsidP="00687BD6">
            <w:pPr>
              <w:spacing w:line="240" w:lineRule="auto"/>
              <w:rPr>
                <w:sz w:val="16"/>
                <w:szCs w:val="16"/>
              </w:rPr>
            </w:pPr>
          </w:p>
        </w:tc>
        <w:tc>
          <w:tcPr>
            <w:tcW w:w="567" w:type="dxa"/>
            <w:vAlign w:val="center"/>
          </w:tcPr>
          <w:p w14:paraId="09E7D9BC" w14:textId="77777777" w:rsidR="007412F8" w:rsidRPr="00687BD6" w:rsidRDefault="007412F8" w:rsidP="004F78B0">
            <w:pPr>
              <w:spacing w:line="240" w:lineRule="auto"/>
              <w:jc w:val="center"/>
              <w:rPr>
                <w:sz w:val="16"/>
                <w:szCs w:val="16"/>
              </w:rPr>
            </w:pPr>
            <w:r w:rsidRPr="00687BD6">
              <w:rPr>
                <w:sz w:val="16"/>
                <w:szCs w:val="16"/>
              </w:rPr>
              <w:t>33</w:t>
            </w:r>
          </w:p>
        </w:tc>
        <w:tc>
          <w:tcPr>
            <w:tcW w:w="6662" w:type="dxa"/>
            <w:vAlign w:val="center"/>
          </w:tcPr>
          <w:p w14:paraId="1E98B72C" w14:textId="23018EC2" w:rsidR="007412F8" w:rsidRPr="00687BD6" w:rsidRDefault="007412F8" w:rsidP="004F78B0">
            <w:pPr>
              <w:spacing w:line="240" w:lineRule="auto"/>
              <w:jc w:val="left"/>
              <w:rPr>
                <w:sz w:val="16"/>
                <w:szCs w:val="16"/>
              </w:rPr>
            </w:pPr>
            <w:r w:rsidRPr="00687BD6">
              <w:rPr>
                <w:sz w:val="16"/>
                <w:szCs w:val="16"/>
              </w:rPr>
              <w:t>Proportion of patients presenting with mild*</w:t>
            </w:r>
            <w:r w:rsidR="004A7F94">
              <w:rPr>
                <w:sz w:val="16"/>
                <w:szCs w:val="16"/>
              </w:rPr>
              <w:t>*</w:t>
            </w:r>
            <w:r w:rsidRPr="00687BD6">
              <w:rPr>
                <w:sz w:val="16"/>
                <w:szCs w:val="16"/>
              </w:rPr>
              <w:t xml:space="preserve"> SSTIs given an oral antibiotic</w:t>
            </w:r>
          </w:p>
        </w:tc>
        <w:tc>
          <w:tcPr>
            <w:tcW w:w="567" w:type="dxa"/>
            <w:vAlign w:val="center"/>
          </w:tcPr>
          <w:p w14:paraId="63B7DD76"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1FB7E6D7"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6D1F79F4" w14:textId="77777777" w:rsidR="007412F8" w:rsidRPr="00687BD6" w:rsidRDefault="007412F8" w:rsidP="004F78B0">
            <w:pPr>
              <w:spacing w:line="240" w:lineRule="auto"/>
              <w:jc w:val="center"/>
              <w:rPr>
                <w:sz w:val="16"/>
                <w:szCs w:val="16"/>
              </w:rPr>
            </w:pPr>
            <w:r w:rsidRPr="00687BD6">
              <w:rPr>
                <w:sz w:val="16"/>
                <w:szCs w:val="16"/>
              </w:rPr>
              <w:t>100%</w:t>
            </w:r>
          </w:p>
        </w:tc>
        <w:tc>
          <w:tcPr>
            <w:tcW w:w="567" w:type="dxa"/>
            <w:vAlign w:val="center"/>
          </w:tcPr>
          <w:p w14:paraId="6B967A27" w14:textId="77777777" w:rsidR="007412F8" w:rsidRPr="00687BD6" w:rsidRDefault="007412F8" w:rsidP="004F78B0">
            <w:pPr>
              <w:spacing w:line="240" w:lineRule="auto"/>
              <w:jc w:val="center"/>
              <w:rPr>
                <w:sz w:val="16"/>
                <w:szCs w:val="16"/>
              </w:rPr>
            </w:pPr>
            <w:r w:rsidRPr="00687BD6">
              <w:rPr>
                <w:sz w:val="16"/>
                <w:szCs w:val="16"/>
              </w:rPr>
              <w:t>7</w:t>
            </w:r>
          </w:p>
        </w:tc>
        <w:tc>
          <w:tcPr>
            <w:tcW w:w="567" w:type="dxa"/>
            <w:vAlign w:val="center"/>
          </w:tcPr>
          <w:p w14:paraId="06D91565"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51167478" w14:textId="77777777" w:rsidR="007412F8" w:rsidRPr="00687BD6" w:rsidRDefault="007412F8" w:rsidP="004F78B0">
            <w:pPr>
              <w:spacing w:line="240" w:lineRule="auto"/>
              <w:jc w:val="center"/>
              <w:rPr>
                <w:sz w:val="16"/>
                <w:szCs w:val="16"/>
              </w:rPr>
            </w:pPr>
            <w:r w:rsidRPr="00687BD6">
              <w:rPr>
                <w:sz w:val="16"/>
                <w:szCs w:val="16"/>
              </w:rPr>
              <w:t>90%</w:t>
            </w:r>
          </w:p>
        </w:tc>
      </w:tr>
      <w:tr w:rsidR="00C07BC6" w:rsidRPr="00687BD6" w14:paraId="7AA9A3F4" w14:textId="77777777" w:rsidTr="008D6400">
        <w:tc>
          <w:tcPr>
            <w:tcW w:w="709" w:type="dxa"/>
            <w:vMerge/>
          </w:tcPr>
          <w:p w14:paraId="54A0F892" w14:textId="77777777" w:rsidR="007412F8" w:rsidRPr="00687BD6" w:rsidRDefault="007412F8" w:rsidP="00687BD6">
            <w:pPr>
              <w:spacing w:line="240" w:lineRule="auto"/>
              <w:rPr>
                <w:sz w:val="16"/>
                <w:szCs w:val="16"/>
              </w:rPr>
            </w:pPr>
          </w:p>
        </w:tc>
        <w:tc>
          <w:tcPr>
            <w:tcW w:w="567" w:type="dxa"/>
            <w:vAlign w:val="center"/>
          </w:tcPr>
          <w:p w14:paraId="3E6CE024" w14:textId="77777777" w:rsidR="007412F8" w:rsidRPr="00687BD6" w:rsidRDefault="007412F8" w:rsidP="004F78B0">
            <w:pPr>
              <w:spacing w:line="240" w:lineRule="auto"/>
              <w:jc w:val="center"/>
              <w:rPr>
                <w:sz w:val="16"/>
                <w:szCs w:val="16"/>
              </w:rPr>
            </w:pPr>
            <w:r w:rsidRPr="00687BD6">
              <w:rPr>
                <w:sz w:val="16"/>
                <w:szCs w:val="16"/>
              </w:rPr>
              <w:t>34</w:t>
            </w:r>
          </w:p>
        </w:tc>
        <w:tc>
          <w:tcPr>
            <w:tcW w:w="6662" w:type="dxa"/>
            <w:vAlign w:val="center"/>
          </w:tcPr>
          <w:p w14:paraId="71DF9C84" w14:textId="1A0276DA" w:rsidR="007412F8" w:rsidRPr="00687BD6" w:rsidRDefault="007412F8" w:rsidP="004F78B0">
            <w:pPr>
              <w:spacing w:line="240" w:lineRule="auto"/>
              <w:jc w:val="left"/>
              <w:rPr>
                <w:sz w:val="16"/>
                <w:szCs w:val="16"/>
              </w:rPr>
            </w:pPr>
            <w:r w:rsidRPr="00687BD6">
              <w:rPr>
                <w:sz w:val="16"/>
                <w:szCs w:val="16"/>
              </w:rPr>
              <w:t>Proportion of patients presenting with mild</w:t>
            </w:r>
            <w:r w:rsidR="00634F04">
              <w:rPr>
                <w:sz w:val="16"/>
                <w:szCs w:val="16"/>
              </w:rPr>
              <w:t>**</w:t>
            </w:r>
            <w:r w:rsidRPr="00687BD6">
              <w:rPr>
                <w:sz w:val="16"/>
                <w:szCs w:val="16"/>
              </w:rPr>
              <w:t xml:space="preserve"> SSTIs given a topical antibiotic</w:t>
            </w:r>
          </w:p>
        </w:tc>
        <w:tc>
          <w:tcPr>
            <w:tcW w:w="567" w:type="dxa"/>
            <w:vAlign w:val="center"/>
          </w:tcPr>
          <w:p w14:paraId="2A84732F"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36439609"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59DFA771" w14:textId="77777777" w:rsidR="007412F8" w:rsidRPr="00687BD6" w:rsidRDefault="007412F8" w:rsidP="004F78B0">
            <w:pPr>
              <w:spacing w:line="240" w:lineRule="auto"/>
              <w:jc w:val="center"/>
              <w:rPr>
                <w:sz w:val="16"/>
                <w:szCs w:val="16"/>
              </w:rPr>
            </w:pPr>
            <w:r w:rsidRPr="00687BD6">
              <w:rPr>
                <w:sz w:val="16"/>
                <w:szCs w:val="16"/>
              </w:rPr>
              <w:t>90%</w:t>
            </w:r>
          </w:p>
        </w:tc>
        <w:tc>
          <w:tcPr>
            <w:tcW w:w="567" w:type="dxa"/>
            <w:vAlign w:val="center"/>
          </w:tcPr>
          <w:p w14:paraId="74278186"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2AA0EBF7"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7A8926FD" w14:textId="77777777" w:rsidR="007412F8" w:rsidRPr="00687BD6" w:rsidRDefault="007412F8" w:rsidP="004F78B0">
            <w:pPr>
              <w:spacing w:line="240" w:lineRule="auto"/>
              <w:jc w:val="center"/>
              <w:rPr>
                <w:sz w:val="16"/>
                <w:szCs w:val="16"/>
              </w:rPr>
            </w:pPr>
            <w:r w:rsidRPr="00687BD6">
              <w:rPr>
                <w:sz w:val="16"/>
                <w:szCs w:val="16"/>
              </w:rPr>
              <w:t>90%</w:t>
            </w:r>
          </w:p>
        </w:tc>
      </w:tr>
      <w:tr w:rsidR="00C07BC6" w:rsidRPr="00687BD6" w14:paraId="46794A83" w14:textId="77777777" w:rsidTr="008D6400">
        <w:tc>
          <w:tcPr>
            <w:tcW w:w="709" w:type="dxa"/>
            <w:vMerge/>
          </w:tcPr>
          <w:p w14:paraId="5903C525" w14:textId="77777777" w:rsidR="007412F8" w:rsidRPr="00687BD6" w:rsidRDefault="007412F8" w:rsidP="00687BD6">
            <w:pPr>
              <w:spacing w:line="240" w:lineRule="auto"/>
              <w:rPr>
                <w:sz w:val="16"/>
                <w:szCs w:val="16"/>
              </w:rPr>
            </w:pPr>
          </w:p>
        </w:tc>
        <w:tc>
          <w:tcPr>
            <w:tcW w:w="567" w:type="dxa"/>
            <w:vAlign w:val="center"/>
          </w:tcPr>
          <w:p w14:paraId="00AEFFE0" w14:textId="77777777" w:rsidR="007412F8" w:rsidRPr="00687BD6" w:rsidRDefault="007412F8" w:rsidP="004F78B0">
            <w:pPr>
              <w:spacing w:line="240" w:lineRule="auto"/>
              <w:jc w:val="center"/>
              <w:rPr>
                <w:sz w:val="16"/>
                <w:szCs w:val="16"/>
              </w:rPr>
            </w:pPr>
            <w:r w:rsidRPr="00687BD6">
              <w:rPr>
                <w:sz w:val="16"/>
                <w:szCs w:val="16"/>
              </w:rPr>
              <w:t>35</w:t>
            </w:r>
          </w:p>
        </w:tc>
        <w:tc>
          <w:tcPr>
            <w:tcW w:w="6662" w:type="dxa"/>
            <w:vAlign w:val="center"/>
          </w:tcPr>
          <w:p w14:paraId="549AE946" w14:textId="015CB939" w:rsidR="007412F8" w:rsidRPr="00687BD6" w:rsidRDefault="007412F8" w:rsidP="004F78B0">
            <w:pPr>
              <w:spacing w:line="240" w:lineRule="auto"/>
              <w:jc w:val="left"/>
              <w:rPr>
                <w:sz w:val="16"/>
                <w:szCs w:val="16"/>
              </w:rPr>
            </w:pPr>
            <w:r w:rsidRPr="00687BD6">
              <w:rPr>
                <w:sz w:val="16"/>
                <w:szCs w:val="16"/>
              </w:rPr>
              <w:t>Proportion of patients presenting with mild*</w:t>
            </w:r>
            <w:r w:rsidR="00CB3B14">
              <w:rPr>
                <w:sz w:val="16"/>
                <w:szCs w:val="16"/>
              </w:rPr>
              <w:t>*</w:t>
            </w:r>
            <w:r w:rsidR="00CB3B14" w:rsidRPr="00687BD6">
              <w:rPr>
                <w:sz w:val="16"/>
                <w:szCs w:val="16"/>
              </w:rPr>
              <w:t xml:space="preserve"> SSTIs</w:t>
            </w:r>
            <w:r w:rsidRPr="00687BD6">
              <w:rPr>
                <w:sz w:val="16"/>
                <w:szCs w:val="16"/>
              </w:rPr>
              <w:t xml:space="preserve"> given any oral Access antibiotic</w:t>
            </w:r>
          </w:p>
        </w:tc>
        <w:tc>
          <w:tcPr>
            <w:tcW w:w="567" w:type="dxa"/>
            <w:vAlign w:val="center"/>
          </w:tcPr>
          <w:p w14:paraId="55F40569"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0D80706E"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1365D2ED" w14:textId="77777777" w:rsidR="007412F8" w:rsidRPr="00687BD6" w:rsidRDefault="007412F8" w:rsidP="004F78B0">
            <w:pPr>
              <w:spacing w:line="240" w:lineRule="auto"/>
              <w:jc w:val="center"/>
              <w:rPr>
                <w:sz w:val="16"/>
                <w:szCs w:val="16"/>
              </w:rPr>
            </w:pPr>
            <w:r w:rsidRPr="00687BD6">
              <w:rPr>
                <w:sz w:val="16"/>
                <w:szCs w:val="16"/>
              </w:rPr>
              <w:t>90%</w:t>
            </w:r>
          </w:p>
        </w:tc>
        <w:tc>
          <w:tcPr>
            <w:tcW w:w="567" w:type="dxa"/>
            <w:vAlign w:val="center"/>
          </w:tcPr>
          <w:p w14:paraId="445992F5" w14:textId="77777777" w:rsidR="007412F8" w:rsidRPr="00687BD6" w:rsidRDefault="007412F8" w:rsidP="004F78B0">
            <w:pPr>
              <w:spacing w:line="240" w:lineRule="auto"/>
              <w:jc w:val="center"/>
              <w:rPr>
                <w:sz w:val="16"/>
                <w:szCs w:val="16"/>
              </w:rPr>
            </w:pPr>
            <w:r w:rsidRPr="00687BD6">
              <w:rPr>
                <w:sz w:val="16"/>
                <w:szCs w:val="16"/>
              </w:rPr>
              <w:t>7</w:t>
            </w:r>
          </w:p>
        </w:tc>
        <w:tc>
          <w:tcPr>
            <w:tcW w:w="567" w:type="dxa"/>
            <w:vAlign w:val="center"/>
          </w:tcPr>
          <w:p w14:paraId="3B679812"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1041C6EE" w14:textId="77777777" w:rsidR="007412F8" w:rsidRPr="00687BD6" w:rsidRDefault="007412F8" w:rsidP="004F78B0">
            <w:pPr>
              <w:spacing w:line="240" w:lineRule="auto"/>
              <w:jc w:val="center"/>
              <w:rPr>
                <w:sz w:val="16"/>
                <w:szCs w:val="16"/>
              </w:rPr>
            </w:pPr>
            <w:r w:rsidRPr="00687BD6">
              <w:rPr>
                <w:sz w:val="16"/>
                <w:szCs w:val="16"/>
              </w:rPr>
              <w:t>90%</w:t>
            </w:r>
          </w:p>
        </w:tc>
      </w:tr>
      <w:tr w:rsidR="00C07BC6" w:rsidRPr="00687BD6" w14:paraId="2BC97C87" w14:textId="77777777" w:rsidTr="008D6400">
        <w:tc>
          <w:tcPr>
            <w:tcW w:w="709" w:type="dxa"/>
            <w:vMerge/>
          </w:tcPr>
          <w:p w14:paraId="362C6A51" w14:textId="77777777" w:rsidR="007412F8" w:rsidRPr="00687BD6" w:rsidRDefault="007412F8" w:rsidP="00687BD6">
            <w:pPr>
              <w:spacing w:line="240" w:lineRule="auto"/>
              <w:rPr>
                <w:sz w:val="16"/>
                <w:szCs w:val="16"/>
              </w:rPr>
            </w:pPr>
          </w:p>
        </w:tc>
        <w:tc>
          <w:tcPr>
            <w:tcW w:w="567" w:type="dxa"/>
            <w:vAlign w:val="center"/>
          </w:tcPr>
          <w:p w14:paraId="60F78063" w14:textId="77777777" w:rsidR="007412F8" w:rsidRPr="00687BD6" w:rsidRDefault="007412F8" w:rsidP="004F78B0">
            <w:pPr>
              <w:spacing w:line="240" w:lineRule="auto"/>
              <w:jc w:val="center"/>
              <w:rPr>
                <w:sz w:val="16"/>
                <w:szCs w:val="16"/>
              </w:rPr>
            </w:pPr>
            <w:r w:rsidRPr="00687BD6">
              <w:rPr>
                <w:sz w:val="16"/>
                <w:szCs w:val="16"/>
              </w:rPr>
              <w:t>36</w:t>
            </w:r>
          </w:p>
        </w:tc>
        <w:tc>
          <w:tcPr>
            <w:tcW w:w="6662" w:type="dxa"/>
            <w:vAlign w:val="center"/>
          </w:tcPr>
          <w:p w14:paraId="12054370" w14:textId="28448E06" w:rsidR="007412F8" w:rsidRPr="00687BD6" w:rsidRDefault="007412F8" w:rsidP="004F78B0">
            <w:pPr>
              <w:spacing w:line="240" w:lineRule="auto"/>
              <w:jc w:val="left"/>
              <w:rPr>
                <w:sz w:val="16"/>
                <w:szCs w:val="16"/>
              </w:rPr>
            </w:pPr>
            <w:r w:rsidRPr="00687BD6">
              <w:rPr>
                <w:sz w:val="16"/>
                <w:szCs w:val="16"/>
              </w:rPr>
              <w:t>Proportion of patients presenting with mild*</w:t>
            </w:r>
            <w:r w:rsidR="00CB3B14">
              <w:rPr>
                <w:sz w:val="16"/>
                <w:szCs w:val="16"/>
              </w:rPr>
              <w:t>*</w:t>
            </w:r>
            <w:r w:rsidR="00CB3B14" w:rsidRPr="00687BD6">
              <w:rPr>
                <w:sz w:val="16"/>
                <w:szCs w:val="16"/>
              </w:rPr>
              <w:t xml:space="preserve"> SSTIs</w:t>
            </w:r>
            <w:r w:rsidRPr="00687BD6">
              <w:rPr>
                <w:sz w:val="16"/>
                <w:szCs w:val="16"/>
              </w:rPr>
              <w:t xml:space="preserve"> given any oral Watch antibiotic</w:t>
            </w:r>
          </w:p>
        </w:tc>
        <w:tc>
          <w:tcPr>
            <w:tcW w:w="567" w:type="dxa"/>
            <w:vAlign w:val="center"/>
          </w:tcPr>
          <w:p w14:paraId="6EF8E19F" w14:textId="77777777" w:rsidR="007412F8" w:rsidRPr="00687BD6" w:rsidRDefault="007412F8" w:rsidP="004F78B0">
            <w:pPr>
              <w:spacing w:line="240" w:lineRule="auto"/>
              <w:jc w:val="center"/>
              <w:rPr>
                <w:sz w:val="16"/>
                <w:szCs w:val="16"/>
              </w:rPr>
            </w:pPr>
            <w:r w:rsidRPr="00687BD6">
              <w:rPr>
                <w:sz w:val="16"/>
                <w:szCs w:val="16"/>
              </w:rPr>
              <w:t>9</w:t>
            </w:r>
          </w:p>
        </w:tc>
        <w:tc>
          <w:tcPr>
            <w:tcW w:w="567" w:type="dxa"/>
            <w:vAlign w:val="center"/>
          </w:tcPr>
          <w:p w14:paraId="5CF48AF8" w14:textId="77777777" w:rsidR="007412F8" w:rsidRPr="00687BD6" w:rsidRDefault="007412F8" w:rsidP="004F78B0">
            <w:pPr>
              <w:spacing w:line="240" w:lineRule="auto"/>
              <w:jc w:val="center"/>
              <w:rPr>
                <w:sz w:val="16"/>
                <w:szCs w:val="16"/>
              </w:rPr>
            </w:pPr>
            <w:r w:rsidRPr="00687BD6">
              <w:rPr>
                <w:sz w:val="16"/>
                <w:szCs w:val="16"/>
              </w:rPr>
              <w:t>E</w:t>
            </w:r>
          </w:p>
        </w:tc>
        <w:tc>
          <w:tcPr>
            <w:tcW w:w="709" w:type="dxa"/>
            <w:vAlign w:val="center"/>
          </w:tcPr>
          <w:p w14:paraId="2C842FD3" w14:textId="77777777" w:rsidR="007412F8" w:rsidRPr="00687BD6" w:rsidRDefault="007412F8" w:rsidP="004F78B0">
            <w:pPr>
              <w:spacing w:line="240" w:lineRule="auto"/>
              <w:jc w:val="center"/>
              <w:rPr>
                <w:sz w:val="16"/>
                <w:szCs w:val="16"/>
              </w:rPr>
            </w:pPr>
            <w:r w:rsidRPr="00687BD6">
              <w:rPr>
                <w:sz w:val="16"/>
                <w:szCs w:val="16"/>
              </w:rPr>
              <w:t>70%</w:t>
            </w:r>
          </w:p>
        </w:tc>
        <w:tc>
          <w:tcPr>
            <w:tcW w:w="567" w:type="dxa"/>
            <w:vAlign w:val="center"/>
          </w:tcPr>
          <w:p w14:paraId="662B826C" w14:textId="77777777" w:rsidR="007412F8" w:rsidRPr="00687BD6" w:rsidRDefault="007412F8" w:rsidP="004F78B0">
            <w:pPr>
              <w:spacing w:line="240" w:lineRule="auto"/>
              <w:jc w:val="center"/>
              <w:rPr>
                <w:sz w:val="16"/>
                <w:szCs w:val="16"/>
              </w:rPr>
            </w:pPr>
            <w:r w:rsidRPr="00687BD6">
              <w:rPr>
                <w:sz w:val="16"/>
                <w:szCs w:val="16"/>
              </w:rPr>
              <w:t>7</w:t>
            </w:r>
          </w:p>
        </w:tc>
        <w:tc>
          <w:tcPr>
            <w:tcW w:w="567" w:type="dxa"/>
            <w:vAlign w:val="center"/>
          </w:tcPr>
          <w:p w14:paraId="2E376218"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1DBB0C09" w14:textId="77777777" w:rsidR="007412F8" w:rsidRPr="00687BD6" w:rsidRDefault="007412F8" w:rsidP="004F78B0">
            <w:pPr>
              <w:spacing w:line="240" w:lineRule="auto"/>
              <w:jc w:val="center"/>
              <w:rPr>
                <w:sz w:val="16"/>
                <w:szCs w:val="16"/>
              </w:rPr>
            </w:pPr>
            <w:r w:rsidRPr="00687BD6">
              <w:rPr>
                <w:sz w:val="16"/>
                <w:szCs w:val="16"/>
              </w:rPr>
              <w:t>90%</w:t>
            </w:r>
          </w:p>
        </w:tc>
      </w:tr>
      <w:tr w:rsidR="00C07BC6" w:rsidRPr="00687BD6" w14:paraId="731804B8" w14:textId="77777777" w:rsidTr="008D6400">
        <w:tc>
          <w:tcPr>
            <w:tcW w:w="709" w:type="dxa"/>
            <w:vMerge/>
          </w:tcPr>
          <w:p w14:paraId="6BBB16EA" w14:textId="77777777" w:rsidR="007412F8" w:rsidRPr="00687BD6" w:rsidRDefault="007412F8" w:rsidP="00687BD6">
            <w:pPr>
              <w:spacing w:line="240" w:lineRule="auto"/>
              <w:rPr>
                <w:sz w:val="16"/>
                <w:szCs w:val="16"/>
              </w:rPr>
            </w:pPr>
          </w:p>
        </w:tc>
        <w:tc>
          <w:tcPr>
            <w:tcW w:w="567" w:type="dxa"/>
            <w:vAlign w:val="center"/>
          </w:tcPr>
          <w:p w14:paraId="036B00FA" w14:textId="77777777" w:rsidR="007412F8" w:rsidRPr="00687BD6" w:rsidRDefault="007412F8" w:rsidP="004F78B0">
            <w:pPr>
              <w:spacing w:line="240" w:lineRule="auto"/>
              <w:jc w:val="center"/>
              <w:rPr>
                <w:sz w:val="16"/>
                <w:szCs w:val="16"/>
              </w:rPr>
            </w:pPr>
            <w:r w:rsidRPr="00687BD6">
              <w:rPr>
                <w:sz w:val="16"/>
                <w:szCs w:val="16"/>
              </w:rPr>
              <w:t>37</w:t>
            </w:r>
          </w:p>
        </w:tc>
        <w:tc>
          <w:tcPr>
            <w:tcW w:w="6662" w:type="dxa"/>
            <w:vAlign w:val="center"/>
          </w:tcPr>
          <w:p w14:paraId="3B1134F0" w14:textId="6866E054" w:rsidR="007412F8" w:rsidRPr="00687BD6" w:rsidRDefault="007412F8" w:rsidP="004F78B0">
            <w:pPr>
              <w:spacing w:line="240" w:lineRule="auto"/>
              <w:jc w:val="left"/>
              <w:rPr>
                <w:sz w:val="16"/>
                <w:szCs w:val="16"/>
              </w:rPr>
            </w:pPr>
            <w:r w:rsidRPr="00687BD6">
              <w:rPr>
                <w:sz w:val="16"/>
                <w:szCs w:val="16"/>
              </w:rPr>
              <w:t>Proportion of patients presenting with mild*</w:t>
            </w:r>
            <w:r w:rsidR="00CB3B14">
              <w:rPr>
                <w:sz w:val="16"/>
                <w:szCs w:val="16"/>
              </w:rPr>
              <w:t>*</w:t>
            </w:r>
            <w:r w:rsidR="00CB3B14" w:rsidRPr="00687BD6">
              <w:rPr>
                <w:sz w:val="16"/>
                <w:szCs w:val="16"/>
              </w:rPr>
              <w:t xml:space="preserve"> SSTIs</w:t>
            </w:r>
            <w:r w:rsidRPr="00687BD6">
              <w:rPr>
                <w:sz w:val="16"/>
                <w:szCs w:val="16"/>
              </w:rPr>
              <w:t xml:space="preserve"> given the duration in days of oral antibiotics recommended in the WHO AWaRe Antibiotic Book</w:t>
            </w:r>
          </w:p>
        </w:tc>
        <w:tc>
          <w:tcPr>
            <w:tcW w:w="567" w:type="dxa"/>
            <w:vAlign w:val="center"/>
          </w:tcPr>
          <w:p w14:paraId="1E28A4EB" w14:textId="77777777" w:rsidR="007412F8" w:rsidRPr="00687BD6" w:rsidRDefault="007412F8" w:rsidP="004F78B0">
            <w:pPr>
              <w:spacing w:line="240" w:lineRule="auto"/>
              <w:jc w:val="center"/>
              <w:rPr>
                <w:sz w:val="16"/>
                <w:szCs w:val="16"/>
              </w:rPr>
            </w:pPr>
            <w:r w:rsidRPr="00687BD6">
              <w:rPr>
                <w:sz w:val="16"/>
                <w:szCs w:val="16"/>
              </w:rPr>
              <w:t>9</w:t>
            </w:r>
          </w:p>
        </w:tc>
        <w:tc>
          <w:tcPr>
            <w:tcW w:w="567" w:type="dxa"/>
            <w:vAlign w:val="center"/>
          </w:tcPr>
          <w:p w14:paraId="184B9B06"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2786EBE1" w14:textId="77777777" w:rsidR="007412F8" w:rsidRPr="00687BD6" w:rsidRDefault="007412F8" w:rsidP="004F78B0">
            <w:pPr>
              <w:spacing w:line="240" w:lineRule="auto"/>
              <w:jc w:val="center"/>
              <w:rPr>
                <w:sz w:val="16"/>
                <w:szCs w:val="16"/>
              </w:rPr>
            </w:pPr>
            <w:r w:rsidRPr="00687BD6">
              <w:rPr>
                <w:sz w:val="16"/>
                <w:szCs w:val="16"/>
              </w:rPr>
              <w:t>90%</w:t>
            </w:r>
          </w:p>
        </w:tc>
        <w:tc>
          <w:tcPr>
            <w:tcW w:w="567" w:type="dxa"/>
            <w:vAlign w:val="center"/>
          </w:tcPr>
          <w:p w14:paraId="7E13E123"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5BB10A14"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31DC7F9A" w14:textId="77777777" w:rsidR="007412F8" w:rsidRPr="00687BD6" w:rsidRDefault="007412F8" w:rsidP="004F78B0">
            <w:pPr>
              <w:spacing w:line="240" w:lineRule="auto"/>
              <w:jc w:val="center"/>
              <w:rPr>
                <w:sz w:val="16"/>
                <w:szCs w:val="16"/>
              </w:rPr>
            </w:pPr>
            <w:r w:rsidRPr="00687BD6">
              <w:rPr>
                <w:sz w:val="16"/>
                <w:szCs w:val="16"/>
              </w:rPr>
              <w:t>90%</w:t>
            </w:r>
          </w:p>
        </w:tc>
      </w:tr>
      <w:tr w:rsidR="00C07BC6" w:rsidRPr="00687BD6" w14:paraId="40C99B4E" w14:textId="77777777" w:rsidTr="008D6400">
        <w:tc>
          <w:tcPr>
            <w:tcW w:w="709" w:type="dxa"/>
            <w:vMerge/>
          </w:tcPr>
          <w:p w14:paraId="7B79F582" w14:textId="77777777" w:rsidR="007412F8" w:rsidRPr="00687BD6" w:rsidRDefault="007412F8" w:rsidP="00687BD6">
            <w:pPr>
              <w:spacing w:line="240" w:lineRule="auto"/>
              <w:rPr>
                <w:sz w:val="16"/>
                <w:szCs w:val="16"/>
              </w:rPr>
            </w:pPr>
          </w:p>
        </w:tc>
        <w:tc>
          <w:tcPr>
            <w:tcW w:w="567" w:type="dxa"/>
            <w:vAlign w:val="center"/>
          </w:tcPr>
          <w:p w14:paraId="10CC875F" w14:textId="77777777" w:rsidR="007412F8" w:rsidRPr="00687BD6" w:rsidRDefault="007412F8" w:rsidP="004F78B0">
            <w:pPr>
              <w:spacing w:line="240" w:lineRule="auto"/>
              <w:jc w:val="center"/>
              <w:rPr>
                <w:sz w:val="16"/>
                <w:szCs w:val="16"/>
              </w:rPr>
            </w:pPr>
            <w:r w:rsidRPr="00687BD6">
              <w:rPr>
                <w:sz w:val="16"/>
                <w:szCs w:val="16"/>
              </w:rPr>
              <w:t>38</w:t>
            </w:r>
          </w:p>
        </w:tc>
        <w:tc>
          <w:tcPr>
            <w:tcW w:w="6662" w:type="dxa"/>
            <w:vAlign w:val="center"/>
          </w:tcPr>
          <w:p w14:paraId="117206D4" w14:textId="2F2E9908" w:rsidR="007412F8" w:rsidRPr="00687BD6" w:rsidRDefault="007412F8" w:rsidP="004F78B0">
            <w:pPr>
              <w:spacing w:line="240" w:lineRule="auto"/>
              <w:jc w:val="left"/>
              <w:rPr>
                <w:sz w:val="16"/>
                <w:szCs w:val="16"/>
              </w:rPr>
            </w:pPr>
            <w:r w:rsidRPr="00687BD6">
              <w:rPr>
                <w:sz w:val="16"/>
                <w:szCs w:val="16"/>
              </w:rPr>
              <w:t>Proportion of patients presenting with mild*</w:t>
            </w:r>
            <w:r w:rsidR="00CB3B14">
              <w:rPr>
                <w:sz w:val="16"/>
                <w:szCs w:val="16"/>
              </w:rPr>
              <w:t>*</w:t>
            </w:r>
            <w:r w:rsidR="00CB3B14" w:rsidRPr="00687BD6">
              <w:rPr>
                <w:sz w:val="16"/>
                <w:szCs w:val="16"/>
              </w:rPr>
              <w:t xml:space="preserve"> SSTIs</w:t>
            </w:r>
            <w:r w:rsidRPr="00687BD6">
              <w:rPr>
                <w:sz w:val="16"/>
                <w:szCs w:val="16"/>
              </w:rPr>
              <w:t xml:space="preserve"> prescribed the total daily dose of oral antibiotics recommended in the WHO AWaRe Antibiotic Book</w:t>
            </w:r>
          </w:p>
        </w:tc>
        <w:tc>
          <w:tcPr>
            <w:tcW w:w="567" w:type="dxa"/>
            <w:vAlign w:val="center"/>
          </w:tcPr>
          <w:p w14:paraId="5E7CB926"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71D7C13E"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7D1D4A93" w14:textId="77777777" w:rsidR="007412F8" w:rsidRPr="00687BD6" w:rsidRDefault="007412F8" w:rsidP="004F78B0">
            <w:pPr>
              <w:spacing w:line="240" w:lineRule="auto"/>
              <w:jc w:val="center"/>
              <w:rPr>
                <w:sz w:val="16"/>
                <w:szCs w:val="16"/>
              </w:rPr>
            </w:pPr>
            <w:r w:rsidRPr="00687BD6">
              <w:rPr>
                <w:sz w:val="16"/>
                <w:szCs w:val="16"/>
              </w:rPr>
              <w:t>90%</w:t>
            </w:r>
          </w:p>
        </w:tc>
        <w:tc>
          <w:tcPr>
            <w:tcW w:w="567" w:type="dxa"/>
            <w:vAlign w:val="center"/>
          </w:tcPr>
          <w:p w14:paraId="67C2EEB3"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3C4C2843"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50B16702" w14:textId="77777777" w:rsidR="007412F8" w:rsidRPr="00687BD6" w:rsidRDefault="007412F8" w:rsidP="004F78B0">
            <w:pPr>
              <w:spacing w:line="240" w:lineRule="auto"/>
              <w:jc w:val="center"/>
              <w:rPr>
                <w:sz w:val="16"/>
                <w:szCs w:val="16"/>
              </w:rPr>
            </w:pPr>
            <w:r w:rsidRPr="00687BD6">
              <w:rPr>
                <w:sz w:val="16"/>
                <w:szCs w:val="16"/>
              </w:rPr>
              <w:t>90%</w:t>
            </w:r>
          </w:p>
        </w:tc>
      </w:tr>
      <w:tr w:rsidR="00C07BC6" w:rsidRPr="00687BD6" w14:paraId="37D1556B" w14:textId="77777777" w:rsidTr="008D6400">
        <w:tc>
          <w:tcPr>
            <w:tcW w:w="709" w:type="dxa"/>
            <w:vMerge w:val="restart"/>
          </w:tcPr>
          <w:p w14:paraId="1157E88A" w14:textId="38E549AD" w:rsidR="007412F8" w:rsidRPr="00687BD6" w:rsidRDefault="00524D1F" w:rsidP="00687BD6">
            <w:pPr>
              <w:spacing w:line="240" w:lineRule="auto"/>
              <w:rPr>
                <w:b/>
                <w:bCs/>
                <w:sz w:val="16"/>
                <w:szCs w:val="16"/>
              </w:rPr>
            </w:pPr>
            <w:r w:rsidRPr="00687BD6">
              <w:rPr>
                <w:b/>
                <w:bCs/>
                <w:sz w:val="16"/>
                <w:szCs w:val="16"/>
              </w:rPr>
              <w:t>Diarrhea &amp;</w:t>
            </w:r>
            <w:r w:rsidR="007412F8" w:rsidRPr="00687BD6">
              <w:rPr>
                <w:b/>
                <w:bCs/>
                <w:sz w:val="16"/>
                <w:szCs w:val="16"/>
              </w:rPr>
              <w:t xml:space="preserve"> enteric fever (n=9)</w:t>
            </w:r>
          </w:p>
        </w:tc>
        <w:tc>
          <w:tcPr>
            <w:tcW w:w="567" w:type="dxa"/>
            <w:vAlign w:val="center"/>
          </w:tcPr>
          <w:p w14:paraId="7480AA81" w14:textId="77777777" w:rsidR="007412F8" w:rsidRPr="00687BD6" w:rsidRDefault="007412F8" w:rsidP="004F78B0">
            <w:pPr>
              <w:spacing w:line="240" w:lineRule="auto"/>
              <w:jc w:val="center"/>
              <w:rPr>
                <w:sz w:val="16"/>
                <w:szCs w:val="16"/>
              </w:rPr>
            </w:pPr>
            <w:r w:rsidRPr="00687BD6">
              <w:rPr>
                <w:sz w:val="16"/>
                <w:szCs w:val="16"/>
              </w:rPr>
              <w:t>39</w:t>
            </w:r>
          </w:p>
        </w:tc>
        <w:tc>
          <w:tcPr>
            <w:tcW w:w="6662" w:type="dxa"/>
            <w:vAlign w:val="center"/>
          </w:tcPr>
          <w:p w14:paraId="071A15CC" w14:textId="29B182A7" w:rsidR="007412F8" w:rsidRPr="00687BD6" w:rsidRDefault="007412F8" w:rsidP="004F78B0">
            <w:pPr>
              <w:spacing w:line="240" w:lineRule="auto"/>
              <w:jc w:val="left"/>
              <w:rPr>
                <w:sz w:val="16"/>
                <w:szCs w:val="16"/>
              </w:rPr>
            </w:pPr>
            <w:r w:rsidRPr="00687BD6">
              <w:rPr>
                <w:sz w:val="16"/>
                <w:szCs w:val="16"/>
              </w:rPr>
              <w:t xml:space="preserve">Proportion of all patients presenting with high-risk* acute infectious non-bloody </w:t>
            </w:r>
            <w:r w:rsidR="00C41D7E" w:rsidRPr="00687BD6">
              <w:rPr>
                <w:sz w:val="16"/>
                <w:szCs w:val="16"/>
              </w:rPr>
              <w:t>diarrhea</w:t>
            </w:r>
            <w:r w:rsidRPr="00687BD6">
              <w:rPr>
                <w:sz w:val="16"/>
                <w:szCs w:val="16"/>
              </w:rPr>
              <w:t xml:space="preserve"> given any oral Watch antibiotic</w:t>
            </w:r>
          </w:p>
        </w:tc>
        <w:tc>
          <w:tcPr>
            <w:tcW w:w="567" w:type="dxa"/>
            <w:vAlign w:val="center"/>
          </w:tcPr>
          <w:p w14:paraId="0EC2DB33"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645FEDD2"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4F337744" w14:textId="77777777" w:rsidR="007412F8" w:rsidRPr="00687BD6" w:rsidRDefault="007412F8" w:rsidP="004F78B0">
            <w:pPr>
              <w:spacing w:line="240" w:lineRule="auto"/>
              <w:jc w:val="center"/>
              <w:rPr>
                <w:sz w:val="16"/>
                <w:szCs w:val="16"/>
              </w:rPr>
            </w:pPr>
            <w:r w:rsidRPr="00687BD6">
              <w:rPr>
                <w:sz w:val="16"/>
                <w:szCs w:val="16"/>
              </w:rPr>
              <w:t>100%</w:t>
            </w:r>
          </w:p>
        </w:tc>
        <w:tc>
          <w:tcPr>
            <w:tcW w:w="567" w:type="dxa"/>
            <w:vAlign w:val="center"/>
          </w:tcPr>
          <w:p w14:paraId="04734DB7" w14:textId="77777777" w:rsidR="007412F8" w:rsidRPr="00687BD6" w:rsidRDefault="007412F8" w:rsidP="004F78B0">
            <w:pPr>
              <w:spacing w:line="240" w:lineRule="auto"/>
              <w:jc w:val="center"/>
              <w:rPr>
                <w:sz w:val="16"/>
                <w:szCs w:val="16"/>
              </w:rPr>
            </w:pPr>
            <w:r w:rsidRPr="00687BD6">
              <w:rPr>
                <w:sz w:val="16"/>
                <w:szCs w:val="16"/>
              </w:rPr>
              <w:t>7</w:t>
            </w:r>
          </w:p>
        </w:tc>
        <w:tc>
          <w:tcPr>
            <w:tcW w:w="567" w:type="dxa"/>
            <w:vAlign w:val="center"/>
          </w:tcPr>
          <w:p w14:paraId="56790912"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7C5DDC17" w14:textId="77777777" w:rsidR="007412F8" w:rsidRPr="00687BD6" w:rsidRDefault="007412F8" w:rsidP="004F78B0">
            <w:pPr>
              <w:spacing w:line="240" w:lineRule="auto"/>
              <w:jc w:val="center"/>
              <w:rPr>
                <w:sz w:val="16"/>
                <w:szCs w:val="16"/>
              </w:rPr>
            </w:pPr>
            <w:r w:rsidRPr="00687BD6">
              <w:rPr>
                <w:sz w:val="16"/>
                <w:szCs w:val="16"/>
              </w:rPr>
              <w:t>90%</w:t>
            </w:r>
          </w:p>
        </w:tc>
      </w:tr>
      <w:tr w:rsidR="00C07BC6" w:rsidRPr="00687BD6" w14:paraId="50A321EB" w14:textId="77777777" w:rsidTr="008D6400">
        <w:tc>
          <w:tcPr>
            <w:tcW w:w="709" w:type="dxa"/>
            <w:vMerge/>
          </w:tcPr>
          <w:p w14:paraId="74C6B579" w14:textId="77777777" w:rsidR="007412F8" w:rsidRPr="00687BD6" w:rsidRDefault="007412F8" w:rsidP="00687BD6">
            <w:pPr>
              <w:spacing w:line="240" w:lineRule="auto"/>
              <w:rPr>
                <w:b/>
                <w:bCs/>
                <w:sz w:val="16"/>
                <w:szCs w:val="16"/>
              </w:rPr>
            </w:pPr>
          </w:p>
        </w:tc>
        <w:tc>
          <w:tcPr>
            <w:tcW w:w="567" w:type="dxa"/>
            <w:vAlign w:val="center"/>
          </w:tcPr>
          <w:p w14:paraId="062CC75D" w14:textId="77777777" w:rsidR="007412F8" w:rsidRPr="00687BD6" w:rsidRDefault="007412F8" w:rsidP="004F78B0">
            <w:pPr>
              <w:spacing w:line="240" w:lineRule="auto"/>
              <w:jc w:val="center"/>
              <w:rPr>
                <w:sz w:val="16"/>
                <w:szCs w:val="16"/>
              </w:rPr>
            </w:pPr>
            <w:r w:rsidRPr="00687BD6">
              <w:rPr>
                <w:sz w:val="16"/>
                <w:szCs w:val="16"/>
              </w:rPr>
              <w:t>40</w:t>
            </w:r>
          </w:p>
        </w:tc>
        <w:tc>
          <w:tcPr>
            <w:tcW w:w="6662" w:type="dxa"/>
            <w:vAlign w:val="center"/>
          </w:tcPr>
          <w:p w14:paraId="7EE8FD8B" w14:textId="19EE03BB" w:rsidR="007412F8" w:rsidRPr="00687BD6" w:rsidRDefault="007412F8" w:rsidP="004F78B0">
            <w:pPr>
              <w:spacing w:line="240" w:lineRule="auto"/>
              <w:jc w:val="left"/>
              <w:rPr>
                <w:sz w:val="16"/>
                <w:szCs w:val="16"/>
              </w:rPr>
            </w:pPr>
            <w:r w:rsidRPr="00687BD6">
              <w:rPr>
                <w:sz w:val="16"/>
                <w:szCs w:val="16"/>
              </w:rPr>
              <w:t xml:space="preserve">Proportion of all patients presenting with acute infectious non-bloody </w:t>
            </w:r>
            <w:r w:rsidR="00C41D7E" w:rsidRPr="00687BD6">
              <w:rPr>
                <w:sz w:val="16"/>
                <w:szCs w:val="16"/>
              </w:rPr>
              <w:t>diarrhea</w:t>
            </w:r>
            <w:r w:rsidRPr="00687BD6">
              <w:rPr>
                <w:sz w:val="16"/>
                <w:szCs w:val="16"/>
              </w:rPr>
              <w:t xml:space="preserve"> given oral antibiotics</w:t>
            </w:r>
          </w:p>
        </w:tc>
        <w:tc>
          <w:tcPr>
            <w:tcW w:w="567" w:type="dxa"/>
            <w:vAlign w:val="center"/>
          </w:tcPr>
          <w:p w14:paraId="4B53B7A1" w14:textId="77777777" w:rsidR="007412F8" w:rsidRPr="00687BD6" w:rsidRDefault="007412F8" w:rsidP="004F78B0">
            <w:pPr>
              <w:spacing w:line="240" w:lineRule="auto"/>
              <w:jc w:val="center"/>
              <w:rPr>
                <w:sz w:val="16"/>
                <w:szCs w:val="16"/>
              </w:rPr>
            </w:pPr>
            <w:r w:rsidRPr="00687BD6">
              <w:rPr>
                <w:sz w:val="16"/>
                <w:szCs w:val="16"/>
              </w:rPr>
              <w:t>9</w:t>
            </w:r>
          </w:p>
        </w:tc>
        <w:tc>
          <w:tcPr>
            <w:tcW w:w="567" w:type="dxa"/>
            <w:vAlign w:val="center"/>
          </w:tcPr>
          <w:p w14:paraId="65B87853" w14:textId="77777777" w:rsidR="007412F8" w:rsidRPr="00687BD6" w:rsidRDefault="007412F8" w:rsidP="004F78B0">
            <w:pPr>
              <w:spacing w:line="240" w:lineRule="auto"/>
              <w:jc w:val="center"/>
              <w:rPr>
                <w:sz w:val="16"/>
                <w:szCs w:val="16"/>
              </w:rPr>
            </w:pPr>
            <w:r w:rsidRPr="00687BD6">
              <w:rPr>
                <w:sz w:val="16"/>
                <w:szCs w:val="16"/>
              </w:rPr>
              <w:t>E</w:t>
            </w:r>
          </w:p>
        </w:tc>
        <w:tc>
          <w:tcPr>
            <w:tcW w:w="709" w:type="dxa"/>
            <w:vAlign w:val="center"/>
          </w:tcPr>
          <w:p w14:paraId="70ECE403" w14:textId="77777777" w:rsidR="007412F8" w:rsidRPr="00687BD6" w:rsidRDefault="007412F8" w:rsidP="004F78B0">
            <w:pPr>
              <w:spacing w:line="240" w:lineRule="auto"/>
              <w:jc w:val="center"/>
              <w:rPr>
                <w:sz w:val="16"/>
                <w:szCs w:val="16"/>
              </w:rPr>
            </w:pPr>
            <w:r w:rsidRPr="00687BD6">
              <w:rPr>
                <w:sz w:val="16"/>
                <w:szCs w:val="16"/>
              </w:rPr>
              <w:t>70%</w:t>
            </w:r>
          </w:p>
        </w:tc>
        <w:tc>
          <w:tcPr>
            <w:tcW w:w="567" w:type="dxa"/>
            <w:vAlign w:val="center"/>
          </w:tcPr>
          <w:p w14:paraId="4AF43B74"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1699AE6E" w14:textId="77777777" w:rsidR="007412F8" w:rsidRPr="00687BD6" w:rsidRDefault="007412F8" w:rsidP="004F78B0">
            <w:pPr>
              <w:spacing w:line="240" w:lineRule="auto"/>
              <w:jc w:val="center"/>
              <w:rPr>
                <w:sz w:val="16"/>
                <w:szCs w:val="16"/>
              </w:rPr>
            </w:pPr>
            <w:r w:rsidRPr="00687BD6">
              <w:rPr>
                <w:sz w:val="16"/>
                <w:szCs w:val="16"/>
              </w:rPr>
              <w:t>E</w:t>
            </w:r>
          </w:p>
        </w:tc>
        <w:tc>
          <w:tcPr>
            <w:tcW w:w="709" w:type="dxa"/>
            <w:vAlign w:val="center"/>
          </w:tcPr>
          <w:p w14:paraId="20C56AE9" w14:textId="77777777" w:rsidR="007412F8" w:rsidRPr="00687BD6" w:rsidRDefault="007412F8" w:rsidP="004F78B0">
            <w:pPr>
              <w:spacing w:line="240" w:lineRule="auto"/>
              <w:jc w:val="center"/>
              <w:rPr>
                <w:sz w:val="16"/>
                <w:szCs w:val="16"/>
              </w:rPr>
            </w:pPr>
            <w:r w:rsidRPr="00687BD6">
              <w:rPr>
                <w:sz w:val="16"/>
                <w:szCs w:val="16"/>
              </w:rPr>
              <w:t>70%</w:t>
            </w:r>
          </w:p>
        </w:tc>
      </w:tr>
      <w:tr w:rsidR="00C07BC6" w:rsidRPr="00687BD6" w14:paraId="2F413CDA" w14:textId="77777777" w:rsidTr="008D6400">
        <w:tc>
          <w:tcPr>
            <w:tcW w:w="709" w:type="dxa"/>
            <w:vMerge/>
          </w:tcPr>
          <w:p w14:paraId="1D5913D5" w14:textId="77777777" w:rsidR="007412F8" w:rsidRPr="00687BD6" w:rsidRDefault="007412F8" w:rsidP="00687BD6">
            <w:pPr>
              <w:spacing w:line="240" w:lineRule="auto"/>
              <w:rPr>
                <w:b/>
                <w:bCs/>
                <w:sz w:val="16"/>
                <w:szCs w:val="16"/>
              </w:rPr>
            </w:pPr>
          </w:p>
        </w:tc>
        <w:tc>
          <w:tcPr>
            <w:tcW w:w="567" w:type="dxa"/>
            <w:vAlign w:val="center"/>
          </w:tcPr>
          <w:p w14:paraId="7D5A9596" w14:textId="77777777" w:rsidR="007412F8" w:rsidRPr="00687BD6" w:rsidRDefault="007412F8" w:rsidP="004F78B0">
            <w:pPr>
              <w:spacing w:line="240" w:lineRule="auto"/>
              <w:jc w:val="center"/>
              <w:rPr>
                <w:sz w:val="16"/>
                <w:szCs w:val="16"/>
              </w:rPr>
            </w:pPr>
            <w:r w:rsidRPr="00687BD6">
              <w:rPr>
                <w:sz w:val="16"/>
                <w:szCs w:val="16"/>
              </w:rPr>
              <w:t>41</w:t>
            </w:r>
          </w:p>
        </w:tc>
        <w:tc>
          <w:tcPr>
            <w:tcW w:w="6662" w:type="dxa"/>
            <w:vAlign w:val="center"/>
          </w:tcPr>
          <w:p w14:paraId="17299913" w14:textId="5B11E636" w:rsidR="007412F8" w:rsidRPr="00687BD6" w:rsidRDefault="007412F8" w:rsidP="004F78B0">
            <w:pPr>
              <w:spacing w:line="240" w:lineRule="auto"/>
              <w:jc w:val="left"/>
              <w:rPr>
                <w:sz w:val="16"/>
                <w:szCs w:val="16"/>
              </w:rPr>
            </w:pPr>
            <w:r w:rsidRPr="00687BD6">
              <w:rPr>
                <w:sz w:val="16"/>
                <w:szCs w:val="16"/>
              </w:rPr>
              <w:t xml:space="preserve">Proportion of all patients presenting with high-risk* acute infectious non-bloody </w:t>
            </w:r>
            <w:r w:rsidR="00C41D7E" w:rsidRPr="00687BD6">
              <w:rPr>
                <w:sz w:val="16"/>
                <w:szCs w:val="16"/>
              </w:rPr>
              <w:t>diarrhea</w:t>
            </w:r>
            <w:r w:rsidRPr="00687BD6">
              <w:rPr>
                <w:sz w:val="16"/>
                <w:szCs w:val="16"/>
              </w:rPr>
              <w:t xml:space="preserve"> given any oral Access antibiotic</w:t>
            </w:r>
          </w:p>
        </w:tc>
        <w:tc>
          <w:tcPr>
            <w:tcW w:w="567" w:type="dxa"/>
            <w:vAlign w:val="center"/>
          </w:tcPr>
          <w:p w14:paraId="31E231DD" w14:textId="77777777" w:rsidR="007412F8" w:rsidRPr="00687BD6" w:rsidRDefault="007412F8" w:rsidP="004F78B0">
            <w:pPr>
              <w:spacing w:line="240" w:lineRule="auto"/>
              <w:jc w:val="center"/>
              <w:rPr>
                <w:sz w:val="16"/>
                <w:szCs w:val="16"/>
              </w:rPr>
            </w:pPr>
            <w:r w:rsidRPr="00687BD6">
              <w:rPr>
                <w:sz w:val="16"/>
                <w:szCs w:val="16"/>
              </w:rPr>
              <w:t>9</w:t>
            </w:r>
          </w:p>
        </w:tc>
        <w:tc>
          <w:tcPr>
            <w:tcW w:w="567" w:type="dxa"/>
            <w:vAlign w:val="center"/>
          </w:tcPr>
          <w:p w14:paraId="4D9FBB75" w14:textId="77777777" w:rsidR="007412F8" w:rsidRPr="00687BD6" w:rsidRDefault="007412F8" w:rsidP="004F78B0">
            <w:pPr>
              <w:spacing w:line="240" w:lineRule="auto"/>
              <w:jc w:val="center"/>
              <w:rPr>
                <w:sz w:val="16"/>
                <w:szCs w:val="16"/>
              </w:rPr>
            </w:pPr>
            <w:r w:rsidRPr="00687BD6">
              <w:rPr>
                <w:sz w:val="16"/>
                <w:szCs w:val="16"/>
              </w:rPr>
              <w:t>E</w:t>
            </w:r>
          </w:p>
        </w:tc>
        <w:tc>
          <w:tcPr>
            <w:tcW w:w="709" w:type="dxa"/>
            <w:vAlign w:val="center"/>
          </w:tcPr>
          <w:p w14:paraId="03E75EFC" w14:textId="77777777" w:rsidR="007412F8" w:rsidRPr="00687BD6" w:rsidRDefault="007412F8" w:rsidP="004F78B0">
            <w:pPr>
              <w:spacing w:line="240" w:lineRule="auto"/>
              <w:jc w:val="center"/>
              <w:rPr>
                <w:sz w:val="16"/>
                <w:szCs w:val="16"/>
              </w:rPr>
            </w:pPr>
            <w:r w:rsidRPr="00687BD6">
              <w:rPr>
                <w:sz w:val="16"/>
                <w:szCs w:val="16"/>
              </w:rPr>
              <w:t>70%</w:t>
            </w:r>
          </w:p>
        </w:tc>
        <w:tc>
          <w:tcPr>
            <w:tcW w:w="567" w:type="dxa"/>
            <w:vAlign w:val="center"/>
          </w:tcPr>
          <w:p w14:paraId="5E33971A" w14:textId="77777777" w:rsidR="007412F8" w:rsidRPr="00687BD6" w:rsidRDefault="007412F8" w:rsidP="004F78B0">
            <w:pPr>
              <w:spacing w:line="240" w:lineRule="auto"/>
              <w:jc w:val="center"/>
              <w:rPr>
                <w:sz w:val="16"/>
                <w:szCs w:val="16"/>
              </w:rPr>
            </w:pPr>
            <w:r w:rsidRPr="00687BD6">
              <w:rPr>
                <w:sz w:val="16"/>
                <w:szCs w:val="16"/>
              </w:rPr>
              <w:t>7</w:t>
            </w:r>
          </w:p>
        </w:tc>
        <w:tc>
          <w:tcPr>
            <w:tcW w:w="567" w:type="dxa"/>
            <w:vAlign w:val="center"/>
          </w:tcPr>
          <w:p w14:paraId="7C38AB11"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25079739" w14:textId="77777777" w:rsidR="007412F8" w:rsidRPr="00687BD6" w:rsidRDefault="007412F8" w:rsidP="004F78B0">
            <w:pPr>
              <w:spacing w:line="240" w:lineRule="auto"/>
              <w:jc w:val="center"/>
              <w:rPr>
                <w:sz w:val="16"/>
                <w:szCs w:val="16"/>
              </w:rPr>
            </w:pPr>
            <w:r w:rsidRPr="00687BD6">
              <w:rPr>
                <w:sz w:val="16"/>
                <w:szCs w:val="16"/>
              </w:rPr>
              <w:t>90%</w:t>
            </w:r>
          </w:p>
        </w:tc>
      </w:tr>
      <w:tr w:rsidR="00C07BC6" w:rsidRPr="00687BD6" w14:paraId="44AF67F6" w14:textId="77777777" w:rsidTr="008D6400">
        <w:tc>
          <w:tcPr>
            <w:tcW w:w="709" w:type="dxa"/>
            <w:vMerge/>
          </w:tcPr>
          <w:p w14:paraId="74C8342F" w14:textId="77777777" w:rsidR="007412F8" w:rsidRPr="00687BD6" w:rsidRDefault="007412F8" w:rsidP="00687BD6">
            <w:pPr>
              <w:spacing w:line="240" w:lineRule="auto"/>
              <w:rPr>
                <w:sz w:val="16"/>
                <w:szCs w:val="16"/>
              </w:rPr>
            </w:pPr>
          </w:p>
        </w:tc>
        <w:tc>
          <w:tcPr>
            <w:tcW w:w="567" w:type="dxa"/>
            <w:vAlign w:val="center"/>
          </w:tcPr>
          <w:p w14:paraId="3F86E9BB" w14:textId="77777777" w:rsidR="007412F8" w:rsidRPr="00687BD6" w:rsidRDefault="007412F8" w:rsidP="004F78B0">
            <w:pPr>
              <w:spacing w:line="240" w:lineRule="auto"/>
              <w:jc w:val="center"/>
              <w:rPr>
                <w:sz w:val="16"/>
                <w:szCs w:val="16"/>
              </w:rPr>
            </w:pPr>
            <w:r w:rsidRPr="00687BD6">
              <w:rPr>
                <w:sz w:val="16"/>
                <w:szCs w:val="16"/>
              </w:rPr>
              <w:t>42</w:t>
            </w:r>
          </w:p>
        </w:tc>
        <w:tc>
          <w:tcPr>
            <w:tcW w:w="6662" w:type="dxa"/>
            <w:vAlign w:val="center"/>
          </w:tcPr>
          <w:p w14:paraId="35C1921C" w14:textId="58B9982E" w:rsidR="007412F8" w:rsidRPr="00687BD6" w:rsidRDefault="007412F8" w:rsidP="004F78B0">
            <w:pPr>
              <w:spacing w:line="240" w:lineRule="auto"/>
              <w:jc w:val="left"/>
              <w:rPr>
                <w:sz w:val="16"/>
                <w:szCs w:val="16"/>
              </w:rPr>
            </w:pPr>
            <w:r w:rsidRPr="00687BD6">
              <w:rPr>
                <w:sz w:val="16"/>
                <w:szCs w:val="16"/>
              </w:rPr>
              <w:t xml:space="preserve">Proportion of otherwise healthy patients presenting with acute infectious non-bloody </w:t>
            </w:r>
            <w:r w:rsidR="00C41D7E" w:rsidRPr="00687BD6">
              <w:rPr>
                <w:sz w:val="16"/>
                <w:szCs w:val="16"/>
              </w:rPr>
              <w:t>diarrhea</w:t>
            </w:r>
            <w:r w:rsidRPr="00687BD6">
              <w:rPr>
                <w:sz w:val="16"/>
                <w:szCs w:val="16"/>
              </w:rPr>
              <w:t xml:space="preserve"> given an oral antibiotic</w:t>
            </w:r>
          </w:p>
        </w:tc>
        <w:tc>
          <w:tcPr>
            <w:tcW w:w="567" w:type="dxa"/>
            <w:vAlign w:val="center"/>
          </w:tcPr>
          <w:p w14:paraId="5E0F1A94" w14:textId="77777777" w:rsidR="007412F8" w:rsidRPr="00687BD6" w:rsidRDefault="007412F8" w:rsidP="004F78B0">
            <w:pPr>
              <w:spacing w:line="240" w:lineRule="auto"/>
              <w:jc w:val="center"/>
              <w:rPr>
                <w:sz w:val="16"/>
                <w:szCs w:val="16"/>
              </w:rPr>
            </w:pPr>
            <w:r w:rsidRPr="00687BD6">
              <w:rPr>
                <w:sz w:val="16"/>
                <w:szCs w:val="16"/>
              </w:rPr>
              <w:t>9</w:t>
            </w:r>
          </w:p>
        </w:tc>
        <w:tc>
          <w:tcPr>
            <w:tcW w:w="567" w:type="dxa"/>
            <w:vAlign w:val="center"/>
          </w:tcPr>
          <w:p w14:paraId="047B9AE0"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14F14790" w14:textId="77777777" w:rsidR="007412F8" w:rsidRPr="00687BD6" w:rsidRDefault="007412F8" w:rsidP="004F78B0">
            <w:pPr>
              <w:spacing w:line="240" w:lineRule="auto"/>
              <w:jc w:val="center"/>
              <w:rPr>
                <w:sz w:val="16"/>
                <w:szCs w:val="16"/>
              </w:rPr>
            </w:pPr>
            <w:r w:rsidRPr="00687BD6">
              <w:rPr>
                <w:sz w:val="16"/>
                <w:szCs w:val="16"/>
              </w:rPr>
              <w:t>80%</w:t>
            </w:r>
          </w:p>
        </w:tc>
        <w:tc>
          <w:tcPr>
            <w:tcW w:w="567" w:type="dxa"/>
            <w:vAlign w:val="center"/>
          </w:tcPr>
          <w:p w14:paraId="07531E08" w14:textId="77777777" w:rsidR="007412F8" w:rsidRPr="00687BD6" w:rsidRDefault="007412F8" w:rsidP="004F78B0">
            <w:pPr>
              <w:spacing w:line="240" w:lineRule="auto"/>
              <w:jc w:val="center"/>
              <w:rPr>
                <w:sz w:val="16"/>
                <w:szCs w:val="16"/>
              </w:rPr>
            </w:pPr>
            <w:r w:rsidRPr="00687BD6">
              <w:rPr>
                <w:sz w:val="16"/>
                <w:szCs w:val="16"/>
              </w:rPr>
              <w:t>7</w:t>
            </w:r>
          </w:p>
        </w:tc>
        <w:tc>
          <w:tcPr>
            <w:tcW w:w="567" w:type="dxa"/>
            <w:vAlign w:val="center"/>
          </w:tcPr>
          <w:p w14:paraId="1AB3CDA9"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7EE57B12" w14:textId="77777777" w:rsidR="007412F8" w:rsidRPr="00687BD6" w:rsidRDefault="007412F8" w:rsidP="004F78B0">
            <w:pPr>
              <w:spacing w:line="240" w:lineRule="auto"/>
              <w:jc w:val="center"/>
              <w:rPr>
                <w:sz w:val="16"/>
                <w:szCs w:val="16"/>
              </w:rPr>
            </w:pPr>
            <w:r w:rsidRPr="00687BD6">
              <w:rPr>
                <w:sz w:val="16"/>
                <w:szCs w:val="16"/>
              </w:rPr>
              <w:t>90%</w:t>
            </w:r>
          </w:p>
        </w:tc>
      </w:tr>
      <w:tr w:rsidR="00C07BC6" w:rsidRPr="00687BD6" w14:paraId="611FD0A1" w14:textId="77777777" w:rsidTr="008D6400">
        <w:tc>
          <w:tcPr>
            <w:tcW w:w="709" w:type="dxa"/>
            <w:vMerge/>
          </w:tcPr>
          <w:p w14:paraId="18341D1D" w14:textId="77777777" w:rsidR="007412F8" w:rsidRPr="00687BD6" w:rsidRDefault="007412F8" w:rsidP="00687BD6">
            <w:pPr>
              <w:spacing w:line="240" w:lineRule="auto"/>
              <w:rPr>
                <w:sz w:val="16"/>
                <w:szCs w:val="16"/>
              </w:rPr>
            </w:pPr>
          </w:p>
        </w:tc>
        <w:tc>
          <w:tcPr>
            <w:tcW w:w="567" w:type="dxa"/>
            <w:vAlign w:val="center"/>
          </w:tcPr>
          <w:p w14:paraId="224DA5B9" w14:textId="77777777" w:rsidR="007412F8" w:rsidRPr="00687BD6" w:rsidRDefault="007412F8" w:rsidP="004F78B0">
            <w:pPr>
              <w:spacing w:line="240" w:lineRule="auto"/>
              <w:jc w:val="center"/>
              <w:rPr>
                <w:sz w:val="16"/>
                <w:szCs w:val="16"/>
              </w:rPr>
            </w:pPr>
            <w:r w:rsidRPr="00687BD6">
              <w:rPr>
                <w:sz w:val="16"/>
                <w:szCs w:val="16"/>
              </w:rPr>
              <w:t>43</w:t>
            </w:r>
          </w:p>
        </w:tc>
        <w:tc>
          <w:tcPr>
            <w:tcW w:w="6662" w:type="dxa"/>
            <w:vAlign w:val="center"/>
          </w:tcPr>
          <w:p w14:paraId="17DB68ED" w14:textId="6310127F" w:rsidR="007412F8" w:rsidRPr="00687BD6" w:rsidRDefault="007412F8" w:rsidP="004F78B0">
            <w:pPr>
              <w:spacing w:line="240" w:lineRule="auto"/>
              <w:jc w:val="left"/>
              <w:rPr>
                <w:sz w:val="16"/>
                <w:szCs w:val="16"/>
              </w:rPr>
            </w:pPr>
            <w:r w:rsidRPr="00687BD6">
              <w:rPr>
                <w:sz w:val="16"/>
                <w:szCs w:val="16"/>
              </w:rPr>
              <w:t xml:space="preserve">Proportion of patients presenting with high-risk* acute infectious non-bloody </w:t>
            </w:r>
            <w:r w:rsidR="00C41D7E" w:rsidRPr="00687BD6">
              <w:rPr>
                <w:sz w:val="16"/>
                <w:szCs w:val="16"/>
              </w:rPr>
              <w:t>diarrhea</w:t>
            </w:r>
            <w:r w:rsidRPr="00687BD6">
              <w:rPr>
                <w:sz w:val="16"/>
                <w:szCs w:val="16"/>
              </w:rPr>
              <w:t xml:space="preserve"> given the duration in days of oral antibiotics recommended in the WHO AWaRe Antibiotic Book</w:t>
            </w:r>
          </w:p>
        </w:tc>
        <w:tc>
          <w:tcPr>
            <w:tcW w:w="567" w:type="dxa"/>
            <w:vAlign w:val="center"/>
          </w:tcPr>
          <w:p w14:paraId="575500D9"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730E59DF"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089AC670" w14:textId="77777777" w:rsidR="007412F8" w:rsidRPr="00687BD6" w:rsidRDefault="007412F8" w:rsidP="004F78B0">
            <w:pPr>
              <w:spacing w:line="240" w:lineRule="auto"/>
              <w:jc w:val="center"/>
              <w:rPr>
                <w:sz w:val="16"/>
                <w:szCs w:val="16"/>
              </w:rPr>
            </w:pPr>
            <w:r w:rsidRPr="00687BD6">
              <w:rPr>
                <w:sz w:val="16"/>
                <w:szCs w:val="16"/>
              </w:rPr>
              <w:t>90%</w:t>
            </w:r>
          </w:p>
        </w:tc>
        <w:tc>
          <w:tcPr>
            <w:tcW w:w="567" w:type="dxa"/>
            <w:vAlign w:val="center"/>
          </w:tcPr>
          <w:p w14:paraId="34BB6512" w14:textId="77777777" w:rsidR="007412F8" w:rsidRPr="00687BD6" w:rsidRDefault="007412F8" w:rsidP="004F78B0">
            <w:pPr>
              <w:spacing w:line="240" w:lineRule="auto"/>
              <w:jc w:val="center"/>
              <w:rPr>
                <w:sz w:val="16"/>
                <w:szCs w:val="16"/>
              </w:rPr>
            </w:pPr>
            <w:r w:rsidRPr="00687BD6">
              <w:rPr>
                <w:sz w:val="16"/>
                <w:szCs w:val="16"/>
              </w:rPr>
              <w:t>7</w:t>
            </w:r>
          </w:p>
        </w:tc>
        <w:tc>
          <w:tcPr>
            <w:tcW w:w="567" w:type="dxa"/>
            <w:vAlign w:val="center"/>
          </w:tcPr>
          <w:p w14:paraId="142127BA"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56FDC949" w14:textId="77777777" w:rsidR="007412F8" w:rsidRPr="00687BD6" w:rsidRDefault="007412F8" w:rsidP="004F78B0">
            <w:pPr>
              <w:spacing w:line="240" w:lineRule="auto"/>
              <w:jc w:val="center"/>
              <w:rPr>
                <w:sz w:val="16"/>
                <w:szCs w:val="16"/>
              </w:rPr>
            </w:pPr>
            <w:r w:rsidRPr="00687BD6">
              <w:rPr>
                <w:sz w:val="16"/>
                <w:szCs w:val="16"/>
              </w:rPr>
              <w:t>90%</w:t>
            </w:r>
          </w:p>
        </w:tc>
      </w:tr>
      <w:tr w:rsidR="00C07BC6" w:rsidRPr="00687BD6" w14:paraId="618C94AC" w14:textId="77777777" w:rsidTr="008D6400">
        <w:tc>
          <w:tcPr>
            <w:tcW w:w="709" w:type="dxa"/>
            <w:vMerge/>
          </w:tcPr>
          <w:p w14:paraId="1C93ABE6" w14:textId="77777777" w:rsidR="007412F8" w:rsidRPr="00687BD6" w:rsidRDefault="007412F8" w:rsidP="00687BD6">
            <w:pPr>
              <w:spacing w:line="240" w:lineRule="auto"/>
              <w:rPr>
                <w:sz w:val="16"/>
                <w:szCs w:val="16"/>
              </w:rPr>
            </w:pPr>
          </w:p>
        </w:tc>
        <w:tc>
          <w:tcPr>
            <w:tcW w:w="567" w:type="dxa"/>
            <w:vAlign w:val="center"/>
          </w:tcPr>
          <w:p w14:paraId="6836503F" w14:textId="77777777" w:rsidR="007412F8" w:rsidRPr="00687BD6" w:rsidRDefault="007412F8" w:rsidP="004F78B0">
            <w:pPr>
              <w:spacing w:line="240" w:lineRule="auto"/>
              <w:jc w:val="center"/>
              <w:rPr>
                <w:sz w:val="16"/>
                <w:szCs w:val="16"/>
              </w:rPr>
            </w:pPr>
            <w:r w:rsidRPr="00687BD6">
              <w:rPr>
                <w:sz w:val="16"/>
                <w:szCs w:val="16"/>
              </w:rPr>
              <w:t>44</w:t>
            </w:r>
          </w:p>
        </w:tc>
        <w:tc>
          <w:tcPr>
            <w:tcW w:w="6662" w:type="dxa"/>
            <w:vAlign w:val="center"/>
          </w:tcPr>
          <w:p w14:paraId="06B17BD9" w14:textId="7AA280A7" w:rsidR="007412F8" w:rsidRPr="00687BD6" w:rsidRDefault="007412F8" w:rsidP="004F78B0">
            <w:pPr>
              <w:spacing w:line="240" w:lineRule="auto"/>
              <w:jc w:val="left"/>
              <w:rPr>
                <w:sz w:val="16"/>
                <w:szCs w:val="16"/>
              </w:rPr>
            </w:pPr>
            <w:r w:rsidRPr="00687BD6">
              <w:rPr>
                <w:sz w:val="16"/>
                <w:szCs w:val="16"/>
              </w:rPr>
              <w:t xml:space="preserve">Proportion of patients presenting with high-risk* acute infectious non-bloody </w:t>
            </w:r>
            <w:r w:rsidR="00C41D7E" w:rsidRPr="00687BD6">
              <w:rPr>
                <w:sz w:val="16"/>
                <w:szCs w:val="16"/>
              </w:rPr>
              <w:t>diarrhea</w:t>
            </w:r>
            <w:r w:rsidRPr="00687BD6">
              <w:rPr>
                <w:sz w:val="16"/>
                <w:szCs w:val="16"/>
              </w:rPr>
              <w:t xml:space="preserve"> prescribed the total daily dose of oral antibiotics recommended in the WHO AWaRe Antibiotic Book</w:t>
            </w:r>
          </w:p>
        </w:tc>
        <w:tc>
          <w:tcPr>
            <w:tcW w:w="567" w:type="dxa"/>
            <w:vAlign w:val="center"/>
          </w:tcPr>
          <w:p w14:paraId="61E8EA14"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3F68EE96"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3795CADB" w14:textId="77777777" w:rsidR="007412F8" w:rsidRPr="00687BD6" w:rsidRDefault="007412F8" w:rsidP="004F78B0">
            <w:pPr>
              <w:spacing w:line="240" w:lineRule="auto"/>
              <w:jc w:val="center"/>
              <w:rPr>
                <w:sz w:val="16"/>
                <w:szCs w:val="16"/>
              </w:rPr>
            </w:pPr>
            <w:r w:rsidRPr="00687BD6">
              <w:rPr>
                <w:sz w:val="16"/>
                <w:szCs w:val="16"/>
              </w:rPr>
              <w:t>90%</w:t>
            </w:r>
          </w:p>
        </w:tc>
        <w:tc>
          <w:tcPr>
            <w:tcW w:w="567" w:type="dxa"/>
            <w:vAlign w:val="center"/>
          </w:tcPr>
          <w:p w14:paraId="08940FA6" w14:textId="77777777" w:rsidR="007412F8" w:rsidRPr="00687BD6" w:rsidRDefault="007412F8" w:rsidP="004F78B0">
            <w:pPr>
              <w:spacing w:line="240" w:lineRule="auto"/>
              <w:jc w:val="center"/>
              <w:rPr>
                <w:sz w:val="16"/>
                <w:szCs w:val="16"/>
              </w:rPr>
            </w:pPr>
            <w:r w:rsidRPr="00687BD6">
              <w:rPr>
                <w:sz w:val="16"/>
                <w:szCs w:val="16"/>
              </w:rPr>
              <w:t>7</w:t>
            </w:r>
          </w:p>
        </w:tc>
        <w:tc>
          <w:tcPr>
            <w:tcW w:w="567" w:type="dxa"/>
            <w:vAlign w:val="center"/>
          </w:tcPr>
          <w:p w14:paraId="33290FD9"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4951C8AE" w14:textId="77777777" w:rsidR="007412F8" w:rsidRPr="00687BD6" w:rsidRDefault="007412F8" w:rsidP="004F78B0">
            <w:pPr>
              <w:spacing w:line="240" w:lineRule="auto"/>
              <w:jc w:val="center"/>
              <w:rPr>
                <w:sz w:val="16"/>
                <w:szCs w:val="16"/>
              </w:rPr>
            </w:pPr>
            <w:r w:rsidRPr="00687BD6">
              <w:rPr>
                <w:sz w:val="16"/>
                <w:szCs w:val="16"/>
              </w:rPr>
              <w:t>90%</w:t>
            </w:r>
          </w:p>
        </w:tc>
      </w:tr>
      <w:tr w:rsidR="00C07BC6" w:rsidRPr="00687BD6" w14:paraId="684B8CF3" w14:textId="77777777" w:rsidTr="008D6400">
        <w:tc>
          <w:tcPr>
            <w:tcW w:w="709" w:type="dxa"/>
            <w:vMerge/>
          </w:tcPr>
          <w:p w14:paraId="6930860A" w14:textId="77777777" w:rsidR="007412F8" w:rsidRPr="00687BD6" w:rsidRDefault="007412F8" w:rsidP="00687BD6">
            <w:pPr>
              <w:spacing w:line="240" w:lineRule="auto"/>
              <w:rPr>
                <w:sz w:val="16"/>
                <w:szCs w:val="16"/>
              </w:rPr>
            </w:pPr>
          </w:p>
        </w:tc>
        <w:tc>
          <w:tcPr>
            <w:tcW w:w="567" w:type="dxa"/>
            <w:vAlign w:val="center"/>
          </w:tcPr>
          <w:p w14:paraId="05931BA2" w14:textId="77777777" w:rsidR="007412F8" w:rsidRPr="00687BD6" w:rsidRDefault="007412F8" w:rsidP="004F78B0">
            <w:pPr>
              <w:spacing w:line="240" w:lineRule="auto"/>
              <w:jc w:val="center"/>
              <w:rPr>
                <w:sz w:val="16"/>
                <w:szCs w:val="16"/>
              </w:rPr>
            </w:pPr>
            <w:r w:rsidRPr="00687BD6">
              <w:rPr>
                <w:sz w:val="16"/>
                <w:szCs w:val="16"/>
              </w:rPr>
              <w:t>45</w:t>
            </w:r>
          </w:p>
        </w:tc>
        <w:tc>
          <w:tcPr>
            <w:tcW w:w="6662" w:type="dxa"/>
            <w:vAlign w:val="center"/>
          </w:tcPr>
          <w:p w14:paraId="7797BBD6" w14:textId="472E83CC" w:rsidR="007412F8" w:rsidRPr="00687BD6" w:rsidRDefault="007412F8" w:rsidP="004F78B0">
            <w:pPr>
              <w:spacing w:line="240" w:lineRule="auto"/>
              <w:jc w:val="left"/>
              <w:rPr>
                <w:sz w:val="16"/>
                <w:szCs w:val="16"/>
              </w:rPr>
            </w:pPr>
            <w:r w:rsidRPr="00687BD6">
              <w:rPr>
                <w:sz w:val="16"/>
                <w:szCs w:val="16"/>
              </w:rPr>
              <w:t xml:space="preserve">Proportion of patients with acute bloody infectious </w:t>
            </w:r>
            <w:r w:rsidR="00C41D7E" w:rsidRPr="00687BD6">
              <w:rPr>
                <w:sz w:val="16"/>
                <w:szCs w:val="16"/>
              </w:rPr>
              <w:t>diarrhea</w:t>
            </w:r>
            <w:r w:rsidRPr="00687BD6">
              <w:rPr>
                <w:sz w:val="16"/>
                <w:szCs w:val="16"/>
              </w:rPr>
              <w:t xml:space="preserve"> given oral Access or Watch antibiotics</w:t>
            </w:r>
          </w:p>
        </w:tc>
        <w:tc>
          <w:tcPr>
            <w:tcW w:w="567" w:type="dxa"/>
            <w:vAlign w:val="center"/>
          </w:tcPr>
          <w:p w14:paraId="130E0478"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1BCE2FA9"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5007257C" w14:textId="77777777" w:rsidR="007412F8" w:rsidRPr="00687BD6" w:rsidRDefault="007412F8" w:rsidP="004F78B0">
            <w:pPr>
              <w:spacing w:line="240" w:lineRule="auto"/>
              <w:jc w:val="center"/>
              <w:rPr>
                <w:sz w:val="16"/>
                <w:szCs w:val="16"/>
              </w:rPr>
            </w:pPr>
            <w:r w:rsidRPr="00687BD6">
              <w:rPr>
                <w:sz w:val="16"/>
                <w:szCs w:val="16"/>
              </w:rPr>
              <w:t>100%</w:t>
            </w:r>
          </w:p>
        </w:tc>
        <w:tc>
          <w:tcPr>
            <w:tcW w:w="567" w:type="dxa"/>
            <w:vAlign w:val="center"/>
          </w:tcPr>
          <w:p w14:paraId="3D35DDA3"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56849D04"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38888463" w14:textId="77777777" w:rsidR="007412F8" w:rsidRPr="00687BD6" w:rsidRDefault="007412F8" w:rsidP="004F78B0">
            <w:pPr>
              <w:spacing w:line="240" w:lineRule="auto"/>
              <w:jc w:val="center"/>
              <w:rPr>
                <w:sz w:val="16"/>
                <w:szCs w:val="16"/>
              </w:rPr>
            </w:pPr>
            <w:r w:rsidRPr="00687BD6">
              <w:rPr>
                <w:sz w:val="16"/>
                <w:szCs w:val="16"/>
              </w:rPr>
              <w:t>80%</w:t>
            </w:r>
          </w:p>
        </w:tc>
      </w:tr>
      <w:tr w:rsidR="00C07BC6" w:rsidRPr="00687BD6" w14:paraId="3499E08B" w14:textId="77777777" w:rsidTr="008D6400">
        <w:tc>
          <w:tcPr>
            <w:tcW w:w="709" w:type="dxa"/>
            <w:vMerge/>
          </w:tcPr>
          <w:p w14:paraId="356B2EF4" w14:textId="77777777" w:rsidR="007412F8" w:rsidRPr="00687BD6" w:rsidRDefault="007412F8" w:rsidP="00687BD6">
            <w:pPr>
              <w:spacing w:line="240" w:lineRule="auto"/>
              <w:rPr>
                <w:sz w:val="16"/>
                <w:szCs w:val="16"/>
              </w:rPr>
            </w:pPr>
          </w:p>
        </w:tc>
        <w:tc>
          <w:tcPr>
            <w:tcW w:w="567" w:type="dxa"/>
            <w:vAlign w:val="center"/>
          </w:tcPr>
          <w:p w14:paraId="6BF516F6" w14:textId="77777777" w:rsidR="007412F8" w:rsidRPr="00687BD6" w:rsidRDefault="007412F8" w:rsidP="004F78B0">
            <w:pPr>
              <w:spacing w:line="240" w:lineRule="auto"/>
              <w:jc w:val="center"/>
              <w:rPr>
                <w:sz w:val="16"/>
                <w:szCs w:val="16"/>
              </w:rPr>
            </w:pPr>
            <w:r w:rsidRPr="00687BD6">
              <w:rPr>
                <w:sz w:val="16"/>
                <w:szCs w:val="16"/>
              </w:rPr>
              <w:t>46</w:t>
            </w:r>
          </w:p>
        </w:tc>
        <w:tc>
          <w:tcPr>
            <w:tcW w:w="6662" w:type="dxa"/>
            <w:vAlign w:val="center"/>
          </w:tcPr>
          <w:p w14:paraId="347ED0C8" w14:textId="5E831022" w:rsidR="007412F8" w:rsidRPr="00687BD6" w:rsidRDefault="007412F8" w:rsidP="004F78B0">
            <w:pPr>
              <w:spacing w:line="240" w:lineRule="auto"/>
              <w:jc w:val="left"/>
              <w:rPr>
                <w:sz w:val="16"/>
                <w:szCs w:val="16"/>
              </w:rPr>
            </w:pPr>
            <w:r w:rsidRPr="00687BD6">
              <w:rPr>
                <w:sz w:val="16"/>
                <w:szCs w:val="16"/>
              </w:rPr>
              <w:t xml:space="preserve">Proportion of patients with acute bloody infectious </w:t>
            </w:r>
            <w:r w:rsidR="00C41D7E" w:rsidRPr="00687BD6">
              <w:rPr>
                <w:sz w:val="16"/>
                <w:szCs w:val="16"/>
              </w:rPr>
              <w:t>diarrhea</w:t>
            </w:r>
            <w:r w:rsidRPr="00687BD6">
              <w:rPr>
                <w:sz w:val="16"/>
                <w:szCs w:val="16"/>
              </w:rPr>
              <w:t xml:space="preserve"> given oral Access antibiotics</w:t>
            </w:r>
          </w:p>
        </w:tc>
        <w:tc>
          <w:tcPr>
            <w:tcW w:w="567" w:type="dxa"/>
            <w:vAlign w:val="center"/>
          </w:tcPr>
          <w:p w14:paraId="001C546A" w14:textId="77777777" w:rsidR="007412F8" w:rsidRPr="00687BD6" w:rsidRDefault="007412F8" w:rsidP="004F78B0">
            <w:pPr>
              <w:spacing w:line="240" w:lineRule="auto"/>
              <w:jc w:val="center"/>
              <w:rPr>
                <w:sz w:val="16"/>
                <w:szCs w:val="16"/>
              </w:rPr>
            </w:pPr>
            <w:r w:rsidRPr="00687BD6">
              <w:rPr>
                <w:sz w:val="16"/>
                <w:szCs w:val="16"/>
              </w:rPr>
              <w:t>9</w:t>
            </w:r>
          </w:p>
        </w:tc>
        <w:tc>
          <w:tcPr>
            <w:tcW w:w="567" w:type="dxa"/>
            <w:vAlign w:val="center"/>
          </w:tcPr>
          <w:p w14:paraId="59DF0C1F"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5CE0E225" w14:textId="77777777" w:rsidR="007412F8" w:rsidRPr="00687BD6" w:rsidRDefault="007412F8" w:rsidP="004F78B0">
            <w:pPr>
              <w:spacing w:line="240" w:lineRule="auto"/>
              <w:jc w:val="center"/>
              <w:rPr>
                <w:sz w:val="16"/>
                <w:szCs w:val="16"/>
              </w:rPr>
            </w:pPr>
            <w:r w:rsidRPr="00687BD6">
              <w:rPr>
                <w:sz w:val="16"/>
                <w:szCs w:val="16"/>
              </w:rPr>
              <w:t>90%</w:t>
            </w:r>
          </w:p>
        </w:tc>
        <w:tc>
          <w:tcPr>
            <w:tcW w:w="567" w:type="dxa"/>
            <w:vAlign w:val="center"/>
          </w:tcPr>
          <w:p w14:paraId="3A508859"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3E8B8F2E" w14:textId="77777777" w:rsidR="007412F8" w:rsidRPr="00687BD6" w:rsidRDefault="007412F8" w:rsidP="004F78B0">
            <w:pPr>
              <w:spacing w:line="240" w:lineRule="auto"/>
              <w:jc w:val="center"/>
              <w:rPr>
                <w:sz w:val="16"/>
                <w:szCs w:val="16"/>
              </w:rPr>
            </w:pPr>
            <w:r w:rsidRPr="00687BD6">
              <w:rPr>
                <w:sz w:val="16"/>
                <w:szCs w:val="16"/>
              </w:rPr>
              <w:t>E</w:t>
            </w:r>
          </w:p>
        </w:tc>
        <w:tc>
          <w:tcPr>
            <w:tcW w:w="709" w:type="dxa"/>
            <w:vAlign w:val="center"/>
          </w:tcPr>
          <w:p w14:paraId="0B00B12E" w14:textId="77777777" w:rsidR="007412F8" w:rsidRPr="00687BD6" w:rsidRDefault="007412F8" w:rsidP="004F78B0">
            <w:pPr>
              <w:spacing w:line="240" w:lineRule="auto"/>
              <w:jc w:val="center"/>
              <w:rPr>
                <w:sz w:val="16"/>
                <w:szCs w:val="16"/>
              </w:rPr>
            </w:pPr>
            <w:r w:rsidRPr="00687BD6">
              <w:rPr>
                <w:sz w:val="16"/>
                <w:szCs w:val="16"/>
              </w:rPr>
              <w:t>70%</w:t>
            </w:r>
          </w:p>
        </w:tc>
      </w:tr>
      <w:tr w:rsidR="00C07BC6" w:rsidRPr="00687BD6" w14:paraId="67600CCA" w14:textId="77777777" w:rsidTr="008D6400">
        <w:tc>
          <w:tcPr>
            <w:tcW w:w="709" w:type="dxa"/>
            <w:vMerge/>
          </w:tcPr>
          <w:p w14:paraId="0E47FC22" w14:textId="77777777" w:rsidR="007412F8" w:rsidRPr="00687BD6" w:rsidRDefault="007412F8" w:rsidP="00687BD6">
            <w:pPr>
              <w:spacing w:line="240" w:lineRule="auto"/>
              <w:rPr>
                <w:sz w:val="16"/>
                <w:szCs w:val="16"/>
              </w:rPr>
            </w:pPr>
          </w:p>
        </w:tc>
        <w:tc>
          <w:tcPr>
            <w:tcW w:w="567" w:type="dxa"/>
            <w:vAlign w:val="center"/>
          </w:tcPr>
          <w:p w14:paraId="7AA04A56" w14:textId="77777777" w:rsidR="007412F8" w:rsidRPr="00687BD6" w:rsidRDefault="007412F8" w:rsidP="004F78B0">
            <w:pPr>
              <w:spacing w:line="240" w:lineRule="auto"/>
              <w:jc w:val="center"/>
              <w:rPr>
                <w:sz w:val="16"/>
                <w:szCs w:val="16"/>
              </w:rPr>
            </w:pPr>
            <w:r w:rsidRPr="00687BD6">
              <w:rPr>
                <w:sz w:val="16"/>
                <w:szCs w:val="16"/>
              </w:rPr>
              <w:t>47</w:t>
            </w:r>
          </w:p>
        </w:tc>
        <w:tc>
          <w:tcPr>
            <w:tcW w:w="6662" w:type="dxa"/>
            <w:vAlign w:val="center"/>
          </w:tcPr>
          <w:p w14:paraId="7250C8F7" w14:textId="650EDF30" w:rsidR="007412F8" w:rsidRPr="00687BD6" w:rsidRDefault="007412F8" w:rsidP="004F78B0">
            <w:pPr>
              <w:spacing w:line="240" w:lineRule="auto"/>
              <w:jc w:val="left"/>
              <w:rPr>
                <w:sz w:val="16"/>
                <w:szCs w:val="16"/>
              </w:rPr>
            </w:pPr>
            <w:r w:rsidRPr="00687BD6">
              <w:rPr>
                <w:sz w:val="16"/>
                <w:szCs w:val="16"/>
              </w:rPr>
              <w:t xml:space="preserve">Proportion of patients with acute bloody infectious </w:t>
            </w:r>
            <w:r w:rsidR="00C41D7E" w:rsidRPr="00687BD6">
              <w:rPr>
                <w:sz w:val="16"/>
                <w:szCs w:val="16"/>
              </w:rPr>
              <w:t>diarrhea</w:t>
            </w:r>
            <w:r w:rsidRPr="00687BD6">
              <w:rPr>
                <w:sz w:val="16"/>
                <w:szCs w:val="16"/>
              </w:rPr>
              <w:t xml:space="preserve"> given oral Watch antibiotics</w:t>
            </w:r>
          </w:p>
        </w:tc>
        <w:tc>
          <w:tcPr>
            <w:tcW w:w="567" w:type="dxa"/>
            <w:vAlign w:val="center"/>
          </w:tcPr>
          <w:p w14:paraId="203A9229" w14:textId="77777777" w:rsidR="007412F8" w:rsidRPr="00687BD6" w:rsidRDefault="007412F8" w:rsidP="004F78B0">
            <w:pPr>
              <w:spacing w:line="240" w:lineRule="auto"/>
              <w:jc w:val="center"/>
              <w:rPr>
                <w:sz w:val="16"/>
                <w:szCs w:val="16"/>
              </w:rPr>
            </w:pPr>
            <w:r w:rsidRPr="00687BD6">
              <w:rPr>
                <w:sz w:val="16"/>
                <w:szCs w:val="16"/>
              </w:rPr>
              <w:t>9</w:t>
            </w:r>
          </w:p>
        </w:tc>
        <w:tc>
          <w:tcPr>
            <w:tcW w:w="567" w:type="dxa"/>
            <w:vAlign w:val="center"/>
          </w:tcPr>
          <w:p w14:paraId="0205EE10"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388A9402" w14:textId="77777777" w:rsidR="007412F8" w:rsidRPr="00687BD6" w:rsidRDefault="007412F8" w:rsidP="004F78B0">
            <w:pPr>
              <w:spacing w:line="240" w:lineRule="auto"/>
              <w:jc w:val="center"/>
              <w:rPr>
                <w:sz w:val="16"/>
                <w:szCs w:val="16"/>
              </w:rPr>
            </w:pPr>
            <w:r w:rsidRPr="00687BD6">
              <w:rPr>
                <w:sz w:val="16"/>
                <w:szCs w:val="16"/>
              </w:rPr>
              <w:t>80%</w:t>
            </w:r>
          </w:p>
        </w:tc>
        <w:tc>
          <w:tcPr>
            <w:tcW w:w="567" w:type="dxa"/>
            <w:vAlign w:val="center"/>
          </w:tcPr>
          <w:p w14:paraId="375CF369"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03F2D618" w14:textId="77777777" w:rsidR="007412F8" w:rsidRPr="00687BD6" w:rsidRDefault="007412F8" w:rsidP="004F78B0">
            <w:pPr>
              <w:spacing w:line="240" w:lineRule="auto"/>
              <w:jc w:val="center"/>
              <w:rPr>
                <w:sz w:val="16"/>
                <w:szCs w:val="16"/>
              </w:rPr>
            </w:pPr>
            <w:r w:rsidRPr="00687BD6">
              <w:rPr>
                <w:sz w:val="16"/>
                <w:szCs w:val="16"/>
              </w:rPr>
              <w:t>E</w:t>
            </w:r>
          </w:p>
        </w:tc>
        <w:tc>
          <w:tcPr>
            <w:tcW w:w="709" w:type="dxa"/>
            <w:vAlign w:val="center"/>
          </w:tcPr>
          <w:p w14:paraId="160C0D1F" w14:textId="77777777" w:rsidR="007412F8" w:rsidRPr="00687BD6" w:rsidRDefault="007412F8" w:rsidP="004F78B0">
            <w:pPr>
              <w:spacing w:line="240" w:lineRule="auto"/>
              <w:jc w:val="center"/>
              <w:rPr>
                <w:sz w:val="16"/>
                <w:szCs w:val="16"/>
              </w:rPr>
            </w:pPr>
            <w:r w:rsidRPr="00687BD6">
              <w:rPr>
                <w:sz w:val="16"/>
                <w:szCs w:val="16"/>
              </w:rPr>
              <w:t>70%</w:t>
            </w:r>
          </w:p>
        </w:tc>
      </w:tr>
      <w:tr w:rsidR="00C07BC6" w:rsidRPr="00687BD6" w14:paraId="454CC33B" w14:textId="77777777" w:rsidTr="008D6400">
        <w:tc>
          <w:tcPr>
            <w:tcW w:w="709" w:type="dxa"/>
            <w:vMerge w:val="restart"/>
          </w:tcPr>
          <w:p w14:paraId="6AD799DD" w14:textId="2F5EDA2A" w:rsidR="007412F8" w:rsidRPr="00687BD6" w:rsidRDefault="007412F8" w:rsidP="00687BD6">
            <w:pPr>
              <w:spacing w:line="240" w:lineRule="auto"/>
              <w:rPr>
                <w:sz w:val="16"/>
                <w:szCs w:val="16"/>
              </w:rPr>
            </w:pPr>
            <w:r w:rsidRPr="00687BD6">
              <w:rPr>
                <w:b/>
                <w:bCs/>
                <w:sz w:val="16"/>
                <w:szCs w:val="16"/>
              </w:rPr>
              <w:t>S</w:t>
            </w:r>
            <w:r w:rsidR="00524D1F" w:rsidRPr="00687BD6">
              <w:rPr>
                <w:b/>
                <w:bCs/>
                <w:sz w:val="16"/>
                <w:szCs w:val="16"/>
              </w:rPr>
              <w:t>TI</w:t>
            </w:r>
            <w:r w:rsidRPr="00687BD6">
              <w:rPr>
                <w:b/>
                <w:bCs/>
                <w:sz w:val="16"/>
                <w:szCs w:val="16"/>
              </w:rPr>
              <w:t xml:space="preserve"> (n=12)</w:t>
            </w:r>
          </w:p>
        </w:tc>
        <w:tc>
          <w:tcPr>
            <w:tcW w:w="567" w:type="dxa"/>
            <w:vAlign w:val="center"/>
          </w:tcPr>
          <w:p w14:paraId="6C36B67B" w14:textId="77777777" w:rsidR="007412F8" w:rsidRPr="00687BD6" w:rsidRDefault="007412F8" w:rsidP="004F78B0">
            <w:pPr>
              <w:spacing w:line="240" w:lineRule="auto"/>
              <w:jc w:val="center"/>
              <w:rPr>
                <w:sz w:val="16"/>
                <w:szCs w:val="16"/>
              </w:rPr>
            </w:pPr>
            <w:r w:rsidRPr="00687BD6">
              <w:rPr>
                <w:sz w:val="16"/>
                <w:szCs w:val="16"/>
              </w:rPr>
              <w:t>48</w:t>
            </w:r>
          </w:p>
        </w:tc>
        <w:tc>
          <w:tcPr>
            <w:tcW w:w="6662" w:type="dxa"/>
            <w:vAlign w:val="center"/>
          </w:tcPr>
          <w:p w14:paraId="0A038EFD" w14:textId="0695116D" w:rsidR="007412F8" w:rsidRPr="00687BD6" w:rsidRDefault="007412F8" w:rsidP="004F78B0">
            <w:pPr>
              <w:spacing w:line="240" w:lineRule="auto"/>
              <w:jc w:val="left"/>
              <w:rPr>
                <w:sz w:val="16"/>
                <w:szCs w:val="16"/>
              </w:rPr>
            </w:pPr>
            <w:r w:rsidRPr="00687BD6">
              <w:rPr>
                <w:sz w:val="16"/>
                <w:szCs w:val="16"/>
              </w:rPr>
              <w:t>Proportion of patients (adults and young people aged over 12 years) presenting with uncomplicated chlamydial urogenital infection (not pregnant) treated with oral Access antibiotics</w:t>
            </w:r>
          </w:p>
        </w:tc>
        <w:tc>
          <w:tcPr>
            <w:tcW w:w="567" w:type="dxa"/>
            <w:vAlign w:val="center"/>
          </w:tcPr>
          <w:p w14:paraId="45912E97" w14:textId="77777777" w:rsidR="007412F8" w:rsidRPr="00687BD6" w:rsidRDefault="007412F8" w:rsidP="004F78B0">
            <w:pPr>
              <w:spacing w:line="240" w:lineRule="auto"/>
              <w:jc w:val="center"/>
              <w:rPr>
                <w:sz w:val="16"/>
                <w:szCs w:val="16"/>
              </w:rPr>
            </w:pPr>
            <w:r w:rsidRPr="00687BD6">
              <w:rPr>
                <w:sz w:val="16"/>
                <w:szCs w:val="16"/>
              </w:rPr>
              <w:t>9</w:t>
            </w:r>
          </w:p>
        </w:tc>
        <w:tc>
          <w:tcPr>
            <w:tcW w:w="567" w:type="dxa"/>
            <w:vAlign w:val="center"/>
          </w:tcPr>
          <w:p w14:paraId="6DB536E9"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5C08839A" w14:textId="77777777" w:rsidR="007412F8" w:rsidRPr="00687BD6" w:rsidRDefault="007412F8" w:rsidP="004F78B0">
            <w:pPr>
              <w:spacing w:line="240" w:lineRule="auto"/>
              <w:jc w:val="center"/>
              <w:rPr>
                <w:sz w:val="16"/>
                <w:szCs w:val="16"/>
              </w:rPr>
            </w:pPr>
            <w:r w:rsidRPr="00687BD6">
              <w:rPr>
                <w:sz w:val="16"/>
                <w:szCs w:val="16"/>
              </w:rPr>
              <w:t>90%</w:t>
            </w:r>
          </w:p>
        </w:tc>
        <w:tc>
          <w:tcPr>
            <w:tcW w:w="567" w:type="dxa"/>
            <w:vAlign w:val="center"/>
          </w:tcPr>
          <w:p w14:paraId="4DAD87A2" w14:textId="77777777" w:rsidR="007412F8" w:rsidRPr="00687BD6" w:rsidRDefault="007412F8" w:rsidP="004F78B0">
            <w:pPr>
              <w:spacing w:line="240" w:lineRule="auto"/>
              <w:jc w:val="center"/>
              <w:rPr>
                <w:sz w:val="16"/>
                <w:szCs w:val="16"/>
              </w:rPr>
            </w:pPr>
            <w:r w:rsidRPr="00687BD6">
              <w:rPr>
                <w:sz w:val="16"/>
                <w:szCs w:val="16"/>
              </w:rPr>
              <w:t>6</w:t>
            </w:r>
          </w:p>
        </w:tc>
        <w:tc>
          <w:tcPr>
            <w:tcW w:w="567" w:type="dxa"/>
            <w:vAlign w:val="center"/>
          </w:tcPr>
          <w:p w14:paraId="15391FC8" w14:textId="77777777" w:rsidR="007412F8" w:rsidRPr="00687BD6" w:rsidRDefault="007412F8" w:rsidP="004F78B0">
            <w:pPr>
              <w:spacing w:line="240" w:lineRule="auto"/>
              <w:jc w:val="center"/>
              <w:rPr>
                <w:sz w:val="16"/>
                <w:szCs w:val="16"/>
              </w:rPr>
            </w:pPr>
            <w:r w:rsidRPr="00687BD6">
              <w:rPr>
                <w:sz w:val="16"/>
                <w:szCs w:val="16"/>
              </w:rPr>
              <w:t>E</w:t>
            </w:r>
          </w:p>
        </w:tc>
        <w:tc>
          <w:tcPr>
            <w:tcW w:w="709" w:type="dxa"/>
            <w:vAlign w:val="center"/>
          </w:tcPr>
          <w:p w14:paraId="4B84EB89" w14:textId="77777777" w:rsidR="007412F8" w:rsidRPr="00687BD6" w:rsidRDefault="007412F8" w:rsidP="004F78B0">
            <w:pPr>
              <w:spacing w:line="240" w:lineRule="auto"/>
              <w:jc w:val="center"/>
              <w:rPr>
                <w:sz w:val="16"/>
                <w:szCs w:val="16"/>
              </w:rPr>
            </w:pPr>
            <w:r w:rsidRPr="00687BD6">
              <w:rPr>
                <w:sz w:val="16"/>
                <w:szCs w:val="16"/>
              </w:rPr>
              <w:t>50%</w:t>
            </w:r>
          </w:p>
        </w:tc>
      </w:tr>
      <w:tr w:rsidR="00C07BC6" w:rsidRPr="00687BD6" w14:paraId="6AAAD9B3" w14:textId="77777777" w:rsidTr="008D6400">
        <w:tc>
          <w:tcPr>
            <w:tcW w:w="709" w:type="dxa"/>
            <w:vMerge/>
          </w:tcPr>
          <w:p w14:paraId="2CEA8DD2" w14:textId="77777777" w:rsidR="007412F8" w:rsidRPr="00687BD6" w:rsidRDefault="007412F8" w:rsidP="00687BD6">
            <w:pPr>
              <w:spacing w:line="240" w:lineRule="auto"/>
              <w:rPr>
                <w:b/>
                <w:bCs/>
                <w:sz w:val="16"/>
                <w:szCs w:val="16"/>
              </w:rPr>
            </w:pPr>
          </w:p>
        </w:tc>
        <w:tc>
          <w:tcPr>
            <w:tcW w:w="567" w:type="dxa"/>
            <w:vAlign w:val="center"/>
          </w:tcPr>
          <w:p w14:paraId="3D4F6D88" w14:textId="77777777" w:rsidR="007412F8" w:rsidRPr="00687BD6" w:rsidRDefault="007412F8" w:rsidP="004F78B0">
            <w:pPr>
              <w:spacing w:line="240" w:lineRule="auto"/>
              <w:jc w:val="center"/>
              <w:rPr>
                <w:sz w:val="16"/>
                <w:szCs w:val="16"/>
              </w:rPr>
            </w:pPr>
            <w:r w:rsidRPr="00687BD6">
              <w:rPr>
                <w:sz w:val="16"/>
                <w:szCs w:val="16"/>
              </w:rPr>
              <w:t>49</w:t>
            </w:r>
          </w:p>
        </w:tc>
        <w:tc>
          <w:tcPr>
            <w:tcW w:w="6662" w:type="dxa"/>
            <w:vAlign w:val="center"/>
          </w:tcPr>
          <w:p w14:paraId="2B29D5BF" w14:textId="1FCA4609" w:rsidR="007412F8" w:rsidRPr="00687BD6" w:rsidRDefault="007412F8" w:rsidP="004F78B0">
            <w:pPr>
              <w:spacing w:line="240" w:lineRule="auto"/>
              <w:jc w:val="left"/>
              <w:rPr>
                <w:sz w:val="16"/>
                <w:szCs w:val="16"/>
              </w:rPr>
            </w:pPr>
            <w:r w:rsidRPr="00687BD6">
              <w:rPr>
                <w:sz w:val="16"/>
                <w:szCs w:val="16"/>
              </w:rPr>
              <w:t>Proportion of patients (adults and young people aged over 12 years) presenting with uncomplicated chlamydial urogenital infection (not pregnant) treated with oral Watch antibiotics</w:t>
            </w:r>
          </w:p>
        </w:tc>
        <w:tc>
          <w:tcPr>
            <w:tcW w:w="567" w:type="dxa"/>
            <w:vAlign w:val="center"/>
          </w:tcPr>
          <w:p w14:paraId="7EF9C3F8" w14:textId="77777777" w:rsidR="007412F8" w:rsidRPr="00687BD6" w:rsidRDefault="007412F8" w:rsidP="004F78B0">
            <w:pPr>
              <w:spacing w:line="240" w:lineRule="auto"/>
              <w:jc w:val="center"/>
              <w:rPr>
                <w:sz w:val="16"/>
                <w:szCs w:val="16"/>
              </w:rPr>
            </w:pPr>
            <w:r w:rsidRPr="00687BD6">
              <w:rPr>
                <w:sz w:val="16"/>
                <w:szCs w:val="16"/>
              </w:rPr>
              <w:t>9</w:t>
            </w:r>
          </w:p>
        </w:tc>
        <w:tc>
          <w:tcPr>
            <w:tcW w:w="567" w:type="dxa"/>
            <w:vAlign w:val="center"/>
          </w:tcPr>
          <w:p w14:paraId="4EDFFB27"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01B2DCF7" w14:textId="77777777" w:rsidR="007412F8" w:rsidRPr="00687BD6" w:rsidRDefault="007412F8" w:rsidP="004F78B0">
            <w:pPr>
              <w:spacing w:line="240" w:lineRule="auto"/>
              <w:jc w:val="center"/>
              <w:rPr>
                <w:sz w:val="16"/>
                <w:szCs w:val="16"/>
              </w:rPr>
            </w:pPr>
            <w:r w:rsidRPr="00687BD6">
              <w:rPr>
                <w:sz w:val="16"/>
                <w:szCs w:val="16"/>
              </w:rPr>
              <w:t>90%</w:t>
            </w:r>
          </w:p>
        </w:tc>
        <w:tc>
          <w:tcPr>
            <w:tcW w:w="567" w:type="dxa"/>
            <w:vAlign w:val="center"/>
          </w:tcPr>
          <w:p w14:paraId="45D3A262" w14:textId="77777777" w:rsidR="007412F8" w:rsidRPr="00687BD6" w:rsidRDefault="007412F8" w:rsidP="004F78B0">
            <w:pPr>
              <w:spacing w:line="240" w:lineRule="auto"/>
              <w:jc w:val="center"/>
              <w:rPr>
                <w:sz w:val="16"/>
                <w:szCs w:val="16"/>
              </w:rPr>
            </w:pPr>
            <w:r w:rsidRPr="00687BD6">
              <w:rPr>
                <w:sz w:val="16"/>
                <w:szCs w:val="16"/>
              </w:rPr>
              <w:t>6</w:t>
            </w:r>
          </w:p>
        </w:tc>
        <w:tc>
          <w:tcPr>
            <w:tcW w:w="567" w:type="dxa"/>
            <w:vAlign w:val="center"/>
          </w:tcPr>
          <w:p w14:paraId="63095B59" w14:textId="77777777" w:rsidR="007412F8" w:rsidRPr="00687BD6" w:rsidRDefault="007412F8" w:rsidP="004F78B0">
            <w:pPr>
              <w:spacing w:line="240" w:lineRule="auto"/>
              <w:jc w:val="center"/>
              <w:rPr>
                <w:sz w:val="16"/>
                <w:szCs w:val="16"/>
              </w:rPr>
            </w:pPr>
            <w:r w:rsidRPr="00687BD6">
              <w:rPr>
                <w:sz w:val="16"/>
                <w:szCs w:val="16"/>
              </w:rPr>
              <w:t>E</w:t>
            </w:r>
          </w:p>
        </w:tc>
        <w:tc>
          <w:tcPr>
            <w:tcW w:w="709" w:type="dxa"/>
            <w:vAlign w:val="center"/>
          </w:tcPr>
          <w:p w14:paraId="79025CB1" w14:textId="77777777" w:rsidR="007412F8" w:rsidRPr="00687BD6" w:rsidRDefault="007412F8" w:rsidP="004F78B0">
            <w:pPr>
              <w:spacing w:line="240" w:lineRule="auto"/>
              <w:jc w:val="center"/>
              <w:rPr>
                <w:sz w:val="16"/>
                <w:szCs w:val="16"/>
              </w:rPr>
            </w:pPr>
            <w:r w:rsidRPr="00687BD6">
              <w:rPr>
                <w:sz w:val="16"/>
                <w:szCs w:val="16"/>
              </w:rPr>
              <w:t>50%</w:t>
            </w:r>
          </w:p>
        </w:tc>
      </w:tr>
      <w:tr w:rsidR="00C07BC6" w:rsidRPr="00687BD6" w14:paraId="65251FB6" w14:textId="77777777" w:rsidTr="008D6400">
        <w:tc>
          <w:tcPr>
            <w:tcW w:w="709" w:type="dxa"/>
            <w:vMerge/>
          </w:tcPr>
          <w:p w14:paraId="376E9B58" w14:textId="77777777" w:rsidR="007412F8" w:rsidRPr="00687BD6" w:rsidRDefault="007412F8" w:rsidP="00687BD6">
            <w:pPr>
              <w:spacing w:line="240" w:lineRule="auto"/>
              <w:rPr>
                <w:b/>
                <w:bCs/>
                <w:sz w:val="16"/>
                <w:szCs w:val="16"/>
              </w:rPr>
            </w:pPr>
          </w:p>
        </w:tc>
        <w:tc>
          <w:tcPr>
            <w:tcW w:w="567" w:type="dxa"/>
            <w:vAlign w:val="center"/>
          </w:tcPr>
          <w:p w14:paraId="294A475A" w14:textId="77777777" w:rsidR="007412F8" w:rsidRPr="00687BD6" w:rsidRDefault="007412F8" w:rsidP="004F78B0">
            <w:pPr>
              <w:spacing w:line="240" w:lineRule="auto"/>
              <w:jc w:val="center"/>
              <w:rPr>
                <w:sz w:val="16"/>
                <w:szCs w:val="16"/>
              </w:rPr>
            </w:pPr>
            <w:r w:rsidRPr="00687BD6">
              <w:rPr>
                <w:sz w:val="16"/>
                <w:szCs w:val="16"/>
              </w:rPr>
              <w:t>50</w:t>
            </w:r>
          </w:p>
        </w:tc>
        <w:tc>
          <w:tcPr>
            <w:tcW w:w="6662" w:type="dxa"/>
            <w:vAlign w:val="center"/>
          </w:tcPr>
          <w:p w14:paraId="21A00D02" w14:textId="2DED8D07" w:rsidR="007412F8" w:rsidRPr="00687BD6" w:rsidRDefault="007412F8" w:rsidP="004F78B0">
            <w:pPr>
              <w:spacing w:line="240" w:lineRule="auto"/>
              <w:jc w:val="left"/>
              <w:rPr>
                <w:sz w:val="16"/>
                <w:szCs w:val="16"/>
              </w:rPr>
            </w:pPr>
            <w:r w:rsidRPr="00687BD6">
              <w:rPr>
                <w:sz w:val="16"/>
                <w:szCs w:val="16"/>
              </w:rPr>
              <w:t>Proportion of patients (adults and young people aged over 12 years) presenting with uncomplicated chlamydial urogenital infection prescribed the doses and durations for antibiotics recommended in the WHO AWaRe Antibiotic Book</w:t>
            </w:r>
            <w:r w:rsidRPr="00687BD6">
              <w:rPr>
                <w:b/>
                <w:bCs/>
                <w:sz w:val="16"/>
                <w:szCs w:val="16"/>
              </w:rPr>
              <w:t>‡</w:t>
            </w:r>
          </w:p>
        </w:tc>
        <w:tc>
          <w:tcPr>
            <w:tcW w:w="567" w:type="dxa"/>
            <w:vAlign w:val="center"/>
          </w:tcPr>
          <w:p w14:paraId="141FB9E1"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202AB067"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20BE13B8" w14:textId="77777777" w:rsidR="007412F8" w:rsidRPr="00687BD6" w:rsidRDefault="007412F8" w:rsidP="004F78B0">
            <w:pPr>
              <w:spacing w:line="240" w:lineRule="auto"/>
              <w:jc w:val="center"/>
              <w:rPr>
                <w:sz w:val="16"/>
                <w:szCs w:val="16"/>
              </w:rPr>
            </w:pPr>
            <w:r w:rsidRPr="00687BD6">
              <w:rPr>
                <w:sz w:val="16"/>
                <w:szCs w:val="16"/>
              </w:rPr>
              <w:t>100%</w:t>
            </w:r>
          </w:p>
        </w:tc>
        <w:tc>
          <w:tcPr>
            <w:tcW w:w="567" w:type="dxa"/>
            <w:vAlign w:val="center"/>
          </w:tcPr>
          <w:p w14:paraId="37074B71" w14:textId="77777777" w:rsidR="007412F8" w:rsidRPr="00687BD6" w:rsidRDefault="007412F8" w:rsidP="004F78B0">
            <w:pPr>
              <w:spacing w:line="240" w:lineRule="auto"/>
              <w:jc w:val="center"/>
              <w:rPr>
                <w:sz w:val="16"/>
                <w:szCs w:val="16"/>
              </w:rPr>
            </w:pPr>
            <w:r w:rsidRPr="00687BD6">
              <w:rPr>
                <w:sz w:val="16"/>
                <w:szCs w:val="16"/>
              </w:rPr>
              <w:t>7</w:t>
            </w:r>
          </w:p>
        </w:tc>
        <w:tc>
          <w:tcPr>
            <w:tcW w:w="567" w:type="dxa"/>
            <w:vAlign w:val="center"/>
          </w:tcPr>
          <w:p w14:paraId="2DE60079"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6BACF44D" w14:textId="77777777" w:rsidR="007412F8" w:rsidRPr="00687BD6" w:rsidRDefault="007412F8" w:rsidP="004F78B0">
            <w:pPr>
              <w:spacing w:line="240" w:lineRule="auto"/>
              <w:jc w:val="center"/>
              <w:rPr>
                <w:sz w:val="16"/>
                <w:szCs w:val="16"/>
              </w:rPr>
            </w:pPr>
            <w:r w:rsidRPr="00687BD6">
              <w:rPr>
                <w:sz w:val="16"/>
                <w:szCs w:val="16"/>
              </w:rPr>
              <w:t>90%</w:t>
            </w:r>
          </w:p>
        </w:tc>
      </w:tr>
      <w:tr w:rsidR="00C07BC6" w:rsidRPr="00687BD6" w14:paraId="7371710E" w14:textId="77777777" w:rsidTr="008D6400">
        <w:tc>
          <w:tcPr>
            <w:tcW w:w="709" w:type="dxa"/>
            <w:vMerge/>
          </w:tcPr>
          <w:p w14:paraId="5C3E7F21" w14:textId="77777777" w:rsidR="007412F8" w:rsidRPr="00687BD6" w:rsidRDefault="007412F8" w:rsidP="00687BD6">
            <w:pPr>
              <w:spacing w:line="240" w:lineRule="auto"/>
              <w:rPr>
                <w:sz w:val="16"/>
                <w:szCs w:val="16"/>
              </w:rPr>
            </w:pPr>
          </w:p>
        </w:tc>
        <w:tc>
          <w:tcPr>
            <w:tcW w:w="567" w:type="dxa"/>
            <w:vAlign w:val="center"/>
          </w:tcPr>
          <w:p w14:paraId="649FF20C" w14:textId="77777777" w:rsidR="007412F8" w:rsidRPr="00687BD6" w:rsidRDefault="007412F8" w:rsidP="004F78B0">
            <w:pPr>
              <w:spacing w:line="240" w:lineRule="auto"/>
              <w:jc w:val="center"/>
              <w:rPr>
                <w:sz w:val="16"/>
                <w:szCs w:val="16"/>
              </w:rPr>
            </w:pPr>
            <w:r w:rsidRPr="00687BD6">
              <w:rPr>
                <w:sz w:val="16"/>
                <w:szCs w:val="16"/>
              </w:rPr>
              <w:t>50a</w:t>
            </w:r>
          </w:p>
        </w:tc>
        <w:tc>
          <w:tcPr>
            <w:tcW w:w="6662" w:type="dxa"/>
            <w:vAlign w:val="center"/>
          </w:tcPr>
          <w:p w14:paraId="6715A720" w14:textId="0D482382" w:rsidR="007412F8" w:rsidRPr="00687BD6" w:rsidRDefault="007412F8" w:rsidP="004F78B0">
            <w:pPr>
              <w:spacing w:line="240" w:lineRule="auto"/>
              <w:jc w:val="left"/>
              <w:rPr>
                <w:sz w:val="16"/>
                <w:szCs w:val="16"/>
              </w:rPr>
            </w:pPr>
            <w:r w:rsidRPr="00687BD6">
              <w:rPr>
                <w:sz w:val="16"/>
                <w:szCs w:val="16"/>
              </w:rPr>
              <w:t>Proportion of patients (adults and young people aged over 12 years) presenting with uncomplicated chlamydial urogenital infection prescribed the doses for antibiotics recommended in the WHO AWaRe Antibiotic Book</w:t>
            </w:r>
            <w:r w:rsidRPr="00687BD6">
              <w:rPr>
                <w:b/>
                <w:bCs/>
                <w:sz w:val="16"/>
                <w:szCs w:val="16"/>
              </w:rPr>
              <w:t>†</w:t>
            </w:r>
          </w:p>
        </w:tc>
        <w:tc>
          <w:tcPr>
            <w:tcW w:w="567" w:type="dxa"/>
            <w:vAlign w:val="center"/>
          </w:tcPr>
          <w:p w14:paraId="44B95EA0" w14:textId="77777777" w:rsidR="007412F8" w:rsidRPr="00687BD6" w:rsidRDefault="007412F8" w:rsidP="004F78B0">
            <w:pPr>
              <w:spacing w:line="240" w:lineRule="auto"/>
              <w:jc w:val="center"/>
              <w:rPr>
                <w:sz w:val="16"/>
                <w:szCs w:val="16"/>
              </w:rPr>
            </w:pPr>
            <w:r w:rsidRPr="00687BD6">
              <w:rPr>
                <w:sz w:val="16"/>
                <w:szCs w:val="16"/>
              </w:rPr>
              <w:t>9</w:t>
            </w:r>
          </w:p>
        </w:tc>
        <w:tc>
          <w:tcPr>
            <w:tcW w:w="567" w:type="dxa"/>
            <w:vAlign w:val="center"/>
          </w:tcPr>
          <w:p w14:paraId="166FFE76"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6181C2A4" w14:textId="77777777" w:rsidR="007412F8" w:rsidRPr="00687BD6" w:rsidRDefault="007412F8" w:rsidP="004F78B0">
            <w:pPr>
              <w:spacing w:line="240" w:lineRule="auto"/>
              <w:jc w:val="center"/>
              <w:rPr>
                <w:sz w:val="16"/>
                <w:szCs w:val="16"/>
              </w:rPr>
            </w:pPr>
            <w:r w:rsidRPr="00687BD6">
              <w:rPr>
                <w:sz w:val="16"/>
                <w:szCs w:val="16"/>
              </w:rPr>
              <w:t>80%</w:t>
            </w:r>
          </w:p>
        </w:tc>
        <w:tc>
          <w:tcPr>
            <w:tcW w:w="567" w:type="dxa"/>
            <w:vAlign w:val="center"/>
          </w:tcPr>
          <w:p w14:paraId="4A14FC3F" w14:textId="77777777" w:rsidR="007412F8" w:rsidRPr="00687BD6" w:rsidRDefault="007412F8" w:rsidP="004F78B0">
            <w:pPr>
              <w:spacing w:line="240" w:lineRule="auto"/>
              <w:jc w:val="center"/>
              <w:rPr>
                <w:sz w:val="16"/>
                <w:szCs w:val="16"/>
              </w:rPr>
            </w:pPr>
            <w:r w:rsidRPr="00687BD6">
              <w:rPr>
                <w:sz w:val="16"/>
                <w:szCs w:val="16"/>
              </w:rPr>
              <w:t>7</w:t>
            </w:r>
          </w:p>
        </w:tc>
        <w:tc>
          <w:tcPr>
            <w:tcW w:w="567" w:type="dxa"/>
            <w:vAlign w:val="center"/>
          </w:tcPr>
          <w:p w14:paraId="221DE198"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6F643C7D" w14:textId="77777777" w:rsidR="007412F8" w:rsidRPr="00687BD6" w:rsidRDefault="007412F8" w:rsidP="004F78B0">
            <w:pPr>
              <w:spacing w:line="240" w:lineRule="auto"/>
              <w:jc w:val="center"/>
              <w:rPr>
                <w:sz w:val="16"/>
                <w:szCs w:val="16"/>
              </w:rPr>
            </w:pPr>
            <w:r w:rsidRPr="00687BD6">
              <w:rPr>
                <w:sz w:val="16"/>
                <w:szCs w:val="16"/>
              </w:rPr>
              <w:t>90%</w:t>
            </w:r>
          </w:p>
        </w:tc>
      </w:tr>
      <w:tr w:rsidR="00C07BC6" w:rsidRPr="00687BD6" w14:paraId="02DAC923" w14:textId="77777777" w:rsidTr="008D6400">
        <w:tc>
          <w:tcPr>
            <w:tcW w:w="709" w:type="dxa"/>
            <w:vMerge/>
          </w:tcPr>
          <w:p w14:paraId="620B2AC8" w14:textId="77777777" w:rsidR="007412F8" w:rsidRPr="00687BD6" w:rsidRDefault="007412F8" w:rsidP="00687BD6">
            <w:pPr>
              <w:spacing w:line="240" w:lineRule="auto"/>
              <w:rPr>
                <w:sz w:val="16"/>
                <w:szCs w:val="16"/>
              </w:rPr>
            </w:pPr>
          </w:p>
        </w:tc>
        <w:tc>
          <w:tcPr>
            <w:tcW w:w="567" w:type="dxa"/>
            <w:vAlign w:val="center"/>
          </w:tcPr>
          <w:p w14:paraId="61752EDE" w14:textId="77777777" w:rsidR="007412F8" w:rsidRPr="00687BD6" w:rsidRDefault="007412F8" w:rsidP="004F78B0">
            <w:pPr>
              <w:spacing w:line="240" w:lineRule="auto"/>
              <w:jc w:val="center"/>
              <w:rPr>
                <w:sz w:val="16"/>
                <w:szCs w:val="16"/>
              </w:rPr>
            </w:pPr>
            <w:r w:rsidRPr="00687BD6">
              <w:rPr>
                <w:sz w:val="16"/>
                <w:szCs w:val="16"/>
              </w:rPr>
              <w:t>50b</w:t>
            </w:r>
          </w:p>
        </w:tc>
        <w:tc>
          <w:tcPr>
            <w:tcW w:w="6662" w:type="dxa"/>
            <w:vAlign w:val="center"/>
          </w:tcPr>
          <w:p w14:paraId="6793F049" w14:textId="2386DD2A" w:rsidR="007412F8" w:rsidRPr="00687BD6" w:rsidRDefault="007412F8" w:rsidP="004F78B0">
            <w:pPr>
              <w:spacing w:line="240" w:lineRule="auto"/>
              <w:jc w:val="left"/>
              <w:rPr>
                <w:sz w:val="16"/>
                <w:szCs w:val="16"/>
              </w:rPr>
            </w:pPr>
            <w:r w:rsidRPr="00687BD6">
              <w:rPr>
                <w:sz w:val="16"/>
                <w:szCs w:val="16"/>
              </w:rPr>
              <w:t>Proportion of patients (adults and young people aged over 12 years) presenting with uncomplicated chlamydial urogenital infection prescribed the durations for antibiotics recommended in the WHO AWaRe Antibiotic Book</w:t>
            </w:r>
            <w:r w:rsidRPr="00687BD6">
              <w:rPr>
                <w:b/>
                <w:bCs/>
                <w:sz w:val="16"/>
                <w:szCs w:val="16"/>
              </w:rPr>
              <w:t>†</w:t>
            </w:r>
          </w:p>
        </w:tc>
        <w:tc>
          <w:tcPr>
            <w:tcW w:w="567" w:type="dxa"/>
            <w:vAlign w:val="center"/>
          </w:tcPr>
          <w:p w14:paraId="3176011A" w14:textId="77777777" w:rsidR="007412F8" w:rsidRPr="00687BD6" w:rsidRDefault="007412F8" w:rsidP="004F78B0">
            <w:pPr>
              <w:spacing w:line="240" w:lineRule="auto"/>
              <w:jc w:val="center"/>
              <w:rPr>
                <w:sz w:val="16"/>
                <w:szCs w:val="16"/>
              </w:rPr>
            </w:pPr>
            <w:r w:rsidRPr="00687BD6">
              <w:rPr>
                <w:sz w:val="16"/>
                <w:szCs w:val="16"/>
              </w:rPr>
              <w:t>9</w:t>
            </w:r>
          </w:p>
        </w:tc>
        <w:tc>
          <w:tcPr>
            <w:tcW w:w="567" w:type="dxa"/>
            <w:vAlign w:val="center"/>
          </w:tcPr>
          <w:p w14:paraId="17152175"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20B14545" w14:textId="77777777" w:rsidR="007412F8" w:rsidRPr="00687BD6" w:rsidRDefault="007412F8" w:rsidP="004F78B0">
            <w:pPr>
              <w:spacing w:line="240" w:lineRule="auto"/>
              <w:jc w:val="center"/>
              <w:rPr>
                <w:sz w:val="16"/>
                <w:szCs w:val="16"/>
              </w:rPr>
            </w:pPr>
            <w:r w:rsidRPr="00687BD6">
              <w:rPr>
                <w:sz w:val="16"/>
                <w:szCs w:val="16"/>
              </w:rPr>
              <w:t>80%</w:t>
            </w:r>
          </w:p>
        </w:tc>
        <w:tc>
          <w:tcPr>
            <w:tcW w:w="567" w:type="dxa"/>
            <w:vAlign w:val="center"/>
          </w:tcPr>
          <w:p w14:paraId="4BBB31A5" w14:textId="77777777" w:rsidR="007412F8" w:rsidRPr="00687BD6" w:rsidRDefault="007412F8" w:rsidP="004F78B0">
            <w:pPr>
              <w:spacing w:line="240" w:lineRule="auto"/>
              <w:jc w:val="center"/>
              <w:rPr>
                <w:sz w:val="16"/>
                <w:szCs w:val="16"/>
              </w:rPr>
            </w:pPr>
            <w:r w:rsidRPr="00687BD6">
              <w:rPr>
                <w:sz w:val="16"/>
                <w:szCs w:val="16"/>
              </w:rPr>
              <w:t>7</w:t>
            </w:r>
          </w:p>
        </w:tc>
        <w:tc>
          <w:tcPr>
            <w:tcW w:w="567" w:type="dxa"/>
            <w:vAlign w:val="center"/>
          </w:tcPr>
          <w:p w14:paraId="676C6F04"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45EBD1C2" w14:textId="77777777" w:rsidR="007412F8" w:rsidRPr="00687BD6" w:rsidRDefault="007412F8" w:rsidP="004F78B0">
            <w:pPr>
              <w:spacing w:line="240" w:lineRule="auto"/>
              <w:jc w:val="center"/>
              <w:rPr>
                <w:sz w:val="16"/>
                <w:szCs w:val="16"/>
              </w:rPr>
            </w:pPr>
            <w:r w:rsidRPr="00687BD6">
              <w:rPr>
                <w:sz w:val="16"/>
                <w:szCs w:val="16"/>
              </w:rPr>
              <w:t>90%</w:t>
            </w:r>
          </w:p>
        </w:tc>
      </w:tr>
      <w:tr w:rsidR="00C07BC6" w:rsidRPr="00687BD6" w14:paraId="350C1BF0" w14:textId="77777777" w:rsidTr="008D6400">
        <w:tc>
          <w:tcPr>
            <w:tcW w:w="709" w:type="dxa"/>
            <w:vMerge/>
          </w:tcPr>
          <w:p w14:paraId="1E62E609" w14:textId="77777777" w:rsidR="007412F8" w:rsidRPr="00687BD6" w:rsidRDefault="007412F8" w:rsidP="00687BD6">
            <w:pPr>
              <w:spacing w:line="240" w:lineRule="auto"/>
              <w:rPr>
                <w:sz w:val="16"/>
                <w:szCs w:val="16"/>
              </w:rPr>
            </w:pPr>
          </w:p>
        </w:tc>
        <w:tc>
          <w:tcPr>
            <w:tcW w:w="567" w:type="dxa"/>
            <w:vAlign w:val="center"/>
          </w:tcPr>
          <w:p w14:paraId="531FA217" w14:textId="77777777" w:rsidR="007412F8" w:rsidRPr="00687BD6" w:rsidRDefault="007412F8" w:rsidP="004F78B0">
            <w:pPr>
              <w:spacing w:line="240" w:lineRule="auto"/>
              <w:jc w:val="center"/>
              <w:rPr>
                <w:sz w:val="16"/>
                <w:szCs w:val="16"/>
              </w:rPr>
            </w:pPr>
            <w:r w:rsidRPr="00687BD6">
              <w:rPr>
                <w:sz w:val="16"/>
                <w:szCs w:val="16"/>
              </w:rPr>
              <w:t>51</w:t>
            </w:r>
          </w:p>
        </w:tc>
        <w:tc>
          <w:tcPr>
            <w:tcW w:w="6662" w:type="dxa"/>
            <w:vAlign w:val="center"/>
          </w:tcPr>
          <w:p w14:paraId="7F9A2D62" w14:textId="07DF4ACF" w:rsidR="007412F8" w:rsidRPr="00687BD6" w:rsidRDefault="007412F8" w:rsidP="004F78B0">
            <w:pPr>
              <w:spacing w:line="240" w:lineRule="auto"/>
              <w:jc w:val="left"/>
              <w:rPr>
                <w:sz w:val="16"/>
                <w:szCs w:val="16"/>
              </w:rPr>
            </w:pPr>
            <w:r w:rsidRPr="00687BD6">
              <w:rPr>
                <w:sz w:val="16"/>
                <w:szCs w:val="16"/>
              </w:rPr>
              <w:t>Proportion of patients (adults and young people aged over 12 years) presenting with genital, anorectal or oropharyngeal gonococcal infection who are treated with first line single therapy</w:t>
            </w:r>
          </w:p>
        </w:tc>
        <w:tc>
          <w:tcPr>
            <w:tcW w:w="567" w:type="dxa"/>
            <w:vAlign w:val="center"/>
          </w:tcPr>
          <w:p w14:paraId="58CC116B" w14:textId="77777777" w:rsidR="007412F8" w:rsidRPr="00687BD6" w:rsidRDefault="007412F8" w:rsidP="004F78B0">
            <w:pPr>
              <w:spacing w:line="240" w:lineRule="auto"/>
              <w:jc w:val="center"/>
              <w:rPr>
                <w:sz w:val="16"/>
                <w:szCs w:val="16"/>
              </w:rPr>
            </w:pPr>
            <w:r w:rsidRPr="00687BD6">
              <w:rPr>
                <w:sz w:val="16"/>
                <w:szCs w:val="16"/>
              </w:rPr>
              <w:t>9</w:t>
            </w:r>
          </w:p>
        </w:tc>
        <w:tc>
          <w:tcPr>
            <w:tcW w:w="567" w:type="dxa"/>
            <w:vAlign w:val="center"/>
          </w:tcPr>
          <w:p w14:paraId="27C529C9"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51E0DDC8" w14:textId="77777777" w:rsidR="007412F8" w:rsidRPr="00687BD6" w:rsidRDefault="007412F8" w:rsidP="004F78B0">
            <w:pPr>
              <w:spacing w:line="240" w:lineRule="auto"/>
              <w:jc w:val="center"/>
              <w:rPr>
                <w:sz w:val="16"/>
                <w:szCs w:val="16"/>
              </w:rPr>
            </w:pPr>
            <w:r w:rsidRPr="00687BD6">
              <w:rPr>
                <w:sz w:val="16"/>
                <w:szCs w:val="16"/>
              </w:rPr>
              <w:t>80%</w:t>
            </w:r>
          </w:p>
        </w:tc>
        <w:tc>
          <w:tcPr>
            <w:tcW w:w="567" w:type="dxa"/>
            <w:vAlign w:val="center"/>
          </w:tcPr>
          <w:p w14:paraId="3AA932B9" w14:textId="77777777" w:rsidR="007412F8" w:rsidRPr="00687BD6" w:rsidRDefault="007412F8" w:rsidP="004F78B0">
            <w:pPr>
              <w:spacing w:line="240" w:lineRule="auto"/>
              <w:jc w:val="center"/>
              <w:rPr>
                <w:sz w:val="16"/>
                <w:szCs w:val="16"/>
              </w:rPr>
            </w:pPr>
            <w:r w:rsidRPr="00687BD6">
              <w:rPr>
                <w:sz w:val="16"/>
                <w:szCs w:val="16"/>
              </w:rPr>
              <w:t>7</w:t>
            </w:r>
          </w:p>
        </w:tc>
        <w:tc>
          <w:tcPr>
            <w:tcW w:w="567" w:type="dxa"/>
            <w:vAlign w:val="center"/>
          </w:tcPr>
          <w:p w14:paraId="080BC0B9"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45ED20B2" w14:textId="77777777" w:rsidR="007412F8" w:rsidRPr="00687BD6" w:rsidRDefault="007412F8" w:rsidP="004F78B0">
            <w:pPr>
              <w:spacing w:line="240" w:lineRule="auto"/>
              <w:jc w:val="center"/>
              <w:rPr>
                <w:sz w:val="16"/>
                <w:szCs w:val="16"/>
              </w:rPr>
            </w:pPr>
            <w:r w:rsidRPr="00687BD6">
              <w:rPr>
                <w:sz w:val="16"/>
                <w:szCs w:val="16"/>
              </w:rPr>
              <w:t>80%</w:t>
            </w:r>
          </w:p>
        </w:tc>
      </w:tr>
      <w:tr w:rsidR="00C07BC6" w:rsidRPr="00687BD6" w14:paraId="21DC933D" w14:textId="77777777" w:rsidTr="008D6400">
        <w:tc>
          <w:tcPr>
            <w:tcW w:w="709" w:type="dxa"/>
            <w:vMerge/>
          </w:tcPr>
          <w:p w14:paraId="2C98A6C6" w14:textId="77777777" w:rsidR="007412F8" w:rsidRPr="00687BD6" w:rsidRDefault="007412F8" w:rsidP="00687BD6">
            <w:pPr>
              <w:spacing w:line="240" w:lineRule="auto"/>
              <w:rPr>
                <w:sz w:val="16"/>
                <w:szCs w:val="16"/>
              </w:rPr>
            </w:pPr>
          </w:p>
        </w:tc>
        <w:tc>
          <w:tcPr>
            <w:tcW w:w="567" w:type="dxa"/>
            <w:vAlign w:val="center"/>
          </w:tcPr>
          <w:p w14:paraId="7742B293" w14:textId="77777777" w:rsidR="007412F8" w:rsidRPr="00687BD6" w:rsidRDefault="007412F8" w:rsidP="004F78B0">
            <w:pPr>
              <w:spacing w:line="240" w:lineRule="auto"/>
              <w:jc w:val="center"/>
              <w:rPr>
                <w:sz w:val="16"/>
                <w:szCs w:val="16"/>
              </w:rPr>
            </w:pPr>
            <w:r w:rsidRPr="00687BD6">
              <w:rPr>
                <w:sz w:val="16"/>
                <w:szCs w:val="16"/>
              </w:rPr>
              <w:t>52</w:t>
            </w:r>
          </w:p>
        </w:tc>
        <w:tc>
          <w:tcPr>
            <w:tcW w:w="6662" w:type="dxa"/>
            <w:vAlign w:val="center"/>
          </w:tcPr>
          <w:p w14:paraId="54C99787" w14:textId="1C45A3AB" w:rsidR="007412F8" w:rsidRPr="00687BD6" w:rsidRDefault="007412F8" w:rsidP="004F78B0">
            <w:pPr>
              <w:spacing w:line="240" w:lineRule="auto"/>
              <w:jc w:val="left"/>
              <w:rPr>
                <w:sz w:val="16"/>
                <w:szCs w:val="16"/>
              </w:rPr>
            </w:pPr>
            <w:r w:rsidRPr="00687BD6">
              <w:rPr>
                <w:sz w:val="16"/>
                <w:szCs w:val="16"/>
              </w:rPr>
              <w:t>Proportion of patients (adults and young people aged over 12 years) presenting with gonococcal infection who are treated with first line dual therapy</w:t>
            </w:r>
          </w:p>
        </w:tc>
        <w:tc>
          <w:tcPr>
            <w:tcW w:w="567" w:type="dxa"/>
            <w:vAlign w:val="center"/>
          </w:tcPr>
          <w:p w14:paraId="54C7060F" w14:textId="77777777" w:rsidR="007412F8" w:rsidRPr="00687BD6" w:rsidRDefault="007412F8" w:rsidP="004F78B0">
            <w:pPr>
              <w:spacing w:line="240" w:lineRule="auto"/>
              <w:jc w:val="center"/>
              <w:rPr>
                <w:sz w:val="16"/>
                <w:szCs w:val="16"/>
              </w:rPr>
            </w:pPr>
            <w:r w:rsidRPr="00687BD6">
              <w:rPr>
                <w:sz w:val="16"/>
                <w:szCs w:val="16"/>
              </w:rPr>
              <w:t>9</w:t>
            </w:r>
          </w:p>
        </w:tc>
        <w:tc>
          <w:tcPr>
            <w:tcW w:w="567" w:type="dxa"/>
            <w:vAlign w:val="center"/>
          </w:tcPr>
          <w:p w14:paraId="72405C7D"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2A292EF5" w14:textId="77777777" w:rsidR="007412F8" w:rsidRPr="00687BD6" w:rsidRDefault="007412F8" w:rsidP="004F78B0">
            <w:pPr>
              <w:spacing w:line="240" w:lineRule="auto"/>
              <w:jc w:val="center"/>
              <w:rPr>
                <w:sz w:val="16"/>
                <w:szCs w:val="16"/>
              </w:rPr>
            </w:pPr>
            <w:r w:rsidRPr="00687BD6">
              <w:rPr>
                <w:sz w:val="16"/>
                <w:szCs w:val="16"/>
              </w:rPr>
              <w:t>90%</w:t>
            </w:r>
          </w:p>
        </w:tc>
        <w:tc>
          <w:tcPr>
            <w:tcW w:w="567" w:type="dxa"/>
            <w:vAlign w:val="center"/>
          </w:tcPr>
          <w:p w14:paraId="08FB371D" w14:textId="77777777" w:rsidR="007412F8" w:rsidRPr="00687BD6" w:rsidRDefault="007412F8" w:rsidP="004F78B0">
            <w:pPr>
              <w:spacing w:line="240" w:lineRule="auto"/>
              <w:jc w:val="center"/>
              <w:rPr>
                <w:sz w:val="16"/>
                <w:szCs w:val="16"/>
              </w:rPr>
            </w:pPr>
            <w:r w:rsidRPr="00687BD6">
              <w:rPr>
                <w:sz w:val="16"/>
                <w:szCs w:val="16"/>
              </w:rPr>
              <w:t>7</w:t>
            </w:r>
          </w:p>
        </w:tc>
        <w:tc>
          <w:tcPr>
            <w:tcW w:w="567" w:type="dxa"/>
            <w:vAlign w:val="center"/>
          </w:tcPr>
          <w:p w14:paraId="287DF94D" w14:textId="77777777" w:rsidR="007412F8" w:rsidRPr="00687BD6" w:rsidRDefault="007412F8" w:rsidP="004F78B0">
            <w:pPr>
              <w:spacing w:line="240" w:lineRule="auto"/>
              <w:jc w:val="center"/>
              <w:rPr>
                <w:sz w:val="16"/>
                <w:szCs w:val="16"/>
              </w:rPr>
            </w:pPr>
            <w:r w:rsidRPr="00687BD6">
              <w:rPr>
                <w:sz w:val="16"/>
                <w:szCs w:val="16"/>
              </w:rPr>
              <w:t>E</w:t>
            </w:r>
          </w:p>
        </w:tc>
        <w:tc>
          <w:tcPr>
            <w:tcW w:w="709" w:type="dxa"/>
            <w:vAlign w:val="center"/>
          </w:tcPr>
          <w:p w14:paraId="03D1C76F" w14:textId="77777777" w:rsidR="007412F8" w:rsidRPr="00687BD6" w:rsidRDefault="007412F8" w:rsidP="004F78B0">
            <w:pPr>
              <w:spacing w:line="240" w:lineRule="auto"/>
              <w:jc w:val="center"/>
              <w:rPr>
                <w:sz w:val="16"/>
                <w:szCs w:val="16"/>
              </w:rPr>
            </w:pPr>
            <w:r w:rsidRPr="00687BD6">
              <w:rPr>
                <w:sz w:val="16"/>
                <w:szCs w:val="16"/>
              </w:rPr>
              <w:t>70%</w:t>
            </w:r>
          </w:p>
        </w:tc>
      </w:tr>
      <w:tr w:rsidR="00C07BC6" w:rsidRPr="00687BD6" w14:paraId="7A2DE7CE" w14:textId="77777777" w:rsidTr="008D6400">
        <w:tc>
          <w:tcPr>
            <w:tcW w:w="709" w:type="dxa"/>
            <w:vMerge/>
          </w:tcPr>
          <w:p w14:paraId="2609618E" w14:textId="77777777" w:rsidR="007412F8" w:rsidRPr="00687BD6" w:rsidRDefault="007412F8" w:rsidP="00687BD6">
            <w:pPr>
              <w:spacing w:line="240" w:lineRule="auto"/>
              <w:rPr>
                <w:sz w:val="16"/>
                <w:szCs w:val="16"/>
              </w:rPr>
            </w:pPr>
          </w:p>
        </w:tc>
        <w:tc>
          <w:tcPr>
            <w:tcW w:w="567" w:type="dxa"/>
            <w:vAlign w:val="center"/>
          </w:tcPr>
          <w:p w14:paraId="50F0489F" w14:textId="77777777" w:rsidR="007412F8" w:rsidRPr="00687BD6" w:rsidRDefault="007412F8" w:rsidP="004F78B0">
            <w:pPr>
              <w:spacing w:line="240" w:lineRule="auto"/>
              <w:jc w:val="center"/>
              <w:rPr>
                <w:sz w:val="16"/>
                <w:szCs w:val="16"/>
              </w:rPr>
            </w:pPr>
            <w:r w:rsidRPr="00687BD6">
              <w:rPr>
                <w:sz w:val="16"/>
                <w:szCs w:val="16"/>
              </w:rPr>
              <w:t>53</w:t>
            </w:r>
          </w:p>
        </w:tc>
        <w:tc>
          <w:tcPr>
            <w:tcW w:w="6662" w:type="dxa"/>
            <w:vAlign w:val="center"/>
          </w:tcPr>
          <w:p w14:paraId="2D1ED2E8" w14:textId="36A4A100" w:rsidR="007412F8" w:rsidRPr="00687BD6" w:rsidRDefault="007412F8" w:rsidP="004F78B0">
            <w:pPr>
              <w:spacing w:line="240" w:lineRule="auto"/>
              <w:jc w:val="left"/>
              <w:rPr>
                <w:sz w:val="16"/>
                <w:szCs w:val="16"/>
              </w:rPr>
            </w:pPr>
            <w:r w:rsidRPr="00687BD6">
              <w:rPr>
                <w:sz w:val="16"/>
                <w:szCs w:val="16"/>
              </w:rPr>
              <w:t>Proportion of patients (adults and young people aged over 12 years) presenting with gonococcal infection who are retreated if symptoms persist after 5 days of adequate treatment</w:t>
            </w:r>
          </w:p>
        </w:tc>
        <w:tc>
          <w:tcPr>
            <w:tcW w:w="567" w:type="dxa"/>
            <w:vAlign w:val="center"/>
          </w:tcPr>
          <w:p w14:paraId="128DCB47" w14:textId="77777777" w:rsidR="007412F8" w:rsidRPr="00687BD6" w:rsidRDefault="007412F8" w:rsidP="004F78B0">
            <w:pPr>
              <w:spacing w:line="240" w:lineRule="auto"/>
              <w:jc w:val="center"/>
              <w:rPr>
                <w:sz w:val="16"/>
                <w:szCs w:val="16"/>
              </w:rPr>
            </w:pPr>
            <w:r w:rsidRPr="00687BD6">
              <w:rPr>
                <w:sz w:val="16"/>
                <w:szCs w:val="16"/>
              </w:rPr>
              <w:t>9</w:t>
            </w:r>
          </w:p>
        </w:tc>
        <w:tc>
          <w:tcPr>
            <w:tcW w:w="567" w:type="dxa"/>
            <w:vAlign w:val="center"/>
          </w:tcPr>
          <w:p w14:paraId="64BC10B9"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1DDA7050" w14:textId="77777777" w:rsidR="007412F8" w:rsidRPr="00687BD6" w:rsidRDefault="007412F8" w:rsidP="004F78B0">
            <w:pPr>
              <w:spacing w:line="240" w:lineRule="auto"/>
              <w:jc w:val="center"/>
              <w:rPr>
                <w:sz w:val="16"/>
                <w:szCs w:val="16"/>
              </w:rPr>
            </w:pPr>
            <w:r w:rsidRPr="00687BD6">
              <w:rPr>
                <w:sz w:val="16"/>
                <w:szCs w:val="16"/>
              </w:rPr>
              <w:t>80%</w:t>
            </w:r>
          </w:p>
        </w:tc>
        <w:tc>
          <w:tcPr>
            <w:tcW w:w="567" w:type="dxa"/>
            <w:vAlign w:val="center"/>
          </w:tcPr>
          <w:p w14:paraId="60135E24" w14:textId="77777777" w:rsidR="007412F8" w:rsidRPr="00687BD6" w:rsidRDefault="007412F8" w:rsidP="004F78B0">
            <w:pPr>
              <w:spacing w:line="240" w:lineRule="auto"/>
              <w:jc w:val="center"/>
              <w:rPr>
                <w:sz w:val="16"/>
                <w:szCs w:val="16"/>
              </w:rPr>
            </w:pPr>
            <w:r w:rsidRPr="00687BD6">
              <w:rPr>
                <w:sz w:val="16"/>
                <w:szCs w:val="16"/>
              </w:rPr>
              <w:t>7</w:t>
            </w:r>
          </w:p>
        </w:tc>
        <w:tc>
          <w:tcPr>
            <w:tcW w:w="567" w:type="dxa"/>
            <w:vAlign w:val="center"/>
          </w:tcPr>
          <w:p w14:paraId="620F63F1"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0379FEBA" w14:textId="77777777" w:rsidR="007412F8" w:rsidRPr="00687BD6" w:rsidRDefault="007412F8" w:rsidP="004F78B0">
            <w:pPr>
              <w:spacing w:line="240" w:lineRule="auto"/>
              <w:jc w:val="center"/>
              <w:rPr>
                <w:sz w:val="16"/>
                <w:szCs w:val="16"/>
              </w:rPr>
            </w:pPr>
            <w:r w:rsidRPr="00687BD6">
              <w:rPr>
                <w:sz w:val="16"/>
                <w:szCs w:val="16"/>
              </w:rPr>
              <w:t>80%</w:t>
            </w:r>
          </w:p>
        </w:tc>
      </w:tr>
      <w:tr w:rsidR="00C07BC6" w:rsidRPr="00687BD6" w14:paraId="260AE9DD" w14:textId="77777777" w:rsidTr="008D6400">
        <w:tc>
          <w:tcPr>
            <w:tcW w:w="709" w:type="dxa"/>
            <w:vMerge/>
          </w:tcPr>
          <w:p w14:paraId="4E22B98E" w14:textId="77777777" w:rsidR="007412F8" w:rsidRPr="00687BD6" w:rsidRDefault="007412F8" w:rsidP="00687BD6">
            <w:pPr>
              <w:spacing w:line="240" w:lineRule="auto"/>
              <w:rPr>
                <w:sz w:val="16"/>
                <w:szCs w:val="16"/>
              </w:rPr>
            </w:pPr>
          </w:p>
        </w:tc>
        <w:tc>
          <w:tcPr>
            <w:tcW w:w="567" w:type="dxa"/>
            <w:vAlign w:val="center"/>
          </w:tcPr>
          <w:p w14:paraId="25354FD5" w14:textId="77777777" w:rsidR="007412F8" w:rsidRPr="00687BD6" w:rsidRDefault="007412F8" w:rsidP="004F78B0">
            <w:pPr>
              <w:spacing w:line="240" w:lineRule="auto"/>
              <w:jc w:val="center"/>
              <w:rPr>
                <w:sz w:val="16"/>
                <w:szCs w:val="16"/>
              </w:rPr>
            </w:pPr>
            <w:r w:rsidRPr="00687BD6">
              <w:rPr>
                <w:sz w:val="16"/>
                <w:szCs w:val="16"/>
              </w:rPr>
              <w:t>54</w:t>
            </w:r>
          </w:p>
        </w:tc>
        <w:tc>
          <w:tcPr>
            <w:tcW w:w="6662" w:type="dxa"/>
            <w:vAlign w:val="center"/>
          </w:tcPr>
          <w:p w14:paraId="094470A7" w14:textId="64C15A95" w:rsidR="007412F8" w:rsidRPr="00687BD6" w:rsidRDefault="007412F8" w:rsidP="004F78B0">
            <w:pPr>
              <w:spacing w:line="240" w:lineRule="auto"/>
              <w:jc w:val="left"/>
              <w:rPr>
                <w:sz w:val="16"/>
                <w:szCs w:val="16"/>
              </w:rPr>
            </w:pPr>
            <w:r w:rsidRPr="00687BD6">
              <w:rPr>
                <w:sz w:val="16"/>
                <w:szCs w:val="16"/>
              </w:rPr>
              <w:t>Proportion of patients (adults and young people aged over 12 years) presenting with gonococcal infection who are retreated with Access antibiotics if symptoms persist after 5 days of adequate treatment</w:t>
            </w:r>
          </w:p>
        </w:tc>
        <w:tc>
          <w:tcPr>
            <w:tcW w:w="567" w:type="dxa"/>
            <w:vAlign w:val="center"/>
          </w:tcPr>
          <w:p w14:paraId="21A27B14"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715881E2"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6B7BB036" w14:textId="77777777" w:rsidR="007412F8" w:rsidRPr="00687BD6" w:rsidRDefault="007412F8" w:rsidP="004F78B0">
            <w:pPr>
              <w:spacing w:line="240" w:lineRule="auto"/>
              <w:jc w:val="center"/>
              <w:rPr>
                <w:sz w:val="16"/>
                <w:szCs w:val="16"/>
              </w:rPr>
            </w:pPr>
            <w:r w:rsidRPr="00687BD6">
              <w:rPr>
                <w:sz w:val="16"/>
                <w:szCs w:val="16"/>
              </w:rPr>
              <w:t>100%</w:t>
            </w:r>
          </w:p>
        </w:tc>
        <w:tc>
          <w:tcPr>
            <w:tcW w:w="567" w:type="dxa"/>
            <w:vAlign w:val="center"/>
          </w:tcPr>
          <w:p w14:paraId="0324043A" w14:textId="77777777" w:rsidR="007412F8" w:rsidRPr="00687BD6" w:rsidRDefault="007412F8" w:rsidP="004F78B0">
            <w:pPr>
              <w:spacing w:line="240" w:lineRule="auto"/>
              <w:jc w:val="center"/>
              <w:rPr>
                <w:sz w:val="16"/>
                <w:szCs w:val="16"/>
              </w:rPr>
            </w:pPr>
            <w:r w:rsidRPr="00687BD6">
              <w:rPr>
                <w:sz w:val="16"/>
                <w:szCs w:val="16"/>
              </w:rPr>
              <w:t>7</w:t>
            </w:r>
          </w:p>
        </w:tc>
        <w:tc>
          <w:tcPr>
            <w:tcW w:w="567" w:type="dxa"/>
            <w:vAlign w:val="center"/>
          </w:tcPr>
          <w:p w14:paraId="17C2DB3F"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2961BFE1" w14:textId="77777777" w:rsidR="007412F8" w:rsidRPr="00687BD6" w:rsidRDefault="007412F8" w:rsidP="004F78B0">
            <w:pPr>
              <w:spacing w:line="240" w:lineRule="auto"/>
              <w:jc w:val="center"/>
              <w:rPr>
                <w:sz w:val="16"/>
                <w:szCs w:val="16"/>
              </w:rPr>
            </w:pPr>
            <w:r w:rsidRPr="00687BD6">
              <w:rPr>
                <w:sz w:val="16"/>
                <w:szCs w:val="16"/>
              </w:rPr>
              <w:t>90%</w:t>
            </w:r>
          </w:p>
        </w:tc>
      </w:tr>
      <w:tr w:rsidR="00C07BC6" w:rsidRPr="00687BD6" w14:paraId="1AB26E18" w14:textId="77777777" w:rsidTr="008D6400">
        <w:tc>
          <w:tcPr>
            <w:tcW w:w="709" w:type="dxa"/>
            <w:vMerge/>
          </w:tcPr>
          <w:p w14:paraId="0BBA95EF" w14:textId="77777777" w:rsidR="007412F8" w:rsidRPr="00687BD6" w:rsidRDefault="007412F8" w:rsidP="00687BD6">
            <w:pPr>
              <w:spacing w:line="240" w:lineRule="auto"/>
              <w:rPr>
                <w:sz w:val="16"/>
                <w:szCs w:val="16"/>
              </w:rPr>
            </w:pPr>
          </w:p>
        </w:tc>
        <w:tc>
          <w:tcPr>
            <w:tcW w:w="567" w:type="dxa"/>
            <w:vAlign w:val="center"/>
          </w:tcPr>
          <w:p w14:paraId="1016B2B7" w14:textId="77777777" w:rsidR="007412F8" w:rsidRPr="00687BD6" w:rsidRDefault="007412F8" w:rsidP="004F78B0">
            <w:pPr>
              <w:spacing w:line="240" w:lineRule="auto"/>
              <w:jc w:val="center"/>
              <w:rPr>
                <w:sz w:val="16"/>
                <w:szCs w:val="16"/>
              </w:rPr>
            </w:pPr>
            <w:r w:rsidRPr="00687BD6">
              <w:rPr>
                <w:sz w:val="16"/>
                <w:szCs w:val="16"/>
              </w:rPr>
              <w:t>55</w:t>
            </w:r>
          </w:p>
        </w:tc>
        <w:tc>
          <w:tcPr>
            <w:tcW w:w="6662" w:type="dxa"/>
            <w:vAlign w:val="center"/>
          </w:tcPr>
          <w:p w14:paraId="51D2D57F" w14:textId="35E82537" w:rsidR="007412F8" w:rsidRPr="00687BD6" w:rsidRDefault="007412F8" w:rsidP="004F78B0">
            <w:pPr>
              <w:spacing w:line="240" w:lineRule="auto"/>
              <w:jc w:val="left"/>
              <w:rPr>
                <w:sz w:val="16"/>
                <w:szCs w:val="16"/>
              </w:rPr>
            </w:pPr>
            <w:r w:rsidRPr="00687BD6">
              <w:rPr>
                <w:sz w:val="16"/>
                <w:szCs w:val="16"/>
              </w:rPr>
              <w:t>Proportion of patients (adults and young people aged over 12 years) presenting with early or late syphilis treated with first</w:t>
            </w:r>
            <w:r w:rsidR="0045256C">
              <w:rPr>
                <w:sz w:val="16"/>
                <w:szCs w:val="16"/>
              </w:rPr>
              <w:t>-</w:t>
            </w:r>
            <w:r w:rsidRPr="00687BD6">
              <w:rPr>
                <w:sz w:val="16"/>
                <w:szCs w:val="16"/>
              </w:rPr>
              <w:t>line Access antibiotics</w:t>
            </w:r>
          </w:p>
        </w:tc>
        <w:tc>
          <w:tcPr>
            <w:tcW w:w="567" w:type="dxa"/>
            <w:vAlign w:val="center"/>
          </w:tcPr>
          <w:p w14:paraId="205539C3"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0095B267"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09E9D49D" w14:textId="77777777" w:rsidR="007412F8" w:rsidRPr="00687BD6" w:rsidRDefault="007412F8" w:rsidP="004F78B0">
            <w:pPr>
              <w:spacing w:line="240" w:lineRule="auto"/>
              <w:jc w:val="center"/>
              <w:rPr>
                <w:sz w:val="16"/>
                <w:szCs w:val="16"/>
              </w:rPr>
            </w:pPr>
            <w:r w:rsidRPr="00687BD6">
              <w:rPr>
                <w:sz w:val="16"/>
                <w:szCs w:val="16"/>
              </w:rPr>
              <w:t>100%</w:t>
            </w:r>
          </w:p>
        </w:tc>
        <w:tc>
          <w:tcPr>
            <w:tcW w:w="567" w:type="dxa"/>
            <w:vAlign w:val="center"/>
          </w:tcPr>
          <w:p w14:paraId="6A8E518B"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70DB23E9"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21FDA512" w14:textId="77777777" w:rsidR="007412F8" w:rsidRPr="00687BD6" w:rsidRDefault="007412F8" w:rsidP="004F78B0">
            <w:pPr>
              <w:spacing w:line="240" w:lineRule="auto"/>
              <w:jc w:val="center"/>
              <w:rPr>
                <w:sz w:val="16"/>
                <w:szCs w:val="16"/>
              </w:rPr>
            </w:pPr>
            <w:r w:rsidRPr="00687BD6">
              <w:rPr>
                <w:sz w:val="16"/>
                <w:szCs w:val="16"/>
              </w:rPr>
              <w:t>100%</w:t>
            </w:r>
          </w:p>
        </w:tc>
      </w:tr>
      <w:tr w:rsidR="00C07BC6" w:rsidRPr="00687BD6" w14:paraId="4888DD5E" w14:textId="77777777" w:rsidTr="008D6400">
        <w:tc>
          <w:tcPr>
            <w:tcW w:w="709" w:type="dxa"/>
            <w:vMerge/>
          </w:tcPr>
          <w:p w14:paraId="4A365E4B" w14:textId="77777777" w:rsidR="007412F8" w:rsidRPr="00687BD6" w:rsidRDefault="007412F8" w:rsidP="00687BD6">
            <w:pPr>
              <w:spacing w:line="240" w:lineRule="auto"/>
              <w:rPr>
                <w:sz w:val="16"/>
                <w:szCs w:val="16"/>
              </w:rPr>
            </w:pPr>
          </w:p>
        </w:tc>
        <w:tc>
          <w:tcPr>
            <w:tcW w:w="567" w:type="dxa"/>
            <w:vAlign w:val="center"/>
          </w:tcPr>
          <w:p w14:paraId="22CC3957" w14:textId="77777777" w:rsidR="007412F8" w:rsidRPr="00687BD6" w:rsidRDefault="007412F8" w:rsidP="004F78B0">
            <w:pPr>
              <w:spacing w:line="240" w:lineRule="auto"/>
              <w:jc w:val="center"/>
              <w:rPr>
                <w:sz w:val="16"/>
                <w:szCs w:val="16"/>
              </w:rPr>
            </w:pPr>
            <w:r w:rsidRPr="00687BD6">
              <w:rPr>
                <w:sz w:val="16"/>
                <w:szCs w:val="16"/>
              </w:rPr>
              <w:t>56</w:t>
            </w:r>
          </w:p>
        </w:tc>
        <w:tc>
          <w:tcPr>
            <w:tcW w:w="6662" w:type="dxa"/>
            <w:vAlign w:val="center"/>
          </w:tcPr>
          <w:p w14:paraId="0FC08D22" w14:textId="25E88FF1" w:rsidR="007412F8" w:rsidRPr="00687BD6" w:rsidRDefault="007412F8" w:rsidP="004F78B0">
            <w:pPr>
              <w:spacing w:line="240" w:lineRule="auto"/>
              <w:jc w:val="left"/>
              <w:rPr>
                <w:sz w:val="16"/>
                <w:szCs w:val="16"/>
              </w:rPr>
            </w:pPr>
            <w:r w:rsidRPr="00687BD6">
              <w:rPr>
                <w:sz w:val="16"/>
                <w:szCs w:val="16"/>
              </w:rPr>
              <w:t>Proportion of patients (adults and young people aged over 12 years) presenting with early or late syphilis treated with any Watch antibiotics</w:t>
            </w:r>
          </w:p>
        </w:tc>
        <w:tc>
          <w:tcPr>
            <w:tcW w:w="567" w:type="dxa"/>
            <w:vAlign w:val="center"/>
          </w:tcPr>
          <w:p w14:paraId="68F3129D"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501DF2E4"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27FBF736" w14:textId="77777777" w:rsidR="007412F8" w:rsidRPr="00687BD6" w:rsidRDefault="007412F8" w:rsidP="004F78B0">
            <w:pPr>
              <w:spacing w:line="240" w:lineRule="auto"/>
              <w:jc w:val="center"/>
              <w:rPr>
                <w:sz w:val="16"/>
                <w:szCs w:val="16"/>
              </w:rPr>
            </w:pPr>
            <w:r w:rsidRPr="00687BD6">
              <w:rPr>
                <w:sz w:val="16"/>
                <w:szCs w:val="16"/>
              </w:rPr>
              <w:t>100%</w:t>
            </w:r>
          </w:p>
        </w:tc>
        <w:tc>
          <w:tcPr>
            <w:tcW w:w="567" w:type="dxa"/>
            <w:vAlign w:val="center"/>
          </w:tcPr>
          <w:p w14:paraId="0847990E" w14:textId="77777777" w:rsidR="007412F8" w:rsidRPr="00687BD6" w:rsidRDefault="007412F8" w:rsidP="004F78B0">
            <w:pPr>
              <w:spacing w:line="240" w:lineRule="auto"/>
              <w:jc w:val="center"/>
              <w:rPr>
                <w:sz w:val="16"/>
                <w:szCs w:val="16"/>
              </w:rPr>
            </w:pPr>
            <w:r w:rsidRPr="00687BD6">
              <w:rPr>
                <w:sz w:val="16"/>
                <w:szCs w:val="16"/>
              </w:rPr>
              <w:t>7</w:t>
            </w:r>
          </w:p>
        </w:tc>
        <w:tc>
          <w:tcPr>
            <w:tcW w:w="567" w:type="dxa"/>
            <w:vAlign w:val="center"/>
          </w:tcPr>
          <w:p w14:paraId="3DC757AC"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237B340F" w14:textId="77777777" w:rsidR="007412F8" w:rsidRPr="00687BD6" w:rsidRDefault="007412F8" w:rsidP="004F78B0">
            <w:pPr>
              <w:spacing w:line="240" w:lineRule="auto"/>
              <w:jc w:val="center"/>
              <w:rPr>
                <w:sz w:val="16"/>
                <w:szCs w:val="16"/>
              </w:rPr>
            </w:pPr>
            <w:r w:rsidRPr="00687BD6">
              <w:rPr>
                <w:sz w:val="16"/>
                <w:szCs w:val="16"/>
              </w:rPr>
              <w:t>90%</w:t>
            </w:r>
          </w:p>
        </w:tc>
      </w:tr>
      <w:tr w:rsidR="00C07BC6" w:rsidRPr="00687BD6" w14:paraId="33BE4F93" w14:textId="77777777" w:rsidTr="008D6400">
        <w:tc>
          <w:tcPr>
            <w:tcW w:w="709" w:type="dxa"/>
            <w:vMerge/>
          </w:tcPr>
          <w:p w14:paraId="45A148A6" w14:textId="77777777" w:rsidR="007412F8" w:rsidRPr="00687BD6" w:rsidRDefault="007412F8" w:rsidP="00687BD6">
            <w:pPr>
              <w:spacing w:line="240" w:lineRule="auto"/>
              <w:rPr>
                <w:sz w:val="16"/>
                <w:szCs w:val="16"/>
              </w:rPr>
            </w:pPr>
          </w:p>
        </w:tc>
        <w:tc>
          <w:tcPr>
            <w:tcW w:w="567" w:type="dxa"/>
            <w:vAlign w:val="center"/>
          </w:tcPr>
          <w:p w14:paraId="576CD88D" w14:textId="77777777" w:rsidR="007412F8" w:rsidRPr="00687BD6" w:rsidRDefault="007412F8" w:rsidP="004F78B0">
            <w:pPr>
              <w:spacing w:line="240" w:lineRule="auto"/>
              <w:jc w:val="center"/>
              <w:rPr>
                <w:sz w:val="16"/>
                <w:szCs w:val="16"/>
              </w:rPr>
            </w:pPr>
            <w:r w:rsidRPr="00687BD6">
              <w:rPr>
                <w:sz w:val="16"/>
                <w:szCs w:val="16"/>
              </w:rPr>
              <w:t>57</w:t>
            </w:r>
          </w:p>
        </w:tc>
        <w:tc>
          <w:tcPr>
            <w:tcW w:w="6662" w:type="dxa"/>
            <w:vAlign w:val="center"/>
          </w:tcPr>
          <w:p w14:paraId="05BC87AC" w14:textId="65E6C5AC" w:rsidR="007412F8" w:rsidRPr="00687BD6" w:rsidRDefault="007412F8" w:rsidP="004F78B0">
            <w:pPr>
              <w:spacing w:line="240" w:lineRule="auto"/>
              <w:jc w:val="left"/>
              <w:rPr>
                <w:sz w:val="16"/>
                <w:szCs w:val="16"/>
              </w:rPr>
            </w:pPr>
            <w:r w:rsidRPr="00687BD6">
              <w:rPr>
                <w:sz w:val="16"/>
                <w:szCs w:val="16"/>
              </w:rPr>
              <w:t>Proportion of patients presenting with genital discharge/STI prescribed antibiotics with complete documentation of symptoms, history, diagnosis, tests etc</w:t>
            </w:r>
            <w:r w:rsidR="00C90F65">
              <w:rPr>
                <w:sz w:val="16"/>
                <w:szCs w:val="16"/>
              </w:rPr>
              <w:t>.</w:t>
            </w:r>
          </w:p>
        </w:tc>
        <w:tc>
          <w:tcPr>
            <w:tcW w:w="567" w:type="dxa"/>
            <w:vAlign w:val="center"/>
          </w:tcPr>
          <w:p w14:paraId="2CAD7AEC"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1651745F"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4DEA22AC" w14:textId="77777777" w:rsidR="007412F8" w:rsidRPr="00687BD6" w:rsidRDefault="007412F8" w:rsidP="004F78B0">
            <w:pPr>
              <w:spacing w:line="240" w:lineRule="auto"/>
              <w:jc w:val="center"/>
              <w:rPr>
                <w:sz w:val="16"/>
                <w:szCs w:val="16"/>
              </w:rPr>
            </w:pPr>
            <w:r w:rsidRPr="00687BD6">
              <w:rPr>
                <w:sz w:val="16"/>
                <w:szCs w:val="16"/>
              </w:rPr>
              <w:t>100%</w:t>
            </w:r>
          </w:p>
        </w:tc>
        <w:tc>
          <w:tcPr>
            <w:tcW w:w="567" w:type="dxa"/>
            <w:vAlign w:val="center"/>
          </w:tcPr>
          <w:p w14:paraId="2A41093C" w14:textId="77777777" w:rsidR="007412F8" w:rsidRPr="00687BD6" w:rsidRDefault="007412F8" w:rsidP="004F78B0">
            <w:pPr>
              <w:spacing w:line="240" w:lineRule="auto"/>
              <w:jc w:val="center"/>
              <w:rPr>
                <w:sz w:val="16"/>
                <w:szCs w:val="16"/>
              </w:rPr>
            </w:pPr>
            <w:r w:rsidRPr="00687BD6">
              <w:rPr>
                <w:sz w:val="16"/>
                <w:szCs w:val="16"/>
              </w:rPr>
              <w:t>7</w:t>
            </w:r>
          </w:p>
        </w:tc>
        <w:tc>
          <w:tcPr>
            <w:tcW w:w="567" w:type="dxa"/>
            <w:vAlign w:val="center"/>
          </w:tcPr>
          <w:p w14:paraId="1C0C1A17"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1751AF49" w14:textId="77777777" w:rsidR="007412F8" w:rsidRPr="00687BD6" w:rsidRDefault="007412F8" w:rsidP="004F78B0">
            <w:pPr>
              <w:spacing w:line="240" w:lineRule="auto"/>
              <w:jc w:val="center"/>
              <w:rPr>
                <w:sz w:val="16"/>
                <w:szCs w:val="16"/>
              </w:rPr>
            </w:pPr>
            <w:r w:rsidRPr="00687BD6">
              <w:rPr>
                <w:sz w:val="16"/>
                <w:szCs w:val="16"/>
              </w:rPr>
              <w:t>90%</w:t>
            </w:r>
          </w:p>
        </w:tc>
      </w:tr>
      <w:tr w:rsidR="00C07BC6" w:rsidRPr="00687BD6" w14:paraId="1674335A" w14:textId="77777777" w:rsidTr="008D6400">
        <w:tc>
          <w:tcPr>
            <w:tcW w:w="709" w:type="dxa"/>
            <w:vMerge w:val="restart"/>
          </w:tcPr>
          <w:p w14:paraId="26FF7BE4" w14:textId="77777777" w:rsidR="007412F8" w:rsidRPr="00687BD6" w:rsidRDefault="007412F8" w:rsidP="00687BD6">
            <w:pPr>
              <w:spacing w:line="240" w:lineRule="auto"/>
              <w:rPr>
                <w:b/>
                <w:bCs/>
                <w:sz w:val="16"/>
                <w:szCs w:val="16"/>
              </w:rPr>
            </w:pPr>
            <w:r w:rsidRPr="00687BD6">
              <w:rPr>
                <w:b/>
                <w:bCs/>
                <w:sz w:val="16"/>
                <w:szCs w:val="16"/>
              </w:rPr>
              <w:t>Bacterial eye (n=8)</w:t>
            </w:r>
          </w:p>
        </w:tc>
        <w:tc>
          <w:tcPr>
            <w:tcW w:w="567" w:type="dxa"/>
            <w:vAlign w:val="center"/>
          </w:tcPr>
          <w:p w14:paraId="3240AA3A" w14:textId="77777777" w:rsidR="007412F8" w:rsidRPr="00687BD6" w:rsidRDefault="007412F8" w:rsidP="004F78B0">
            <w:pPr>
              <w:spacing w:line="240" w:lineRule="auto"/>
              <w:jc w:val="center"/>
              <w:rPr>
                <w:sz w:val="16"/>
                <w:szCs w:val="16"/>
              </w:rPr>
            </w:pPr>
            <w:r w:rsidRPr="00687BD6">
              <w:rPr>
                <w:sz w:val="16"/>
                <w:szCs w:val="16"/>
              </w:rPr>
              <w:t>58</w:t>
            </w:r>
          </w:p>
        </w:tc>
        <w:tc>
          <w:tcPr>
            <w:tcW w:w="6662" w:type="dxa"/>
            <w:vAlign w:val="center"/>
          </w:tcPr>
          <w:p w14:paraId="75CF4916" w14:textId="613A4F5E" w:rsidR="007412F8" w:rsidRPr="00687BD6" w:rsidRDefault="007412F8" w:rsidP="004F78B0">
            <w:pPr>
              <w:spacing w:line="240" w:lineRule="auto"/>
              <w:jc w:val="left"/>
              <w:rPr>
                <w:sz w:val="16"/>
                <w:szCs w:val="16"/>
              </w:rPr>
            </w:pPr>
            <w:r w:rsidRPr="00687BD6">
              <w:rPr>
                <w:sz w:val="16"/>
                <w:szCs w:val="16"/>
              </w:rPr>
              <w:t>Proportion of patients presenting with eye infection given an oral antibiotic</w:t>
            </w:r>
          </w:p>
        </w:tc>
        <w:tc>
          <w:tcPr>
            <w:tcW w:w="567" w:type="dxa"/>
            <w:vAlign w:val="center"/>
          </w:tcPr>
          <w:p w14:paraId="2C33BEEA"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582FDC77" w14:textId="77777777" w:rsidR="007412F8" w:rsidRPr="00687BD6" w:rsidRDefault="007412F8" w:rsidP="004F78B0">
            <w:pPr>
              <w:spacing w:line="240" w:lineRule="auto"/>
              <w:jc w:val="center"/>
              <w:rPr>
                <w:sz w:val="16"/>
                <w:szCs w:val="16"/>
              </w:rPr>
            </w:pPr>
            <w:r w:rsidRPr="00687BD6">
              <w:rPr>
                <w:sz w:val="16"/>
                <w:szCs w:val="16"/>
              </w:rPr>
              <w:t>E</w:t>
            </w:r>
          </w:p>
        </w:tc>
        <w:tc>
          <w:tcPr>
            <w:tcW w:w="709" w:type="dxa"/>
            <w:vAlign w:val="center"/>
          </w:tcPr>
          <w:p w14:paraId="3F29A9AE" w14:textId="77777777" w:rsidR="007412F8" w:rsidRPr="00687BD6" w:rsidRDefault="007412F8" w:rsidP="004F78B0">
            <w:pPr>
              <w:spacing w:line="240" w:lineRule="auto"/>
              <w:jc w:val="center"/>
              <w:rPr>
                <w:sz w:val="16"/>
                <w:szCs w:val="16"/>
              </w:rPr>
            </w:pPr>
            <w:r w:rsidRPr="00687BD6">
              <w:rPr>
                <w:sz w:val="16"/>
                <w:szCs w:val="16"/>
              </w:rPr>
              <w:t>70%</w:t>
            </w:r>
          </w:p>
        </w:tc>
        <w:tc>
          <w:tcPr>
            <w:tcW w:w="567" w:type="dxa"/>
            <w:vAlign w:val="center"/>
          </w:tcPr>
          <w:p w14:paraId="3C5F59FE" w14:textId="77777777" w:rsidR="007412F8" w:rsidRPr="00687BD6" w:rsidRDefault="007412F8" w:rsidP="004F78B0">
            <w:pPr>
              <w:spacing w:line="240" w:lineRule="auto"/>
              <w:jc w:val="center"/>
              <w:rPr>
                <w:sz w:val="16"/>
                <w:szCs w:val="16"/>
              </w:rPr>
            </w:pPr>
            <w:r w:rsidRPr="00687BD6">
              <w:rPr>
                <w:sz w:val="16"/>
                <w:szCs w:val="16"/>
              </w:rPr>
              <w:t>7</w:t>
            </w:r>
          </w:p>
        </w:tc>
        <w:tc>
          <w:tcPr>
            <w:tcW w:w="567" w:type="dxa"/>
            <w:vAlign w:val="center"/>
          </w:tcPr>
          <w:p w14:paraId="310C40B0" w14:textId="77777777" w:rsidR="007412F8" w:rsidRPr="00687BD6" w:rsidRDefault="007412F8" w:rsidP="004F78B0">
            <w:pPr>
              <w:spacing w:line="240" w:lineRule="auto"/>
              <w:jc w:val="center"/>
              <w:rPr>
                <w:sz w:val="16"/>
                <w:szCs w:val="16"/>
              </w:rPr>
            </w:pPr>
            <w:r w:rsidRPr="00687BD6">
              <w:rPr>
                <w:sz w:val="16"/>
                <w:szCs w:val="16"/>
              </w:rPr>
              <w:t>E</w:t>
            </w:r>
          </w:p>
        </w:tc>
        <w:tc>
          <w:tcPr>
            <w:tcW w:w="709" w:type="dxa"/>
            <w:vAlign w:val="center"/>
          </w:tcPr>
          <w:p w14:paraId="3E1A6A7E" w14:textId="77777777" w:rsidR="007412F8" w:rsidRPr="00687BD6" w:rsidRDefault="007412F8" w:rsidP="004F78B0">
            <w:pPr>
              <w:spacing w:line="240" w:lineRule="auto"/>
              <w:jc w:val="center"/>
              <w:rPr>
                <w:sz w:val="16"/>
                <w:szCs w:val="16"/>
              </w:rPr>
            </w:pPr>
            <w:r w:rsidRPr="00687BD6">
              <w:rPr>
                <w:sz w:val="16"/>
                <w:szCs w:val="16"/>
              </w:rPr>
              <w:t>60%</w:t>
            </w:r>
          </w:p>
        </w:tc>
      </w:tr>
      <w:tr w:rsidR="00C07BC6" w:rsidRPr="00687BD6" w14:paraId="20D2A7CB" w14:textId="77777777" w:rsidTr="008D6400">
        <w:tc>
          <w:tcPr>
            <w:tcW w:w="709" w:type="dxa"/>
            <w:vMerge/>
          </w:tcPr>
          <w:p w14:paraId="02E2B36E" w14:textId="77777777" w:rsidR="007412F8" w:rsidRPr="00687BD6" w:rsidRDefault="007412F8" w:rsidP="00687BD6">
            <w:pPr>
              <w:spacing w:line="240" w:lineRule="auto"/>
              <w:rPr>
                <w:b/>
                <w:bCs/>
                <w:sz w:val="16"/>
                <w:szCs w:val="16"/>
              </w:rPr>
            </w:pPr>
          </w:p>
        </w:tc>
        <w:tc>
          <w:tcPr>
            <w:tcW w:w="567" w:type="dxa"/>
            <w:vAlign w:val="center"/>
          </w:tcPr>
          <w:p w14:paraId="4E0A2B1F" w14:textId="77777777" w:rsidR="007412F8" w:rsidRPr="00687BD6" w:rsidRDefault="007412F8" w:rsidP="004F78B0">
            <w:pPr>
              <w:spacing w:line="240" w:lineRule="auto"/>
              <w:jc w:val="center"/>
              <w:rPr>
                <w:sz w:val="16"/>
                <w:szCs w:val="16"/>
              </w:rPr>
            </w:pPr>
            <w:r w:rsidRPr="00687BD6">
              <w:rPr>
                <w:sz w:val="16"/>
                <w:szCs w:val="16"/>
              </w:rPr>
              <w:t>58a</w:t>
            </w:r>
          </w:p>
        </w:tc>
        <w:tc>
          <w:tcPr>
            <w:tcW w:w="6662" w:type="dxa"/>
            <w:vAlign w:val="center"/>
          </w:tcPr>
          <w:p w14:paraId="77252BE3" w14:textId="4B286C33" w:rsidR="007412F8" w:rsidRPr="00687BD6" w:rsidRDefault="007412F8" w:rsidP="004F78B0">
            <w:pPr>
              <w:spacing w:line="240" w:lineRule="auto"/>
              <w:jc w:val="left"/>
              <w:rPr>
                <w:sz w:val="16"/>
                <w:szCs w:val="16"/>
              </w:rPr>
            </w:pPr>
            <w:r w:rsidRPr="00687BD6">
              <w:rPr>
                <w:sz w:val="16"/>
                <w:szCs w:val="16"/>
              </w:rPr>
              <w:t>Proportion of patients with eye infections prescribed topical antibiotics recommended in the WHO AWaRe Antibiotic Book</w:t>
            </w:r>
            <w:r w:rsidRPr="00687BD6">
              <w:rPr>
                <w:b/>
                <w:bCs/>
                <w:sz w:val="16"/>
                <w:szCs w:val="16"/>
              </w:rPr>
              <w:t>⮾</w:t>
            </w:r>
          </w:p>
        </w:tc>
        <w:tc>
          <w:tcPr>
            <w:tcW w:w="567" w:type="dxa"/>
            <w:vAlign w:val="center"/>
          </w:tcPr>
          <w:p w14:paraId="68119C52"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06A6F58C"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4E26A3B8" w14:textId="77777777" w:rsidR="007412F8" w:rsidRPr="00687BD6" w:rsidRDefault="007412F8" w:rsidP="004F78B0">
            <w:pPr>
              <w:spacing w:line="240" w:lineRule="auto"/>
              <w:jc w:val="center"/>
              <w:rPr>
                <w:sz w:val="16"/>
                <w:szCs w:val="16"/>
              </w:rPr>
            </w:pPr>
            <w:r w:rsidRPr="00687BD6">
              <w:rPr>
                <w:sz w:val="16"/>
                <w:szCs w:val="16"/>
              </w:rPr>
              <w:t>100%</w:t>
            </w:r>
          </w:p>
        </w:tc>
        <w:tc>
          <w:tcPr>
            <w:tcW w:w="567" w:type="dxa"/>
            <w:vAlign w:val="center"/>
          </w:tcPr>
          <w:p w14:paraId="3B63BBF6"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7C2E9857"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229748DA" w14:textId="77777777" w:rsidR="007412F8" w:rsidRPr="00687BD6" w:rsidRDefault="007412F8" w:rsidP="004F78B0">
            <w:pPr>
              <w:spacing w:line="240" w:lineRule="auto"/>
              <w:jc w:val="center"/>
              <w:rPr>
                <w:sz w:val="16"/>
                <w:szCs w:val="16"/>
              </w:rPr>
            </w:pPr>
            <w:r w:rsidRPr="00687BD6">
              <w:rPr>
                <w:sz w:val="16"/>
                <w:szCs w:val="16"/>
              </w:rPr>
              <w:t>90%</w:t>
            </w:r>
          </w:p>
        </w:tc>
      </w:tr>
      <w:tr w:rsidR="00C07BC6" w:rsidRPr="00687BD6" w14:paraId="1E292BC1" w14:textId="77777777" w:rsidTr="008D6400">
        <w:tc>
          <w:tcPr>
            <w:tcW w:w="709" w:type="dxa"/>
            <w:vMerge/>
          </w:tcPr>
          <w:p w14:paraId="4C7BCCFE" w14:textId="77777777" w:rsidR="007412F8" w:rsidRPr="00687BD6" w:rsidRDefault="007412F8" w:rsidP="00687BD6">
            <w:pPr>
              <w:spacing w:line="240" w:lineRule="auto"/>
              <w:rPr>
                <w:b/>
                <w:bCs/>
                <w:sz w:val="16"/>
                <w:szCs w:val="16"/>
              </w:rPr>
            </w:pPr>
          </w:p>
        </w:tc>
        <w:tc>
          <w:tcPr>
            <w:tcW w:w="567" w:type="dxa"/>
            <w:vAlign w:val="center"/>
          </w:tcPr>
          <w:p w14:paraId="44741998" w14:textId="77777777" w:rsidR="007412F8" w:rsidRPr="00687BD6" w:rsidRDefault="007412F8" w:rsidP="004F78B0">
            <w:pPr>
              <w:spacing w:line="240" w:lineRule="auto"/>
              <w:jc w:val="center"/>
              <w:rPr>
                <w:sz w:val="16"/>
                <w:szCs w:val="16"/>
              </w:rPr>
            </w:pPr>
            <w:r w:rsidRPr="00687BD6">
              <w:rPr>
                <w:sz w:val="16"/>
                <w:szCs w:val="16"/>
              </w:rPr>
              <w:t>58b</w:t>
            </w:r>
          </w:p>
        </w:tc>
        <w:tc>
          <w:tcPr>
            <w:tcW w:w="6662" w:type="dxa"/>
            <w:vAlign w:val="center"/>
          </w:tcPr>
          <w:p w14:paraId="3506B695" w14:textId="68CBAB87" w:rsidR="007412F8" w:rsidRPr="00687BD6" w:rsidRDefault="007412F8" w:rsidP="004F78B0">
            <w:pPr>
              <w:spacing w:line="240" w:lineRule="auto"/>
              <w:jc w:val="left"/>
              <w:rPr>
                <w:sz w:val="16"/>
                <w:szCs w:val="16"/>
              </w:rPr>
            </w:pPr>
            <w:r w:rsidRPr="00687BD6">
              <w:rPr>
                <w:sz w:val="16"/>
                <w:szCs w:val="16"/>
              </w:rPr>
              <w:t>Proportion of patients with bacterial eye infections prescribed topical antibiotics recommended in the WHO AWaRe Antibiotic Book</w:t>
            </w:r>
            <w:r w:rsidRPr="00687BD6">
              <w:rPr>
                <w:b/>
                <w:bCs/>
                <w:sz w:val="16"/>
                <w:szCs w:val="16"/>
              </w:rPr>
              <w:t>⮾</w:t>
            </w:r>
          </w:p>
        </w:tc>
        <w:tc>
          <w:tcPr>
            <w:tcW w:w="567" w:type="dxa"/>
            <w:vAlign w:val="center"/>
          </w:tcPr>
          <w:p w14:paraId="5D974E37" w14:textId="77777777" w:rsidR="007412F8" w:rsidRPr="00687BD6" w:rsidRDefault="007412F8" w:rsidP="004F78B0">
            <w:pPr>
              <w:spacing w:line="240" w:lineRule="auto"/>
              <w:jc w:val="center"/>
              <w:rPr>
                <w:sz w:val="16"/>
                <w:szCs w:val="16"/>
              </w:rPr>
            </w:pPr>
            <w:r w:rsidRPr="00687BD6">
              <w:rPr>
                <w:sz w:val="16"/>
                <w:szCs w:val="16"/>
              </w:rPr>
              <w:t>9</w:t>
            </w:r>
          </w:p>
        </w:tc>
        <w:tc>
          <w:tcPr>
            <w:tcW w:w="567" w:type="dxa"/>
            <w:vAlign w:val="center"/>
          </w:tcPr>
          <w:p w14:paraId="10A076E4"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76FDB34F" w14:textId="77777777" w:rsidR="007412F8" w:rsidRPr="00687BD6" w:rsidRDefault="007412F8" w:rsidP="004F78B0">
            <w:pPr>
              <w:spacing w:line="240" w:lineRule="auto"/>
              <w:jc w:val="center"/>
              <w:rPr>
                <w:sz w:val="16"/>
                <w:szCs w:val="16"/>
              </w:rPr>
            </w:pPr>
            <w:r w:rsidRPr="00687BD6">
              <w:rPr>
                <w:sz w:val="16"/>
                <w:szCs w:val="16"/>
              </w:rPr>
              <w:t>90%</w:t>
            </w:r>
          </w:p>
        </w:tc>
        <w:tc>
          <w:tcPr>
            <w:tcW w:w="567" w:type="dxa"/>
            <w:vAlign w:val="center"/>
          </w:tcPr>
          <w:p w14:paraId="7DD4DD86"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6A435962"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34C9009C" w14:textId="77777777" w:rsidR="007412F8" w:rsidRPr="00687BD6" w:rsidRDefault="007412F8" w:rsidP="004F78B0">
            <w:pPr>
              <w:spacing w:line="240" w:lineRule="auto"/>
              <w:jc w:val="center"/>
              <w:rPr>
                <w:sz w:val="16"/>
                <w:szCs w:val="16"/>
              </w:rPr>
            </w:pPr>
            <w:r w:rsidRPr="00687BD6">
              <w:rPr>
                <w:sz w:val="16"/>
                <w:szCs w:val="16"/>
              </w:rPr>
              <w:t>80%</w:t>
            </w:r>
          </w:p>
        </w:tc>
      </w:tr>
      <w:tr w:rsidR="00C07BC6" w:rsidRPr="00687BD6" w14:paraId="2727AB2C" w14:textId="77777777" w:rsidTr="008D6400">
        <w:tc>
          <w:tcPr>
            <w:tcW w:w="709" w:type="dxa"/>
            <w:vMerge/>
          </w:tcPr>
          <w:p w14:paraId="2C803EBE" w14:textId="77777777" w:rsidR="007412F8" w:rsidRPr="00687BD6" w:rsidRDefault="007412F8" w:rsidP="00687BD6">
            <w:pPr>
              <w:spacing w:line="240" w:lineRule="auto"/>
              <w:rPr>
                <w:b/>
                <w:bCs/>
                <w:sz w:val="16"/>
                <w:szCs w:val="16"/>
              </w:rPr>
            </w:pPr>
          </w:p>
        </w:tc>
        <w:tc>
          <w:tcPr>
            <w:tcW w:w="567" w:type="dxa"/>
            <w:vAlign w:val="center"/>
          </w:tcPr>
          <w:p w14:paraId="4EF3B845" w14:textId="77777777" w:rsidR="007412F8" w:rsidRPr="00687BD6" w:rsidRDefault="007412F8" w:rsidP="004F78B0">
            <w:pPr>
              <w:spacing w:line="240" w:lineRule="auto"/>
              <w:jc w:val="center"/>
              <w:rPr>
                <w:sz w:val="16"/>
                <w:szCs w:val="16"/>
              </w:rPr>
            </w:pPr>
            <w:r w:rsidRPr="00687BD6">
              <w:rPr>
                <w:sz w:val="16"/>
                <w:szCs w:val="16"/>
              </w:rPr>
              <w:t>59</w:t>
            </w:r>
          </w:p>
        </w:tc>
        <w:tc>
          <w:tcPr>
            <w:tcW w:w="6662" w:type="dxa"/>
            <w:vAlign w:val="center"/>
          </w:tcPr>
          <w:p w14:paraId="76F10036" w14:textId="6880536D" w:rsidR="007412F8" w:rsidRPr="00687BD6" w:rsidRDefault="007412F8" w:rsidP="004F78B0">
            <w:pPr>
              <w:spacing w:line="240" w:lineRule="auto"/>
              <w:jc w:val="left"/>
              <w:rPr>
                <w:sz w:val="16"/>
                <w:szCs w:val="16"/>
              </w:rPr>
            </w:pPr>
            <w:r w:rsidRPr="00687BD6">
              <w:rPr>
                <w:sz w:val="16"/>
                <w:szCs w:val="16"/>
              </w:rPr>
              <w:t>Proportion of patients presenting with bacterial eye infections given the duration in days of oral antibiotics recommended in the WHO AWaRe Antibiotic Book</w:t>
            </w:r>
          </w:p>
        </w:tc>
        <w:tc>
          <w:tcPr>
            <w:tcW w:w="567" w:type="dxa"/>
            <w:vAlign w:val="center"/>
          </w:tcPr>
          <w:p w14:paraId="16A20CF5"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61D7D7DC"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3081105A" w14:textId="77777777" w:rsidR="007412F8" w:rsidRPr="00687BD6" w:rsidRDefault="007412F8" w:rsidP="004F78B0">
            <w:pPr>
              <w:spacing w:line="240" w:lineRule="auto"/>
              <w:jc w:val="center"/>
              <w:rPr>
                <w:sz w:val="16"/>
                <w:szCs w:val="16"/>
              </w:rPr>
            </w:pPr>
            <w:r w:rsidRPr="00687BD6">
              <w:rPr>
                <w:sz w:val="16"/>
                <w:szCs w:val="16"/>
              </w:rPr>
              <w:t>100%</w:t>
            </w:r>
          </w:p>
        </w:tc>
        <w:tc>
          <w:tcPr>
            <w:tcW w:w="567" w:type="dxa"/>
            <w:vAlign w:val="center"/>
          </w:tcPr>
          <w:p w14:paraId="625D2915"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2AFDE30C"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68FC03B8" w14:textId="77777777" w:rsidR="007412F8" w:rsidRPr="00687BD6" w:rsidRDefault="007412F8" w:rsidP="004F78B0">
            <w:pPr>
              <w:spacing w:line="240" w:lineRule="auto"/>
              <w:jc w:val="center"/>
              <w:rPr>
                <w:sz w:val="16"/>
                <w:szCs w:val="16"/>
              </w:rPr>
            </w:pPr>
            <w:r w:rsidRPr="00687BD6">
              <w:rPr>
                <w:sz w:val="16"/>
                <w:szCs w:val="16"/>
              </w:rPr>
              <w:t>90%</w:t>
            </w:r>
          </w:p>
        </w:tc>
      </w:tr>
      <w:tr w:rsidR="00C07BC6" w:rsidRPr="00687BD6" w14:paraId="5D29EBDA" w14:textId="77777777" w:rsidTr="008D6400">
        <w:tc>
          <w:tcPr>
            <w:tcW w:w="709" w:type="dxa"/>
            <w:vMerge/>
          </w:tcPr>
          <w:p w14:paraId="37DE7E18" w14:textId="77777777" w:rsidR="007412F8" w:rsidRPr="00687BD6" w:rsidRDefault="007412F8" w:rsidP="00687BD6">
            <w:pPr>
              <w:spacing w:line="240" w:lineRule="auto"/>
              <w:rPr>
                <w:sz w:val="16"/>
                <w:szCs w:val="16"/>
              </w:rPr>
            </w:pPr>
          </w:p>
        </w:tc>
        <w:tc>
          <w:tcPr>
            <w:tcW w:w="567" w:type="dxa"/>
            <w:vAlign w:val="center"/>
          </w:tcPr>
          <w:p w14:paraId="6D9820A7" w14:textId="77777777" w:rsidR="007412F8" w:rsidRPr="00687BD6" w:rsidRDefault="007412F8" w:rsidP="004F78B0">
            <w:pPr>
              <w:spacing w:line="240" w:lineRule="auto"/>
              <w:jc w:val="center"/>
              <w:rPr>
                <w:sz w:val="16"/>
                <w:szCs w:val="16"/>
              </w:rPr>
            </w:pPr>
            <w:r w:rsidRPr="00687BD6">
              <w:rPr>
                <w:sz w:val="16"/>
                <w:szCs w:val="16"/>
              </w:rPr>
              <w:t>60</w:t>
            </w:r>
          </w:p>
        </w:tc>
        <w:tc>
          <w:tcPr>
            <w:tcW w:w="6662" w:type="dxa"/>
            <w:vAlign w:val="center"/>
          </w:tcPr>
          <w:p w14:paraId="0029A0E1" w14:textId="1E0D6054" w:rsidR="007412F8" w:rsidRPr="00687BD6" w:rsidRDefault="007412F8" w:rsidP="004F78B0">
            <w:pPr>
              <w:spacing w:line="240" w:lineRule="auto"/>
              <w:jc w:val="left"/>
              <w:rPr>
                <w:sz w:val="16"/>
                <w:szCs w:val="16"/>
              </w:rPr>
            </w:pPr>
            <w:r w:rsidRPr="00687BD6">
              <w:rPr>
                <w:sz w:val="16"/>
                <w:szCs w:val="16"/>
              </w:rPr>
              <w:t>Proportion of patients with bacterial eye infections prescribed the total daily dose of oral antibiotics recommended in the WHO AWaRe Antibiotic Book</w:t>
            </w:r>
          </w:p>
        </w:tc>
        <w:tc>
          <w:tcPr>
            <w:tcW w:w="567" w:type="dxa"/>
            <w:vAlign w:val="center"/>
          </w:tcPr>
          <w:p w14:paraId="580D951A"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1C1DFD96"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45961E03" w14:textId="77777777" w:rsidR="007412F8" w:rsidRPr="00687BD6" w:rsidRDefault="007412F8" w:rsidP="004F78B0">
            <w:pPr>
              <w:spacing w:line="240" w:lineRule="auto"/>
              <w:jc w:val="center"/>
              <w:rPr>
                <w:sz w:val="16"/>
                <w:szCs w:val="16"/>
              </w:rPr>
            </w:pPr>
            <w:r w:rsidRPr="00687BD6">
              <w:rPr>
                <w:sz w:val="16"/>
                <w:szCs w:val="16"/>
              </w:rPr>
              <w:t>100%</w:t>
            </w:r>
          </w:p>
        </w:tc>
        <w:tc>
          <w:tcPr>
            <w:tcW w:w="567" w:type="dxa"/>
            <w:vAlign w:val="center"/>
          </w:tcPr>
          <w:p w14:paraId="2B0A2D9C"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40848F51"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387AE181" w14:textId="77777777" w:rsidR="007412F8" w:rsidRPr="00687BD6" w:rsidRDefault="007412F8" w:rsidP="004F78B0">
            <w:pPr>
              <w:spacing w:line="240" w:lineRule="auto"/>
              <w:jc w:val="center"/>
              <w:rPr>
                <w:sz w:val="16"/>
                <w:szCs w:val="16"/>
              </w:rPr>
            </w:pPr>
            <w:r w:rsidRPr="00687BD6">
              <w:rPr>
                <w:sz w:val="16"/>
                <w:szCs w:val="16"/>
              </w:rPr>
              <w:t>90%</w:t>
            </w:r>
          </w:p>
        </w:tc>
      </w:tr>
      <w:tr w:rsidR="00C07BC6" w:rsidRPr="00687BD6" w14:paraId="4AD785AD" w14:textId="77777777" w:rsidTr="008D6400">
        <w:tc>
          <w:tcPr>
            <w:tcW w:w="709" w:type="dxa"/>
            <w:vMerge/>
          </w:tcPr>
          <w:p w14:paraId="2C49E9CE" w14:textId="77777777" w:rsidR="007412F8" w:rsidRPr="00687BD6" w:rsidRDefault="007412F8" w:rsidP="00687BD6">
            <w:pPr>
              <w:spacing w:line="240" w:lineRule="auto"/>
              <w:rPr>
                <w:sz w:val="16"/>
                <w:szCs w:val="16"/>
              </w:rPr>
            </w:pPr>
          </w:p>
        </w:tc>
        <w:tc>
          <w:tcPr>
            <w:tcW w:w="567" w:type="dxa"/>
            <w:vAlign w:val="center"/>
          </w:tcPr>
          <w:p w14:paraId="2A9B54FC" w14:textId="77777777" w:rsidR="007412F8" w:rsidRPr="00687BD6" w:rsidRDefault="007412F8" w:rsidP="004F78B0">
            <w:pPr>
              <w:spacing w:line="240" w:lineRule="auto"/>
              <w:jc w:val="center"/>
              <w:rPr>
                <w:sz w:val="16"/>
                <w:szCs w:val="16"/>
              </w:rPr>
            </w:pPr>
            <w:r w:rsidRPr="00687BD6">
              <w:rPr>
                <w:sz w:val="16"/>
                <w:szCs w:val="16"/>
              </w:rPr>
              <w:t>61</w:t>
            </w:r>
          </w:p>
        </w:tc>
        <w:tc>
          <w:tcPr>
            <w:tcW w:w="6662" w:type="dxa"/>
            <w:vAlign w:val="center"/>
          </w:tcPr>
          <w:p w14:paraId="24181686" w14:textId="77777777" w:rsidR="007412F8" w:rsidRPr="00687BD6" w:rsidRDefault="007412F8" w:rsidP="004F78B0">
            <w:pPr>
              <w:spacing w:line="240" w:lineRule="auto"/>
              <w:jc w:val="left"/>
              <w:rPr>
                <w:sz w:val="16"/>
                <w:szCs w:val="16"/>
              </w:rPr>
            </w:pPr>
            <w:r w:rsidRPr="00687BD6">
              <w:rPr>
                <w:sz w:val="16"/>
                <w:szCs w:val="16"/>
              </w:rPr>
              <w:t>Proportion of patients with eye infections prescribed the total daily dose of oral antibiotics recommended in the WHO AWaRe Antibiotic Book</w:t>
            </w:r>
          </w:p>
        </w:tc>
        <w:tc>
          <w:tcPr>
            <w:tcW w:w="567" w:type="dxa"/>
            <w:vAlign w:val="center"/>
          </w:tcPr>
          <w:p w14:paraId="4B24D763" w14:textId="77777777" w:rsidR="007412F8" w:rsidRPr="00687BD6" w:rsidRDefault="007412F8" w:rsidP="004F78B0">
            <w:pPr>
              <w:spacing w:line="240" w:lineRule="auto"/>
              <w:jc w:val="center"/>
              <w:rPr>
                <w:sz w:val="16"/>
                <w:szCs w:val="16"/>
              </w:rPr>
            </w:pPr>
            <w:r w:rsidRPr="00687BD6">
              <w:rPr>
                <w:sz w:val="16"/>
                <w:szCs w:val="16"/>
              </w:rPr>
              <w:t>7</w:t>
            </w:r>
          </w:p>
        </w:tc>
        <w:tc>
          <w:tcPr>
            <w:tcW w:w="567" w:type="dxa"/>
            <w:vAlign w:val="center"/>
          </w:tcPr>
          <w:p w14:paraId="5F67E075"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2F1ACD22" w14:textId="77777777" w:rsidR="007412F8" w:rsidRPr="00687BD6" w:rsidRDefault="007412F8" w:rsidP="004F78B0">
            <w:pPr>
              <w:spacing w:line="240" w:lineRule="auto"/>
              <w:jc w:val="center"/>
              <w:rPr>
                <w:sz w:val="16"/>
                <w:szCs w:val="16"/>
              </w:rPr>
            </w:pPr>
            <w:r w:rsidRPr="00687BD6">
              <w:rPr>
                <w:sz w:val="16"/>
                <w:szCs w:val="16"/>
              </w:rPr>
              <w:t>90%</w:t>
            </w:r>
          </w:p>
        </w:tc>
        <w:tc>
          <w:tcPr>
            <w:tcW w:w="567" w:type="dxa"/>
            <w:vAlign w:val="center"/>
          </w:tcPr>
          <w:p w14:paraId="323C6905"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5295AC39"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52FCE484" w14:textId="77777777" w:rsidR="007412F8" w:rsidRPr="00687BD6" w:rsidRDefault="007412F8" w:rsidP="004F78B0">
            <w:pPr>
              <w:spacing w:line="240" w:lineRule="auto"/>
              <w:jc w:val="center"/>
              <w:rPr>
                <w:sz w:val="16"/>
                <w:szCs w:val="16"/>
              </w:rPr>
            </w:pPr>
            <w:r w:rsidRPr="00687BD6">
              <w:rPr>
                <w:sz w:val="16"/>
                <w:szCs w:val="16"/>
              </w:rPr>
              <w:t>90%</w:t>
            </w:r>
          </w:p>
        </w:tc>
      </w:tr>
      <w:tr w:rsidR="00C07BC6" w:rsidRPr="00687BD6" w14:paraId="55282E79" w14:textId="77777777" w:rsidTr="008D6400">
        <w:tc>
          <w:tcPr>
            <w:tcW w:w="709" w:type="dxa"/>
            <w:vMerge/>
          </w:tcPr>
          <w:p w14:paraId="49302300" w14:textId="77777777" w:rsidR="007412F8" w:rsidRPr="00687BD6" w:rsidRDefault="007412F8" w:rsidP="00687BD6">
            <w:pPr>
              <w:spacing w:line="240" w:lineRule="auto"/>
              <w:rPr>
                <w:sz w:val="16"/>
                <w:szCs w:val="16"/>
              </w:rPr>
            </w:pPr>
          </w:p>
        </w:tc>
        <w:tc>
          <w:tcPr>
            <w:tcW w:w="567" w:type="dxa"/>
            <w:vAlign w:val="center"/>
          </w:tcPr>
          <w:p w14:paraId="56BB9914" w14:textId="77777777" w:rsidR="007412F8" w:rsidRPr="00687BD6" w:rsidRDefault="007412F8" w:rsidP="004F78B0">
            <w:pPr>
              <w:spacing w:line="240" w:lineRule="auto"/>
              <w:jc w:val="center"/>
              <w:rPr>
                <w:sz w:val="16"/>
                <w:szCs w:val="16"/>
              </w:rPr>
            </w:pPr>
            <w:r w:rsidRPr="00687BD6">
              <w:rPr>
                <w:sz w:val="16"/>
                <w:szCs w:val="16"/>
              </w:rPr>
              <w:t>62</w:t>
            </w:r>
          </w:p>
        </w:tc>
        <w:tc>
          <w:tcPr>
            <w:tcW w:w="6662" w:type="dxa"/>
            <w:vAlign w:val="center"/>
          </w:tcPr>
          <w:p w14:paraId="75EC8B8C" w14:textId="0235474B" w:rsidR="007412F8" w:rsidRPr="00687BD6" w:rsidRDefault="007412F8" w:rsidP="004F78B0">
            <w:pPr>
              <w:spacing w:line="240" w:lineRule="auto"/>
              <w:jc w:val="left"/>
              <w:rPr>
                <w:sz w:val="16"/>
                <w:szCs w:val="16"/>
              </w:rPr>
            </w:pPr>
            <w:r w:rsidRPr="00687BD6">
              <w:rPr>
                <w:sz w:val="16"/>
                <w:szCs w:val="16"/>
              </w:rPr>
              <w:t>Proportion of patients presenting with eye infection at high risk* of severe complications given any oral Access antibiotic</w:t>
            </w:r>
          </w:p>
        </w:tc>
        <w:tc>
          <w:tcPr>
            <w:tcW w:w="567" w:type="dxa"/>
            <w:vAlign w:val="center"/>
          </w:tcPr>
          <w:p w14:paraId="0EB280A9" w14:textId="77777777" w:rsidR="007412F8" w:rsidRPr="00687BD6" w:rsidRDefault="007412F8" w:rsidP="004F78B0">
            <w:pPr>
              <w:spacing w:line="240" w:lineRule="auto"/>
              <w:jc w:val="center"/>
              <w:rPr>
                <w:sz w:val="16"/>
                <w:szCs w:val="16"/>
              </w:rPr>
            </w:pPr>
            <w:r w:rsidRPr="00687BD6">
              <w:rPr>
                <w:sz w:val="16"/>
                <w:szCs w:val="16"/>
              </w:rPr>
              <w:t>9</w:t>
            </w:r>
          </w:p>
        </w:tc>
        <w:tc>
          <w:tcPr>
            <w:tcW w:w="567" w:type="dxa"/>
            <w:vAlign w:val="center"/>
          </w:tcPr>
          <w:p w14:paraId="70FE7E2D" w14:textId="77777777" w:rsidR="007412F8" w:rsidRPr="00687BD6" w:rsidRDefault="007412F8" w:rsidP="004F78B0">
            <w:pPr>
              <w:spacing w:line="240" w:lineRule="auto"/>
              <w:jc w:val="center"/>
              <w:rPr>
                <w:sz w:val="16"/>
                <w:szCs w:val="16"/>
              </w:rPr>
            </w:pPr>
            <w:r w:rsidRPr="00687BD6">
              <w:rPr>
                <w:sz w:val="16"/>
                <w:szCs w:val="16"/>
              </w:rPr>
              <w:t>E</w:t>
            </w:r>
          </w:p>
        </w:tc>
        <w:tc>
          <w:tcPr>
            <w:tcW w:w="709" w:type="dxa"/>
            <w:vAlign w:val="center"/>
          </w:tcPr>
          <w:p w14:paraId="6E3B79AF" w14:textId="77777777" w:rsidR="007412F8" w:rsidRPr="00687BD6" w:rsidRDefault="007412F8" w:rsidP="004F78B0">
            <w:pPr>
              <w:spacing w:line="240" w:lineRule="auto"/>
              <w:jc w:val="center"/>
              <w:rPr>
                <w:sz w:val="16"/>
                <w:szCs w:val="16"/>
              </w:rPr>
            </w:pPr>
            <w:r w:rsidRPr="00687BD6">
              <w:rPr>
                <w:sz w:val="16"/>
                <w:szCs w:val="16"/>
              </w:rPr>
              <w:t>60%</w:t>
            </w:r>
          </w:p>
        </w:tc>
        <w:tc>
          <w:tcPr>
            <w:tcW w:w="567" w:type="dxa"/>
            <w:vAlign w:val="center"/>
          </w:tcPr>
          <w:p w14:paraId="7AB819CB" w14:textId="77777777" w:rsidR="007412F8" w:rsidRPr="00687BD6" w:rsidRDefault="007412F8" w:rsidP="004F78B0">
            <w:pPr>
              <w:spacing w:line="240" w:lineRule="auto"/>
              <w:jc w:val="center"/>
              <w:rPr>
                <w:sz w:val="16"/>
                <w:szCs w:val="16"/>
              </w:rPr>
            </w:pPr>
            <w:r w:rsidRPr="00687BD6">
              <w:rPr>
                <w:sz w:val="16"/>
                <w:szCs w:val="16"/>
              </w:rPr>
              <w:t>7</w:t>
            </w:r>
          </w:p>
        </w:tc>
        <w:tc>
          <w:tcPr>
            <w:tcW w:w="567" w:type="dxa"/>
            <w:vAlign w:val="center"/>
          </w:tcPr>
          <w:p w14:paraId="03C27E41"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577240AE" w14:textId="77777777" w:rsidR="007412F8" w:rsidRPr="00687BD6" w:rsidRDefault="007412F8" w:rsidP="004F78B0">
            <w:pPr>
              <w:spacing w:line="240" w:lineRule="auto"/>
              <w:jc w:val="center"/>
              <w:rPr>
                <w:sz w:val="16"/>
                <w:szCs w:val="16"/>
              </w:rPr>
            </w:pPr>
            <w:r w:rsidRPr="00687BD6">
              <w:rPr>
                <w:sz w:val="16"/>
                <w:szCs w:val="16"/>
              </w:rPr>
              <w:t>90%</w:t>
            </w:r>
          </w:p>
        </w:tc>
      </w:tr>
      <w:tr w:rsidR="00C07BC6" w:rsidRPr="00687BD6" w14:paraId="1C86F53E" w14:textId="77777777" w:rsidTr="008D6400">
        <w:tc>
          <w:tcPr>
            <w:tcW w:w="709" w:type="dxa"/>
            <w:vMerge/>
          </w:tcPr>
          <w:p w14:paraId="018BBAF1" w14:textId="77777777" w:rsidR="007412F8" w:rsidRPr="00687BD6" w:rsidRDefault="007412F8" w:rsidP="00687BD6">
            <w:pPr>
              <w:spacing w:line="240" w:lineRule="auto"/>
              <w:rPr>
                <w:sz w:val="16"/>
                <w:szCs w:val="16"/>
              </w:rPr>
            </w:pPr>
          </w:p>
        </w:tc>
        <w:tc>
          <w:tcPr>
            <w:tcW w:w="567" w:type="dxa"/>
            <w:vAlign w:val="center"/>
          </w:tcPr>
          <w:p w14:paraId="688F6100" w14:textId="77777777" w:rsidR="007412F8" w:rsidRPr="00687BD6" w:rsidRDefault="007412F8" w:rsidP="004F78B0">
            <w:pPr>
              <w:spacing w:line="240" w:lineRule="auto"/>
              <w:jc w:val="center"/>
              <w:rPr>
                <w:sz w:val="16"/>
                <w:szCs w:val="16"/>
              </w:rPr>
            </w:pPr>
            <w:r w:rsidRPr="00687BD6">
              <w:rPr>
                <w:sz w:val="16"/>
                <w:szCs w:val="16"/>
              </w:rPr>
              <w:t>63</w:t>
            </w:r>
          </w:p>
        </w:tc>
        <w:tc>
          <w:tcPr>
            <w:tcW w:w="6662" w:type="dxa"/>
            <w:vAlign w:val="center"/>
          </w:tcPr>
          <w:p w14:paraId="5F8938B5" w14:textId="09A0C68F" w:rsidR="007412F8" w:rsidRPr="00687BD6" w:rsidRDefault="007412F8" w:rsidP="004F78B0">
            <w:pPr>
              <w:spacing w:line="240" w:lineRule="auto"/>
              <w:jc w:val="left"/>
              <w:rPr>
                <w:sz w:val="16"/>
                <w:szCs w:val="16"/>
              </w:rPr>
            </w:pPr>
            <w:r w:rsidRPr="00687BD6">
              <w:rPr>
                <w:sz w:val="16"/>
                <w:szCs w:val="16"/>
              </w:rPr>
              <w:t>Proportion of patients presenting with eye infection at high risk* of severe complications given any oral Watch antibiotic</w:t>
            </w:r>
          </w:p>
        </w:tc>
        <w:tc>
          <w:tcPr>
            <w:tcW w:w="567" w:type="dxa"/>
            <w:vAlign w:val="center"/>
          </w:tcPr>
          <w:p w14:paraId="2E5158CA" w14:textId="77777777" w:rsidR="007412F8" w:rsidRPr="00687BD6" w:rsidRDefault="007412F8" w:rsidP="004F78B0">
            <w:pPr>
              <w:spacing w:line="240" w:lineRule="auto"/>
              <w:jc w:val="center"/>
              <w:rPr>
                <w:sz w:val="16"/>
                <w:szCs w:val="16"/>
              </w:rPr>
            </w:pPr>
            <w:r w:rsidRPr="00687BD6">
              <w:rPr>
                <w:sz w:val="16"/>
                <w:szCs w:val="16"/>
              </w:rPr>
              <w:t>9</w:t>
            </w:r>
          </w:p>
        </w:tc>
        <w:tc>
          <w:tcPr>
            <w:tcW w:w="567" w:type="dxa"/>
            <w:vAlign w:val="center"/>
          </w:tcPr>
          <w:p w14:paraId="01C7F97B" w14:textId="77777777" w:rsidR="007412F8" w:rsidRPr="00687BD6" w:rsidRDefault="007412F8" w:rsidP="004F78B0">
            <w:pPr>
              <w:spacing w:line="240" w:lineRule="auto"/>
              <w:jc w:val="center"/>
              <w:rPr>
                <w:sz w:val="16"/>
                <w:szCs w:val="16"/>
              </w:rPr>
            </w:pPr>
            <w:r w:rsidRPr="00687BD6">
              <w:rPr>
                <w:sz w:val="16"/>
                <w:szCs w:val="16"/>
              </w:rPr>
              <w:t>E</w:t>
            </w:r>
          </w:p>
        </w:tc>
        <w:tc>
          <w:tcPr>
            <w:tcW w:w="709" w:type="dxa"/>
            <w:vAlign w:val="center"/>
          </w:tcPr>
          <w:p w14:paraId="6FBA8AB8" w14:textId="77777777" w:rsidR="007412F8" w:rsidRPr="00687BD6" w:rsidRDefault="007412F8" w:rsidP="004F78B0">
            <w:pPr>
              <w:spacing w:line="240" w:lineRule="auto"/>
              <w:jc w:val="center"/>
              <w:rPr>
                <w:sz w:val="16"/>
                <w:szCs w:val="16"/>
              </w:rPr>
            </w:pPr>
            <w:r w:rsidRPr="00687BD6">
              <w:rPr>
                <w:sz w:val="16"/>
                <w:szCs w:val="16"/>
              </w:rPr>
              <w:t>70%</w:t>
            </w:r>
          </w:p>
        </w:tc>
        <w:tc>
          <w:tcPr>
            <w:tcW w:w="567" w:type="dxa"/>
            <w:vAlign w:val="center"/>
          </w:tcPr>
          <w:p w14:paraId="6268A709" w14:textId="77777777" w:rsidR="007412F8" w:rsidRPr="00687BD6" w:rsidRDefault="007412F8" w:rsidP="004F78B0">
            <w:pPr>
              <w:spacing w:line="240" w:lineRule="auto"/>
              <w:jc w:val="center"/>
              <w:rPr>
                <w:sz w:val="16"/>
                <w:szCs w:val="16"/>
              </w:rPr>
            </w:pPr>
            <w:r w:rsidRPr="00687BD6">
              <w:rPr>
                <w:sz w:val="16"/>
                <w:szCs w:val="16"/>
              </w:rPr>
              <w:t>7</w:t>
            </w:r>
          </w:p>
        </w:tc>
        <w:tc>
          <w:tcPr>
            <w:tcW w:w="567" w:type="dxa"/>
            <w:vAlign w:val="center"/>
          </w:tcPr>
          <w:p w14:paraId="63DCEE4B"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2DAE8DE9" w14:textId="77777777" w:rsidR="007412F8" w:rsidRPr="00687BD6" w:rsidRDefault="007412F8" w:rsidP="004F78B0">
            <w:pPr>
              <w:spacing w:line="240" w:lineRule="auto"/>
              <w:jc w:val="center"/>
              <w:rPr>
                <w:sz w:val="16"/>
                <w:szCs w:val="16"/>
              </w:rPr>
            </w:pPr>
            <w:r w:rsidRPr="00687BD6">
              <w:rPr>
                <w:sz w:val="16"/>
                <w:szCs w:val="16"/>
              </w:rPr>
              <w:t>90%</w:t>
            </w:r>
          </w:p>
        </w:tc>
      </w:tr>
      <w:tr w:rsidR="00C07BC6" w:rsidRPr="00687BD6" w14:paraId="50723B49" w14:textId="77777777" w:rsidTr="008D6400">
        <w:tc>
          <w:tcPr>
            <w:tcW w:w="709" w:type="dxa"/>
            <w:vMerge w:val="restart"/>
          </w:tcPr>
          <w:p w14:paraId="007B1DF3" w14:textId="77777777" w:rsidR="007412F8" w:rsidRPr="00687BD6" w:rsidRDefault="007412F8" w:rsidP="00687BD6">
            <w:pPr>
              <w:spacing w:line="240" w:lineRule="auto"/>
              <w:rPr>
                <w:b/>
                <w:bCs/>
                <w:sz w:val="16"/>
                <w:szCs w:val="16"/>
              </w:rPr>
            </w:pPr>
            <w:r w:rsidRPr="00687BD6">
              <w:rPr>
                <w:b/>
                <w:bCs/>
                <w:sz w:val="16"/>
                <w:szCs w:val="16"/>
              </w:rPr>
              <w:t>Dental (n=9)</w:t>
            </w:r>
          </w:p>
        </w:tc>
        <w:tc>
          <w:tcPr>
            <w:tcW w:w="567" w:type="dxa"/>
            <w:vAlign w:val="center"/>
          </w:tcPr>
          <w:p w14:paraId="0E389F43" w14:textId="77777777" w:rsidR="007412F8" w:rsidRPr="00687BD6" w:rsidRDefault="007412F8" w:rsidP="004F78B0">
            <w:pPr>
              <w:spacing w:line="240" w:lineRule="auto"/>
              <w:jc w:val="center"/>
              <w:rPr>
                <w:sz w:val="16"/>
                <w:szCs w:val="16"/>
              </w:rPr>
            </w:pPr>
            <w:r w:rsidRPr="00687BD6">
              <w:rPr>
                <w:sz w:val="16"/>
                <w:szCs w:val="16"/>
              </w:rPr>
              <w:t>64</w:t>
            </w:r>
          </w:p>
        </w:tc>
        <w:tc>
          <w:tcPr>
            <w:tcW w:w="6662" w:type="dxa"/>
            <w:vAlign w:val="center"/>
          </w:tcPr>
          <w:p w14:paraId="2D4298B8" w14:textId="77EE13D8" w:rsidR="007412F8" w:rsidRPr="00687BD6" w:rsidRDefault="007412F8" w:rsidP="004F78B0">
            <w:pPr>
              <w:spacing w:line="240" w:lineRule="auto"/>
              <w:jc w:val="left"/>
              <w:rPr>
                <w:sz w:val="16"/>
                <w:szCs w:val="16"/>
              </w:rPr>
            </w:pPr>
            <w:r w:rsidRPr="00687BD6">
              <w:rPr>
                <w:sz w:val="16"/>
                <w:szCs w:val="16"/>
              </w:rPr>
              <w:t>Proportion of otherwise healthy adults presenting with dental infections given an oral antibiotic</w:t>
            </w:r>
          </w:p>
        </w:tc>
        <w:tc>
          <w:tcPr>
            <w:tcW w:w="567" w:type="dxa"/>
            <w:vAlign w:val="center"/>
          </w:tcPr>
          <w:p w14:paraId="6EE9A5D7"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148C2D3F"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60B0769E" w14:textId="77777777" w:rsidR="007412F8" w:rsidRPr="00687BD6" w:rsidRDefault="007412F8" w:rsidP="004F78B0">
            <w:pPr>
              <w:spacing w:line="240" w:lineRule="auto"/>
              <w:jc w:val="center"/>
              <w:rPr>
                <w:sz w:val="16"/>
                <w:szCs w:val="16"/>
              </w:rPr>
            </w:pPr>
            <w:r w:rsidRPr="00687BD6">
              <w:rPr>
                <w:sz w:val="16"/>
                <w:szCs w:val="16"/>
              </w:rPr>
              <w:t>100%</w:t>
            </w:r>
          </w:p>
        </w:tc>
        <w:tc>
          <w:tcPr>
            <w:tcW w:w="567" w:type="dxa"/>
            <w:vAlign w:val="center"/>
          </w:tcPr>
          <w:p w14:paraId="6CC37618"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219669BC"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2263243F" w14:textId="77777777" w:rsidR="007412F8" w:rsidRPr="00687BD6" w:rsidRDefault="007412F8" w:rsidP="004F78B0">
            <w:pPr>
              <w:spacing w:line="240" w:lineRule="auto"/>
              <w:jc w:val="center"/>
              <w:rPr>
                <w:sz w:val="16"/>
                <w:szCs w:val="16"/>
              </w:rPr>
            </w:pPr>
            <w:r w:rsidRPr="00687BD6">
              <w:rPr>
                <w:sz w:val="16"/>
                <w:szCs w:val="16"/>
              </w:rPr>
              <w:t>90%</w:t>
            </w:r>
          </w:p>
        </w:tc>
      </w:tr>
      <w:tr w:rsidR="00C07BC6" w:rsidRPr="00687BD6" w14:paraId="75824248" w14:textId="77777777" w:rsidTr="008D6400">
        <w:tc>
          <w:tcPr>
            <w:tcW w:w="709" w:type="dxa"/>
            <w:vMerge/>
          </w:tcPr>
          <w:p w14:paraId="4959346A" w14:textId="77777777" w:rsidR="007412F8" w:rsidRPr="00687BD6" w:rsidRDefault="007412F8" w:rsidP="00687BD6">
            <w:pPr>
              <w:spacing w:line="240" w:lineRule="auto"/>
              <w:rPr>
                <w:sz w:val="16"/>
                <w:szCs w:val="16"/>
              </w:rPr>
            </w:pPr>
          </w:p>
        </w:tc>
        <w:tc>
          <w:tcPr>
            <w:tcW w:w="567" w:type="dxa"/>
            <w:vAlign w:val="center"/>
          </w:tcPr>
          <w:p w14:paraId="7E3C98A0" w14:textId="77777777" w:rsidR="007412F8" w:rsidRPr="00687BD6" w:rsidRDefault="007412F8" w:rsidP="004F78B0">
            <w:pPr>
              <w:spacing w:line="240" w:lineRule="auto"/>
              <w:jc w:val="center"/>
              <w:rPr>
                <w:sz w:val="16"/>
                <w:szCs w:val="16"/>
              </w:rPr>
            </w:pPr>
            <w:r w:rsidRPr="00687BD6">
              <w:rPr>
                <w:sz w:val="16"/>
                <w:szCs w:val="16"/>
              </w:rPr>
              <w:t>65</w:t>
            </w:r>
          </w:p>
        </w:tc>
        <w:tc>
          <w:tcPr>
            <w:tcW w:w="6662" w:type="dxa"/>
            <w:vAlign w:val="center"/>
          </w:tcPr>
          <w:p w14:paraId="75B83552" w14:textId="037C32A5" w:rsidR="007412F8" w:rsidRPr="00687BD6" w:rsidRDefault="007412F8" w:rsidP="004F78B0">
            <w:pPr>
              <w:spacing w:line="240" w:lineRule="auto"/>
              <w:jc w:val="left"/>
              <w:rPr>
                <w:sz w:val="16"/>
                <w:szCs w:val="16"/>
              </w:rPr>
            </w:pPr>
            <w:r w:rsidRPr="00687BD6">
              <w:rPr>
                <w:sz w:val="16"/>
                <w:szCs w:val="16"/>
              </w:rPr>
              <w:t xml:space="preserve">Proportion of otherwise healthy adults presenting with </w:t>
            </w:r>
            <w:r w:rsidRPr="00BB19BA">
              <w:rPr>
                <w:sz w:val="16"/>
                <w:szCs w:val="16"/>
              </w:rPr>
              <w:t>severe*</w:t>
            </w:r>
            <w:r w:rsidR="00BB19BA">
              <w:rPr>
                <w:sz w:val="16"/>
                <w:szCs w:val="16"/>
              </w:rPr>
              <w:t>*</w:t>
            </w:r>
            <w:r w:rsidRPr="00687BD6">
              <w:rPr>
                <w:sz w:val="16"/>
                <w:szCs w:val="16"/>
              </w:rPr>
              <w:t xml:space="preserve"> dental infections given an oral antibiotic</w:t>
            </w:r>
          </w:p>
        </w:tc>
        <w:tc>
          <w:tcPr>
            <w:tcW w:w="567" w:type="dxa"/>
            <w:vAlign w:val="center"/>
          </w:tcPr>
          <w:p w14:paraId="36E28D17" w14:textId="77777777" w:rsidR="007412F8" w:rsidRPr="00687BD6" w:rsidRDefault="007412F8" w:rsidP="004F78B0">
            <w:pPr>
              <w:spacing w:line="240" w:lineRule="auto"/>
              <w:jc w:val="center"/>
              <w:rPr>
                <w:sz w:val="16"/>
                <w:szCs w:val="16"/>
              </w:rPr>
            </w:pPr>
            <w:r w:rsidRPr="00687BD6">
              <w:rPr>
                <w:sz w:val="16"/>
                <w:szCs w:val="16"/>
              </w:rPr>
              <w:t>9</w:t>
            </w:r>
          </w:p>
        </w:tc>
        <w:tc>
          <w:tcPr>
            <w:tcW w:w="567" w:type="dxa"/>
            <w:vAlign w:val="center"/>
          </w:tcPr>
          <w:p w14:paraId="2C4B8067"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6789A91C" w14:textId="77777777" w:rsidR="007412F8" w:rsidRPr="00687BD6" w:rsidRDefault="007412F8" w:rsidP="004F78B0">
            <w:pPr>
              <w:spacing w:line="240" w:lineRule="auto"/>
              <w:jc w:val="center"/>
              <w:rPr>
                <w:sz w:val="16"/>
                <w:szCs w:val="16"/>
              </w:rPr>
            </w:pPr>
            <w:r w:rsidRPr="00687BD6">
              <w:rPr>
                <w:sz w:val="16"/>
                <w:szCs w:val="16"/>
              </w:rPr>
              <w:t>90%</w:t>
            </w:r>
          </w:p>
        </w:tc>
        <w:tc>
          <w:tcPr>
            <w:tcW w:w="567" w:type="dxa"/>
            <w:vAlign w:val="center"/>
          </w:tcPr>
          <w:p w14:paraId="27299222"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00D7D89B"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739D52E6" w14:textId="77777777" w:rsidR="007412F8" w:rsidRPr="00687BD6" w:rsidRDefault="007412F8" w:rsidP="004F78B0">
            <w:pPr>
              <w:spacing w:line="240" w:lineRule="auto"/>
              <w:jc w:val="center"/>
              <w:rPr>
                <w:sz w:val="16"/>
                <w:szCs w:val="16"/>
              </w:rPr>
            </w:pPr>
            <w:r w:rsidRPr="00687BD6">
              <w:rPr>
                <w:sz w:val="16"/>
                <w:szCs w:val="16"/>
              </w:rPr>
              <w:t>90%</w:t>
            </w:r>
          </w:p>
        </w:tc>
      </w:tr>
      <w:tr w:rsidR="00C07BC6" w:rsidRPr="00687BD6" w14:paraId="29A8D677" w14:textId="77777777" w:rsidTr="008D6400">
        <w:tc>
          <w:tcPr>
            <w:tcW w:w="709" w:type="dxa"/>
            <w:vMerge/>
          </w:tcPr>
          <w:p w14:paraId="2135ABC9" w14:textId="77777777" w:rsidR="007412F8" w:rsidRPr="00687BD6" w:rsidRDefault="007412F8" w:rsidP="00687BD6">
            <w:pPr>
              <w:spacing w:line="240" w:lineRule="auto"/>
              <w:rPr>
                <w:sz w:val="16"/>
                <w:szCs w:val="16"/>
              </w:rPr>
            </w:pPr>
          </w:p>
        </w:tc>
        <w:tc>
          <w:tcPr>
            <w:tcW w:w="567" w:type="dxa"/>
            <w:vAlign w:val="center"/>
          </w:tcPr>
          <w:p w14:paraId="230BF997" w14:textId="77777777" w:rsidR="007412F8" w:rsidRPr="00687BD6" w:rsidRDefault="007412F8" w:rsidP="004F78B0">
            <w:pPr>
              <w:spacing w:line="240" w:lineRule="auto"/>
              <w:jc w:val="center"/>
              <w:rPr>
                <w:sz w:val="16"/>
                <w:szCs w:val="16"/>
              </w:rPr>
            </w:pPr>
            <w:r w:rsidRPr="00687BD6">
              <w:rPr>
                <w:sz w:val="16"/>
                <w:szCs w:val="16"/>
              </w:rPr>
              <w:t>66</w:t>
            </w:r>
          </w:p>
        </w:tc>
        <w:tc>
          <w:tcPr>
            <w:tcW w:w="6662" w:type="dxa"/>
            <w:vAlign w:val="center"/>
          </w:tcPr>
          <w:p w14:paraId="1D72D8D8" w14:textId="4EAF8A14" w:rsidR="007412F8" w:rsidRPr="00687BD6" w:rsidRDefault="007412F8" w:rsidP="004F78B0">
            <w:pPr>
              <w:spacing w:line="240" w:lineRule="auto"/>
              <w:jc w:val="left"/>
              <w:rPr>
                <w:sz w:val="16"/>
                <w:szCs w:val="16"/>
              </w:rPr>
            </w:pPr>
            <w:r w:rsidRPr="00687BD6">
              <w:rPr>
                <w:sz w:val="16"/>
                <w:szCs w:val="16"/>
              </w:rPr>
              <w:t>Proportion of patients presenting with dental infections at high risk* of severe complications given an oral antibiotic</w:t>
            </w:r>
          </w:p>
        </w:tc>
        <w:tc>
          <w:tcPr>
            <w:tcW w:w="567" w:type="dxa"/>
            <w:vAlign w:val="center"/>
          </w:tcPr>
          <w:p w14:paraId="59F598C7"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3DF300FB"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2E796C3C" w14:textId="77777777" w:rsidR="007412F8" w:rsidRPr="00687BD6" w:rsidRDefault="007412F8" w:rsidP="004F78B0">
            <w:pPr>
              <w:spacing w:line="240" w:lineRule="auto"/>
              <w:jc w:val="center"/>
              <w:rPr>
                <w:sz w:val="16"/>
                <w:szCs w:val="16"/>
              </w:rPr>
            </w:pPr>
            <w:r w:rsidRPr="00687BD6">
              <w:rPr>
                <w:sz w:val="16"/>
                <w:szCs w:val="16"/>
              </w:rPr>
              <w:t>100%</w:t>
            </w:r>
          </w:p>
        </w:tc>
        <w:tc>
          <w:tcPr>
            <w:tcW w:w="567" w:type="dxa"/>
            <w:vAlign w:val="center"/>
          </w:tcPr>
          <w:p w14:paraId="033A057A" w14:textId="77777777" w:rsidR="007412F8" w:rsidRPr="00687BD6" w:rsidRDefault="007412F8" w:rsidP="004F78B0">
            <w:pPr>
              <w:spacing w:line="240" w:lineRule="auto"/>
              <w:jc w:val="center"/>
              <w:rPr>
                <w:sz w:val="16"/>
                <w:szCs w:val="16"/>
              </w:rPr>
            </w:pPr>
            <w:r w:rsidRPr="00687BD6">
              <w:rPr>
                <w:sz w:val="16"/>
                <w:szCs w:val="16"/>
              </w:rPr>
              <w:t>7</w:t>
            </w:r>
          </w:p>
        </w:tc>
        <w:tc>
          <w:tcPr>
            <w:tcW w:w="567" w:type="dxa"/>
            <w:vAlign w:val="center"/>
          </w:tcPr>
          <w:p w14:paraId="63F0DE54"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2A8E2186" w14:textId="77777777" w:rsidR="007412F8" w:rsidRPr="00687BD6" w:rsidRDefault="007412F8" w:rsidP="004F78B0">
            <w:pPr>
              <w:spacing w:line="240" w:lineRule="auto"/>
              <w:jc w:val="center"/>
              <w:rPr>
                <w:sz w:val="16"/>
                <w:szCs w:val="16"/>
              </w:rPr>
            </w:pPr>
            <w:r w:rsidRPr="00687BD6">
              <w:rPr>
                <w:sz w:val="16"/>
                <w:szCs w:val="16"/>
              </w:rPr>
              <w:t>90%</w:t>
            </w:r>
          </w:p>
        </w:tc>
      </w:tr>
      <w:tr w:rsidR="00C07BC6" w:rsidRPr="00687BD6" w14:paraId="33B74808" w14:textId="77777777" w:rsidTr="008D6400">
        <w:tc>
          <w:tcPr>
            <w:tcW w:w="709" w:type="dxa"/>
            <w:vMerge/>
          </w:tcPr>
          <w:p w14:paraId="4D386354" w14:textId="77777777" w:rsidR="007412F8" w:rsidRPr="00687BD6" w:rsidRDefault="007412F8" w:rsidP="00687BD6">
            <w:pPr>
              <w:spacing w:line="240" w:lineRule="auto"/>
              <w:rPr>
                <w:sz w:val="16"/>
                <w:szCs w:val="16"/>
              </w:rPr>
            </w:pPr>
          </w:p>
        </w:tc>
        <w:tc>
          <w:tcPr>
            <w:tcW w:w="567" w:type="dxa"/>
            <w:vAlign w:val="center"/>
          </w:tcPr>
          <w:p w14:paraId="07476E07" w14:textId="77777777" w:rsidR="007412F8" w:rsidRPr="00687BD6" w:rsidRDefault="007412F8" w:rsidP="004F78B0">
            <w:pPr>
              <w:spacing w:line="240" w:lineRule="auto"/>
              <w:jc w:val="center"/>
              <w:rPr>
                <w:sz w:val="16"/>
                <w:szCs w:val="16"/>
              </w:rPr>
            </w:pPr>
            <w:r w:rsidRPr="00687BD6">
              <w:rPr>
                <w:sz w:val="16"/>
                <w:szCs w:val="16"/>
              </w:rPr>
              <w:t>67</w:t>
            </w:r>
          </w:p>
        </w:tc>
        <w:tc>
          <w:tcPr>
            <w:tcW w:w="6662" w:type="dxa"/>
            <w:vAlign w:val="center"/>
          </w:tcPr>
          <w:p w14:paraId="5A54B438" w14:textId="3F510C90" w:rsidR="007412F8" w:rsidRPr="00687BD6" w:rsidRDefault="007412F8" w:rsidP="004F78B0">
            <w:pPr>
              <w:spacing w:line="240" w:lineRule="auto"/>
              <w:jc w:val="left"/>
              <w:rPr>
                <w:sz w:val="16"/>
                <w:szCs w:val="16"/>
              </w:rPr>
            </w:pPr>
            <w:r w:rsidRPr="00687BD6">
              <w:rPr>
                <w:sz w:val="16"/>
                <w:szCs w:val="16"/>
              </w:rPr>
              <w:t>Proportion of patients presenting with dental infections at high risk* of severe complications given amoxicillin</w:t>
            </w:r>
          </w:p>
        </w:tc>
        <w:tc>
          <w:tcPr>
            <w:tcW w:w="567" w:type="dxa"/>
            <w:vAlign w:val="center"/>
          </w:tcPr>
          <w:p w14:paraId="7E92B297"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5CDA3A6C"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3B002CE8" w14:textId="77777777" w:rsidR="007412F8" w:rsidRPr="00687BD6" w:rsidRDefault="007412F8" w:rsidP="004F78B0">
            <w:pPr>
              <w:spacing w:line="240" w:lineRule="auto"/>
              <w:jc w:val="center"/>
              <w:rPr>
                <w:sz w:val="16"/>
                <w:szCs w:val="16"/>
              </w:rPr>
            </w:pPr>
            <w:r w:rsidRPr="00687BD6">
              <w:rPr>
                <w:sz w:val="16"/>
                <w:szCs w:val="16"/>
              </w:rPr>
              <w:t>100%</w:t>
            </w:r>
          </w:p>
        </w:tc>
        <w:tc>
          <w:tcPr>
            <w:tcW w:w="567" w:type="dxa"/>
            <w:vAlign w:val="center"/>
          </w:tcPr>
          <w:p w14:paraId="10C79ACC" w14:textId="77777777" w:rsidR="007412F8" w:rsidRPr="00687BD6" w:rsidRDefault="007412F8" w:rsidP="004F78B0">
            <w:pPr>
              <w:spacing w:line="240" w:lineRule="auto"/>
              <w:jc w:val="center"/>
              <w:rPr>
                <w:sz w:val="16"/>
                <w:szCs w:val="16"/>
              </w:rPr>
            </w:pPr>
            <w:r w:rsidRPr="00687BD6">
              <w:rPr>
                <w:sz w:val="16"/>
                <w:szCs w:val="16"/>
              </w:rPr>
              <w:t>7</w:t>
            </w:r>
          </w:p>
        </w:tc>
        <w:tc>
          <w:tcPr>
            <w:tcW w:w="567" w:type="dxa"/>
            <w:vAlign w:val="center"/>
          </w:tcPr>
          <w:p w14:paraId="548A47C5"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57F02B3A" w14:textId="77777777" w:rsidR="007412F8" w:rsidRPr="00687BD6" w:rsidRDefault="007412F8" w:rsidP="004F78B0">
            <w:pPr>
              <w:spacing w:line="240" w:lineRule="auto"/>
              <w:jc w:val="center"/>
              <w:rPr>
                <w:sz w:val="16"/>
                <w:szCs w:val="16"/>
              </w:rPr>
            </w:pPr>
            <w:r w:rsidRPr="00687BD6">
              <w:rPr>
                <w:sz w:val="16"/>
                <w:szCs w:val="16"/>
              </w:rPr>
              <w:t>90%</w:t>
            </w:r>
          </w:p>
        </w:tc>
      </w:tr>
      <w:tr w:rsidR="00C07BC6" w:rsidRPr="00687BD6" w14:paraId="6F856ADF" w14:textId="77777777" w:rsidTr="008D6400">
        <w:tc>
          <w:tcPr>
            <w:tcW w:w="709" w:type="dxa"/>
            <w:vMerge/>
          </w:tcPr>
          <w:p w14:paraId="19532D54" w14:textId="77777777" w:rsidR="007412F8" w:rsidRPr="00687BD6" w:rsidRDefault="007412F8" w:rsidP="00687BD6">
            <w:pPr>
              <w:spacing w:line="240" w:lineRule="auto"/>
              <w:rPr>
                <w:sz w:val="16"/>
                <w:szCs w:val="16"/>
              </w:rPr>
            </w:pPr>
          </w:p>
        </w:tc>
        <w:tc>
          <w:tcPr>
            <w:tcW w:w="567" w:type="dxa"/>
            <w:vAlign w:val="center"/>
          </w:tcPr>
          <w:p w14:paraId="26FEC1DD" w14:textId="77777777" w:rsidR="007412F8" w:rsidRPr="00687BD6" w:rsidRDefault="007412F8" w:rsidP="004F78B0">
            <w:pPr>
              <w:spacing w:line="240" w:lineRule="auto"/>
              <w:jc w:val="center"/>
              <w:rPr>
                <w:sz w:val="16"/>
                <w:szCs w:val="16"/>
              </w:rPr>
            </w:pPr>
            <w:r w:rsidRPr="00687BD6">
              <w:rPr>
                <w:sz w:val="16"/>
                <w:szCs w:val="16"/>
              </w:rPr>
              <w:t>68</w:t>
            </w:r>
          </w:p>
        </w:tc>
        <w:tc>
          <w:tcPr>
            <w:tcW w:w="6662" w:type="dxa"/>
            <w:vAlign w:val="center"/>
          </w:tcPr>
          <w:p w14:paraId="166006AA" w14:textId="235BCE59" w:rsidR="007412F8" w:rsidRPr="00687BD6" w:rsidRDefault="007412F8" w:rsidP="004F78B0">
            <w:pPr>
              <w:spacing w:line="240" w:lineRule="auto"/>
              <w:jc w:val="left"/>
              <w:rPr>
                <w:sz w:val="16"/>
                <w:szCs w:val="16"/>
              </w:rPr>
            </w:pPr>
            <w:r w:rsidRPr="00687BD6">
              <w:rPr>
                <w:sz w:val="16"/>
                <w:szCs w:val="16"/>
              </w:rPr>
              <w:t>Proportion of patients presenting with dental infections at high risk* of severe complications given any oral Access antibiotic (including amoxicillin)</w:t>
            </w:r>
          </w:p>
        </w:tc>
        <w:tc>
          <w:tcPr>
            <w:tcW w:w="567" w:type="dxa"/>
            <w:vAlign w:val="center"/>
          </w:tcPr>
          <w:p w14:paraId="7CEC7741"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16A7EE1B"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43662E17" w14:textId="77777777" w:rsidR="007412F8" w:rsidRPr="00687BD6" w:rsidRDefault="007412F8" w:rsidP="004F78B0">
            <w:pPr>
              <w:spacing w:line="240" w:lineRule="auto"/>
              <w:jc w:val="center"/>
              <w:rPr>
                <w:sz w:val="16"/>
                <w:szCs w:val="16"/>
              </w:rPr>
            </w:pPr>
            <w:r w:rsidRPr="00687BD6">
              <w:rPr>
                <w:sz w:val="16"/>
                <w:szCs w:val="16"/>
              </w:rPr>
              <w:t>90%</w:t>
            </w:r>
          </w:p>
        </w:tc>
        <w:tc>
          <w:tcPr>
            <w:tcW w:w="567" w:type="dxa"/>
            <w:vAlign w:val="center"/>
          </w:tcPr>
          <w:p w14:paraId="42030F9B" w14:textId="77777777" w:rsidR="007412F8" w:rsidRPr="00687BD6" w:rsidRDefault="007412F8" w:rsidP="004F78B0">
            <w:pPr>
              <w:spacing w:line="240" w:lineRule="auto"/>
              <w:jc w:val="center"/>
              <w:rPr>
                <w:sz w:val="16"/>
                <w:szCs w:val="16"/>
              </w:rPr>
            </w:pPr>
            <w:r w:rsidRPr="00687BD6">
              <w:rPr>
                <w:sz w:val="16"/>
                <w:szCs w:val="16"/>
              </w:rPr>
              <w:t>7</w:t>
            </w:r>
          </w:p>
        </w:tc>
        <w:tc>
          <w:tcPr>
            <w:tcW w:w="567" w:type="dxa"/>
            <w:vAlign w:val="center"/>
          </w:tcPr>
          <w:p w14:paraId="0A7A92B1"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1B5A3A90" w14:textId="77777777" w:rsidR="007412F8" w:rsidRPr="00687BD6" w:rsidRDefault="007412F8" w:rsidP="004F78B0">
            <w:pPr>
              <w:spacing w:line="240" w:lineRule="auto"/>
              <w:jc w:val="center"/>
              <w:rPr>
                <w:sz w:val="16"/>
                <w:szCs w:val="16"/>
              </w:rPr>
            </w:pPr>
            <w:r w:rsidRPr="00687BD6">
              <w:rPr>
                <w:sz w:val="16"/>
                <w:szCs w:val="16"/>
              </w:rPr>
              <w:t>80%</w:t>
            </w:r>
          </w:p>
        </w:tc>
      </w:tr>
      <w:tr w:rsidR="00C07BC6" w:rsidRPr="00687BD6" w14:paraId="45195AC3" w14:textId="77777777" w:rsidTr="008D6400">
        <w:tc>
          <w:tcPr>
            <w:tcW w:w="709" w:type="dxa"/>
            <w:vMerge/>
          </w:tcPr>
          <w:p w14:paraId="6C61CE91" w14:textId="77777777" w:rsidR="007412F8" w:rsidRPr="00687BD6" w:rsidRDefault="007412F8" w:rsidP="00687BD6">
            <w:pPr>
              <w:spacing w:line="240" w:lineRule="auto"/>
              <w:rPr>
                <w:sz w:val="16"/>
                <w:szCs w:val="16"/>
              </w:rPr>
            </w:pPr>
          </w:p>
        </w:tc>
        <w:tc>
          <w:tcPr>
            <w:tcW w:w="567" w:type="dxa"/>
            <w:vAlign w:val="center"/>
          </w:tcPr>
          <w:p w14:paraId="7F3E7DB1" w14:textId="77777777" w:rsidR="007412F8" w:rsidRPr="00687BD6" w:rsidRDefault="007412F8" w:rsidP="004F78B0">
            <w:pPr>
              <w:spacing w:line="240" w:lineRule="auto"/>
              <w:jc w:val="center"/>
              <w:rPr>
                <w:sz w:val="16"/>
                <w:szCs w:val="16"/>
              </w:rPr>
            </w:pPr>
            <w:r w:rsidRPr="00687BD6">
              <w:rPr>
                <w:sz w:val="16"/>
                <w:szCs w:val="16"/>
              </w:rPr>
              <w:t>69</w:t>
            </w:r>
          </w:p>
        </w:tc>
        <w:tc>
          <w:tcPr>
            <w:tcW w:w="6662" w:type="dxa"/>
            <w:vAlign w:val="center"/>
          </w:tcPr>
          <w:p w14:paraId="1B68FA98" w14:textId="1408049A" w:rsidR="007412F8" w:rsidRPr="00687BD6" w:rsidRDefault="007412F8" w:rsidP="004F78B0">
            <w:pPr>
              <w:spacing w:line="240" w:lineRule="auto"/>
              <w:jc w:val="left"/>
              <w:rPr>
                <w:sz w:val="16"/>
                <w:szCs w:val="16"/>
              </w:rPr>
            </w:pPr>
            <w:r w:rsidRPr="00687BD6">
              <w:rPr>
                <w:sz w:val="16"/>
                <w:szCs w:val="16"/>
              </w:rPr>
              <w:t>Proportion of patients with lower risk (of bacterial infection) dental infections given oral antibiotics</w:t>
            </w:r>
          </w:p>
        </w:tc>
        <w:tc>
          <w:tcPr>
            <w:tcW w:w="567" w:type="dxa"/>
            <w:vAlign w:val="center"/>
          </w:tcPr>
          <w:p w14:paraId="25626679"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4B01EDD9"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240E7906" w14:textId="77777777" w:rsidR="007412F8" w:rsidRPr="00687BD6" w:rsidRDefault="007412F8" w:rsidP="004F78B0">
            <w:pPr>
              <w:spacing w:line="240" w:lineRule="auto"/>
              <w:jc w:val="center"/>
              <w:rPr>
                <w:sz w:val="16"/>
                <w:szCs w:val="16"/>
              </w:rPr>
            </w:pPr>
            <w:r w:rsidRPr="00687BD6">
              <w:rPr>
                <w:sz w:val="16"/>
                <w:szCs w:val="16"/>
              </w:rPr>
              <w:t>100%</w:t>
            </w:r>
          </w:p>
        </w:tc>
        <w:tc>
          <w:tcPr>
            <w:tcW w:w="567" w:type="dxa"/>
            <w:vAlign w:val="center"/>
          </w:tcPr>
          <w:p w14:paraId="5A4590D4" w14:textId="77777777" w:rsidR="007412F8" w:rsidRPr="00687BD6" w:rsidRDefault="007412F8" w:rsidP="004F78B0">
            <w:pPr>
              <w:spacing w:line="240" w:lineRule="auto"/>
              <w:jc w:val="center"/>
              <w:rPr>
                <w:sz w:val="16"/>
                <w:szCs w:val="16"/>
              </w:rPr>
            </w:pPr>
            <w:r w:rsidRPr="00687BD6">
              <w:rPr>
                <w:sz w:val="16"/>
                <w:szCs w:val="16"/>
              </w:rPr>
              <w:t>7</w:t>
            </w:r>
          </w:p>
        </w:tc>
        <w:tc>
          <w:tcPr>
            <w:tcW w:w="567" w:type="dxa"/>
            <w:vAlign w:val="center"/>
          </w:tcPr>
          <w:p w14:paraId="39D1F0F4"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4615959C" w14:textId="77777777" w:rsidR="007412F8" w:rsidRPr="00687BD6" w:rsidRDefault="007412F8" w:rsidP="004F78B0">
            <w:pPr>
              <w:spacing w:line="240" w:lineRule="auto"/>
              <w:jc w:val="center"/>
              <w:rPr>
                <w:sz w:val="16"/>
                <w:szCs w:val="16"/>
              </w:rPr>
            </w:pPr>
            <w:r w:rsidRPr="00687BD6">
              <w:rPr>
                <w:sz w:val="16"/>
                <w:szCs w:val="16"/>
              </w:rPr>
              <w:t>90%</w:t>
            </w:r>
          </w:p>
        </w:tc>
      </w:tr>
      <w:tr w:rsidR="00C07BC6" w:rsidRPr="00687BD6" w14:paraId="1B2ABC9D" w14:textId="77777777" w:rsidTr="008D6400">
        <w:tc>
          <w:tcPr>
            <w:tcW w:w="709" w:type="dxa"/>
            <w:vMerge/>
          </w:tcPr>
          <w:p w14:paraId="78BBC38D" w14:textId="77777777" w:rsidR="007412F8" w:rsidRPr="00687BD6" w:rsidRDefault="007412F8" w:rsidP="00687BD6">
            <w:pPr>
              <w:spacing w:line="240" w:lineRule="auto"/>
              <w:rPr>
                <w:sz w:val="16"/>
                <w:szCs w:val="16"/>
              </w:rPr>
            </w:pPr>
          </w:p>
        </w:tc>
        <w:tc>
          <w:tcPr>
            <w:tcW w:w="567" w:type="dxa"/>
            <w:vAlign w:val="center"/>
          </w:tcPr>
          <w:p w14:paraId="5649FAD2" w14:textId="77777777" w:rsidR="007412F8" w:rsidRPr="00687BD6" w:rsidRDefault="007412F8" w:rsidP="004F78B0">
            <w:pPr>
              <w:spacing w:line="240" w:lineRule="auto"/>
              <w:jc w:val="center"/>
              <w:rPr>
                <w:sz w:val="16"/>
                <w:szCs w:val="16"/>
              </w:rPr>
            </w:pPr>
            <w:r w:rsidRPr="00687BD6">
              <w:rPr>
                <w:sz w:val="16"/>
                <w:szCs w:val="16"/>
              </w:rPr>
              <w:t>70</w:t>
            </w:r>
          </w:p>
        </w:tc>
        <w:tc>
          <w:tcPr>
            <w:tcW w:w="6662" w:type="dxa"/>
            <w:vAlign w:val="center"/>
          </w:tcPr>
          <w:p w14:paraId="6F283B34" w14:textId="12A53A60" w:rsidR="007412F8" w:rsidRPr="00687BD6" w:rsidRDefault="007412F8" w:rsidP="004F78B0">
            <w:pPr>
              <w:spacing w:line="240" w:lineRule="auto"/>
              <w:jc w:val="left"/>
              <w:rPr>
                <w:sz w:val="16"/>
                <w:szCs w:val="16"/>
              </w:rPr>
            </w:pPr>
            <w:r w:rsidRPr="00687BD6">
              <w:rPr>
                <w:sz w:val="16"/>
                <w:szCs w:val="16"/>
              </w:rPr>
              <w:t>Proportion of patients presenting with dental infections given the duration in days of oral antibiotics recommended in the WHO AWaRe Antibiotic Book</w:t>
            </w:r>
          </w:p>
        </w:tc>
        <w:tc>
          <w:tcPr>
            <w:tcW w:w="567" w:type="dxa"/>
            <w:vAlign w:val="center"/>
          </w:tcPr>
          <w:p w14:paraId="75742FD3"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055BAE43"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2938F684" w14:textId="77777777" w:rsidR="007412F8" w:rsidRPr="00687BD6" w:rsidRDefault="007412F8" w:rsidP="004F78B0">
            <w:pPr>
              <w:spacing w:line="240" w:lineRule="auto"/>
              <w:jc w:val="center"/>
              <w:rPr>
                <w:sz w:val="16"/>
                <w:szCs w:val="16"/>
              </w:rPr>
            </w:pPr>
            <w:r w:rsidRPr="00687BD6">
              <w:rPr>
                <w:sz w:val="16"/>
                <w:szCs w:val="16"/>
              </w:rPr>
              <w:t>90%</w:t>
            </w:r>
          </w:p>
        </w:tc>
        <w:tc>
          <w:tcPr>
            <w:tcW w:w="567" w:type="dxa"/>
            <w:vAlign w:val="center"/>
          </w:tcPr>
          <w:p w14:paraId="0955E5F2"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3F632D09"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5AC38DFB" w14:textId="77777777" w:rsidR="007412F8" w:rsidRPr="00687BD6" w:rsidRDefault="007412F8" w:rsidP="004F78B0">
            <w:pPr>
              <w:spacing w:line="240" w:lineRule="auto"/>
              <w:jc w:val="center"/>
              <w:rPr>
                <w:sz w:val="16"/>
                <w:szCs w:val="16"/>
              </w:rPr>
            </w:pPr>
            <w:r w:rsidRPr="00687BD6">
              <w:rPr>
                <w:sz w:val="16"/>
                <w:szCs w:val="16"/>
              </w:rPr>
              <w:t>100%</w:t>
            </w:r>
          </w:p>
        </w:tc>
      </w:tr>
      <w:tr w:rsidR="00C07BC6" w:rsidRPr="00687BD6" w14:paraId="10F010B4" w14:textId="77777777" w:rsidTr="008D6400">
        <w:tc>
          <w:tcPr>
            <w:tcW w:w="709" w:type="dxa"/>
            <w:vMerge/>
          </w:tcPr>
          <w:p w14:paraId="51929220" w14:textId="77777777" w:rsidR="007412F8" w:rsidRPr="00687BD6" w:rsidRDefault="007412F8" w:rsidP="00687BD6">
            <w:pPr>
              <w:spacing w:line="240" w:lineRule="auto"/>
              <w:rPr>
                <w:sz w:val="16"/>
                <w:szCs w:val="16"/>
              </w:rPr>
            </w:pPr>
          </w:p>
        </w:tc>
        <w:tc>
          <w:tcPr>
            <w:tcW w:w="567" w:type="dxa"/>
            <w:vAlign w:val="center"/>
          </w:tcPr>
          <w:p w14:paraId="7EFCAD36" w14:textId="77777777" w:rsidR="007412F8" w:rsidRPr="00687BD6" w:rsidRDefault="007412F8" w:rsidP="004F78B0">
            <w:pPr>
              <w:spacing w:line="240" w:lineRule="auto"/>
              <w:jc w:val="center"/>
              <w:rPr>
                <w:sz w:val="16"/>
                <w:szCs w:val="16"/>
              </w:rPr>
            </w:pPr>
            <w:r w:rsidRPr="00687BD6">
              <w:rPr>
                <w:sz w:val="16"/>
                <w:szCs w:val="16"/>
              </w:rPr>
              <w:t>71</w:t>
            </w:r>
          </w:p>
        </w:tc>
        <w:tc>
          <w:tcPr>
            <w:tcW w:w="6662" w:type="dxa"/>
            <w:vAlign w:val="center"/>
          </w:tcPr>
          <w:p w14:paraId="3E8DFDC8" w14:textId="67BD31B7" w:rsidR="007412F8" w:rsidRPr="00687BD6" w:rsidRDefault="007412F8" w:rsidP="004F78B0">
            <w:pPr>
              <w:spacing w:line="240" w:lineRule="auto"/>
              <w:jc w:val="left"/>
              <w:rPr>
                <w:sz w:val="16"/>
                <w:szCs w:val="16"/>
              </w:rPr>
            </w:pPr>
            <w:r w:rsidRPr="00687BD6">
              <w:rPr>
                <w:sz w:val="16"/>
                <w:szCs w:val="16"/>
              </w:rPr>
              <w:t>Proportion of patients with dental infections prescribed the total daily dose of oral antibiotic recommended in the WHO AWaRe Antibiotic Book</w:t>
            </w:r>
          </w:p>
        </w:tc>
        <w:tc>
          <w:tcPr>
            <w:tcW w:w="567" w:type="dxa"/>
            <w:vAlign w:val="center"/>
          </w:tcPr>
          <w:p w14:paraId="684DC396"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0A553AD8"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02BF32C9" w14:textId="77777777" w:rsidR="007412F8" w:rsidRPr="00687BD6" w:rsidRDefault="007412F8" w:rsidP="004F78B0">
            <w:pPr>
              <w:spacing w:line="240" w:lineRule="auto"/>
              <w:jc w:val="center"/>
              <w:rPr>
                <w:sz w:val="16"/>
                <w:szCs w:val="16"/>
              </w:rPr>
            </w:pPr>
            <w:r w:rsidRPr="00687BD6">
              <w:rPr>
                <w:sz w:val="16"/>
                <w:szCs w:val="16"/>
              </w:rPr>
              <w:t>100%</w:t>
            </w:r>
          </w:p>
        </w:tc>
        <w:tc>
          <w:tcPr>
            <w:tcW w:w="567" w:type="dxa"/>
            <w:vAlign w:val="center"/>
          </w:tcPr>
          <w:p w14:paraId="7C0BF2FA"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7175563C"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3D7A1E7A" w14:textId="77777777" w:rsidR="007412F8" w:rsidRPr="00687BD6" w:rsidRDefault="007412F8" w:rsidP="004F78B0">
            <w:pPr>
              <w:spacing w:line="240" w:lineRule="auto"/>
              <w:jc w:val="center"/>
              <w:rPr>
                <w:sz w:val="16"/>
                <w:szCs w:val="16"/>
              </w:rPr>
            </w:pPr>
            <w:r w:rsidRPr="00687BD6">
              <w:rPr>
                <w:sz w:val="16"/>
                <w:szCs w:val="16"/>
              </w:rPr>
              <w:t>100%</w:t>
            </w:r>
          </w:p>
        </w:tc>
      </w:tr>
      <w:tr w:rsidR="00C07BC6" w:rsidRPr="00687BD6" w14:paraId="430B315A" w14:textId="77777777" w:rsidTr="008D6400">
        <w:tc>
          <w:tcPr>
            <w:tcW w:w="709" w:type="dxa"/>
            <w:vMerge/>
          </w:tcPr>
          <w:p w14:paraId="64BD8FD2" w14:textId="77777777" w:rsidR="007412F8" w:rsidRPr="00687BD6" w:rsidRDefault="007412F8" w:rsidP="00687BD6">
            <w:pPr>
              <w:spacing w:line="240" w:lineRule="auto"/>
              <w:rPr>
                <w:sz w:val="16"/>
                <w:szCs w:val="16"/>
              </w:rPr>
            </w:pPr>
          </w:p>
        </w:tc>
        <w:tc>
          <w:tcPr>
            <w:tcW w:w="567" w:type="dxa"/>
            <w:vAlign w:val="center"/>
          </w:tcPr>
          <w:p w14:paraId="5743619A" w14:textId="77777777" w:rsidR="007412F8" w:rsidRPr="00687BD6" w:rsidRDefault="007412F8" w:rsidP="004F78B0">
            <w:pPr>
              <w:spacing w:line="240" w:lineRule="auto"/>
              <w:jc w:val="center"/>
              <w:rPr>
                <w:sz w:val="16"/>
                <w:szCs w:val="16"/>
              </w:rPr>
            </w:pPr>
            <w:r w:rsidRPr="00687BD6">
              <w:rPr>
                <w:sz w:val="16"/>
                <w:szCs w:val="16"/>
              </w:rPr>
              <w:t>72</w:t>
            </w:r>
          </w:p>
        </w:tc>
        <w:tc>
          <w:tcPr>
            <w:tcW w:w="6662" w:type="dxa"/>
            <w:vAlign w:val="center"/>
          </w:tcPr>
          <w:p w14:paraId="4F042384" w14:textId="60292633" w:rsidR="007412F8" w:rsidRPr="00687BD6" w:rsidRDefault="007412F8" w:rsidP="004F78B0">
            <w:pPr>
              <w:spacing w:line="240" w:lineRule="auto"/>
              <w:jc w:val="left"/>
              <w:rPr>
                <w:sz w:val="16"/>
                <w:szCs w:val="16"/>
              </w:rPr>
            </w:pPr>
            <w:r w:rsidRPr="00687BD6">
              <w:rPr>
                <w:sz w:val="16"/>
                <w:szCs w:val="16"/>
              </w:rPr>
              <w:t>Proportion of patients with dental infections given oral Watch antibiotics</w:t>
            </w:r>
          </w:p>
        </w:tc>
        <w:tc>
          <w:tcPr>
            <w:tcW w:w="567" w:type="dxa"/>
            <w:vAlign w:val="center"/>
          </w:tcPr>
          <w:p w14:paraId="6CD35F3C"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03F96A4D"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126FB5DC" w14:textId="77777777" w:rsidR="007412F8" w:rsidRPr="00687BD6" w:rsidRDefault="007412F8" w:rsidP="004F78B0">
            <w:pPr>
              <w:spacing w:line="240" w:lineRule="auto"/>
              <w:jc w:val="center"/>
              <w:rPr>
                <w:sz w:val="16"/>
                <w:szCs w:val="16"/>
              </w:rPr>
            </w:pPr>
            <w:r w:rsidRPr="00687BD6">
              <w:rPr>
                <w:sz w:val="16"/>
                <w:szCs w:val="16"/>
              </w:rPr>
              <w:t>100%</w:t>
            </w:r>
          </w:p>
        </w:tc>
        <w:tc>
          <w:tcPr>
            <w:tcW w:w="567" w:type="dxa"/>
            <w:vAlign w:val="center"/>
          </w:tcPr>
          <w:p w14:paraId="62A08100"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4281D329"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098EB6E5" w14:textId="77777777" w:rsidR="007412F8" w:rsidRPr="00687BD6" w:rsidRDefault="007412F8" w:rsidP="004F78B0">
            <w:pPr>
              <w:spacing w:line="240" w:lineRule="auto"/>
              <w:jc w:val="center"/>
              <w:rPr>
                <w:sz w:val="16"/>
                <w:szCs w:val="16"/>
              </w:rPr>
            </w:pPr>
            <w:r w:rsidRPr="00687BD6">
              <w:rPr>
                <w:sz w:val="16"/>
                <w:szCs w:val="16"/>
              </w:rPr>
              <w:t>100%</w:t>
            </w:r>
          </w:p>
        </w:tc>
      </w:tr>
      <w:tr w:rsidR="00C07BC6" w:rsidRPr="00687BD6" w14:paraId="0C5B3C16" w14:textId="77777777" w:rsidTr="008D6400">
        <w:tc>
          <w:tcPr>
            <w:tcW w:w="709" w:type="dxa"/>
            <w:vMerge w:val="restart"/>
          </w:tcPr>
          <w:p w14:paraId="1F713273" w14:textId="77777777" w:rsidR="007412F8" w:rsidRPr="00687BD6" w:rsidRDefault="007412F8" w:rsidP="00687BD6">
            <w:pPr>
              <w:spacing w:line="240" w:lineRule="auto"/>
              <w:rPr>
                <w:b/>
                <w:bCs/>
                <w:sz w:val="16"/>
                <w:szCs w:val="16"/>
              </w:rPr>
            </w:pPr>
            <w:r w:rsidRPr="00687BD6">
              <w:rPr>
                <w:b/>
                <w:bCs/>
                <w:sz w:val="16"/>
                <w:szCs w:val="16"/>
              </w:rPr>
              <w:t>General (n=8)</w:t>
            </w:r>
          </w:p>
        </w:tc>
        <w:tc>
          <w:tcPr>
            <w:tcW w:w="567" w:type="dxa"/>
            <w:vAlign w:val="center"/>
          </w:tcPr>
          <w:p w14:paraId="54A916B4" w14:textId="77777777" w:rsidR="007412F8" w:rsidRPr="00687BD6" w:rsidRDefault="007412F8" w:rsidP="004F78B0">
            <w:pPr>
              <w:spacing w:line="240" w:lineRule="auto"/>
              <w:jc w:val="center"/>
              <w:rPr>
                <w:sz w:val="16"/>
                <w:szCs w:val="16"/>
              </w:rPr>
            </w:pPr>
            <w:r w:rsidRPr="00687BD6">
              <w:rPr>
                <w:sz w:val="16"/>
                <w:szCs w:val="16"/>
              </w:rPr>
              <w:t>73</w:t>
            </w:r>
          </w:p>
        </w:tc>
        <w:tc>
          <w:tcPr>
            <w:tcW w:w="6662" w:type="dxa"/>
            <w:vAlign w:val="center"/>
          </w:tcPr>
          <w:p w14:paraId="75D8E8AE" w14:textId="25AB61DF" w:rsidR="007412F8" w:rsidRPr="00687BD6" w:rsidRDefault="007412F8" w:rsidP="004F78B0">
            <w:pPr>
              <w:spacing w:line="240" w:lineRule="auto"/>
              <w:jc w:val="left"/>
              <w:rPr>
                <w:sz w:val="16"/>
                <w:szCs w:val="16"/>
              </w:rPr>
            </w:pPr>
            <w:r w:rsidRPr="00687BD6">
              <w:rPr>
                <w:sz w:val="16"/>
                <w:szCs w:val="16"/>
              </w:rPr>
              <w:t>Allergy status of the patient including timing, nature and severity of previous exposure/possible allergic reactions to antibiotics and the name/s of the antibiotic should be documented in the medical records</w:t>
            </w:r>
            <w:r w:rsidRPr="00687BD6">
              <w:rPr>
                <w:b/>
                <w:bCs/>
                <w:sz w:val="16"/>
                <w:szCs w:val="16"/>
              </w:rPr>
              <w:t>‡</w:t>
            </w:r>
          </w:p>
        </w:tc>
        <w:tc>
          <w:tcPr>
            <w:tcW w:w="567" w:type="dxa"/>
            <w:vAlign w:val="center"/>
          </w:tcPr>
          <w:p w14:paraId="1D634DA1" w14:textId="77777777" w:rsidR="007412F8" w:rsidRPr="00687BD6" w:rsidRDefault="007412F8" w:rsidP="004F78B0">
            <w:pPr>
              <w:spacing w:line="240" w:lineRule="auto"/>
              <w:jc w:val="center"/>
              <w:rPr>
                <w:sz w:val="16"/>
                <w:szCs w:val="16"/>
              </w:rPr>
            </w:pPr>
            <w:r w:rsidRPr="00687BD6">
              <w:rPr>
                <w:sz w:val="16"/>
                <w:szCs w:val="16"/>
              </w:rPr>
              <w:t>9</w:t>
            </w:r>
          </w:p>
        </w:tc>
        <w:tc>
          <w:tcPr>
            <w:tcW w:w="567" w:type="dxa"/>
            <w:vAlign w:val="center"/>
          </w:tcPr>
          <w:p w14:paraId="05A5DB0E"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46D15917" w14:textId="77777777" w:rsidR="007412F8" w:rsidRPr="00687BD6" w:rsidRDefault="007412F8" w:rsidP="004F78B0">
            <w:pPr>
              <w:spacing w:line="240" w:lineRule="auto"/>
              <w:jc w:val="center"/>
              <w:rPr>
                <w:sz w:val="16"/>
                <w:szCs w:val="16"/>
              </w:rPr>
            </w:pPr>
            <w:r w:rsidRPr="00687BD6">
              <w:rPr>
                <w:sz w:val="16"/>
                <w:szCs w:val="16"/>
              </w:rPr>
              <w:t>90%</w:t>
            </w:r>
          </w:p>
        </w:tc>
        <w:tc>
          <w:tcPr>
            <w:tcW w:w="567" w:type="dxa"/>
            <w:vAlign w:val="center"/>
          </w:tcPr>
          <w:p w14:paraId="68539940" w14:textId="77777777" w:rsidR="007412F8" w:rsidRPr="00687BD6" w:rsidRDefault="007412F8" w:rsidP="004F78B0">
            <w:pPr>
              <w:spacing w:line="240" w:lineRule="auto"/>
              <w:jc w:val="center"/>
              <w:rPr>
                <w:sz w:val="16"/>
                <w:szCs w:val="16"/>
              </w:rPr>
            </w:pPr>
            <w:r w:rsidRPr="00687BD6">
              <w:rPr>
                <w:sz w:val="16"/>
                <w:szCs w:val="16"/>
              </w:rPr>
              <w:t>5</w:t>
            </w:r>
          </w:p>
        </w:tc>
        <w:tc>
          <w:tcPr>
            <w:tcW w:w="567" w:type="dxa"/>
            <w:vAlign w:val="center"/>
          </w:tcPr>
          <w:p w14:paraId="6A2B1A8B" w14:textId="77777777" w:rsidR="007412F8" w:rsidRPr="00687BD6" w:rsidRDefault="007412F8" w:rsidP="004F78B0">
            <w:pPr>
              <w:spacing w:line="240" w:lineRule="auto"/>
              <w:jc w:val="center"/>
              <w:rPr>
                <w:sz w:val="16"/>
                <w:szCs w:val="16"/>
              </w:rPr>
            </w:pPr>
            <w:r w:rsidRPr="00687BD6">
              <w:rPr>
                <w:sz w:val="16"/>
                <w:szCs w:val="16"/>
              </w:rPr>
              <w:t>E</w:t>
            </w:r>
          </w:p>
        </w:tc>
        <w:tc>
          <w:tcPr>
            <w:tcW w:w="709" w:type="dxa"/>
            <w:vAlign w:val="center"/>
          </w:tcPr>
          <w:p w14:paraId="12A62EB9" w14:textId="77777777" w:rsidR="007412F8" w:rsidRPr="00687BD6" w:rsidRDefault="007412F8" w:rsidP="004F78B0">
            <w:pPr>
              <w:spacing w:line="240" w:lineRule="auto"/>
              <w:jc w:val="center"/>
              <w:rPr>
                <w:sz w:val="16"/>
                <w:szCs w:val="16"/>
              </w:rPr>
            </w:pPr>
            <w:r w:rsidRPr="00687BD6">
              <w:rPr>
                <w:sz w:val="16"/>
                <w:szCs w:val="16"/>
              </w:rPr>
              <w:t>50%</w:t>
            </w:r>
          </w:p>
        </w:tc>
      </w:tr>
      <w:tr w:rsidR="00C07BC6" w:rsidRPr="00687BD6" w14:paraId="1AA40483" w14:textId="77777777" w:rsidTr="008D6400">
        <w:tc>
          <w:tcPr>
            <w:tcW w:w="709" w:type="dxa"/>
            <w:vMerge/>
          </w:tcPr>
          <w:p w14:paraId="231CD968" w14:textId="77777777" w:rsidR="007412F8" w:rsidRPr="00687BD6" w:rsidRDefault="007412F8" w:rsidP="00687BD6">
            <w:pPr>
              <w:spacing w:line="240" w:lineRule="auto"/>
              <w:rPr>
                <w:b/>
                <w:bCs/>
                <w:sz w:val="16"/>
                <w:szCs w:val="16"/>
              </w:rPr>
            </w:pPr>
          </w:p>
        </w:tc>
        <w:tc>
          <w:tcPr>
            <w:tcW w:w="567" w:type="dxa"/>
            <w:vAlign w:val="center"/>
          </w:tcPr>
          <w:p w14:paraId="24CD3437" w14:textId="77777777" w:rsidR="007412F8" w:rsidRPr="00687BD6" w:rsidRDefault="007412F8" w:rsidP="004F78B0">
            <w:pPr>
              <w:spacing w:line="240" w:lineRule="auto"/>
              <w:jc w:val="center"/>
              <w:rPr>
                <w:sz w:val="16"/>
                <w:szCs w:val="16"/>
              </w:rPr>
            </w:pPr>
            <w:r w:rsidRPr="00687BD6">
              <w:rPr>
                <w:sz w:val="16"/>
                <w:szCs w:val="16"/>
              </w:rPr>
              <w:t>73a</w:t>
            </w:r>
          </w:p>
        </w:tc>
        <w:tc>
          <w:tcPr>
            <w:tcW w:w="6662" w:type="dxa"/>
            <w:vAlign w:val="center"/>
          </w:tcPr>
          <w:p w14:paraId="6F58D5C1" w14:textId="3AD67EB4" w:rsidR="007412F8" w:rsidRPr="00687BD6" w:rsidRDefault="007412F8" w:rsidP="004F78B0">
            <w:pPr>
              <w:spacing w:line="240" w:lineRule="auto"/>
              <w:jc w:val="left"/>
              <w:rPr>
                <w:sz w:val="16"/>
                <w:szCs w:val="16"/>
              </w:rPr>
            </w:pPr>
            <w:r w:rsidRPr="00687BD6">
              <w:rPr>
                <w:sz w:val="16"/>
                <w:szCs w:val="16"/>
              </w:rPr>
              <w:t>Allergy status of the patient to any antibiotic should be documented in the medical records</w:t>
            </w:r>
            <w:r w:rsidRPr="00687BD6">
              <w:rPr>
                <w:b/>
                <w:bCs/>
                <w:sz w:val="16"/>
                <w:szCs w:val="16"/>
              </w:rPr>
              <w:t>†</w:t>
            </w:r>
          </w:p>
        </w:tc>
        <w:tc>
          <w:tcPr>
            <w:tcW w:w="567" w:type="dxa"/>
            <w:vAlign w:val="center"/>
          </w:tcPr>
          <w:p w14:paraId="3E0D3AA9" w14:textId="77777777" w:rsidR="007412F8" w:rsidRPr="00687BD6" w:rsidRDefault="007412F8" w:rsidP="004F78B0">
            <w:pPr>
              <w:spacing w:line="240" w:lineRule="auto"/>
              <w:jc w:val="center"/>
              <w:rPr>
                <w:sz w:val="16"/>
                <w:szCs w:val="16"/>
              </w:rPr>
            </w:pPr>
            <w:r w:rsidRPr="00687BD6">
              <w:rPr>
                <w:sz w:val="16"/>
                <w:szCs w:val="16"/>
              </w:rPr>
              <w:t>9</w:t>
            </w:r>
          </w:p>
        </w:tc>
        <w:tc>
          <w:tcPr>
            <w:tcW w:w="567" w:type="dxa"/>
            <w:vAlign w:val="center"/>
          </w:tcPr>
          <w:p w14:paraId="1C902E74"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6252CF70" w14:textId="77777777" w:rsidR="007412F8" w:rsidRPr="00687BD6" w:rsidRDefault="007412F8" w:rsidP="004F78B0">
            <w:pPr>
              <w:spacing w:line="240" w:lineRule="auto"/>
              <w:jc w:val="center"/>
              <w:rPr>
                <w:sz w:val="16"/>
                <w:szCs w:val="16"/>
              </w:rPr>
            </w:pPr>
            <w:r w:rsidRPr="00687BD6">
              <w:rPr>
                <w:sz w:val="16"/>
                <w:szCs w:val="16"/>
              </w:rPr>
              <w:t>100%</w:t>
            </w:r>
          </w:p>
        </w:tc>
        <w:tc>
          <w:tcPr>
            <w:tcW w:w="567" w:type="dxa"/>
            <w:vAlign w:val="center"/>
          </w:tcPr>
          <w:p w14:paraId="1DECD77A"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22132A5B"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544CA007" w14:textId="77777777" w:rsidR="007412F8" w:rsidRPr="00687BD6" w:rsidRDefault="007412F8" w:rsidP="004F78B0">
            <w:pPr>
              <w:spacing w:line="240" w:lineRule="auto"/>
              <w:jc w:val="center"/>
              <w:rPr>
                <w:sz w:val="16"/>
                <w:szCs w:val="16"/>
              </w:rPr>
            </w:pPr>
            <w:r w:rsidRPr="00687BD6">
              <w:rPr>
                <w:sz w:val="16"/>
                <w:szCs w:val="16"/>
              </w:rPr>
              <w:t>100%</w:t>
            </w:r>
          </w:p>
        </w:tc>
      </w:tr>
      <w:tr w:rsidR="00C07BC6" w:rsidRPr="00687BD6" w14:paraId="6E6BA7C4" w14:textId="77777777" w:rsidTr="008D6400">
        <w:tc>
          <w:tcPr>
            <w:tcW w:w="709" w:type="dxa"/>
            <w:vMerge/>
          </w:tcPr>
          <w:p w14:paraId="214DD282" w14:textId="77777777" w:rsidR="007412F8" w:rsidRPr="00687BD6" w:rsidRDefault="007412F8" w:rsidP="00687BD6">
            <w:pPr>
              <w:spacing w:line="240" w:lineRule="auto"/>
              <w:rPr>
                <w:b/>
                <w:bCs/>
                <w:sz w:val="16"/>
                <w:szCs w:val="16"/>
              </w:rPr>
            </w:pPr>
          </w:p>
        </w:tc>
        <w:tc>
          <w:tcPr>
            <w:tcW w:w="567" w:type="dxa"/>
            <w:vAlign w:val="center"/>
          </w:tcPr>
          <w:p w14:paraId="4191928E" w14:textId="77777777" w:rsidR="007412F8" w:rsidRPr="00687BD6" w:rsidRDefault="007412F8" w:rsidP="004F78B0">
            <w:pPr>
              <w:spacing w:line="240" w:lineRule="auto"/>
              <w:jc w:val="center"/>
              <w:rPr>
                <w:sz w:val="16"/>
                <w:szCs w:val="16"/>
              </w:rPr>
            </w:pPr>
            <w:r w:rsidRPr="00687BD6">
              <w:rPr>
                <w:sz w:val="16"/>
                <w:szCs w:val="16"/>
              </w:rPr>
              <w:t>74</w:t>
            </w:r>
          </w:p>
        </w:tc>
        <w:tc>
          <w:tcPr>
            <w:tcW w:w="6662" w:type="dxa"/>
            <w:vAlign w:val="center"/>
          </w:tcPr>
          <w:p w14:paraId="08B01673" w14:textId="51C79F4C" w:rsidR="007412F8" w:rsidRPr="00687BD6" w:rsidRDefault="007412F8" w:rsidP="004F78B0">
            <w:pPr>
              <w:spacing w:line="240" w:lineRule="auto"/>
              <w:jc w:val="left"/>
              <w:rPr>
                <w:sz w:val="16"/>
                <w:szCs w:val="16"/>
              </w:rPr>
            </w:pPr>
            <w:r w:rsidRPr="00687BD6">
              <w:rPr>
                <w:sz w:val="16"/>
                <w:szCs w:val="16"/>
              </w:rPr>
              <w:t>Any toxicity/adverse reaction to an antibiotic (including type, duration of symptoms, time of onset since antibiotic administration) should be documented in medical records</w:t>
            </w:r>
          </w:p>
        </w:tc>
        <w:tc>
          <w:tcPr>
            <w:tcW w:w="567" w:type="dxa"/>
            <w:vAlign w:val="center"/>
          </w:tcPr>
          <w:p w14:paraId="6659EA7B" w14:textId="77777777" w:rsidR="007412F8" w:rsidRPr="00687BD6" w:rsidRDefault="007412F8" w:rsidP="004F78B0">
            <w:pPr>
              <w:spacing w:line="240" w:lineRule="auto"/>
              <w:jc w:val="center"/>
              <w:rPr>
                <w:sz w:val="16"/>
                <w:szCs w:val="16"/>
              </w:rPr>
            </w:pPr>
            <w:r w:rsidRPr="00687BD6">
              <w:rPr>
                <w:sz w:val="16"/>
                <w:szCs w:val="16"/>
              </w:rPr>
              <w:t>9</w:t>
            </w:r>
          </w:p>
        </w:tc>
        <w:tc>
          <w:tcPr>
            <w:tcW w:w="567" w:type="dxa"/>
            <w:vAlign w:val="center"/>
          </w:tcPr>
          <w:p w14:paraId="22854D13"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6EEA83F4" w14:textId="77777777" w:rsidR="007412F8" w:rsidRPr="00687BD6" w:rsidRDefault="007412F8" w:rsidP="004F78B0">
            <w:pPr>
              <w:spacing w:line="240" w:lineRule="auto"/>
              <w:jc w:val="center"/>
              <w:rPr>
                <w:sz w:val="16"/>
                <w:szCs w:val="16"/>
              </w:rPr>
            </w:pPr>
            <w:r w:rsidRPr="00687BD6">
              <w:rPr>
                <w:sz w:val="16"/>
                <w:szCs w:val="16"/>
              </w:rPr>
              <w:t>100%</w:t>
            </w:r>
          </w:p>
        </w:tc>
        <w:tc>
          <w:tcPr>
            <w:tcW w:w="567" w:type="dxa"/>
            <w:vAlign w:val="center"/>
          </w:tcPr>
          <w:p w14:paraId="35D50E5E" w14:textId="77777777" w:rsidR="007412F8" w:rsidRPr="00687BD6" w:rsidRDefault="007412F8" w:rsidP="004F78B0">
            <w:pPr>
              <w:spacing w:line="240" w:lineRule="auto"/>
              <w:jc w:val="center"/>
              <w:rPr>
                <w:sz w:val="16"/>
                <w:szCs w:val="16"/>
              </w:rPr>
            </w:pPr>
            <w:r w:rsidRPr="00687BD6">
              <w:rPr>
                <w:sz w:val="16"/>
                <w:szCs w:val="16"/>
              </w:rPr>
              <w:t>5</w:t>
            </w:r>
          </w:p>
        </w:tc>
        <w:tc>
          <w:tcPr>
            <w:tcW w:w="567" w:type="dxa"/>
            <w:vAlign w:val="center"/>
          </w:tcPr>
          <w:p w14:paraId="49950730" w14:textId="77777777" w:rsidR="007412F8" w:rsidRPr="00687BD6" w:rsidRDefault="007412F8" w:rsidP="004F78B0">
            <w:pPr>
              <w:spacing w:line="240" w:lineRule="auto"/>
              <w:jc w:val="center"/>
              <w:rPr>
                <w:sz w:val="16"/>
                <w:szCs w:val="16"/>
              </w:rPr>
            </w:pPr>
            <w:r w:rsidRPr="00687BD6">
              <w:rPr>
                <w:sz w:val="16"/>
                <w:szCs w:val="16"/>
              </w:rPr>
              <w:t>E</w:t>
            </w:r>
          </w:p>
        </w:tc>
        <w:tc>
          <w:tcPr>
            <w:tcW w:w="709" w:type="dxa"/>
            <w:vAlign w:val="center"/>
          </w:tcPr>
          <w:p w14:paraId="75418A83" w14:textId="77777777" w:rsidR="007412F8" w:rsidRPr="00687BD6" w:rsidRDefault="007412F8" w:rsidP="004F78B0">
            <w:pPr>
              <w:spacing w:line="240" w:lineRule="auto"/>
              <w:jc w:val="center"/>
              <w:rPr>
                <w:sz w:val="16"/>
                <w:szCs w:val="16"/>
              </w:rPr>
            </w:pPr>
            <w:r w:rsidRPr="00687BD6">
              <w:rPr>
                <w:sz w:val="16"/>
                <w:szCs w:val="16"/>
              </w:rPr>
              <w:t>40%</w:t>
            </w:r>
          </w:p>
        </w:tc>
      </w:tr>
      <w:tr w:rsidR="00C07BC6" w:rsidRPr="00687BD6" w14:paraId="466CF413" w14:textId="77777777" w:rsidTr="008D6400">
        <w:tc>
          <w:tcPr>
            <w:tcW w:w="709" w:type="dxa"/>
            <w:vMerge/>
          </w:tcPr>
          <w:p w14:paraId="331004DD" w14:textId="77777777" w:rsidR="007412F8" w:rsidRPr="00687BD6" w:rsidRDefault="007412F8" w:rsidP="00687BD6">
            <w:pPr>
              <w:spacing w:line="240" w:lineRule="auto"/>
              <w:rPr>
                <w:b/>
                <w:bCs/>
                <w:sz w:val="16"/>
                <w:szCs w:val="16"/>
              </w:rPr>
            </w:pPr>
          </w:p>
        </w:tc>
        <w:tc>
          <w:tcPr>
            <w:tcW w:w="567" w:type="dxa"/>
            <w:vAlign w:val="center"/>
          </w:tcPr>
          <w:p w14:paraId="0897531A" w14:textId="77777777" w:rsidR="007412F8" w:rsidRPr="00687BD6" w:rsidRDefault="007412F8" w:rsidP="004F78B0">
            <w:pPr>
              <w:spacing w:line="240" w:lineRule="auto"/>
              <w:jc w:val="center"/>
              <w:rPr>
                <w:sz w:val="16"/>
                <w:szCs w:val="16"/>
              </w:rPr>
            </w:pPr>
            <w:r w:rsidRPr="00687BD6">
              <w:rPr>
                <w:sz w:val="16"/>
                <w:szCs w:val="16"/>
              </w:rPr>
              <w:t>75</w:t>
            </w:r>
          </w:p>
        </w:tc>
        <w:tc>
          <w:tcPr>
            <w:tcW w:w="6662" w:type="dxa"/>
            <w:vAlign w:val="center"/>
          </w:tcPr>
          <w:p w14:paraId="305BC47E" w14:textId="18B90980" w:rsidR="007412F8" w:rsidRPr="00687BD6" w:rsidRDefault="007412F8" w:rsidP="004F78B0">
            <w:pPr>
              <w:spacing w:line="240" w:lineRule="auto"/>
              <w:jc w:val="left"/>
              <w:rPr>
                <w:sz w:val="16"/>
                <w:szCs w:val="16"/>
              </w:rPr>
            </w:pPr>
            <w:r w:rsidRPr="00687BD6">
              <w:rPr>
                <w:sz w:val="16"/>
                <w:szCs w:val="16"/>
              </w:rPr>
              <w:t xml:space="preserve">Use of oral Access and Watch antibiotics (split by AWaRe group) measured in DID in </w:t>
            </w:r>
            <w:r w:rsidR="006D5897">
              <w:rPr>
                <w:sz w:val="16"/>
                <w:szCs w:val="16"/>
              </w:rPr>
              <w:t>p</w:t>
            </w:r>
            <w:r w:rsidRPr="00687BD6">
              <w:rPr>
                <w:sz w:val="16"/>
                <w:szCs w:val="16"/>
              </w:rPr>
              <w:t xml:space="preserve">rimary </w:t>
            </w:r>
            <w:r w:rsidR="006D5897">
              <w:rPr>
                <w:sz w:val="16"/>
                <w:szCs w:val="16"/>
              </w:rPr>
              <w:t>c</w:t>
            </w:r>
            <w:r w:rsidRPr="00687BD6">
              <w:rPr>
                <w:sz w:val="16"/>
                <w:szCs w:val="16"/>
              </w:rPr>
              <w:t>are</w:t>
            </w:r>
          </w:p>
        </w:tc>
        <w:tc>
          <w:tcPr>
            <w:tcW w:w="567" w:type="dxa"/>
            <w:vAlign w:val="center"/>
          </w:tcPr>
          <w:p w14:paraId="4B8DEA84" w14:textId="77777777" w:rsidR="007412F8" w:rsidRPr="00687BD6" w:rsidRDefault="007412F8" w:rsidP="004F78B0">
            <w:pPr>
              <w:spacing w:line="240" w:lineRule="auto"/>
              <w:jc w:val="center"/>
              <w:rPr>
                <w:sz w:val="16"/>
                <w:szCs w:val="16"/>
              </w:rPr>
            </w:pPr>
            <w:r w:rsidRPr="00687BD6">
              <w:rPr>
                <w:sz w:val="16"/>
                <w:szCs w:val="16"/>
              </w:rPr>
              <w:t>9</w:t>
            </w:r>
          </w:p>
        </w:tc>
        <w:tc>
          <w:tcPr>
            <w:tcW w:w="567" w:type="dxa"/>
            <w:vAlign w:val="center"/>
          </w:tcPr>
          <w:p w14:paraId="1E6AB481"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7E9B7793" w14:textId="77777777" w:rsidR="007412F8" w:rsidRPr="00687BD6" w:rsidRDefault="007412F8" w:rsidP="004F78B0">
            <w:pPr>
              <w:spacing w:line="240" w:lineRule="auto"/>
              <w:jc w:val="center"/>
              <w:rPr>
                <w:sz w:val="16"/>
                <w:szCs w:val="16"/>
              </w:rPr>
            </w:pPr>
            <w:r w:rsidRPr="00687BD6">
              <w:rPr>
                <w:sz w:val="16"/>
                <w:szCs w:val="16"/>
              </w:rPr>
              <w:t>90%</w:t>
            </w:r>
          </w:p>
        </w:tc>
        <w:tc>
          <w:tcPr>
            <w:tcW w:w="567" w:type="dxa"/>
            <w:vAlign w:val="center"/>
          </w:tcPr>
          <w:p w14:paraId="2D4743E1" w14:textId="77777777" w:rsidR="007412F8" w:rsidRPr="00687BD6" w:rsidRDefault="007412F8" w:rsidP="004F78B0">
            <w:pPr>
              <w:spacing w:line="240" w:lineRule="auto"/>
              <w:jc w:val="center"/>
              <w:rPr>
                <w:sz w:val="16"/>
                <w:szCs w:val="16"/>
              </w:rPr>
            </w:pPr>
            <w:r w:rsidRPr="00687BD6">
              <w:rPr>
                <w:sz w:val="16"/>
                <w:szCs w:val="16"/>
              </w:rPr>
              <w:t>7</w:t>
            </w:r>
          </w:p>
        </w:tc>
        <w:tc>
          <w:tcPr>
            <w:tcW w:w="567" w:type="dxa"/>
            <w:vAlign w:val="center"/>
          </w:tcPr>
          <w:p w14:paraId="2203E3C9" w14:textId="77777777" w:rsidR="007412F8" w:rsidRPr="00687BD6" w:rsidRDefault="007412F8" w:rsidP="004F78B0">
            <w:pPr>
              <w:spacing w:line="240" w:lineRule="auto"/>
              <w:jc w:val="center"/>
              <w:rPr>
                <w:sz w:val="16"/>
                <w:szCs w:val="16"/>
              </w:rPr>
            </w:pPr>
            <w:r w:rsidRPr="00687BD6">
              <w:rPr>
                <w:sz w:val="16"/>
                <w:szCs w:val="16"/>
              </w:rPr>
              <w:t>E</w:t>
            </w:r>
          </w:p>
        </w:tc>
        <w:tc>
          <w:tcPr>
            <w:tcW w:w="709" w:type="dxa"/>
            <w:vAlign w:val="center"/>
          </w:tcPr>
          <w:p w14:paraId="0A464FB8" w14:textId="77777777" w:rsidR="007412F8" w:rsidRPr="00687BD6" w:rsidRDefault="007412F8" w:rsidP="004F78B0">
            <w:pPr>
              <w:spacing w:line="240" w:lineRule="auto"/>
              <w:jc w:val="center"/>
              <w:rPr>
                <w:sz w:val="16"/>
                <w:szCs w:val="16"/>
              </w:rPr>
            </w:pPr>
            <w:r w:rsidRPr="00687BD6">
              <w:rPr>
                <w:sz w:val="16"/>
                <w:szCs w:val="16"/>
              </w:rPr>
              <w:t>70%</w:t>
            </w:r>
          </w:p>
        </w:tc>
      </w:tr>
      <w:tr w:rsidR="00C07BC6" w:rsidRPr="00687BD6" w14:paraId="1EA40D0B" w14:textId="77777777" w:rsidTr="008D6400">
        <w:tc>
          <w:tcPr>
            <w:tcW w:w="709" w:type="dxa"/>
            <w:vMerge/>
          </w:tcPr>
          <w:p w14:paraId="5CDC5983" w14:textId="77777777" w:rsidR="007412F8" w:rsidRPr="00687BD6" w:rsidRDefault="007412F8" w:rsidP="00687BD6">
            <w:pPr>
              <w:spacing w:line="240" w:lineRule="auto"/>
              <w:rPr>
                <w:sz w:val="16"/>
                <w:szCs w:val="16"/>
              </w:rPr>
            </w:pPr>
          </w:p>
        </w:tc>
        <w:tc>
          <w:tcPr>
            <w:tcW w:w="567" w:type="dxa"/>
            <w:vAlign w:val="center"/>
          </w:tcPr>
          <w:p w14:paraId="0C62E3EA" w14:textId="77777777" w:rsidR="007412F8" w:rsidRPr="00687BD6" w:rsidRDefault="007412F8" w:rsidP="004F78B0">
            <w:pPr>
              <w:spacing w:line="240" w:lineRule="auto"/>
              <w:jc w:val="center"/>
              <w:rPr>
                <w:sz w:val="16"/>
                <w:szCs w:val="16"/>
              </w:rPr>
            </w:pPr>
            <w:r w:rsidRPr="00687BD6">
              <w:rPr>
                <w:sz w:val="16"/>
                <w:szCs w:val="16"/>
              </w:rPr>
              <w:t>76</w:t>
            </w:r>
          </w:p>
        </w:tc>
        <w:tc>
          <w:tcPr>
            <w:tcW w:w="6662" w:type="dxa"/>
            <w:vAlign w:val="center"/>
          </w:tcPr>
          <w:p w14:paraId="48CE3C02" w14:textId="0DAE23FB" w:rsidR="007412F8" w:rsidRPr="00687BD6" w:rsidRDefault="007412F8" w:rsidP="004F78B0">
            <w:pPr>
              <w:spacing w:line="240" w:lineRule="auto"/>
              <w:jc w:val="left"/>
              <w:rPr>
                <w:sz w:val="16"/>
                <w:szCs w:val="16"/>
              </w:rPr>
            </w:pPr>
            <w:r w:rsidRPr="00687BD6">
              <w:rPr>
                <w:sz w:val="16"/>
                <w:szCs w:val="16"/>
              </w:rPr>
              <w:t>At least 80% of total oral antibiotic use in primary care should be Access antibiotics</w:t>
            </w:r>
          </w:p>
        </w:tc>
        <w:tc>
          <w:tcPr>
            <w:tcW w:w="567" w:type="dxa"/>
            <w:vAlign w:val="center"/>
          </w:tcPr>
          <w:p w14:paraId="2AE0F4D1" w14:textId="77777777" w:rsidR="007412F8" w:rsidRPr="00687BD6" w:rsidRDefault="007412F8" w:rsidP="004F78B0">
            <w:pPr>
              <w:spacing w:line="240" w:lineRule="auto"/>
              <w:jc w:val="center"/>
              <w:rPr>
                <w:sz w:val="16"/>
                <w:szCs w:val="16"/>
              </w:rPr>
            </w:pPr>
            <w:r w:rsidRPr="00687BD6">
              <w:rPr>
                <w:sz w:val="16"/>
                <w:szCs w:val="16"/>
              </w:rPr>
              <w:t>9</w:t>
            </w:r>
          </w:p>
        </w:tc>
        <w:tc>
          <w:tcPr>
            <w:tcW w:w="567" w:type="dxa"/>
            <w:vAlign w:val="center"/>
          </w:tcPr>
          <w:p w14:paraId="131CB279"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4EF77671" w14:textId="77777777" w:rsidR="007412F8" w:rsidRPr="00687BD6" w:rsidRDefault="007412F8" w:rsidP="004F78B0">
            <w:pPr>
              <w:spacing w:line="240" w:lineRule="auto"/>
              <w:jc w:val="center"/>
              <w:rPr>
                <w:sz w:val="16"/>
                <w:szCs w:val="16"/>
              </w:rPr>
            </w:pPr>
            <w:r w:rsidRPr="00687BD6">
              <w:rPr>
                <w:sz w:val="16"/>
                <w:szCs w:val="16"/>
              </w:rPr>
              <w:t>90%</w:t>
            </w:r>
          </w:p>
        </w:tc>
        <w:tc>
          <w:tcPr>
            <w:tcW w:w="567" w:type="dxa"/>
            <w:vAlign w:val="center"/>
          </w:tcPr>
          <w:p w14:paraId="0687A685"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1D0BEB26"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6D48D86F" w14:textId="77777777" w:rsidR="007412F8" w:rsidRPr="00687BD6" w:rsidRDefault="007412F8" w:rsidP="004F78B0">
            <w:pPr>
              <w:spacing w:line="240" w:lineRule="auto"/>
              <w:jc w:val="center"/>
              <w:rPr>
                <w:sz w:val="16"/>
                <w:szCs w:val="16"/>
              </w:rPr>
            </w:pPr>
            <w:r w:rsidRPr="00687BD6">
              <w:rPr>
                <w:sz w:val="16"/>
                <w:szCs w:val="16"/>
              </w:rPr>
              <w:t>100%</w:t>
            </w:r>
          </w:p>
        </w:tc>
      </w:tr>
      <w:tr w:rsidR="00C07BC6" w:rsidRPr="00687BD6" w14:paraId="4B848BB7" w14:textId="77777777" w:rsidTr="008D6400">
        <w:tc>
          <w:tcPr>
            <w:tcW w:w="709" w:type="dxa"/>
            <w:vMerge/>
          </w:tcPr>
          <w:p w14:paraId="16951612" w14:textId="77777777" w:rsidR="007412F8" w:rsidRPr="00687BD6" w:rsidRDefault="007412F8" w:rsidP="00687BD6">
            <w:pPr>
              <w:spacing w:line="240" w:lineRule="auto"/>
              <w:rPr>
                <w:sz w:val="16"/>
                <w:szCs w:val="16"/>
              </w:rPr>
            </w:pPr>
          </w:p>
        </w:tc>
        <w:tc>
          <w:tcPr>
            <w:tcW w:w="567" w:type="dxa"/>
            <w:vAlign w:val="center"/>
          </w:tcPr>
          <w:p w14:paraId="707C776B" w14:textId="77777777" w:rsidR="007412F8" w:rsidRPr="00687BD6" w:rsidRDefault="007412F8" w:rsidP="004F78B0">
            <w:pPr>
              <w:spacing w:line="240" w:lineRule="auto"/>
              <w:jc w:val="center"/>
              <w:rPr>
                <w:sz w:val="16"/>
                <w:szCs w:val="16"/>
              </w:rPr>
            </w:pPr>
            <w:r w:rsidRPr="00687BD6">
              <w:rPr>
                <w:sz w:val="16"/>
                <w:szCs w:val="16"/>
              </w:rPr>
              <w:t>77</w:t>
            </w:r>
          </w:p>
        </w:tc>
        <w:tc>
          <w:tcPr>
            <w:tcW w:w="6662" w:type="dxa"/>
            <w:vAlign w:val="center"/>
          </w:tcPr>
          <w:p w14:paraId="71FE3DA0" w14:textId="6CA71BAA" w:rsidR="007412F8" w:rsidRPr="00687BD6" w:rsidRDefault="007412F8" w:rsidP="004F78B0">
            <w:pPr>
              <w:spacing w:line="240" w:lineRule="auto"/>
              <w:jc w:val="left"/>
              <w:rPr>
                <w:sz w:val="16"/>
                <w:szCs w:val="16"/>
              </w:rPr>
            </w:pPr>
            <w:r w:rsidRPr="00687BD6">
              <w:rPr>
                <w:sz w:val="16"/>
                <w:szCs w:val="16"/>
              </w:rPr>
              <w:t>Percentage of total oral Access antibiotic use</w:t>
            </w:r>
          </w:p>
        </w:tc>
        <w:tc>
          <w:tcPr>
            <w:tcW w:w="567" w:type="dxa"/>
            <w:vAlign w:val="center"/>
          </w:tcPr>
          <w:p w14:paraId="418F29C5" w14:textId="77777777" w:rsidR="007412F8" w:rsidRPr="00687BD6" w:rsidRDefault="007412F8" w:rsidP="004F78B0">
            <w:pPr>
              <w:spacing w:line="240" w:lineRule="auto"/>
              <w:jc w:val="center"/>
              <w:rPr>
                <w:sz w:val="16"/>
                <w:szCs w:val="16"/>
              </w:rPr>
            </w:pPr>
            <w:r w:rsidRPr="00687BD6">
              <w:rPr>
                <w:sz w:val="16"/>
                <w:szCs w:val="16"/>
              </w:rPr>
              <w:t>9</w:t>
            </w:r>
          </w:p>
        </w:tc>
        <w:tc>
          <w:tcPr>
            <w:tcW w:w="567" w:type="dxa"/>
            <w:vAlign w:val="center"/>
          </w:tcPr>
          <w:p w14:paraId="2C425424"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07A2C04C" w14:textId="77777777" w:rsidR="007412F8" w:rsidRPr="00687BD6" w:rsidRDefault="007412F8" w:rsidP="004F78B0">
            <w:pPr>
              <w:spacing w:line="240" w:lineRule="auto"/>
              <w:jc w:val="center"/>
              <w:rPr>
                <w:sz w:val="16"/>
                <w:szCs w:val="16"/>
              </w:rPr>
            </w:pPr>
            <w:r w:rsidRPr="00687BD6">
              <w:rPr>
                <w:sz w:val="16"/>
                <w:szCs w:val="16"/>
              </w:rPr>
              <w:t>90%</w:t>
            </w:r>
          </w:p>
        </w:tc>
        <w:tc>
          <w:tcPr>
            <w:tcW w:w="567" w:type="dxa"/>
            <w:vAlign w:val="center"/>
          </w:tcPr>
          <w:p w14:paraId="09B7E793"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6F3B9C36"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5CE4AB17" w14:textId="77777777" w:rsidR="007412F8" w:rsidRPr="00687BD6" w:rsidRDefault="007412F8" w:rsidP="004F78B0">
            <w:pPr>
              <w:spacing w:line="240" w:lineRule="auto"/>
              <w:jc w:val="center"/>
              <w:rPr>
                <w:sz w:val="16"/>
                <w:szCs w:val="16"/>
              </w:rPr>
            </w:pPr>
            <w:r w:rsidRPr="00687BD6">
              <w:rPr>
                <w:sz w:val="16"/>
                <w:szCs w:val="16"/>
              </w:rPr>
              <w:t>90%</w:t>
            </w:r>
          </w:p>
        </w:tc>
      </w:tr>
      <w:tr w:rsidR="00C07BC6" w:rsidRPr="00687BD6" w14:paraId="60709D02" w14:textId="77777777" w:rsidTr="008D6400">
        <w:tc>
          <w:tcPr>
            <w:tcW w:w="709" w:type="dxa"/>
            <w:vMerge/>
          </w:tcPr>
          <w:p w14:paraId="36F0B6B6" w14:textId="77777777" w:rsidR="007412F8" w:rsidRPr="00687BD6" w:rsidRDefault="007412F8" w:rsidP="00687BD6">
            <w:pPr>
              <w:spacing w:line="240" w:lineRule="auto"/>
              <w:rPr>
                <w:sz w:val="16"/>
                <w:szCs w:val="16"/>
              </w:rPr>
            </w:pPr>
          </w:p>
        </w:tc>
        <w:tc>
          <w:tcPr>
            <w:tcW w:w="567" w:type="dxa"/>
            <w:vAlign w:val="center"/>
          </w:tcPr>
          <w:p w14:paraId="4B9E25AE" w14:textId="77777777" w:rsidR="007412F8" w:rsidRPr="00687BD6" w:rsidRDefault="007412F8" w:rsidP="004F78B0">
            <w:pPr>
              <w:spacing w:line="240" w:lineRule="auto"/>
              <w:jc w:val="center"/>
              <w:rPr>
                <w:sz w:val="16"/>
                <w:szCs w:val="16"/>
              </w:rPr>
            </w:pPr>
            <w:r w:rsidRPr="00687BD6">
              <w:rPr>
                <w:sz w:val="16"/>
                <w:szCs w:val="16"/>
              </w:rPr>
              <w:t>78</w:t>
            </w:r>
          </w:p>
        </w:tc>
        <w:tc>
          <w:tcPr>
            <w:tcW w:w="6662" w:type="dxa"/>
            <w:vAlign w:val="center"/>
          </w:tcPr>
          <w:p w14:paraId="0D185B95" w14:textId="7D28C672" w:rsidR="007412F8" w:rsidRPr="00687BD6" w:rsidRDefault="007412F8" w:rsidP="004F78B0">
            <w:pPr>
              <w:spacing w:line="240" w:lineRule="auto"/>
              <w:jc w:val="left"/>
              <w:rPr>
                <w:sz w:val="16"/>
                <w:szCs w:val="16"/>
              </w:rPr>
            </w:pPr>
            <w:r w:rsidRPr="00687BD6">
              <w:rPr>
                <w:sz w:val="16"/>
                <w:szCs w:val="16"/>
              </w:rPr>
              <w:t xml:space="preserve">Ratio of oral amoxicillin measured in DID in primary care to all oral antibiotics in primary care measured in DID excluding amoxicillin (including amoxicillin-clavulanic </w:t>
            </w:r>
            <w:proofErr w:type="gramStart"/>
            <w:r w:rsidRPr="00687BD6">
              <w:rPr>
                <w:sz w:val="16"/>
                <w:szCs w:val="16"/>
              </w:rPr>
              <w:t>acid)</w:t>
            </w:r>
            <w:r w:rsidRPr="00687BD6">
              <w:rPr>
                <w:b/>
                <w:bCs/>
                <w:sz w:val="16"/>
                <w:szCs w:val="16"/>
              </w:rPr>
              <w:t>‡</w:t>
            </w:r>
            <w:proofErr w:type="gramEnd"/>
          </w:p>
        </w:tc>
        <w:tc>
          <w:tcPr>
            <w:tcW w:w="567" w:type="dxa"/>
            <w:vAlign w:val="center"/>
          </w:tcPr>
          <w:p w14:paraId="7A7E0EA9"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510557B0"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5501E329" w14:textId="77777777" w:rsidR="007412F8" w:rsidRPr="00687BD6" w:rsidRDefault="007412F8" w:rsidP="004F78B0">
            <w:pPr>
              <w:spacing w:line="240" w:lineRule="auto"/>
              <w:jc w:val="center"/>
              <w:rPr>
                <w:sz w:val="16"/>
                <w:szCs w:val="16"/>
              </w:rPr>
            </w:pPr>
            <w:r w:rsidRPr="00687BD6">
              <w:rPr>
                <w:sz w:val="16"/>
                <w:szCs w:val="16"/>
              </w:rPr>
              <w:t>100%</w:t>
            </w:r>
          </w:p>
        </w:tc>
        <w:tc>
          <w:tcPr>
            <w:tcW w:w="567" w:type="dxa"/>
            <w:vAlign w:val="center"/>
          </w:tcPr>
          <w:p w14:paraId="44748F22"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46A3F321"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1AB3026C" w14:textId="77777777" w:rsidR="007412F8" w:rsidRPr="00687BD6" w:rsidRDefault="007412F8" w:rsidP="004F78B0">
            <w:pPr>
              <w:spacing w:line="240" w:lineRule="auto"/>
              <w:jc w:val="center"/>
              <w:rPr>
                <w:sz w:val="16"/>
                <w:szCs w:val="16"/>
              </w:rPr>
            </w:pPr>
            <w:r w:rsidRPr="00687BD6">
              <w:rPr>
                <w:sz w:val="16"/>
                <w:szCs w:val="16"/>
              </w:rPr>
              <w:t>90%</w:t>
            </w:r>
          </w:p>
        </w:tc>
      </w:tr>
      <w:tr w:rsidR="00C07BC6" w:rsidRPr="00687BD6" w14:paraId="491E644F" w14:textId="77777777" w:rsidTr="008D6400">
        <w:tc>
          <w:tcPr>
            <w:tcW w:w="709" w:type="dxa"/>
          </w:tcPr>
          <w:p w14:paraId="5B444345" w14:textId="77777777" w:rsidR="007412F8" w:rsidRPr="00687BD6" w:rsidRDefault="007412F8" w:rsidP="00687BD6">
            <w:pPr>
              <w:spacing w:line="240" w:lineRule="auto"/>
              <w:rPr>
                <w:sz w:val="16"/>
                <w:szCs w:val="16"/>
              </w:rPr>
            </w:pPr>
          </w:p>
        </w:tc>
        <w:tc>
          <w:tcPr>
            <w:tcW w:w="567" w:type="dxa"/>
            <w:vAlign w:val="center"/>
          </w:tcPr>
          <w:p w14:paraId="64D59D55" w14:textId="77777777" w:rsidR="007412F8" w:rsidRPr="00687BD6" w:rsidRDefault="007412F8" w:rsidP="004F78B0">
            <w:pPr>
              <w:spacing w:line="240" w:lineRule="auto"/>
              <w:jc w:val="center"/>
              <w:rPr>
                <w:sz w:val="16"/>
                <w:szCs w:val="16"/>
              </w:rPr>
            </w:pPr>
            <w:r w:rsidRPr="00687BD6">
              <w:rPr>
                <w:sz w:val="16"/>
                <w:szCs w:val="16"/>
              </w:rPr>
              <w:t>78a</w:t>
            </w:r>
          </w:p>
        </w:tc>
        <w:tc>
          <w:tcPr>
            <w:tcW w:w="6662" w:type="dxa"/>
            <w:vAlign w:val="center"/>
          </w:tcPr>
          <w:p w14:paraId="7201BBF7" w14:textId="2051EFEA" w:rsidR="007412F8" w:rsidRPr="00687BD6" w:rsidRDefault="007412F8" w:rsidP="004F78B0">
            <w:pPr>
              <w:spacing w:line="240" w:lineRule="auto"/>
              <w:jc w:val="left"/>
              <w:rPr>
                <w:sz w:val="16"/>
                <w:szCs w:val="16"/>
              </w:rPr>
            </w:pPr>
            <w:r w:rsidRPr="00687BD6">
              <w:rPr>
                <w:sz w:val="16"/>
                <w:szCs w:val="16"/>
              </w:rPr>
              <w:t xml:space="preserve">Ratio of oral amoxicillin measured in DID in primary care to all other oral antibiotics in primary care measured in DID excluding amoxicillin (including amoxicillin-clavulanic </w:t>
            </w:r>
            <w:proofErr w:type="gramStart"/>
            <w:r w:rsidRPr="00687BD6">
              <w:rPr>
                <w:sz w:val="16"/>
                <w:szCs w:val="16"/>
              </w:rPr>
              <w:t>acid)</w:t>
            </w:r>
            <w:r w:rsidRPr="00687BD6">
              <w:rPr>
                <w:b/>
                <w:bCs/>
                <w:sz w:val="16"/>
                <w:szCs w:val="16"/>
              </w:rPr>
              <w:t>†</w:t>
            </w:r>
            <w:proofErr w:type="gramEnd"/>
          </w:p>
        </w:tc>
        <w:tc>
          <w:tcPr>
            <w:tcW w:w="567" w:type="dxa"/>
            <w:vAlign w:val="center"/>
          </w:tcPr>
          <w:p w14:paraId="4794D6C2" w14:textId="77777777" w:rsidR="007412F8" w:rsidRPr="00687BD6" w:rsidRDefault="007412F8" w:rsidP="004F78B0">
            <w:pPr>
              <w:spacing w:line="240" w:lineRule="auto"/>
              <w:jc w:val="center"/>
              <w:rPr>
                <w:sz w:val="16"/>
                <w:szCs w:val="16"/>
              </w:rPr>
            </w:pPr>
            <w:r w:rsidRPr="00687BD6">
              <w:rPr>
                <w:sz w:val="16"/>
                <w:szCs w:val="16"/>
              </w:rPr>
              <w:t>8</w:t>
            </w:r>
          </w:p>
        </w:tc>
        <w:tc>
          <w:tcPr>
            <w:tcW w:w="567" w:type="dxa"/>
            <w:vAlign w:val="center"/>
          </w:tcPr>
          <w:p w14:paraId="33FFBD33" w14:textId="77777777" w:rsidR="007412F8" w:rsidRPr="00687BD6" w:rsidRDefault="007412F8" w:rsidP="004F78B0">
            <w:pPr>
              <w:spacing w:line="240" w:lineRule="auto"/>
              <w:jc w:val="center"/>
              <w:rPr>
                <w:sz w:val="16"/>
                <w:szCs w:val="16"/>
              </w:rPr>
            </w:pPr>
            <w:r w:rsidRPr="00687BD6">
              <w:rPr>
                <w:sz w:val="16"/>
                <w:szCs w:val="16"/>
              </w:rPr>
              <w:t>A</w:t>
            </w:r>
          </w:p>
        </w:tc>
        <w:tc>
          <w:tcPr>
            <w:tcW w:w="709" w:type="dxa"/>
            <w:vAlign w:val="center"/>
          </w:tcPr>
          <w:p w14:paraId="750A1681" w14:textId="77777777" w:rsidR="007412F8" w:rsidRPr="00687BD6" w:rsidRDefault="007412F8" w:rsidP="004F78B0">
            <w:pPr>
              <w:spacing w:line="240" w:lineRule="auto"/>
              <w:jc w:val="center"/>
              <w:rPr>
                <w:sz w:val="16"/>
                <w:szCs w:val="16"/>
              </w:rPr>
            </w:pPr>
            <w:r w:rsidRPr="00687BD6">
              <w:rPr>
                <w:sz w:val="16"/>
                <w:szCs w:val="16"/>
              </w:rPr>
              <w:t>100%</w:t>
            </w:r>
          </w:p>
        </w:tc>
        <w:tc>
          <w:tcPr>
            <w:tcW w:w="567" w:type="dxa"/>
            <w:vAlign w:val="center"/>
          </w:tcPr>
          <w:p w14:paraId="1F0E4FEC" w14:textId="77777777" w:rsidR="007412F8" w:rsidRPr="00687BD6" w:rsidRDefault="007412F8" w:rsidP="004F78B0">
            <w:pPr>
              <w:spacing w:line="240" w:lineRule="auto"/>
              <w:jc w:val="center"/>
              <w:rPr>
                <w:sz w:val="16"/>
                <w:szCs w:val="16"/>
              </w:rPr>
            </w:pPr>
            <w:r w:rsidRPr="00687BD6">
              <w:rPr>
                <w:sz w:val="16"/>
                <w:szCs w:val="16"/>
              </w:rPr>
              <w:t>7</w:t>
            </w:r>
          </w:p>
        </w:tc>
        <w:tc>
          <w:tcPr>
            <w:tcW w:w="567" w:type="dxa"/>
            <w:vAlign w:val="center"/>
          </w:tcPr>
          <w:p w14:paraId="031CCA5C" w14:textId="77777777" w:rsidR="007412F8" w:rsidRPr="00687BD6" w:rsidRDefault="007412F8" w:rsidP="004F78B0">
            <w:pPr>
              <w:spacing w:line="240" w:lineRule="auto"/>
              <w:jc w:val="center"/>
              <w:rPr>
                <w:sz w:val="16"/>
                <w:szCs w:val="16"/>
              </w:rPr>
            </w:pPr>
            <w:r w:rsidRPr="00687BD6">
              <w:rPr>
                <w:sz w:val="16"/>
                <w:szCs w:val="16"/>
              </w:rPr>
              <w:t>E</w:t>
            </w:r>
          </w:p>
        </w:tc>
        <w:tc>
          <w:tcPr>
            <w:tcW w:w="709" w:type="dxa"/>
            <w:vAlign w:val="center"/>
          </w:tcPr>
          <w:p w14:paraId="028BD2B0" w14:textId="77777777" w:rsidR="007412F8" w:rsidRPr="00687BD6" w:rsidRDefault="007412F8" w:rsidP="004F78B0">
            <w:pPr>
              <w:spacing w:line="240" w:lineRule="auto"/>
              <w:jc w:val="center"/>
              <w:rPr>
                <w:sz w:val="16"/>
                <w:szCs w:val="16"/>
              </w:rPr>
            </w:pPr>
            <w:r w:rsidRPr="00687BD6">
              <w:rPr>
                <w:sz w:val="16"/>
                <w:szCs w:val="16"/>
              </w:rPr>
              <w:t>70%</w:t>
            </w:r>
          </w:p>
        </w:tc>
      </w:tr>
    </w:tbl>
    <w:p w14:paraId="04813AD7" w14:textId="000E051D" w:rsidR="00B26206" w:rsidRPr="005B7198" w:rsidRDefault="00F95401" w:rsidP="00EB42EB">
      <w:pPr>
        <w:pStyle w:val="NoSpacing1"/>
        <w:rPr>
          <w:rFonts w:ascii="Palatino Linotype" w:hAnsi="Palatino Linotype" w:cs="Arial"/>
          <w:sz w:val="14"/>
          <w:szCs w:val="14"/>
          <w:lang w:val="en-GB"/>
        </w:rPr>
      </w:pPr>
      <w:r w:rsidRPr="005B7198">
        <w:rPr>
          <w:rFonts w:ascii="Palatino Linotype" w:hAnsi="Palatino Linotype" w:cs="Arial"/>
          <w:sz w:val="14"/>
          <w:szCs w:val="14"/>
          <w:lang w:val="en-GB"/>
        </w:rPr>
        <w:t xml:space="preserve">NB: </w:t>
      </w:r>
      <w:r w:rsidR="00F05A21" w:rsidRPr="005B7198">
        <w:rPr>
          <w:rFonts w:ascii="Palatino Linotype" w:hAnsi="Palatino Linotype" w:cs="Arial"/>
          <w:sz w:val="14"/>
          <w:szCs w:val="14"/>
          <w:lang w:val="en-GB"/>
        </w:rPr>
        <w:t xml:space="preserve">A = agreement; </w:t>
      </w:r>
      <w:r w:rsidR="00F05A21" w:rsidRPr="005B7198">
        <w:rPr>
          <w:rFonts w:ascii="Palatino Linotype" w:hAnsi="Palatino Linotype"/>
          <w:sz w:val="14"/>
          <w:szCs w:val="14"/>
        </w:rPr>
        <w:t xml:space="preserve">DID = Defined daily doses per 1000 inhabitants per day; </w:t>
      </w:r>
      <w:r w:rsidR="00F05A21" w:rsidRPr="005B7198">
        <w:rPr>
          <w:rFonts w:ascii="Palatino Linotype" w:hAnsi="Palatino Linotype" w:cs="Arial"/>
          <w:sz w:val="14"/>
          <w:szCs w:val="14"/>
          <w:lang w:val="en-GB"/>
        </w:rPr>
        <w:t xml:space="preserve">E= equivocal; LOC = level of consensus; LUTI = lower urinary tract infection; Med = median; </w:t>
      </w:r>
      <w:r w:rsidR="00860600" w:rsidRPr="005B7198">
        <w:rPr>
          <w:rFonts w:ascii="Palatino Linotype" w:hAnsi="Palatino Linotype" w:cs="Arial"/>
          <w:sz w:val="14"/>
          <w:szCs w:val="14"/>
          <w:lang w:val="en-GB"/>
        </w:rPr>
        <w:t>RTI</w:t>
      </w:r>
      <w:r w:rsidRPr="005B7198">
        <w:rPr>
          <w:rFonts w:ascii="Palatino Linotype" w:hAnsi="Palatino Linotype" w:cs="Arial"/>
          <w:sz w:val="14"/>
          <w:szCs w:val="14"/>
          <w:lang w:val="en-GB"/>
        </w:rPr>
        <w:t xml:space="preserve"> = </w:t>
      </w:r>
      <w:r w:rsidR="004D6940" w:rsidRPr="005B7198">
        <w:rPr>
          <w:rFonts w:ascii="Palatino Linotype" w:hAnsi="Palatino Linotype" w:cs="Arial"/>
          <w:sz w:val="14"/>
          <w:szCs w:val="14"/>
          <w:lang w:val="en-GB"/>
        </w:rPr>
        <w:t>r</w:t>
      </w:r>
      <w:r w:rsidR="00860600" w:rsidRPr="005B7198">
        <w:rPr>
          <w:rFonts w:ascii="Palatino Linotype" w:hAnsi="Palatino Linotype" w:cs="Arial"/>
          <w:sz w:val="14"/>
          <w:szCs w:val="14"/>
          <w:lang w:val="en-GB"/>
        </w:rPr>
        <w:t xml:space="preserve">espiratory </w:t>
      </w:r>
      <w:r w:rsidR="004D6940" w:rsidRPr="005B7198">
        <w:rPr>
          <w:rFonts w:ascii="Palatino Linotype" w:hAnsi="Palatino Linotype" w:cs="Arial"/>
          <w:sz w:val="14"/>
          <w:szCs w:val="14"/>
          <w:lang w:val="en-GB"/>
        </w:rPr>
        <w:t>t</w:t>
      </w:r>
      <w:r w:rsidR="00860600" w:rsidRPr="005B7198">
        <w:rPr>
          <w:rFonts w:ascii="Palatino Linotype" w:hAnsi="Palatino Linotype" w:cs="Arial"/>
          <w:sz w:val="14"/>
          <w:szCs w:val="14"/>
          <w:lang w:val="en-GB"/>
        </w:rPr>
        <w:t xml:space="preserve">ract </w:t>
      </w:r>
      <w:r w:rsidR="004D6940" w:rsidRPr="005B7198">
        <w:rPr>
          <w:rFonts w:ascii="Palatino Linotype" w:hAnsi="Palatino Linotype" w:cs="Arial"/>
          <w:sz w:val="14"/>
          <w:szCs w:val="14"/>
          <w:lang w:val="en-GB"/>
        </w:rPr>
        <w:t>i</w:t>
      </w:r>
      <w:r w:rsidR="00860600" w:rsidRPr="005B7198">
        <w:rPr>
          <w:rFonts w:ascii="Palatino Linotype" w:hAnsi="Palatino Linotype" w:cs="Arial"/>
          <w:sz w:val="14"/>
          <w:szCs w:val="14"/>
          <w:lang w:val="en-GB"/>
        </w:rPr>
        <w:t>nfection</w:t>
      </w:r>
      <w:r w:rsidRPr="005B7198">
        <w:rPr>
          <w:rFonts w:ascii="Palatino Linotype" w:hAnsi="Palatino Linotype" w:cs="Arial"/>
          <w:sz w:val="14"/>
          <w:szCs w:val="14"/>
          <w:lang w:val="en-GB"/>
        </w:rPr>
        <w:t xml:space="preserve">; </w:t>
      </w:r>
      <w:r w:rsidR="005477F7" w:rsidRPr="005B7198">
        <w:rPr>
          <w:rFonts w:ascii="Palatino Linotype" w:hAnsi="Palatino Linotype" w:cs="Arial"/>
          <w:sz w:val="14"/>
          <w:szCs w:val="14"/>
          <w:lang w:val="en-GB"/>
        </w:rPr>
        <w:t>SSTI</w:t>
      </w:r>
      <w:r w:rsidRPr="005B7198">
        <w:rPr>
          <w:rFonts w:ascii="Palatino Linotype" w:hAnsi="Palatino Linotype" w:cs="Arial"/>
          <w:sz w:val="14"/>
          <w:szCs w:val="14"/>
          <w:lang w:val="en-GB"/>
        </w:rPr>
        <w:t xml:space="preserve"> = </w:t>
      </w:r>
      <w:r w:rsidR="005477F7" w:rsidRPr="005B7198">
        <w:rPr>
          <w:rFonts w:ascii="Palatino Linotype" w:hAnsi="Palatino Linotype" w:cs="Arial"/>
          <w:sz w:val="14"/>
          <w:szCs w:val="14"/>
          <w:lang w:val="en-GB"/>
        </w:rPr>
        <w:t>skin and</w:t>
      </w:r>
      <w:r w:rsidR="0056523A" w:rsidRPr="005B7198">
        <w:rPr>
          <w:rFonts w:ascii="Palatino Linotype" w:hAnsi="Palatino Linotype" w:cs="Arial"/>
          <w:sz w:val="14"/>
          <w:szCs w:val="14"/>
          <w:lang w:val="en-GB"/>
        </w:rPr>
        <w:t xml:space="preserve"> soft t</w:t>
      </w:r>
      <w:r w:rsidR="007C16A7" w:rsidRPr="005B7198">
        <w:rPr>
          <w:rFonts w:ascii="Palatino Linotype" w:hAnsi="Palatino Linotype" w:cs="Arial"/>
          <w:sz w:val="14"/>
          <w:szCs w:val="14"/>
          <w:lang w:val="en-GB"/>
        </w:rPr>
        <w:t>issue infection; STI = sexually transmitted infection</w:t>
      </w:r>
      <w:r w:rsidR="0057136E" w:rsidRPr="005B7198">
        <w:rPr>
          <w:rFonts w:ascii="Palatino Linotype" w:hAnsi="Palatino Linotype" w:cs="Arial"/>
          <w:sz w:val="14"/>
          <w:szCs w:val="14"/>
          <w:lang w:val="en-GB"/>
        </w:rPr>
        <w:t xml:space="preserve">; </w:t>
      </w:r>
      <w:r w:rsidR="00BD2618" w:rsidRPr="005B7198">
        <w:rPr>
          <w:rFonts w:ascii="Palatino Linotype" w:hAnsi="Palatino Linotype"/>
          <w:sz w:val="14"/>
          <w:szCs w:val="14"/>
        </w:rPr>
        <w:t>* = as per AWaRe guidance</w:t>
      </w:r>
      <w:r w:rsidR="005B7198" w:rsidRPr="005B7198">
        <w:rPr>
          <w:rFonts w:ascii="Palatino Linotype" w:hAnsi="Palatino Linotype"/>
          <w:sz w:val="14"/>
          <w:szCs w:val="14"/>
        </w:rPr>
        <w:t xml:space="preserve"> [42,55]</w:t>
      </w:r>
      <w:r w:rsidR="00BD2618" w:rsidRPr="005B7198">
        <w:rPr>
          <w:rFonts w:ascii="Palatino Linotype" w:hAnsi="Palatino Linotype"/>
          <w:sz w:val="14"/>
          <w:szCs w:val="14"/>
        </w:rPr>
        <w:t xml:space="preserve">; </w:t>
      </w:r>
      <w:r w:rsidR="00A52852" w:rsidRPr="005B7198">
        <w:rPr>
          <w:rFonts w:ascii="Palatino Linotype" w:hAnsi="Palatino Linotype"/>
          <w:sz w:val="14"/>
          <w:szCs w:val="14"/>
        </w:rPr>
        <w:t xml:space="preserve">** </w:t>
      </w:r>
      <w:r w:rsidR="00376A2B" w:rsidRPr="005B7198">
        <w:rPr>
          <w:rFonts w:ascii="Palatino Linotype" w:hAnsi="Palatino Linotype"/>
          <w:sz w:val="14"/>
          <w:szCs w:val="14"/>
        </w:rPr>
        <w:t>= severity criteria as per AWaRe guidance;</w:t>
      </w:r>
      <w:r w:rsidR="006D5897" w:rsidRPr="005B7198">
        <w:rPr>
          <w:rFonts w:ascii="Palatino Linotype" w:hAnsi="Palatino Linotype"/>
          <w:sz w:val="14"/>
          <w:szCs w:val="14"/>
        </w:rPr>
        <w:t xml:space="preserve"> </w:t>
      </w:r>
      <w:r w:rsidR="007E3EAF" w:rsidRPr="005B7198">
        <w:rPr>
          <w:rFonts w:ascii="Cambria" w:hAnsi="Cambria" w:cs="Cambria"/>
          <w:sz w:val="14"/>
          <w:szCs w:val="14"/>
          <w:lang w:val="en-GB"/>
        </w:rPr>
        <w:t>҂</w:t>
      </w:r>
      <w:r w:rsidR="007E3EAF" w:rsidRPr="005B7198">
        <w:rPr>
          <w:rFonts w:ascii="Palatino Linotype" w:hAnsi="Palatino Linotype" w:cs="Arial"/>
          <w:sz w:val="14"/>
          <w:szCs w:val="14"/>
          <w:lang w:val="en-GB"/>
        </w:rPr>
        <w:t xml:space="preserve"> agreement = rated within +/- 1 of the median; </w:t>
      </w:r>
      <w:r w:rsidR="007E3EAF" w:rsidRPr="005B7198">
        <w:rPr>
          <w:rFonts w:ascii="Palatino Linotype" w:hAnsi="Palatino Linotype" w:cs="Palatino Linotype"/>
          <w:sz w:val="14"/>
          <w:szCs w:val="14"/>
          <w:lang w:val="en-GB"/>
        </w:rPr>
        <w:t>‡</w:t>
      </w:r>
      <w:r w:rsidR="007E3EAF" w:rsidRPr="005B7198">
        <w:rPr>
          <w:rFonts w:ascii="Palatino Linotype" w:hAnsi="Palatino Linotype" w:cs="Arial"/>
          <w:sz w:val="14"/>
          <w:szCs w:val="14"/>
          <w:lang w:val="en-GB"/>
        </w:rPr>
        <w:t xml:space="preserve"> = original statement; </w:t>
      </w:r>
      <w:r w:rsidR="007E3EAF" w:rsidRPr="005B7198">
        <w:rPr>
          <w:rFonts w:ascii="Palatino Linotype" w:hAnsi="Palatino Linotype" w:cs="Palatino Linotype"/>
          <w:sz w:val="14"/>
          <w:szCs w:val="14"/>
          <w:lang w:val="en-GB"/>
        </w:rPr>
        <w:t>†</w:t>
      </w:r>
      <w:r w:rsidR="007E3EAF" w:rsidRPr="005B7198">
        <w:rPr>
          <w:rFonts w:ascii="Palatino Linotype" w:hAnsi="Palatino Linotype" w:cs="Arial"/>
          <w:sz w:val="14"/>
          <w:szCs w:val="14"/>
          <w:lang w:val="en-GB"/>
        </w:rPr>
        <w:t xml:space="preserve"> = rephrased statement; </w:t>
      </w:r>
      <w:r w:rsidR="007E3EAF" w:rsidRPr="005B7198">
        <w:rPr>
          <w:sz w:val="14"/>
          <w:szCs w:val="14"/>
          <w:lang w:val="en-GB"/>
        </w:rPr>
        <w:t>₶</w:t>
      </w:r>
      <w:r w:rsidR="007E3EAF" w:rsidRPr="005B7198">
        <w:rPr>
          <w:rFonts w:ascii="Palatino Linotype" w:hAnsi="Palatino Linotype" w:cs="Arial"/>
          <w:sz w:val="14"/>
          <w:szCs w:val="14"/>
          <w:lang w:val="en-GB"/>
        </w:rPr>
        <w:t xml:space="preserve"> = identified and rated as similar statements; </w:t>
      </w:r>
      <w:r w:rsidR="007E3EAF" w:rsidRPr="005B7198">
        <w:rPr>
          <w:rFonts w:ascii="Segoe UI Symbol" w:hAnsi="Segoe UI Symbol" w:cs="Segoe UI Symbol"/>
          <w:sz w:val="14"/>
          <w:szCs w:val="14"/>
          <w:lang w:val="en-GB"/>
        </w:rPr>
        <w:t>⮾</w:t>
      </w:r>
      <w:r w:rsidR="007E3EAF" w:rsidRPr="005B7198">
        <w:rPr>
          <w:rFonts w:ascii="Palatino Linotype" w:hAnsi="Palatino Linotype" w:cs="Arial"/>
          <w:sz w:val="14"/>
          <w:szCs w:val="14"/>
          <w:lang w:val="en-GB"/>
        </w:rPr>
        <w:t xml:space="preserve"> = new statement</w:t>
      </w:r>
      <w:r w:rsidRPr="005B7198">
        <w:rPr>
          <w:rFonts w:ascii="Palatino Linotype" w:hAnsi="Palatino Linotype" w:cs="Arial"/>
          <w:sz w:val="14"/>
          <w:szCs w:val="14"/>
          <w:lang w:val="en-GB"/>
        </w:rPr>
        <w:t xml:space="preserve"> </w:t>
      </w:r>
    </w:p>
    <w:p w14:paraId="5B73E96D" w14:textId="48D3E83D" w:rsidR="00DF17CA" w:rsidRPr="00FA3C5C" w:rsidRDefault="00DF17CA" w:rsidP="00FA3C5C">
      <w:pPr>
        <w:pStyle w:val="NoSpacing1"/>
        <w:rPr>
          <w:rFonts w:ascii="Palatino Linotype" w:hAnsi="Palatino Linotype" w:cs="Arial"/>
          <w:sz w:val="18"/>
          <w:szCs w:val="18"/>
          <w:lang w:val="en-GB"/>
        </w:rPr>
      </w:pPr>
      <w:r>
        <w:t xml:space="preserve">                       </w:t>
      </w:r>
    </w:p>
    <w:p w14:paraId="7D5EC41B" w14:textId="614E234A" w:rsidR="007713AF" w:rsidRPr="00161ED8" w:rsidRDefault="003C4625" w:rsidP="00517440">
      <w:pPr>
        <w:pStyle w:val="MDPI22heading2"/>
        <w:spacing w:before="240"/>
        <w:rPr>
          <w:b/>
          <w:bCs/>
          <w:noProof w:val="0"/>
        </w:rPr>
      </w:pPr>
      <w:bookmarkStart w:id="26" w:name="page3"/>
      <w:bookmarkEnd w:id="25"/>
      <w:bookmarkEnd w:id="26"/>
      <w:r w:rsidRPr="00161ED8">
        <w:rPr>
          <w:b/>
          <w:bCs/>
          <w:noProof w:val="0"/>
        </w:rPr>
        <w:t>2</w:t>
      </w:r>
      <w:r w:rsidR="007713AF" w:rsidRPr="00161ED8">
        <w:rPr>
          <w:b/>
          <w:bCs/>
          <w:noProof w:val="0"/>
        </w:rPr>
        <w:t>.</w:t>
      </w:r>
      <w:r w:rsidR="00B26206" w:rsidRPr="00161ED8">
        <w:rPr>
          <w:b/>
          <w:bCs/>
          <w:noProof w:val="0"/>
        </w:rPr>
        <w:t>4</w:t>
      </w:r>
      <w:r w:rsidR="007713AF" w:rsidRPr="00161ED8">
        <w:rPr>
          <w:b/>
          <w:bCs/>
          <w:noProof w:val="0"/>
        </w:rPr>
        <w:t>. F</w:t>
      </w:r>
      <w:r w:rsidR="00B26206" w:rsidRPr="00161ED8">
        <w:rPr>
          <w:b/>
          <w:bCs/>
          <w:noProof w:val="0"/>
        </w:rPr>
        <w:t xml:space="preserve">inal set of quality indicators rated </w:t>
      </w:r>
      <w:r w:rsidR="00604BA3" w:rsidRPr="00161ED8">
        <w:rPr>
          <w:b/>
          <w:bCs/>
          <w:noProof w:val="0"/>
        </w:rPr>
        <w:t>appropriate and feasible</w:t>
      </w:r>
      <w:r w:rsidR="003018DF">
        <w:rPr>
          <w:b/>
          <w:bCs/>
          <w:noProof w:val="0"/>
        </w:rPr>
        <w:t xml:space="preserve"> in the second round</w:t>
      </w:r>
    </w:p>
    <w:p w14:paraId="37963B11" w14:textId="295CE837" w:rsidR="007713AF" w:rsidRDefault="008B33CA" w:rsidP="00FB0C53">
      <w:pPr>
        <w:pStyle w:val="MDPI31text"/>
      </w:pPr>
      <w:r w:rsidRPr="008B33CA">
        <w:t xml:space="preserve">The final set of indicators rated both appropriate and feasible with agreement (n=61; 68.5%) </w:t>
      </w:r>
      <w:r w:rsidR="0067557D">
        <w:t xml:space="preserve">from the 89 indicators rated in the second round </w:t>
      </w:r>
      <w:r w:rsidR="004A2375">
        <w:t>is</w:t>
      </w:r>
      <w:r w:rsidRPr="008B33CA">
        <w:t xml:space="preserve"> presented in Table 3. In cases where both the original and rephrased statements were rated appropriate and feasible with agreement, the original statements (n=5) were excluded from the final list. </w:t>
      </w:r>
      <w:r w:rsidR="00A90D92">
        <w:t>D</w:t>
      </w:r>
      <w:r w:rsidRPr="008B33CA">
        <w:t>ental infection</w:t>
      </w:r>
      <w:r w:rsidR="00A90D92">
        <w:t>s</w:t>
      </w:r>
      <w:r w:rsidRPr="008B33CA">
        <w:t xml:space="preserve"> (n=9; 100%) a</w:t>
      </w:r>
      <w:r w:rsidR="00A90D92">
        <w:t>longside</w:t>
      </w:r>
      <w:r w:rsidRPr="008B33CA">
        <w:t xml:space="preserve"> </w:t>
      </w:r>
      <w:r w:rsidR="00392E38">
        <w:t>SSTI</w:t>
      </w:r>
      <w:r w:rsidRPr="008B33CA">
        <w:t xml:space="preserve"> (n=11; 84.6%) categories had the highest percentage of indicators that were rated appropriate and feasible with agreement. </w:t>
      </w:r>
      <w:r w:rsidR="00F05A21">
        <w:t>STI</w:t>
      </w:r>
      <w:r w:rsidR="005B7198">
        <w:t>s</w:t>
      </w:r>
      <w:r w:rsidRPr="008B33CA">
        <w:t xml:space="preserve"> (n= 5; 55.6%), </w:t>
      </w:r>
      <w:r w:rsidR="00CC58B5">
        <w:t>L</w:t>
      </w:r>
      <w:r w:rsidR="00F05A21">
        <w:t>UTI</w:t>
      </w:r>
      <w:r w:rsidR="005B7198">
        <w:t>s</w:t>
      </w:r>
      <w:r w:rsidRPr="008B33CA">
        <w:t xml:space="preserve"> (n=6; 54.5%) and general (n=4; 50%) categories had the lowest percentage of indicators rated appropriate and feasible with agreement.</w:t>
      </w:r>
    </w:p>
    <w:p w14:paraId="7413C4B6" w14:textId="78D9A3C3" w:rsidR="00161ED8" w:rsidRDefault="00161ED8" w:rsidP="00161ED8">
      <w:pPr>
        <w:pStyle w:val="MDPI41tablecaption"/>
      </w:pPr>
      <w:r w:rsidRPr="003D4CE1">
        <w:rPr>
          <w:b/>
        </w:rPr>
        <w:t xml:space="preserve">Table </w:t>
      </w:r>
      <w:r>
        <w:rPr>
          <w:b/>
        </w:rPr>
        <w:t>3</w:t>
      </w:r>
      <w:r w:rsidRPr="003D4CE1">
        <w:rPr>
          <w:b/>
        </w:rPr>
        <w:t>.</w:t>
      </w:r>
      <w:r w:rsidRPr="003D4CE1">
        <w:t xml:space="preserve"> </w:t>
      </w:r>
      <w:r w:rsidR="00EA260B">
        <w:t>Set of i</w:t>
      </w:r>
      <w:r>
        <w:t>ndicators rated</w:t>
      </w:r>
      <w:r w:rsidR="00EA260B">
        <w:t xml:space="preserve"> appropriate and feasible (n=61)</w:t>
      </w:r>
    </w:p>
    <w:tbl>
      <w:tblPr>
        <w:tblStyle w:val="TableGrid"/>
        <w:tblW w:w="10774" w:type="dxa"/>
        <w:tblInd w:w="-147" w:type="dxa"/>
        <w:tblLayout w:type="fixed"/>
        <w:tblLook w:val="04A0" w:firstRow="1" w:lastRow="0" w:firstColumn="1" w:lastColumn="0" w:noHBand="0" w:noVBand="1"/>
      </w:tblPr>
      <w:tblGrid>
        <w:gridCol w:w="991"/>
        <w:gridCol w:w="569"/>
        <w:gridCol w:w="9214"/>
      </w:tblGrid>
      <w:tr w:rsidR="00EC489D" w:rsidRPr="008D6400" w14:paraId="20E3513E" w14:textId="77777777" w:rsidTr="00450F1F">
        <w:trPr>
          <w:trHeight w:val="326"/>
        </w:trPr>
        <w:tc>
          <w:tcPr>
            <w:tcW w:w="991" w:type="dxa"/>
            <w:vMerge w:val="restart"/>
            <w:vAlign w:val="center"/>
          </w:tcPr>
          <w:p w14:paraId="46E95456" w14:textId="2A3CC1F6" w:rsidR="00EC489D" w:rsidRPr="008D6400" w:rsidRDefault="00EC489D" w:rsidP="00DD4311">
            <w:pPr>
              <w:spacing w:line="240" w:lineRule="auto"/>
              <w:jc w:val="center"/>
              <w:rPr>
                <w:b/>
                <w:bCs/>
                <w:sz w:val="16"/>
                <w:szCs w:val="16"/>
              </w:rPr>
            </w:pPr>
            <w:r w:rsidRPr="008D6400">
              <w:rPr>
                <w:b/>
                <w:bCs/>
                <w:sz w:val="16"/>
                <w:szCs w:val="16"/>
              </w:rPr>
              <w:t>Infection</w:t>
            </w:r>
            <w:r w:rsidR="00A71DBB">
              <w:rPr>
                <w:b/>
                <w:bCs/>
                <w:sz w:val="16"/>
                <w:szCs w:val="16"/>
              </w:rPr>
              <w:t xml:space="preserve"> (</w:t>
            </w:r>
            <w:r w:rsidR="008F75E5" w:rsidRPr="008D6400">
              <w:rPr>
                <w:b/>
                <w:bCs/>
                <w:sz w:val="16"/>
                <w:szCs w:val="16"/>
              </w:rPr>
              <w:t>n</w:t>
            </w:r>
            <w:r w:rsidR="00A71DBB">
              <w:rPr>
                <w:b/>
                <w:bCs/>
                <w:sz w:val="16"/>
                <w:szCs w:val="16"/>
              </w:rPr>
              <w:t xml:space="preserve">; </w:t>
            </w:r>
            <w:r w:rsidR="008F75E5" w:rsidRPr="008D6400">
              <w:rPr>
                <w:b/>
                <w:bCs/>
                <w:sz w:val="16"/>
                <w:szCs w:val="16"/>
              </w:rPr>
              <w:t>%)</w:t>
            </w:r>
          </w:p>
        </w:tc>
        <w:tc>
          <w:tcPr>
            <w:tcW w:w="569" w:type="dxa"/>
            <w:vMerge w:val="restart"/>
            <w:vAlign w:val="center"/>
          </w:tcPr>
          <w:p w14:paraId="00554548" w14:textId="77777777" w:rsidR="00EC489D" w:rsidRPr="008D6400" w:rsidRDefault="00EC489D" w:rsidP="00DD4311">
            <w:pPr>
              <w:spacing w:line="240" w:lineRule="auto"/>
              <w:jc w:val="center"/>
              <w:rPr>
                <w:b/>
                <w:bCs/>
                <w:sz w:val="16"/>
                <w:szCs w:val="16"/>
              </w:rPr>
            </w:pPr>
            <w:r w:rsidRPr="008D6400">
              <w:rPr>
                <w:b/>
                <w:bCs/>
                <w:sz w:val="16"/>
                <w:szCs w:val="16"/>
              </w:rPr>
              <w:t>No.</w:t>
            </w:r>
          </w:p>
        </w:tc>
        <w:tc>
          <w:tcPr>
            <w:tcW w:w="9214" w:type="dxa"/>
            <w:vMerge w:val="restart"/>
            <w:vAlign w:val="center"/>
          </w:tcPr>
          <w:p w14:paraId="624F8D0F" w14:textId="77777777" w:rsidR="00EC489D" w:rsidRPr="008D6400" w:rsidRDefault="00EC489D" w:rsidP="00DD4311">
            <w:pPr>
              <w:spacing w:line="240" w:lineRule="auto"/>
              <w:jc w:val="center"/>
              <w:rPr>
                <w:b/>
                <w:bCs/>
                <w:sz w:val="16"/>
                <w:szCs w:val="16"/>
              </w:rPr>
            </w:pPr>
            <w:r w:rsidRPr="008D6400">
              <w:rPr>
                <w:b/>
                <w:bCs/>
                <w:sz w:val="16"/>
                <w:szCs w:val="16"/>
              </w:rPr>
              <w:t>Statement</w:t>
            </w:r>
          </w:p>
        </w:tc>
      </w:tr>
      <w:tr w:rsidR="00EC489D" w:rsidRPr="008D6400" w14:paraId="6AB6A2E0" w14:textId="77777777" w:rsidTr="00450F1F">
        <w:trPr>
          <w:trHeight w:val="326"/>
        </w:trPr>
        <w:tc>
          <w:tcPr>
            <w:tcW w:w="991" w:type="dxa"/>
            <w:vMerge/>
            <w:vAlign w:val="center"/>
          </w:tcPr>
          <w:p w14:paraId="4BB082C0" w14:textId="77777777" w:rsidR="00EC489D" w:rsidRPr="008D6400" w:rsidRDefault="00EC489D" w:rsidP="00DD4311">
            <w:pPr>
              <w:spacing w:line="240" w:lineRule="auto"/>
              <w:jc w:val="center"/>
              <w:rPr>
                <w:b/>
                <w:bCs/>
                <w:sz w:val="16"/>
                <w:szCs w:val="16"/>
              </w:rPr>
            </w:pPr>
          </w:p>
        </w:tc>
        <w:tc>
          <w:tcPr>
            <w:tcW w:w="569" w:type="dxa"/>
            <w:vMerge/>
            <w:vAlign w:val="center"/>
          </w:tcPr>
          <w:p w14:paraId="4D94E7AD" w14:textId="77777777" w:rsidR="00EC489D" w:rsidRPr="008D6400" w:rsidRDefault="00EC489D" w:rsidP="00DD4311">
            <w:pPr>
              <w:spacing w:line="240" w:lineRule="auto"/>
              <w:jc w:val="center"/>
              <w:rPr>
                <w:b/>
                <w:bCs/>
                <w:sz w:val="16"/>
                <w:szCs w:val="16"/>
              </w:rPr>
            </w:pPr>
          </w:p>
        </w:tc>
        <w:tc>
          <w:tcPr>
            <w:tcW w:w="9214" w:type="dxa"/>
            <w:vMerge/>
            <w:vAlign w:val="center"/>
          </w:tcPr>
          <w:p w14:paraId="6488AF36" w14:textId="77777777" w:rsidR="00EC489D" w:rsidRPr="008D6400" w:rsidRDefault="00EC489D" w:rsidP="00DD4311">
            <w:pPr>
              <w:spacing w:line="240" w:lineRule="auto"/>
              <w:jc w:val="center"/>
              <w:rPr>
                <w:b/>
                <w:bCs/>
                <w:sz w:val="16"/>
                <w:szCs w:val="16"/>
              </w:rPr>
            </w:pPr>
          </w:p>
        </w:tc>
      </w:tr>
      <w:tr w:rsidR="00EC489D" w:rsidRPr="008D6400" w14:paraId="72D9F4E6" w14:textId="77777777" w:rsidTr="00450F1F">
        <w:tc>
          <w:tcPr>
            <w:tcW w:w="991" w:type="dxa"/>
            <w:vMerge w:val="restart"/>
            <w:vAlign w:val="center"/>
          </w:tcPr>
          <w:p w14:paraId="7B9359AB" w14:textId="20F9B906" w:rsidR="00EC489D" w:rsidRPr="008D6400" w:rsidRDefault="001267B1" w:rsidP="00DD4311">
            <w:pPr>
              <w:spacing w:line="240" w:lineRule="auto"/>
              <w:jc w:val="center"/>
              <w:rPr>
                <w:b/>
                <w:bCs/>
                <w:sz w:val="16"/>
                <w:szCs w:val="16"/>
              </w:rPr>
            </w:pPr>
            <w:r w:rsidRPr="008D6400">
              <w:rPr>
                <w:b/>
                <w:bCs/>
                <w:sz w:val="16"/>
                <w:szCs w:val="16"/>
              </w:rPr>
              <w:t>RTI</w:t>
            </w:r>
            <w:r w:rsidR="00EC489D" w:rsidRPr="008D6400">
              <w:rPr>
                <w:b/>
                <w:bCs/>
                <w:sz w:val="16"/>
                <w:szCs w:val="16"/>
              </w:rPr>
              <w:t xml:space="preserve"> (n=13; 68.4%)</w:t>
            </w:r>
          </w:p>
        </w:tc>
        <w:tc>
          <w:tcPr>
            <w:tcW w:w="569" w:type="dxa"/>
            <w:vAlign w:val="center"/>
          </w:tcPr>
          <w:p w14:paraId="5EE3DD58" w14:textId="77E9D135" w:rsidR="00EC489D" w:rsidRPr="00450F1F" w:rsidRDefault="00EC489D" w:rsidP="00CC58B5">
            <w:pPr>
              <w:pStyle w:val="ListParagraph"/>
              <w:numPr>
                <w:ilvl w:val="0"/>
                <w:numId w:val="46"/>
              </w:numPr>
              <w:spacing w:after="0" w:line="240" w:lineRule="auto"/>
              <w:rPr>
                <w:sz w:val="16"/>
                <w:szCs w:val="16"/>
              </w:rPr>
            </w:pPr>
          </w:p>
        </w:tc>
        <w:tc>
          <w:tcPr>
            <w:tcW w:w="9214" w:type="dxa"/>
            <w:vAlign w:val="center"/>
          </w:tcPr>
          <w:p w14:paraId="66AF6C48" w14:textId="3FA1C003" w:rsidR="00EC489D" w:rsidRPr="008D6400" w:rsidRDefault="00EC489D" w:rsidP="00DD4311">
            <w:pPr>
              <w:spacing w:line="240" w:lineRule="auto"/>
              <w:jc w:val="left"/>
              <w:rPr>
                <w:sz w:val="16"/>
                <w:szCs w:val="16"/>
              </w:rPr>
            </w:pPr>
            <w:r w:rsidRPr="008D6400">
              <w:rPr>
                <w:sz w:val="16"/>
                <w:szCs w:val="16"/>
              </w:rPr>
              <w:t xml:space="preserve">Proportion of all patients presenting with any acute </w:t>
            </w:r>
            <w:r w:rsidR="00DD4311">
              <w:rPr>
                <w:sz w:val="16"/>
                <w:szCs w:val="16"/>
              </w:rPr>
              <w:t>RTI</w:t>
            </w:r>
            <w:r w:rsidRPr="008D6400">
              <w:rPr>
                <w:sz w:val="16"/>
                <w:szCs w:val="16"/>
              </w:rPr>
              <w:t xml:space="preserve"> given oral amoxicillin</w:t>
            </w:r>
          </w:p>
        </w:tc>
      </w:tr>
      <w:tr w:rsidR="00EC489D" w:rsidRPr="008D6400" w14:paraId="1C44E8B9" w14:textId="77777777" w:rsidTr="00450F1F">
        <w:tc>
          <w:tcPr>
            <w:tcW w:w="991" w:type="dxa"/>
            <w:vMerge/>
            <w:vAlign w:val="center"/>
          </w:tcPr>
          <w:p w14:paraId="2E95073A" w14:textId="77777777" w:rsidR="00EC489D" w:rsidRPr="008D6400" w:rsidRDefault="00EC489D" w:rsidP="00DD4311">
            <w:pPr>
              <w:spacing w:line="240" w:lineRule="auto"/>
              <w:jc w:val="center"/>
              <w:rPr>
                <w:sz w:val="16"/>
                <w:szCs w:val="16"/>
              </w:rPr>
            </w:pPr>
          </w:p>
        </w:tc>
        <w:tc>
          <w:tcPr>
            <w:tcW w:w="569" w:type="dxa"/>
            <w:vAlign w:val="center"/>
          </w:tcPr>
          <w:p w14:paraId="264316A9" w14:textId="3B500044" w:rsidR="00EC489D" w:rsidRPr="00450F1F" w:rsidRDefault="00EC489D" w:rsidP="00450F1F">
            <w:pPr>
              <w:pStyle w:val="ListParagraph"/>
              <w:numPr>
                <w:ilvl w:val="0"/>
                <w:numId w:val="46"/>
              </w:numPr>
              <w:spacing w:line="240" w:lineRule="auto"/>
              <w:rPr>
                <w:sz w:val="16"/>
                <w:szCs w:val="16"/>
              </w:rPr>
            </w:pPr>
          </w:p>
        </w:tc>
        <w:tc>
          <w:tcPr>
            <w:tcW w:w="9214" w:type="dxa"/>
            <w:vAlign w:val="center"/>
          </w:tcPr>
          <w:p w14:paraId="76C91C05" w14:textId="2BA079FC" w:rsidR="00EC489D" w:rsidRPr="008D6400" w:rsidRDefault="00EC489D" w:rsidP="00DD4311">
            <w:pPr>
              <w:spacing w:line="240" w:lineRule="auto"/>
              <w:jc w:val="left"/>
              <w:rPr>
                <w:sz w:val="16"/>
                <w:szCs w:val="16"/>
              </w:rPr>
            </w:pPr>
            <w:r w:rsidRPr="008D6400">
              <w:rPr>
                <w:sz w:val="16"/>
                <w:szCs w:val="16"/>
              </w:rPr>
              <w:t xml:space="preserve">Proportion of all patients presenting with any acute </w:t>
            </w:r>
            <w:r w:rsidR="00DD4311">
              <w:rPr>
                <w:sz w:val="16"/>
                <w:szCs w:val="16"/>
              </w:rPr>
              <w:t>RTI</w:t>
            </w:r>
            <w:r w:rsidRPr="008D6400">
              <w:rPr>
                <w:sz w:val="16"/>
                <w:szCs w:val="16"/>
              </w:rPr>
              <w:t xml:space="preserve"> given any oral Access antibiotic </w:t>
            </w:r>
            <w:r w:rsidR="00390CD9">
              <w:rPr>
                <w:sz w:val="16"/>
                <w:szCs w:val="16"/>
              </w:rPr>
              <w:t>in</w:t>
            </w:r>
            <w:r w:rsidRPr="008D6400">
              <w:rPr>
                <w:sz w:val="16"/>
                <w:szCs w:val="16"/>
              </w:rPr>
              <w:t>cluding amoxicillin</w:t>
            </w:r>
          </w:p>
        </w:tc>
      </w:tr>
      <w:tr w:rsidR="00EC489D" w:rsidRPr="008D6400" w14:paraId="4A564DBF" w14:textId="77777777" w:rsidTr="00450F1F">
        <w:tc>
          <w:tcPr>
            <w:tcW w:w="991" w:type="dxa"/>
            <w:vMerge/>
            <w:vAlign w:val="center"/>
          </w:tcPr>
          <w:p w14:paraId="1AA0D342" w14:textId="77777777" w:rsidR="00EC489D" w:rsidRPr="008D6400" w:rsidRDefault="00EC489D" w:rsidP="00DD4311">
            <w:pPr>
              <w:spacing w:line="240" w:lineRule="auto"/>
              <w:jc w:val="center"/>
              <w:rPr>
                <w:sz w:val="16"/>
                <w:szCs w:val="16"/>
              </w:rPr>
            </w:pPr>
          </w:p>
        </w:tc>
        <w:tc>
          <w:tcPr>
            <w:tcW w:w="569" w:type="dxa"/>
            <w:vAlign w:val="center"/>
          </w:tcPr>
          <w:p w14:paraId="26D53A7C" w14:textId="467471A5" w:rsidR="00EC489D" w:rsidRPr="00450F1F" w:rsidRDefault="00EC489D" w:rsidP="00450F1F">
            <w:pPr>
              <w:pStyle w:val="ListParagraph"/>
              <w:numPr>
                <w:ilvl w:val="0"/>
                <w:numId w:val="46"/>
              </w:numPr>
              <w:spacing w:line="240" w:lineRule="auto"/>
              <w:rPr>
                <w:sz w:val="16"/>
                <w:szCs w:val="16"/>
              </w:rPr>
            </w:pPr>
          </w:p>
        </w:tc>
        <w:tc>
          <w:tcPr>
            <w:tcW w:w="9214" w:type="dxa"/>
            <w:vAlign w:val="center"/>
          </w:tcPr>
          <w:p w14:paraId="5D3160AA" w14:textId="2240B88E" w:rsidR="00EC489D" w:rsidRPr="008D6400" w:rsidRDefault="00EC489D" w:rsidP="00DD4311">
            <w:pPr>
              <w:spacing w:line="240" w:lineRule="auto"/>
              <w:jc w:val="left"/>
              <w:rPr>
                <w:sz w:val="16"/>
                <w:szCs w:val="16"/>
              </w:rPr>
            </w:pPr>
            <w:r w:rsidRPr="008D6400">
              <w:rPr>
                <w:sz w:val="16"/>
                <w:szCs w:val="16"/>
              </w:rPr>
              <w:t xml:space="preserve">Proportion of all patients presenting with any acute respiratory tract infection </w:t>
            </w:r>
            <w:r w:rsidR="00392E38">
              <w:rPr>
                <w:sz w:val="16"/>
                <w:szCs w:val="16"/>
              </w:rPr>
              <w:t>(</w:t>
            </w:r>
            <w:r w:rsidR="00DD4311">
              <w:rPr>
                <w:sz w:val="16"/>
                <w:szCs w:val="16"/>
              </w:rPr>
              <w:t>RTI</w:t>
            </w:r>
            <w:r w:rsidR="00392E38">
              <w:rPr>
                <w:sz w:val="16"/>
                <w:szCs w:val="16"/>
              </w:rPr>
              <w:t>)</w:t>
            </w:r>
            <w:r w:rsidRPr="008D6400">
              <w:rPr>
                <w:sz w:val="16"/>
                <w:szCs w:val="16"/>
              </w:rPr>
              <w:t xml:space="preserve"> given any oral Watch antibiotic</w:t>
            </w:r>
          </w:p>
        </w:tc>
      </w:tr>
      <w:tr w:rsidR="00EC489D" w:rsidRPr="008D6400" w14:paraId="20625922" w14:textId="77777777" w:rsidTr="00450F1F">
        <w:tc>
          <w:tcPr>
            <w:tcW w:w="991" w:type="dxa"/>
            <w:vMerge/>
            <w:vAlign w:val="center"/>
          </w:tcPr>
          <w:p w14:paraId="6BF1791E" w14:textId="77777777" w:rsidR="00EC489D" w:rsidRPr="008D6400" w:rsidRDefault="00EC489D" w:rsidP="00DD4311">
            <w:pPr>
              <w:spacing w:line="240" w:lineRule="auto"/>
              <w:jc w:val="center"/>
              <w:rPr>
                <w:sz w:val="16"/>
                <w:szCs w:val="16"/>
              </w:rPr>
            </w:pPr>
          </w:p>
        </w:tc>
        <w:tc>
          <w:tcPr>
            <w:tcW w:w="569" w:type="dxa"/>
            <w:vAlign w:val="center"/>
          </w:tcPr>
          <w:p w14:paraId="29C060D9" w14:textId="27F4F1EF" w:rsidR="00EC489D" w:rsidRPr="00450F1F" w:rsidRDefault="00EC489D" w:rsidP="00450F1F">
            <w:pPr>
              <w:pStyle w:val="ListParagraph"/>
              <w:numPr>
                <w:ilvl w:val="0"/>
                <w:numId w:val="46"/>
              </w:numPr>
              <w:spacing w:line="240" w:lineRule="auto"/>
              <w:rPr>
                <w:sz w:val="16"/>
                <w:szCs w:val="16"/>
              </w:rPr>
            </w:pPr>
          </w:p>
        </w:tc>
        <w:tc>
          <w:tcPr>
            <w:tcW w:w="9214" w:type="dxa"/>
            <w:vAlign w:val="center"/>
          </w:tcPr>
          <w:p w14:paraId="54501C81" w14:textId="7AF22933" w:rsidR="00EC489D" w:rsidRPr="008D6400" w:rsidRDefault="00EC489D" w:rsidP="00DD4311">
            <w:pPr>
              <w:spacing w:line="240" w:lineRule="auto"/>
              <w:jc w:val="left"/>
              <w:rPr>
                <w:sz w:val="16"/>
                <w:szCs w:val="16"/>
              </w:rPr>
            </w:pPr>
            <w:r w:rsidRPr="008D6400">
              <w:rPr>
                <w:sz w:val="16"/>
                <w:szCs w:val="16"/>
              </w:rPr>
              <w:t>Proportion of patients with any ear/sinus/throat infection (not pneumonia) given an oral antibiotic</w:t>
            </w:r>
          </w:p>
        </w:tc>
      </w:tr>
      <w:tr w:rsidR="00EC489D" w:rsidRPr="008D6400" w14:paraId="286D1CE7" w14:textId="77777777" w:rsidTr="00450F1F">
        <w:tc>
          <w:tcPr>
            <w:tcW w:w="991" w:type="dxa"/>
            <w:vMerge/>
            <w:vAlign w:val="center"/>
          </w:tcPr>
          <w:p w14:paraId="78021FC6" w14:textId="77777777" w:rsidR="00EC489D" w:rsidRPr="008D6400" w:rsidRDefault="00EC489D" w:rsidP="00DD4311">
            <w:pPr>
              <w:spacing w:line="240" w:lineRule="auto"/>
              <w:jc w:val="center"/>
              <w:rPr>
                <w:sz w:val="16"/>
                <w:szCs w:val="16"/>
              </w:rPr>
            </w:pPr>
          </w:p>
        </w:tc>
        <w:tc>
          <w:tcPr>
            <w:tcW w:w="569" w:type="dxa"/>
            <w:vAlign w:val="center"/>
          </w:tcPr>
          <w:p w14:paraId="0489F881" w14:textId="37237F64" w:rsidR="00EC489D" w:rsidRPr="00450F1F" w:rsidRDefault="00EC489D" w:rsidP="00450F1F">
            <w:pPr>
              <w:pStyle w:val="ListParagraph"/>
              <w:numPr>
                <w:ilvl w:val="0"/>
                <w:numId w:val="46"/>
              </w:numPr>
              <w:spacing w:line="240" w:lineRule="auto"/>
              <w:rPr>
                <w:sz w:val="16"/>
                <w:szCs w:val="16"/>
              </w:rPr>
            </w:pPr>
          </w:p>
        </w:tc>
        <w:tc>
          <w:tcPr>
            <w:tcW w:w="9214" w:type="dxa"/>
            <w:vAlign w:val="center"/>
          </w:tcPr>
          <w:p w14:paraId="3C0F0CDC" w14:textId="67DAEE86" w:rsidR="00EC489D" w:rsidRPr="008D6400" w:rsidRDefault="00EC489D" w:rsidP="00DD4311">
            <w:pPr>
              <w:spacing w:line="240" w:lineRule="auto"/>
              <w:jc w:val="left"/>
              <w:rPr>
                <w:sz w:val="16"/>
                <w:szCs w:val="16"/>
              </w:rPr>
            </w:pPr>
            <w:r w:rsidRPr="008D6400">
              <w:rPr>
                <w:sz w:val="16"/>
                <w:szCs w:val="16"/>
              </w:rPr>
              <w:t>Proportion of patients with any ear/sinus/throat infection (not pneumonia) at high risk* of severe complications given amoxicillin</w:t>
            </w:r>
          </w:p>
        </w:tc>
      </w:tr>
      <w:tr w:rsidR="00EC489D" w:rsidRPr="008D6400" w14:paraId="1D62D5E0" w14:textId="77777777" w:rsidTr="00450F1F">
        <w:tc>
          <w:tcPr>
            <w:tcW w:w="991" w:type="dxa"/>
            <w:vMerge/>
            <w:vAlign w:val="center"/>
          </w:tcPr>
          <w:p w14:paraId="7CFAA09B" w14:textId="77777777" w:rsidR="00EC489D" w:rsidRPr="008D6400" w:rsidRDefault="00EC489D" w:rsidP="00DD4311">
            <w:pPr>
              <w:spacing w:line="240" w:lineRule="auto"/>
              <w:jc w:val="center"/>
              <w:rPr>
                <w:sz w:val="16"/>
                <w:szCs w:val="16"/>
              </w:rPr>
            </w:pPr>
          </w:p>
        </w:tc>
        <w:tc>
          <w:tcPr>
            <w:tcW w:w="569" w:type="dxa"/>
            <w:vAlign w:val="center"/>
          </w:tcPr>
          <w:p w14:paraId="35F06095" w14:textId="54FD8AA8" w:rsidR="00EC489D" w:rsidRPr="00450F1F" w:rsidRDefault="00EC489D" w:rsidP="00450F1F">
            <w:pPr>
              <w:pStyle w:val="ListParagraph"/>
              <w:numPr>
                <w:ilvl w:val="0"/>
                <w:numId w:val="46"/>
              </w:numPr>
              <w:spacing w:line="240" w:lineRule="auto"/>
              <w:rPr>
                <w:sz w:val="16"/>
                <w:szCs w:val="16"/>
              </w:rPr>
            </w:pPr>
          </w:p>
        </w:tc>
        <w:tc>
          <w:tcPr>
            <w:tcW w:w="9214" w:type="dxa"/>
            <w:vAlign w:val="center"/>
          </w:tcPr>
          <w:p w14:paraId="61B5FAC9" w14:textId="1DBD322A" w:rsidR="00EC489D" w:rsidRPr="008D6400" w:rsidRDefault="00EC489D" w:rsidP="00DD4311">
            <w:pPr>
              <w:spacing w:line="240" w:lineRule="auto"/>
              <w:jc w:val="left"/>
              <w:rPr>
                <w:sz w:val="16"/>
                <w:szCs w:val="16"/>
              </w:rPr>
            </w:pPr>
            <w:r w:rsidRPr="008D6400">
              <w:rPr>
                <w:sz w:val="16"/>
                <w:szCs w:val="16"/>
              </w:rPr>
              <w:t>Proportion of patients with any ear/sinus/throat infection (not pneumonia) at high risk* of severe complications given any oral Access antibiotic (including amoxicillin)</w:t>
            </w:r>
          </w:p>
        </w:tc>
      </w:tr>
      <w:tr w:rsidR="00EC489D" w:rsidRPr="008D6400" w14:paraId="15761B8D" w14:textId="77777777" w:rsidTr="00450F1F">
        <w:tc>
          <w:tcPr>
            <w:tcW w:w="991" w:type="dxa"/>
            <w:vMerge/>
            <w:vAlign w:val="center"/>
          </w:tcPr>
          <w:p w14:paraId="73B3B894" w14:textId="77777777" w:rsidR="00EC489D" w:rsidRPr="008D6400" w:rsidRDefault="00EC489D" w:rsidP="00DD4311">
            <w:pPr>
              <w:spacing w:line="240" w:lineRule="auto"/>
              <w:jc w:val="center"/>
              <w:rPr>
                <w:sz w:val="16"/>
                <w:szCs w:val="16"/>
              </w:rPr>
            </w:pPr>
          </w:p>
        </w:tc>
        <w:tc>
          <w:tcPr>
            <w:tcW w:w="569" w:type="dxa"/>
            <w:vAlign w:val="center"/>
          </w:tcPr>
          <w:p w14:paraId="50BD0D89" w14:textId="788D4C29" w:rsidR="00EC489D" w:rsidRPr="00E735B9" w:rsidRDefault="00EC489D" w:rsidP="00E735B9">
            <w:pPr>
              <w:pStyle w:val="ListParagraph"/>
              <w:numPr>
                <w:ilvl w:val="0"/>
                <w:numId w:val="46"/>
              </w:numPr>
              <w:spacing w:line="240" w:lineRule="auto"/>
              <w:rPr>
                <w:sz w:val="16"/>
                <w:szCs w:val="16"/>
              </w:rPr>
            </w:pPr>
          </w:p>
        </w:tc>
        <w:tc>
          <w:tcPr>
            <w:tcW w:w="9214" w:type="dxa"/>
            <w:vAlign w:val="center"/>
          </w:tcPr>
          <w:p w14:paraId="7FBD1FB3" w14:textId="7E3A34A5" w:rsidR="00EC489D" w:rsidRPr="008D6400" w:rsidRDefault="00EC489D" w:rsidP="00DD4311">
            <w:pPr>
              <w:spacing w:line="240" w:lineRule="auto"/>
              <w:jc w:val="left"/>
              <w:rPr>
                <w:sz w:val="16"/>
                <w:szCs w:val="16"/>
              </w:rPr>
            </w:pPr>
            <w:r w:rsidRPr="008D6400">
              <w:rPr>
                <w:sz w:val="16"/>
                <w:szCs w:val="16"/>
              </w:rPr>
              <w:t>Proportion of patients at lower risk of a bacterial respiratory tract infection given an oral antibiotic</w:t>
            </w:r>
          </w:p>
        </w:tc>
      </w:tr>
      <w:tr w:rsidR="00EC489D" w:rsidRPr="008D6400" w14:paraId="0946EE82" w14:textId="77777777" w:rsidTr="00450F1F">
        <w:tc>
          <w:tcPr>
            <w:tcW w:w="991" w:type="dxa"/>
            <w:vMerge/>
            <w:vAlign w:val="center"/>
          </w:tcPr>
          <w:p w14:paraId="6F0BBE12" w14:textId="77777777" w:rsidR="00EC489D" w:rsidRPr="008D6400" w:rsidRDefault="00EC489D" w:rsidP="00DD4311">
            <w:pPr>
              <w:spacing w:line="240" w:lineRule="auto"/>
              <w:jc w:val="center"/>
              <w:rPr>
                <w:sz w:val="16"/>
                <w:szCs w:val="16"/>
              </w:rPr>
            </w:pPr>
          </w:p>
        </w:tc>
        <w:tc>
          <w:tcPr>
            <w:tcW w:w="569" w:type="dxa"/>
            <w:vAlign w:val="center"/>
          </w:tcPr>
          <w:p w14:paraId="63639F48" w14:textId="17540BC5" w:rsidR="00E735B9" w:rsidRPr="00E735B9" w:rsidRDefault="00E735B9" w:rsidP="00E735B9">
            <w:pPr>
              <w:pStyle w:val="ListParagraph"/>
              <w:numPr>
                <w:ilvl w:val="0"/>
                <w:numId w:val="46"/>
              </w:numPr>
              <w:spacing w:line="240" w:lineRule="auto"/>
              <w:rPr>
                <w:sz w:val="16"/>
                <w:szCs w:val="16"/>
              </w:rPr>
            </w:pPr>
          </w:p>
          <w:p w14:paraId="6031D514" w14:textId="20330B47" w:rsidR="00EC489D" w:rsidRPr="008D6400" w:rsidRDefault="00EC489D" w:rsidP="00450F1F">
            <w:pPr>
              <w:spacing w:line="240" w:lineRule="auto"/>
              <w:jc w:val="left"/>
              <w:rPr>
                <w:sz w:val="16"/>
                <w:szCs w:val="16"/>
              </w:rPr>
            </w:pPr>
          </w:p>
        </w:tc>
        <w:tc>
          <w:tcPr>
            <w:tcW w:w="9214" w:type="dxa"/>
            <w:vAlign w:val="center"/>
          </w:tcPr>
          <w:p w14:paraId="72C84D35" w14:textId="1A029169" w:rsidR="00EC489D" w:rsidRPr="008D6400" w:rsidRDefault="00EC489D" w:rsidP="00DD4311">
            <w:pPr>
              <w:spacing w:line="240" w:lineRule="auto"/>
              <w:jc w:val="left"/>
              <w:rPr>
                <w:sz w:val="16"/>
                <w:szCs w:val="16"/>
              </w:rPr>
            </w:pPr>
            <w:r w:rsidRPr="008D6400">
              <w:rPr>
                <w:sz w:val="16"/>
                <w:szCs w:val="16"/>
              </w:rPr>
              <w:t>Proportion of patients with acute RTIs given the duration in days of oral antibiotics recommended in the WHO AWaRe Antibiotic Book</w:t>
            </w:r>
          </w:p>
        </w:tc>
      </w:tr>
      <w:tr w:rsidR="00EC489D" w:rsidRPr="008D6400" w14:paraId="25E894F6" w14:textId="77777777" w:rsidTr="00450F1F">
        <w:tc>
          <w:tcPr>
            <w:tcW w:w="991" w:type="dxa"/>
            <w:vMerge/>
            <w:vAlign w:val="center"/>
          </w:tcPr>
          <w:p w14:paraId="01389545" w14:textId="77777777" w:rsidR="00EC489D" w:rsidRPr="008D6400" w:rsidRDefault="00EC489D" w:rsidP="00DD4311">
            <w:pPr>
              <w:spacing w:line="240" w:lineRule="auto"/>
              <w:jc w:val="center"/>
              <w:rPr>
                <w:sz w:val="16"/>
                <w:szCs w:val="16"/>
              </w:rPr>
            </w:pPr>
          </w:p>
        </w:tc>
        <w:tc>
          <w:tcPr>
            <w:tcW w:w="569" w:type="dxa"/>
            <w:vAlign w:val="center"/>
          </w:tcPr>
          <w:p w14:paraId="72C339B3" w14:textId="4AAB37F0" w:rsidR="00EC489D" w:rsidRPr="00E735B9" w:rsidRDefault="00EC489D" w:rsidP="00E735B9">
            <w:pPr>
              <w:pStyle w:val="ListParagraph"/>
              <w:numPr>
                <w:ilvl w:val="0"/>
                <w:numId w:val="46"/>
              </w:numPr>
              <w:spacing w:line="240" w:lineRule="auto"/>
              <w:rPr>
                <w:sz w:val="16"/>
                <w:szCs w:val="16"/>
              </w:rPr>
            </w:pPr>
          </w:p>
        </w:tc>
        <w:tc>
          <w:tcPr>
            <w:tcW w:w="9214" w:type="dxa"/>
            <w:vAlign w:val="center"/>
          </w:tcPr>
          <w:p w14:paraId="46898CBA" w14:textId="77777777" w:rsidR="00EC489D" w:rsidRPr="008D6400" w:rsidRDefault="00EC489D" w:rsidP="00DD4311">
            <w:pPr>
              <w:spacing w:line="240" w:lineRule="auto"/>
              <w:jc w:val="left"/>
              <w:rPr>
                <w:sz w:val="16"/>
                <w:szCs w:val="16"/>
              </w:rPr>
            </w:pPr>
            <w:r w:rsidRPr="008D6400">
              <w:rPr>
                <w:sz w:val="16"/>
                <w:szCs w:val="16"/>
              </w:rPr>
              <w:t>Proportion of patients with bacterial RTIs given oral Access or Watch antibiotics</w:t>
            </w:r>
          </w:p>
        </w:tc>
      </w:tr>
      <w:tr w:rsidR="00EC489D" w:rsidRPr="008D6400" w14:paraId="392E7C35" w14:textId="77777777" w:rsidTr="00450F1F">
        <w:tc>
          <w:tcPr>
            <w:tcW w:w="991" w:type="dxa"/>
            <w:vMerge/>
            <w:vAlign w:val="center"/>
          </w:tcPr>
          <w:p w14:paraId="66A76F97" w14:textId="77777777" w:rsidR="00EC489D" w:rsidRPr="008D6400" w:rsidRDefault="00EC489D" w:rsidP="00DD4311">
            <w:pPr>
              <w:spacing w:line="240" w:lineRule="auto"/>
              <w:jc w:val="center"/>
              <w:rPr>
                <w:sz w:val="16"/>
                <w:szCs w:val="16"/>
              </w:rPr>
            </w:pPr>
          </w:p>
        </w:tc>
        <w:tc>
          <w:tcPr>
            <w:tcW w:w="569" w:type="dxa"/>
            <w:vAlign w:val="center"/>
          </w:tcPr>
          <w:p w14:paraId="4070E5F9" w14:textId="01779252" w:rsidR="00EC489D" w:rsidRPr="008D6400" w:rsidRDefault="00EC489D" w:rsidP="00E735B9">
            <w:pPr>
              <w:pStyle w:val="ListParagraph"/>
              <w:numPr>
                <w:ilvl w:val="0"/>
                <w:numId w:val="46"/>
              </w:numPr>
              <w:spacing w:after="0" w:line="240" w:lineRule="auto"/>
              <w:contextualSpacing w:val="0"/>
              <w:rPr>
                <w:sz w:val="16"/>
                <w:szCs w:val="16"/>
              </w:rPr>
            </w:pPr>
          </w:p>
        </w:tc>
        <w:tc>
          <w:tcPr>
            <w:tcW w:w="9214" w:type="dxa"/>
            <w:vAlign w:val="center"/>
          </w:tcPr>
          <w:p w14:paraId="46334D6F" w14:textId="6F91192C" w:rsidR="00EC489D" w:rsidRPr="008D6400" w:rsidRDefault="00EC489D" w:rsidP="00DD4311">
            <w:pPr>
              <w:spacing w:line="240" w:lineRule="auto"/>
              <w:jc w:val="left"/>
              <w:rPr>
                <w:sz w:val="16"/>
                <w:szCs w:val="16"/>
              </w:rPr>
            </w:pPr>
            <w:r w:rsidRPr="008D6400">
              <w:rPr>
                <w:sz w:val="16"/>
                <w:szCs w:val="16"/>
              </w:rPr>
              <w:t>Proportion of patients (no relevant comorbidities) presenting with acute cough, who met WHO AWaRe guidelines for antibiotic prescription</w:t>
            </w:r>
          </w:p>
        </w:tc>
      </w:tr>
      <w:tr w:rsidR="00EC489D" w:rsidRPr="008D6400" w14:paraId="19B4F0AD" w14:textId="77777777" w:rsidTr="00450F1F">
        <w:tc>
          <w:tcPr>
            <w:tcW w:w="991" w:type="dxa"/>
            <w:vMerge/>
            <w:vAlign w:val="center"/>
          </w:tcPr>
          <w:p w14:paraId="475FD1C6" w14:textId="77777777" w:rsidR="00EC489D" w:rsidRPr="008D6400" w:rsidRDefault="00EC489D" w:rsidP="00DD4311">
            <w:pPr>
              <w:spacing w:line="240" w:lineRule="auto"/>
              <w:jc w:val="center"/>
              <w:rPr>
                <w:sz w:val="16"/>
                <w:szCs w:val="16"/>
              </w:rPr>
            </w:pPr>
          </w:p>
        </w:tc>
        <w:tc>
          <w:tcPr>
            <w:tcW w:w="569" w:type="dxa"/>
            <w:vAlign w:val="center"/>
          </w:tcPr>
          <w:p w14:paraId="41FF6E93" w14:textId="43468D6F" w:rsidR="00EC489D" w:rsidRPr="00E735B9" w:rsidRDefault="00EC489D" w:rsidP="00E735B9">
            <w:pPr>
              <w:pStyle w:val="ListParagraph"/>
              <w:numPr>
                <w:ilvl w:val="0"/>
                <w:numId w:val="46"/>
              </w:numPr>
              <w:spacing w:line="240" w:lineRule="auto"/>
              <w:rPr>
                <w:sz w:val="16"/>
                <w:szCs w:val="16"/>
              </w:rPr>
            </w:pPr>
          </w:p>
        </w:tc>
        <w:tc>
          <w:tcPr>
            <w:tcW w:w="9214" w:type="dxa"/>
            <w:vAlign w:val="center"/>
          </w:tcPr>
          <w:p w14:paraId="7F41C87A" w14:textId="2C7F9762" w:rsidR="00EC489D" w:rsidRPr="008D6400" w:rsidRDefault="00EC489D" w:rsidP="00DD4311">
            <w:pPr>
              <w:spacing w:line="240" w:lineRule="auto"/>
              <w:jc w:val="left"/>
              <w:rPr>
                <w:sz w:val="16"/>
                <w:szCs w:val="16"/>
              </w:rPr>
            </w:pPr>
            <w:r w:rsidRPr="008D6400">
              <w:rPr>
                <w:sz w:val="16"/>
                <w:szCs w:val="16"/>
              </w:rPr>
              <w:t>Proportion of patients (no relevant comorbidities) presenting with acute cough prescribed Access antibiotics</w:t>
            </w:r>
          </w:p>
        </w:tc>
      </w:tr>
      <w:tr w:rsidR="00EC489D" w:rsidRPr="008D6400" w14:paraId="5E209509" w14:textId="77777777" w:rsidTr="00450F1F">
        <w:tc>
          <w:tcPr>
            <w:tcW w:w="991" w:type="dxa"/>
            <w:vMerge/>
            <w:vAlign w:val="center"/>
          </w:tcPr>
          <w:p w14:paraId="4D81D62B" w14:textId="77777777" w:rsidR="00EC489D" w:rsidRPr="008D6400" w:rsidRDefault="00EC489D" w:rsidP="00DD4311">
            <w:pPr>
              <w:spacing w:line="240" w:lineRule="auto"/>
              <w:jc w:val="center"/>
              <w:rPr>
                <w:sz w:val="16"/>
                <w:szCs w:val="16"/>
              </w:rPr>
            </w:pPr>
          </w:p>
        </w:tc>
        <w:tc>
          <w:tcPr>
            <w:tcW w:w="569" w:type="dxa"/>
            <w:vAlign w:val="center"/>
          </w:tcPr>
          <w:p w14:paraId="090207BE" w14:textId="79B596EC" w:rsidR="00EC489D" w:rsidRPr="00E735B9" w:rsidRDefault="00EC489D" w:rsidP="00E735B9">
            <w:pPr>
              <w:pStyle w:val="ListParagraph"/>
              <w:numPr>
                <w:ilvl w:val="0"/>
                <w:numId w:val="46"/>
              </w:numPr>
              <w:spacing w:line="240" w:lineRule="auto"/>
              <w:rPr>
                <w:sz w:val="16"/>
                <w:szCs w:val="16"/>
              </w:rPr>
            </w:pPr>
          </w:p>
        </w:tc>
        <w:tc>
          <w:tcPr>
            <w:tcW w:w="9214" w:type="dxa"/>
            <w:vAlign w:val="center"/>
          </w:tcPr>
          <w:p w14:paraId="2DEFA884" w14:textId="35DF61BE" w:rsidR="00EC489D" w:rsidRPr="008D6400" w:rsidRDefault="00EC489D" w:rsidP="00DD4311">
            <w:pPr>
              <w:spacing w:line="240" w:lineRule="auto"/>
              <w:jc w:val="left"/>
              <w:rPr>
                <w:sz w:val="16"/>
                <w:szCs w:val="16"/>
              </w:rPr>
            </w:pPr>
            <w:r w:rsidRPr="008D6400">
              <w:rPr>
                <w:sz w:val="16"/>
                <w:szCs w:val="16"/>
              </w:rPr>
              <w:t>Proportion of patients (no relevant comorbidities) presenting with acute cough prescribed Watch antibiotics</w:t>
            </w:r>
          </w:p>
        </w:tc>
      </w:tr>
      <w:tr w:rsidR="00EC489D" w:rsidRPr="008D6400" w14:paraId="18269138" w14:textId="77777777" w:rsidTr="00450F1F">
        <w:tc>
          <w:tcPr>
            <w:tcW w:w="991" w:type="dxa"/>
            <w:vMerge/>
            <w:vAlign w:val="center"/>
          </w:tcPr>
          <w:p w14:paraId="2302663E" w14:textId="77777777" w:rsidR="00EC489D" w:rsidRPr="008D6400" w:rsidRDefault="00EC489D" w:rsidP="00DD4311">
            <w:pPr>
              <w:spacing w:line="240" w:lineRule="auto"/>
              <w:jc w:val="center"/>
              <w:rPr>
                <w:sz w:val="16"/>
                <w:szCs w:val="16"/>
              </w:rPr>
            </w:pPr>
          </w:p>
        </w:tc>
        <w:tc>
          <w:tcPr>
            <w:tcW w:w="569" w:type="dxa"/>
            <w:vAlign w:val="center"/>
          </w:tcPr>
          <w:p w14:paraId="2E19288C" w14:textId="6486BF24" w:rsidR="00EC489D" w:rsidRPr="00E735B9" w:rsidRDefault="00EC489D" w:rsidP="00E735B9">
            <w:pPr>
              <w:pStyle w:val="ListParagraph"/>
              <w:numPr>
                <w:ilvl w:val="0"/>
                <w:numId w:val="46"/>
              </w:numPr>
              <w:spacing w:line="240" w:lineRule="auto"/>
              <w:rPr>
                <w:sz w:val="16"/>
                <w:szCs w:val="16"/>
              </w:rPr>
            </w:pPr>
          </w:p>
        </w:tc>
        <w:tc>
          <w:tcPr>
            <w:tcW w:w="9214" w:type="dxa"/>
            <w:vAlign w:val="center"/>
          </w:tcPr>
          <w:p w14:paraId="16355C67" w14:textId="32C9F289" w:rsidR="00EC489D" w:rsidRPr="008D6400" w:rsidRDefault="00EC489D" w:rsidP="00DD4311">
            <w:pPr>
              <w:spacing w:line="240" w:lineRule="auto"/>
              <w:jc w:val="left"/>
              <w:rPr>
                <w:sz w:val="16"/>
                <w:szCs w:val="16"/>
              </w:rPr>
            </w:pPr>
            <w:r w:rsidRPr="008D6400">
              <w:rPr>
                <w:sz w:val="16"/>
                <w:szCs w:val="16"/>
              </w:rPr>
              <w:t xml:space="preserve">Proportion of acute cough cases with documented bacterial indications (clinical justification for antibiotic use where the documented signs are suggestive of bacterial infection e.g., fever &gt; 38°C, purulent sputum, </w:t>
            </w:r>
            <w:r w:rsidR="0065342B" w:rsidRPr="008D6400">
              <w:rPr>
                <w:sz w:val="16"/>
                <w:szCs w:val="16"/>
              </w:rPr>
              <w:t>dyspnea</w:t>
            </w:r>
            <w:r w:rsidRPr="008D6400">
              <w:rPr>
                <w:sz w:val="16"/>
                <w:szCs w:val="16"/>
              </w:rPr>
              <w:t>, or suspected pneumonia)</w:t>
            </w:r>
          </w:p>
        </w:tc>
      </w:tr>
      <w:tr w:rsidR="00EC489D" w:rsidRPr="008D6400" w14:paraId="6FE72F17" w14:textId="77777777" w:rsidTr="00450F1F">
        <w:tc>
          <w:tcPr>
            <w:tcW w:w="991" w:type="dxa"/>
            <w:vMerge w:val="restart"/>
            <w:vAlign w:val="center"/>
          </w:tcPr>
          <w:p w14:paraId="1A9DD4DB" w14:textId="5DAF7B79" w:rsidR="00EC489D" w:rsidRPr="008D6400" w:rsidRDefault="00EC489D" w:rsidP="00DD4311">
            <w:pPr>
              <w:spacing w:line="240" w:lineRule="auto"/>
              <w:jc w:val="center"/>
              <w:rPr>
                <w:sz w:val="16"/>
                <w:szCs w:val="16"/>
              </w:rPr>
            </w:pPr>
            <w:r w:rsidRPr="008D6400">
              <w:rPr>
                <w:b/>
                <w:bCs/>
                <w:sz w:val="16"/>
                <w:szCs w:val="16"/>
              </w:rPr>
              <w:t>L</w:t>
            </w:r>
            <w:r w:rsidR="00A85421" w:rsidRPr="008D6400">
              <w:rPr>
                <w:b/>
                <w:bCs/>
                <w:sz w:val="16"/>
                <w:szCs w:val="16"/>
              </w:rPr>
              <w:t>UTI</w:t>
            </w:r>
            <w:r w:rsidRPr="008D6400">
              <w:rPr>
                <w:b/>
                <w:bCs/>
                <w:sz w:val="16"/>
                <w:szCs w:val="16"/>
              </w:rPr>
              <w:t xml:space="preserve"> (n=6; 54.5%)</w:t>
            </w:r>
          </w:p>
        </w:tc>
        <w:tc>
          <w:tcPr>
            <w:tcW w:w="569" w:type="dxa"/>
            <w:vAlign w:val="center"/>
          </w:tcPr>
          <w:p w14:paraId="33FBA249" w14:textId="2D30EDDA" w:rsidR="00EC489D" w:rsidRPr="00E735B9" w:rsidRDefault="00EC489D" w:rsidP="00E735B9">
            <w:pPr>
              <w:pStyle w:val="ListParagraph"/>
              <w:numPr>
                <w:ilvl w:val="0"/>
                <w:numId w:val="46"/>
              </w:numPr>
              <w:spacing w:line="240" w:lineRule="auto"/>
              <w:rPr>
                <w:sz w:val="16"/>
                <w:szCs w:val="16"/>
              </w:rPr>
            </w:pPr>
          </w:p>
        </w:tc>
        <w:tc>
          <w:tcPr>
            <w:tcW w:w="9214" w:type="dxa"/>
            <w:vAlign w:val="center"/>
          </w:tcPr>
          <w:p w14:paraId="578DA45C" w14:textId="125B84FD" w:rsidR="00EC489D" w:rsidRPr="008D6400" w:rsidRDefault="00EC489D" w:rsidP="00DD4311">
            <w:pPr>
              <w:spacing w:line="240" w:lineRule="auto"/>
              <w:jc w:val="left"/>
              <w:rPr>
                <w:sz w:val="16"/>
                <w:szCs w:val="16"/>
              </w:rPr>
            </w:pPr>
            <w:r w:rsidRPr="008D6400">
              <w:rPr>
                <w:sz w:val="16"/>
                <w:szCs w:val="16"/>
              </w:rPr>
              <w:t xml:space="preserve">Proportion of patients presenting with </w:t>
            </w:r>
            <w:r w:rsidR="0082290A">
              <w:rPr>
                <w:sz w:val="16"/>
                <w:szCs w:val="16"/>
              </w:rPr>
              <w:t>L</w:t>
            </w:r>
            <w:r w:rsidRPr="008D6400">
              <w:rPr>
                <w:sz w:val="16"/>
                <w:szCs w:val="16"/>
              </w:rPr>
              <w:t>UTI given an antibiotic.</w:t>
            </w:r>
          </w:p>
        </w:tc>
      </w:tr>
      <w:tr w:rsidR="00EC489D" w:rsidRPr="008D6400" w14:paraId="70FF1811" w14:textId="77777777" w:rsidTr="00450F1F">
        <w:tc>
          <w:tcPr>
            <w:tcW w:w="991" w:type="dxa"/>
            <w:vMerge/>
            <w:vAlign w:val="center"/>
          </w:tcPr>
          <w:p w14:paraId="1306851C" w14:textId="77777777" w:rsidR="00EC489D" w:rsidRPr="008D6400" w:rsidRDefault="00EC489D" w:rsidP="00DD4311">
            <w:pPr>
              <w:spacing w:line="240" w:lineRule="auto"/>
              <w:jc w:val="center"/>
              <w:rPr>
                <w:sz w:val="16"/>
                <w:szCs w:val="16"/>
              </w:rPr>
            </w:pPr>
          </w:p>
        </w:tc>
        <w:tc>
          <w:tcPr>
            <w:tcW w:w="569" w:type="dxa"/>
            <w:vAlign w:val="center"/>
          </w:tcPr>
          <w:p w14:paraId="7C2D5178" w14:textId="00FEE66B" w:rsidR="00EC489D" w:rsidRPr="00E735B9" w:rsidRDefault="00EC489D" w:rsidP="00E735B9">
            <w:pPr>
              <w:pStyle w:val="ListParagraph"/>
              <w:numPr>
                <w:ilvl w:val="0"/>
                <w:numId w:val="46"/>
              </w:numPr>
              <w:spacing w:line="240" w:lineRule="auto"/>
              <w:rPr>
                <w:sz w:val="16"/>
                <w:szCs w:val="16"/>
              </w:rPr>
            </w:pPr>
          </w:p>
        </w:tc>
        <w:tc>
          <w:tcPr>
            <w:tcW w:w="9214" w:type="dxa"/>
            <w:shd w:val="clear" w:color="auto" w:fill="FFFFFF" w:themeFill="background1"/>
            <w:vAlign w:val="center"/>
          </w:tcPr>
          <w:p w14:paraId="719B61AD" w14:textId="560DCA8D" w:rsidR="00EC489D" w:rsidRPr="008D6400" w:rsidRDefault="00EC489D" w:rsidP="00DD4311">
            <w:pPr>
              <w:spacing w:line="240" w:lineRule="auto"/>
              <w:jc w:val="left"/>
              <w:rPr>
                <w:sz w:val="16"/>
                <w:szCs w:val="16"/>
              </w:rPr>
            </w:pPr>
            <w:r w:rsidRPr="008D6400">
              <w:rPr>
                <w:sz w:val="16"/>
                <w:szCs w:val="16"/>
              </w:rPr>
              <w:t xml:space="preserve">Proportion of low-risk patients* with positive urine test (positive urine leucocytes/leucocyte esterase or positive urine culture), but no UTI symptoms (e.g., no dysuria, no increased urinary urgency and frequency, no lower abdominal pain or discomfort or sometimes visible </w:t>
            </w:r>
            <w:r w:rsidR="0065342B" w:rsidRPr="008D6400">
              <w:rPr>
                <w:sz w:val="16"/>
                <w:szCs w:val="16"/>
              </w:rPr>
              <w:t>hematuria</w:t>
            </w:r>
            <w:r w:rsidRPr="008D6400">
              <w:rPr>
                <w:sz w:val="16"/>
                <w:szCs w:val="16"/>
              </w:rPr>
              <w:t>), given antibiotics</w:t>
            </w:r>
          </w:p>
        </w:tc>
      </w:tr>
      <w:tr w:rsidR="00EC489D" w:rsidRPr="008D6400" w14:paraId="4579AFD8" w14:textId="77777777" w:rsidTr="00450F1F">
        <w:tc>
          <w:tcPr>
            <w:tcW w:w="991" w:type="dxa"/>
            <w:vMerge/>
            <w:vAlign w:val="center"/>
          </w:tcPr>
          <w:p w14:paraId="054B2583" w14:textId="77777777" w:rsidR="00EC489D" w:rsidRPr="008D6400" w:rsidRDefault="00EC489D" w:rsidP="00DD4311">
            <w:pPr>
              <w:spacing w:line="240" w:lineRule="auto"/>
              <w:jc w:val="center"/>
              <w:rPr>
                <w:sz w:val="16"/>
                <w:szCs w:val="16"/>
              </w:rPr>
            </w:pPr>
          </w:p>
        </w:tc>
        <w:tc>
          <w:tcPr>
            <w:tcW w:w="569" w:type="dxa"/>
            <w:vAlign w:val="center"/>
          </w:tcPr>
          <w:p w14:paraId="2EEAC445" w14:textId="098DEDA9" w:rsidR="00EC489D" w:rsidRPr="00E735B9" w:rsidRDefault="00EC489D" w:rsidP="00E735B9">
            <w:pPr>
              <w:pStyle w:val="ListParagraph"/>
              <w:numPr>
                <w:ilvl w:val="0"/>
                <w:numId w:val="46"/>
              </w:numPr>
              <w:spacing w:line="240" w:lineRule="auto"/>
              <w:rPr>
                <w:sz w:val="16"/>
                <w:szCs w:val="16"/>
              </w:rPr>
            </w:pPr>
          </w:p>
        </w:tc>
        <w:tc>
          <w:tcPr>
            <w:tcW w:w="9214" w:type="dxa"/>
            <w:vAlign w:val="center"/>
          </w:tcPr>
          <w:p w14:paraId="7F784EF3" w14:textId="336E2AF7" w:rsidR="00EC489D" w:rsidRPr="008D6400" w:rsidRDefault="00EC489D" w:rsidP="00DD4311">
            <w:pPr>
              <w:spacing w:line="240" w:lineRule="auto"/>
              <w:jc w:val="left"/>
              <w:rPr>
                <w:sz w:val="16"/>
                <w:szCs w:val="16"/>
              </w:rPr>
            </w:pPr>
            <w:r w:rsidRPr="008D6400">
              <w:rPr>
                <w:sz w:val="16"/>
                <w:szCs w:val="16"/>
              </w:rPr>
              <w:t xml:space="preserve">Proportion of patients presenting with </w:t>
            </w:r>
            <w:r w:rsidR="0082290A">
              <w:rPr>
                <w:sz w:val="16"/>
                <w:szCs w:val="16"/>
              </w:rPr>
              <w:t>L</w:t>
            </w:r>
            <w:r w:rsidRPr="008D6400">
              <w:rPr>
                <w:sz w:val="16"/>
                <w:szCs w:val="16"/>
              </w:rPr>
              <w:t>UTI given any Access antibiotic</w:t>
            </w:r>
          </w:p>
        </w:tc>
      </w:tr>
      <w:tr w:rsidR="00EC489D" w:rsidRPr="008D6400" w14:paraId="6DDD7C66" w14:textId="77777777" w:rsidTr="00450F1F">
        <w:tc>
          <w:tcPr>
            <w:tcW w:w="991" w:type="dxa"/>
            <w:vMerge/>
            <w:vAlign w:val="center"/>
          </w:tcPr>
          <w:p w14:paraId="685BDD23" w14:textId="77777777" w:rsidR="00EC489D" w:rsidRPr="008D6400" w:rsidRDefault="00EC489D" w:rsidP="00DD4311">
            <w:pPr>
              <w:spacing w:line="240" w:lineRule="auto"/>
              <w:jc w:val="center"/>
              <w:rPr>
                <w:sz w:val="16"/>
                <w:szCs w:val="16"/>
              </w:rPr>
            </w:pPr>
          </w:p>
        </w:tc>
        <w:tc>
          <w:tcPr>
            <w:tcW w:w="569" w:type="dxa"/>
            <w:vAlign w:val="center"/>
          </w:tcPr>
          <w:p w14:paraId="273F8898" w14:textId="5F48ADD8" w:rsidR="00EC489D" w:rsidRPr="00E735B9" w:rsidRDefault="00EC489D" w:rsidP="00E735B9">
            <w:pPr>
              <w:pStyle w:val="ListParagraph"/>
              <w:numPr>
                <w:ilvl w:val="0"/>
                <w:numId w:val="46"/>
              </w:numPr>
              <w:spacing w:line="240" w:lineRule="auto"/>
              <w:rPr>
                <w:sz w:val="16"/>
                <w:szCs w:val="16"/>
              </w:rPr>
            </w:pPr>
          </w:p>
        </w:tc>
        <w:tc>
          <w:tcPr>
            <w:tcW w:w="9214" w:type="dxa"/>
            <w:vAlign w:val="center"/>
          </w:tcPr>
          <w:p w14:paraId="4B67F2E1" w14:textId="6F32F9D9" w:rsidR="00EC489D" w:rsidRPr="008D6400" w:rsidRDefault="00EC489D" w:rsidP="00DD4311">
            <w:pPr>
              <w:spacing w:line="240" w:lineRule="auto"/>
              <w:jc w:val="left"/>
              <w:rPr>
                <w:sz w:val="16"/>
                <w:szCs w:val="16"/>
              </w:rPr>
            </w:pPr>
            <w:r w:rsidRPr="008D6400">
              <w:rPr>
                <w:sz w:val="16"/>
                <w:szCs w:val="16"/>
              </w:rPr>
              <w:t xml:space="preserve">Proportion of patients with </w:t>
            </w:r>
            <w:r w:rsidR="0082290A">
              <w:rPr>
                <w:sz w:val="16"/>
                <w:szCs w:val="16"/>
              </w:rPr>
              <w:t>L</w:t>
            </w:r>
            <w:r w:rsidR="0082290A" w:rsidRPr="008D6400">
              <w:rPr>
                <w:sz w:val="16"/>
                <w:szCs w:val="16"/>
              </w:rPr>
              <w:t>UTI</w:t>
            </w:r>
            <w:r w:rsidRPr="008D6400">
              <w:rPr>
                <w:sz w:val="16"/>
                <w:szCs w:val="16"/>
              </w:rPr>
              <w:t xml:space="preserve"> given oral Watch antibiotics</w:t>
            </w:r>
          </w:p>
        </w:tc>
      </w:tr>
      <w:tr w:rsidR="00EC489D" w:rsidRPr="008D6400" w14:paraId="428E697A" w14:textId="77777777" w:rsidTr="00450F1F">
        <w:tc>
          <w:tcPr>
            <w:tcW w:w="991" w:type="dxa"/>
            <w:vMerge/>
            <w:vAlign w:val="center"/>
          </w:tcPr>
          <w:p w14:paraId="64FA4D03" w14:textId="77777777" w:rsidR="00EC489D" w:rsidRPr="008D6400" w:rsidRDefault="00EC489D" w:rsidP="00DD4311">
            <w:pPr>
              <w:spacing w:line="240" w:lineRule="auto"/>
              <w:jc w:val="center"/>
              <w:rPr>
                <w:sz w:val="16"/>
                <w:szCs w:val="16"/>
              </w:rPr>
            </w:pPr>
          </w:p>
        </w:tc>
        <w:tc>
          <w:tcPr>
            <w:tcW w:w="569" w:type="dxa"/>
            <w:vAlign w:val="center"/>
          </w:tcPr>
          <w:p w14:paraId="716964F2" w14:textId="42C6D5E7" w:rsidR="00EC489D" w:rsidRPr="00E735B9" w:rsidRDefault="00EC489D" w:rsidP="00E735B9">
            <w:pPr>
              <w:pStyle w:val="ListParagraph"/>
              <w:numPr>
                <w:ilvl w:val="0"/>
                <w:numId w:val="46"/>
              </w:numPr>
              <w:spacing w:line="240" w:lineRule="auto"/>
              <w:rPr>
                <w:sz w:val="16"/>
                <w:szCs w:val="16"/>
              </w:rPr>
            </w:pPr>
          </w:p>
        </w:tc>
        <w:tc>
          <w:tcPr>
            <w:tcW w:w="9214" w:type="dxa"/>
            <w:vAlign w:val="center"/>
          </w:tcPr>
          <w:p w14:paraId="73529797" w14:textId="70E2E309" w:rsidR="00EC489D" w:rsidRPr="008D6400" w:rsidRDefault="00EC489D" w:rsidP="00DD4311">
            <w:pPr>
              <w:spacing w:line="240" w:lineRule="auto"/>
              <w:jc w:val="left"/>
              <w:rPr>
                <w:sz w:val="16"/>
                <w:szCs w:val="16"/>
              </w:rPr>
            </w:pPr>
            <w:r w:rsidRPr="008D6400">
              <w:rPr>
                <w:sz w:val="16"/>
                <w:szCs w:val="16"/>
              </w:rPr>
              <w:t xml:space="preserve">Proportion of patients presenting with </w:t>
            </w:r>
            <w:r w:rsidR="0082290A">
              <w:rPr>
                <w:sz w:val="16"/>
                <w:szCs w:val="16"/>
              </w:rPr>
              <w:t>L</w:t>
            </w:r>
            <w:r w:rsidR="0082290A" w:rsidRPr="008D6400">
              <w:rPr>
                <w:sz w:val="16"/>
                <w:szCs w:val="16"/>
              </w:rPr>
              <w:t>UTI</w:t>
            </w:r>
            <w:r w:rsidR="0082290A">
              <w:rPr>
                <w:sz w:val="16"/>
                <w:szCs w:val="16"/>
              </w:rPr>
              <w:t>s</w:t>
            </w:r>
            <w:r w:rsidRPr="008D6400">
              <w:rPr>
                <w:sz w:val="16"/>
                <w:szCs w:val="16"/>
              </w:rPr>
              <w:t xml:space="preserve"> given the duration in days of antibiotics recommended in the WHO AWaRe Antibiotic Book</w:t>
            </w:r>
          </w:p>
        </w:tc>
      </w:tr>
      <w:tr w:rsidR="00EC489D" w:rsidRPr="008D6400" w14:paraId="53730C60" w14:textId="77777777" w:rsidTr="00450F1F">
        <w:tc>
          <w:tcPr>
            <w:tcW w:w="991" w:type="dxa"/>
            <w:vMerge/>
            <w:vAlign w:val="center"/>
          </w:tcPr>
          <w:p w14:paraId="6C713D44" w14:textId="77777777" w:rsidR="00EC489D" w:rsidRPr="008D6400" w:rsidRDefault="00EC489D" w:rsidP="00DD4311">
            <w:pPr>
              <w:spacing w:line="240" w:lineRule="auto"/>
              <w:jc w:val="center"/>
              <w:rPr>
                <w:sz w:val="16"/>
                <w:szCs w:val="16"/>
              </w:rPr>
            </w:pPr>
          </w:p>
        </w:tc>
        <w:tc>
          <w:tcPr>
            <w:tcW w:w="569" w:type="dxa"/>
            <w:vAlign w:val="center"/>
          </w:tcPr>
          <w:p w14:paraId="4F4852A3" w14:textId="455E473B" w:rsidR="00EC489D" w:rsidRPr="00E735B9" w:rsidRDefault="00EC489D" w:rsidP="00E735B9">
            <w:pPr>
              <w:pStyle w:val="ListParagraph"/>
              <w:numPr>
                <w:ilvl w:val="0"/>
                <w:numId w:val="46"/>
              </w:numPr>
              <w:spacing w:line="240" w:lineRule="auto"/>
              <w:rPr>
                <w:sz w:val="16"/>
                <w:szCs w:val="16"/>
              </w:rPr>
            </w:pPr>
          </w:p>
        </w:tc>
        <w:tc>
          <w:tcPr>
            <w:tcW w:w="9214" w:type="dxa"/>
            <w:vAlign w:val="center"/>
          </w:tcPr>
          <w:p w14:paraId="249717A6" w14:textId="0FD9740E" w:rsidR="00EC489D" w:rsidRPr="008D6400" w:rsidRDefault="00EC489D" w:rsidP="00DD4311">
            <w:pPr>
              <w:spacing w:line="240" w:lineRule="auto"/>
              <w:jc w:val="left"/>
              <w:rPr>
                <w:sz w:val="16"/>
                <w:szCs w:val="16"/>
              </w:rPr>
            </w:pPr>
            <w:r w:rsidRPr="008D6400">
              <w:rPr>
                <w:sz w:val="16"/>
                <w:szCs w:val="16"/>
              </w:rPr>
              <w:t xml:space="preserve">Proportion of patients presenting with </w:t>
            </w:r>
            <w:r w:rsidR="0082290A">
              <w:rPr>
                <w:sz w:val="16"/>
                <w:szCs w:val="16"/>
              </w:rPr>
              <w:t>L</w:t>
            </w:r>
            <w:r w:rsidR="0082290A" w:rsidRPr="008D6400">
              <w:rPr>
                <w:sz w:val="16"/>
                <w:szCs w:val="16"/>
              </w:rPr>
              <w:t>UTI</w:t>
            </w:r>
            <w:r w:rsidRPr="008D6400">
              <w:rPr>
                <w:sz w:val="16"/>
                <w:szCs w:val="16"/>
              </w:rPr>
              <w:t xml:space="preserve"> prescribed the total daily dose of oral antibiotics recommended in the WHO AWaRe Antibiotic Book</w:t>
            </w:r>
          </w:p>
        </w:tc>
      </w:tr>
      <w:tr w:rsidR="00EC489D" w:rsidRPr="008D6400" w14:paraId="366806CF" w14:textId="77777777" w:rsidTr="00450F1F">
        <w:tc>
          <w:tcPr>
            <w:tcW w:w="991" w:type="dxa"/>
            <w:vMerge w:val="restart"/>
            <w:vAlign w:val="center"/>
          </w:tcPr>
          <w:p w14:paraId="7FAEAD3E" w14:textId="24BFBD07" w:rsidR="00EC489D" w:rsidRPr="008D6400" w:rsidRDefault="00EC489D" w:rsidP="00DD4311">
            <w:pPr>
              <w:spacing w:line="240" w:lineRule="auto"/>
              <w:jc w:val="center"/>
              <w:rPr>
                <w:b/>
                <w:bCs/>
                <w:sz w:val="16"/>
                <w:szCs w:val="16"/>
              </w:rPr>
            </w:pPr>
            <w:r w:rsidRPr="008D6400">
              <w:rPr>
                <w:b/>
                <w:bCs/>
                <w:sz w:val="16"/>
                <w:szCs w:val="16"/>
              </w:rPr>
              <w:t>S</w:t>
            </w:r>
            <w:r w:rsidR="00A85421" w:rsidRPr="008D6400">
              <w:rPr>
                <w:b/>
                <w:bCs/>
                <w:sz w:val="16"/>
                <w:szCs w:val="16"/>
              </w:rPr>
              <w:t>STI</w:t>
            </w:r>
            <w:r w:rsidRPr="008D6400">
              <w:rPr>
                <w:b/>
                <w:bCs/>
                <w:sz w:val="16"/>
                <w:szCs w:val="16"/>
              </w:rPr>
              <w:t xml:space="preserve"> (n=11; 84.6%)</w:t>
            </w:r>
          </w:p>
        </w:tc>
        <w:tc>
          <w:tcPr>
            <w:tcW w:w="569" w:type="dxa"/>
            <w:vAlign w:val="center"/>
          </w:tcPr>
          <w:p w14:paraId="6B3912B7" w14:textId="11B2943F" w:rsidR="00EC489D" w:rsidRPr="00E735B9" w:rsidRDefault="00EC489D" w:rsidP="00E735B9">
            <w:pPr>
              <w:pStyle w:val="ListParagraph"/>
              <w:numPr>
                <w:ilvl w:val="0"/>
                <w:numId w:val="46"/>
              </w:numPr>
              <w:spacing w:line="240" w:lineRule="auto"/>
              <w:rPr>
                <w:sz w:val="16"/>
                <w:szCs w:val="16"/>
              </w:rPr>
            </w:pPr>
          </w:p>
        </w:tc>
        <w:tc>
          <w:tcPr>
            <w:tcW w:w="9214" w:type="dxa"/>
            <w:vAlign w:val="center"/>
          </w:tcPr>
          <w:p w14:paraId="078FE59A" w14:textId="244608C4" w:rsidR="00EC489D" w:rsidRPr="008D6400" w:rsidRDefault="00EC489D" w:rsidP="00DD4311">
            <w:pPr>
              <w:spacing w:line="240" w:lineRule="auto"/>
              <w:jc w:val="left"/>
              <w:rPr>
                <w:sz w:val="16"/>
                <w:szCs w:val="16"/>
              </w:rPr>
            </w:pPr>
            <w:r w:rsidRPr="008D6400">
              <w:rPr>
                <w:sz w:val="16"/>
                <w:szCs w:val="16"/>
              </w:rPr>
              <w:t>Proportion of patients presenting with acute lymphadenitis given an oral antibiotic</w:t>
            </w:r>
          </w:p>
        </w:tc>
      </w:tr>
      <w:tr w:rsidR="00EC489D" w:rsidRPr="008D6400" w14:paraId="3C4B19B8" w14:textId="77777777" w:rsidTr="00450F1F">
        <w:tc>
          <w:tcPr>
            <w:tcW w:w="991" w:type="dxa"/>
            <w:vMerge/>
            <w:vAlign w:val="center"/>
          </w:tcPr>
          <w:p w14:paraId="4FDA0013" w14:textId="77777777" w:rsidR="00EC489D" w:rsidRPr="008D6400" w:rsidRDefault="00EC489D" w:rsidP="00DD4311">
            <w:pPr>
              <w:spacing w:line="240" w:lineRule="auto"/>
              <w:jc w:val="center"/>
              <w:rPr>
                <w:sz w:val="16"/>
                <w:szCs w:val="16"/>
              </w:rPr>
            </w:pPr>
          </w:p>
        </w:tc>
        <w:tc>
          <w:tcPr>
            <w:tcW w:w="569" w:type="dxa"/>
            <w:vAlign w:val="center"/>
          </w:tcPr>
          <w:p w14:paraId="7941C0AD" w14:textId="555B941B" w:rsidR="00EC489D" w:rsidRPr="00E735B9" w:rsidRDefault="00EC489D" w:rsidP="00E735B9">
            <w:pPr>
              <w:pStyle w:val="ListParagraph"/>
              <w:numPr>
                <w:ilvl w:val="0"/>
                <w:numId w:val="46"/>
              </w:numPr>
              <w:spacing w:line="240" w:lineRule="auto"/>
              <w:rPr>
                <w:sz w:val="16"/>
                <w:szCs w:val="16"/>
              </w:rPr>
            </w:pPr>
          </w:p>
        </w:tc>
        <w:tc>
          <w:tcPr>
            <w:tcW w:w="9214" w:type="dxa"/>
            <w:vAlign w:val="center"/>
          </w:tcPr>
          <w:p w14:paraId="6A899CA3" w14:textId="2DCB0C37" w:rsidR="00EC489D" w:rsidRPr="008D6400" w:rsidRDefault="00EC489D" w:rsidP="00DD4311">
            <w:pPr>
              <w:spacing w:line="240" w:lineRule="auto"/>
              <w:jc w:val="left"/>
              <w:rPr>
                <w:sz w:val="16"/>
                <w:szCs w:val="16"/>
              </w:rPr>
            </w:pPr>
            <w:r w:rsidRPr="008D6400">
              <w:rPr>
                <w:sz w:val="16"/>
                <w:szCs w:val="16"/>
              </w:rPr>
              <w:t>Proportion of patients presenting with higher risk* (of bacterial infection) acute lymphadenitis given any oral Access antibiotic</w:t>
            </w:r>
          </w:p>
        </w:tc>
      </w:tr>
      <w:tr w:rsidR="00EC489D" w:rsidRPr="008D6400" w14:paraId="16417988" w14:textId="77777777" w:rsidTr="00450F1F">
        <w:tc>
          <w:tcPr>
            <w:tcW w:w="991" w:type="dxa"/>
            <w:vMerge/>
            <w:vAlign w:val="center"/>
          </w:tcPr>
          <w:p w14:paraId="28266F07" w14:textId="77777777" w:rsidR="00EC489D" w:rsidRPr="008D6400" w:rsidRDefault="00EC489D" w:rsidP="00DD4311">
            <w:pPr>
              <w:spacing w:line="240" w:lineRule="auto"/>
              <w:jc w:val="center"/>
              <w:rPr>
                <w:sz w:val="16"/>
                <w:szCs w:val="16"/>
              </w:rPr>
            </w:pPr>
          </w:p>
        </w:tc>
        <w:tc>
          <w:tcPr>
            <w:tcW w:w="569" w:type="dxa"/>
            <w:vAlign w:val="center"/>
          </w:tcPr>
          <w:p w14:paraId="657E2872" w14:textId="0EC07085" w:rsidR="00EC489D" w:rsidRPr="00E735B9" w:rsidRDefault="00EC489D" w:rsidP="00E735B9">
            <w:pPr>
              <w:pStyle w:val="ListParagraph"/>
              <w:numPr>
                <w:ilvl w:val="0"/>
                <w:numId w:val="46"/>
              </w:numPr>
              <w:spacing w:line="240" w:lineRule="auto"/>
              <w:rPr>
                <w:sz w:val="16"/>
                <w:szCs w:val="16"/>
              </w:rPr>
            </w:pPr>
          </w:p>
        </w:tc>
        <w:tc>
          <w:tcPr>
            <w:tcW w:w="9214" w:type="dxa"/>
            <w:vAlign w:val="center"/>
          </w:tcPr>
          <w:p w14:paraId="33E29381" w14:textId="61A0589E" w:rsidR="00EC489D" w:rsidRPr="008D6400" w:rsidRDefault="00EC489D" w:rsidP="00DD4311">
            <w:pPr>
              <w:spacing w:line="240" w:lineRule="auto"/>
              <w:jc w:val="left"/>
              <w:rPr>
                <w:sz w:val="16"/>
                <w:szCs w:val="16"/>
              </w:rPr>
            </w:pPr>
            <w:r w:rsidRPr="008D6400">
              <w:rPr>
                <w:sz w:val="16"/>
                <w:szCs w:val="16"/>
              </w:rPr>
              <w:t>Proportion of patients presenting with higher risk* (of bacterial infection) acute lymphadenitis given any oral Watch antibiotic</w:t>
            </w:r>
          </w:p>
        </w:tc>
      </w:tr>
      <w:tr w:rsidR="00EC489D" w:rsidRPr="008D6400" w14:paraId="635E9FE8" w14:textId="77777777" w:rsidTr="00450F1F">
        <w:tc>
          <w:tcPr>
            <w:tcW w:w="991" w:type="dxa"/>
            <w:vMerge/>
            <w:vAlign w:val="center"/>
          </w:tcPr>
          <w:p w14:paraId="68E01CB0" w14:textId="77777777" w:rsidR="00EC489D" w:rsidRPr="008D6400" w:rsidRDefault="00EC489D" w:rsidP="00DD4311">
            <w:pPr>
              <w:spacing w:line="240" w:lineRule="auto"/>
              <w:jc w:val="center"/>
              <w:rPr>
                <w:sz w:val="16"/>
                <w:szCs w:val="16"/>
              </w:rPr>
            </w:pPr>
          </w:p>
        </w:tc>
        <w:tc>
          <w:tcPr>
            <w:tcW w:w="569" w:type="dxa"/>
            <w:vAlign w:val="center"/>
          </w:tcPr>
          <w:p w14:paraId="78B9744F" w14:textId="2E01B939" w:rsidR="00EC489D" w:rsidRPr="00E735B9" w:rsidRDefault="00EC489D" w:rsidP="00E735B9">
            <w:pPr>
              <w:pStyle w:val="ListParagraph"/>
              <w:numPr>
                <w:ilvl w:val="0"/>
                <w:numId w:val="46"/>
              </w:numPr>
              <w:spacing w:line="240" w:lineRule="auto"/>
              <w:rPr>
                <w:sz w:val="16"/>
                <w:szCs w:val="16"/>
              </w:rPr>
            </w:pPr>
          </w:p>
        </w:tc>
        <w:tc>
          <w:tcPr>
            <w:tcW w:w="9214" w:type="dxa"/>
            <w:vAlign w:val="center"/>
          </w:tcPr>
          <w:p w14:paraId="7DAFFBDF" w14:textId="5F749FE8" w:rsidR="00EC489D" w:rsidRPr="008D6400" w:rsidRDefault="00EC489D" w:rsidP="00DD4311">
            <w:pPr>
              <w:spacing w:line="240" w:lineRule="auto"/>
              <w:jc w:val="left"/>
              <w:rPr>
                <w:sz w:val="16"/>
                <w:szCs w:val="16"/>
              </w:rPr>
            </w:pPr>
            <w:r w:rsidRPr="008D6400">
              <w:rPr>
                <w:sz w:val="16"/>
                <w:szCs w:val="16"/>
              </w:rPr>
              <w:t>Proportion of patients with lower risk (of bacterial infection) acute lymphadenitis given oral antibiotics</w:t>
            </w:r>
          </w:p>
        </w:tc>
      </w:tr>
      <w:tr w:rsidR="00EC489D" w:rsidRPr="008D6400" w14:paraId="560896D8" w14:textId="77777777" w:rsidTr="00450F1F">
        <w:tc>
          <w:tcPr>
            <w:tcW w:w="991" w:type="dxa"/>
            <w:vMerge/>
            <w:vAlign w:val="center"/>
          </w:tcPr>
          <w:p w14:paraId="402977E6" w14:textId="77777777" w:rsidR="00EC489D" w:rsidRPr="008D6400" w:rsidRDefault="00EC489D" w:rsidP="00DD4311">
            <w:pPr>
              <w:spacing w:line="240" w:lineRule="auto"/>
              <w:jc w:val="center"/>
              <w:rPr>
                <w:sz w:val="16"/>
                <w:szCs w:val="16"/>
              </w:rPr>
            </w:pPr>
          </w:p>
        </w:tc>
        <w:tc>
          <w:tcPr>
            <w:tcW w:w="569" w:type="dxa"/>
            <w:vAlign w:val="center"/>
          </w:tcPr>
          <w:p w14:paraId="11E98C9F" w14:textId="714C177F" w:rsidR="00EC489D" w:rsidRPr="00D44063" w:rsidRDefault="00EC489D" w:rsidP="00D44063">
            <w:pPr>
              <w:pStyle w:val="ListParagraph"/>
              <w:numPr>
                <w:ilvl w:val="0"/>
                <w:numId w:val="46"/>
              </w:numPr>
              <w:spacing w:line="240" w:lineRule="auto"/>
              <w:rPr>
                <w:sz w:val="16"/>
                <w:szCs w:val="16"/>
              </w:rPr>
            </w:pPr>
          </w:p>
        </w:tc>
        <w:tc>
          <w:tcPr>
            <w:tcW w:w="9214" w:type="dxa"/>
            <w:vAlign w:val="center"/>
          </w:tcPr>
          <w:p w14:paraId="47C46FFA" w14:textId="18276073" w:rsidR="00EC489D" w:rsidRPr="008D6400" w:rsidRDefault="00EC489D" w:rsidP="00DD4311">
            <w:pPr>
              <w:spacing w:line="240" w:lineRule="auto"/>
              <w:jc w:val="left"/>
              <w:rPr>
                <w:sz w:val="16"/>
                <w:szCs w:val="16"/>
              </w:rPr>
            </w:pPr>
            <w:r w:rsidRPr="008D6400">
              <w:rPr>
                <w:sz w:val="16"/>
                <w:szCs w:val="16"/>
              </w:rPr>
              <w:t>Proportion of patients presenting with acute lymphadenitis given the duration in days of oral antibiotics recommended in the WHO AWaRe Antibiotic Book</w:t>
            </w:r>
          </w:p>
        </w:tc>
      </w:tr>
      <w:tr w:rsidR="00EC489D" w:rsidRPr="008D6400" w14:paraId="0B6B0E94" w14:textId="77777777" w:rsidTr="00450F1F">
        <w:tc>
          <w:tcPr>
            <w:tcW w:w="991" w:type="dxa"/>
            <w:vMerge/>
            <w:vAlign w:val="center"/>
          </w:tcPr>
          <w:p w14:paraId="228FD22F" w14:textId="77777777" w:rsidR="00EC489D" w:rsidRPr="008D6400" w:rsidRDefault="00EC489D" w:rsidP="00DD4311">
            <w:pPr>
              <w:spacing w:line="240" w:lineRule="auto"/>
              <w:jc w:val="center"/>
              <w:rPr>
                <w:sz w:val="16"/>
                <w:szCs w:val="16"/>
              </w:rPr>
            </w:pPr>
          </w:p>
        </w:tc>
        <w:tc>
          <w:tcPr>
            <w:tcW w:w="569" w:type="dxa"/>
            <w:vAlign w:val="center"/>
          </w:tcPr>
          <w:p w14:paraId="027F1644" w14:textId="2D6CC06E" w:rsidR="00EC489D" w:rsidRPr="00D44063" w:rsidRDefault="00EC489D" w:rsidP="00D44063">
            <w:pPr>
              <w:pStyle w:val="ListParagraph"/>
              <w:numPr>
                <w:ilvl w:val="0"/>
                <w:numId w:val="46"/>
              </w:numPr>
              <w:spacing w:line="240" w:lineRule="auto"/>
              <w:rPr>
                <w:sz w:val="16"/>
                <w:szCs w:val="16"/>
              </w:rPr>
            </w:pPr>
          </w:p>
        </w:tc>
        <w:tc>
          <w:tcPr>
            <w:tcW w:w="9214" w:type="dxa"/>
            <w:vAlign w:val="center"/>
          </w:tcPr>
          <w:p w14:paraId="6085E33A" w14:textId="39ABD519" w:rsidR="00EC489D" w:rsidRPr="008D6400" w:rsidRDefault="00EC489D" w:rsidP="00DD4311">
            <w:pPr>
              <w:spacing w:line="240" w:lineRule="auto"/>
              <w:jc w:val="left"/>
              <w:rPr>
                <w:sz w:val="16"/>
                <w:szCs w:val="16"/>
              </w:rPr>
            </w:pPr>
            <w:r w:rsidRPr="008D6400">
              <w:rPr>
                <w:sz w:val="16"/>
                <w:szCs w:val="16"/>
              </w:rPr>
              <w:t>Proportion of patients presenting with acute lymphadenitis prescribed the total daily dose of oral antibiotics recommended in the WHO AWaRe Antibiotic Book</w:t>
            </w:r>
          </w:p>
        </w:tc>
      </w:tr>
      <w:tr w:rsidR="00EC489D" w:rsidRPr="008D6400" w14:paraId="5EC7F887" w14:textId="77777777" w:rsidTr="00450F1F">
        <w:tc>
          <w:tcPr>
            <w:tcW w:w="991" w:type="dxa"/>
            <w:vMerge/>
            <w:vAlign w:val="center"/>
          </w:tcPr>
          <w:p w14:paraId="251AFA77" w14:textId="77777777" w:rsidR="00EC489D" w:rsidRPr="008D6400" w:rsidRDefault="00EC489D" w:rsidP="00DD4311">
            <w:pPr>
              <w:spacing w:line="240" w:lineRule="auto"/>
              <w:jc w:val="center"/>
              <w:rPr>
                <w:sz w:val="16"/>
                <w:szCs w:val="16"/>
              </w:rPr>
            </w:pPr>
          </w:p>
        </w:tc>
        <w:tc>
          <w:tcPr>
            <w:tcW w:w="569" w:type="dxa"/>
            <w:vAlign w:val="center"/>
          </w:tcPr>
          <w:p w14:paraId="170771A3" w14:textId="2637B49B" w:rsidR="00EC489D" w:rsidRPr="00542414" w:rsidRDefault="00D44063" w:rsidP="00542414">
            <w:pPr>
              <w:pStyle w:val="ListParagraph"/>
              <w:numPr>
                <w:ilvl w:val="0"/>
                <w:numId w:val="46"/>
              </w:numPr>
              <w:spacing w:line="240" w:lineRule="auto"/>
              <w:rPr>
                <w:sz w:val="16"/>
                <w:szCs w:val="16"/>
              </w:rPr>
            </w:pPr>
            <w:r w:rsidRPr="00542414">
              <w:rPr>
                <w:sz w:val="16"/>
                <w:szCs w:val="16"/>
              </w:rPr>
              <w:t xml:space="preserve"> </w:t>
            </w:r>
          </w:p>
        </w:tc>
        <w:tc>
          <w:tcPr>
            <w:tcW w:w="9214" w:type="dxa"/>
            <w:vAlign w:val="center"/>
          </w:tcPr>
          <w:p w14:paraId="139F3BDB" w14:textId="10467FB0" w:rsidR="00EC489D" w:rsidRPr="008D6400" w:rsidRDefault="00EC489D" w:rsidP="00DD4311">
            <w:pPr>
              <w:spacing w:line="240" w:lineRule="auto"/>
              <w:jc w:val="left"/>
              <w:rPr>
                <w:sz w:val="16"/>
                <w:szCs w:val="16"/>
              </w:rPr>
            </w:pPr>
            <w:r w:rsidRPr="008D6400">
              <w:rPr>
                <w:sz w:val="16"/>
                <w:szCs w:val="16"/>
              </w:rPr>
              <w:t>Proportion of patients presenting with mild* SSTIs given an oral antibiotic</w:t>
            </w:r>
          </w:p>
        </w:tc>
      </w:tr>
      <w:tr w:rsidR="00EC489D" w:rsidRPr="008D6400" w14:paraId="6014A32F" w14:textId="77777777" w:rsidTr="00450F1F">
        <w:tc>
          <w:tcPr>
            <w:tcW w:w="991" w:type="dxa"/>
            <w:vMerge/>
            <w:vAlign w:val="center"/>
          </w:tcPr>
          <w:p w14:paraId="3896472F" w14:textId="77777777" w:rsidR="00EC489D" w:rsidRPr="008D6400" w:rsidRDefault="00EC489D" w:rsidP="00DD4311">
            <w:pPr>
              <w:spacing w:line="240" w:lineRule="auto"/>
              <w:jc w:val="center"/>
              <w:rPr>
                <w:sz w:val="16"/>
                <w:szCs w:val="16"/>
              </w:rPr>
            </w:pPr>
          </w:p>
        </w:tc>
        <w:tc>
          <w:tcPr>
            <w:tcW w:w="569" w:type="dxa"/>
            <w:vAlign w:val="center"/>
          </w:tcPr>
          <w:p w14:paraId="78359E60" w14:textId="5282D2A7" w:rsidR="00EC489D" w:rsidRPr="00542414" w:rsidRDefault="00EC489D" w:rsidP="00542414">
            <w:pPr>
              <w:pStyle w:val="ListParagraph"/>
              <w:numPr>
                <w:ilvl w:val="0"/>
                <w:numId w:val="46"/>
              </w:numPr>
              <w:spacing w:line="240" w:lineRule="auto"/>
              <w:rPr>
                <w:sz w:val="16"/>
                <w:szCs w:val="16"/>
              </w:rPr>
            </w:pPr>
          </w:p>
        </w:tc>
        <w:tc>
          <w:tcPr>
            <w:tcW w:w="9214" w:type="dxa"/>
            <w:vAlign w:val="center"/>
          </w:tcPr>
          <w:p w14:paraId="3C09D3F1" w14:textId="5BFAB29F" w:rsidR="00EC489D" w:rsidRPr="008D6400" w:rsidRDefault="00EC489D" w:rsidP="00DD4311">
            <w:pPr>
              <w:spacing w:line="240" w:lineRule="auto"/>
              <w:jc w:val="left"/>
              <w:rPr>
                <w:sz w:val="16"/>
                <w:szCs w:val="16"/>
              </w:rPr>
            </w:pPr>
            <w:r w:rsidRPr="008D6400">
              <w:rPr>
                <w:sz w:val="16"/>
                <w:szCs w:val="16"/>
              </w:rPr>
              <w:t xml:space="preserve">Proportion of patients presenting with mild* </w:t>
            </w:r>
            <w:r w:rsidR="00CC697F" w:rsidRPr="008D6400">
              <w:rPr>
                <w:sz w:val="16"/>
                <w:szCs w:val="16"/>
              </w:rPr>
              <w:t>SSTIs</w:t>
            </w:r>
            <w:r w:rsidR="00CC697F">
              <w:rPr>
                <w:sz w:val="16"/>
                <w:szCs w:val="16"/>
              </w:rPr>
              <w:t xml:space="preserve"> </w:t>
            </w:r>
            <w:r w:rsidRPr="008D6400">
              <w:rPr>
                <w:sz w:val="16"/>
                <w:szCs w:val="16"/>
              </w:rPr>
              <w:t>given a topical antibiotic</w:t>
            </w:r>
          </w:p>
        </w:tc>
      </w:tr>
      <w:tr w:rsidR="00EC489D" w:rsidRPr="008D6400" w14:paraId="6399B1F4" w14:textId="77777777" w:rsidTr="00450F1F">
        <w:tc>
          <w:tcPr>
            <w:tcW w:w="991" w:type="dxa"/>
            <w:vMerge/>
            <w:vAlign w:val="center"/>
          </w:tcPr>
          <w:p w14:paraId="12C52BBA" w14:textId="77777777" w:rsidR="00EC489D" w:rsidRPr="008D6400" w:rsidRDefault="00EC489D" w:rsidP="00DD4311">
            <w:pPr>
              <w:spacing w:line="240" w:lineRule="auto"/>
              <w:jc w:val="center"/>
              <w:rPr>
                <w:sz w:val="16"/>
                <w:szCs w:val="16"/>
              </w:rPr>
            </w:pPr>
          </w:p>
        </w:tc>
        <w:tc>
          <w:tcPr>
            <w:tcW w:w="569" w:type="dxa"/>
            <w:vAlign w:val="center"/>
          </w:tcPr>
          <w:p w14:paraId="312B3665" w14:textId="203720EA" w:rsidR="00EC489D" w:rsidRPr="00542414" w:rsidRDefault="00EC489D" w:rsidP="00542414">
            <w:pPr>
              <w:pStyle w:val="ListParagraph"/>
              <w:numPr>
                <w:ilvl w:val="0"/>
                <w:numId w:val="46"/>
              </w:numPr>
              <w:spacing w:line="240" w:lineRule="auto"/>
              <w:rPr>
                <w:sz w:val="16"/>
                <w:szCs w:val="16"/>
              </w:rPr>
            </w:pPr>
          </w:p>
        </w:tc>
        <w:tc>
          <w:tcPr>
            <w:tcW w:w="9214" w:type="dxa"/>
            <w:vAlign w:val="center"/>
          </w:tcPr>
          <w:p w14:paraId="61D28087" w14:textId="08E24CE4" w:rsidR="00EC489D" w:rsidRPr="008D6400" w:rsidRDefault="00EC489D" w:rsidP="00DD4311">
            <w:pPr>
              <w:spacing w:line="240" w:lineRule="auto"/>
              <w:jc w:val="left"/>
              <w:rPr>
                <w:sz w:val="16"/>
                <w:szCs w:val="16"/>
              </w:rPr>
            </w:pPr>
            <w:r w:rsidRPr="008D6400">
              <w:rPr>
                <w:sz w:val="16"/>
                <w:szCs w:val="16"/>
              </w:rPr>
              <w:t xml:space="preserve">Proportion of patients presenting with mild* </w:t>
            </w:r>
            <w:r w:rsidR="00CC697F" w:rsidRPr="008D6400">
              <w:rPr>
                <w:sz w:val="16"/>
                <w:szCs w:val="16"/>
              </w:rPr>
              <w:t>SSTIs</w:t>
            </w:r>
            <w:r w:rsidRPr="008D6400">
              <w:rPr>
                <w:sz w:val="16"/>
                <w:szCs w:val="16"/>
              </w:rPr>
              <w:t xml:space="preserve"> given any oral Access antibiotic</w:t>
            </w:r>
          </w:p>
        </w:tc>
      </w:tr>
      <w:tr w:rsidR="00EC489D" w:rsidRPr="008D6400" w14:paraId="04A43461" w14:textId="77777777" w:rsidTr="00450F1F">
        <w:tc>
          <w:tcPr>
            <w:tcW w:w="991" w:type="dxa"/>
            <w:vMerge/>
            <w:vAlign w:val="center"/>
          </w:tcPr>
          <w:p w14:paraId="1A4CC199" w14:textId="77777777" w:rsidR="00EC489D" w:rsidRPr="008D6400" w:rsidRDefault="00EC489D" w:rsidP="00DD4311">
            <w:pPr>
              <w:spacing w:line="240" w:lineRule="auto"/>
              <w:jc w:val="center"/>
              <w:rPr>
                <w:sz w:val="16"/>
                <w:szCs w:val="16"/>
              </w:rPr>
            </w:pPr>
          </w:p>
        </w:tc>
        <w:tc>
          <w:tcPr>
            <w:tcW w:w="569" w:type="dxa"/>
            <w:vAlign w:val="center"/>
          </w:tcPr>
          <w:p w14:paraId="0DABC9E6" w14:textId="118E1C1F" w:rsidR="00EC489D" w:rsidRPr="00542414" w:rsidRDefault="00EC489D" w:rsidP="00542414">
            <w:pPr>
              <w:pStyle w:val="ListParagraph"/>
              <w:numPr>
                <w:ilvl w:val="0"/>
                <w:numId w:val="46"/>
              </w:numPr>
              <w:spacing w:line="240" w:lineRule="auto"/>
              <w:rPr>
                <w:sz w:val="16"/>
                <w:szCs w:val="16"/>
              </w:rPr>
            </w:pPr>
          </w:p>
        </w:tc>
        <w:tc>
          <w:tcPr>
            <w:tcW w:w="9214" w:type="dxa"/>
            <w:vAlign w:val="center"/>
          </w:tcPr>
          <w:p w14:paraId="126D42B1" w14:textId="2FF992B7" w:rsidR="00EC489D" w:rsidRPr="008D6400" w:rsidRDefault="00EC489D" w:rsidP="00DD4311">
            <w:pPr>
              <w:spacing w:line="240" w:lineRule="auto"/>
              <w:jc w:val="left"/>
              <w:rPr>
                <w:sz w:val="16"/>
                <w:szCs w:val="16"/>
              </w:rPr>
            </w:pPr>
            <w:r w:rsidRPr="008D6400">
              <w:rPr>
                <w:sz w:val="16"/>
                <w:szCs w:val="16"/>
              </w:rPr>
              <w:t xml:space="preserve">Proportion of patients presenting with mild* </w:t>
            </w:r>
            <w:r w:rsidR="00CC697F" w:rsidRPr="008D6400">
              <w:rPr>
                <w:sz w:val="16"/>
                <w:szCs w:val="16"/>
              </w:rPr>
              <w:t>SSTIs</w:t>
            </w:r>
            <w:r w:rsidR="00CC697F">
              <w:rPr>
                <w:sz w:val="16"/>
                <w:szCs w:val="16"/>
              </w:rPr>
              <w:t xml:space="preserve"> </w:t>
            </w:r>
            <w:r w:rsidRPr="008D6400">
              <w:rPr>
                <w:sz w:val="16"/>
                <w:szCs w:val="16"/>
              </w:rPr>
              <w:t>given the duration in days of oral antibiotics recommended in the WHO AWaRe Antibiotic Book</w:t>
            </w:r>
          </w:p>
        </w:tc>
      </w:tr>
      <w:tr w:rsidR="00EC489D" w:rsidRPr="008D6400" w14:paraId="349E601E" w14:textId="77777777" w:rsidTr="00450F1F">
        <w:tc>
          <w:tcPr>
            <w:tcW w:w="991" w:type="dxa"/>
            <w:vMerge/>
            <w:vAlign w:val="center"/>
          </w:tcPr>
          <w:p w14:paraId="2A7A29EF" w14:textId="77777777" w:rsidR="00EC489D" w:rsidRPr="008D6400" w:rsidRDefault="00EC489D" w:rsidP="00DD4311">
            <w:pPr>
              <w:spacing w:line="240" w:lineRule="auto"/>
              <w:jc w:val="center"/>
              <w:rPr>
                <w:sz w:val="16"/>
                <w:szCs w:val="16"/>
              </w:rPr>
            </w:pPr>
          </w:p>
        </w:tc>
        <w:tc>
          <w:tcPr>
            <w:tcW w:w="569" w:type="dxa"/>
            <w:vAlign w:val="center"/>
          </w:tcPr>
          <w:p w14:paraId="2BA76E3F" w14:textId="5AF38B69" w:rsidR="00EC489D" w:rsidRPr="00542414" w:rsidRDefault="00EC489D" w:rsidP="00542414">
            <w:pPr>
              <w:pStyle w:val="ListParagraph"/>
              <w:numPr>
                <w:ilvl w:val="0"/>
                <w:numId w:val="46"/>
              </w:numPr>
              <w:spacing w:line="240" w:lineRule="auto"/>
              <w:rPr>
                <w:sz w:val="16"/>
                <w:szCs w:val="16"/>
              </w:rPr>
            </w:pPr>
          </w:p>
        </w:tc>
        <w:tc>
          <w:tcPr>
            <w:tcW w:w="9214" w:type="dxa"/>
            <w:vAlign w:val="center"/>
          </w:tcPr>
          <w:p w14:paraId="513D381C" w14:textId="4C5DB127" w:rsidR="00EC489D" w:rsidRPr="008D6400" w:rsidRDefault="00EC489D" w:rsidP="00DD4311">
            <w:pPr>
              <w:spacing w:line="240" w:lineRule="auto"/>
              <w:jc w:val="left"/>
              <w:rPr>
                <w:sz w:val="16"/>
                <w:szCs w:val="16"/>
              </w:rPr>
            </w:pPr>
            <w:r w:rsidRPr="008D6400">
              <w:rPr>
                <w:sz w:val="16"/>
                <w:szCs w:val="16"/>
              </w:rPr>
              <w:t xml:space="preserve">Proportion of patients presenting with mild* </w:t>
            </w:r>
            <w:r w:rsidR="00CC697F" w:rsidRPr="008D6400">
              <w:rPr>
                <w:sz w:val="16"/>
                <w:szCs w:val="16"/>
              </w:rPr>
              <w:t>SSTIs</w:t>
            </w:r>
            <w:r w:rsidR="00CC697F">
              <w:rPr>
                <w:sz w:val="16"/>
                <w:szCs w:val="16"/>
              </w:rPr>
              <w:t xml:space="preserve"> </w:t>
            </w:r>
            <w:r w:rsidRPr="008D6400">
              <w:rPr>
                <w:sz w:val="16"/>
                <w:szCs w:val="16"/>
              </w:rPr>
              <w:t>prescribed the total daily dose of oral antibiotics recommended in the WHO AWaRe Antibiotic Book</w:t>
            </w:r>
          </w:p>
        </w:tc>
      </w:tr>
      <w:tr w:rsidR="00EC489D" w:rsidRPr="008D6400" w14:paraId="41156AF6" w14:textId="77777777" w:rsidTr="00450F1F">
        <w:tc>
          <w:tcPr>
            <w:tcW w:w="991" w:type="dxa"/>
            <w:vMerge w:val="restart"/>
            <w:vAlign w:val="center"/>
          </w:tcPr>
          <w:p w14:paraId="3ADA1F7D" w14:textId="7E27645C" w:rsidR="00EC489D" w:rsidRPr="008D6400" w:rsidRDefault="0065342B" w:rsidP="00DD4311">
            <w:pPr>
              <w:spacing w:line="240" w:lineRule="auto"/>
              <w:jc w:val="center"/>
              <w:rPr>
                <w:b/>
                <w:bCs/>
                <w:sz w:val="16"/>
                <w:szCs w:val="16"/>
              </w:rPr>
            </w:pPr>
            <w:r w:rsidRPr="008D6400">
              <w:rPr>
                <w:b/>
                <w:bCs/>
                <w:sz w:val="16"/>
                <w:szCs w:val="16"/>
              </w:rPr>
              <w:t>Diarrhea</w:t>
            </w:r>
            <w:r w:rsidR="00EC489D" w:rsidRPr="008D6400">
              <w:rPr>
                <w:b/>
                <w:bCs/>
                <w:sz w:val="16"/>
                <w:szCs w:val="16"/>
              </w:rPr>
              <w:t xml:space="preserve"> </w:t>
            </w:r>
            <w:r w:rsidR="008F75E5" w:rsidRPr="008D6400">
              <w:rPr>
                <w:b/>
                <w:bCs/>
                <w:sz w:val="16"/>
                <w:szCs w:val="16"/>
              </w:rPr>
              <w:t>&amp;</w:t>
            </w:r>
            <w:r w:rsidR="00EC489D" w:rsidRPr="008D6400">
              <w:rPr>
                <w:b/>
                <w:bCs/>
                <w:sz w:val="16"/>
                <w:szCs w:val="16"/>
              </w:rPr>
              <w:t xml:space="preserve"> enteric fever (n=5; 55.6%)</w:t>
            </w:r>
          </w:p>
        </w:tc>
        <w:tc>
          <w:tcPr>
            <w:tcW w:w="569" w:type="dxa"/>
            <w:vAlign w:val="center"/>
          </w:tcPr>
          <w:p w14:paraId="0E87187F" w14:textId="77040065" w:rsidR="009244EE" w:rsidRPr="009244EE" w:rsidRDefault="009244EE" w:rsidP="009244EE">
            <w:pPr>
              <w:pStyle w:val="ListParagraph"/>
              <w:numPr>
                <w:ilvl w:val="0"/>
                <w:numId w:val="46"/>
              </w:numPr>
              <w:spacing w:line="240" w:lineRule="auto"/>
              <w:rPr>
                <w:sz w:val="16"/>
                <w:szCs w:val="16"/>
              </w:rPr>
            </w:pPr>
          </w:p>
          <w:p w14:paraId="5CF6C7EA" w14:textId="0BA94EA5" w:rsidR="00542414" w:rsidRPr="00542414" w:rsidRDefault="00542414" w:rsidP="00542414">
            <w:pPr>
              <w:spacing w:line="240" w:lineRule="auto"/>
              <w:rPr>
                <w:sz w:val="16"/>
                <w:szCs w:val="16"/>
              </w:rPr>
            </w:pPr>
          </w:p>
        </w:tc>
        <w:tc>
          <w:tcPr>
            <w:tcW w:w="9214" w:type="dxa"/>
            <w:vAlign w:val="center"/>
          </w:tcPr>
          <w:p w14:paraId="02603D1E" w14:textId="4161F411" w:rsidR="00EC489D" w:rsidRPr="008D6400" w:rsidRDefault="00EC489D" w:rsidP="00DD4311">
            <w:pPr>
              <w:spacing w:line="240" w:lineRule="auto"/>
              <w:jc w:val="left"/>
              <w:rPr>
                <w:sz w:val="16"/>
                <w:szCs w:val="16"/>
              </w:rPr>
            </w:pPr>
            <w:r w:rsidRPr="008D6400">
              <w:rPr>
                <w:sz w:val="16"/>
                <w:szCs w:val="16"/>
              </w:rPr>
              <w:t xml:space="preserve">Proportion of all patients presenting with high-risk* acute infectious non-bloody </w:t>
            </w:r>
            <w:r w:rsidR="00C41D7E" w:rsidRPr="008D6400">
              <w:rPr>
                <w:sz w:val="16"/>
                <w:szCs w:val="16"/>
              </w:rPr>
              <w:t>diarrhea</w:t>
            </w:r>
            <w:r w:rsidRPr="008D6400">
              <w:rPr>
                <w:sz w:val="16"/>
                <w:szCs w:val="16"/>
              </w:rPr>
              <w:t xml:space="preserve"> given any oral Watch antibiotic</w:t>
            </w:r>
          </w:p>
        </w:tc>
      </w:tr>
      <w:tr w:rsidR="00EC489D" w:rsidRPr="008D6400" w14:paraId="17A78143" w14:textId="77777777" w:rsidTr="00450F1F">
        <w:trPr>
          <w:trHeight w:val="277"/>
        </w:trPr>
        <w:tc>
          <w:tcPr>
            <w:tcW w:w="991" w:type="dxa"/>
            <w:vMerge/>
            <w:vAlign w:val="center"/>
          </w:tcPr>
          <w:p w14:paraId="6DB528A6" w14:textId="77777777" w:rsidR="00EC489D" w:rsidRPr="008D6400" w:rsidRDefault="00EC489D" w:rsidP="00DD4311">
            <w:pPr>
              <w:spacing w:line="240" w:lineRule="auto"/>
              <w:jc w:val="center"/>
              <w:rPr>
                <w:sz w:val="16"/>
                <w:szCs w:val="16"/>
              </w:rPr>
            </w:pPr>
          </w:p>
        </w:tc>
        <w:tc>
          <w:tcPr>
            <w:tcW w:w="569" w:type="dxa"/>
            <w:vAlign w:val="center"/>
          </w:tcPr>
          <w:p w14:paraId="59E54B82" w14:textId="6AAD193D" w:rsidR="009244EE" w:rsidRPr="009244EE" w:rsidRDefault="009244EE" w:rsidP="009244EE">
            <w:pPr>
              <w:pStyle w:val="ListParagraph"/>
              <w:numPr>
                <w:ilvl w:val="0"/>
                <w:numId w:val="46"/>
              </w:numPr>
              <w:spacing w:line="240" w:lineRule="auto"/>
              <w:rPr>
                <w:sz w:val="16"/>
                <w:szCs w:val="16"/>
              </w:rPr>
            </w:pPr>
          </w:p>
        </w:tc>
        <w:tc>
          <w:tcPr>
            <w:tcW w:w="9214" w:type="dxa"/>
            <w:vAlign w:val="center"/>
          </w:tcPr>
          <w:p w14:paraId="4C8EA6F2" w14:textId="65DD1447" w:rsidR="00EC489D" w:rsidRPr="008D6400" w:rsidRDefault="00EC489D" w:rsidP="00DD4311">
            <w:pPr>
              <w:spacing w:line="240" w:lineRule="auto"/>
              <w:jc w:val="left"/>
              <w:rPr>
                <w:sz w:val="16"/>
                <w:szCs w:val="16"/>
              </w:rPr>
            </w:pPr>
            <w:r w:rsidRPr="008D6400">
              <w:rPr>
                <w:sz w:val="16"/>
                <w:szCs w:val="16"/>
              </w:rPr>
              <w:t xml:space="preserve">Proportion of otherwise healthy patients presenting with acute infectious non-bloody </w:t>
            </w:r>
            <w:r w:rsidR="00C41D7E" w:rsidRPr="008D6400">
              <w:rPr>
                <w:sz w:val="16"/>
                <w:szCs w:val="16"/>
              </w:rPr>
              <w:t>diarrhea</w:t>
            </w:r>
            <w:r w:rsidRPr="008D6400">
              <w:rPr>
                <w:sz w:val="16"/>
                <w:szCs w:val="16"/>
              </w:rPr>
              <w:t xml:space="preserve"> given an oral antibiotic</w:t>
            </w:r>
          </w:p>
        </w:tc>
      </w:tr>
      <w:tr w:rsidR="00EC489D" w:rsidRPr="008D6400" w14:paraId="2B4F612B" w14:textId="77777777" w:rsidTr="00450F1F">
        <w:tc>
          <w:tcPr>
            <w:tcW w:w="991" w:type="dxa"/>
            <w:vMerge/>
            <w:vAlign w:val="center"/>
          </w:tcPr>
          <w:p w14:paraId="101697AC" w14:textId="77777777" w:rsidR="00EC489D" w:rsidRPr="008D6400" w:rsidRDefault="00EC489D" w:rsidP="00DD4311">
            <w:pPr>
              <w:spacing w:line="240" w:lineRule="auto"/>
              <w:jc w:val="center"/>
              <w:rPr>
                <w:sz w:val="16"/>
                <w:szCs w:val="16"/>
              </w:rPr>
            </w:pPr>
          </w:p>
        </w:tc>
        <w:tc>
          <w:tcPr>
            <w:tcW w:w="569" w:type="dxa"/>
            <w:vAlign w:val="center"/>
          </w:tcPr>
          <w:p w14:paraId="4DC55B07" w14:textId="5BFE2ACC" w:rsidR="00EC489D" w:rsidRPr="009244EE" w:rsidRDefault="00EC489D" w:rsidP="009244EE">
            <w:pPr>
              <w:pStyle w:val="ListParagraph"/>
              <w:numPr>
                <w:ilvl w:val="0"/>
                <w:numId w:val="46"/>
              </w:numPr>
              <w:spacing w:line="240" w:lineRule="auto"/>
              <w:rPr>
                <w:sz w:val="16"/>
                <w:szCs w:val="16"/>
              </w:rPr>
            </w:pPr>
          </w:p>
        </w:tc>
        <w:tc>
          <w:tcPr>
            <w:tcW w:w="9214" w:type="dxa"/>
            <w:vAlign w:val="center"/>
          </w:tcPr>
          <w:p w14:paraId="27420891" w14:textId="6D5FDB68" w:rsidR="00EC489D" w:rsidRPr="008D6400" w:rsidRDefault="00EC489D" w:rsidP="00DD4311">
            <w:pPr>
              <w:spacing w:line="240" w:lineRule="auto"/>
              <w:jc w:val="left"/>
              <w:rPr>
                <w:sz w:val="16"/>
                <w:szCs w:val="16"/>
              </w:rPr>
            </w:pPr>
            <w:r w:rsidRPr="008D6400">
              <w:rPr>
                <w:sz w:val="16"/>
                <w:szCs w:val="16"/>
              </w:rPr>
              <w:t xml:space="preserve">Proportion of patients presenting with high-risk* acute infectious non-bloody </w:t>
            </w:r>
            <w:r w:rsidR="00C41D7E" w:rsidRPr="008D6400">
              <w:rPr>
                <w:sz w:val="16"/>
                <w:szCs w:val="16"/>
              </w:rPr>
              <w:t>diarrhea</w:t>
            </w:r>
            <w:r w:rsidRPr="008D6400">
              <w:rPr>
                <w:sz w:val="16"/>
                <w:szCs w:val="16"/>
              </w:rPr>
              <w:t xml:space="preserve"> given the duration in days of oral antibiotics recommended in the WHO AWaRe Antibiotic Book</w:t>
            </w:r>
          </w:p>
        </w:tc>
      </w:tr>
      <w:tr w:rsidR="00EC489D" w:rsidRPr="008D6400" w14:paraId="367F00C8" w14:textId="77777777" w:rsidTr="00450F1F">
        <w:tc>
          <w:tcPr>
            <w:tcW w:w="991" w:type="dxa"/>
            <w:vMerge/>
            <w:vAlign w:val="center"/>
          </w:tcPr>
          <w:p w14:paraId="1F4F74D5" w14:textId="77777777" w:rsidR="00EC489D" w:rsidRPr="008D6400" w:rsidRDefault="00EC489D" w:rsidP="00DD4311">
            <w:pPr>
              <w:spacing w:line="240" w:lineRule="auto"/>
              <w:jc w:val="center"/>
              <w:rPr>
                <w:sz w:val="16"/>
                <w:szCs w:val="16"/>
              </w:rPr>
            </w:pPr>
          </w:p>
        </w:tc>
        <w:tc>
          <w:tcPr>
            <w:tcW w:w="569" w:type="dxa"/>
            <w:vAlign w:val="center"/>
          </w:tcPr>
          <w:p w14:paraId="4641CA6C" w14:textId="3CA1A666" w:rsidR="00EC489D" w:rsidRPr="009244EE" w:rsidRDefault="00EC489D" w:rsidP="009244EE">
            <w:pPr>
              <w:pStyle w:val="ListParagraph"/>
              <w:numPr>
                <w:ilvl w:val="0"/>
                <w:numId w:val="46"/>
              </w:numPr>
              <w:spacing w:line="240" w:lineRule="auto"/>
              <w:rPr>
                <w:sz w:val="16"/>
                <w:szCs w:val="16"/>
              </w:rPr>
            </w:pPr>
          </w:p>
        </w:tc>
        <w:tc>
          <w:tcPr>
            <w:tcW w:w="9214" w:type="dxa"/>
            <w:vAlign w:val="center"/>
          </w:tcPr>
          <w:p w14:paraId="64FF702B" w14:textId="1171090A" w:rsidR="00EC489D" w:rsidRPr="008D6400" w:rsidRDefault="00EC489D" w:rsidP="00DD4311">
            <w:pPr>
              <w:spacing w:line="240" w:lineRule="auto"/>
              <w:jc w:val="left"/>
              <w:rPr>
                <w:sz w:val="16"/>
                <w:szCs w:val="16"/>
              </w:rPr>
            </w:pPr>
            <w:r w:rsidRPr="008D6400">
              <w:rPr>
                <w:sz w:val="16"/>
                <w:szCs w:val="16"/>
              </w:rPr>
              <w:t xml:space="preserve">Proportion of patients presenting with high-risk* acute infectious non-bloody </w:t>
            </w:r>
            <w:r w:rsidR="00C41D7E" w:rsidRPr="008D6400">
              <w:rPr>
                <w:sz w:val="16"/>
                <w:szCs w:val="16"/>
              </w:rPr>
              <w:t>diarrhea</w:t>
            </w:r>
            <w:r w:rsidRPr="008D6400">
              <w:rPr>
                <w:sz w:val="16"/>
                <w:szCs w:val="16"/>
              </w:rPr>
              <w:t xml:space="preserve"> prescribed the total daily dose of oral antibiotics recommended in the WHO AWaRe Antibiotic Book</w:t>
            </w:r>
          </w:p>
        </w:tc>
      </w:tr>
      <w:tr w:rsidR="00EC489D" w:rsidRPr="008D6400" w14:paraId="4587CF3C" w14:textId="77777777" w:rsidTr="00450F1F">
        <w:tc>
          <w:tcPr>
            <w:tcW w:w="991" w:type="dxa"/>
            <w:vMerge/>
            <w:vAlign w:val="center"/>
          </w:tcPr>
          <w:p w14:paraId="414DC65B" w14:textId="77777777" w:rsidR="00EC489D" w:rsidRPr="008D6400" w:rsidRDefault="00EC489D" w:rsidP="00DD4311">
            <w:pPr>
              <w:spacing w:line="240" w:lineRule="auto"/>
              <w:jc w:val="center"/>
              <w:rPr>
                <w:sz w:val="16"/>
                <w:szCs w:val="16"/>
              </w:rPr>
            </w:pPr>
          </w:p>
        </w:tc>
        <w:tc>
          <w:tcPr>
            <w:tcW w:w="569" w:type="dxa"/>
            <w:vAlign w:val="center"/>
          </w:tcPr>
          <w:p w14:paraId="5FBF78C2" w14:textId="6BA70CAF" w:rsidR="00EC489D" w:rsidRPr="009244EE" w:rsidRDefault="00EC489D" w:rsidP="009244EE">
            <w:pPr>
              <w:pStyle w:val="ListParagraph"/>
              <w:numPr>
                <w:ilvl w:val="0"/>
                <w:numId w:val="46"/>
              </w:numPr>
              <w:spacing w:line="240" w:lineRule="auto"/>
              <w:rPr>
                <w:sz w:val="16"/>
                <w:szCs w:val="16"/>
              </w:rPr>
            </w:pPr>
          </w:p>
        </w:tc>
        <w:tc>
          <w:tcPr>
            <w:tcW w:w="9214" w:type="dxa"/>
            <w:vAlign w:val="center"/>
          </w:tcPr>
          <w:p w14:paraId="4F88934D" w14:textId="3874799C" w:rsidR="00EC489D" w:rsidRPr="008D6400" w:rsidRDefault="00EC489D" w:rsidP="00DD4311">
            <w:pPr>
              <w:spacing w:line="240" w:lineRule="auto"/>
              <w:jc w:val="left"/>
              <w:rPr>
                <w:sz w:val="16"/>
                <w:szCs w:val="16"/>
              </w:rPr>
            </w:pPr>
            <w:r w:rsidRPr="008D6400">
              <w:rPr>
                <w:sz w:val="16"/>
                <w:szCs w:val="16"/>
              </w:rPr>
              <w:t xml:space="preserve">Proportion of patients with acute bloody infectious </w:t>
            </w:r>
            <w:r w:rsidR="00C41D7E" w:rsidRPr="008D6400">
              <w:rPr>
                <w:sz w:val="16"/>
                <w:szCs w:val="16"/>
              </w:rPr>
              <w:t>diarrhea</w:t>
            </w:r>
            <w:r w:rsidRPr="008D6400">
              <w:rPr>
                <w:sz w:val="16"/>
                <w:szCs w:val="16"/>
              </w:rPr>
              <w:t xml:space="preserve"> given oral Access or Watch antibiotics</w:t>
            </w:r>
          </w:p>
        </w:tc>
      </w:tr>
      <w:tr w:rsidR="00EC489D" w:rsidRPr="008D6400" w14:paraId="4FDC355B" w14:textId="77777777" w:rsidTr="00450F1F">
        <w:tc>
          <w:tcPr>
            <w:tcW w:w="991" w:type="dxa"/>
            <w:vMerge w:val="restart"/>
            <w:vAlign w:val="center"/>
          </w:tcPr>
          <w:p w14:paraId="0625F79C" w14:textId="2116B601" w:rsidR="00EC489D" w:rsidRPr="008D6400" w:rsidRDefault="00EC489D" w:rsidP="00DD4311">
            <w:pPr>
              <w:spacing w:line="240" w:lineRule="auto"/>
              <w:jc w:val="center"/>
              <w:rPr>
                <w:sz w:val="16"/>
                <w:szCs w:val="16"/>
              </w:rPr>
            </w:pPr>
            <w:r w:rsidRPr="008D6400">
              <w:rPr>
                <w:b/>
                <w:bCs/>
                <w:sz w:val="16"/>
                <w:szCs w:val="16"/>
              </w:rPr>
              <w:t>S</w:t>
            </w:r>
            <w:r w:rsidR="00742E58" w:rsidRPr="008D6400">
              <w:rPr>
                <w:b/>
                <w:bCs/>
                <w:sz w:val="16"/>
                <w:szCs w:val="16"/>
              </w:rPr>
              <w:t>TI</w:t>
            </w:r>
            <w:r w:rsidRPr="008D6400">
              <w:rPr>
                <w:b/>
                <w:bCs/>
                <w:sz w:val="16"/>
                <w:szCs w:val="16"/>
              </w:rPr>
              <w:t xml:space="preserve"> (n=8; 66.7%)</w:t>
            </w:r>
          </w:p>
        </w:tc>
        <w:tc>
          <w:tcPr>
            <w:tcW w:w="569" w:type="dxa"/>
            <w:vAlign w:val="center"/>
          </w:tcPr>
          <w:p w14:paraId="7998C1BB" w14:textId="14A7D951" w:rsidR="00EC489D" w:rsidRPr="009244EE" w:rsidRDefault="00EC489D" w:rsidP="009244EE">
            <w:pPr>
              <w:pStyle w:val="ListParagraph"/>
              <w:numPr>
                <w:ilvl w:val="0"/>
                <w:numId w:val="46"/>
              </w:numPr>
              <w:spacing w:line="240" w:lineRule="auto"/>
              <w:rPr>
                <w:sz w:val="16"/>
                <w:szCs w:val="16"/>
              </w:rPr>
            </w:pPr>
          </w:p>
        </w:tc>
        <w:tc>
          <w:tcPr>
            <w:tcW w:w="9214" w:type="dxa"/>
            <w:vAlign w:val="center"/>
          </w:tcPr>
          <w:p w14:paraId="744D2D9F" w14:textId="676A1941" w:rsidR="00EC489D" w:rsidRPr="008D6400" w:rsidRDefault="00EC489D" w:rsidP="00DD4311">
            <w:pPr>
              <w:spacing w:line="240" w:lineRule="auto"/>
              <w:jc w:val="left"/>
              <w:rPr>
                <w:sz w:val="16"/>
                <w:szCs w:val="16"/>
              </w:rPr>
            </w:pPr>
            <w:r w:rsidRPr="008D6400">
              <w:rPr>
                <w:sz w:val="16"/>
                <w:szCs w:val="16"/>
              </w:rPr>
              <w:t>Proportion of patients (adults and young people aged over 12 years) presenting with uncomplicated chlamydial urogenital infection prescribed the doses for antibiotics recommended in the WHO AWaRe Antibiotic Book</w:t>
            </w:r>
          </w:p>
        </w:tc>
      </w:tr>
      <w:tr w:rsidR="00EC489D" w:rsidRPr="008D6400" w14:paraId="1536EEE2" w14:textId="77777777" w:rsidTr="00450F1F">
        <w:tc>
          <w:tcPr>
            <w:tcW w:w="991" w:type="dxa"/>
            <w:vMerge/>
            <w:vAlign w:val="center"/>
          </w:tcPr>
          <w:p w14:paraId="4DF7C2FE" w14:textId="77777777" w:rsidR="00EC489D" w:rsidRPr="008D6400" w:rsidRDefault="00EC489D" w:rsidP="00DD4311">
            <w:pPr>
              <w:spacing w:line="240" w:lineRule="auto"/>
              <w:jc w:val="center"/>
              <w:rPr>
                <w:sz w:val="16"/>
                <w:szCs w:val="16"/>
              </w:rPr>
            </w:pPr>
          </w:p>
        </w:tc>
        <w:tc>
          <w:tcPr>
            <w:tcW w:w="569" w:type="dxa"/>
            <w:vAlign w:val="center"/>
          </w:tcPr>
          <w:p w14:paraId="3500696F" w14:textId="56A00D59" w:rsidR="00EC489D" w:rsidRPr="009244EE" w:rsidRDefault="00EC489D" w:rsidP="009244EE">
            <w:pPr>
              <w:pStyle w:val="ListParagraph"/>
              <w:numPr>
                <w:ilvl w:val="0"/>
                <w:numId w:val="46"/>
              </w:numPr>
              <w:spacing w:line="240" w:lineRule="auto"/>
              <w:rPr>
                <w:sz w:val="16"/>
                <w:szCs w:val="16"/>
              </w:rPr>
            </w:pPr>
          </w:p>
        </w:tc>
        <w:tc>
          <w:tcPr>
            <w:tcW w:w="9214" w:type="dxa"/>
            <w:vAlign w:val="center"/>
          </w:tcPr>
          <w:p w14:paraId="6BD99506" w14:textId="6C57CCAB" w:rsidR="00EC489D" w:rsidRPr="008D6400" w:rsidRDefault="00EC489D" w:rsidP="00DD4311">
            <w:pPr>
              <w:spacing w:line="240" w:lineRule="auto"/>
              <w:jc w:val="left"/>
              <w:rPr>
                <w:sz w:val="16"/>
                <w:szCs w:val="16"/>
              </w:rPr>
            </w:pPr>
            <w:r w:rsidRPr="008D6400">
              <w:rPr>
                <w:sz w:val="16"/>
                <w:szCs w:val="16"/>
              </w:rPr>
              <w:t>Proportion of patients (adults and young people aged over 12 years) presenting with uncomplicated chlamydial urogenital infection prescribed the durations for antibiotics recommended in the WHO AWaRe Antibiotic Book</w:t>
            </w:r>
          </w:p>
        </w:tc>
      </w:tr>
      <w:tr w:rsidR="00EC489D" w:rsidRPr="008D6400" w14:paraId="6C0C69C8" w14:textId="77777777" w:rsidTr="00450F1F">
        <w:tc>
          <w:tcPr>
            <w:tcW w:w="991" w:type="dxa"/>
            <w:vMerge/>
            <w:vAlign w:val="center"/>
          </w:tcPr>
          <w:p w14:paraId="7777168F" w14:textId="77777777" w:rsidR="00EC489D" w:rsidRPr="008D6400" w:rsidRDefault="00EC489D" w:rsidP="00DD4311">
            <w:pPr>
              <w:spacing w:line="240" w:lineRule="auto"/>
              <w:jc w:val="center"/>
              <w:rPr>
                <w:sz w:val="16"/>
                <w:szCs w:val="16"/>
              </w:rPr>
            </w:pPr>
          </w:p>
        </w:tc>
        <w:tc>
          <w:tcPr>
            <w:tcW w:w="569" w:type="dxa"/>
            <w:vAlign w:val="center"/>
          </w:tcPr>
          <w:p w14:paraId="2EA97093" w14:textId="627FBEBB" w:rsidR="009244EE" w:rsidRPr="009244EE" w:rsidRDefault="009244EE" w:rsidP="009244EE">
            <w:pPr>
              <w:pStyle w:val="ListParagraph"/>
              <w:numPr>
                <w:ilvl w:val="0"/>
                <w:numId w:val="46"/>
              </w:numPr>
              <w:spacing w:line="240" w:lineRule="auto"/>
              <w:rPr>
                <w:sz w:val="16"/>
                <w:szCs w:val="16"/>
              </w:rPr>
            </w:pPr>
          </w:p>
        </w:tc>
        <w:tc>
          <w:tcPr>
            <w:tcW w:w="9214" w:type="dxa"/>
            <w:vAlign w:val="center"/>
          </w:tcPr>
          <w:p w14:paraId="35507E5C" w14:textId="7F53B833" w:rsidR="00EC489D" w:rsidRPr="008D6400" w:rsidRDefault="00EC489D" w:rsidP="00DD4311">
            <w:pPr>
              <w:spacing w:line="240" w:lineRule="auto"/>
              <w:jc w:val="left"/>
              <w:rPr>
                <w:sz w:val="16"/>
                <w:szCs w:val="16"/>
              </w:rPr>
            </w:pPr>
            <w:r w:rsidRPr="008D6400">
              <w:rPr>
                <w:sz w:val="16"/>
                <w:szCs w:val="16"/>
              </w:rPr>
              <w:t>Proportion of patients (adults and young people aged over 12 years) presenting with genital, anorectal or oropharyngeal gonococcal infection who are treated with first line single therapy</w:t>
            </w:r>
          </w:p>
        </w:tc>
      </w:tr>
      <w:tr w:rsidR="00EC489D" w:rsidRPr="008D6400" w14:paraId="035C80E0" w14:textId="77777777" w:rsidTr="00450F1F">
        <w:tc>
          <w:tcPr>
            <w:tcW w:w="991" w:type="dxa"/>
            <w:vMerge/>
            <w:vAlign w:val="center"/>
          </w:tcPr>
          <w:p w14:paraId="3343201C" w14:textId="77777777" w:rsidR="00EC489D" w:rsidRPr="008D6400" w:rsidRDefault="00EC489D" w:rsidP="00DD4311">
            <w:pPr>
              <w:spacing w:line="240" w:lineRule="auto"/>
              <w:jc w:val="center"/>
              <w:rPr>
                <w:sz w:val="16"/>
                <w:szCs w:val="16"/>
              </w:rPr>
            </w:pPr>
          </w:p>
        </w:tc>
        <w:tc>
          <w:tcPr>
            <w:tcW w:w="569" w:type="dxa"/>
            <w:vAlign w:val="center"/>
          </w:tcPr>
          <w:p w14:paraId="31338ECA" w14:textId="62C46800" w:rsidR="00EC489D" w:rsidRPr="009244EE" w:rsidRDefault="00EC489D" w:rsidP="009244EE">
            <w:pPr>
              <w:pStyle w:val="ListParagraph"/>
              <w:numPr>
                <w:ilvl w:val="0"/>
                <w:numId w:val="46"/>
              </w:numPr>
              <w:spacing w:line="240" w:lineRule="auto"/>
              <w:rPr>
                <w:sz w:val="16"/>
                <w:szCs w:val="16"/>
              </w:rPr>
            </w:pPr>
          </w:p>
        </w:tc>
        <w:tc>
          <w:tcPr>
            <w:tcW w:w="9214" w:type="dxa"/>
            <w:vAlign w:val="center"/>
          </w:tcPr>
          <w:p w14:paraId="21F9B333" w14:textId="49CE74F0" w:rsidR="00EC489D" w:rsidRPr="008D6400" w:rsidRDefault="00EC489D" w:rsidP="00DD4311">
            <w:pPr>
              <w:spacing w:line="240" w:lineRule="auto"/>
              <w:jc w:val="left"/>
              <w:rPr>
                <w:sz w:val="16"/>
                <w:szCs w:val="16"/>
              </w:rPr>
            </w:pPr>
            <w:r w:rsidRPr="008D6400">
              <w:rPr>
                <w:sz w:val="16"/>
                <w:szCs w:val="16"/>
              </w:rPr>
              <w:t>Proportion of patients (adults and young people aged over 12 years) presenting with gonococcal infection who are retreated if symptoms persist after 5 days of adequate treatment</w:t>
            </w:r>
          </w:p>
        </w:tc>
      </w:tr>
      <w:tr w:rsidR="00EC489D" w:rsidRPr="008D6400" w14:paraId="3593884D" w14:textId="77777777" w:rsidTr="00450F1F">
        <w:tc>
          <w:tcPr>
            <w:tcW w:w="991" w:type="dxa"/>
            <w:vMerge/>
            <w:vAlign w:val="center"/>
          </w:tcPr>
          <w:p w14:paraId="0EC8C095" w14:textId="77777777" w:rsidR="00EC489D" w:rsidRPr="008D6400" w:rsidRDefault="00EC489D" w:rsidP="00DD4311">
            <w:pPr>
              <w:spacing w:line="240" w:lineRule="auto"/>
              <w:jc w:val="center"/>
              <w:rPr>
                <w:sz w:val="16"/>
                <w:szCs w:val="16"/>
              </w:rPr>
            </w:pPr>
          </w:p>
        </w:tc>
        <w:tc>
          <w:tcPr>
            <w:tcW w:w="569" w:type="dxa"/>
            <w:vAlign w:val="center"/>
          </w:tcPr>
          <w:p w14:paraId="4690D83D" w14:textId="43CD658B" w:rsidR="00EC489D" w:rsidRPr="009244EE" w:rsidRDefault="00EC489D" w:rsidP="009244EE">
            <w:pPr>
              <w:pStyle w:val="ListParagraph"/>
              <w:numPr>
                <w:ilvl w:val="0"/>
                <w:numId w:val="46"/>
              </w:numPr>
              <w:spacing w:line="240" w:lineRule="auto"/>
              <w:rPr>
                <w:sz w:val="16"/>
                <w:szCs w:val="16"/>
              </w:rPr>
            </w:pPr>
          </w:p>
        </w:tc>
        <w:tc>
          <w:tcPr>
            <w:tcW w:w="9214" w:type="dxa"/>
            <w:vAlign w:val="center"/>
          </w:tcPr>
          <w:p w14:paraId="3DC47A45" w14:textId="1068F122" w:rsidR="00EC489D" w:rsidRPr="008D6400" w:rsidRDefault="00EC489D" w:rsidP="00DD4311">
            <w:pPr>
              <w:spacing w:line="240" w:lineRule="auto"/>
              <w:jc w:val="left"/>
              <w:rPr>
                <w:sz w:val="16"/>
                <w:szCs w:val="16"/>
              </w:rPr>
            </w:pPr>
            <w:r w:rsidRPr="008D6400">
              <w:rPr>
                <w:sz w:val="16"/>
                <w:szCs w:val="16"/>
              </w:rPr>
              <w:t>Proportion of patients (adults and young people aged over 12 years) presenting with gonococcal infection who are retreated with Access antibiotics if symptoms persist after 5 days of adequate treatment</w:t>
            </w:r>
          </w:p>
        </w:tc>
      </w:tr>
      <w:tr w:rsidR="00EC489D" w:rsidRPr="008D6400" w14:paraId="25ACF88B" w14:textId="77777777" w:rsidTr="00450F1F">
        <w:tc>
          <w:tcPr>
            <w:tcW w:w="991" w:type="dxa"/>
            <w:vMerge/>
            <w:vAlign w:val="center"/>
          </w:tcPr>
          <w:p w14:paraId="77E0C6A3" w14:textId="77777777" w:rsidR="00EC489D" w:rsidRPr="008D6400" w:rsidRDefault="00EC489D" w:rsidP="00DD4311">
            <w:pPr>
              <w:spacing w:line="240" w:lineRule="auto"/>
              <w:jc w:val="center"/>
              <w:rPr>
                <w:sz w:val="16"/>
                <w:szCs w:val="16"/>
              </w:rPr>
            </w:pPr>
          </w:p>
        </w:tc>
        <w:tc>
          <w:tcPr>
            <w:tcW w:w="569" w:type="dxa"/>
            <w:vAlign w:val="center"/>
          </w:tcPr>
          <w:p w14:paraId="05316529" w14:textId="0AD458BF" w:rsidR="00EC489D" w:rsidRPr="009244EE" w:rsidRDefault="00EC489D" w:rsidP="009244EE">
            <w:pPr>
              <w:pStyle w:val="ListParagraph"/>
              <w:numPr>
                <w:ilvl w:val="0"/>
                <w:numId w:val="46"/>
              </w:numPr>
              <w:spacing w:line="240" w:lineRule="auto"/>
              <w:rPr>
                <w:sz w:val="16"/>
                <w:szCs w:val="16"/>
              </w:rPr>
            </w:pPr>
          </w:p>
        </w:tc>
        <w:tc>
          <w:tcPr>
            <w:tcW w:w="9214" w:type="dxa"/>
            <w:vAlign w:val="center"/>
          </w:tcPr>
          <w:p w14:paraId="530298CE" w14:textId="24F765F1" w:rsidR="00EC489D" w:rsidRPr="008D6400" w:rsidRDefault="00EC489D" w:rsidP="00DD4311">
            <w:pPr>
              <w:spacing w:line="240" w:lineRule="auto"/>
              <w:jc w:val="left"/>
              <w:rPr>
                <w:sz w:val="16"/>
                <w:szCs w:val="16"/>
              </w:rPr>
            </w:pPr>
            <w:r w:rsidRPr="008D6400">
              <w:rPr>
                <w:sz w:val="16"/>
                <w:szCs w:val="16"/>
              </w:rPr>
              <w:t>Proportion of patients (adults and young people aged over 12 years) presenting with early or late syphilis treated with first line Access antibiotics</w:t>
            </w:r>
          </w:p>
        </w:tc>
      </w:tr>
      <w:tr w:rsidR="00EC489D" w:rsidRPr="008D6400" w14:paraId="53787C6C" w14:textId="77777777" w:rsidTr="00450F1F">
        <w:tc>
          <w:tcPr>
            <w:tcW w:w="991" w:type="dxa"/>
            <w:vMerge/>
            <w:vAlign w:val="center"/>
          </w:tcPr>
          <w:p w14:paraId="77C7C0F0" w14:textId="77777777" w:rsidR="00EC489D" w:rsidRPr="008D6400" w:rsidRDefault="00EC489D" w:rsidP="00DD4311">
            <w:pPr>
              <w:spacing w:line="240" w:lineRule="auto"/>
              <w:jc w:val="center"/>
              <w:rPr>
                <w:sz w:val="16"/>
                <w:szCs w:val="16"/>
              </w:rPr>
            </w:pPr>
          </w:p>
        </w:tc>
        <w:tc>
          <w:tcPr>
            <w:tcW w:w="569" w:type="dxa"/>
            <w:vAlign w:val="center"/>
          </w:tcPr>
          <w:p w14:paraId="4541AC3A" w14:textId="5BF3BC5B" w:rsidR="00EC489D" w:rsidRPr="009244EE" w:rsidRDefault="00EC489D" w:rsidP="009244EE">
            <w:pPr>
              <w:pStyle w:val="ListParagraph"/>
              <w:numPr>
                <w:ilvl w:val="0"/>
                <w:numId w:val="46"/>
              </w:numPr>
              <w:spacing w:line="240" w:lineRule="auto"/>
              <w:rPr>
                <w:sz w:val="16"/>
                <w:szCs w:val="16"/>
              </w:rPr>
            </w:pPr>
          </w:p>
        </w:tc>
        <w:tc>
          <w:tcPr>
            <w:tcW w:w="9214" w:type="dxa"/>
            <w:vAlign w:val="center"/>
          </w:tcPr>
          <w:p w14:paraId="0378FC6C" w14:textId="420E980E" w:rsidR="00EC489D" w:rsidRPr="008D6400" w:rsidRDefault="00EC489D" w:rsidP="00DD4311">
            <w:pPr>
              <w:spacing w:line="240" w:lineRule="auto"/>
              <w:jc w:val="left"/>
              <w:rPr>
                <w:sz w:val="16"/>
                <w:szCs w:val="16"/>
              </w:rPr>
            </w:pPr>
            <w:r w:rsidRPr="008D6400">
              <w:rPr>
                <w:sz w:val="16"/>
                <w:szCs w:val="16"/>
              </w:rPr>
              <w:t>Proportion of patients (adults and young people aged over 12 years) presenting with early or late syphilis treated with any Watch antibiotics</w:t>
            </w:r>
          </w:p>
        </w:tc>
      </w:tr>
      <w:tr w:rsidR="00EC489D" w:rsidRPr="008D6400" w14:paraId="4BF5EF60" w14:textId="77777777" w:rsidTr="00450F1F">
        <w:tc>
          <w:tcPr>
            <w:tcW w:w="991" w:type="dxa"/>
            <w:vMerge/>
            <w:vAlign w:val="center"/>
          </w:tcPr>
          <w:p w14:paraId="504A161F" w14:textId="77777777" w:rsidR="00EC489D" w:rsidRPr="008D6400" w:rsidRDefault="00EC489D" w:rsidP="00DD4311">
            <w:pPr>
              <w:spacing w:line="240" w:lineRule="auto"/>
              <w:jc w:val="center"/>
              <w:rPr>
                <w:sz w:val="16"/>
                <w:szCs w:val="16"/>
              </w:rPr>
            </w:pPr>
          </w:p>
        </w:tc>
        <w:tc>
          <w:tcPr>
            <w:tcW w:w="569" w:type="dxa"/>
            <w:vAlign w:val="center"/>
          </w:tcPr>
          <w:p w14:paraId="453F89C3" w14:textId="546DD9A7" w:rsidR="00EC489D" w:rsidRPr="009244EE" w:rsidRDefault="00EC489D" w:rsidP="009244EE">
            <w:pPr>
              <w:pStyle w:val="ListParagraph"/>
              <w:numPr>
                <w:ilvl w:val="0"/>
                <w:numId w:val="46"/>
              </w:numPr>
              <w:spacing w:line="240" w:lineRule="auto"/>
              <w:rPr>
                <w:sz w:val="16"/>
                <w:szCs w:val="16"/>
              </w:rPr>
            </w:pPr>
          </w:p>
          <w:p w14:paraId="3194EA43" w14:textId="77777777" w:rsidR="00EC489D" w:rsidRPr="008D6400" w:rsidRDefault="00EC489D" w:rsidP="00DD4311">
            <w:pPr>
              <w:spacing w:line="240" w:lineRule="auto"/>
              <w:jc w:val="center"/>
              <w:rPr>
                <w:sz w:val="16"/>
                <w:szCs w:val="16"/>
              </w:rPr>
            </w:pPr>
          </w:p>
        </w:tc>
        <w:tc>
          <w:tcPr>
            <w:tcW w:w="9214" w:type="dxa"/>
            <w:vAlign w:val="center"/>
          </w:tcPr>
          <w:p w14:paraId="38EBDFD0" w14:textId="44EC3231" w:rsidR="00EC489D" w:rsidRPr="008D6400" w:rsidRDefault="00EC489D" w:rsidP="00DD4311">
            <w:pPr>
              <w:spacing w:line="240" w:lineRule="auto"/>
              <w:jc w:val="left"/>
              <w:rPr>
                <w:sz w:val="16"/>
                <w:szCs w:val="16"/>
              </w:rPr>
            </w:pPr>
            <w:r w:rsidRPr="008D6400">
              <w:rPr>
                <w:sz w:val="16"/>
                <w:szCs w:val="16"/>
              </w:rPr>
              <w:t>Proportion of patients presenting with genital discharge/STI prescribed antibiotics with complete documentation of symptoms, history, diagnosis, tests etc</w:t>
            </w:r>
            <w:r w:rsidR="006371BA">
              <w:rPr>
                <w:sz w:val="16"/>
                <w:szCs w:val="16"/>
              </w:rPr>
              <w:t>.</w:t>
            </w:r>
          </w:p>
        </w:tc>
      </w:tr>
      <w:tr w:rsidR="00EC489D" w:rsidRPr="008D6400" w14:paraId="64199E8B" w14:textId="77777777" w:rsidTr="00450F1F">
        <w:tc>
          <w:tcPr>
            <w:tcW w:w="991" w:type="dxa"/>
            <w:vMerge w:val="restart"/>
            <w:vAlign w:val="center"/>
          </w:tcPr>
          <w:p w14:paraId="34ED1449" w14:textId="77777777" w:rsidR="00EC489D" w:rsidRPr="008D6400" w:rsidRDefault="00EC489D" w:rsidP="00DD4311">
            <w:pPr>
              <w:spacing w:line="240" w:lineRule="auto"/>
              <w:jc w:val="center"/>
              <w:rPr>
                <w:b/>
                <w:bCs/>
                <w:sz w:val="16"/>
                <w:szCs w:val="16"/>
              </w:rPr>
            </w:pPr>
            <w:r w:rsidRPr="008D6400">
              <w:rPr>
                <w:b/>
                <w:bCs/>
                <w:sz w:val="16"/>
                <w:szCs w:val="16"/>
              </w:rPr>
              <w:t>Bacterial eye (n=5; 62.5%)</w:t>
            </w:r>
          </w:p>
        </w:tc>
        <w:tc>
          <w:tcPr>
            <w:tcW w:w="569" w:type="dxa"/>
            <w:vAlign w:val="center"/>
          </w:tcPr>
          <w:p w14:paraId="06300944" w14:textId="33457360" w:rsidR="00EC489D" w:rsidRPr="009244EE" w:rsidRDefault="00EC489D" w:rsidP="009244EE">
            <w:pPr>
              <w:pStyle w:val="ListParagraph"/>
              <w:numPr>
                <w:ilvl w:val="0"/>
                <w:numId w:val="46"/>
              </w:numPr>
              <w:spacing w:line="240" w:lineRule="auto"/>
              <w:rPr>
                <w:sz w:val="16"/>
                <w:szCs w:val="16"/>
              </w:rPr>
            </w:pPr>
          </w:p>
        </w:tc>
        <w:tc>
          <w:tcPr>
            <w:tcW w:w="9214" w:type="dxa"/>
            <w:vAlign w:val="center"/>
          </w:tcPr>
          <w:p w14:paraId="7BE039E2" w14:textId="344E6B3A" w:rsidR="00EC489D" w:rsidRPr="008D6400" w:rsidRDefault="00EC489D" w:rsidP="00DD4311">
            <w:pPr>
              <w:spacing w:line="240" w:lineRule="auto"/>
              <w:jc w:val="left"/>
              <w:rPr>
                <w:sz w:val="16"/>
                <w:szCs w:val="16"/>
              </w:rPr>
            </w:pPr>
            <w:r w:rsidRPr="008D6400">
              <w:rPr>
                <w:sz w:val="16"/>
                <w:szCs w:val="16"/>
              </w:rPr>
              <w:t>Proportion of patients presenting with bacterial eye infections given the duration in days of oral antibiotics recommended in the WHO AWaRe Antibiotic Book</w:t>
            </w:r>
          </w:p>
        </w:tc>
      </w:tr>
      <w:tr w:rsidR="00EC489D" w:rsidRPr="008D6400" w14:paraId="69C474ED" w14:textId="77777777" w:rsidTr="00450F1F">
        <w:tc>
          <w:tcPr>
            <w:tcW w:w="991" w:type="dxa"/>
            <w:vMerge/>
            <w:vAlign w:val="center"/>
          </w:tcPr>
          <w:p w14:paraId="45E415AF" w14:textId="77777777" w:rsidR="00EC489D" w:rsidRPr="008D6400" w:rsidRDefault="00EC489D" w:rsidP="00DD4311">
            <w:pPr>
              <w:spacing w:line="240" w:lineRule="auto"/>
              <w:jc w:val="center"/>
              <w:rPr>
                <w:sz w:val="16"/>
                <w:szCs w:val="16"/>
              </w:rPr>
            </w:pPr>
          </w:p>
        </w:tc>
        <w:tc>
          <w:tcPr>
            <w:tcW w:w="569" w:type="dxa"/>
            <w:vAlign w:val="center"/>
          </w:tcPr>
          <w:p w14:paraId="5A20B696" w14:textId="1DFB25D4" w:rsidR="00EC489D" w:rsidRPr="009244EE" w:rsidRDefault="00EC489D" w:rsidP="009244EE">
            <w:pPr>
              <w:pStyle w:val="ListParagraph"/>
              <w:numPr>
                <w:ilvl w:val="0"/>
                <w:numId w:val="46"/>
              </w:numPr>
              <w:spacing w:line="240" w:lineRule="auto"/>
              <w:rPr>
                <w:sz w:val="16"/>
                <w:szCs w:val="16"/>
              </w:rPr>
            </w:pPr>
          </w:p>
        </w:tc>
        <w:tc>
          <w:tcPr>
            <w:tcW w:w="9214" w:type="dxa"/>
            <w:vAlign w:val="center"/>
          </w:tcPr>
          <w:p w14:paraId="3409746E" w14:textId="3F74595A" w:rsidR="00EC489D" w:rsidRPr="008D6400" w:rsidRDefault="00EC489D" w:rsidP="00DD4311">
            <w:pPr>
              <w:spacing w:line="240" w:lineRule="auto"/>
              <w:jc w:val="left"/>
              <w:rPr>
                <w:sz w:val="16"/>
                <w:szCs w:val="16"/>
              </w:rPr>
            </w:pPr>
            <w:r w:rsidRPr="008D6400">
              <w:rPr>
                <w:sz w:val="16"/>
                <w:szCs w:val="16"/>
              </w:rPr>
              <w:t>Proportion of patients with bacterial eye infections prescribed the total daily dose of oral antibiotics recommended in the WHO AWaRe Antibiotic Book</w:t>
            </w:r>
          </w:p>
        </w:tc>
      </w:tr>
      <w:tr w:rsidR="00EC489D" w:rsidRPr="008D6400" w14:paraId="30068B14" w14:textId="77777777" w:rsidTr="00450F1F">
        <w:tc>
          <w:tcPr>
            <w:tcW w:w="991" w:type="dxa"/>
            <w:vMerge/>
            <w:vAlign w:val="center"/>
          </w:tcPr>
          <w:p w14:paraId="30C6A78D" w14:textId="77777777" w:rsidR="00EC489D" w:rsidRPr="008D6400" w:rsidRDefault="00EC489D" w:rsidP="00DD4311">
            <w:pPr>
              <w:spacing w:line="240" w:lineRule="auto"/>
              <w:jc w:val="center"/>
              <w:rPr>
                <w:sz w:val="16"/>
                <w:szCs w:val="16"/>
              </w:rPr>
            </w:pPr>
          </w:p>
        </w:tc>
        <w:tc>
          <w:tcPr>
            <w:tcW w:w="569" w:type="dxa"/>
            <w:vAlign w:val="center"/>
          </w:tcPr>
          <w:p w14:paraId="5016A4F0" w14:textId="7CC93DF2" w:rsidR="00EC489D" w:rsidRPr="009244EE" w:rsidRDefault="00EC489D" w:rsidP="009244EE">
            <w:pPr>
              <w:pStyle w:val="ListParagraph"/>
              <w:numPr>
                <w:ilvl w:val="0"/>
                <w:numId w:val="46"/>
              </w:numPr>
              <w:spacing w:line="240" w:lineRule="auto"/>
              <w:rPr>
                <w:sz w:val="16"/>
                <w:szCs w:val="16"/>
              </w:rPr>
            </w:pPr>
          </w:p>
        </w:tc>
        <w:tc>
          <w:tcPr>
            <w:tcW w:w="9214" w:type="dxa"/>
            <w:vAlign w:val="center"/>
          </w:tcPr>
          <w:p w14:paraId="0FC2676D" w14:textId="6D949DE5" w:rsidR="00EC489D" w:rsidRPr="008D6400" w:rsidRDefault="00EC489D" w:rsidP="00DD4311">
            <w:pPr>
              <w:spacing w:line="240" w:lineRule="auto"/>
              <w:jc w:val="left"/>
              <w:rPr>
                <w:sz w:val="16"/>
                <w:szCs w:val="16"/>
              </w:rPr>
            </w:pPr>
            <w:r w:rsidRPr="008D6400">
              <w:rPr>
                <w:sz w:val="16"/>
                <w:szCs w:val="16"/>
              </w:rPr>
              <w:t>Proportion of patients with eye infections prescribed the total daily dose of oral antibiotics recommended in the WHO AWaRe Antibiotic Book</w:t>
            </w:r>
          </w:p>
        </w:tc>
      </w:tr>
      <w:tr w:rsidR="00EC489D" w:rsidRPr="008D6400" w14:paraId="350EFD7E" w14:textId="77777777" w:rsidTr="00450F1F">
        <w:tc>
          <w:tcPr>
            <w:tcW w:w="991" w:type="dxa"/>
            <w:vMerge/>
            <w:vAlign w:val="center"/>
          </w:tcPr>
          <w:p w14:paraId="061246E0" w14:textId="77777777" w:rsidR="00EC489D" w:rsidRPr="008D6400" w:rsidRDefault="00EC489D" w:rsidP="00DD4311">
            <w:pPr>
              <w:spacing w:line="240" w:lineRule="auto"/>
              <w:jc w:val="center"/>
              <w:rPr>
                <w:sz w:val="16"/>
                <w:szCs w:val="16"/>
              </w:rPr>
            </w:pPr>
          </w:p>
        </w:tc>
        <w:tc>
          <w:tcPr>
            <w:tcW w:w="569" w:type="dxa"/>
            <w:vAlign w:val="center"/>
          </w:tcPr>
          <w:p w14:paraId="0635B33B" w14:textId="08B75308" w:rsidR="00EC489D" w:rsidRPr="009244EE" w:rsidRDefault="00EC489D" w:rsidP="009244EE">
            <w:pPr>
              <w:pStyle w:val="ListParagraph"/>
              <w:numPr>
                <w:ilvl w:val="0"/>
                <w:numId w:val="46"/>
              </w:numPr>
              <w:spacing w:line="240" w:lineRule="auto"/>
              <w:rPr>
                <w:sz w:val="16"/>
                <w:szCs w:val="16"/>
              </w:rPr>
            </w:pPr>
          </w:p>
        </w:tc>
        <w:tc>
          <w:tcPr>
            <w:tcW w:w="9214" w:type="dxa"/>
            <w:vAlign w:val="center"/>
          </w:tcPr>
          <w:p w14:paraId="55298638" w14:textId="797A4FFA" w:rsidR="00EC489D" w:rsidRPr="008D6400" w:rsidRDefault="00EC489D" w:rsidP="00DD4311">
            <w:pPr>
              <w:spacing w:line="240" w:lineRule="auto"/>
              <w:jc w:val="left"/>
              <w:rPr>
                <w:sz w:val="16"/>
                <w:szCs w:val="16"/>
              </w:rPr>
            </w:pPr>
            <w:r w:rsidRPr="008D6400">
              <w:rPr>
                <w:sz w:val="16"/>
                <w:szCs w:val="16"/>
              </w:rPr>
              <w:t>Proportion of patients with eye infections prescribed topical antibiotics recommended in the WHO AWaRe Antibiotic Book</w:t>
            </w:r>
          </w:p>
        </w:tc>
      </w:tr>
      <w:tr w:rsidR="00EC489D" w:rsidRPr="008D6400" w14:paraId="730C604E" w14:textId="77777777" w:rsidTr="00450F1F">
        <w:tc>
          <w:tcPr>
            <w:tcW w:w="991" w:type="dxa"/>
            <w:vMerge/>
            <w:vAlign w:val="center"/>
          </w:tcPr>
          <w:p w14:paraId="1B1F9AE0" w14:textId="77777777" w:rsidR="00EC489D" w:rsidRPr="008D6400" w:rsidRDefault="00EC489D" w:rsidP="00DD4311">
            <w:pPr>
              <w:spacing w:line="240" w:lineRule="auto"/>
              <w:jc w:val="center"/>
              <w:rPr>
                <w:sz w:val="16"/>
                <w:szCs w:val="16"/>
              </w:rPr>
            </w:pPr>
          </w:p>
        </w:tc>
        <w:tc>
          <w:tcPr>
            <w:tcW w:w="569" w:type="dxa"/>
            <w:vAlign w:val="center"/>
          </w:tcPr>
          <w:p w14:paraId="26853D85" w14:textId="181F41AD" w:rsidR="00EC489D" w:rsidRPr="009244EE" w:rsidRDefault="00EC489D" w:rsidP="009244EE">
            <w:pPr>
              <w:pStyle w:val="ListParagraph"/>
              <w:numPr>
                <w:ilvl w:val="0"/>
                <w:numId w:val="46"/>
              </w:numPr>
              <w:spacing w:line="240" w:lineRule="auto"/>
              <w:rPr>
                <w:sz w:val="16"/>
                <w:szCs w:val="16"/>
              </w:rPr>
            </w:pPr>
          </w:p>
        </w:tc>
        <w:tc>
          <w:tcPr>
            <w:tcW w:w="9214" w:type="dxa"/>
            <w:vAlign w:val="center"/>
          </w:tcPr>
          <w:p w14:paraId="6095EF5B" w14:textId="645B1856" w:rsidR="00EC489D" w:rsidRPr="008D6400" w:rsidRDefault="00EC489D" w:rsidP="00DD4311">
            <w:pPr>
              <w:spacing w:line="240" w:lineRule="auto"/>
              <w:jc w:val="left"/>
              <w:rPr>
                <w:sz w:val="16"/>
                <w:szCs w:val="16"/>
              </w:rPr>
            </w:pPr>
            <w:r w:rsidRPr="008D6400">
              <w:rPr>
                <w:sz w:val="16"/>
                <w:szCs w:val="16"/>
              </w:rPr>
              <w:t>Proportion of patients with bacterial eye infections prescribed topical antibiotics recommended in the WHO AWaRe Antibiotic Book</w:t>
            </w:r>
          </w:p>
        </w:tc>
      </w:tr>
      <w:tr w:rsidR="00EC489D" w:rsidRPr="008D6400" w14:paraId="1B25BB2D" w14:textId="77777777" w:rsidTr="00450F1F">
        <w:tc>
          <w:tcPr>
            <w:tcW w:w="991" w:type="dxa"/>
            <w:vMerge w:val="restart"/>
            <w:vAlign w:val="center"/>
          </w:tcPr>
          <w:p w14:paraId="3CD77FE8" w14:textId="77777777" w:rsidR="00EC489D" w:rsidRPr="008D6400" w:rsidRDefault="00EC489D" w:rsidP="00DD4311">
            <w:pPr>
              <w:spacing w:line="240" w:lineRule="auto"/>
              <w:jc w:val="center"/>
              <w:rPr>
                <w:b/>
                <w:bCs/>
                <w:sz w:val="16"/>
                <w:szCs w:val="16"/>
              </w:rPr>
            </w:pPr>
            <w:r w:rsidRPr="008D6400">
              <w:rPr>
                <w:b/>
                <w:bCs/>
                <w:sz w:val="16"/>
                <w:szCs w:val="16"/>
              </w:rPr>
              <w:t>Dental (n=9; 100%)</w:t>
            </w:r>
          </w:p>
        </w:tc>
        <w:tc>
          <w:tcPr>
            <w:tcW w:w="569" w:type="dxa"/>
            <w:vAlign w:val="center"/>
          </w:tcPr>
          <w:p w14:paraId="3252AC97" w14:textId="4769C5E5" w:rsidR="00EC489D" w:rsidRPr="009244EE" w:rsidRDefault="00EC489D" w:rsidP="009244EE">
            <w:pPr>
              <w:pStyle w:val="ListParagraph"/>
              <w:numPr>
                <w:ilvl w:val="0"/>
                <w:numId w:val="46"/>
              </w:numPr>
              <w:spacing w:line="240" w:lineRule="auto"/>
              <w:rPr>
                <w:sz w:val="16"/>
                <w:szCs w:val="16"/>
              </w:rPr>
            </w:pPr>
          </w:p>
        </w:tc>
        <w:tc>
          <w:tcPr>
            <w:tcW w:w="9214" w:type="dxa"/>
            <w:vAlign w:val="center"/>
          </w:tcPr>
          <w:p w14:paraId="28B3F75F" w14:textId="15C19873" w:rsidR="00EC489D" w:rsidRPr="008D6400" w:rsidRDefault="00EC489D" w:rsidP="00DD4311">
            <w:pPr>
              <w:spacing w:line="240" w:lineRule="auto"/>
              <w:jc w:val="left"/>
              <w:rPr>
                <w:sz w:val="16"/>
                <w:szCs w:val="16"/>
              </w:rPr>
            </w:pPr>
            <w:r w:rsidRPr="008D6400">
              <w:rPr>
                <w:sz w:val="16"/>
                <w:szCs w:val="16"/>
              </w:rPr>
              <w:t>Proportion of otherwise healthy adults presenting with dental infections given an oral antibiotic</w:t>
            </w:r>
          </w:p>
        </w:tc>
      </w:tr>
      <w:tr w:rsidR="00EC489D" w:rsidRPr="008D6400" w14:paraId="1FB669F4" w14:textId="77777777" w:rsidTr="009244EE">
        <w:trPr>
          <w:trHeight w:val="400"/>
        </w:trPr>
        <w:tc>
          <w:tcPr>
            <w:tcW w:w="991" w:type="dxa"/>
            <w:vMerge/>
            <w:vAlign w:val="center"/>
          </w:tcPr>
          <w:p w14:paraId="118A61A7" w14:textId="77777777" w:rsidR="00EC489D" w:rsidRPr="008D6400" w:rsidRDefault="00EC489D" w:rsidP="00DD4311">
            <w:pPr>
              <w:spacing w:line="240" w:lineRule="auto"/>
              <w:jc w:val="center"/>
              <w:rPr>
                <w:sz w:val="16"/>
                <w:szCs w:val="16"/>
              </w:rPr>
            </w:pPr>
          </w:p>
        </w:tc>
        <w:tc>
          <w:tcPr>
            <w:tcW w:w="569" w:type="dxa"/>
            <w:vAlign w:val="center"/>
          </w:tcPr>
          <w:p w14:paraId="04D0EEE8" w14:textId="3CA97C24" w:rsidR="00EC489D" w:rsidRPr="009244EE" w:rsidRDefault="00EC489D" w:rsidP="009244EE">
            <w:pPr>
              <w:pStyle w:val="ListParagraph"/>
              <w:numPr>
                <w:ilvl w:val="0"/>
                <w:numId w:val="46"/>
              </w:numPr>
              <w:spacing w:line="240" w:lineRule="auto"/>
              <w:rPr>
                <w:sz w:val="16"/>
                <w:szCs w:val="16"/>
              </w:rPr>
            </w:pPr>
          </w:p>
        </w:tc>
        <w:tc>
          <w:tcPr>
            <w:tcW w:w="9214" w:type="dxa"/>
            <w:vAlign w:val="center"/>
          </w:tcPr>
          <w:p w14:paraId="5E69E656" w14:textId="3F023B42" w:rsidR="00EC489D" w:rsidRPr="008D6400" w:rsidRDefault="00EC489D" w:rsidP="00DD4311">
            <w:pPr>
              <w:spacing w:line="240" w:lineRule="auto"/>
              <w:jc w:val="left"/>
              <w:rPr>
                <w:sz w:val="16"/>
                <w:szCs w:val="16"/>
              </w:rPr>
            </w:pPr>
            <w:r w:rsidRPr="008D6400">
              <w:rPr>
                <w:sz w:val="16"/>
                <w:szCs w:val="16"/>
              </w:rPr>
              <w:t>Proportion of otherwise healthy adults presenting with severe*</w:t>
            </w:r>
            <w:r w:rsidR="006371BA">
              <w:rPr>
                <w:sz w:val="16"/>
                <w:szCs w:val="16"/>
              </w:rPr>
              <w:t>*</w:t>
            </w:r>
            <w:r w:rsidRPr="008D6400">
              <w:rPr>
                <w:sz w:val="16"/>
                <w:szCs w:val="16"/>
              </w:rPr>
              <w:t xml:space="preserve"> dental infections given an oral antibiotic</w:t>
            </w:r>
          </w:p>
        </w:tc>
      </w:tr>
      <w:tr w:rsidR="00EC489D" w:rsidRPr="008D6400" w14:paraId="6C57A9DE" w14:textId="77777777" w:rsidTr="00450F1F">
        <w:tc>
          <w:tcPr>
            <w:tcW w:w="991" w:type="dxa"/>
            <w:vMerge/>
            <w:vAlign w:val="center"/>
          </w:tcPr>
          <w:p w14:paraId="340B8105" w14:textId="77777777" w:rsidR="00EC489D" w:rsidRPr="008D6400" w:rsidRDefault="00EC489D" w:rsidP="00DD4311">
            <w:pPr>
              <w:spacing w:line="240" w:lineRule="auto"/>
              <w:jc w:val="center"/>
              <w:rPr>
                <w:sz w:val="16"/>
                <w:szCs w:val="16"/>
              </w:rPr>
            </w:pPr>
          </w:p>
        </w:tc>
        <w:tc>
          <w:tcPr>
            <w:tcW w:w="569" w:type="dxa"/>
            <w:vAlign w:val="center"/>
          </w:tcPr>
          <w:p w14:paraId="38616C51" w14:textId="573A6E6C" w:rsidR="00EC489D" w:rsidRPr="009244EE" w:rsidRDefault="00EC489D" w:rsidP="009244EE">
            <w:pPr>
              <w:pStyle w:val="ListParagraph"/>
              <w:numPr>
                <w:ilvl w:val="0"/>
                <w:numId w:val="46"/>
              </w:numPr>
              <w:spacing w:line="240" w:lineRule="auto"/>
              <w:rPr>
                <w:sz w:val="16"/>
                <w:szCs w:val="16"/>
              </w:rPr>
            </w:pPr>
          </w:p>
        </w:tc>
        <w:tc>
          <w:tcPr>
            <w:tcW w:w="9214" w:type="dxa"/>
            <w:vAlign w:val="center"/>
          </w:tcPr>
          <w:p w14:paraId="0C852E8E" w14:textId="53A837C1" w:rsidR="00EC489D" w:rsidRPr="008D6400" w:rsidRDefault="00EC489D" w:rsidP="00DD4311">
            <w:pPr>
              <w:spacing w:line="240" w:lineRule="auto"/>
              <w:jc w:val="left"/>
              <w:rPr>
                <w:sz w:val="16"/>
                <w:szCs w:val="16"/>
              </w:rPr>
            </w:pPr>
            <w:r w:rsidRPr="008D6400">
              <w:rPr>
                <w:sz w:val="16"/>
                <w:szCs w:val="16"/>
              </w:rPr>
              <w:t>Proportion of patients presenting with dental infections at high risk* of severe complications given an oral antibiotic</w:t>
            </w:r>
          </w:p>
        </w:tc>
      </w:tr>
      <w:tr w:rsidR="00EC489D" w:rsidRPr="008D6400" w14:paraId="66683CFD" w14:textId="77777777" w:rsidTr="00450F1F">
        <w:tc>
          <w:tcPr>
            <w:tcW w:w="991" w:type="dxa"/>
            <w:vMerge/>
            <w:vAlign w:val="center"/>
          </w:tcPr>
          <w:p w14:paraId="7A1C90E5" w14:textId="77777777" w:rsidR="00EC489D" w:rsidRPr="008D6400" w:rsidRDefault="00EC489D" w:rsidP="00DD4311">
            <w:pPr>
              <w:spacing w:line="240" w:lineRule="auto"/>
              <w:jc w:val="center"/>
              <w:rPr>
                <w:sz w:val="16"/>
                <w:szCs w:val="16"/>
              </w:rPr>
            </w:pPr>
          </w:p>
        </w:tc>
        <w:tc>
          <w:tcPr>
            <w:tcW w:w="569" w:type="dxa"/>
            <w:vAlign w:val="center"/>
          </w:tcPr>
          <w:p w14:paraId="34EFAD15" w14:textId="5EA9F74C" w:rsidR="00EC489D" w:rsidRPr="009244EE" w:rsidRDefault="00EC489D" w:rsidP="009244EE">
            <w:pPr>
              <w:pStyle w:val="ListParagraph"/>
              <w:numPr>
                <w:ilvl w:val="0"/>
                <w:numId w:val="46"/>
              </w:numPr>
              <w:spacing w:line="240" w:lineRule="auto"/>
              <w:rPr>
                <w:sz w:val="16"/>
                <w:szCs w:val="16"/>
              </w:rPr>
            </w:pPr>
          </w:p>
        </w:tc>
        <w:tc>
          <w:tcPr>
            <w:tcW w:w="9214" w:type="dxa"/>
            <w:vAlign w:val="center"/>
          </w:tcPr>
          <w:p w14:paraId="69CFDD43" w14:textId="776FCCB7" w:rsidR="00EC489D" w:rsidRPr="008D6400" w:rsidRDefault="00EC489D" w:rsidP="00DD4311">
            <w:pPr>
              <w:spacing w:line="240" w:lineRule="auto"/>
              <w:jc w:val="left"/>
              <w:rPr>
                <w:sz w:val="16"/>
                <w:szCs w:val="16"/>
              </w:rPr>
            </w:pPr>
            <w:r w:rsidRPr="008D6400">
              <w:rPr>
                <w:sz w:val="16"/>
                <w:szCs w:val="16"/>
              </w:rPr>
              <w:t>Proportion of patients presenting with dental infections at high risk* of severe complications given amoxicillin</w:t>
            </w:r>
          </w:p>
        </w:tc>
      </w:tr>
      <w:tr w:rsidR="00EC489D" w:rsidRPr="008D6400" w14:paraId="28E0361D" w14:textId="77777777" w:rsidTr="00450F1F">
        <w:tc>
          <w:tcPr>
            <w:tcW w:w="991" w:type="dxa"/>
            <w:vMerge/>
            <w:vAlign w:val="center"/>
          </w:tcPr>
          <w:p w14:paraId="47F89418" w14:textId="77777777" w:rsidR="00EC489D" w:rsidRPr="008D6400" w:rsidRDefault="00EC489D" w:rsidP="00DD4311">
            <w:pPr>
              <w:spacing w:line="240" w:lineRule="auto"/>
              <w:jc w:val="center"/>
              <w:rPr>
                <w:sz w:val="16"/>
                <w:szCs w:val="16"/>
              </w:rPr>
            </w:pPr>
          </w:p>
        </w:tc>
        <w:tc>
          <w:tcPr>
            <w:tcW w:w="569" w:type="dxa"/>
            <w:vAlign w:val="center"/>
          </w:tcPr>
          <w:p w14:paraId="265642EC" w14:textId="46CBEF47" w:rsidR="00EC489D" w:rsidRPr="009244EE" w:rsidRDefault="00EC489D" w:rsidP="009244EE">
            <w:pPr>
              <w:pStyle w:val="ListParagraph"/>
              <w:numPr>
                <w:ilvl w:val="0"/>
                <w:numId w:val="46"/>
              </w:numPr>
              <w:spacing w:line="240" w:lineRule="auto"/>
              <w:rPr>
                <w:sz w:val="16"/>
                <w:szCs w:val="16"/>
              </w:rPr>
            </w:pPr>
          </w:p>
        </w:tc>
        <w:tc>
          <w:tcPr>
            <w:tcW w:w="9214" w:type="dxa"/>
            <w:vAlign w:val="center"/>
          </w:tcPr>
          <w:p w14:paraId="56522848" w14:textId="170D6E03" w:rsidR="00EC489D" w:rsidRPr="008D6400" w:rsidRDefault="00EC489D" w:rsidP="00DD4311">
            <w:pPr>
              <w:spacing w:line="240" w:lineRule="auto"/>
              <w:jc w:val="left"/>
              <w:rPr>
                <w:sz w:val="16"/>
                <w:szCs w:val="16"/>
              </w:rPr>
            </w:pPr>
            <w:r w:rsidRPr="008D6400">
              <w:rPr>
                <w:sz w:val="16"/>
                <w:szCs w:val="16"/>
              </w:rPr>
              <w:t>Proportion of patients presenting with dental infections at high risk* of severe complications given any oral Access antibiotic (including amoxicillin)</w:t>
            </w:r>
          </w:p>
        </w:tc>
      </w:tr>
      <w:tr w:rsidR="00EC489D" w:rsidRPr="008D6400" w14:paraId="173D65B3" w14:textId="77777777" w:rsidTr="00450F1F">
        <w:tc>
          <w:tcPr>
            <w:tcW w:w="991" w:type="dxa"/>
            <w:vMerge/>
            <w:vAlign w:val="center"/>
          </w:tcPr>
          <w:p w14:paraId="3C88B5DA" w14:textId="77777777" w:rsidR="00EC489D" w:rsidRPr="008D6400" w:rsidRDefault="00EC489D" w:rsidP="00DD4311">
            <w:pPr>
              <w:spacing w:line="240" w:lineRule="auto"/>
              <w:jc w:val="center"/>
              <w:rPr>
                <w:sz w:val="16"/>
                <w:szCs w:val="16"/>
              </w:rPr>
            </w:pPr>
          </w:p>
        </w:tc>
        <w:tc>
          <w:tcPr>
            <w:tcW w:w="569" w:type="dxa"/>
            <w:vAlign w:val="center"/>
          </w:tcPr>
          <w:p w14:paraId="63B53254" w14:textId="1B07BAF8" w:rsidR="00EC489D" w:rsidRPr="009244EE" w:rsidRDefault="00EC489D" w:rsidP="009244EE">
            <w:pPr>
              <w:pStyle w:val="ListParagraph"/>
              <w:numPr>
                <w:ilvl w:val="0"/>
                <w:numId w:val="46"/>
              </w:numPr>
              <w:spacing w:line="240" w:lineRule="auto"/>
              <w:rPr>
                <w:sz w:val="16"/>
                <w:szCs w:val="16"/>
              </w:rPr>
            </w:pPr>
          </w:p>
        </w:tc>
        <w:tc>
          <w:tcPr>
            <w:tcW w:w="9214" w:type="dxa"/>
            <w:vAlign w:val="center"/>
          </w:tcPr>
          <w:p w14:paraId="39589AF4" w14:textId="7942215C" w:rsidR="00EC489D" w:rsidRPr="008D6400" w:rsidRDefault="00EC489D" w:rsidP="00DD4311">
            <w:pPr>
              <w:spacing w:line="240" w:lineRule="auto"/>
              <w:jc w:val="left"/>
              <w:rPr>
                <w:sz w:val="16"/>
                <w:szCs w:val="16"/>
              </w:rPr>
            </w:pPr>
            <w:r w:rsidRPr="008D6400">
              <w:rPr>
                <w:sz w:val="16"/>
                <w:szCs w:val="16"/>
              </w:rPr>
              <w:t>Proportion of patients with lower risk (of bacterial infection) dental infections given oral antibiotics</w:t>
            </w:r>
          </w:p>
        </w:tc>
      </w:tr>
      <w:tr w:rsidR="00EC489D" w:rsidRPr="008D6400" w14:paraId="4DC9C680" w14:textId="77777777" w:rsidTr="00450F1F">
        <w:tc>
          <w:tcPr>
            <w:tcW w:w="991" w:type="dxa"/>
            <w:vMerge/>
            <w:vAlign w:val="center"/>
          </w:tcPr>
          <w:p w14:paraId="29733C73" w14:textId="77777777" w:rsidR="00EC489D" w:rsidRPr="008D6400" w:rsidRDefault="00EC489D" w:rsidP="00DD4311">
            <w:pPr>
              <w:spacing w:line="240" w:lineRule="auto"/>
              <w:jc w:val="center"/>
              <w:rPr>
                <w:sz w:val="16"/>
                <w:szCs w:val="16"/>
              </w:rPr>
            </w:pPr>
          </w:p>
        </w:tc>
        <w:tc>
          <w:tcPr>
            <w:tcW w:w="569" w:type="dxa"/>
            <w:vAlign w:val="center"/>
          </w:tcPr>
          <w:p w14:paraId="44E2D900" w14:textId="7E17C150" w:rsidR="00EC489D" w:rsidRPr="009244EE" w:rsidRDefault="00EC489D" w:rsidP="009244EE">
            <w:pPr>
              <w:pStyle w:val="ListParagraph"/>
              <w:numPr>
                <w:ilvl w:val="0"/>
                <w:numId w:val="46"/>
              </w:numPr>
              <w:spacing w:line="240" w:lineRule="auto"/>
              <w:rPr>
                <w:sz w:val="16"/>
                <w:szCs w:val="16"/>
              </w:rPr>
            </w:pPr>
          </w:p>
        </w:tc>
        <w:tc>
          <w:tcPr>
            <w:tcW w:w="9214" w:type="dxa"/>
            <w:vAlign w:val="center"/>
          </w:tcPr>
          <w:p w14:paraId="4DABAAF1" w14:textId="7906B011" w:rsidR="00EC489D" w:rsidRPr="008D6400" w:rsidRDefault="00EC489D" w:rsidP="00DD4311">
            <w:pPr>
              <w:spacing w:line="240" w:lineRule="auto"/>
              <w:jc w:val="left"/>
              <w:rPr>
                <w:sz w:val="16"/>
                <w:szCs w:val="16"/>
              </w:rPr>
            </w:pPr>
            <w:r w:rsidRPr="008D6400">
              <w:rPr>
                <w:sz w:val="16"/>
                <w:szCs w:val="16"/>
              </w:rPr>
              <w:t>Proportion of patients presenting with dental infections given the duration in days of oral antibiotics recommended in the WHO AWaRe Antibiotic Book</w:t>
            </w:r>
          </w:p>
        </w:tc>
      </w:tr>
      <w:tr w:rsidR="00EC489D" w:rsidRPr="008D6400" w14:paraId="120F1EFE" w14:textId="77777777" w:rsidTr="00450F1F">
        <w:tc>
          <w:tcPr>
            <w:tcW w:w="991" w:type="dxa"/>
            <w:vMerge/>
            <w:vAlign w:val="center"/>
          </w:tcPr>
          <w:p w14:paraId="50D10C5E" w14:textId="77777777" w:rsidR="00EC489D" w:rsidRPr="008D6400" w:rsidRDefault="00EC489D" w:rsidP="00DD4311">
            <w:pPr>
              <w:spacing w:line="240" w:lineRule="auto"/>
              <w:jc w:val="center"/>
              <w:rPr>
                <w:sz w:val="16"/>
                <w:szCs w:val="16"/>
              </w:rPr>
            </w:pPr>
          </w:p>
        </w:tc>
        <w:tc>
          <w:tcPr>
            <w:tcW w:w="569" w:type="dxa"/>
            <w:vAlign w:val="center"/>
          </w:tcPr>
          <w:p w14:paraId="7ED45341" w14:textId="5D6EA75A" w:rsidR="00EC489D" w:rsidRPr="009244EE" w:rsidRDefault="00EC489D" w:rsidP="009244EE">
            <w:pPr>
              <w:pStyle w:val="ListParagraph"/>
              <w:numPr>
                <w:ilvl w:val="0"/>
                <w:numId w:val="46"/>
              </w:numPr>
              <w:spacing w:line="240" w:lineRule="auto"/>
              <w:rPr>
                <w:sz w:val="16"/>
                <w:szCs w:val="16"/>
              </w:rPr>
            </w:pPr>
          </w:p>
        </w:tc>
        <w:tc>
          <w:tcPr>
            <w:tcW w:w="9214" w:type="dxa"/>
            <w:vAlign w:val="center"/>
          </w:tcPr>
          <w:p w14:paraId="328ACE0A" w14:textId="109D80E1" w:rsidR="00EC489D" w:rsidRPr="008D6400" w:rsidRDefault="00EC489D" w:rsidP="00DD4311">
            <w:pPr>
              <w:spacing w:line="240" w:lineRule="auto"/>
              <w:jc w:val="left"/>
              <w:rPr>
                <w:sz w:val="16"/>
                <w:szCs w:val="16"/>
              </w:rPr>
            </w:pPr>
            <w:r w:rsidRPr="008D6400">
              <w:rPr>
                <w:sz w:val="16"/>
                <w:szCs w:val="16"/>
              </w:rPr>
              <w:t>Proportion of patients with dental infections prescribed the total daily dose of oral antibiotic recommended in the WHO AWaRe Antibiotic Book</w:t>
            </w:r>
          </w:p>
        </w:tc>
      </w:tr>
      <w:tr w:rsidR="00EC489D" w:rsidRPr="008D6400" w14:paraId="4C3AAA4E" w14:textId="77777777" w:rsidTr="00450F1F">
        <w:tc>
          <w:tcPr>
            <w:tcW w:w="991" w:type="dxa"/>
            <w:vMerge/>
            <w:vAlign w:val="center"/>
          </w:tcPr>
          <w:p w14:paraId="6924A314" w14:textId="77777777" w:rsidR="00EC489D" w:rsidRPr="008D6400" w:rsidRDefault="00EC489D" w:rsidP="00DD4311">
            <w:pPr>
              <w:spacing w:line="240" w:lineRule="auto"/>
              <w:jc w:val="center"/>
              <w:rPr>
                <w:sz w:val="16"/>
                <w:szCs w:val="16"/>
              </w:rPr>
            </w:pPr>
          </w:p>
        </w:tc>
        <w:tc>
          <w:tcPr>
            <w:tcW w:w="569" w:type="dxa"/>
            <w:vAlign w:val="center"/>
          </w:tcPr>
          <w:p w14:paraId="3D9127EF" w14:textId="6383099F" w:rsidR="00EC489D" w:rsidRPr="009244EE" w:rsidRDefault="00EC489D" w:rsidP="009244EE">
            <w:pPr>
              <w:pStyle w:val="ListParagraph"/>
              <w:numPr>
                <w:ilvl w:val="0"/>
                <w:numId w:val="46"/>
              </w:numPr>
              <w:spacing w:line="240" w:lineRule="auto"/>
              <w:rPr>
                <w:sz w:val="16"/>
                <w:szCs w:val="16"/>
              </w:rPr>
            </w:pPr>
          </w:p>
        </w:tc>
        <w:tc>
          <w:tcPr>
            <w:tcW w:w="9214" w:type="dxa"/>
            <w:vAlign w:val="center"/>
          </w:tcPr>
          <w:p w14:paraId="04B5C45C" w14:textId="0565DF3B" w:rsidR="00EC489D" w:rsidRPr="008D6400" w:rsidRDefault="00EC489D" w:rsidP="00DD4311">
            <w:pPr>
              <w:spacing w:line="240" w:lineRule="auto"/>
              <w:jc w:val="left"/>
              <w:rPr>
                <w:sz w:val="16"/>
                <w:szCs w:val="16"/>
              </w:rPr>
            </w:pPr>
            <w:r w:rsidRPr="008D6400">
              <w:rPr>
                <w:sz w:val="16"/>
                <w:szCs w:val="16"/>
              </w:rPr>
              <w:t>Proportion of patients with dental infections given oral Watch antibiotics</w:t>
            </w:r>
          </w:p>
        </w:tc>
      </w:tr>
      <w:tr w:rsidR="00EC489D" w:rsidRPr="008D6400" w14:paraId="51E14780" w14:textId="77777777" w:rsidTr="00450F1F">
        <w:tc>
          <w:tcPr>
            <w:tcW w:w="991" w:type="dxa"/>
            <w:vMerge w:val="restart"/>
            <w:vAlign w:val="center"/>
          </w:tcPr>
          <w:p w14:paraId="01A4449D" w14:textId="77777777" w:rsidR="00EC489D" w:rsidRPr="008D6400" w:rsidRDefault="00EC489D" w:rsidP="00DD4311">
            <w:pPr>
              <w:spacing w:line="240" w:lineRule="auto"/>
              <w:jc w:val="center"/>
              <w:rPr>
                <w:b/>
                <w:bCs/>
                <w:sz w:val="16"/>
                <w:szCs w:val="16"/>
              </w:rPr>
            </w:pPr>
            <w:r w:rsidRPr="008D6400">
              <w:rPr>
                <w:b/>
                <w:bCs/>
                <w:sz w:val="16"/>
                <w:szCs w:val="16"/>
              </w:rPr>
              <w:t>General (n=4; 50%)</w:t>
            </w:r>
          </w:p>
        </w:tc>
        <w:tc>
          <w:tcPr>
            <w:tcW w:w="569" w:type="dxa"/>
            <w:vAlign w:val="center"/>
          </w:tcPr>
          <w:p w14:paraId="15E8D916" w14:textId="3FAB3A44" w:rsidR="00EC489D" w:rsidRPr="009244EE" w:rsidRDefault="00EC489D" w:rsidP="009244EE">
            <w:pPr>
              <w:pStyle w:val="ListParagraph"/>
              <w:numPr>
                <w:ilvl w:val="0"/>
                <w:numId w:val="46"/>
              </w:numPr>
              <w:spacing w:line="240" w:lineRule="auto"/>
              <w:rPr>
                <w:sz w:val="16"/>
                <w:szCs w:val="16"/>
              </w:rPr>
            </w:pPr>
          </w:p>
        </w:tc>
        <w:tc>
          <w:tcPr>
            <w:tcW w:w="9214" w:type="dxa"/>
            <w:vAlign w:val="center"/>
          </w:tcPr>
          <w:p w14:paraId="20DCCE41" w14:textId="30318359" w:rsidR="00EC489D" w:rsidRPr="008D6400" w:rsidRDefault="00EC489D" w:rsidP="00DD4311">
            <w:pPr>
              <w:spacing w:line="240" w:lineRule="auto"/>
              <w:jc w:val="left"/>
              <w:rPr>
                <w:sz w:val="16"/>
                <w:szCs w:val="16"/>
              </w:rPr>
            </w:pPr>
            <w:r w:rsidRPr="008D6400">
              <w:rPr>
                <w:sz w:val="16"/>
                <w:szCs w:val="16"/>
              </w:rPr>
              <w:t>Allergy status of the patient to any antibiotic should be documented in the medical records</w:t>
            </w:r>
          </w:p>
        </w:tc>
      </w:tr>
      <w:tr w:rsidR="00EC489D" w:rsidRPr="008D6400" w14:paraId="208B0510" w14:textId="77777777" w:rsidTr="00450F1F">
        <w:tc>
          <w:tcPr>
            <w:tcW w:w="991" w:type="dxa"/>
            <w:vMerge/>
            <w:vAlign w:val="center"/>
          </w:tcPr>
          <w:p w14:paraId="4A80DE51" w14:textId="77777777" w:rsidR="00EC489D" w:rsidRPr="008D6400" w:rsidRDefault="00EC489D" w:rsidP="00DD4311">
            <w:pPr>
              <w:spacing w:line="240" w:lineRule="auto"/>
              <w:jc w:val="center"/>
              <w:rPr>
                <w:sz w:val="16"/>
                <w:szCs w:val="16"/>
              </w:rPr>
            </w:pPr>
          </w:p>
        </w:tc>
        <w:tc>
          <w:tcPr>
            <w:tcW w:w="569" w:type="dxa"/>
            <w:vAlign w:val="center"/>
          </w:tcPr>
          <w:p w14:paraId="4CDD9F4B" w14:textId="51CC2D23" w:rsidR="00EC489D" w:rsidRPr="009244EE" w:rsidRDefault="00EC489D" w:rsidP="009244EE">
            <w:pPr>
              <w:pStyle w:val="ListParagraph"/>
              <w:numPr>
                <w:ilvl w:val="0"/>
                <w:numId w:val="46"/>
              </w:numPr>
              <w:spacing w:line="240" w:lineRule="auto"/>
              <w:rPr>
                <w:sz w:val="16"/>
                <w:szCs w:val="16"/>
              </w:rPr>
            </w:pPr>
          </w:p>
        </w:tc>
        <w:tc>
          <w:tcPr>
            <w:tcW w:w="9214" w:type="dxa"/>
            <w:vAlign w:val="center"/>
          </w:tcPr>
          <w:p w14:paraId="6D34E03A" w14:textId="7688A78C" w:rsidR="00EC489D" w:rsidRPr="008D6400" w:rsidRDefault="00EC489D" w:rsidP="00DD4311">
            <w:pPr>
              <w:spacing w:line="240" w:lineRule="auto"/>
              <w:jc w:val="left"/>
              <w:rPr>
                <w:sz w:val="16"/>
                <w:szCs w:val="16"/>
              </w:rPr>
            </w:pPr>
            <w:r w:rsidRPr="008D6400">
              <w:rPr>
                <w:sz w:val="16"/>
                <w:szCs w:val="16"/>
              </w:rPr>
              <w:t>At least 80% of total oral antibiotic use in primary care should be Access antibiotics</w:t>
            </w:r>
          </w:p>
        </w:tc>
      </w:tr>
      <w:tr w:rsidR="00EC489D" w:rsidRPr="008D6400" w14:paraId="492771B3" w14:textId="77777777" w:rsidTr="00450F1F">
        <w:tc>
          <w:tcPr>
            <w:tcW w:w="991" w:type="dxa"/>
            <w:vMerge/>
            <w:vAlign w:val="center"/>
          </w:tcPr>
          <w:p w14:paraId="104DF12F" w14:textId="77777777" w:rsidR="00EC489D" w:rsidRPr="008D6400" w:rsidRDefault="00EC489D" w:rsidP="00DD4311">
            <w:pPr>
              <w:spacing w:line="240" w:lineRule="auto"/>
              <w:jc w:val="center"/>
              <w:rPr>
                <w:sz w:val="16"/>
                <w:szCs w:val="16"/>
              </w:rPr>
            </w:pPr>
          </w:p>
        </w:tc>
        <w:tc>
          <w:tcPr>
            <w:tcW w:w="569" w:type="dxa"/>
            <w:vAlign w:val="center"/>
          </w:tcPr>
          <w:p w14:paraId="192A5EA9" w14:textId="53AEED7A" w:rsidR="00EC489D" w:rsidRPr="009244EE" w:rsidRDefault="00EC489D" w:rsidP="009244EE">
            <w:pPr>
              <w:pStyle w:val="ListParagraph"/>
              <w:numPr>
                <w:ilvl w:val="0"/>
                <w:numId w:val="46"/>
              </w:numPr>
              <w:spacing w:line="240" w:lineRule="auto"/>
              <w:rPr>
                <w:sz w:val="16"/>
                <w:szCs w:val="16"/>
              </w:rPr>
            </w:pPr>
          </w:p>
        </w:tc>
        <w:tc>
          <w:tcPr>
            <w:tcW w:w="9214" w:type="dxa"/>
            <w:vAlign w:val="center"/>
          </w:tcPr>
          <w:p w14:paraId="097E30EC" w14:textId="7390AB3B" w:rsidR="00EC489D" w:rsidRPr="008D6400" w:rsidRDefault="00EC489D" w:rsidP="00DD4311">
            <w:pPr>
              <w:spacing w:line="240" w:lineRule="auto"/>
              <w:jc w:val="left"/>
              <w:rPr>
                <w:sz w:val="16"/>
                <w:szCs w:val="16"/>
              </w:rPr>
            </w:pPr>
            <w:r w:rsidRPr="008D6400">
              <w:rPr>
                <w:sz w:val="16"/>
                <w:szCs w:val="16"/>
              </w:rPr>
              <w:t>Percentage of total oral Access antibiotic use</w:t>
            </w:r>
          </w:p>
        </w:tc>
      </w:tr>
      <w:tr w:rsidR="00EC489D" w:rsidRPr="008D6400" w14:paraId="34436067" w14:textId="77777777" w:rsidTr="00450F1F">
        <w:tc>
          <w:tcPr>
            <w:tcW w:w="991" w:type="dxa"/>
            <w:vMerge/>
            <w:vAlign w:val="center"/>
          </w:tcPr>
          <w:p w14:paraId="0941C110" w14:textId="77777777" w:rsidR="00EC489D" w:rsidRPr="008D6400" w:rsidRDefault="00EC489D" w:rsidP="00DD4311">
            <w:pPr>
              <w:spacing w:line="240" w:lineRule="auto"/>
              <w:jc w:val="center"/>
              <w:rPr>
                <w:sz w:val="16"/>
                <w:szCs w:val="16"/>
              </w:rPr>
            </w:pPr>
          </w:p>
        </w:tc>
        <w:tc>
          <w:tcPr>
            <w:tcW w:w="569" w:type="dxa"/>
            <w:vAlign w:val="center"/>
          </w:tcPr>
          <w:p w14:paraId="3A983EE8" w14:textId="0C73AA2F" w:rsidR="00EC489D" w:rsidRPr="009244EE" w:rsidRDefault="00EC489D" w:rsidP="009244EE">
            <w:pPr>
              <w:pStyle w:val="ListParagraph"/>
              <w:numPr>
                <w:ilvl w:val="0"/>
                <w:numId w:val="46"/>
              </w:numPr>
              <w:spacing w:line="240" w:lineRule="auto"/>
              <w:rPr>
                <w:sz w:val="16"/>
                <w:szCs w:val="16"/>
              </w:rPr>
            </w:pPr>
          </w:p>
        </w:tc>
        <w:tc>
          <w:tcPr>
            <w:tcW w:w="9214" w:type="dxa"/>
            <w:vAlign w:val="center"/>
          </w:tcPr>
          <w:p w14:paraId="7DB217AE" w14:textId="4BEB49F7" w:rsidR="00EC489D" w:rsidRPr="008D6400" w:rsidRDefault="00EC489D" w:rsidP="00DD4311">
            <w:pPr>
              <w:spacing w:line="240" w:lineRule="auto"/>
              <w:jc w:val="left"/>
              <w:rPr>
                <w:sz w:val="16"/>
                <w:szCs w:val="16"/>
              </w:rPr>
            </w:pPr>
            <w:r w:rsidRPr="008D6400">
              <w:rPr>
                <w:sz w:val="16"/>
                <w:szCs w:val="16"/>
              </w:rPr>
              <w:t>Ratio of oral amoxicillin measured in DID in primary care to all oral antibiotics in primary care measured in DID</w:t>
            </w:r>
            <w:r w:rsidR="00700C7B">
              <w:rPr>
                <w:sz w:val="16"/>
                <w:szCs w:val="16"/>
              </w:rPr>
              <w:t>,</w:t>
            </w:r>
            <w:r w:rsidRPr="008D6400">
              <w:rPr>
                <w:sz w:val="16"/>
                <w:szCs w:val="16"/>
              </w:rPr>
              <w:t xml:space="preserve"> excluding amoxicillin (including amoxicillin-clavulanic acid)</w:t>
            </w:r>
          </w:p>
        </w:tc>
      </w:tr>
    </w:tbl>
    <w:p w14:paraId="6BCA484E" w14:textId="2DE9ED54" w:rsidR="00161ED8" w:rsidRPr="00DD4311" w:rsidRDefault="008F75E5" w:rsidP="008F75E5">
      <w:pPr>
        <w:pStyle w:val="MDPI31text"/>
        <w:ind w:left="0" w:firstLine="0"/>
        <w:rPr>
          <w:sz w:val="14"/>
          <w:szCs w:val="14"/>
        </w:rPr>
      </w:pPr>
      <w:r w:rsidRPr="00DD4311">
        <w:rPr>
          <w:rFonts w:cs="Arial"/>
          <w:sz w:val="14"/>
          <w:szCs w:val="14"/>
          <w:lang w:val="en-GB"/>
        </w:rPr>
        <w:t xml:space="preserve">NB: </w:t>
      </w:r>
      <w:r w:rsidR="00390CD9" w:rsidRPr="00390CD9">
        <w:rPr>
          <w:rFonts w:cs="Arial"/>
          <w:sz w:val="14"/>
          <w:szCs w:val="14"/>
          <w:lang w:val="en-GB"/>
        </w:rPr>
        <w:t xml:space="preserve">DID </w:t>
      </w:r>
      <w:r w:rsidR="00390CD9">
        <w:rPr>
          <w:rFonts w:cs="Arial"/>
          <w:sz w:val="14"/>
          <w:szCs w:val="14"/>
          <w:lang w:val="en-GB"/>
        </w:rPr>
        <w:t xml:space="preserve">= </w:t>
      </w:r>
      <w:r w:rsidR="00390CD9" w:rsidRPr="00390CD9">
        <w:rPr>
          <w:rFonts w:cs="Arial"/>
          <w:sz w:val="14"/>
          <w:szCs w:val="14"/>
          <w:lang w:val="en-GB"/>
        </w:rPr>
        <w:t>Defined daily doses per 1000 inhabitants per day</w:t>
      </w:r>
      <w:r w:rsidR="00390CD9">
        <w:rPr>
          <w:rFonts w:cs="Arial"/>
          <w:sz w:val="14"/>
          <w:szCs w:val="14"/>
          <w:lang w:val="en-GB"/>
        </w:rPr>
        <w:t xml:space="preserve">; </w:t>
      </w:r>
      <w:r w:rsidR="00F05A21" w:rsidRPr="00DD4311">
        <w:rPr>
          <w:rFonts w:cs="Arial"/>
          <w:sz w:val="14"/>
          <w:szCs w:val="14"/>
          <w:lang w:val="en-GB"/>
        </w:rPr>
        <w:t>LUTI = lower urinary tract infection</w:t>
      </w:r>
      <w:r w:rsidR="00F05A21">
        <w:rPr>
          <w:rFonts w:cs="Arial"/>
          <w:sz w:val="14"/>
          <w:szCs w:val="14"/>
          <w:lang w:val="en-GB"/>
        </w:rPr>
        <w:t xml:space="preserve">; </w:t>
      </w:r>
      <w:r w:rsidRPr="00DD4311">
        <w:rPr>
          <w:rFonts w:cs="Arial"/>
          <w:sz w:val="14"/>
          <w:szCs w:val="14"/>
          <w:lang w:val="en-GB"/>
        </w:rPr>
        <w:t>RTI = respiratory tract infection; SSTI = skin and soft tissue infection; STI = sexually transmitted infection</w:t>
      </w:r>
      <w:r w:rsidR="009F6139">
        <w:rPr>
          <w:rFonts w:cs="Arial"/>
          <w:sz w:val="14"/>
          <w:szCs w:val="14"/>
          <w:lang w:val="en-GB"/>
        </w:rPr>
        <w:t xml:space="preserve">; * = </w:t>
      </w:r>
      <w:r w:rsidR="009F6139" w:rsidRPr="009F6139">
        <w:rPr>
          <w:rFonts w:cs="Arial"/>
          <w:sz w:val="14"/>
          <w:szCs w:val="14"/>
          <w:lang w:val="en-GB"/>
        </w:rPr>
        <w:t>as per AWaRe guidance</w:t>
      </w:r>
      <w:r w:rsidR="005B7198">
        <w:rPr>
          <w:rFonts w:cs="Arial"/>
          <w:sz w:val="14"/>
          <w:szCs w:val="14"/>
          <w:lang w:val="en-GB"/>
        </w:rPr>
        <w:t xml:space="preserve"> </w:t>
      </w:r>
      <w:r w:rsidR="005B7198" w:rsidRPr="005B7198">
        <w:rPr>
          <w:sz w:val="14"/>
          <w:szCs w:val="14"/>
        </w:rPr>
        <w:t>[42,55]</w:t>
      </w:r>
      <w:r w:rsidR="009F6139" w:rsidRPr="005B7198">
        <w:rPr>
          <w:rFonts w:cs="Arial"/>
          <w:sz w:val="14"/>
          <w:szCs w:val="14"/>
          <w:lang w:val="en-GB"/>
        </w:rPr>
        <w:t>;</w:t>
      </w:r>
      <w:r w:rsidR="009F6139">
        <w:rPr>
          <w:rFonts w:cs="Arial"/>
          <w:sz w:val="14"/>
          <w:szCs w:val="14"/>
          <w:lang w:val="en-GB"/>
        </w:rPr>
        <w:t xml:space="preserve"> ** = severity as per </w:t>
      </w:r>
      <w:r w:rsidR="009F6139" w:rsidRPr="009F6139">
        <w:rPr>
          <w:rFonts w:cs="Arial"/>
          <w:sz w:val="14"/>
          <w:szCs w:val="14"/>
          <w:lang w:val="en-GB"/>
        </w:rPr>
        <w:t>AWaRe guidance</w:t>
      </w:r>
    </w:p>
    <w:p w14:paraId="6C967C92" w14:textId="215A58A2" w:rsidR="009F1CB8" w:rsidRPr="003D4CE1" w:rsidRDefault="003C4625" w:rsidP="00FB0C53">
      <w:pPr>
        <w:pStyle w:val="MDPI21heading1"/>
      </w:pPr>
      <w:r w:rsidRPr="003D4CE1">
        <w:t>3</w:t>
      </w:r>
      <w:r w:rsidR="007713AF" w:rsidRPr="003D4CE1">
        <w:t>. Discussion</w:t>
      </w:r>
    </w:p>
    <w:p w14:paraId="6435D0D7" w14:textId="7F0196FD" w:rsidR="009F1CB8" w:rsidRDefault="009F1CB8" w:rsidP="009F1CB8">
      <w:pPr>
        <w:pStyle w:val="MDPI31text"/>
      </w:pPr>
      <w:r>
        <w:t xml:space="preserve">Our systematic RAM procedure developed a set of 61 quality indicators and </w:t>
      </w:r>
      <w:r w:rsidR="00781F77">
        <w:t>general indicators</w:t>
      </w:r>
      <w:r>
        <w:t xml:space="preserve"> that were rated both appropriate and feasible with agreement. </w:t>
      </w:r>
      <w:r w:rsidRPr="00C16198">
        <w:t>This study, conducted as part of an international collaboration with SGUL, is an important step towards promoting the rational prescribing and use of antibiotics in PHC</w:t>
      </w:r>
      <w:r w:rsidR="00C1720E">
        <w:t xml:space="preserve"> setting</w:t>
      </w:r>
      <w:r w:rsidRPr="00C16198">
        <w:t xml:space="preserve">s in South Africa. If antibiotic prescribing is inappropriate at </w:t>
      </w:r>
      <w:r>
        <w:t xml:space="preserve">the </w:t>
      </w:r>
      <w:r w:rsidRPr="00C16198">
        <w:t xml:space="preserve">PHC level, </w:t>
      </w:r>
      <w:r>
        <w:t>this</w:t>
      </w:r>
      <w:r w:rsidRPr="00C16198">
        <w:t xml:space="preserve"> </w:t>
      </w:r>
      <w:r>
        <w:t>will continue to increase</w:t>
      </w:r>
      <w:r w:rsidRPr="00C16198">
        <w:t xml:space="preserve"> AMR at the population level</w:t>
      </w:r>
      <w:r w:rsidR="00075F96">
        <w:t>,</w:t>
      </w:r>
      <w:r w:rsidRPr="00C16198">
        <w:t xml:space="preserve"> </w:t>
      </w:r>
      <w:r>
        <w:t xml:space="preserve">especially among </w:t>
      </w:r>
      <w:bookmarkStart w:id="27" w:name="_Hlk216421038"/>
      <w:proofErr w:type="gramStart"/>
      <w:r>
        <w:t>LMICs</w:t>
      </w:r>
      <w:r w:rsidRPr="00C16198">
        <w:t>.</w:t>
      </w:r>
      <w:bookmarkEnd w:id="27"/>
      <w:r w:rsidR="00052F30" w:rsidRPr="00052F30">
        <w:rPr>
          <w:szCs w:val="20"/>
          <w:vertAlign w:val="superscript"/>
        </w:rPr>
        <w:t>[</w:t>
      </w:r>
      <w:proofErr w:type="gramEnd"/>
      <w:r w:rsidR="005412F0">
        <w:rPr>
          <w:szCs w:val="20"/>
          <w:vertAlign w:val="superscript"/>
        </w:rPr>
        <w:t>38</w:t>
      </w:r>
      <w:r w:rsidR="00052F30" w:rsidRPr="00052F30">
        <w:rPr>
          <w:szCs w:val="20"/>
          <w:vertAlign w:val="superscript"/>
        </w:rPr>
        <w:t>,5</w:t>
      </w:r>
      <w:r w:rsidR="005412F0">
        <w:rPr>
          <w:szCs w:val="20"/>
          <w:vertAlign w:val="superscript"/>
        </w:rPr>
        <w:t>2</w:t>
      </w:r>
      <w:r w:rsidR="00052F30" w:rsidRPr="00052F30">
        <w:rPr>
          <w:szCs w:val="20"/>
          <w:vertAlign w:val="superscript"/>
        </w:rPr>
        <w:t xml:space="preserve">] </w:t>
      </w:r>
      <w:r w:rsidRPr="00C16198">
        <w:t>Without evidence-based quality indicators, inappropriate use cannot be quantified and corrected. The final set comprises independent quality indicators that can be used to provide insight into the appropriateness of current and future antibiotic prescribing in primary care</w:t>
      </w:r>
      <w:r w:rsidR="00052F30">
        <w:t xml:space="preserve"> in South Africa in order</w:t>
      </w:r>
      <w:r w:rsidRPr="00C16198">
        <w:t xml:space="preserve"> to identify areas </w:t>
      </w:r>
      <w:r w:rsidR="00052F30">
        <w:t xml:space="preserve">for </w:t>
      </w:r>
      <w:r w:rsidRPr="00C16198">
        <w:t>intervention and improvement.</w:t>
      </w:r>
    </w:p>
    <w:p w14:paraId="7F99C635" w14:textId="3CD89EAE" w:rsidR="009F1CB8" w:rsidRDefault="009F1CB8" w:rsidP="009F1CB8">
      <w:pPr>
        <w:pStyle w:val="MDPI31text"/>
      </w:pPr>
      <w:r w:rsidRPr="00AE7EA1">
        <w:t xml:space="preserve">To </w:t>
      </w:r>
      <w:r>
        <w:t xml:space="preserve">the best of </w:t>
      </w:r>
      <w:r w:rsidRPr="00AE7EA1">
        <w:t xml:space="preserve">our knowledge, </w:t>
      </w:r>
      <w:r w:rsidR="00052F30">
        <w:t xml:space="preserve">we believe </w:t>
      </w:r>
      <w:r w:rsidRPr="00AE7EA1">
        <w:t xml:space="preserve">this is the first study to </w:t>
      </w:r>
      <w:r w:rsidR="00373DA8">
        <w:t>assess</w:t>
      </w:r>
      <w:r w:rsidRPr="00AE7EA1">
        <w:t xml:space="preserve"> a set of </w:t>
      </w:r>
      <w:r>
        <w:t xml:space="preserve">actionable </w:t>
      </w:r>
      <w:r w:rsidRPr="00AE7EA1">
        <w:t xml:space="preserve">AWaRe based quality indicators for </w:t>
      </w:r>
      <w:r w:rsidR="00FF6966" w:rsidRPr="00AE7EA1">
        <w:t>measuring</w:t>
      </w:r>
      <w:r w:rsidRPr="00AE7EA1">
        <w:t xml:space="preserve"> the appropriateness of antibiotic prescribing</w:t>
      </w:r>
      <w:r w:rsidR="00CD1D57">
        <w:t xml:space="preserve"> specifically for t</w:t>
      </w:r>
      <w:r w:rsidR="00FF6966">
        <w:t xml:space="preserve">he </w:t>
      </w:r>
      <w:r>
        <w:t xml:space="preserve">public </w:t>
      </w:r>
      <w:r w:rsidR="0090201F">
        <w:t>primary care sector</w:t>
      </w:r>
      <w:r w:rsidR="00052F30">
        <w:t xml:space="preserve"> in South Africa</w:t>
      </w:r>
      <w:r>
        <w:t>,</w:t>
      </w:r>
      <w:r w:rsidRPr="00AE7EA1">
        <w:t xml:space="preserve"> across multiple infection groups, using the RAM. Several studies have described various quality and prescribing indicators currently used in PHCs in South </w:t>
      </w:r>
      <w:proofErr w:type="gramStart"/>
      <w:r w:rsidRPr="00AE7EA1">
        <w:t>Africa</w:t>
      </w:r>
      <w:r>
        <w:t>;</w:t>
      </w:r>
      <w:r w:rsidR="002B4F56" w:rsidRPr="00052F30">
        <w:rPr>
          <w:szCs w:val="20"/>
          <w:vertAlign w:val="superscript"/>
        </w:rPr>
        <w:t>[</w:t>
      </w:r>
      <w:proofErr w:type="gramEnd"/>
      <w:r w:rsidR="002B4F56">
        <w:rPr>
          <w:szCs w:val="20"/>
          <w:vertAlign w:val="superscript"/>
        </w:rPr>
        <w:t>4</w:t>
      </w:r>
      <w:r w:rsidR="005412F0">
        <w:rPr>
          <w:szCs w:val="20"/>
          <w:vertAlign w:val="superscript"/>
        </w:rPr>
        <w:t>5</w:t>
      </w:r>
      <w:r w:rsidR="002B4F56">
        <w:rPr>
          <w:szCs w:val="20"/>
          <w:vertAlign w:val="superscript"/>
        </w:rPr>
        <w:t>,4</w:t>
      </w:r>
      <w:r w:rsidR="005412F0">
        <w:rPr>
          <w:szCs w:val="20"/>
          <w:vertAlign w:val="superscript"/>
        </w:rPr>
        <w:t>6</w:t>
      </w:r>
      <w:r w:rsidR="002B4F56">
        <w:rPr>
          <w:szCs w:val="20"/>
          <w:vertAlign w:val="superscript"/>
        </w:rPr>
        <w:t>,</w:t>
      </w:r>
      <w:r w:rsidR="005412F0">
        <w:rPr>
          <w:szCs w:val="20"/>
          <w:vertAlign w:val="superscript"/>
        </w:rPr>
        <w:t>6</w:t>
      </w:r>
      <w:r w:rsidR="002B4F56">
        <w:rPr>
          <w:szCs w:val="20"/>
          <w:vertAlign w:val="superscript"/>
        </w:rPr>
        <w:t>5</w:t>
      </w:r>
      <w:r w:rsidR="00F202A7">
        <w:rPr>
          <w:szCs w:val="20"/>
          <w:vertAlign w:val="superscript"/>
        </w:rPr>
        <w:t>,</w:t>
      </w:r>
      <w:r w:rsidR="005412F0">
        <w:rPr>
          <w:szCs w:val="20"/>
          <w:vertAlign w:val="superscript"/>
        </w:rPr>
        <w:t>6</w:t>
      </w:r>
      <w:r w:rsidR="00781D28">
        <w:rPr>
          <w:szCs w:val="20"/>
          <w:vertAlign w:val="superscript"/>
        </w:rPr>
        <w:t>6,</w:t>
      </w:r>
      <w:r w:rsidR="005412F0">
        <w:rPr>
          <w:szCs w:val="20"/>
          <w:vertAlign w:val="superscript"/>
        </w:rPr>
        <w:t>77,78</w:t>
      </w:r>
      <w:r w:rsidR="002B4F56" w:rsidRPr="00052F30">
        <w:rPr>
          <w:szCs w:val="20"/>
          <w:vertAlign w:val="superscript"/>
        </w:rPr>
        <w:t xml:space="preserve">] </w:t>
      </w:r>
      <w:r w:rsidRPr="00AE7EA1">
        <w:t xml:space="preserve">however, the methodology used to develop them is </w:t>
      </w:r>
      <w:r>
        <w:t xml:space="preserve">often </w:t>
      </w:r>
      <w:r w:rsidRPr="00AE7EA1">
        <w:t xml:space="preserve">not </w:t>
      </w:r>
      <w:r>
        <w:t xml:space="preserve">fully </w:t>
      </w:r>
      <w:r w:rsidRPr="00AE7EA1">
        <w:t xml:space="preserve">described and some indicators focus </w:t>
      </w:r>
      <w:r>
        <w:t xml:space="preserve">more </w:t>
      </w:r>
      <w:r w:rsidRPr="00AE7EA1">
        <w:t xml:space="preserve">on antibiotic consumption </w:t>
      </w:r>
      <w:r>
        <w:t>rather than</w:t>
      </w:r>
      <w:r w:rsidRPr="00AE7EA1">
        <w:t xml:space="preserve"> the appropriateness of prescribing.</w:t>
      </w:r>
      <w:r>
        <w:t xml:space="preserve"> Most quality indicators have also been developed and applied in high</w:t>
      </w:r>
      <w:r w:rsidR="00D347DD">
        <w:t>-</w:t>
      </w:r>
      <w:r>
        <w:t xml:space="preserve">income </w:t>
      </w:r>
      <w:proofErr w:type="gramStart"/>
      <w:r>
        <w:t>countries,</w:t>
      </w:r>
      <w:r w:rsidR="00F202A7">
        <w:rPr>
          <w:szCs w:val="20"/>
          <w:vertAlign w:val="superscript"/>
        </w:rPr>
        <w:t>[</w:t>
      </w:r>
      <w:proofErr w:type="gramEnd"/>
      <w:r w:rsidR="005412F0">
        <w:rPr>
          <w:szCs w:val="20"/>
          <w:vertAlign w:val="superscript"/>
        </w:rPr>
        <w:t>55</w:t>
      </w:r>
      <w:r w:rsidR="005B720F">
        <w:rPr>
          <w:szCs w:val="20"/>
          <w:vertAlign w:val="superscript"/>
        </w:rPr>
        <w:t>,</w:t>
      </w:r>
      <w:r w:rsidR="00F202A7">
        <w:rPr>
          <w:szCs w:val="20"/>
          <w:vertAlign w:val="superscript"/>
        </w:rPr>
        <w:t>6</w:t>
      </w:r>
      <w:r w:rsidR="005412F0">
        <w:rPr>
          <w:szCs w:val="20"/>
          <w:vertAlign w:val="superscript"/>
        </w:rPr>
        <w:t>1</w:t>
      </w:r>
      <w:r w:rsidR="00F202A7">
        <w:rPr>
          <w:szCs w:val="20"/>
          <w:vertAlign w:val="superscript"/>
        </w:rPr>
        <w:t>,</w:t>
      </w:r>
      <w:r w:rsidR="005412F0">
        <w:rPr>
          <w:szCs w:val="20"/>
          <w:vertAlign w:val="superscript"/>
        </w:rPr>
        <w:t>6</w:t>
      </w:r>
      <w:r w:rsidR="00F202A7">
        <w:rPr>
          <w:szCs w:val="20"/>
          <w:vertAlign w:val="superscript"/>
        </w:rPr>
        <w:t>8,</w:t>
      </w:r>
      <w:r w:rsidR="005412F0">
        <w:rPr>
          <w:szCs w:val="20"/>
          <w:vertAlign w:val="superscript"/>
        </w:rPr>
        <w:t>7</w:t>
      </w:r>
      <w:r w:rsidR="005B720F">
        <w:rPr>
          <w:szCs w:val="20"/>
          <w:vertAlign w:val="superscript"/>
        </w:rPr>
        <w:t>0</w:t>
      </w:r>
      <w:r w:rsidR="00F202A7">
        <w:rPr>
          <w:szCs w:val="20"/>
          <w:vertAlign w:val="superscript"/>
        </w:rPr>
        <w:t>,</w:t>
      </w:r>
      <w:r w:rsidR="005412F0">
        <w:rPr>
          <w:szCs w:val="20"/>
          <w:vertAlign w:val="superscript"/>
        </w:rPr>
        <w:t>7</w:t>
      </w:r>
      <w:r w:rsidR="00F202A7">
        <w:rPr>
          <w:szCs w:val="20"/>
          <w:vertAlign w:val="superscript"/>
        </w:rPr>
        <w:t>1,</w:t>
      </w:r>
      <w:r w:rsidR="005412F0">
        <w:rPr>
          <w:szCs w:val="20"/>
          <w:vertAlign w:val="superscript"/>
        </w:rPr>
        <w:t>79</w:t>
      </w:r>
      <w:r w:rsidR="005B720F">
        <w:rPr>
          <w:szCs w:val="20"/>
          <w:vertAlign w:val="superscript"/>
        </w:rPr>
        <w:t>-</w:t>
      </w:r>
      <w:r w:rsidR="005412F0">
        <w:rPr>
          <w:szCs w:val="20"/>
          <w:vertAlign w:val="superscript"/>
        </w:rPr>
        <w:t>81</w:t>
      </w:r>
      <w:r w:rsidR="00F202A7" w:rsidRPr="00052F30">
        <w:rPr>
          <w:szCs w:val="20"/>
          <w:vertAlign w:val="superscript"/>
        </w:rPr>
        <w:t xml:space="preserve">] </w:t>
      </w:r>
      <w:r>
        <w:t>which are often not appropriate for LMICs with very different circumstances including often long waiting times and costs to see healthcare professionals in PHCs.</w:t>
      </w:r>
      <w:r w:rsidR="005B720F" w:rsidRPr="005B720F">
        <w:rPr>
          <w:szCs w:val="20"/>
          <w:vertAlign w:val="superscript"/>
        </w:rPr>
        <w:t xml:space="preserve"> </w:t>
      </w:r>
      <w:r w:rsidR="005B720F">
        <w:rPr>
          <w:szCs w:val="20"/>
          <w:vertAlign w:val="superscript"/>
        </w:rPr>
        <w:t>[20,</w:t>
      </w:r>
      <w:r w:rsidR="005412F0">
        <w:rPr>
          <w:szCs w:val="20"/>
          <w:vertAlign w:val="superscript"/>
        </w:rPr>
        <w:t>6</w:t>
      </w:r>
      <w:r w:rsidR="005B720F">
        <w:rPr>
          <w:szCs w:val="20"/>
          <w:vertAlign w:val="superscript"/>
        </w:rPr>
        <w:t>7]</w:t>
      </w:r>
      <w:r>
        <w:t xml:space="preserve"> Alongside this, to date, evidence-based quality indicators have not been systematically developed </w:t>
      </w:r>
      <w:r w:rsidR="0096225B">
        <w:t xml:space="preserve">and used </w:t>
      </w:r>
      <w:r>
        <w:t>for PHCs in LMIC settings, resulting in gaps in understanding the quality of antibiotic prescribing to facilitate tailored AMS interventions in primary care.</w:t>
      </w:r>
    </w:p>
    <w:p w14:paraId="4955D3FE" w14:textId="5F73659C" w:rsidR="009F1CB8" w:rsidRDefault="009F1CB8" w:rsidP="009F1CB8">
      <w:pPr>
        <w:pStyle w:val="MDPI31text"/>
      </w:pPr>
      <w:r w:rsidRPr="00E46CF9">
        <w:t xml:space="preserve">There is </w:t>
      </w:r>
      <w:r>
        <w:t xml:space="preserve">now </w:t>
      </w:r>
      <w:r w:rsidRPr="00E46CF9">
        <w:t>generally international consensus on the treatment duration for common infections</w:t>
      </w:r>
      <w:r>
        <w:t>, contained in the WHO AWaRe book</w:t>
      </w:r>
      <w:r w:rsidR="00D5414F">
        <w:t>,</w:t>
      </w:r>
      <w:r>
        <w:t xml:space="preserve"> replacing previous national guidelines where there have been issues</w:t>
      </w:r>
      <w:r w:rsidRPr="00E46CF9">
        <w:t>.</w:t>
      </w:r>
      <w:r w:rsidR="005B720F">
        <w:rPr>
          <w:szCs w:val="20"/>
          <w:vertAlign w:val="superscript"/>
        </w:rPr>
        <w:t>[</w:t>
      </w:r>
      <w:r w:rsidR="001A1E09">
        <w:rPr>
          <w:szCs w:val="20"/>
          <w:vertAlign w:val="superscript"/>
        </w:rPr>
        <w:t>39</w:t>
      </w:r>
      <w:r w:rsidR="005B720F">
        <w:rPr>
          <w:szCs w:val="20"/>
          <w:vertAlign w:val="superscript"/>
        </w:rPr>
        <w:t>,5</w:t>
      </w:r>
      <w:r w:rsidR="001A1E09">
        <w:rPr>
          <w:szCs w:val="20"/>
          <w:vertAlign w:val="superscript"/>
        </w:rPr>
        <w:t>0</w:t>
      </w:r>
      <w:r w:rsidR="005B720F">
        <w:rPr>
          <w:szCs w:val="20"/>
          <w:vertAlign w:val="superscript"/>
        </w:rPr>
        <w:t>]</w:t>
      </w:r>
      <w:r w:rsidRPr="00E46CF9">
        <w:t xml:space="preserve"> </w:t>
      </w:r>
      <w:r>
        <w:t>Encouragingly, m</w:t>
      </w:r>
      <w:r w:rsidRPr="00E46CF9">
        <w:t xml:space="preserve">ost treatment durations and doses for most infections in the South African </w:t>
      </w:r>
      <w:r w:rsidR="00B96236">
        <w:t>standard treatment guideline</w:t>
      </w:r>
      <w:r>
        <w:t>s</w:t>
      </w:r>
      <w:r w:rsidRPr="00E46CF9">
        <w:t xml:space="preserve"> are generally aligned with the</w:t>
      </w:r>
      <w:r>
        <w:t xml:space="preserve"> </w:t>
      </w:r>
      <w:r w:rsidRPr="00E46CF9">
        <w:t>AWaRe antibiotic book.</w:t>
      </w:r>
      <w:r w:rsidR="005B720F">
        <w:rPr>
          <w:szCs w:val="20"/>
          <w:vertAlign w:val="superscript"/>
        </w:rPr>
        <w:t>[5</w:t>
      </w:r>
      <w:r w:rsidR="001A1E09">
        <w:rPr>
          <w:szCs w:val="20"/>
          <w:vertAlign w:val="superscript"/>
        </w:rPr>
        <w:t>0</w:t>
      </w:r>
      <w:r w:rsidR="005B720F">
        <w:rPr>
          <w:szCs w:val="20"/>
          <w:vertAlign w:val="superscript"/>
        </w:rPr>
        <w:t>,</w:t>
      </w:r>
      <w:r w:rsidR="001A1E09">
        <w:rPr>
          <w:szCs w:val="20"/>
          <w:vertAlign w:val="superscript"/>
        </w:rPr>
        <w:t>82</w:t>
      </w:r>
      <w:r w:rsidR="00781D28">
        <w:rPr>
          <w:szCs w:val="20"/>
          <w:vertAlign w:val="superscript"/>
        </w:rPr>
        <w:t>,</w:t>
      </w:r>
      <w:r w:rsidR="001A1E09">
        <w:rPr>
          <w:szCs w:val="20"/>
          <w:vertAlign w:val="superscript"/>
        </w:rPr>
        <w:t>83</w:t>
      </w:r>
      <w:r w:rsidR="00781D28">
        <w:rPr>
          <w:szCs w:val="20"/>
          <w:vertAlign w:val="superscript"/>
        </w:rPr>
        <w:t>]</w:t>
      </w:r>
      <w:r w:rsidRPr="00E46CF9">
        <w:t xml:space="preserve"> </w:t>
      </w:r>
      <w:r>
        <w:t xml:space="preserve">During the rating process, </w:t>
      </w:r>
      <w:r w:rsidRPr="00E46CF9">
        <w:t>South African standard treatment guidelines were considered where there are differences with the WHO AWaRe guidance.</w:t>
      </w:r>
      <w:r w:rsidR="00781D28">
        <w:rPr>
          <w:szCs w:val="20"/>
          <w:vertAlign w:val="superscript"/>
        </w:rPr>
        <w:t>]5</w:t>
      </w:r>
      <w:r w:rsidR="007A7A36">
        <w:rPr>
          <w:szCs w:val="20"/>
          <w:vertAlign w:val="superscript"/>
        </w:rPr>
        <w:t>0</w:t>
      </w:r>
      <w:r w:rsidR="00781D28">
        <w:rPr>
          <w:szCs w:val="20"/>
          <w:vertAlign w:val="superscript"/>
        </w:rPr>
        <w:t>,</w:t>
      </w:r>
      <w:r w:rsidR="007A7A36">
        <w:rPr>
          <w:szCs w:val="20"/>
          <w:vertAlign w:val="superscript"/>
        </w:rPr>
        <w:t>82</w:t>
      </w:r>
      <w:r w:rsidR="00781D28">
        <w:rPr>
          <w:szCs w:val="20"/>
          <w:vertAlign w:val="superscript"/>
        </w:rPr>
        <w:t>,</w:t>
      </w:r>
      <w:r w:rsidR="007A7A36">
        <w:rPr>
          <w:szCs w:val="20"/>
          <w:vertAlign w:val="superscript"/>
        </w:rPr>
        <w:t>83</w:t>
      </w:r>
      <w:r w:rsidR="00781D28">
        <w:rPr>
          <w:szCs w:val="20"/>
          <w:vertAlign w:val="superscript"/>
        </w:rPr>
        <w:t>]</w:t>
      </w:r>
      <w:r w:rsidRPr="00E46CF9">
        <w:t xml:space="preserve"> </w:t>
      </w:r>
      <w:r>
        <w:t xml:space="preserve">For example, the first line treatment in primary care for bacterial eye infections </w:t>
      </w:r>
      <w:r w:rsidR="00DF57F1">
        <w:t xml:space="preserve">is </w:t>
      </w:r>
      <w:r w:rsidRPr="0066313E">
        <w:t>topical antibiotics</w:t>
      </w:r>
      <w:r>
        <w:t>; this resulted in the addition of two new statements during the second-round discussion to reflect the current standard treatment guidelines. The first line treatment for lower urinary tract infections is gentamicin injection; this resulted in rephrasing applicable statements to remove the word “oral” from the original statements</w:t>
      </w:r>
      <w:r w:rsidR="00EC20E0">
        <w:t>. This was beca</w:t>
      </w:r>
      <w:r w:rsidR="00EC20E0" w:rsidRPr="004D30A7">
        <w:t>use</w:t>
      </w:r>
      <w:r w:rsidR="006D1AAB" w:rsidRPr="004D30A7">
        <w:t xml:space="preserve"> the original statements were not considered appropriate </w:t>
      </w:r>
      <w:r w:rsidR="00EC20E0" w:rsidRPr="004D30A7">
        <w:t xml:space="preserve">for the South African context </w:t>
      </w:r>
      <w:r w:rsidR="006D1AAB" w:rsidRPr="004D30A7">
        <w:t>based on current treatment guidelines</w:t>
      </w:r>
      <w:r w:rsidRPr="004D30A7">
        <w:t>.</w:t>
      </w:r>
      <w:r w:rsidR="00781D28" w:rsidRPr="004D30A7">
        <w:rPr>
          <w:szCs w:val="20"/>
          <w:vertAlign w:val="superscript"/>
        </w:rPr>
        <w:t>[</w:t>
      </w:r>
      <w:r w:rsidR="004E18D3">
        <w:rPr>
          <w:szCs w:val="20"/>
          <w:vertAlign w:val="superscript"/>
        </w:rPr>
        <w:t>82</w:t>
      </w:r>
      <w:r w:rsidR="00781D28">
        <w:rPr>
          <w:szCs w:val="20"/>
          <w:vertAlign w:val="superscript"/>
        </w:rPr>
        <w:t>]</w:t>
      </w:r>
      <w:r>
        <w:t xml:space="preserve"> Since this study builds on the SGUL ADILA Quality Indicator studies and activities,</w:t>
      </w:r>
      <w:r w:rsidR="00781D28" w:rsidRPr="00781D28">
        <w:rPr>
          <w:szCs w:val="20"/>
          <w:vertAlign w:val="superscript"/>
        </w:rPr>
        <w:t xml:space="preserve"> </w:t>
      </w:r>
      <w:r w:rsidR="00781D28">
        <w:rPr>
          <w:szCs w:val="20"/>
          <w:vertAlign w:val="superscript"/>
        </w:rPr>
        <w:t>[</w:t>
      </w:r>
      <w:r w:rsidR="004E18D3">
        <w:rPr>
          <w:szCs w:val="20"/>
          <w:vertAlign w:val="superscript"/>
        </w:rPr>
        <w:t>54</w:t>
      </w:r>
      <w:r w:rsidR="00781D28">
        <w:rPr>
          <w:szCs w:val="20"/>
          <w:vertAlign w:val="superscript"/>
        </w:rPr>
        <w:t>,</w:t>
      </w:r>
      <w:r w:rsidR="004E18D3">
        <w:rPr>
          <w:szCs w:val="20"/>
          <w:vertAlign w:val="superscript"/>
        </w:rPr>
        <w:t>7</w:t>
      </w:r>
      <w:r w:rsidR="00515DF0">
        <w:rPr>
          <w:szCs w:val="20"/>
          <w:vertAlign w:val="superscript"/>
        </w:rPr>
        <w:t>5</w:t>
      </w:r>
      <w:r w:rsidR="00781D28">
        <w:rPr>
          <w:szCs w:val="20"/>
          <w:vertAlign w:val="superscript"/>
        </w:rPr>
        <w:t>,</w:t>
      </w:r>
      <w:r w:rsidR="004E18D3">
        <w:rPr>
          <w:szCs w:val="20"/>
          <w:vertAlign w:val="superscript"/>
        </w:rPr>
        <w:t>6</w:t>
      </w:r>
      <w:r w:rsidR="00515DF0">
        <w:rPr>
          <w:szCs w:val="20"/>
          <w:vertAlign w:val="superscript"/>
        </w:rPr>
        <w:t>6</w:t>
      </w:r>
      <w:r w:rsidR="00781D28">
        <w:rPr>
          <w:szCs w:val="20"/>
          <w:vertAlign w:val="superscript"/>
        </w:rPr>
        <w:t>]</w:t>
      </w:r>
      <w:r>
        <w:t xml:space="preserve"> t</w:t>
      </w:r>
      <w:r w:rsidRPr="00E46CF9">
        <w:t xml:space="preserve">he original statements that refer to the </w:t>
      </w:r>
      <w:r>
        <w:t xml:space="preserve">WHO </w:t>
      </w:r>
      <w:r w:rsidRPr="00E46CF9">
        <w:t xml:space="preserve">AWaRe book were maintained </w:t>
      </w:r>
      <w:r>
        <w:t>for alignment purposes.</w:t>
      </w:r>
      <w:r w:rsidRPr="00E46CF9">
        <w:t xml:space="preserve"> Additionally, reference to the AWaRe book was maintained to allow for adaptability by other countries</w:t>
      </w:r>
      <w:r>
        <w:t>, especially other LMICs, with increasing use of the WHO AWaRe system to assess current prescribing practices as a prelude to instigating ASPs</w:t>
      </w:r>
      <w:r w:rsidRPr="00E46CF9">
        <w:t>.</w:t>
      </w:r>
      <w:r w:rsidR="0086146F">
        <w:rPr>
          <w:szCs w:val="20"/>
          <w:vertAlign w:val="superscript"/>
        </w:rPr>
        <w:t>[</w:t>
      </w:r>
      <w:r w:rsidR="004E18D3">
        <w:rPr>
          <w:szCs w:val="20"/>
          <w:vertAlign w:val="superscript"/>
        </w:rPr>
        <w:t>6</w:t>
      </w:r>
      <w:r w:rsidR="0086146F">
        <w:rPr>
          <w:szCs w:val="20"/>
          <w:vertAlign w:val="superscript"/>
        </w:rPr>
        <w:t>7]</w:t>
      </w:r>
      <w:r w:rsidR="0086146F" w:rsidRPr="00E46CF9">
        <w:t xml:space="preserve"> </w:t>
      </w:r>
      <w:r>
        <w:t>However, in practice, robust national treatment guidelines are usually prioritized considering local resistance patterns.</w:t>
      </w:r>
    </w:p>
    <w:p w14:paraId="7CB2911C" w14:textId="247D47DA" w:rsidR="009F1CB8" w:rsidRDefault="009F1CB8" w:rsidP="009F1CB8">
      <w:pPr>
        <w:pStyle w:val="MDPI31text"/>
      </w:pPr>
      <w:r w:rsidRPr="00787A0D">
        <w:t xml:space="preserve">While prescribing in PHC facilities </w:t>
      </w:r>
      <w:r>
        <w:t>in South Africa</w:t>
      </w:r>
      <w:r w:rsidR="0086146F">
        <w:t>,</w:t>
      </w:r>
      <w:r>
        <w:t xml:space="preserve"> and among LMICs</w:t>
      </w:r>
      <w:r w:rsidR="0086146F">
        <w:t>,</w:t>
      </w:r>
      <w:r>
        <w:t xml:space="preserve"> </w:t>
      </w:r>
      <w:r w:rsidRPr="00787A0D">
        <w:t xml:space="preserve">is mainly </w:t>
      </w:r>
      <w:r>
        <w:t>undertaken</w:t>
      </w:r>
      <w:r w:rsidRPr="00787A0D">
        <w:t xml:space="preserve"> by </w:t>
      </w:r>
      <w:proofErr w:type="gramStart"/>
      <w:r w:rsidRPr="00787A0D">
        <w:t>nurses</w:t>
      </w:r>
      <w:bookmarkStart w:id="28" w:name="_Hlk216438920"/>
      <w:r w:rsidRPr="00787A0D">
        <w:t>,</w:t>
      </w:r>
      <w:bookmarkEnd w:id="28"/>
      <w:r w:rsidR="003A3C80">
        <w:rPr>
          <w:szCs w:val="20"/>
          <w:vertAlign w:val="superscript"/>
        </w:rPr>
        <w:t>[</w:t>
      </w:r>
      <w:proofErr w:type="gramEnd"/>
      <w:r w:rsidR="004E18D3">
        <w:rPr>
          <w:szCs w:val="20"/>
          <w:vertAlign w:val="superscript"/>
        </w:rPr>
        <w:t>6</w:t>
      </w:r>
      <w:r w:rsidR="003A3C80">
        <w:rPr>
          <w:szCs w:val="20"/>
          <w:vertAlign w:val="superscript"/>
        </w:rPr>
        <w:t>7,</w:t>
      </w:r>
      <w:r w:rsidR="004E18D3">
        <w:rPr>
          <w:szCs w:val="20"/>
          <w:vertAlign w:val="superscript"/>
        </w:rPr>
        <w:t>84</w:t>
      </w:r>
      <w:r w:rsidR="003A3C80">
        <w:rPr>
          <w:szCs w:val="20"/>
          <w:vertAlign w:val="superscript"/>
        </w:rPr>
        <w:t>-</w:t>
      </w:r>
      <w:r w:rsidR="004E18D3">
        <w:rPr>
          <w:szCs w:val="20"/>
          <w:vertAlign w:val="superscript"/>
        </w:rPr>
        <w:t>86</w:t>
      </w:r>
      <w:r w:rsidR="003A3C80">
        <w:rPr>
          <w:szCs w:val="20"/>
          <w:vertAlign w:val="superscript"/>
        </w:rPr>
        <w:t>]</w:t>
      </w:r>
      <w:r w:rsidR="003A3C80" w:rsidRPr="00E46CF9">
        <w:t xml:space="preserve"> </w:t>
      </w:r>
      <w:r w:rsidRPr="00787A0D">
        <w:t xml:space="preserve">the panel emphasized that antibiotic prescribing should reflect evidence from the </w:t>
      </w:r>
      <w:r>
        <w:t xml:space="preserve">WHO </w:t>
      </w:r>
      <w:r w:rsidRPr="00787A0D">
        <w:t xml:space="preserve">AWaRe guidance and the </w:t>
      </w:r>
      <w:r>
        <w:t xml:space="preserve">current South African </w:t>
      </w:r>
      <w:r w:rsidR="00B96236">
        <w:t>standard treatment guidelines</w:t>
      </w:r>
      <w:r w:rsidRPr="00787A0D">
        <w:t xml:space="preserve"> for prescribing in primary care, regardless of who is prescribing or the</w:t>
      </w:r>
      <w:r>
        <w:t>ir</w:t>
      </w:r>
      <w:r w:rsidRPr="00787A0D">
        <w:t xml:space="preserve"> professional qualification. Using these quality indicators in practice can help promote guideline adherence and evidence-based prescribing to reduce inappropriate antibiotic use while strengthening AMS.</w:t>
      </w:r>
    </w:p>
    <w:p w14:paraId="6975D734" w14:textId="7868EF67" w:rsidR="009F1CB8" w:rsidRDefault="009F1CB8" w:rsidP="009F1CB8">
      <w:pPr>
        <w:pStyle w:val="MDPI31text"/>
      </w:pPr>
      <w:r w:rsidRPr="00013BE7">
        <w:t>The ratings focused on the average patient consulting at a PHC facility</w:t>
      </w:r>
      <w:r>
        <w:t xml:space="preserve"> in South Africa</w:t>
      </w:r>
      <w:r w:rsidRPr="00013BE7">
        <w:t xml:space="preserve">; however, the panel discussions did not overlook patient variability and exceptions that may occur in practice. For example, </w:t>
      </w:r>
      <w:r>
        <w:t xml:space="preserve">intravenous antibiotics are generally not given for diarrhea in primary care. Consequently, malnourished and dehydrated pediatric patients who receive ceftriaxone for dysentery were considered an exception and not the average patient. In primary care, bacterial eye infections are generally treated with topical antibiotics. As a result, the </w:t>
      </w:r>
      <w:r w:rsidRPr="004C4DB6">
        <w:t>use of ceftriaxone injection for neonates (neonatal conjunctivitis) when there is gonorrhea, syphilis or chlamydia</w:t>
      </w:r>
      <w:r>
        <w:t>,</w:t>
      </w:r>
      <w:r w:rsidRPr="004C4DB6">
        <w:t xml:space="preserve"> was considered an exception and not applicable to the average patient.</w:t>
      </w:r>
    </w:p>
    <w:p w14:paraId="68CDE5CB" w14:textId="5D135231" w:rsidR="009F1CB8" w:rsidRDefault="009F1CB8" w:rsidP="009F1CB8">
      <w:pPr>
        <w:pStyle w:val="MDPI31text"/>
      </w:pPr>
      <w:r w:rsidRPr="00C057F2">
        <w:t>Where an indicator reflected inappropriate prescribing practice</w:t>
      </w:r>
      <w:r>
        <w:t>,</w:t>
      </w:r>
      <w:r w:rsidRPr="00C057F2">
        <w:t xml:space="preserve"> e.g., </w:t>
      </w:r>
      <w:r>
        <w:t xml:space="preserve">the </w:t>
      </w:r>
      <w:r w:rsidRPr="00C057F2">
        <w:t xml:space="preserve">prescribing </w:t>
      </w:r>
      <w:r w:rsidR="007A0482">
        <w:t xml:space="preserve">of </w:t>
      </w:r>
      <w:r w:rsidRPr="00C057F2">
        <w:t xml:space="preserve">an oral antibiotic for bronchitis or </w:t>
      </w:r>
      <w:r>
        <w:t xml:space="preserve">the </w:t>
      </w:r>
      <w:r w:rsidRPr="00C057F2">
        <w:t xml:space="preserve">proportion of patients receiving an antibiotic for acute infectious non-bloody diarrhea, the panel did not assign a low rating for appropriateness. While the practice is inappropriate, the indicator is considered an appropriate measure to assess the quality of care. Context specific considerations such as antibiotic resistance resulted in an indicator being rated lower for appropriateness </w:t>
      </w:r>
      <w:r>
        <w:t xml:space="preserve">but </w:t>
      </w:r>
      <w:r w:rsidRPr="00C057F2">
        <w:t xml:space="preserve">not feasibility. If data can be collected and </w:t>
      </w:r>
      <w:r w:rsidR="007A0482">
        <w:t xml:space="preserve">the </w:t>
      </w:r>
      <w:r w:rsidRPr="00C057F2">
        <w:t>quality of care can be measured, then the indicator is feasible, even if it is considered inappropriate due to resistance issues</w:t>
      </w:r>
      <w:r w:rsidR="00C27725">
        <w:t xml:space="preserve">, for example, </w:t>
      </w:r>
      <w:r w:rsidR="003A3C80">
        <w:t>URTIs</w:t>
      </w:r>
      <w:r w:rsidR="006A7128">
        <w:t xml:space="preserve"> which might be resistant to amoxicillin or other Access antibiotics</w:t>
      </w:r>
      <w:r w:rsidRPr="00C057F2">
        <w:t>.</w:t>
      </w:r>
      <w:r>
        <w:t xml:space="preserve"> The panel also focused on r</w:t>
      </w:r>
      <w:r w:rsidRPr="00712130">
        <w:t>esistance patterns that are expected in the community</w:t>
      </w:r>
      <w:r>
        <w:t xml:space="preserve"> and</w:t>
      </w:r>
      <w:r w:rsidRPr="00712130">
        <w:t xml:space="preserve"> not in a hospital setting. At a community level, the biases on resistance must be considered as well as the lack of data on resistance patterns for most pathogens.</w:t>
      </w:r>
    </w:p>
    <w:p w14:paraId="3DF578E9" w14:textId="7594970B" w:rsidR="009F1CB8" w:rsidRDefault="009F1CB8" w:rsidP="00B637EB">
      <w:pPr>
        <w:pStyle w:val="MDPI31text"/>
      </w:pPr>
      <w:r>
        <w:t>While more than</w:t>
      </w:r>
      <w:r w:rsidRPr="00982ACA">
        <w:t xml:space="preserve"> </w:t>
      </w:r>
      <w:r>
        <w:t>two thirds of the</w:t>
      </w:r>
      <w:r w:rsidRPr="00982ACA">
        <w:t xml:space="preserve"> indicators were rated both feasible and appropriate with agreement</w:t>
      </w:r>
      <w:r>
        <w:t>, t</w:t>
      </w:r>
      <w:r w:rsidRPr="004963AB">
        <w:t xml:space="preserve">he </w:t>
      </w:r>
      <w:r>
        <w:t xml:space="preserve">current </w:t>
      </w:r>
      <w:r w:rsidRPr="004963AB">
        <w:t xml:space="preserve">lack of electronic prescribing and electronic records in most provinces </w:t>
      </w:r>
      <w:r>
        <w:t xml:space="preserve">in South Africa </w:t>
      </w:r>
      <w:r w:rsidRPr="004963AB">
        <w:t>negatively affect</w:t>
      </w:r>
      <w:r>
        <w:t>ed</w:t>
      </w:r>
      <w:r w:rsidRPr="004963AB">
        <w:t xml:space="preserve"> the feasibility of most of the indicators in public primary care settings. </w:t>
      </w:r>
      <w:r>
        <w:t>For example, facilities with no electronic systems may not be able to accurately quantify the use of antibiotics</w:t>
      </w:r>
      <w:r w:rsidR="006D1AAB">
        <w:t xml:space="preserve"> or </w:t>
      </w:r>
      <w:r w:rsidR="006D1AAB" w:rsidRPr="004D30A7">
        <w:t>accurately assess diagnosis-based indicators</w:t>
      </w:r>
      <w:r w:rsidRPr="004D30A7">
        <w:t xml:space="preserve">. </w:t>
      </w:r>
      <w:r w:rsidR="006D1AAB" w:rsidRPr="004D30A7">
        <w:t xml:space="preserve">In addition, while prescribing data can be collected from manual patient records in South African public PHCs, as previously </w:t>
      </w:r>
      <w:r w:rsidR="00783D5F" w:rsidRPr="004D30A7">
        <w:t>undertaken</w:t>
      </w:r>
      <w:r w:rsidR="006D1AAB" w:rsidRPr="004D30A7">
        <w:t xml:space="preserve"> with the APC-PPS</w:t>
      </w:r>
      <w:r w:rsidR="006D1AAB" w:rsidRPr="004D30A7">
        <w:rPr>
          <w:vertAlign w:val="superscript"/>
        </w:rPr>
        <w:t>84</w:t>
      </w:r>
      <w:r w:rsidR="006D1AAB" w:rsidRPr="004D30A7">
        <w:t>, the process is labor intensive and time consuming.</w:t>
      </w:r>
      <w:r w:rsidR="006D1AAB">
        <w:t xml:space="preserve"> </w:t>
      </w:r>
      <w:r>
        <w:t xml:space="preserve">The adoption of electronic prescribing tools, supported by clinical decision support tools, is important to optimize antibiotic prescribing in primary care and mitigate challenges related to limited staff, time constraints, incomplete documentation and </w:t>
      </w:r>
      <w:r w:rsidR="003A3C80">
        <w:t xml:space="preserve">over </w:t>
      </w:r>
      <w:r>
        <w:t>reliance on paper-based processes.</w:t>
      </w:r>
      <w:r w:rsidR="006561EF">
        <w:rPr>
          <w:szCs w:val="20"/>
          <w:vertAlign w:val="superscript"/>
        </w:rPr>
        <w:t>[</w:t>
      </w:r>
      <w:r w:rsidR="00F60A34">
        <w:rPr>
          <w:szCs w:val="20"/>
          <w:vertAlign w:val="superscript"/>
        </w:rPr>
        <w:t>87</w:t>
      </w:r>
      <w:r w:rsidR="006561EF">
        <w:rPr>
          <w:szCs w:val="20"/>
          <w:vertAlign w:val="superscript"/>
        </w:rPr>
        <w:t>-</w:t>
      </w:r>
      <w:r w:rsidR="00F60A34">
        <w:rPr>
          <w:szCs w:val="20"/>
          <w:vertAlign w:val="superscript"/>
        </w:rPr>
        <w:t>89</w:t>
      </w:r>
      <w:r w:rsidR="006561EF">
        <w:rPr>
          <w:szCs w:val="20"/>
          <w:vertAlign w:val="superscript"/>
        </w:rPr>
        <w:t>]</w:t>
      </w:r>
      <w:r w:rsidR="006561EF" w:rsidRPr="00E46CF9">
        <w:t xml:space="preserve"> </w:t>
      </w:r>
      <w:r>
        <w:t>Poor data availability and quality due to incomplete and inconsistent documentation in primary care records is a barrier that must be addressed going forward as this may well impede the feasibility of most indicators.</w:t>
      </w:r>
      <w:r w:rsidR="006561EF">
        <w:rPr>
          <w:szCs w:val="20"/>
          <w:vertAlign w:val="superscript"/>
        </w:rPr>
        <w:t>[</w:t>
      </w:r>
      <w:r w:rsidR="007B7E50">
        <w:rPr>
          <w:szCs w:val="20"/>
          <w:vertAlign w:val="superscript"/>
        </w:rPr>
        <w:t>90</w:t>
      </w:r>
      <w:r w:rsidR="006561EF">
        <w:rPr>
          <w:szCs w:val="20"/>
          <w:vertAlign w:val="superscript"/>
        </w:rPr>
        <w:t>-</w:t>
      </w:r>
      <w:r w:rsidR="007B7E50">
        <w:rPr>
          <w:szCs w:val="20"/>
          <w:vertAlign w:val="superscript"/>
        </w:rPr>
        <w:t>92</w:t>
      </w:r>
      <w:r w:rsidR="006561EF">
        <w:rPr>
          <w:szCs w:val="20"/>
          <w:vertAlign w:val="superscript"/>
        </w:rPr>
        <w:t>]</w:t>
      </w:r>
      <w:r w:rsidR="006561EF" w:rsidRPr="00E46CF9">
        <w:t xml:space="preserve"> </w:t>
      </w:r>
      <w:r>
        <w:t xml:space="preserve">For example, all </w:t>
      </w:r>
      <w:r w:rsidRPr="007D7977">
        <w:t>relevant information pertaining to an antibiotic allergy</w:t>
      </w:r>
      <w:r>
        <w:t xml:space="preserve">, </w:t>
      </w:r>
      <w:r w:rsidRPr="007D7977">
        <w:t xml:space="preserve">i.e., severity, timing, </w:t>
      </w:r>
      <w:r>
        <w:t xml:space="preserve">and </w:t>
      </w:r>
      <w:r w:rsidR="006561EF">
        <w:t xml:space="preserve">the </w:t>
      </w:r>
      <w:r w:rsidRPr="007D7977">
        <w:t>nature of the allergy</w:t>
      </w:r>
      <w:r w:rsidR="006561EF">
        <w:t>,</w:t>
      </w:r>
      <w:r>
        <w:t xml:space="preserve"> as well as </w:t>
      </w:r>
      <w:r w:rsidRPr="007D7977">
        <w:t xml:space="preserve">names of the antibiotics </w:t>
      </w:r>
      <w:r>
        <w:t>a patient is</w:t>
      </w:r>
      <w:r w:rsidRPr="007D7977">
        <w:t xml:space="preserve"> allergic to</w:t>
      </w:r>
      <w:r>
        <w:t>,</w:t>
      </w:r>
      <w:r w:rsidRPr="007D7977">
        <w:t xml:space="preserve"> may not be </w:t>
      </w:r>
      <w:r>
        <w:t xml:space="preserve">readily </w:t>
      </w:r>
      <w:r w:rsidRPr="007D7977">
        <w:t>obtainable from the patient</w:t>
      </w:r>
      <w:r w:rsidR="000B6799">
        <w:t>’s</w:t>
      </w:r>
      <w:r w:rsidRPr="007D7977">
        <w:t xml:space="preserve"> file.</w:t>
      </w:r>
      <w:r>
        <w:t xml:space="preserve"> </w:t>
      </w:r>
      <w:r w:rsidR="00610D0E">
        <w:t xml:space="preserve">However, this is an important consideration before prescribing an antibiotic. </w:t>
      </w:r>
      <w:r>
        <w:t>C</w:t>
      </w:r>
      <w:r w:rsidRPr="00EA74D7">
        <w:t xml:space="preserve">hecking if the prescriber </w:t>
      </w:r>
      <w:r w:rsidR="00610D0E">
        <w:t xml:space="preserve">had previously </w:t>
      </w:r>
      <w:r>
        <w:t xml:space="preserve">documented if a </w:t>
      </w:r>
      <w:r w:rsidRPr="00EA74D7">
        <w:t xml:space="preserve">patient </w:t>
      </w:r>
      <w:r>
        <w:t xml:space="preserve">has an </w:t>
      </w:r>
      <w:r w:rsidRPr="00EA74D7">
        <w:t>allergy, including no allergy status</w:t>
      </w:r>
      <w:r w:rsidR="006561EF">
        <w:t>,</w:t>
      </w:r>
      <w:r w:rsidR="00B637EB">
        <w:t xml:space="preserve"> before prescribing an antibiotic</w:t>
      </w:r>
      <w:r w:rsidRPr="00EA74D7">
        <w:t xml:space="preserve"> </w:t>
      </w:r>
      <w:r w:rsidR="006F600C">
        <w:t>could</w:t>
      </w:r>
      <w:r>
        <w:t xml:space="preserve"> be </w:t>
      </w:r>
      <w:r w:rsidR="00B637EB">
        <w:t xml:space="preserve">more </w:t>
      </w:r>
      <w:r w:rsidRPr="00EA74D7">
        <w:t xml:space="preserve">feasible </w:t>
      </w:r>
      <w:r w:rsidR="006561EF">
        <w:t xml:space="preserve">with electronic systems </w:t>
      </w:r>
      <w:r w:rsidR="00610D0E">
        <w:t xml:space="preserve">in place </w:t>
      </w:r>
      <w:r w:rsidR="00B637EB">
        <w:t xml:space="preserve">compared </w:t>
      </w:r>
      <w:r w:rsidR="006561EF">
        <w:t>with</w:t>
      </w:r>
      <w:r w:rsidR="00B637EB">
        <w:t xml:space="preserve"> </w:t>
      </w:r>
      <w:r w:rsidR="006561EF">
        <w:t xml:space="preserve">laboriously </w:t>
      </w:r>
      <w:r w:rsidR="00B637EB">
        <w:t xml:space="preserve">checking </w:t>
      </w:r>
      <w:r w:rsidR="006561EF">
        <w:t>the</w:t>
      </w:r>
      <w:r w:rsidR="00B637EB">
        <w:t xml:space="preserve"> relevant information pertaining to allerg</w:t>
      </w:r>
      <w:r w:rsidR="006561EF">
        <w:t xml:space="preserve">ies in </w:t>
      </w:r>
      <w:r w:rsidR="006561EF" w:rsidRPr="007D7977">
        <w:t>the patient</w:t>
      </w:r>
      <w:r w:rsidR="006561EF">
        <w:t>’s</w:t>
      </w:r>
      <w:r w:rsidR="006561EF" w:rsidRPr="007D7977">
        <w:t xml:space="preserve"> file</w:t>
      </w:r>
      <w:r w:rsidR="006561EF">
        <w:t xml:space="preserve"> before prescribing an antibiotic.</w:t>
      </w:r>
    </w:p>
    <w:p w14:paraId="0D2C4629" w14:textId="5FAA0ECE" w:rsidR="009F1CB8" w:rsidRDefault="009F1CB8" w:rsidP="009F1CB8">
      <w:pPr>
        <w:pStyle w:val="MDPI31text"/>
      </w:pPr>
      <w:r>
        <w:t>For respiratory tract infections</w:t>
      </w:r>
      <w:r w:rsidR="00392E38">
        <w:t xml:space="preserve"> (RTIs)</w:t>
      </w:r>
      <w:r>
        <w:t xml:space="preserve">, the panel identified the challenge of correctly defining bronchitis in primary care as a barrier to feasibility. Consequently, </w:t>
      </w:r>
      <w:r w:rsidRPr="00F2054E">
        <w:t>the clinical presentation for both suspected and confirmed infection</w:t>
      </w:r>
      <w:r>
        <w:t>s</w:t>
      </w:r>
      <w:r w:rsidRPr="00F2054E">
        <w:t xml:space="preserve"> for the average patient regardless of pathogen (viral or bacterial) must be considered.</w:t>
      </w:r>
      <w:r>
        <w:t xml:space="preserve"> The lack of resistance data from the community for common </w:t>
      </w:r>
      <w:r w:rsidR="00392E38">
        <w:t>RTI</w:t>
      </w:r>
      <w:r>
        <w:t xml:space="preserve">s also negatively impacts on </w:t>
      </w:r>
      <w:r w:rsidR="0095553C">
        <w:t xml:space="preserve">the </w:t>
      </w:r>
      <w:r>
        <w:t>feasibility of the indicators. Whi</w:t>
      </w:r>
      <w:r w:rsidR="00950258">
        <w:t>l</w:t>
      </w:r>
      <w:r>
        <w:t xml:space="preserve">st a cough can be </w:t>
      </w:r>
      <w:r w:rsidRPr="00B72A49">
        <w:t>a symptom of a non-respiratory infection tract illness</w:t>
      </w:r>
      <w:r>
        <w:t>,</w:t>
      </w:r>
      <w:r w:rsidRPr="00B72A49">
        <w:t xml:space="preserve"> e.g., reflux</w:t>
      </w:r>
      <w:r>
        <w:t>, it was</w:t>
      </w:r>
      <w:r w:rsidRPr="00B72A49">
        <w:t xml:space="preserve"> considered as the most likely symptom of a lower</w:t>
      </w:r>
      <w:r>
        <w:t xml:space="preserve"> </w:t>
      </w:r>
      <w:r w:rsidR="00392E38">
        <w:t>RTI</w:t>
      </w:r>
      <w:r>
        <w:t xml:space="preserve"> </w:t>
      </w:r>
      <w:r w:rsidRPr="00B72A49">
        <w:t>for patients presenting at a primary care facility</w:t>
      </w:r>
      <w:r>
        <w:t xml:space="preserve"> during the rating process</w:t>
      </w:r>
      <w:r w:rsidRPr="00B72A49">
        <w:t>.</w:t>
      </w:r>
      <w:r>
        <w:t xml:space="preserve"> Consequently, </w:t>
      </w:r>
      <w:r w:rsidR="00B637EB">
        <w:t xml:space="preserve">this raises </w:t>
      </w:r>
      <w:r>
        <w:t xml:space="preserve">concerns </w:t>
      </w:r>
      <w:r w:rsidR="00FF53A4">
        <w:t xml:space="preserve">about </w:t>
      </w:r>
      <w:r w:rsidR="00950258">
        <w:t>whether</w:t>
      </w:r>
      <w:r>
        <w:t xml:space="preserve"> antibiotics are prescribed inappropriately</w:t>
      </w:r>
      <w:r w:rsidR="00B637EB">
        <w:t>.</w:t>
      </w:r>
    </w:p>
    <w:p w14:paraId="768C3941" w14:textId="1D4FF1F0" w:rsidR="009F1CB8" w:rsidRDefault="009F1CB8" w:rsidP="009F1CB8">
      <w:pPr>
        <w:pStyle w:val="MDPI31text"/>
      </w:pPr>
      <w:r>
        <w:t xml:space="preserve">Although all indicators for </w:t>
      </w:r>
      <w:r w:rsidR="00F05A21">
        <w:t>STI</w:t>
      </w:r>
      <w:r>
        <w:t>s were considered appropriate, they may not be feasible in primary care due to limited testing and diagnostic information. For these infections, i.e., chlamydia, gonorrhea and syphilis, diagnosis is syndromic and must be confirmed. Currently, it is more feasible to identify patients with syphilis compared to gonorrhea and chlamydia, as syphilis serology is sometimes done. In practice, prescribers do not distinguish between gonorrhea and chlamydia routinely. Additionally, the specific diagnosis is often not specified in the patient’s notes and is often generalized as genital ulcers/genital ulcer syndrome/genital discharge. Since these terms are not aligned with the WHO AWaRe book, the indicators in this category were not rephrased as they would not be generalizable/applicable for the rest of Africa. This was identified as an area for quality improvement</w:t>
      </w:r>
      <w:r w:rsidR="006D6479">
        <w:t>,</w:t>
      </w:r>
      <w:r>
        <w:t xml:space="preserve"> especially if diagnostic tests that can differentiate between the different </w:t>
      </w:r>
      <w:r w:rsidR="00F05A21">
        <w:t>STI</w:t>
      </w:r>
      <w:r>
        <w:t>s are introduced in primary care, as opposed to quality assessment. The lack of laboratory facilities and diagnostic tests</w:t>
      </w:r>
      <w:r w:rsidR="008605CD">
        <w:t>,</w:t>
      </w:r>
      <w:r>
        <w:t xml:space="preserve"> </w:t>
      </w:r>
      <w:r w:rsidRPr="00563797">
        <w:t>laboratory capacity to identify causative organisms for infections</w:t>
      </w:r>
      <w:r>
        <w:t>,</w:t>
      </w:r>
      <w:r w:rsidRPr="00563797">
        <w:t xml:space="preserve"> and their antimicrobial susceptibility </w:t>
      </w:r>
      <w:r>
        <w:t xml:space="preserve">in primary care, also contributes to AMR and </w:t>
      </w:r>
      <w:bookmarkStart w:id="29" w:name="_Hlk216421909"/>
      <w:r>
        <w:t xml:space="preserve">needs to be urgently addressed going </w:t>
      </w:r>
      <w:proofErr w:type="gramStart"/>
      <w:r>
        <w:t>forward.</w:t>
      </w:r>
      <w:r w:rsidR="00610D0E">
        <w:rPr>
          <w:szCs w:val="20"/>
          <w:vertAlign w:val="superscript"/>
        </w:rPr>
        <w:t>[</w:t>
      </w:r>
      <w:proofErr w:type="gramEnd"/>
      <w:r w:rsidR="007B7E50">
        <w:rPr>
          <w:szCs w:val="20"/>
          <w:vertAlign w:val="superscript"/>
        </w:rPr>
        <w:t>93</w:t>
      </w:r>
      <w:r w:rsidR="00610D0E">
        <w:rPr>
          <w:szCs w:val="20"/>
          <w:vertAlign w:val="superscript"/>
        </w:rPr>
        <w:t xml:space="preserve">, </w:t>
      </w:r>
      <w:r w:rsidR="007B7E50">
        <w:rPr>
          <w:szCs w:val="20"/>
          <w:vertAlign w:val="superscript"/>
        </w:rPr>
        <w:t>94</w:t>
      </w:r>
      <w:r w:rsidR="00610D0E">
        <w:rPr>
          <w:szCs w:val="20"/>
          <w:vertAlign w:val="superscript"/>
        </w:rPr>
        <w:t>]</w:t>
      </w:r>
    </w:p>
    <w:p w14:paraId="7C7D72D0" w14:textId="068AAC30" w:rsidR="009F1CB8" w:rsidRDefault="00B637EB" w:rsidP="009F1CB8">
      <w:pPr>
        <w:pStyle w:val="MDPI31text"/>
      </w:pPr>
      <w:r>
        <w:t>O</w:t>
      </w:r>
      <w:r w:rsidR="009F1CB8" w:rsidRPr="00A60E3F">
        <w:t xml:space="preserve">ur study has several strengths. </w:t>
      </w:r>
      <w:r w:rsidR="009F1CB8" w:rsidRPr="00C80080">
        <w:t>We consider the evidence base of our study robust as we used</w:t>
      </w:r>
      <w:r w:rsidR="009F1CB8">
        <w:t xml:space="preserve"> model</w:t>
      </w:r>
      <w:r w:rsidR="009F1CB8" w:rsidRPr="00C80080">
        <w:t xml:space="preserve"> indicators </w:t>
      </w:r>
      <w:r w:rsidR="009F1CB8" w:rsidRPr="001821AD">
        <w:t>developed using two discrete consensus technique methodologies</w:t>
      </w:r>
      <w:r w:rsidR="009F1CB8">
        <w:t>.</w:t>
      </w:r>
      <w:r w:rsidR="00D409D5">
        <w:rPr>
          <w:szCs w:val="20"/>
          <w:vertAlign w:val="superscript"/>
        </w:rPr>
        <w:t>[</w:t>
      </w:r>
      <w:r w:rsidR="007B7E50">
        <w:rPr>
          <w:szCs w:val="20"/>
          <w:vertAlign w:val="superscript"/>
        </w:rPr>
        <w:t>7</w:t>
      </w:r>
      <w:r w:rsidR="00807D86">
        <w:rPr>
          <w:szCs w:val="20"/>
          <w:vertAlign w:val="superscript"/>
        </w:rPr>
        <w:t>5</w:t>
      </w:r>
      <w:r w:rsidR="00D409D5">
        <w:rPr>
          <w:szCs w:val="20"/>
          <w:vertAlign w:val="superscript"/>
        </w:rPr>
        <w:t>]</w:t>
      </w:r>
      <w:r w:rsidR="00D409D5" w:rsidRPr="00E46CF9">
        <w:t xml:space="preserve"> </w:t>
      </w:r>
      <w:r w:rsidR="009F1CB8">
        <w:t xml:space="preserve">The </w:t>
      </w:r>
      <w:r w:rsidR="0052132E">
        <w:t xml:space="preserve">model </w:t>
      </w:r>
      <w:r w:rsidR="009F1CB8">
        <w:t>indicators were</w:t>
      </w:r>
      <w:r w:rsidR="009F1CB8" w:rsidRPr="001821AD">
        <w:t xml:space="preserve"> </w:t>
      </w:r>
      <w:r w:rsidR="009F1CB8" w:rsidRPr="00C80080">
        <w:t>first</w:t>
      </w:r>
      <w:bookmarkEnd w:id="29"/>
      <w:r w:rsidR="009F1CB8" w:rsidRPr="00C80080">
        <w:t xml:space="preserve">ly rated by a panel of more than 100 national experts in AMR and AMS from all </w:t>
      </w:r>
      <w:r w:rsidR="00807D86">
        <w:t xml:space="preserve">the </w:t>
      </w:r>
      <w:r w:rsidR="009F1CB8" w:rsidRPr="00C80080">
        <w:t xml:space="preserve">WHO regions, who rated the indicators </w:t>
      </w:r>
      <w:r w:rsidR="008605CD">
        <w:t>in</w:t>
      </w:r>
      <w:r w:rsidR="009F1CB8" w:rsidRPr="00C80080">
        <w:t xml:space="preserve"> a country context using the Delphi technique, followed by a panel of 12 international leading experts in AMR/AMS, who rated the indicators in a global context using the RAM.</w:t>
      </w:r>
      <w:r w:rsidR="00D409D5">
        <w:rPr>
          <w:szCs w:val="20"/>
          <w:vertAlign w:val="superscript"/>
        </w:rPr>
        <w:t>[</w:t>
      </w:r>
      <w:r w:rsidR="007B7E50">
        <w:rPr>
          <w:szCs w:val="20"/>
          <w:vertAlign w:val="superscript"/>
        </w:rPr>
        <w:t>7</w:t>
      </w:r>
      <w:r w:rsidR="00807D86">
        <w:rPr>
          <w:szCs w:val="20"/>
          <w:vertAlign w:val="superscript"/>
        </w:rPr>
        <w:t>5</w:t>
      </w:r>
      <w:r w:rsidR="00D409D5">
        <w:rPr>
          <w:szCs w:val="20"/>
          <w:vertAlign w:val="superscript"/>
        </w:rPr>
        <w:t>]</w:t>
      </w:r>
      <w:r w:rsidR="00D409D5" w:rsidRPr="00E46CF9">
        <w:t xml:space="preserve"> </w:t>
      </w:r>
      <w:r w:rsidR="009F1CB8" w:rsidRPr="00C80080">
        <w:t xml:space="preserve">The additional indicators used in this study were based on </w:t>
      </w:r>
      <w:r w:rsidR="00D409D5">
        <w:t xml:space="preserve">the </w:t>
      </w:r>
      <w:r w:rsidR="009F1CB8" w:rsidRPr="00C80080">
        <w:t xml:space="preserve">findings from a </w:t>
      </w:r>
      <w:r w:rsidR="009F1CB8">
        <w:t>point prevalence survey in ambulatory care</w:t>
      </w:r>
      <w:r w:rsidR="009F1CB8" w:rsidRPr="00C80080">
        <w:t xml:space="preserve"> to better understand current presentation rates of clinical infections and antibiotic prescribing patterns for infections a</w:t>
      </w:r>
      <w:r w:rsidR="00D409D5">
        <w:t>mong</w:t>
      </w:r>
      <w:r w:rsidR="009F1CB8" w:rsidRPr="00C80080">
        <w:t xml:space="preserve"> public PHCs in South Africa,</w:t>
      </w:r>
      <w:r w:rsidR="00D409D5">
        <w:rPr>
          <w:szCs w:val="20"/>
          <w:vertAlign w:val="superscript"/>
        </w:rPr>
        <w:t>[</w:t>
      </w:r>
      <w:r w:rsidR="007B7E50">
        <w:rPr>
          <w:szCs w:val="20"/>
          <w:vertAlign w:val="superscript"/>
        </w:rPr>
        <w:t>84</w:t>
      </w:r>
      <w:r w:rsidR="00D409D5">
        <w:rPr>
          <w:szCs w:val="20"/>
          <w:vertAlign w:val="superscript"/>
        </w:rPr>
        <w:t>]</w:t>
      </w:r>
      <w:r w:rsidR="00D409D5" w:rsidRPr="00E46CF9">
        <w:t xml:space="preserve"> </w:t>
      </w:r>
      <w:r w:rsidR="009F1CB8" w:rsidRPr="00C80080">
        <w:t xml:space="preserve">where these indicators will be used. </w:t>
      </w:r>
      <w:r w:rsidR="009F1CB8" w:rsidRPr="00A60E3F">
        <w:t xml:space="preserve">Our expert panel was </w:t>
      </w:r>
      <w:r w:rsidR="009F1CB8">
        <w:t xml:space="preserve">also </w:t>
      </w:r>
      <w:r w:rsidR="009F1CB8" w:rsidRPr="00A60E3F">
        <w:t>multidisciplinary, involving a combination of national topic experts with international expertise and prescribers currently working in primary care. A</w:t>
      </w:r>
      <w:r w:rsidR="001D0197">
        <w:t>longside this</w:t>
      </w:r>
      <w:r w:rsidR="009F1CB8" w:rsidRPr="00A60E3F">
        <w:t xml:space="preserve">, participation in the second round of ratings and the consensus meeting was high (83.3%), increasing the validity of the results. We </w:t>
      </w:r>
      <w:r w:rsidR="00AC27CF" w:rsidRPr="00AC27CF">
        <w:t>employed the RAM, a common and validated consensus method, which has been utilized to develop quality indicators for antibiotic use in various settings worldwide</w:t>
      </w:r>
      <w:r w:rsidR="009F1CB8">
        <w:t>.</w:t>
      </w:r>
      <w:r w:rsidR="00D409D5">
        <w:rPr>
          <w:szCs w:val="20"/>
          <w:vertAlign w:val="superscript"/>
        </w:rPr>
        <w:t>[</w:t>
      </w:r>
      <w:r w:rsidR="007B7E50">
        <w:rPr>
          <w:szCs w:val="20"/>
          <w:vertAlign w:val="superscript"/>
        </w:rPr>
        <w:t>7</w:t>
      </w:r>
      <w:r w:rsidR="00D409D5">
        <w:rPr>
          <w:szCs w:val="20"/>
          <w:vertAlign w:val="superscript"/>
        </w:rPr>
        <w:t>0</w:t>
      </w:r>
      <w:r w:rsidR="007B7E50">
        <w:rPr>
          <w:szCs w:val="20"/>
          <w:vertAlign w:val="superscript"/>
        </w:rPr>
        <w:t>,7</w:t>
      </w:r>
      <w:r w:rsidR="00D409D5">
        <w:rPr>
          <w:szCs w:val="20"/>
          <w:vertAlign w:val="superscript"/>
        </w:rPr>
        <w:t>1,</w:t>
      </w:r>
      <w:r w:rsidR="007B7E50">
        <w:rPr>
          <w:szCs w:val="20"/>
          <w:vertAlign w:val="superscript"/>
        </w:rPr>
        <w:t>95</w:t>
      </w:r>
      <w:r w:rsidR="00D409D5">
        <w:rPr>
          <w:szCs w:val="20"/>
          <w:vertAlign w:val="superscript"/>
        </w:rPr>
        <w:t>,</w:t>
      </w:r>
      <w:r w:rsidR="007B7E50">
        <w:rPr>
          <w:szCs w:val="20"/>
          <w:vertAlign w:val="superscript"/>
        </w:rPr>
        <w:t>96</w:t>
      </w:r>
      <w:r w:rsidR="00D409D5">
        <w:rPr>
          <w:szCs w:val="20"/>
          <w:vertAlign w:val="superscript"/>
        </w:rPr>
        <w:t>]</w:t>
      </w:r>
      <w:r w:rsidR="00D409D5" w:rsidRPr="00E46CF9">
        <w:t xml:space="preserve"> </w:t>
      </w:r>
      <w:r w:rsidR="009F1CB8" w:rsidRPr="00A60E3F">
        <w:t>The procedure we followed was consistent with the RAM guidelines</w:t>
      </w:r>
      <w:r w:rsidR="009F1CB8">
        <w:t>,</w:t>
      </w:r>
      <w:r w:rsidR="00D409D5">
        <w:rPr>
          <w:szCs w:val="20"/>
          <w:vertAlign w:val="superscript"/>
        </w:rPr>
        <w:t>[</w:t>
      </w:r>
      <w:r w:rsidR="00FA15E8">
        <w:rPr>
          <w:szCs w:val="20"/>
          <w:vertAlign w:val="superscript"/>
        </w:rPr>
        <w:t>97</w:t>
      </w:r>
      <w:r w:rsidR="00D409D5">
        <w:rPr>
          <w:szCs w:val="20"/>
          <w:vertAlign w:val="superscript"/>
        </w:rPr>
        <w:t>]</w:t>
      </w:r>
      <w:r w:rsidR="009F1CB8">
        <w:t xml:space="preserve"> </w:t>
      </w:r>
      <w:r w:rsidR="009F1CB8" w:rsidRPr="00A60E3F">
        <w:t xml:space="preserve">and the consensus meeting allowed the panel to discuss key </w:t>
      </w:r>
      <w:r w:rsidR="009F1CB8">
        <w:t xml:space="preserve">challenges that may hinder the successful implementation of the indicators in practice. Subsequently, </w:t>
      </w:r>
      <w:r w:rsidR="009F1CB8" w:rsidRPr="00A60E3F">
        <w:t>make recommendations that can improve the feasibility of the indicators in practice</w:t>
      </w:r>
      <w:r w:rsidR="009F1CB8">
        <w:t xml:space="preserve"> going forward</w:t>
      </w:r>
      <w:r w:rsidR="009F1CB8" w:rsidRPr="00A60E3F">
        <w:t xml:space="preserve">. The indicators are based on the </w:t>
      </w:r>
      <w:r w:rsidR="009F1CB8">
        <w:t xml:space="preserve">WHO </w:t>
      </w:r>
      <w:r w:rsidR="009F1CB8" w:rsidRPr="00A60E3F">
        <w:t xml:space="preserve">AWaRe guidelines, which means our results can be generalized to a wider international population and the indicators </w:t>
      </w:r>
      <w:r w:rsidR="0075373B">
        <w:t xml:space="preserve">can be </w:t>
      </w:r>
      <w:r w:rsidR="009F1CB8" w:rsidRPr="00A60E3F">
        <w:t>applied in other LMICs, following the necessary context-specific adjustments and considerations.</w:t>
      </w:r>
    </w:p>
    <w:p w14:paraId="7F2EF94E" w14:textId="0F2E9428" w:rsidR="00A338C2" w:rsidRDefault="009F1CB8" w:rsidP="00FB0C53">
      <w:pPr>
        <w:pStyle w:val="MDPI31text"/>
      </w:pPr>
      <w:r>
        <w:t>However, we are aware that t</w:t>
      </w:r>
      <w:r w:rsidRPr="00707DDE">
        <w:t xml:space="preserve">here are limitations to our study. While the RAM procedure was robust, the size of the panel may not fully reflect the diverse perspectives on antibiotic prescribing in primary care in South Africa. The perspectives of PHC prescribers from all South African provinces may </w:t>
      </w:r>
      <w:r>
        <w:t xml:space="preserve">also </w:t>
      </w:r>
      <w:r w:rsidRPr="00707DDE">
        <w:t xml:space="preserve">not have been fully captured, as the panel included only four PHC prescribers. The quality indicators were specifically </w:t>
      </w:r>
      <w:r>
        <w:t>rated</w:t>
      </w:r>
      <w:r w:rsidRPr="00707DDE">
        <w:t xml:space="preserve"> for the public PHC sector</w:t>
      </w:r>
      <w:r>
        <w:t xml:space="preserve"> context</w:t>
      </w:r>
      <w:r w:rsidRPr="00707DDE">
        <w:t>, and this may limit their applicability to the private PHC sector with different prescribing practices</w:t>
      </w:r>
      <w:r>
        <w:t xml:space="preserve"> and less reliance on the local standard treatment guidelines. Despite these limitations, we believe the findings are robust</w:t>
      </w:r>
      <w:r w:rsidR="00050B60">
        <w:t>,</w:t>
      </w:r>
      <w:r>
        <w:t xml:space="preserve"> providing direction for the future to improve antibiotic prescribing in primary care in South Africa and wider.</w:t>
      </w:r>
    </w:p>
    <w:p w14:paraId="3527A831" w14:textId="55CCBFDA" w:rsidR="00AA3FAA" w:rsidRPr="003D4CE1" w:rsidRDefault="00D409D5" w:rsidP="00FB0C53">
      <w:pPr>
        <w:pStyle w:val="MDPI31text"/>
      </w:pPr>
      <w:r>
        <w:t>Overall</w:t>
      </w:r>
      <w:r w:rsidR="00AA3FAA">
        <w:t xml:space="preserve">, </w:t>
      </w:r>
      <w:r>
        <w:t xml:space="preserve">we believe </w:t>
      </w:r>
      <w:r w:rsidR="00AA3FAA">
        <w:t xml:space="preserve">these </w:t>
      </w:r>
      <w:r w:rsidR="00C84047">
        <w:t xml:space="preserve">indicated </w:t>
      </w:r>
      <w:r w:rsidR="00820583">
        <w:t xml:space="preserve">quality </w:t>
      </w:r>
      <w:r w:rsidR="00AA3FAA">
        <w:t xml:space="preserve">indicators can be adopted by the National Department of Health to form part of </w:t>
      </w:r>
      <w:r w:rsidR="002F73FA">
        <w:t xml:space="preserve">future </w:t>
      </w:r>
      <w:r w:rsidR="00AA3FAA">
        <w:t>quality assessmen</w:t>
      </w:r>
      <w:r w:rsidR="00820583">
        <w:t>t</w:t>
      </w:r>
      <w:r w:rsidR="002A4127">
        <w:t>s</w:t>
      </w:r>
      <w:r w:rsidR="00820583">
        <w:t xml:space="preserve"> or </w:t>
      </w:r>
      <w:r w:rsidR="002A4127">
        <w:t xml:space="preserve">clinical audits </w:t>
      </w:r>
      <w:r w:rsidR="0000419B">
        <w:t xml:space="preserve">at PHC facilities, alongside </w:t>
      </w:r>
      <w:r>
        <w:t>any</w:t>
      </w:r>
      <w:r w:rsidR="0000419B">
        <w:t xml:space="preserve"> performance indicators currently in use. These audits are </w:t>
      </w:r>
      <w:r w:rsidR="00F22AE4">
        <w:t xml:space="preserve">typically </w:t>
      </w:r>
      <w:r w:rsidR="0000419B">
        <w:t>coordinated</w:t>
      </w:r>
      <w:r w:rsidR="006540FA">
        <w:t xml:space="preserve"> </w:t>
      </w:r>
      <w:r w:rsidR="00AA3FAA">
        <w:t xml:space="preserve">by </w:t>
      </w:r>
      <w:r w:rsidR="002F73FA">
        <w:t>PHC managers</w:t>
      </w:r>
      <w:r w:rsidR="00AA3FAA">
        <w:t xml:space="preserve"> </w:t>
      </w:r>
      <w:r w:rsidR="0000419B">
        <w:t>within</w:t>
      </w:r>
      <w:r w:rsidR="006540FA">
        <w:t xml:space="preserve"> their </w:t>
      </w:r>
      <w:r w:rsidR="006540FA" w:rsidRPr="004D30A7">
        <w:t>respective districts</w:t>
      </w:r>
      <w:r w:rsidR="0000419B" w:rsidRPr="004D30A7">
        <w:t xml:space="preserve"> and </w:t>
      </w:r>
      <w:r w:rsidR="00F22AE4" w:rsidRPr="004D30A7">
        <w:t>undertaken</w:t>
      </w:r>
      <w:r w:rsidR="0000419B" w:rsidRPr="004D30A7">
        <w:t xml:space="preserve"> </w:t>
      </w:r>
      <w:r w:rsidR="002A4127" w:rsidRPr="004D30A7">
        <w:t>at scheduled times during the year</w:t>
      </w:r>
      <w:r w:rsidR="0000419B" w:rsidRPr="004D30A7">
        <w:t xml:space="preserve">, </w:t>
      </w:r>
      <w:r w:rsidR="0013490A" w:rsidRPr="004D30A7">
        <w:t>ideally on a quarterly basis</w:t>
      </w:r>
      <w:r w:rsidR="0000419B" w:rsidRPr="004D30A7">
        <w:t>.</w:t>
      </w:r>
      <w:r w:rsidR="00B47861" w:rsidRPr="004D30A7">
        <w:rPr>
          <w:szCs w:val="20"/>
          <w:vertAlign w:val="superscript"/>
        </w:rPr>
        <w:t>[</w:t>
      </w:r>
      <w:r w:rsidR="00FA15E8" w:rsidRPr="004D30A7">
        <w:rPr>
          <w:szCs w:val="20"/>
          <w:vertAlign w:val="superscript"/>
        </w:rPr>
        <w:t>98</w:t>
      </w:r>
      <w:r w:rsidR="00B47861" w:rsidRPr="004D30A7">
        <w:rPr>
          <w:szCs w:val="20"/>
          <w:vertAlign w:val="superscript"/>
        </w:rPr>
        <w:t>]</w:t>
      </w:r>
      <w:r w:rsidR="0000419B" w:rsidRPr="004D30A7">
        <w:t xml:space="preserve"> </w:t>
      </w:r>
      <w:r w:rsidR="00026424" w:rsidRPr="004D30A7">
        <w:t xml:space="preserve">To address potential challenges with implementation capacity and human resources, we propose that high priority indicators for infection categories where inappropriate prescribing is high, for example RTIs, can be incorporated into </w:t>
      </w:r>
      <w:r w:rsidR="00AC0834" w:rsidRPr="004D30A7">
        <w:t>future</w:t>
      </w:r>
      <w:r w:rsidR="00026424" w:rsidRPr="004D30A7">
        <w:t xml:space="preserve"> audits. We recommend a phased approach to implementing these indicators until electronic health records are fully implemented </w:t>
      </w:r>
      <w:r w:rsidR="00AC0834" w:rsidRPr="004D30A7">
        <w:t>among PHCs in South Africa. Alongside this,</w:t>
      </w:r>
      <w:r w:rsidR="00026424" w:rsidRPr="004D30A7">
        <w:t xml:space="preserve"> there are dedicated AMS teams at PHC level</w:t>
      </w:r>
      <w:r w:rsidR="00AC0834" w:rsidRPr="004D30A7">
        <w:t>s</w:t>
      </w:r>
      <w:r w:rsidR="00026424" w:rsidRPr="004D30A7">
        <w:t xml:space="preserve"> to facilitate</w:t>
      </w:r>
      <w:r w:rsidR="00AC0834" w:rsidRPr="004D30A7">
        <w:t xml:space="preserve"> routine</w:t>
      </w:r>
      <w:r w:rsidR="00026424" w:rsidRPr="004D30A7">
        <w:t xml:space="preserve"> assessment of antibiotic prescribing</w:t>
      </w:r>
      <w:r w:rsidR="00AC0834" w:rsidRPr="004D30A7">
        <w:t xml:space="preserve"> and propose future activities given current concerns with prescribing practices in South </w:t>
      </w:r>
      <w:proofErr w:type="gramStart"/>
      <w:r w:rsidR="00AC0834" w:rsidRPr="004D30A7">
        <w:t>Africa</w:t>
      </w:r>
      <w:r w:rsidR="00F03B29" w:rsidRPr="004D30A7">
        <w:t>.</w:t>
      </w:r>
      <w:r w:rsidR="00F03B29" w:rsidRPr="004D30A7">
        <w:rPr>
          <w:szCs w:val="20"/>
          <w:vertAlign w:val="superscript"/>
        </w:rPr>
        <w:t>[</w:t>
      </w:r>
      <w:proofErr w:type="gramEnd"/>
      <w:r w:rsidR="00F03B29" w:rsidRPr="004D30A7">
        <w:rPr>
          <w:szCs w:val="20"/>
          <w:vertAlign w:val="superscript"/>
        </w:rPr>
        <w:t>22,44,45,47,65]</w:t>
      </w:r>
      <w:r w:rsidR="00026424" w:rsidRPr="00026424">
        <w:t xml:space="preserve"> </w:t>
      </w:r>
      <w:r w:rsidR="0000419B">
        <w:t xml:space="preserve">These indicators can </w:t>
      </w:r>
      <w:r w:rsidR="00B47861">
        <w:t xml:space="preserve">subsequently </w:t>
      </w:r>
      <w:r w:rsidR="0000419B">
        <w:t xml:space="preserve">be used to assess the quality of prescribing both at </w:t>
      </w:r>
      <w:r w:rsidR="00F22AE4">
        <w:t xml:space="preserve">the </w:t>
      </w:r>
      <w:r w:rsidR="0000419B">
        <w:t xml:space="preserve">individual and facility levels. </w:t>
      </w:r>
      <w:r w:rsidR="00AA3FAA">
        <w:t xml:space="preserve">Where poor </w:t>
      </w:r>
      <w:r w:rsidR="002F73FA">
        <w:t>antibiotic prescribing</w:t>
      </w:r>
      <w:r w:rsidR="00AA3FAA">
        <w:t xml:space="preserve"> </w:t>
      </w:r>
      <w:r w:rsidR="002F73FA">
        <w:t xml:space="preserve">practices are </w:t>
      </w:r>
      <w:r w:rsidR="00AA3FAA">
        <w:t>identified, appropriate quality improvement initiatives can be implemented in combination with educational programmes a</w:t>
      </w:r>
      <w:r w:rsidR="00B47861">
        <w:t>s part of</w:t>
      </w:r>
      <w:r w:rsidR="00AA3FAA">
        <w:t xml:space="preserve"> </w:t>
      </w:r>
      <w:r w:rsidR="00F22AE4">
        <w:t xml:space="preserve">agreed </w:t>
      </w:r>
      <w:r w:rsidR="00AA3FAA">
        <w:t>AMS</w:t>
      </w:r>
      <w:r w:rsidR="00B47861">
        <w:t xml:space="preserve"> activities</w:t>
      </w:r>
      <w:r w:rsidR="00AA3FAA">
        <w:t>.</w:t>
      </w:r>
      <w:r w:rsidR="00B47861">
        <w:rPr>
          <w:szCs w:val="20"/>
          <w:vertAlign w:val="superscript"/>
        </w:rPr>
        <w:t>[4</w:t>
      </w:r>
      <w:r w:rsidR="00FA15E8">
        <w:rPr>
          <w:szCs w:val="20"/>
          <w:vertAlign w:val="superscript"/>
        </w:rPr>
        <w:t>6</w:t>
      </w:r>
      <w:r w:rsidR="00B47861">
        <w:rPr>
          <w:szCs w:val="20"/>
          <w:vertAlign w:val="superscript"/>
        </w:rPr>
        <w:t>,</w:t>
      </w:r>
      <w:r w:rsidR="00FA15E8">
        <w:rPr>
          <w:szCs w:val="20"/>
          <w:vertAlign w:val="superscript"/>
        </w:rPr>
        <w:t>99</w:t>
      </w:r>
      <w:r w:rsidR="00B47861">
        <w:rPr>
          <w:szCs w:val="20"/>
          <w:vertAlign w:val="superscript"/>
        </w:rPr>
        <w:t>]</w:t>
      </w:r>
      <w:r w:rsidR="00B47861">
        <w:t xml:space="preserve"> </w:t>
      </w:r>
      <w:r w:rsidR="002F73FA">
        <w:t xml:space="preserve">Targeted educational interventions are </w:t>
      </w:r>
      <w:r w:rsidR="00B47861">
        <w:t xml:space="preserve">seen as </w:t>
      </w:r>
      <w:r w:rsidR="002F73FA">
        <w:t>a cost-effective strategy to address inappropriate antibiotic prescribing among PHC prescribers</w:t>
      </w:r>
      <w:r w:rsidR="001D0197">
        <w:t>, and we will be following this up in future research projects</w:t>
      </w:r>
      <w:r w:rsidR="00B47861">
        <w:t>.</w:t>
      </w:r>
      <w:r w:rsidR="00B47861">
        <w:rPr>
          <w:szCs w:val="20"/>
          <w:vertAlign w:val="superscript"/>
        </w:rPr>
        <w:t>[5</w:t>
      </w:r>
      <w:r w:rsidR="00FA15E8">
        <w:rPr>
          <w:szCs w:val="20"/>
          <w:vertAlign w:val="superscript"/>
        </w:rPr>
        <w:t>2</w:t>
      </w:r>
      <w:r w:rsidR="00B47861">
        <w:rPr>
          <w:szCs w:val="20"/>
          <w:vertAlign w:val="superscript"/>
        </w:rPr>
        <w:t>,1</w:t>
      </w:r>
      <w:r w:rsidR="00FA15E8">
        <w:rPr>
          <w:szCs w:val="20"/>
          <w:vertAlign w:val="superscript"/>
        </w:rPr>
        <w:t>00</w:t>
      </w:r>
      <w:r w:rsidR="00805EF8">
        <w:rPr>
          <w:szCs w:val="20"/>
          <w:vertAlign w:val="superscript"/>
        </w:rPr>
        <w:t>-1</w:t>
      </w:r>
      <w:r w:rsidR="00FA15E8">
        <w:rPr>
          <w:szCs w:val="20"/>
          <w:vertAlign w:val="superscript"/>
        </w:rPr>
        <w:t>02</w:t>
      </w:r>
      <w:r w:rsidR="00B47861">
        <w:rPr>
          <w:szCs w:val="20"/>
          <w:vertAlign w:val="superscript"/>
        </w:rPr>
        <w:t>]</w:t>
      </w:r>
    </w:p>
    <w:p w14:paraId="60AF42E3" w14:textId="77777777" w:rsidR="003C4625" w:rsidRPr="003D4CE1" w:rsidRDefault="003C4625" w:rsidP="00517440">
      <w:pPr>
        <w:pStyle w:val="MDPI21heading1"/>
      </w:pPr>
      <w:r w:rsidRPr="003D4CE1">
        <w:rPr>
          <w:lang w:eastAsia="zh-CN"/>
        </w:rPr>
        <w:t xml:space="preserve">4. </w:t>
      </w:r>
      <w:r w:rsidRPr="003D4CE1">
        <w:t>Materials and Methods</w:t>
      </w:r>
    </w:p>
    <w:p w14:paraId="35332427" w14:textId="48D7CF5D" w:rsidR="009F1CB8" w:rsidRDefault="00C36C60" w:rsidP="009F1CB8">
      <w:pPr>
        <w:pStyle w:val="MDPI31text"/>
      </w:pPr>
      <w:bookmarkStart w:id="30" w:name="_Hlk216440132"/>
      <w:r w:rsidRPr="00C36C60">
        <w:t xml:space="preserve">The study used the RAM to develop quality indicators specific to public PHC settings in South Africa. </w:t>
      </w:r>
      <w:r w:rsidR="009F1CB8" w:rsidRPr="00C36C60">
        <w:t>The RAM</w:t>
      </w:r>
      <w:r w:rsidR="008D1E70">
        <w:t>,</w:t>
      </w:r>
      <w:r w:rsidR="009F1CB8" w:rsidRPr="00C36C60">
        <w:t xml:space="preserve"> originally developed in the 1950s, is a commonly used consensus method which combines a synthesis of the evidence base with expert opinions through a two-round interactive process using questionnaires.</w:t>
      </w:r>
      <w:r w:rsidR="00F22AE4">
        <w:rPr>
          <w:szCs w:val="20"/>
          <w:vertAlign w:val="superscript"/>
        </w:rPr>
        <w:t>[</w:t>
      </w:r>
      <w:r w:rsidR="00500EAD">
        <w:rPr>
          <w:szCs w:val="20"/>
          <w:vertAlign w:val="superscript"/>
        </w:rPr>
        <w:t>7</w:t>
      </w:r>
      <w:r w:rsidR="00F22AE4">
        <w:rPr>
          <w:szCs w:val="20"/>
          <w:vertAlign w:val="superscript"/>
        </w:rPr>
        <w:t>0</w:t>
      </w:r>
      <w:r w:rsidR="00500EAD">
        <w:rPr>
          <w:szCs w:val="20"/>
          <w:vertAlign w:val="superscript"/>
        </w:rPr>
        <w:t>,7</w:t>
      </w:r>
      <w:r w:rsidR="00F22AE4">
        <w:rPr>
          <w:szCs w:val="20"/>
          <w:vertAlign w:val="superscript"/>
        </w:rPr>
        <w:t>1</w:t>
      </w:r>
      <w:r w:rsidR="00500EAD">
        <w:rPr>
          <w:szCs w:val="20"/>
          <w:vertAlign w:val="superscript"/>
        </w:rPr>
        <w:t>,97</w:t>
      </w:r>
      <w:r w:rsidR="00F22AE4">
        <w:rPr>
          <w:szCs w:val="20"/>
          <w:vertAlign w:val="superscript"/>
        </w:rPr>
        <w:t>,1</w:t>
      </w:r>
      <w:r w:rsidR="00500EAD">
        <w:rPr>
          <w:szCs w:val="20"/>
          <w:vertAlign w:val="superscript"/>
        </w:rPr>
        <w:t>0</w:t>
      </w:r>
      <w:r w:rsidR="00F96904">
        <w:rPr>
          <w:szCs w:val="20"/>
          <w:vertAlign w:val="superscript"/>
        </w:rPr>
        <w:t>4</w:t>
      </w:r>
      <w:r w:rsidR="00F22AE4">
        <w:rPr>
          <w:szCs w:val="20"/>
          <w:vertAlign w:val="superscript"/>
        </w:rPr>
        <w:t>,1</w:t>
      </w:r>
      <w:r w:rsidR="00500EAD">
        <w:rPr>
          <w:szCs w:val="20"/>
          <w:vertAlign w:val="superscript"/>
        </w:rPr>
        <w:t>0</w:t>
      </w:r>
      <w:r w:rsidR="00F96904">
        <w:rPr>
          <w:szCs w:val="20"/>
          <w:vertAlign w:val="superscript"/>
        </w:rPr>
        <w:t>5</w:t>
      </w:r>
      <w:r w:rsidR="00F22AE4">
        <w:rPr>
          <w:szCs w:val="20"/>
          <w:vertAlign w:val="superscript"/>
        </w:rPr>
        <w:t>]</w:t>
      </w:r>
      <w:r w:rsidR="00B87F0A">
        <w:rPr>
          <w:szCs w:val="20"/>
          <w:vertAlign w:val="superscript"/>
        </w:rPr>
        <w:t xml:space="preserve"> </w:t>
      </w:r>
      <w:r w:rsidR="009F1CB8" w:rsidRPr="00C36C60">
        <w:t>The technique facilitates the development of quality indicators that are evidence based, clear, appropriate and feasible.</w:t>
      </w:r>
      <w:r w:rsidR="009D4837">
        <w:rPr>
          <w:szCs w:val="20"/>
          <w:vertAlign w:val="superscript"/>
        </w:rPr>
        <w:t>[1</w:t>
      </w:r>
      <w:r w:rsidR="009E6129">
        <w:rPr>
          <w:szCs w:val="20"/>
          <w:vertAlign w:val="superscript"/>
        </w:rPr>
        <w:t>05</w:t>
      </w:r>
      <w:r w:rsidR="009D4837">
        <w:rPr>
          <w:szCs w:val="20"/>
          <w:vertAlign w:val="superscript"/>
        </w:rPr>
        <w:t>,1</w:t>
      </w:r>
      <w:r w:rsidR="009E6129">
        <w:rPr>
          <w:szCs w:val="20"/>
          <w:vertAlign w:val="superscript"/>
        </w:rPr>
        <w:t>06</w:t>
      </w:r>
      <w:r w:rsidR="009D4837">
        <w:rPr>
          <w:szCs w:val="20"/>
          <w:vertAlign w:val="superscript"/>
        </w:rPr>
        <w:t>]</w:t>
      </w:r>
      <w:r w:rsidR="009F1CB8" w:rsidRPr="00C36C60">
        <w:t xml:space="preserve"> The process of identifying and selecting indicators using the RAM is outlined in Figure 1.</w:t>
      </w:r>
    </w:p>
    <w:bookmarkEnd w:id="30"/>
    <w:p w14:paraId="7C506884" w14:textId="769C37AA" w:rsidR="004E7EC4" w:rsidRDefault="00B35B6F" w:rsidP="00517440">
      <w:pPr>
        <w:pStyle w:val="MDPI31text"/>
      </w:pPr>
      <w:r w:rsidRPr="00B35B6F">
        <w:rPr>
          <w:rFonts w:ascii="Aptos" w:eastAsia="Aptos" w:hAnsi="Aptos"/>
          <w:noProof/>
          <w:snapToGrid/>
          <w:color w:val="auto"/>
          <w:kern w:val="2"/>
          <w:sz w:val="22"/>
          <w:lang w:val="en-GB" w:eastAsia="en-US" w:bidi="ar-SA"/>
          <w14:ligatures w14:val="standardContextual"/>
        </w:rPr>
        <w:drawing>
          <wp:anchor distT="0" distB="0" distL="114300" distR="114300" simplePos="0" relativeHeight="251658240" behindDoc="0" locked="0" layoutInCell="1" allowOverlap="1" wp14:anchorId="62106513" wp14:editId="2A026E88">
            <wp:simplePos x="0" y="0"/>
            <wp:positionH relativeFrom="column">
              <wp:posOffset>0</wp:posOffset>
            </wp:positionH>
            <wp:positionV relativeFrom="paragraph">
              <wp:posOffset>231775</wp:posOffset>
            </wp:positionV>
            <wp:extent cx="5486400" cy="3200400"/>
            <wp:effectExtent l="57150" t="57150" r="57150" b="57150"/>
            <wp:wrapSquare wrapText="bothSides"/>
            <wp:docPr id="207313660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anchor>
        </w:drawing>
      </w:r>
    </w:p>
    <w:p w14:paraId="1D652E28" w14:textId="77777777" w:rsidR="004E7EC4" w:rsidRDefault="004E7EC4" w:rsidP="00517440">
      <w:pPr>
        <w:pStyle w:val="MDPI31text"/>
      </w:pPr>
    </w:p>
    <w:p w14:paraId="143B2B50" w14:textId="77777777" w:rsidR="004E7EC4" w:rsidRDefault="004E7EC4" w:rsidP="00517440">
      <w:pPr>
        <w:pStyle w:val="MDPI31text"/>
      </w:pPr>
    </w:p>
    <w:p w14:paraId="4C70EF1B" w14:textId="77777777" w:rsidR="004E7EC4" w:rsidRDefault="004E7EC4" w:rsidP="00517440">
      <w:pPr>
        <w:pStyle w:val="MDPI31text"/>
      </w:pPr>
    </w:p>
    <w:p w14:paraId="046867DC" w14:textId="77777777" w:rsidR="004E7EC4" w:rsidRDefault="004E7EC4" w:rsidP="00517440">
      <w:pPr>
        <w:pStyle w:val="MDPI31text"/>
      </w:pPr>
    </w:p>
    <w:p w14:paraId="541F6468" w14:textId="77777777" w:rsidR="004E7EC4" w:rsidRDefault="004E7EC4" w:rsidP="00517440">
      <w:pPr>
        <w:pStyle w:val="MDPI31text"/>
      </w:pPr>
    </w:p>
    <w:p w14:paraId="2F78CD6E" w14:textId="77777777" w:rsidR="004E7EC4" w:rsidRDefault="004E7EC4" w:rsidP="00517440">
      <w:pPr>
        <w:pStyle w:val="MDPI31text"/>
      </w:pPr>
    </w:p>
    <w:p w14:paraId="025C77D0" w14:textId="77777777" w:rsidR="004E7EC4" w:rsidRDefault="004E7EC4" w:rsidP="00517440">
      <w:pPr>
        <w:pStyle w:val="MDPI31text"/>
      </w:pPr>
    </w:p>
    <w:p w14:paraId="1D2C4B1E" w14:textId="77777777" w:rsidR="004E7EC4" w:rsidRDefault="004E7EC4" w:rsidP="00517440">
      <w:pPr>
        <w:pStyle w:val="MDPI31text"/>
      </w:pPr>
    </w:p>
    <w:p w14:paraId="73FC5FC6" w14:textId="77777777" w:rsidR="004E7EC4" w:rsidRDefault="004E7EC4" w:rsidP="00517440">
      <w:pPr>
        <w:pStyle w:val="MDPI31text"/>
      </w:pPr>
    </w:p>
    <w:p w14:paraId="0066120A" w14:textId="77777777" w:rsidR="004E7EC4" w:rsidRDefault="004E7EC4" w:rsidP="00517440">
      <w:pPr>
        <w:pStyle w:val="MDPI31text"/>
      </w:pPr>
    </w:p>
    <w:p w14:paraId="77D96FA2" w14:textId="77777777" w:rsidR="004E7EC4" w:rsidRDefault="004E7EC4" w:rsidP="00517440">
      <w:pPr>
        <w:pStyle w:val="MDPI31text"/>
      </w:pPr>
    </w:p>
    <w:p w14:paraId="2CBC7063" w14:textId="77777777" w:rsidR="004E7EC4" w:rsidRDefault="004E7EC4" w:rsidP="00517440">
      <w:pPr>
        <w:pStyle w:val="MDPI31text"/>
      </w:pPr>
    </w:p>
    <w:p w14:paraId="3EA2C787" w14:textId="77777777" w:rsidR="004E7EC4" w:rsidRDefault="004E7EC4" w:rsidP="00517440">
      <w:pPr>
        <w:pStyle w:val="MDPI31text"/>
      </w:pPr>
    </w:p>
    <w:p w14:paraId="2E836B9C" w14:textId="77777777" w:rsidR="004E7EC4" w:rsidRDefault="004E7EC4" w:rsidP="00517440">
      <w:pPr>
        <w:pStyle w:val="MDPI31text"/>
      </w:pPr>
    </w:p>
    <w:p w14:paraId="375923D1" w14:textId="77777777" w:rsidR="004E7EC4" w:rsidRDefault="004E7EC4" w:rsidP="00517440">
      <w:pPr>
        <w:pStyle w:val="MDPI31text"/>
      </w:pPr>
    </w:p>
    <w:p w14:paraId="6CDC3648" w14:textId="77777777" w:rsidR="004E7EC4" w:rsidRDefault="004E7EC4" w:rsidP="00517440">
      <w:pPr>
        <w:pStyle w:val="MDPI31text"/>
      </w:pPr>
    </w:p>
    <w:p w14:paraId="1F602F97" w14:textId="599CD4BC" w:rsidR="004E7EC4" w:rsidRDefault="004E7EC4" w:rsidP="00517440">
      <w:pPr>
        <w:pStyle w:val="MDPI31text"/>
      </w:pPr>
    </w:p>
    <w:p w14:paraId="2586713E" w14:textId="30A10DAE" w:rsidR="004E7EC4" w:rsidRDefault="004E7EC4" w:rsidP="00517440">
      <w:pPr>
        <w:pStyle w:val="MDPI31text"/>
      </w:pPr>
    </w:p>
    <w:p w14:paraId="3CAD25FE" w14:textId="2A1CDEEE" w:rsidR="004E7EC4" w:rsidRDefault="004E7EC4" w:rsidP="00517440">
      <w:pPr>
        <w:pStyle w:val="MDPI31text"/>
      </w:pPr>
    </w:p>
    <w:p w14:paraId="38929D00" w14:textId="134E9E65" w:rsidR="00F50660" w:rsidRPr="003D4CE1" w:rsidRDefault="00F50660" w:rsidP="00F50660">
      <w:pPr>
        <w:pStyle w:val="MDPI51figurecaption"/>
      </w:pPr>
      <w:r w:rsidRPr="003D4CE1">
        <w:rPr>
          <w:b/>
        </w:rPr>
        <w:t xml:space="preserve">Figure 1. </w:t>
      </w:r>
      <w:r w:rsidR="009144EE">
        <w:t>Overview of the RAM procedure</w:t>
      </w:r>
    </w:p>
    <w:p w14:paraId="089A12A2" w14:textId="5B86599C" w:rsidR="005A337D" w:rsidRDefault="005A337D" w:rsidP="005A337D">
      <w:pPr>
        <w:pStyle w:val="MDPI22heading2"/>
        <w:spacing w:before="240"/>
        <w:rPr>
          <w:b/>
          <w:bCs/>
          <w:noProof w:val="0"/>
        </w:rPr>
      </w:pPr>
      <w:r>
        <w:rPr>
          <w:b/>
          <w:bCs/>
          <w:noProof w:val="0"/>
        </w:rPr>
        <w:t>4</w:t>
      </w:r>
      <w:r w:rsidR="004F49F6">
        <w:rPr>
          <w:b/>
          <w:bCs/>
          <w:noProof w:val="0"/>
        </w:rPr>
        <w:t>.1</w:t>
      </w:r>
      <w:r w:rsidRPr="00161ED8">
        <w:rPr>
          <w:b/>
          <w:bCs/>
          <w:noProof w:val="0"/>
        </w:rPr>
        <w:t xml:space="preserve">. </w:t>
      </w:r>
      <w:r w:rsidR="00DF3272">
        <w:rPr>
          <w:b/>
          <w:bCs/>
          <w:noProof w:val="0"/>
        </w:rPr>
        <w:t>Evidence synthesis and preparation of</w:t>
      </w:r>
      <w:r w:rsidR="00734408">
        <w:rPr>
          <w:b/>
          <w:bCs/>
          <w:noProof w:val="0"/>
        </w:rPr>
        <w:t xml:space="preserve"> quality indicators</w:t>
      </w:r>
    </w:p>
    <w:p w14:paraId="677BE8F4" w14:textId="048D3742" w:rsidR="009F1CB8" w:rsidRPr="00E83006" w:rsidRDefault="009F1CB8" w:rsidP="009F1CB8">
      <w:pPr>
        <w:pStyle w:val="MDPI31text"/>
        <w:rPr>
          <w:i/>
        </w:rPr>
      </w:pPr>
      <w:bookmarkStart w:id="31" w:name="_Hlk216440279"/>
      <w:r w:rsidRPr="00E83006">
        <w:t>The evidence for the quality indicators specific for use in assessing the appropriateness of antibiotic prescribing in primary care in South Africa was derived from three main sources:</w:t>
      </w:r>
    </w:p>
    <w:p w14:paraId="17A4D938" w14:textId="174383EA" w:rsidR="009F1CB8" w:rsidRPr="009D4837" w:rsidRDefault="009F1CB8" w:rsidP="009F1CB8">
      <w:pPr>
        <w:pStyle w:val="MDPI22heading2"/>
        <w:spacing w:before="0" w:after="0"/>
        <w:jc w:val="both"/>
        <w:rPr>
          <w:i w:val="0"/>
          <w:iCs/>
          <w:noProof w:val="0"/>
        </w:rPr>
      </w:pPr>
      <w:r w:rsidRPr="00E83006">
        <w:rPr>
          <w:i w:val="0"/>
          <w:iCs/>
          <w:noProof w:val="0"/>
        </w:rPr>
        <w:t>1)</w:t>
      </w:r>
      <w:r w:rsidRPr="00E83006">
        <w:rPr>
          <w:i w:val="0"/>
          <w:iCs/>
          <w:noProof w:val="0"/>
        </w:rPr>
        <w:tab/>
        <w:t>A published review of indicators for appropriate antibiotic use aligned to the WHO AWaRe system published in collaboration with SGUL, United Kingdom.</w:t>
      </w:r>
      <w:r w:rsidR="009D4837">
        <w:rPr>
          <w:i w:val="0"/>
          <w:iCs/>
          <w:szCs w:val="20"/>
          <w:vertAlign w:val="superscript"/>
        </w:rPr>
        <w:t>[</w:t>
      </w:r>
      <w:r w:rsidR="001B07D6">
        <w:rPr>
          <w:i w:val="0"/>
          <w:iCs/>
          <w:szCs w:val="20"/>
          <w:vertAlign w:val="superscript"/>
        </w:rPr>
        <w:t>54</w:t>
      </w:r>
      <w:r w:rsidR="009D4837">
        <w:rPr>
          <w:i w:val="0"/>
          <w:iCs/>
          <w:szCs w:val="20"/>
          <w:vertAlign w:val="superscript"/>
        </w:rPr>
        <w:t>]</w:t>
      </w:r>
    </w:p>
    <w:p w14:paraId="2A2E077F" w14:textId="6E2D347B" w:rsidR="009F1CB8" w:rsidRDefault="009F1CB8" w:rsidP="009F1CB8">
      <w:pPr>
        <w:pStyle w:val="MDPI22heading2"/>
        <w:spacing w:before="0" w:after="0"/>
        <w:jc w:val="both"/>
        <w:rPr>
          <w:i w:val="0"/>
          <w:iCs/>
          <w:noProof w:val="0"/>
        </w:rPr>
      </w:pPr>
      <w:r w:rsidRPr="00E83006">
        <w:rPr>
          <w:i w:val="0"/>
          <w:iCs/>
          <w:noProof w:val="0"/>
        </w:rPr>
        <w:t>2)</w:t>
      </w:r>
      <w:r w:rsidRPr="00E83006">
        <w:rPr>
          <w:i w:val="0"/>
          <w:iCs/>
          <w:noProof w:val="0"/>
        </w:rPr>
        <w:tab/>
        <w:t>Quality indicators and quantity metrics for optimal antibiotic use based on the WHO AWaRe system</w:t>
      </w:r>
      <w:r w:rsidR="00764275">
        <w:rPr>
          <w:i w:val="0"/>
          <w:iCs/>
          <w:noProof w:val="0"/>
        </w:rPr>
        <w:t>,</w:t>
      </w:r>
      <w:r w:rsidRPr="00E83006">
        <w:rPr>
          <w:i w:val="0"/>
          <w:iCs/>
          <w:noProof w:val="0"/>
        </w:rPr>
        <w:t xml:space="preserve"> developed as part of the global ‘Antimicrobial resistance, prescribing and consumption Data to Inform country antibiotic guidance and Local Action’ (ADILA) project.</w:t>
      </w:r>
      <w:r w:rsidR="009D4837">
        <w:rPr>
          <w:i w:val="0"/>
          <w:iCs/>
          <w:szCs w:val="20"/>
          <w:vertAlign w:val="superscript"/>
        </w:rPr>
        <w:t>[</w:t>
      </w:r>
      <w:r w:rsidR="001B07D6">
        <w:rPr>
          <w:i w:val="0"/>
          <w:iCs/>
          <w:szCs w:val="20"/>
          <w:vertAlign w:val="superscript"/>
        </w:rPr>
        <w:t>7</w:t>
      </w:r>
      <w:r w:rsidR="00034A46">
        <w:rPr>
          <w:i w:val="0"/>
          <w:iCs/>
          <w:szCs w:val="20"/>
          <w:vertAlign w:val="superscript"/>
        </w:rPr>
        <w:t>6</w:t>
      </w:r>
      <w:r w:rsidR="009D4837">
        <w:rPr>
          <w:i w:val="0"/>
          <w:iCs/>
          <w:szCs w:val="20"/>
          <w:vertAlign w:val="superscript"/>
        </w:rPr>
        <w:t>]</w:t>
      </w:r>
      <w:r w:rsidR="00B87F0A">
        <w:rPr>
          <w:i w:val="0"/>
          <w:iCs/>
          <w:szCs w:val="20"/>
          <w:vertAlign w:val="superscript"/>
        </w:rPr>
        <w:t xml:space="preserve"> </w:t>
      </w:r>
      <w:r w:rsidRPr="009D4837">
        <w:rPr>
          <w:i w:val="0"/>
          <w:iCs/>
          <w:noProof w:val="0"/>
        </w:rPr>
        <w:t>The</w:t>
      </w:r>
      <w:r w:rsidRPr="00E83006">
        <w:rPr>
          <w:i w:val="0"/>
          <w:iCs/>
          <w:noProof w:val="0"/>
        </w:rPr>
        <w:t xml:space="preserve"> indicators were developed using two discrete consensus technique methodologies.</w:t>
      </w:r>
      <w:r w:rsidR="009D4837">
        <w:rPr>
          <w:i w:val="0"/>
          <w:iCs/>
          <w:szCs w:val="20"/>
          <w:vertAlign w:val="superscript"/>
        </w:rPr>
        <w:t>[</w:t>
      </w:r>
      <w:r w:rsidR="001B07D6">
        <w:rPr>
          <w:i w:val="0"/>
          <w:iCs/>
          <w:szCs w:val="20"/>
          <w:vertAlign w:val="superscript"/>
        </w:rPr>
        <w:t>7</w:t>
      </w:r>
      <w:r w:rsidR="00034A46">
        <w:rPr>
          <w:i w:val="0"/>
          <w:iCs/>
          <w:szCs w:val="20"/>
          <w:vertAlign w:val="superscript"/>
        </w:rPr>
        <w:t>5</w:t>
      </w:r>
      <w:r w:rsidR="009D4837">
        <w:rPr>
          <w:i w:val="0"/>
          <w:iCs/>
          <w:szCs w:val="20"/>
          <w:vertAlign w:val="superscript"/>
        </w:rPr>
        <w:t>]</w:t>
      </w:r>
    </w:p>
    <w:p w14:paraId="42E257EC" w14:textId="5BF23F74" w:rsidR="009F1CB8" w:rsidRDefault="009F1CB8" w:rsidP="009F1CB8">
      <w:pPr>
        <w:pStyle w:val="MDPI22heading2"/>
        <w:spacing w:before="0" w:after="0"/>
        <w:jc w:val="both"/>
        <w:rPr>
          <w:i w:val="0"/>
          <w:iCs/>
          <w:noProof w:val="0"/>
        </w:rPr>
      </w:pPr>
      <w:r w:rsidRPr="00E83006">
        <w:rPr>
          <w:i w:val="0"/>
          <w:iCs/>
          <w:noProof w:val="0"/>
        </w:rPr>
        <w:t>3)</w:t>
      </w:r>
      <w:r w:rsidRPr="00E83006">
        <w:rPr>
          <w:i w:val="0"/>
          <w:iCs/>
          <w:noProof w:val="0"/>
        </w:rPr>
        <w:tab/>
        <w:t>Data from the Antibiotic Prescribing in Primary Healthcare Point Prevalence Survey (APC-PPS) conducted at eight PHC clinics in the North-West and Gauteng provinces in South Africa between November 2023 and October 2024, undertaken to better understand current presentation rates of clinical infections and antibiotic prescribing patterns for infections at PHCs.</w:t>
      </w:r>
      <w:r w:rsidR="008919E7">
        <w:rPr>
          <w:i w:val="0"/>
          <w:iCs/>
          <w:szCs w:val="20"/>
          <w:vertAlign w:val="superscript"/>
        </w:rPr>
        <w:t>[</w:t>
      </w:r>
      <w:r w:rsidR="001B07D6">
        <w:rPr>
          <w:i w:val="0"/>
          <w:iCs/>
          <w:szCs w:val="20"/>
          <w:vertAlign w:val="superscript"/>
        </w:rPr>
        <w:t>83</w:t>
      </w:r>
      <w:r w:rsidR="008919E7">
        <w:rPr>
          <w:i w:val="0"/>
          <w:iCs/>
          <w:szCs w:val="20"/>
          <w:vertAlign w:val="superscript"/>
        </w:rPr>
        <w:t>,1</w:t>
      </w:r>
      <w:r w:rsidR="001B07D6">
        <w:rPr>
          <w:i w:val="0"/>
          <w:iCs/>
          <w:szCs w:val="20"/>
          <w:vertAlign w:val="superscript"/>
        </w:rPr>
        <w:t>07</w:t>
      </w:r>
      <w:r w:rsidR="008919E7">
        <w:rPr>
          <w:i w:val="0"/>
          <w:iCs/>
          <w:szCs w:val="20"/>
          <w:vertAlign w:val="superscript"/>
        </w:rPr>
        <w:t>],</w:t>
      </w:r>
      <w:r w:rsidRPr="00E83006">
        <w:rPr>
          <w:i w:val="0"/>
          <w:iCs/>
          <w:noProof w:val="0"/>
        </w:rPr>
        <w:t xml:space="preserve">The </w:t>
      </w:r>
      <w:r w:rsidR="00180CC7">
        <w:rPr>
          <w:i w:val="0"/>
          <w:iCs/>
          <w:noProof w:val="0"/>
        </w:rPr>
        <w:t xml:space="preserve">results of the </w:t>
      </w:r>
      <w:r w:rsidRPr="00E83006">
        <w:rPr>
          <w:i w:val="0"/>
          <w:iCs/>
          <w:noProof w:val="0"/>
        </w:rPr>
        <w:t>APC-PPS</w:t>
      </w:r>
      <w:r w:rsidR="00220816">
        <w:rPr>
          <w:i w:val="0"/>
          <w:iCs/>
          <w:noProof w:val="0"/>
        </w:rPr>
        <w:t xml:space="preserve"> showed </w:t>
      </w:r>
      <w:r w:rsidR="00BE2841">
        <w:rPr>
          <w:i w:val="0"/>
          <w:iCs/>
          <w:noProof w:val="0"/>
        </w:rPr>
        <w:t xml:space="preserve">that acute cough and sexually transmitted infections were the </w:t>
      </w:r>
      <w:r w:rsidR="00F14689">
        <w:rPr>
          <w:i w:val="0"/>
          <w:iCs/>
          <w:noProof w:val="0"/>
        </w:rPr>
        <w:t>most reported</w:t>
      </w:r>
      <w:r w:rsidR="00BE2841">
        <w:rPr>
          <w:i w:val="0"/>
          <w:iCs/>
          <w:noProof w:val="0"/>
        </w:rPr>
        <w:t xml:space="preserve"> infection presentations at PHCs.</w:t>
      </w:r>
      <w:r w:rsidR="008919E7">
        <w:rPr>
          <w:i w:val="0"/>
          <w:iCs/>
          <w:szCs w:val="20"/>
          <w:vertAlign w:val="superscript"/>
        </w:rPr>
        <w:t xml:space="preserve">[93] </w:t>
      </w:r>
      <w:r w:rsidR="004B4AD3">
        <w:rPr>
          <w:i w:val="0"/>
          <w:iCs/>
          <w:noProof w:val="0"/>
        </w:rPr>
        <w:t xml:space="preserve">This resulted in the development of </w:t>
      </w:r>
      <w:r w:rsidR="0000137F">
        <w:rPr>
          <w:i w:val="0"/>
          <w:iCs/>
          <w:noProof w:val="0"/>
        </w:rPr>
        <w:t xml:space="preserve">additional </w:t>
      </w:r>
      <w:r w:rsidR="004B4AD3">
        <w:rPr>
          <w:i w:val="0"/>
          <w:iCs/>
          <w:noProof w:val="0"/>
        </w:rPr>
        <w:t>i</w:t>
      </w:r>
      <w:r w:rsidR="00F14689">
        <w:rPr>
          <w:i w:val="0"/>
          <w:iCs/>
          <w:noProof w:val="0"/>
        </w:rPr>
        <w:t xml:space="preserve">ndicators to measure the appropriateness of </w:t>
      </w:r>
      <w:r w:rsidR="00B94F66">
        <w:rPr>
          <w:i w:val="0"/>
          <w:iCs/>
          <w:noProof w:val="0"/>
        </w:rPr>
        <w:t xml:space="preserve">antibiotic prescribing </w:t>
      </w:r>
      <w:r w:rsidR="0000137F">
        <w:rPr>
          <w:i w:val="0"/>
          <w:iCs/>
          <w:noProof w:val="0"/>
        </w:rPr>
        <w:t>for acute cough and sexually transmitted infections using guidance from the AWaRe Book</w:t>
      </w:r>
      <w:r w:rsidR="008919E7">
        <w:rPr>
          <w:i w:val="0"/>
          <w:iCs/>
          <w:szCs w:val="20"/>
          <w:vertAlign w:val="superscript"/>
        </w:rPr>
        <w:t>[5</w:t>
      </w:r>
      <w:r w:rsidR="001B07D6">
        <w:rPr>
          <w:i w:val="0"/>
          <w:iCs/>
          <w:szCs w:val="20"/>
          <w:vertAlign w:val="superscript"/>
        </w:rPr>
        <w:t>0</w:t>
      </w:r>
      <w:r w:rsidR="008919E7">
        <w:rPr>
          <w:i w:val="0"/>
          <w:iCs/>
          <w:szCs w:val="20"/>
          <w:vertAlign w:val="superscript"/>
        </w:rPr>
        <w:t>]</w:t>
      </w:r>
      <w:r w:rsidRPr="00E83006">
        <w:rPr>
          <w:i w:val="0"/>
          <w:iCs/>
          <w:noProof w:val="0"/>
        </w:rPr>
        <w:t xml:space="preserve">. </w:t>
      </w:r>
    </w:p>
    <w:bookmarkEnd w:id="31"/>
    <w:p w14:paraId="0E8261C6" w14:textId="77777777" w:rsidR="0001187F" w:rsidRDefault="0001187F" w:rsidP="009F1CB8">
      <w:pPr>
        <w:pStyle w:val="MDPI22heading2"/>
        <w:spacing w:before="0" w:after="0"/>
        <w:ind w:left="0"/>
        <w:jc w:val="both"/>
        <w:rPr>
          <w:i w:val="0"/>
          <w:iCs/>
          <w:noProof w:val="0"/>
        </w:rPr>
      </w:pPr>
    </w:p>
    <w:p w14:paraId="32865951" w14:textId="77777777" w:rsidR="00A02761" w:rsidRDefault="00A02761">
      <w:pPr>
        <w:spacing w:line="240" w:lineRule="auto"/>
        <w:jc w:val="left"/>
        <w:rPr>
          <w:rFonts w:eastAsia="Times New Roman" w:cs="Cordia New"/>
          <w:b/>
          <w:sz w:val="18"/>
          <w:szCs w:val="22"/>
          <w:lang w:eastAsia="de-DE" w:bidi="en-US"/>
        </w:rPr>
      </w:pPr>
      <w:r>
        <w:rPr>
          <w:b/>
        </w:rPr>
        <w:br w:type="page"/>
      </w:r>
    </w:p>
    <w:p w14:paraId="66A23467" w14:textId="1F91AC29" w:rsidR="0001187F" w:rsidRDefault="0001187F" w:rsidP="0001187F">
      <w:pPr>
        <w:pStyle w:val="MDPI41tablecaption"/>
      </w:pPr>
      <w:r w:rsidRPr="003D4CE1">
        <w:rPr>
          <w:b/>
        </w:rPr>
        <w:t xml:space="preserve">Table </w:t>
      </w:r>
      <w:r>
        <w:rPr>
          <w:b/>
        </w:rPr>
        <w:t>4</w:t>
      </w:r>
      <w:r w:rsidRPr="003D4CE1">
        <w:rPr>
          <w:b/>
        </w:rPr>
        <w:t>.</w:t>
      </w:r>
      <w:r w:rsidRPr="003D4CE1">
        <w:t xml:space="preserve"> </w:t>
      </w:r>
      <w:r>
        <w:t>Definitions and rating scales</w:t>
      </w:r>
    </w:p>
    <w:tbl>
      <w:tblPr>
        <w:tblStyle w:val="TableGrid"/>
        <w:tblW w:w="0" w:type="auto"/>
        <w:shd w:val="clear" w:color="auto" w:fill="FFFFFF" w:themeFill="background1"/>
        <w:tblLook w:val="04A0" w:firstRow="1" w:lastRow="0" w:firstColumn="1" w:lastColumn="0" w:noHBand="0" w:noVBand="1"/>
      </w:tblPr>
      <w:tblGrid>
        <w:gridCol w:w="1838"/>
        <w:gridCol w:w="8618"/>
      </w:tblGrid>
      <w:tr w:rsidR="008923A7" w:rsidRPr="00893891" w14:paraId="004BFDB3" w14:textId="77777777" w:rsidTr="008923A7">
        <w:tc>
          <w:tcPr>
            <w:tcW w:w="1838" w:type="dxa"/>
            <w:shd w:val="clear" w:color="auto" w:fill="FFFFFF" w:themeFill="background1"/>
          </w:tcPr>
          <w:p w14:paraId="14946574" w14:textId="77777777" w:rsidR="008923A7" w:rsidRPr="00893891" w:rsidRDefault="008923A7" w:rsidP="00893891">
            <w:pPr>
              <w:spacing w:line="240" w:lineRule="auto"/>
              <w:rPr>
                <w:b/>
                <w:bCs/>
                <w:sz w:val="18"/>
                <w:szCs w:val="18"/>
              </w:rPr>
            </w:pPr>
          </w:p>
        </w:tc>
        <w:tc>
          <w:tcPr>
            <w:tcW w:w="8618" w:type="dxa"/>
            <w:shd w:val="clear" w:color="auto" w:fill="FFFFFF" w:themeFill="background1"/>
          </w:tcPr>
          <w:p w14:paraId="1C04D42A" w14:textId="77777777" w:rsidR="008923A7" w:rsidRPr="00893891" w:rsidRDefault="008923A7" w:rsidP="00893891">
            <w:pPr>
              <w:spacing w:line="240" w:lineRule="auto"/>
              <w:rPr>
                <w:b/>
                <w:bCs/>
                <w:sz w:val="18"/>
                <w:szCs w:val="18"/>
              </w:rPr>
            </w:pPr>
            <w:r w:rsidRPr="00893891">
              <w:rPr>
                <w:b/>
                <w:bCs/>
                <w:sz w:val="18"/>
                <w:szCs w:val="18"/>
              </w:rPr>
              <w:t>Definitions</w:t>
            </w:r>
          </w:p>
        </w:tc>
      </w:tr>
      <w:tr w:rsidR="008923A7" w:rsidRPr="00893891" w14:paraId="6DCCE54E" w14:textId="77777777" w:rsidTr="008923A7">
        <w:trPr>
          <w:trHeight w:val="369"/>
        </w:trPr>
        <w:tc>
          <w:tcPr>
            <w:tcW w:w="10456" w:type="dxa"/>
            <w:gridSpan w:val="2"/>
            <w:shd w:val="clear" w:color="auto" w:fill="FFFFFF" w:themeFill="background1"/>
          </w:tcPr>
          <w:p w14:paraId="7E5068AE" w14:textId="77777777" w:rsidR="008923A7" w:rsidRPr="00893891" w:rsidRDefault="008923A7" w:rsidP="00893891">
            <w:pPr>
              <w:spacing w:line="240" w:lineRule="auto"/>
              <w:rPr>
                <w:b/>
                <w:bCs/>
                <w:sz w:val="18"/>
                <w:szCs w:val="18"/>
              </w:rPr>
            </w:pPr>
            <w:r w:rsidRPr="00893891">
              <w:rPr>
                <w:b/>
                <w:bCs/>
                <w:sz w:val="18"/>
                <w:szCs w:val="18"/>
              </w:rPr>
              <w:t>Key terms</w:t>
            </w:r>
          </w:p>
        </w:tc>
      </w:tr>
      <w:tr w:rsidR="008923A7" w:rsidRPr="00893891" w14:paraId="2D686435" w14:textId="77777777" w:rsidTr="008923A7">
        <w:tc>
          <w:tcPr>
            <w:tcW w:w="1838" w:type="dxa"/>
            <w:shd w:val="clear" w:color="auto" w:fill="FFFFFF" w:themeFill="background1"/>
            <w:vAlign w:val="center"/>
          </w:tcPr>
          <w:p w14:paraId="6885C091" w14:textId="77777777" w:rsidR="008923A7" w:rsidRPr="00893891" w:rsidRDefault="008923A7" w:rsidP="00893891">
            <w:pPr>
              <w:spacing w:line="240" w:lineRule="auto"/>
              <w:rPr>
                <w:b/>
                <w:bCs/>
                <w:sz w:val="18"/>
                <w:szCs w:val="18"/>
              </w:rPr>
            </w:pPr>
            <w:r w:rsidRPr="00893891">
              <w:rPr>
                <w:b/>
                <w:bCs/>
                <w:sz w:val="18"/>
                <w:szCs w:val="18"/>
              </w:rPr>
              <w:t>Appropriateness</w:t>
            </w:r>
          </w:p>
        </w:tc>
        <w:tc>
          <w:tcPr>
            <w:tcW w:w="8618" w:type="dxa"/>
            <w:shd w:val="clear" w:color="auto" w:fill="FFFFFF" w:themeFill="background1"/>
            <w:vAlign w:val="center"/>
          </w:tcPr>
          <w:p w14:paraId="6E3975C8" w14:textId="77777777" w:rsidR="008923A7" w:rsidRPr="00893891" w:rsidRDefault="008923A7" w:rsidP="00893891">
            <w:pPr>
              <w:spacing w:line="240" w:lineRule="auto"/>
              <w:rPr>
                <w:b/>
                <w:bCs/>
                <w:sz w:val="18"/>
                <w:szCs w:val="18"/>
              </w:rPr>
            </w:pPr>
            <w:r w:rsidRPr="00893891">
              <w:rPr>
                <w:sz w:val="18"/>
                <w:szCs w:val="18"/>
              </w:rPr>
              <w:t>The extent to which an indicator is beneficial, effective, and evidence-based (or clinically indicated) when applied to the ‘average’ patient in primary care</w:t>
            </w:r>
          </w:p>
        </w:tc>
      </w:tr>
      <w:tr w:rsidR="008923A7" w:rsidRPr="00893891" w14:paraId="3C25C614" w14:textId="77777777" w:rsidTr="008923A7">
        <w:tc>
          <w:tcPr>
            <w:tcW w:w="1838" w:type="dxa"/>
            <w:shd w:val="clear" w:color="auto" w:fill="FFFFFF" w:themeFill="background1"/>
            <w:vAlign w:val="center"/>
          </w:tcPr>
          <w:p w14:paraId="18D9041F" w14:textId="77777777" w:rsidR="008923A7" w:rsidRPr="00893891" w:rsidRDefault="008923A7" w:rsidP="00893891">
            <w:pPr>
              <w:spacing w:line="240" w:lineRule="auto"/>
              <w:rPr>
                <w:b/>
                <w:bCs/>
                <w:sz w:val="18"/>
                <w:szCs w:val="18"/>
              </w:rPr>
            </w:pPr>
            <w:r w:rsidRPr="00893891">
              <w:rPr>
                <w:b/>
                <w:bCs/>
                <w:sz w:val="18"/>
                <w:szCs w:val="18"/>
              </w:rPr>
              <w:t>Feasibility</w:t>
            </w:r>
          </w:p>
        </w:tc>
        <w:tc>
          <w:tcPr>
            <w:tcW w:w="8618" w:type="dxa"/>
            <w:shd w:val="clear" w:color="auto" w:fill="FFFFFF" w:themeFill="background1"/>
            <w:vAlign w:val="center"/>
          </w:tcPr>
          <w:p w14:paraId="587FDBF2" w14:textId="77777777" w:rsidR="008923A7" w:rsidRPr="00893891" w:rsidRDefault="008923A7" w:rsidP="00893891">
            <w:pPr>
              <w:spacing w:line="240" w:lineRule="auto"/>
              <w:rPr>
                <w:b/>
                <w:bCs/>
                <w:sz w:val="18"/>
                <w:szCs w:val="18"/>
              </w:rPr>
            </w:pPr>
            <w:r w:rsidRPr="00893891">
              <w:rPr>
                <w:sz w:val="18"/>
                <w:szCs w:val="18"/>
              </w:rPr>
              <w:t>The practicality of implementing the indicator in routine clinical practice (i.e., is it feasible from a human, data, workforce and financial perspective in the South African context?)</w:t>
            </w:r>
          </w:p>
        </w:tc>
      </w:tr>
      <w:tr w:rsidR="008923A7" w:rsidRPr="00893891" w14:paraId="3BB547E8" w14:textId="77777777" w:rsidTr="008923A7">
        <w:tc>
          <w:tcPr>
            <w:tcW w:w="1838" w:type="dxa"/>
            <w:shd w:val="clear" w:color="auto" w:fill="FFFFFF" w:themeFill="background1"/>
            <w:vAlign w:val="center"/>
          </w:tcPr>
          <w:p w14:paraId="102CCE14" w14:textId="77777777" w:rsidR="008923A7" w:rsidRPr="00893891" w:rsidRDefault="008923A7" w:rsidP="00893891">
            <w:pPr>
              <w:spacing w:line="240" w:lineRule="auto"/>
              <w:rPr>
                <w:b/>
                <w:bCs/>
                <w:sz w:val="18"/>
                <w:szCs w:val="18"/>
              </w:rPr>
            </w:pPr>
            <w:r w:rsidRPr="00893891">
              <w:rPr>
                <w:b/>
                <w:bCs/>
                <w:sz w:val="18"/>
                <w:szCs w:val="18"/>
              </w:rPr>
              <w:t>Clarity</w:t>
            </w:r>
          </w:p>
        </w:tc>
        <w:tc>
          <w:tcPr>
            <w:tcW w:w="8618" w:type="dxa"/>
            <w:shd w:val="clear" w:color="auto" w:fill="FFFFFF" w:themeFill="background1"/>
            <w:vAlign w:val="center"/>
          </w:tcPr>
          <w:p w14:paraId="21EA7C75" w14:textId="77777777" w:rsidR="008923A7" w:rsidRPr="00893891" w:rsidRDefault="008923A7" w:rsidP="00893891">
            <w:pPr>
              <w:spacing w:line="240" w:lineRule="auto"/>
              <w:rPr>
                <w:b/>
                <w:bCs/>
                <w:sz w:val="18"/>
                <w:szCs w:val="18"/>
              </w:rPr>
            </w:pPr>
            <w:r w:rsidRPr="00893891">
              <w:rPr>
                <w:sz w:val="18"/>
                <w:szCs w:val="18"/>
              </w:rPr>
              <w:t>The degree to which the indicator is clearly and precisely defined, unambiguous, and easily understood by clinicians and stakeholders</w:t>
            </w:r>
          </w:p>
        </w:tc>
      </w:tr>
      <w:tr w:rsidR="008923A7" w:rsidRPr="00893891" w14:paraId="3A4CF60F" w14:textId="77777777" w:rsidTr="008923A7">
        <w:tc>
          <w:tcPr>
            <w:tcW w:w="10456" w:type="dxa"/>
            <w:gridSpan w:val="2"/>
            <w:shd w:val="clear" w:color="auto" w:fill="FFFFFF" w:themeFill="background1"/>
          </w:tcPr>
          <w:p w14:paraId="349459FC" w14:textId="77777777" w:rsidR="008923A7" w:rsidRPr="00893891" w:rsidRDefault="008923A7" w:rsidP="00893891">
            <w:pPr>
              <w:spacing w:line="240" w:lineRule="auto"/>
              <w:rPr>
                <w:b/>
                <w:bCs/>
                <w:sz w:val="18"/>
                <w:szCs w:val="18"/>
              </w:rPr>
            </w:pPr>
            <w:r w:rsidRPr="00893891">
              <w:rPr>
                <w:b/>
                <w:bCs/>
                <w:sz w:val="18"/>
                <w:szCs w:val="18"/>
              </w:rPr>
              <w:t>Rating scores for appropriateness and feasibility (</w:t>
            </w:r>
            <w:bookmarkStart w:id="32" w:name="_Hlk215137808"/>
            <w:r w:rsidRPr="00893891">
              <w:rPr>
                <w:b/>
                <w:bCs/>
                <w:sz w:val="18"/>
                <w:szCs w:val="18"/>
              </w:rPr>
              <w:t>9-point Likert scale</w:t>
            </w:r>
            <w:bookmarkEnd w:id="32"/>
            <w:r w:rsidRPr="00893891">
              <w:rPr>
                <w:b/>
                <w:bCs/>
                <w:sz w:val="18"/>
                <w:szCs w:val="18"/>
              </w:rPr>
              <w:t>)</w:t>
            </w:r>
          </w:p>
        </w:tc>
      </w:tr>
      <w:tr w:rsidR="008923A7" w:rsidRPr="00893891" w14:paraId="243FA979" w14:textId="77777777" w:rsidTr="008923A7">
        <w:trPr>
          <w:trHeight w:val="378"/>
        </w:trPr>
        <w:tc>
          <w:tcPr>
            <w:tcW w:w="1838" w:type="dxa"/>
            <w:shd w:val="clear" w:color="auto" w:fill="FFFFFF" w:themeFill="background1"/>
          </w:tcPr>
          <w:p w14:paraId="35886B4D" w14:textId="77777777" w:rsidR="008923A7" w:rsidRPr="00893891" w:rsidRDefault="008923A7" w:rsidP="00893891">
            <w:pPr>
              <w:spacing w:line="240" w:lineRule="auto"/>
              <w:rPr>
                <w:b/>
                <w:bCs/>
                <w:sz w:val="18"/>
                <w:szCs w:val="18"/>
              </w:rPr>
            </w:pPr>
            <w:r w:rsidRPr="00893891">
              <w:rPr>
                <w:b/>
                <w:bCs/>
                <w:sz w:val="18"/>
                <w:szCs w:val="18"/>
              </w:rPr>
              <w:t>1</w:t>
            </w:r>
          </w:p>
        </w:tc>
        <w:tc>
          <w:tcPr>
            <w:tcW w:w="8618" w:type="dxa"/>
            <w:shd w:val="clear" w:color="auto" w:fill="FFFFFF" w:themeFill="background1"/>
            <w:vAlign w:val="center"/>
          </w:tcPr>
          <w:p w14:paraId="4D89383F" w14:textId="77777777" w:rsidR="008923A7" w:rsidRPr="00893891" w:rsidRDefault="008923A7" w:rsidP="00893891">
            <w:pPr>
              <w:spacing w:line="240" w:lineRule="auto"/>
              <w:rPr>
                <w:sz w:val="18"/>
                <w:szCs w:val="18"/>
              </w:rPr>
            </w:pPr>
            <w:r w:rsidRPr="00893891">
              <w:rPr>
                <w:sz w:val="18"/>
                <w:szCs w:val="18"/>
              </w:rPr>
              <w:t xml:space="preserve">Completely inappropriate/infeasible (no exceptions ever) </w:t>
            </w:r>
          </w:p>
        </w:tc>
      </w:tr>
      <w:tr w:rsidR="008923A7" w:rsidRPr="00893891" w14:paraId="42AEEB7B" w14:textId="77777777" w:rsidTr="008923A7">
        <w:trPr>
          <w:trHeight w:val="428"/>
        </w:trPr>
        <w:tc>
          <w:tcPr>
            <w:tcW w:w="1838" w:type="dxa"/>
            <w:shd w:val="clear" w:color="auto" w:fill="FFFFFF" w:themeFill="background1"/>
          </w:tcPr>
          <w:p w14:paraId="39553F9B" w14:textId="77777777" w:rsidR="008923A7" w:rsidRPr="00893891" w:rsidRDefault="008923A7" w:rsidP="00893891">
            <w:pPr>
              <w:spacing w:line="240" w:lineRule="auto"/>
              <w:rPr>
                <w:b/>
                <w:bCs/>
                <w:sz w:val="18"/>
                <w:szCs w:val="18"/>
              </w:rPr>
            </w:pPr>
            <w:r w:rsidRPr="00893891">
              <w:rPr>
                <w:b/>
                <w:bCs/>
                <w:sz w:val="18"/>
                <w:szCs w:val="18"/>
              </w:rPr>
              <w:t>2</w:t>
            </w:r>
          </w:p>
        </w:tc>
        <w:tc>
          <w:tcPr>
            <w:tcW w:w="8618" w:type="dxa"/>
            <w:tcBorders>
              <w:top w:val="single" w:sz="4" w:space="0" w:color="auto"/>
              <w:bottom w:val="single" w:sz="4" w:space="0" w:color="auto"/>
            </w:tcBorders>
            <w:shd w:val="clear" w:color="auto" w:fill="FFFFFF" w:themeFill="background1"/>
            <w:vAlign w:val="center"/>
          </w:tcPr>
          <w:p w14:paraId="1675DD13" w14:textId="77777777" w:rsidR="008923A7" w:rsidRPr="00893891" w:rsidRDefault="008923A7" w:rsidP="00893891">
            <w:pPr>
              <w:spacing w:line="240" w:lineRule="auto"/>
              <w:rPr>
                <w:sz w:val="18"/>
                <w:szCs w:val="18"/>
              </w:rPr>
            </w:pPr>
            <w:r w:rsidRPr="00893891">
              <w:rPr>
                <w:sz w:val="18"/>
                <w:szCs w:val="18"/>
              </w:rPr>
              <w:t>Very inappropriate/infeasible: rare exceptions</w:t>
            </w:r>
          </w:p>
        </w:tc>
      </w:tr>
      <w:tr w:rsidR="008923A7" w:rsidRPr="00893891" w14:paraId="722E9A4F" w14:textId="77777777" w:rsidTr="008923A7">
        <w:tc>
          <w:tcPr>
            <w:tcW w:w="1838" w:type="dxa"/>
            <w:shd w:val="clear" w:color="auto" w:fill="FFFFFF" w:themeFill="background1"/>
          </w:tcPr>
          <w:p w14:paraId="4B8CB5C2" w14:textId="77777777" w:rsidR="008923A7" w:rsidRPr="00893891" w:rsidRDefault="008923A7" w:rsidP="00893891">
            <w:pPr>
              <w:spacing w:line="240" w:lineRule="auto"/>
              <w:rPr>
                <w:b/>
                <w:bCs/>
                <w:sz w:val="18"/>
                <w:szCs w:val="18"/>
              </w:rPr>
            </w:pPr>
            <w:r w:rsidRPr="00893891">
              <w:rPr>
                <w:b/>
                <w:bCs/>
                <w:sz w:val="18"/>
                <w:szCs w:val="18"/>
              </w:rPr>
              <w:t>3</w:t>
            </w:r>
          </w:p>
        </w:tc>
        <w:tc>
          <w:tcPr>
            <w:tcW w:w="8618" w:type="dxa"/>
            <w:tcBorders>
              <w:bottom w:val="single" w:sz="4" w:space="0" w:color="auto"/>
            </w:tcBorders>
            <w:shd w:val="clear" w:color="auto" w:fill="FFFFFF" w:themeFill="background1"/>
            <w:vAlign w:val="center"/>
          </w:tcPr>
          <w:p w14:paraId="7025B8C7" w14:textId="77777777" w:rsidR="008923A7" w:rsidRPr="00893891" w:rsidRDefault="008923A7" w:rsidP="00893891">
            <w:pPr>
              <w:spacing w:line="240" w:lineRule="auto"/>
              <w:rPr>
                <w:sz w:val="18"/>
                <w:szCs w:val="18"/>
              </w:rPr>
            </w:pPr>
            <w:r w:rsidRPr="00893891">
              <w:rPr>
                <w:sz w:val="18"/>
                <w:szCs w:val="18"/>
              </w:rPr>
              <w:t>Inappropriate/infeasible: some exceptions</w:t>
            </w:r>
          </w:p>
        </w:tc>
      </w:tr>
      <w:tr w:rsidR="008923A7" w:rsidRPr="00893891" w14:paraId="26DC660C" w14:textId="77777777" w:rsidTr="008923A7">
        <w:tc>
          <w:tcPr>
            <w:tcW w:w="1838" w:type="dxa"/>
            <w:shd w:val="clear" w:color="auto" w:fill="FFFFFF" w:themeFill="background1"/>
          </w:tcPr>
          <w:p w14:paraId="00E2B7D2" w14:textId="77777777" w:rsidR="008923A7" w:rsidRPr="00893891" w:rsidRDefault="008923A7" w:rsidP="00893891">
            <w:pPr>
              <w:spacing w:line="240" w:lineRule="auto"/>
              <w:rPr>
                <w:b/>
                <w:bCs/>
                <w:sz w:val="18"/>
                <w:szCs w:val="18"/>
              </w:rPr>
            </w:pPr>
            <w:r w:rsidRPr="00893891">
              <w:rPr>
                <w:b/>
                <w:bCs/>
                <w:sz w:val="18"/>
                <w:szCs w:val="18"/>
              </w:rPr>
              <w:t>4</w:t>
            </w:r>
          </w:p>
        </w:tc>
        <w:tc>
          <w:tcPr>
            <w:tcW w:w="8618" w:type="dxa"/>
            <w:tcBorders>
              <w:bottom w:val="single" w:sz="4" w:space="0" w:color="auto"/>
            </w:tcBorders>
            <w:shd w:val="clear" w:color="auto" w:fill="FFFFFF" w:themeFill="background1"/>
            <w:vAlign w:val="center"/>
          </w:tcPr>
          <w:p w14:paraId="14B2B527" w14:textId="77777777" w:rsidR="008923A7" w:rsidRPr="00893891" w:rsidRDefault="008923A7" w:rsidP="00893891">
            <w:pPr>
              <w:spacing w:line="240" w:lineRule="auto"/>
              <w:rPr>
                <w:sz w:val="18"/>
                <w:szCs w:val="18"/>
              </w:rPr>
            </w:pPr>
            <w:r w:rsidRPr="00893891">
              <w:rPr>
                <w:sz w:val="18"/>
                <w:szCs w:val="18"/>
              </w:rPr>
              <w:t>Equivocal but inappropriate/infeasible for many</w:t>
            </w:r>
          </w:p>
        </w:tc>
      </w:tr>
      <w:tr w:rsidR="008923A7" w:rsidRPr="00893891" w14:paraId="19A155D1" w14:textId="77777777" w:rsidTr="008923A7">
        <w:tc>
          <w:tcPr>
            <w:tcW w:w="1838" w:type="dxa"/>
            <w:shd w:val="clear" w:color="auto" w:fill="FFFFFF" w:themeFill="background1"/>
          </w:tcPr>
          <w:p w14:paraId="7043A745" w14:textId="77777777" w:rsidR="008923A7" w:rsidRPr="00893891" w:rsidRDefault="008923A7" w:rsidP="00893891">
            <w:pPr>
              <w:spacing w:line="240" w:lineRule="auto"/>
              <w:rPr>
                <w:b/>
                <w:bCs/>
                <w:sz w:val="18"/>
                <w:szCs w:val="18"/>
              </w:rPr>
            </w:pPr>
            <w:r w:rsidRPr="00893891">
              <w:rPr>
                <w:b/>
                <w:bCs/>
                <w:sz w:val="18"/>
                <w:szCs w:val="18"/>
              </w:rPr>
              <w:t>5</w:t>
            </w:r>
          </w:p>
        </w:tc>
        <w:tc>
          <w:tcPr>
            <w:tcW w:w="8618" w:type="dxa"/>
            <w:tcBorders>
              <w:bottom w:val="single" w:sz="4" w:space="0" w:color="auto"/>
            </w:tcBorders>
            <w:shd w:val="clear" w:color="auto" w:fill="FFFFFF" w:themeFill="background1"/>
            <w:vAlign w:val="center"/>
          </w:tcPr>
          <w:p w14:paraId="6E750081" w14:textId="77777777" w:rsidR="008923A7" w:rsidRPr="00893891" w:rsidRDefault="008923A7" w:rsidP="00893891">
            <w:pPr>
              <w:spacing w:line="240" w:lineRule="auto"/>
              <w:rPr>
                <w:sz w:val="18"/>
                <w:szCs w:val="18"/>
              </w:rPr>
            </w:pPr>
            <w:r w:rsidRPr="00893891">
              <w:rPr>
                <w:sz w:val="18"/>
                <w:szCs w:val="18"/>
              </w:rPr>
              <w:t xml:space="preserve">Equivocal </w:t>
            </w:r>
          </w:p>
        </w:tc>
      </w:tr>
      <w:tr w:rsidR="008923A7" w:rsidRPr="00893891" w14:paraId="590DB8D9" w14:textId="77777777" w:rsidTr="008923A7">
        <w:tc>
          <w:tcPr>
            <w:tcW w:w="1838" w:type="dxa"/>
            <w:shd w:val="clear" w:color="auto" w:fill="FFFFFF" w:themeFill="background1"/>
          </w:tcPr>
          <w:p w14:paraId="5D65FDA1" w14:textId="77777777" w:rsidR="008923A7" w:rsidRPr="00893891" w:rsidRDefault="008923A7" w:rsidP="00893891">
            <w:pPr>
              <w:spacing w:line="240" w:lineRule="auto"/>
              <w:rPr>
                <w:b/>
                <w:bCs/>
                <w:sz w:val="18"/>
                <w:szCs w:val="18"/>
              </w:rPr>
            </w:pPr>
            <w:r w:rsidRPr="00893891">
              <w:rPr>
                <w:b/>
                <w:bCs/>
                <w:sz w:val="18"/>
                <w:szCs w:val="18"/>
              </w:rPr>
              <w:t>6</w:t>
            </w:r>
          </w:p>
        </w:tc>
        <w:tc>
          <w:tcPr>
            <w:tcW w:w="8618" w:type="dxa"/>
            <w:shd w:val="clear" w:color="auto" w:fill="FFFFFF" w:themeFill="background1"/>
            <w:vAlign w:val="center"/>
          </w:tcPr>
          <w:p w14:paraId="2CBFE700" w14:textId="77777777" w:rsidR="008923A7" w:rsidRPr="00893891" w:rsidRDefault="008923A7" w:rsidP="00893891">
            <w:pPr>
              <w:spacing w:line="240" w:lineRule="auto"/>
              <w:rPr>
                <w:sz w:val="18"/>
                <w:szCs w:val="18"/>
              </w:rPr>
            </w:pPr>
            <w:r w:rsidRPr="00893891">
              <w:rPr>
                <w:sz w:val="18"/>
                <w:szCs w:val="18"/>
              </w:rPr>
              <w:t>Equivocal but appropriate/feasible for some</w:t>
            </w:r>
          </w:p>
        </w:tc>
      </w:tr>
      <w:tr w:rsidR="008923A7" w:rsidRPr="00893891" w14:paraId="16BCEB6F" w14:textId="77777777" w:rsidTr="008923A7">
        <w:tc>
          <w:tcPr>
            <w:tcW w:w="1838" w:type="dxa"/>
            <w:shd w:val="clear" w:color="auto" w:fill="FFFFFF" w:themeFill="background1"/>
          </w:tcPr>
          <w:p w14:paraId="7E795277" w14:textId="77777777" w:rsidR="008923A7" w:rsidRPr="00893891" w:rsidRDefault="008923A7" w:rsidP="00893891">
            <w:pPr>
              <w:spacing w:line="240" w:lineRule="auto"/>
              <w:rPr>
                <w:b/>
                <w:bCs/>
                <w:sz w:val="18"/>
                <w:szCs w:val="18"/>
              </w:rPr>
            </w:pPr>
            <w:r w:rsidRPr="00893891">
              <w:rPr>
                <w:b/>
                <w:bCs/>
                <w:sz w:val="18"/>
                <w:szCs w:val="18"/>
              </w:rPr>
              <w:t>7</w:t>
            </w:r>
          </w:p>
        </w:tc>
        <w:tc>
          <w:tcPr>
            <w:tcW w:w="8618" w:type="dxa"/>
            <w:tcBorders>
              <w:top w:val="single" w:sz="4" w:space="0" w:color="auto"/>
            </w:tcBorders>
            <w:shd w:val="clear" w:color="auto" w:fill="FFFFFF" w:themeFill="background1"/>
            <w:vAlign w:val="center"/>
          </w:tcPr>
          <w:p w14:paraId="0F5DA62E" w14:textId="77777777" w:rsidR="008923A7" w:rsidRPr="00893891" w:rsidRDefault="008923A7" w:rsidP="00893891">
            <w:pPr>
              <w:spacing w:line="240" w:lineRule="auto"/>
              <w:rPr>
                <w:sz w:val="18"/>
                <w:szCs w:val="18"/>
              </w:rPr>
            </w:pPr>
            <w:r w:rsidRPr="00893891">
              <w:rPr>
                <w:sz w:val="18"/>
                <w:szCs w:val="18"/>
              </w:rPr>
              <w:t>Appropriate/feasible: some exceptions</w:t>
            </w:r>
          </w:p>
        </w:tc>
      </w:tr>
      <w:tr w:rsidR="008923A7" w:rsidRPr="00893891" w14:paraId="3C2128BB" w14:textId="77777777" w:rsidTr="008923A7">
        <w:tc>
          <w:tcPr>
            <w:tcW w:w="1838" w:type="dxa"/>
            <w:shd w:val="clear" w:color="auto" w:fill="FFFFFF" w:themeFill="background1"/>
          </w:tcPr>
          <w:p w14:paraId="68A0C80E" w14:textId="77777777" w:rsidR="008923A7" w:rsidRPr="00893891" w:rsidRDefault="008923A7" w:rsidP="00893891">
            <w:pPr>
              <w:spacing w:line="240" w:lineRule="auto"/>
              <w:rPr>
                <w:b/>
                <w:bCs/>
                <w:sz w:val="18"/>
                <w:szCs w:val="18"/>
              </w:rPr>
            </w:pPr>
            <w:r w:rsidRPr="00893891">
              <w:rPr>
                <w:b/>
                <w:bCs/>
                <w:sz w:val="18"/>
                <w:szCs w:val="18"/>
              </w:rPr>
              <w:t>8</w:t>
            </w:r>
          </w:p>
        </w:tc>
        <w:tc>
          <w:tcPr>
            <w:tcW w:w="8618" w:type="dxa"/>
            <w:tcBorders>
              <w:top w:val="single" w:sz="4" w:space="0" w:color="auto"/>
              <w:bottom w:val="single" w:sz="4" w:space="0" w:color="auto"/>
            </w:tcBorders>
            <w:shd w:val="clear" w:color="auto" w:fill="FFFFFF" w:themeFill="background1"/>
            <w:vAlign w:val="center"/>
          </w:tcPr>
          <w:p w14:paraId="7B27ACE8" w14:textId="77777777" w:rsidR="008923A7" w:rsidRPr="00893891" w:rsidRDefault="008923A7" w:rsidP="00893891">
            <w:pPr>
              <w:spacing w:line="240" w:lineRule="auto"/>
              <w:rPr>
                <w:sz w:val="18"/>
                <w:szCs w:val="18"/>
              </w:rPr>
            </w:pPr>
            <w:r w:rsidRPr="00893891">
              <w:rPr>
                <w:sz w:val="18"/>
                <w:szCs w:val="18"/>
              </w:rPr>
              <w:t xml:space="preserve">Very appropriate/feasible: rare exceptions </w:t>
            </w:r>
          </w:p>
        </w:tc>
      </w:tr>
      <w:tr w:rsidR="008923A7" w:rsidRPr="00893891" w14:paraId="3A75E187" w14:textId="77777777" w:rsidTr="008923A7">
        <w:tc>
          <w:tcPr>
            <w:tcW w:w="1838" w:type="dxa"/>
            <w:shd w:val="clear" w:color="auto" w:fill="FFFFFF" w:themeFill="background1"/>
          </w:tcPr>
          <w:p w14:paraId="5F246FDD" w14:textId="77777777" w:rsidR="008923A7" w:rsidRPr="00893891" w:rsidRDefault="008923A7" w:rsidP="00893891">
            <w:pPr>
              <w:spacing w:line="240" w:lineRule="auto"/>
              <w:rPr>
                <w:b/>
                <w:bCs/>
                <w:sz w:val="18"/>
                <w:szCs w:val="18"/>
              </w:rPr>
            </w:pPr>
            <w:r w:rsidRPr="00893891">
              <w:rPr>
                <w:b/>
                <w:bCs/>
                <w:sz w:val="18"/>
                <w:szCs w:val="18"/>
              </w:rPr>
              <w:t>9</w:t>
            </w:r>
          </w:p>
        </w:tc>
        <w:tc>
          <w:tcPr>
            <w:tcW w:w="8618" w:type="dxa"/>
            <w:shd w:val="clear" w:color="auto" w:fill="FFFFFF" w:themeFill="background1"/>
            <w:vAlign w:val="center"/>
          </w:tcPr>
          <w:p w14:paraId="13E45AA3" w14:textId="77777777" w:rsidR="008923A7" w:rsidRPr="00893891" w:rsidRDefault="008923A7" w:rsidP="00893891">
            <w:pPr>
              <w:spacing w:line="240" w:lineRule="auto"/>
              <w:rPr>
                <w:sz w:val="18"/>
                <w:szCs w:val="18"/>
              </w:rPr>
            </w:pPr>
            <w:r w:rsidRPr="00893891">
              <w:rPr>
                <w:sz w:val="18"/>
                <w:szCs w:val="18"/>
              </w:rPr>
              <w:t>Completely appropriate/feasible (no exceptions ever)</w:t>
            </w:r>
          </w:p>
        </w:tc>
      </w:tr>
      <w:tr w:rsidR="008923A7" w:rsidRPr="00893891" w14:paraId="2A688D33" w14:textId="77777777" w:rsidTr="008923A7">
        <w:tc>
          <w:tcPr>
            <w:tcW w:w="10456" w:type="dxa"/>
            <w:gridSpan w:val="2"/>
            <w:shd w:val="clear" w:color="auto" w:fill="FFFFFF" w:themeFill="background1"/>
          </w:tcPr>
          <w:p w14:paraId="5759C85D" w14:textId="77777777" w:rsidR="008923A7" w:rsidRPr="00893891" w:rsidRDefault="008923A7" w:rsidP="00893891">
            <w:pPr>
              <w:spacing w:line="240" w:lineRule="auto"/>
              <w:rPr>
                <w:b/>
                <w:bCs/>
                <w:sz w:val="18"/>
                <w:szCs w:val="18"/>
              </w:rPr>
            </w:pPr>
            <w:r w:rsidRPr="00893891">
              <w:rPr>
                <w:b/>
                <w:bCs/>
                <w:sz w:val="18"/>
                <w:szCs w:val="18"/>
              </w:rPr>
              <w:t>Levels of appropriateness and feasibility</w:t>
            </w:r>
          </w:p>
        </w:tc>
      </w:tr>
      <w:tr w:rsidR="008923A7" w:rsidRPr="00893891" w14:paraId="278FBE58" w14:textId="77777777" w:rsidTr="008923A7">
        <w:tc>
          <w:tcPr>
            <w:tcW w:w="1838" w:type="dxa"/>
            <w:shd w:val="clear" w:color="auto" w:fill="FFFFFF" w:themeFill="background1"/>
          </w:tcPr>
          <w:p w14:paraId="07FDA935" w14:textId="77777777" w:rsidR="008923A7" w:rsidRPr="00893891" w:rsidRDefault="008923A7" w:rsidP="00893891">
            <w:pPr>
              <w:spacing w:line="240" w:lineRule="auto"/>
              <w:rPr>
                <w:b/>
                <w:bCs/>
                <w:sz w:val="18"/>
                <w:szCs w:val="18"/>
              </w:rPr>
            </w:pPr>
            <w:r w:rsidRPr="00893891">
              <w:rPr>
                <w:b/>
                <w:bCs/>
                <w:sz w:val="18"/>
                <w:szCs w:val="18"/>
              </w:rPr>
              <w:t>1 - 3</w:t>
            </w:r>
          </w:p>
        </w:tc>
        <w:tc>
          <w:tcPr>
            <w:tcW w:w="8618" w:type="dxa"/>
            <w:shd w:val="clear" w:color="auto" w:fill="FFFFFF" w:themeFill="background1"/>
            <w:vAlign w:val="center"/>
          </w:tcPr>
          <w:p w14:paraId="29511B44" w14:textId="77777777" w:rsidR="008923A7" w:rsidRPr="00893891" w:rsidRDefault="008923A7" w:rsidP="00893891">
            <w:pPr>
              <w:spacing w:line="240" w:lineRule="auto"/>
              <w:rPr>
                <w:sz w:val="18"/>
                <w:szCs w:val="18"/>
              </w:rPr>
            </w:pPr>
            <w:r w:rsidRPr="00893891">
              <w:rPr>
                <w:sz w:val="18"/>
                <w:szCs w:val="18"/>
              </w:rPr>
              <w:t>Inappropriate/infeasible</w:t>
            </w:r>
          </w:p>
        </w:tc>
      </w:tr>
      <w:tr w:rsidR="008923A7" w:rsidRPr="00893891" w14:paraId="224C59B7" w14:textId="77777777" w:rsidTr="008923A7">
        <w:tc>
          <w:tcPr>
            <w:tcW w:w="1838" w:type="dxa"/>
            <w:shd w:val="clear" w:color="auto" w:fill="FFFFFF" w:themeFill="background1"/>
          </w:tcPr>
          <w:p w14:paraId="50860A1D" w14:textId="77777777" w:rsidR="008923A7" w:rsidRPr="00893891" w:rsidRDefault="008923A7" w:rsidP="00893891">
            <w:pPr>
              <w:spacing w:line="240" w:lineRule="auto"/>
              <w:rPr>
                <w:b/>
                <w:bCs/>
                <w:sz w:val="18"/>
                <w:szCs w:val="18"/>
              </w:rPr>
            </w:pPr>
            <w:r w:rsidRPr="00893891">
              <w:rPr>
                <w:b/>
                <w:bCs/>
                <w:sz w:val="18"/>
                <w:szCs w:val="18"/>
              </w:rPr>
              <w:t>4 - 6</w:t>
            </w:r>
          </w:p>
        </w:tc>
        <w:tc>
          <w:tcPr>
            <w:tcW w:w="8618" w:type="dxa"/>
            <w:shd w:val="clear" w:color="auto" w:fill="FFFFFF" w:themeFill="background1"/>
            <w:vAlign w:val="center"/>
          </w:tcPr>
          <w:p w14:paraId="413ED3B3" w14:textId="77777777" w:rsidR="008923A7" w:rsidRPr="00893891" w:rsidRDefault="008923A7" w:rsidP="00893891">
            <w:pPr>
              <w:spacing w:line="240" w:lineRule="auto"/>
              <w:rPr>
                <w:sz w:val="18"/>
                <w:szCs w:val="18"/>
              </w:rPr>
            </w:pPr>
            <w:r w:rsidRPr="00893891">
              <w:rPr>
                <w:sz w:val="18"/>
                <w:szCs w:val="18"/>
              </w:rPr>
              <w:t>Equivocal</w:t>
            </w:r>
          </w:p>
        </w:tc>
      </w:tr>
      <w:tr w:rsidR="008923A7" w:rsidRPr="00893891" w14:paraId="2C6ABEC1" w14:textId="77777777" w:rsidTr="008923A7">
        <w:tc>
          <w:tcPr>
            <w:tcW w:w="1838" w:type="dxa"/>
            <w:shd w:val="clear" w:color="auto" w:fill="FFFFFF" w:themeFill="background1"/>
          </w:tcPr>
          <w:p w14:paraId="661A733B" w14:textId="77777777" w:rsidR="008923A7" w:rsidRPr="00893891" w:rsidRDefault="008923A7" w:rsidP="00893891">
            <w:pPr>
              <w:spacing w:line="240" w:lineRule="auto"/>
              <w:rPr>
                <w:b/>
                <w:bCs/>
                <w:sz w:val="18"/>
                <w:szCs w:val="18"/>
              </w:rPr>
            </w:pPr>
            <w:r w:rsidRPr="00893891">
              <w:rPr>
                <w:b/>
                <w:bCs/>
                <w:sz w:val="18"/>
                <w:szCs w:val="18"/>
              </w:rPr>
              <w:t>7 - 9</w:t>
            </w:r>
          </w:p>
        </w:tc>
        <w:tc>
          <w:tcPr>
            <w:tcW w:w="8618" w:type="dxa"/>
            <w:shd w:val="clear" w:color="auto" w:fill="FFFFFF" w:themeFill="background1"/>
            <w:vAlign w:val="center"/>
          </w:tcPr>
          <w:p w14:paraId="1FC38FA7" w14:textId="77777777" w:rsidR="008923A7" w:rsidRPr="00893891" w:rsidRDefault="008923A7" w:rsidP="00893891">
            <w:pPr>
              <w:spacing w:line="240" w:lineRule="auto"/>
              <w:rPr>
                <w:sz w:val="18"/>
                <w:szCs w:val="18"/>
              </w:rPr>
            </w:pPr>
            <w:r w:rsidRPr="00893891">
              <w:rPr>
                <w:sz w:val="18"/>
                <w:szCs w:val="18"/>
              </w:rPr>
              <w:t>Appropriate/feasible</w:t>
            </w:r>
          </w:p>
        </w:tc>
      </w:tr>
      <w:tr w:rsidR="008923A7" w:rsidRPr="00893891" w14:paraId="19A9043C" w14:textId="77777777" w:rsidTr="008923A7">
        <w:tc>
          <w:tcPr>
            <w:tcW w:w="10456" w:type="dxa"/>
            <w:gridSpan w:val="2"/>
            <w:shd w:val="clear" w:color="auto" w:fill="FFFFFF" w:themeFill="background1"/>
          </w:tcPr>
          <w:p w14:paraId="1624B7B9" w14:textId="77777777" w:rsidR="008923A7" w:rsidRPr="00893891" w:rsidRDefault="008923A7" w:rsidP="00893891">
            <w:pPr>
              <w:spacing w:line="240" w:lineRule="auto"/>
              <w:rPr>
                <w:b/>
                <w:bCs/>
                <w:sz w:val="18"/>
                <w:szCs w:val="18"/>
              </w:rPr>
            </w:pPr>
            <w:r w:rsidRPr="00893891">
              <w:rPr>
                <w:b/>
                <w:bCs/>
                <w:sz w:val="18"/>
                <w:szCs w:val="18"/>
              </w:rPr>
              <w:t xml:space="preserve">Levels of consensus </w:t>
            </w:r>
          </w:p>
        </w:tc>
      </w:tr>
      <w:tr w:rsidR="008923A7" w:rsidRPr="00893891" w14:paraId="5D4AD745" w14:textId="77777777" w:rsidTr="008923A7">
        <w:tc>
          <w:tcPr>
            <w:tcW w:w="1838" w:type="dxa"/>
            <w:shd w:val="clear" w:color="auto" w:fill="FFFFFF" w:themeFill="background1"/>
          </w:tcPr>
          <w:p w14:paraId="041424FA" w14:textId="77777777" w:rsidR="008923A7" w:rsidRPr="00893891" w:rsidRDefault="008923A7" w:rsidP="00893891">
            <w:pPr>
              <w:spacing w:line="240" w:lineRule="auto"/>
              <w:rPr>
                <w:b/>
                <w:bCs/>
                <w:sz w:val="18"/>
                <w:szCs w:val="18"/>
              </w:rPr>
            </w:pPr>
            <w:r w:rsidRPr="00893891">
              <w:rPr>
                <w:b/>
                <w:bCs/>
                <w:sz w:val="18"/>
                <w:szCs w:val="18"/>
              </w:rPr>
              <w:t>Agreement (A)</w:t>
            </w:r>
          </w:p>
        </w:tc>
        <w:tc>
          <w:tcPr>
            <w:tcW w:w="8618" w:type="dxa"/>
            <w:shd w:val="clear" w:color="auto" w:fill="FFFFFF" w:themeFill="background1"/>
            <w:vAlign w:val="center"/>
          </w:tcPr>
          <w:p w14:paraId="13DB409F" w14:textId="77777777" w:rsidR="008923A7" w:rsidRPr="00893891" w:rsidRDefault="008923A7" w:rsidP="00893891">
            <w:pPr>
              <w:spacing w:line="240" w:lineRule="auto"/>
              <w:rPr>
                <w:sz w:val="18"/>
                <w:szCs w:val="18"/>
              </w:rPr>
            </w:pPr>
            <w:r w:rsidRPr="00893891">
              <w:rPr>
                <w:sz w:val="18"/>
                <w:szCs w:val="18"/>
              </w:rPr>
              <w:t>≥80% rated within +/- 1 of the median</w:t>
            </w:r>
          </w:p>
        </w:tc>
      </w:tr>
      <w:tr w:rsidR="008923A7" w:rsidRPr="00893891" w14:paraId="695CD32E" w14:textId="77777777" w:rsidTr="008923A7">
        <w:tc>
          <w:tcPr>
            <w:tcW w:w="1838" w:type="dxa"/>
            <w:shd w:val="clear" w:color="auto" w:fill="FFFFFF" w:themeFill="background1"/>
          </w:tcPr>
          <w:p w14:paraId="1B316529" w14:textId="77777777" w:rsidR="008923A7" w:rsidRPr="00893891" w:rsidRDefault="008923A7" w:rsidP="00893891">
            <w:pPr>
              <w:spacing w:line="240" w:lineRule="auto"/>
              <w:rPr>
                <w:b/>
                <w:bCs/>
                <w:sz w:val="18"/>
                <w:szCs w:val="18"/>
              </w:rPr>
            </w:pPr>
            <w:r w:rsidRPr="00893891">
              <w:rPr>
                <w:b/>
                <w:bCs/>
                <w:sz w:val="18"/>
                <w:szCs w:val="18"/>
              </w:rPr>
              <w:t>Disagreement (D)</w:t>
            </w:r>
          </w:p>
        </w:tc>
        <w:tc>
          <w:tcPr>
            <w:tcW w:w="8618" w:type="dxa"/>
            <w:shd w:val="clear" w:color="auto" w:fill="FFFFFF" w:themeFill="background1"/>
            <w:vAlign w:val="center"/>
          </w:tcPr>
          <w:p w14:paraId="5102895F" w14:textId="77777777" w:rsidR="008923A7" w:rsidRPr="00893891" w:rsidRDefault="008923A7" w:rsidP="00893891">
            <w:pPr>
              <w:spacing w:line="240" w:lineRule="auto"/>
              <w:rPr>
                <w:sz w:val="18"/>
                <w:szCs w:val="18"/>
              </w:rPr>
            </w:pPr>
            <w:r w:rsidRPr="00893891">
              <w:rPr>
                <w:sz w:val="18"/>
                <w:szCs w:val="18"/>
              </w:rPr>
              <w:t>≥ 33% rated in both 1-3 and 7-9 score ranges</w:t>
            </w:r>
          </w:p>
        </w:tc>
      </w:tr>
      <w:tr w:rsidR="008923A7" w:rsidRPr="00893891" w14:paraId="0C0BAE43" w14:textId="77777777" w:rsidTr="008923A7">
        <w:tc>
          <w:tcPr>
            <w:tcW w:w="1838" w:type="dxa"/>
            <w:shd w:val="clear" w:color="auto" w:fill="FFFFFF" w:themeFill="background1"/>
          </w:tcPr>
          <w:p w14:paraId="291E8B77" w14:textId="77777777" w:rsidR="008923A7" w:rsidRPr="00893891" w:rsidRDefault="008923A7" w:rsidP="00893891">
            <w:pPr>
              <w:spacing w:line="240" w:lineRule="auto"/>
              <w:rPr>
                <w:b/>
                <w:bCs/>
                <w:sz w:val="18"/>
                <w:szCs w:val="18"/>
              </w:rPr>
            </w:pPr>
            <w:r w:rsidRPr="00893891">
              <w:rPr>
                <w:b/>
                <w:bCs/>
                <w:sz w:val="18"/>
                <w:szCs w:val="18"/>
              </w:rPr>
              <w:t>Equivocal (E)</w:t>
            </w:r>
          </w:p>
        </w:tc>
        <w:tc>
          <w:tcPr>
            <w:tcW w:w="8618" w:type="dxa"/>
            <w:shd w:val="clear" w:color="auto" w:fill="FFFFFF" w:themeFill="background1"/>
            <w:vAlign w:val="center"/>
          </w:tcPr>
          <w:p w14:paraId="13D92275" w14:textId="77777777" w:rsidR="008923A7" w:rsidRPr="00893891" w:rsidRDefault="008923A7" w:rsidP="00893891">
            <w:pPr>
              <w:spacing w:line="240" w:lineRule="auto"/>
              <w:rPr>
                <w:sz w:val="18"/>
                <w:szCs w:val="18"/>
              </w:rPr>
            </w:pPr>
            <w:r w:rsidRPr="00893891">
              <w:rPr>
                <w:sz w:val="18"/>
                <w:szCs w:val="18"/>
              </w:rPr>
              <w:t>Neither disagreement nor agreement (no consensus)</w:t>
            </w:r>
          </w:p>
        </w:tc>
      </w:tr>
    </w:tbl>
    <w:p w14:paraId="66A07AD7" w14:textId="77777777" w:rsidR="00FB0C53" w:rsidRDefault="00FB0C53" w:rsidP="00FB0C53">
      <w:pPr>
        <w:pStyle w:val="MDPI31text"/>
      </w:pPr>
    </w:p>
    <w:p w14:paraId="6397A74B" w14:textId="2BFBE98E" w:rsidR="00734408" w:rsidRPr="00FB0C53" w:rsidRDefault="00E83006" w:rsidP="00FB0C53">
      <w:pPr>
        <w:pStyle w:val="MDPI31text"/>
      </w:pPr>
      <w:r w:rsidRPr="00E83006">
        <w:rPr>
          <w:iCs/>
        </w:rPr>
        <w:t xml:space="preserve">A total of 78 quality indicators derived from the three sources were </w:t>
      </w:r>
      <w:r w:rsidR="00666E84" w:rsidRPr="00E83006">
        <w:rPr>
          <w:iCs/>
        </w:rPr>
        <w:t>categorized</w:t>
      </w:r>
      <w:r w:rsidRPr="00E83006">
        <w:rPr>
          <w:iCs/>
        </w:rPr>
        <w:t xml:space="preserve"> into eight infection areas. </w:t>
      </w:r>
      <w:r w:rsidR="00785B59">
        <w:rPr>
          <w:iCs/>
        </w:rPr>
        <w:t>Sixty-three</w:t>
      </w:r>
      <w:r w:rsidR="00BA7CDA">
        <w:rPr>
          <w:iCs/>
        </w:rPr>
        <w:t xml:space="preserve"> indicators were identified from</w:t>
      </w:r>
      <w:r w:rsidR="00F73508">
        <w:rPr>
          <w:iCs/>
        </w:rPr>
        <w:t xml:space="preserve"> the SGUL indicators</w:t>
      </w:r>
      <w:r w:rsidR="00785B59">
        <w:rPr>
          <w:iCs/>
        </w:rPr>
        <w:t>,</w:t>
      </w:r>
      <w:r w:rsidR="00F73508">
        <w:rPr>
          <w:iCs/>
        </w:rPr>
        <w:t xml:space="preserve"> </w:t>
      </w:r>
      <w:r w:rsidR="009D05F6">
        <w:rPr>
          <w:iCs/>
        </w:rPr>
        <w:t xml:space="preserve">14 </w:t>
      </w:r>
      <w:r w:rsidR="00F73508">
        <w:rPr>
          <w:iCs/>
        </w:rPr>
        <w:t>indicators were identified</w:t>
      </w:r>
      <w:r w:rsidR="009D05F6">
        <w:rPr>
          <w:iCs/>
        </w:rPr>
        <w:t xml:space="preserve"> from the PPS</w:t>
      </w:r>
      <w:r w:rsidR="003E214F">
        <w:rPr>
          <w:iCs/>
        </w:rPr>
        <w:t>,</w:t>
      </w:r>
      <w:r w:rsidR="009D05F6">
        <w:rPr>
          <w:iCs/>
        </w:rPr>
        <w:t xml:space="preserve"> and one indicator was identified from </w:t>
      </w:r>
      <w:r w:rsidR="00ED5C37">
        <w:rPr>
          <w:iCs/>
        </w:rPr>
        <w:t xml:space="preserve">the </w:t>
      </w:r>
      <w:proofErr w:type="gramStart"/>
      <w:r w:rsidR="009D05F6">
        <w:rPr>
          <w:iCs/>
        </w:rPr>
        <w:t>literature</w:t>
      </w:r>
      <w:r w:rsidR="00785B59">
        <w:rPr>
          <w:iCs/>
        </w:rPr>
        <w:t>.</w:t>
      </w:r>
      <w:r w:rsidR="003A3B34">
        <w:rPr>
          <w:szCs w:val="20"/>
          <w:vertAlign w:val="superscript"/>
        </w:rPr>
        <w:t>[</w:t>
      </w:r>
      <w:proofErr w:type="gramEnd"/>
      <w:r w:rsidR="003A3B34">
        <w:rPr>
          <w:szCs w:val="20"/>
          <w:vertAlign w:val="superscript"/>
        </w:rPr>
        <w:t>60, 8</w:t>
      </w:r>
      <w:r w:rsidR="00EE19F6">
        <w:rPr>
          <w:szCs w:val="20"/>
          <w:vertAlign w:val="superscript"/>
        </w:rPr>
        <w:t>5</w:t>
      </w:r>
      <w:r w:rsidR="003A3B34">
        <w:rPr>
          <w:szCs w:val="20"/>
          <w:vertAlign w:val="superscript"/>
        </w:rPr>
        <w:t>,9</w:t>
      </w:r>
      <w:r w:rsidR="00EE19F6">
        <w:rPr>
          <w:szCs w:val="20"/>
          <w:vertAlign w:val="superscript"/>
        </w:rPr>
        <w:t>5</w:t>
      </w:r>
      <w:r w:rsidR="003A3B34">
        <w:rPr>
          <w:szCs w:val="20"/>
          <w:vertAlign w:val="superscript"/>
        </w:rPr>
        <w:t xml:space="preserve">] </w:t>
      </w:r>
      <w:r w:rsidRPr="003A3B34">
        <w:t>The</w:t>
      </w:r>
      <w:r w:rsidRPr="00E83006">
        <w:rPr>
          <w:iCs/>
        </w:rPr>
        <w:t xml:space="preserve"> key terms, rating scales and the interpretation of the levels of appropriateness and feasibility for this study were defined in preparation for the two rounds of rating (Table </w:t>
      </w:r>
      <w:r w:rsidR="0001187F">
        <w:rPr>
          <w:iCs/>
        </w:rPr>
        <w:t>4</w:t>
      </w:r>
      <w:r w:rsidRPr="00E83006">
        <w:rPr>
          <w:iCs/>
        </w:rPr>
        <w:t xml:space="preserve">). </w:t>
      </w:r>
    </w:p>
    <w:p w14:paraId="6BD64CC3" w14:textId="438D54DE" w:rsidR="005A337D" w:rsidRDefault="005A337D" w:rsidP="005A337D">
      <w:pPr>
        <w:pStyle w:val="MDPI22heading2"/>
        <w:spacing w:before="240"/>
        <w:rPr>
          <w:b/>
          <w:bCs/>
          <w:noProof w:val="0"/>
        </w:rPr>
      </w:pPr>
      <w:r w:rsidRPr="00161ED8">
        <w:rPr>
          <w:b/>
          <w:bCs/>
          <w:noProof w:val="0"/>
        </w:rPr>
        <w:t>4</w:t>
      </w:r>
      <w:r w:rsidR="004F49F6">
        <w:rPr>
          <w:b/>
          <w:bCs/>
          <w:noProof w:val="0"/>
        </w:rPr>
        <w:t>.2</w:t>
      </w:r>
      <w:r w:rsidRPr="00161ED8">
        <w:rPr>
          <w:b/>
          <w:bCs/>
          <w:noProof w:val="0"/>
        </w:rPr>
        <w:t xml:space="preserve">. </w:t>
      </w:r>
      <w:r w:rsidR="00E25F3F">
        <w:rPr>
          <w:b/>
          <w:bCs/>
          <w:noProof w:val="0"/>
        </w:rPr>
        <w:t>Expert panel selection and composition</w:t>
      </w:r>
    </w:p>
    <w:p w14:paraId="5CC2B08A" w14:textId="20A99295" w:rsidR="009F1CB8" w:rsidRPr="00E25F3F" w:rsidRDefault="004F2526" w:rsidP="00FB0C53">
      <w:pPr>
        <w:pStyle w:val="MDPI31text"/>
      </w:pPr>
      <w:bookmarkStart w:id="33" w:name="_Hlk216440521"/>
      <w:r>
        <w:t>The s</w:t>
      </w:r>
      <w:r w:rsidR="009F1CB8" w:rsidRPr="009011AC">
        <w:t>election of the expert panel was based on the RAM guidelines.</w:t>
      </w:r>
      <w:r w:rsidR="003A3B34">
        <w:rPr>
          <w:szCs w:val="20"/>
          <w:vertAlign w:val="superscript"/>
        </w:rPr>
        <w:t>[</w:t>
      </w:r>
      <w:r w:rsidR="001B07D6">
        <w:rPr>
          <w:szCs w:val="20"/>
          <w:vertAlign w:val="superscript"/>
        </w:rPr>
        <w:t>97</w:t>
      </w:r>
      <w:r w:rsidR="003A3B34">
        <w:rPr>
          <w:szCs w:val="20"/>
          <w:vertAlign w:val="superscript"/>
        </w:rPr>
        <w:t>]</w:t>
      </w:r>
      <w:r w:rsidR="009F1CB8" w:rsidRPr="009011AC">
        <w:t xml:space="preserve"> It was important to balance representation from national topic specialists and prescribers currently working in public primary care</w:t>
      </w:r>
      <w:r>
        <w:t>,</w:t>
      </w:r>
      <w:r w:rsidR="009F1CB8" w:rsidRPr="009011AC">
        <w:t xml:space="preserve"> where the indicators would be used. The 12-member panel comprised seven national experts in infectious diseases, medical microbiology, antimicrobial stewardship, public health, clinical pharmacy, quality improvement, academia and healthcare policy development and co-ordination; two medical officers and two professional nurses working in primary care and one professional nurse working for the National Department of Health. A panel size of 12 experts was considered ideal for a balanced multidisciplinary panel and to ensure at least nine members participated in the second round. The experts were identified and recruited based on relevant professional knowledge and expertise, geographic and professional diversity, absence of any conflicts of interest that could bias ratings, and willingness to participate in the full RAM process. Experts who had previously represented South Africa in the global Delphi panel led by the SGUL team were invited to participate.</w:t>
      </w:r>
    </w:p>
    <w:bookmarkEnd w:id="33"/>
    <w:p w14:paraId="607EB239" w14:textId="3A79999A" w:rsidR="005A337D" w:rsidRDefault="005A337D" w:rsidP="005A337D">
      <w:pPr>
        <w:pStyle w:val="MDPI22heading2"/>
        <w:spacing w:before="240"/>
        <w:rPr>
          <w:b/>
          <w:bCs/>
          <w:noProof w:val="0"/>
        </w:rPr>
      </w:pPr>
      <w:r w:rsidRPr="00161ED8">
        <w:rPr>
          <w:b/>
          <w:bCs/>
          <w:noProof w:val="0"/>
        </w:rPr>
        <w:t>4</w:t>
      </w:r>
      <w:r w:rsidR="004F49F6">
        <w:rPr>
          <w:b/>
          <w:bCs/>
          <w:noProof w:val="0"/>
        </w:rPr>
        <w:t>.3</w:t>
      </w:r>
      <w:r w:rsidRPr="00161ED8">
        <w:rPr>
          <w:b/>
          <w:bCs/>
          <w:noProof w:val="0"/>
        </w:rPr>
        <w:t xml:space="preserve">. </w:t>
      </w:r>
      <w:r w:rsidR="009011AC">
        <w:rPr>
          <w:b/>
          <w:bCs/>
          <w:noProof w:val="0"/>
        </w:rPr>
        <w:t>Round 1:</w:t>
      </w:r>
      <w:r w:rsidR="00557FF7">
        <w:rPr>
          <w:b/>
          <w:bCs/>
          <w:noProof w:val="0"/>
        </w:rPr>
        <w:t xml:space="preserve"> rating clarity and approp</w:t>
      </w:r>
      <w:r w:rsidR="00D232E1">
        <w:rPr>
          <w:b/>
          <w:bCs/>
          <w:noProof w:val="0"/>
        </w:rPr>
        <w:t>riateness</w:t>
      </w:r>
    </w:p>
    <w:p w14:paraId="39C3D821" w14:textId="3CD8D4B5" w:rsidR="00D71EEA" w:rsidRPr="009F1CB8" w:rsidRDefault="00D71EEA" w:rsidP="009F1CB8">
      <w:pPr>
        <w:pStyle w:val="MDPI31text"/>
      </w:pPr>
      <w:r w:rsidRPr="00D71EEA">
        <w:rPr>
          <w:iCs/>
        </w:rPr>
        <w:t xml:space="preserve">The first-round rating took place in August 2025. In this round, </w:t>
      </w:r>
      <w:r w:rsidR="005E2B76" w:rsidRPr="00D71EEA">
        <w:rPr>
          <w:iCs/>
        </w:rPr>
        <w:t>panelists</w:t>
      </w:r>
      <w:r w:rsidRPr="00D71EEA">
        <w:rPr>
          <w:iCs/>
        </w:rPr>
        <w:t xml:space="preserve"> were requested to independently and confidentially rate the clarity and appropriateness of each of the 78 candidate quality indicators on separate 9-point Likert Scales. The list of indicators, </w:t>
      </w:r>
      <w:r w:rsidR="005E2B76" w:rsidRPr="00D71EEA">
        <w:rPr>
          <w:iCs/>
        </w:rPr>
        <w:t>organized</w:t>
      </w:r>
      <w:r w:rsidRPr="00D71EEA">
        <w:rPr>
          <w:iCs/>
        </w:rPr>
        <w:t xml:space="preserve"> into eight separate tabs on a Microsoft Excel™ spreadsheet, was sent via email for each panel member to rate and submit within 14 calendar days. For each indicator, the source </w:t>
      </w:r>
      <w:r w:rsidR="00DC1117">
        <w:rPr>
          <w:iCs/>
        </w:rPr>
        <w:t xml:space="preserve">of the indicator </w:t>
      </w:r>
      <w:r w:rsidRPr="00D71EEA">
        <w:rPr>
          <w:iCs/>
        </w:rPr>
        <w:t xml:space="preserve">was cited at the end of each row, in the final column of the respective tabs. Each tab had a section for rephrasing statements, new suggested statements and comments. The spreadsheet also included tabs with rating instructions, rating scales and references. An evidence summary and a guidance document were also attached separately in the email sent to the </w:t>
      </w:r>
      <w:r w:rsidR="005E2B76" w:rsidRPr="00D71EEA">
        <w:rPr>
          <w:iCs/>
        </w:rPr>
        <w:t>panelists</w:t>
      </w:r>
      <w:r w:rsidRPr="00D71EEA">
        <w:rPr>
          <w:iCs/>
        </w:rPr>
        <w:t>.</w:t>
      </w:r>
    </w:p>
    <w:p w14:paraId="0199A074" w14:textId="134BDD4C" w:rsidR="009011AC" w:rsidRDefault="009011AC" w:rsidP="005A337D">
      <w:pPr>
        <w:pStyle w:val="MDPI22heading2"/>
        <w:spacing w:before="240"/>
        <w:rPr>
          <w:b/>
          <w:bCs/>
          <w:noProof w:val="0"/>
        </w:rPr>
      </w:pPr>
      <w:r w:rsidRPr="00161ED8">
        <w:rPr>
          <w:b/>
          <w:bCs/>
          <w:noProof w:val="0"/>
        </w:rPr>
        <w:t>4</w:t>
      </w:r>
      <w:r>
        <w:rPr>
          <w:b/>
          <w:bCs/>
          <w:noProof w:val="0"/>
        </w:rPr>
        <w:t>.4</w:t>
      </w:r>
      <w:r w:rsidRPr="00161ED8">
        <w:rPr>
          <w:b/>
          <w:bCs/>
          <w:noProof w:val="0"/>
        </w:rPr>
        <w:t xml:space="preserve">. </w:t>
      </w:r>
      <w:r w:rsidR="00D232E1">
        <w:rPr>
          <w:b/>
          <w:bCs/>
          <w:noProof w:val="0"/>
        </w:rPr>
        <w:t>Round 2: consensus meeting and rating appropriateness and feasibility</w:t>
      </w:r>
    </w:p>
    <w:p w14:paraId="5B9F7950" w14:textId="3729EF15" w:rsidR="00586DB3" w:rsidRPr="00586DB3" w:rsidRDefault="00586DB3" w:rsidP="00586DB3">
      <w:pPr>
        <w:pStyle w:val="MDPI22heading2"/>
        <w:spacing w:before="240"/>
        <w:jc w:val="both"/>
        <w:rPr>
          <w:i w:val="0"/>
          <w:iCs/>
          <w:noProof w:val="0"/>
        </w:rPr>
      </w:pPr>
      <w:r w:rsidRPr="00586DB3">
        <w:rPr>
          <w:i w:val="0"/>
          <w:iCs/>
          <w:noProof w:val="0"/>
        </w:rPr>
        <w:t>The virtual interactive meeting and second round rating took place in September 2025 on Microsoft Teams™. A week before the virtual meeting, the rating sheet and scales for the second round, rating instructions, individual feedback from the first round, the overall panel median and the frequency distribution of panel ratings were emailed to each panel member in preparation for the meeting. The results from the first round were also shared with the meeting co-chairs</w:t>
      </w:r>
      <w:r w:rsidR="005B4A49">
        <w:rPr>
          <w:i w:val="0"/>
          <w:iCs/>
          <w:noProof w:val="0"/>
        </w:rPr>
        <w:t xml:space="preserve"> </w:t>
      </w:r>
      <w:r w:rsidR="00234A23">
        <w:rPr>
          <w:i w:val="0"/>
          <w:iCs/>
          <w:noProof w:val="0"/>
        </w:rPr>
        <w:t>(MM and S</w:t>
      </w:r>
      <w:r w:rsidR="00B637EB">
        <w:rPr>
          <w:i w:val="0"/>
          <w:iCs/>
          <w:noProof w:val="0"/>
        </w:rPr>
        <w:t>M</w:t>
      </w:r>
      <w:r w:rsidR="00234A23">
        <w:rPr>
          <w:i w:val="0"/>
          <w:iCs/>
          <w:noProof w:val="0"/>
        </w:rPr>
        <w:t>C)</w:t>
      </w:r>
      <w:r w:rsidRPr="00586DB3">
        <w:rPr>
          <w:i w:val="0"/>
          <w:iCs/>
          <w:noProof w:val="0"/>
        </w:rPr>
        <w:t>.</w:t>
      </w:r>
    </w:p>
    <w:p w14:paraId="19CD278B" w14:textId="230C041B" w:rsidR="00586DB3" w:rsidRDefault="00586DB3" w:rsidP="00586DB3">
      <w:pPr>
        <w:pStyle w:val="MDPI22heading2"/>
        <w:spacing w:before="240"/>
        <w:jc w:val="both"/>
        <w:rPr>
          <w:i w:val="0"/>
          <w:iCs/>
          <w:noProof w:val="0"/>
        </w:rPr>
      </w:pPr>
      <w:r w:rsidRPr="00586DB3">
        <w:rPr>
          <w:i w:val="0"/>
          <w:iCs/>
          <w:noProof w:val="0"/>
        </w:rPr>
        <w:t>The 3-hour consensus meeting was co-chaired and moderated by a RAM expert (S</w:t>
      </w:r>
      <w:r w:rsidR="00B637EB">
        <w:rPr>
          <w:i w:val="0"/>
          <w:iCs/>
          <w:noProof w:val="0"/>
        </w:rPr>
        <w:t>M</w:t>
      </w:r>
      <w:r w:rsidRPr="00586DB3">
        <w:rPr>
          <w:i w:val="0"/>
          <w:iCs/>
          <w:noProof w:val="0"/>
        </w:rPr>
        <w:t>C) and a topic specialist (MM) to discuss the ratings of the first round and re-rate each statement separately on the appropriateness and feasibility scales. No indicators were discarded from the first round. Suggestions for rephrasing were made for nine statements in the first round for rating in the second round. Two new statements were proposed during the meeting. As a result, 89 statements were rated for appropriateness and feasibility in the second round. Quality indicators that did not reach consensus in the first round were discussed during the meeting before they were rated again.</w:t>
      </w:r>
    </w:p>
    <w:p w14:paraId="0136CF97" w14:textId="77777777" w:rsidR="00EE19F6" w:rsidRDefault="00EE19F6">
      <w:pPr>
        <w:spacing w:line="240" w:lineRule="auto"/>
        <w:jc w:val="left"/>
        <w:rPr>
          <w:b/>
          <w:bCs/>
          <w:i/>
          <w:iCs/>
        </w:rPr>
      </w:pPr>
      <w:r>
        <w:rPr>
          <w:b/>
          <w:bCs/>
          <w:i/>
          <w:iCs/>
        </w:rPr>
        <w:br w:type="page"/>
      </w:r>
    </w:p>
    <w:p w14:paraId="03F87D5D" w14:textId="0DC95E64" w:rsidR="00BB3091" w:rsidRPr="00D347DD" w:rsidRDefault="00BB3091" w:rsidP="00D347DD">
      <w:pPr>
        <w:spacing w:line="240" w:lineRule="auto"/>
        <w:ind w:left="2040" w:firstLine="510"/>
        <w:jc w:val="left"/>
        <w:rPr>
          <w:b/>
          <w:bCs/>
          <w:i/>
          <w:iCs/>
        </w:rPr>
      </w:pPr>
      <w:r w:rsidRPr="00D347DD">
        <w:rPr>
          <w:b/>
          <w:bCs/>
          <w:i/>
          <w:iCs/>
        </w:rPr>
        <w:t>4.5. Data analysis</w:t>
      </w:r>
    </w:p>
    <w:p w14:paraId="38E43F9F" w14:textId="1CC0C8BF" w:rsidR="005A337D" w:rsidRPr="003D4CE1" w:rsidRDefault="00CE36BC" w:rsidP="00FB0C53">
      <w:pPr>
        <w:pStyle w:val="MDPI22heading2"/>
        <w:spacing w:before="240"/>
        <w:jc w:val="both"/>
      </w:pPr>
      <w:r>
        <w:rPr>
          <w:i w:val="0"/>
          <w:iCs/>
          <w:noProof w:val="0"/>
        </w:rPr>
        <w:t xml:space="preserve">    </w:t>
      </w:r>
      <w:r w:rsidR="00252BFC" w:rsidRPr="00252BFC">
        <w:rPr>
          <w:i w:val="0"/>
          <w:iCs/>
          <w:noProof w:val="0"/>
        </w:rPr>
        <w:t xml:space="preserve">Data from both rounds were </w:t>
      </w:r>
      <w:r w:rsidR="005E2B76" w:rsidRPr="00252BFC">
        <w:rPr>
          <w:i w:val="0"/>
          <w:iCs/>
          <w:noProof w:val="0"/>
        </w:rPr>
        <w:t>analyzed</w:t>
      </w:r>
      <w:r w:rsidR="00252BFC" w:rsidRPr="00252BFC">
        <w:rPr>
          <w:i w:val="0"/>
          <w:iCs/>
          <w:noProof w:val="0"/>
        </w:rPr>
        <w:t xml:space="preserve"> using Microsoft Excel™. The median</w:t>
      </w:r>
      <w:r w:rsidR="004B5FF7">
        <w:rPr>
          <w:i w:val="0"/>
          <w:iCs/>
          <w:noProof w:val="0"/>
        </w:rPr>
        <w:t xml:space="preserve"> ratings</w:t>
      </w:r>
      <w:r w:rsidR="00252BFC" w:rsidRPr="00252BFC">
        <w:rPr>
          <w:i w:val="0"/>
          <w:iCs/>
          <w:noProof w:val="0"/>
        </w:rPr>
        <w:t xml:space="preserve"> and level of consensus were calculated for each indicator for clarity and appropriateness in the first round and for appropriateness and feasibility in the second round. The criteria to determine the three levels of consensus (agreement, equivocal and disagreement) are presented in Table 1. The quality indicators rated as both appropriate and feasible with agreement in the second round were included in the final set of quality indicators. In this paper, only the results from the second round are presented.</w:t>
      </w:r>
    </w:p>
    <w:p w14:paraId="62E37A3F" w14:textId="77777777" w:rsidR="007713AF" w:rsidRPr="003D4CE1" w:rsidRDefault="007713AF" w:rsidP="00517440">
      <w:pPr>
        <w:pStyle w:val="MDPI21heading1"/>
      </w:pPr>
      <w:r w:rsidRPr="003D4CE1">
        <w:t>5. Conclusions</w:t>
      </w:r>
    </w:p>
    <w:p w14:paraId="4BD5AF75" w14:textId="641BF900" w:rsidR="007713AF" w:rsidRPr="003D4CE1" w:rsidRDefault="00CE36BC" w:rsidP="00517440">
      <w:pPr>
        <w:pStyle w:val="MDPI31text"/>
      </w:pPr>
      <w:r w:rsidRPr="00CE36BC">
        <w:t>This study used a systematic and validated approach to develop a set of 61 appropriate and feasible quality indicators, combining evidence and expert opinion. These AWaRe based indicators can be used for monitoring antibiotic prescribing and use in PHC settings in South Africa and can be adapted by other LMICs. We are currently testing the applicability of a subset of the indicators, to establish their clinimetric properties in South African public PHC settings. This is important to externally validate the indicators, beyond the panel’s consensus and to confirm the feasibility and effectiveness of the indicators in clinical settings. The findings of this study are important for antimicrobial stewardship and quality improvement in primary care.</w:t>
      </w:r>
    </w:p>
    <w:p w14:paraId="519EEDEC" w14:textId="290049F0" w:rsidR="007713AF" w:rsidRPr="003D4CE1" w:rsidRDefault="007713AF" w:rsidP="00CB2C8D">
      <w:pPr>
        <w:pStyle w:val="MDPI62backmatter"/>
        <w:spacing w:before="240"/>
      </w:pPr>
      <w:r w:rsidRPr="00ED5C37">
        <w:rPr>
          <w:b/>
        </w:rPr>
        <w:t>Supplementary Materials:</w:t>
      </w:r>
      <w:r w:rsidR="000F6793" w:rsidRPr="003D4CE1">
        <w:rPr>
          <w:b/>
        </w:rPr>
        <w:t xml:space="preserve"> </w:t>
      </w:r>
      <w:r w:rsidR="00E069FA">
        <w:t xml:space="preserve">Supplementary table containing </w:t>
      </w:r>
      <w:r w:rsidR="00B1525B">
        <w:t>details of current antibiotic</w:t>
      </w:r>
      <w:r w:rsidR="00B1525B" w:rsidRPr="00B1525B">
        <w:t xml:space="preserve"> prescribing concerns in primary care in South Africa</w:t>
      </w:r>
      <w:r w:rsidR="00700A45">
        <w:t xml:space="preserve"> (</w:t>
      </w:r>
      <w:r w:rsidR="00700A45" w:rsidRPr="00700A45">
        <w:t>Supplementary Table S1</w:t>
      </w:r>
      <w:r w:rsidR="00CB2C8D">
        <w:t xml:space="preserve"> – </w:t>
      </w:r>
      <w:r w:rsidR="00CB2C8D" w:rsidRPr="00887CFF">
        <w:t>Ref</w:t>
      </w:r>
      <w:r w:rsidR="00CB2C8D">
        <w:t>erences</w:t>
      </w:r>
      <w:r w:rsidR="00CB2C8D" w:rsidRPr="00887CFF">
        <w:t xml:space="preserve"> [</w:t>
      </w:r>
      <w:r w:rsidR="00CB2C8D">
        <w:t>4</w:t>
      </w:r>
      <w:r w:rsidR="001B07D6">
        <w:t>1</w:t>
      </w:r>
      <w:r w:rsidR="00CB2C8D">
        <w:t>,4</w:t>
      </w:r>
      <w:r w:rsidR="001B07D6">
        <w:t>2</w:t>
      </w:r>
      <w:r w:rsidR="00CB2C8D">
        <w:t>,4</w:t>
      </w:r>
      <w:r w:rsidR="001B07D6">
        <w:t>4</w:t>
      </w:r>
      <w:r w:rsidR="00CB2C8D">
        <w:t>-</w:t>
      </w:r>
      <w:r w:rsidR="001B07D6">
        <w:t>47</w:t>
      </w:r>
      <w:r w:rsidR="00CB2C8D">
        <w:t>,</w:t>
      </w:r>
      <w:r w:rsidR="001B07D6">
        <w:t>48</w:t>
      </w:r>
      <w:r w:rsidR="00CB2C8D">
        <w:t>,</w:t>
      </w:r>
      <w:r w:rsidR="001B07D6">
        <w:t>6</w:t>
      </w:r>
      <w:r w:rsidR="00CB2C8D">
        <w:t>5,</w:t>
      </w:r>
      <w:r w:rsidR="00074774">
        <w:t>7</w:t>
      </w:r>
      <w:r w:rsidR="00EE19F6">
        <w:t>7</w:t>
      </w:r>
      <w:r w:rsidR="00CB2C8D">
        <w:t>,</w:t>
      </w:r>
      <w:r w:rsidR="00074774">
        <w:t>84</w:t>
      </w:r>
      <w:r w:rsidR="00CB2C8D">
        <w:t>,</w:t>
      </w:r>
      <w:r w:rsidR="00074774">
        <w:t>86</w:t>
      </w:r>
      <w:r w:rsidR="00CB2C8D">
        <w:t>,</w:t>
      </w:r>
      <w:r w:rsidR="00074774">
        <w:t>93</w:t>
      </w:r>
      <w:r w:rsidR="00CB2C8D">
        <w:t>,1</w:t>
      </w:r>
      <w:r w:rsidR="00074774">
        <w:t>08</w:t>
      </w:r>
      <w:r w:rsidR="00CB2C8D" w:rsidRPr="00887CFF">
        <w:t>] are cited in the Supplementary Materials</w:t>
      </w:r>
      <w:r w:rsidR="00700A45">
        <w:t>).</w:t>
      </w:r>
    </w:p>
    <w:p w14:paraId="59153692" w14:textId="7FA98250" w:rsidR="00B637EB" w:rsidRPr="003D4CE1" w:rsidRDefault="00B637EB" w:rsidP="00B637EB">
      <w:pPr>
        <w:pStyle w:val="MDPI62backmatter"/>
      </w:pPr>
      <w:r w:rsidRPr="00ED5C37">
        <w:rPr>
          <w:b/>
        </w:rPr>
        <w:t>Author Contributions:</w:t>
      </w:r>
      <w:r w:rsidRPr="003D4CE1">
        <w:t xml:space="preserve"> Conceptualization, </w:t>
      </w:r>
      <w:r>
        <w:t>AKC, BG, JCM, SMC, MM,</w:t>
      </w:r>
      <w:r w:rsidRPr="003D4CE1">
        <w:t xml:space="preserve"> </w:t>
      </w:r>
      <w:r>
        <w:t xml:space="preserve">AH, AC; </w:t>
      </w:r>
      <w:r w:rsidRPr="003D4CE1">
        <w:t>methodology,</w:t>
      </w:r>
      <w:r>
        <w:t xml:space="preserve"> </w:t>
      </w:r>
      <w:r w:rsidRPr="00B0659B">
        <w:t>AKC, BG, JCM, S</w:t>
      </w:r>
      <w:r>
        <w:t>M</w:t>
      </w:r>
      <w:r w:rsidRPr="00B0659B">
        <w:t>C, MM, FD, AH, AC, AB, SE, EB, HD, YJ, RC, CM, MP, PM, NN</w:t>
      </w:r>
      <w:r w:rsidR="00D20AAD">
        <w:t>,</w:t>
      </w:r>
      <w:r w:rsidRPr="003D4CE1">
        <w:t xml:space="preserve"> </w:t>
      </w:r>
      <w:r w:rsidR="00D20AAD">
        <w:t xml:space="preserve">GK; </w:t>
      </w:r>
      <w:r w:rsidRPr="003D4CE1">
        <w:t>validation,</w:t>
      </w:r>
      <w:r>
        <w:t xml:space="preserve"> AKC, BG, JCM, SMC, MM,</w:t>
      </w:r>
      <w:r w:rsidRPr="003D4CE1">
        <w:t xml:space="preserve"> </w:t>
      </w:r>
      <w:r>
        <w:t>FD, AH, AC</w:t>
      </w:r>
      <w:r w:rsidR="00946D50">
        <w:t>,</w:t>
      </w:r>
      <w:r w:rsidRPr="003D4CE1">
        <w:t xml:space="preserve"> </w:t>
      </w:r>
      <w:r w:rsidR="00D20AAD">
        <w:t>GK</w:t>
      </w:r>
      <w:r w:rsidR="00946D50">
        <w:t xml:space="preserve">; </w:t>
      </w:r>
      <w:r w:rsidRPr="003D4CE1">
        <w:t xml:space="preserve">formal analysis, </w:t>
      </w:r>
      <w:r>
        <w:t>AKC, BG, JCM, SMC, MM,</w:t>
      </w:r>
      <w:r w:rsidRPr="003D4CE1">
        <w:t xml:space="preserve"> </w:t>
      </w:r>
      <w:r>
        <w:t>FD</w:t>
      </w:r>
      <w:r w:rsidRPr="003D4CE1">
        <w:t xml:space="preserve">; investigation, </w:t>
      </w:r>
      <w:r w:rsidRPr="00AF3ED2">
        <w:t>AKC, BG, JCM, S</w:t>
      </w:r>
      <w:r>
        <w:t>M</w:t>
      </w:r>
      <w:r w:rsidRPr="00AF3ED2">
        <w:t>C, MM, FD, SE, EB, HD, YJ, RC, CM, MP, PM, NN</w:t>
      </w:r>
      <w:r w:rsidRPr="003D4CE1">
        <w:t xml:space="preserve">; resources, </w:t>
      </w:r>
      <w:r>
        <w:t>AKC, BG, JCM, SMC,</w:t>
      </w:r>
      <w:r w:rsidRPr="003D4CE1">
        <w:t xml:space="preserve"> </w:t>
      </w:r>
      <w:r>
        <w:t>FD, AH, AC</w:t>
      </w:r>
      <w:r w:rsidR="00946D50">
        <w:t>; GK</w:t>
      </w:r>
      <w:r w:rsidRPr="003D4CE1">
        <w:t xml:space="preserve">; data curation, X.X.; writing—original draft preparation, </w:t>
      </w:r>
      <w:r>
        <w:t>AKC, BG, JCM, SMC</w:t>
      </w:r>
      <w:r w:rsidRPr="003D4CE1">
        <w:t>; writing—review and editing,</w:t>
      </w:r>
      <w:r>
        <w:t xml:space="preserve"> AKC, BG, JCM, SMC, MM, FD, AH, AC, AB, SE, EB, HD, YJ, RC, CM, MP, PM, NN</w:t>
      </w:r>
      <w:r w:rsidRPr="003D4CE1">
        <w:t xml:space="preserve"> ; visualization, </w:t>
      </w:r>
      <w:r>
        <w:t xml:space="preserve">AKC, BG, JCM, SMC, MM, FD, AH, AC, </w:t>
      </w:r>
      <w:r w:rsidR="00902B1F">
        <w:t xml:space="preserve">GK, </w:t>
      </w:r>
      <w:r>
        <w:t>AB, SE, EB, HD, YJ, RC, CM, MP, PM, NN</w:t>
      </w:r>
      <w:r w:rsidRPr="003D4CE1">
        <w:t xml:space="preserve">; supervision, </w:t>
      </w:r>
      <w:r>
        <w:t>BG, SC, JCM</w:t>
      </w:r>
      <w:r w:rsidRPr="003D4CE1">
        <w:t xml:space="preserve">; project administration, </w:t>
      </w:r>
      <w:r>
        <w:t>AKC, BG, JCM, SMC</w:t>
      </w:r>
      <w:r w:rsidRPr="003D4CE1">
        <w:t>. All authors have read and agreed to the published version of the manuscript.</w:t>
      </w:r>
    </w:p>
    <w:p w14:paraId="657FFBCF" w14:textId="4BD8D753" w:rsidR="007713AF" w:rsidRPr="003D4CE1" w:rsidRDefault="007713AF" w:rsidP="00517440">
      <w:pPr>
        <w:pStyle w:val="MDPI62backmatter"/>
      </w:pPr>
      <w:r w:rsidRPr="003D4CE1">
        <w:rPr>
          <w:b/>
        </w:rPr>
        <w:t>Funding:</w:t>
      </w:r>
      <w:r w:rsidRPr="003D4CE1">
        <w:t xml:space="preserve"> This research received no external funding</w:t>
      </w:r>
      <w:r w:rsidR="000D304E">
        <w:t>.</w:t>
      </w:r>
    </w:p>
    <w:p w14:paraId="79EC1D05" w14:textId="09AE1A54" w:rsidR="0025009E" w:rsidRPr="003D4CE1" w:rsidRDefault="0025009E" w:rsidP="00517440">
      <w:pPr>
        <w:pStyle w:val="MDPI62backmatter"/>
        <w:rPr>
          <w:b/>
        </w:rPr>
      </w:pPr>
      <w:bookmarkStart w:id="34" w:name="_Hlk89945590"/>
      <w:bookmarkStart w:id="35" w:name="_Hlk60054323"/>
      <w:r w:rsidRPr="003D4CE1">
        <w:rPr>
          <w:b/>
        </w:rPr>
        <w:t xml:space="preserve">Institutional Review Board Statement: </w:t>
      </w:r>
      <w:r w:rsidR="008B29BB" w:rsidRPr="008B29BB">
        <w:t>Research approval for the study was granted by the Sefako Makgatho University Research Ethics Committee (SMUREC) (Ref: SMUREC/P/60/2025:PG). The study was conducted according to the methodology outlined in the study protocol approved by SMUREC. The research study is registered on the National Department of Health’s National Health Research Database (Ref: GP_202508_096).</w:t>
      </w:r>
    </w:p>
    <w:bookmarkEnd w:id="34"/>
    <w:p w14:paraId="72224D70" w14:textId="749BA4D8" w:rsidR="001F51E0" w:rsidRPr="001F51E0" w:rsidRDefault="00533CBF" w:rsidP="001F51E0">
      <w:pPr>
        <w:pStyle w:val="MDPI62backmatter"/>
        <w:spacing w:after="0"/>
      </w:pPr>
      <w:r w:rsidRPr="003D4CE1">
        <w:rPr>
          <w:b/>
        </w:rPr>
        <w:t xml:space="preserve">Informed Consent Statement: </w:t>
      </w:r>
    </w:p>
    <w:p w14:paraId="2901AF02" w14:textId="11EED3FA" w:rsidR="00533CBF" w:rsidRPr="003D4CE1" w:rsidRDefault="001F51E0" w:rsidP="00517440">
      <w:pPr>
        <w:pStyle w:val="MDPI62backmatter"/>
        <w:ind w:firstLine="425"/>
      </w:pPr>
      <w:r w:rsidRPr="001F51E0">
        <w:t>Informed consent to participate in the RAM proce</w:t>
      </w:r>
      <w:r>
        <w:t>dure</w:t>
      </w:r>
      <w:r w:rsidRPr="001F51E0">
        <w:t xml:space="preserve"> was received via email from all panel members and the co-chair (MM).</w:t>
      </w:r>
    </w:p>
    <w:bookmarkEnd w:id="35"/>
    <w:p w14:paraId="40A3BA2A" w14:textId="29712645" w:rsidR="00CA736E" w:rsidRPr="003D4CE1" w:rsidRDefault="00CA736E" w:rsidP="00517440">
      <w:pPr>
        <w:pStyle w:val="MDPI62backmatter"/>
      </w:pPr>
      <w:r w:rsidRPr="003D4CE1">
        <w:rPr>
          <w:b/>
        </w:rPr>
        <w:t>Data Availability Statement:</w:t>
      </w:r>
      <w:r w:rsidRPr="003D4CE1">
        <w:t xml:space="preserve"> </w:t>
      </w:r>
      <w:r w:rsidR="00225772" w:rsidRPr="00225772">
        <w:t>Additional data is available from the corresponding author</w:t>
      </w:r>
      <w:r w:rsidR="00FB0C53">
        <w:t>s</w:t>
      </w:r>
      <w:r w:rsidR="00225772" w:rsidRPr="00225772">
        <w:t xml:space="preserve"> on reasonable request.</w:t>
      </w:r>
    </w:p>
    <w:p w14:paraId="6429C050" w14:textId="4CFE382E" w:rsidR="007713AF" w:rsidRPr="003D4CE1" w:rsidRDefault="007713AF" w:rsidP="00517440">
      <w:pPr>
        <w:pStyle w:val="MDPI62backmatter"/>
      </w:pPr>
      <w:r w:rsidRPr="003D4CE1">
        <w:rPr>
          <w:b/>
        </w:rPr>
        <w:t>Acknowledgments:</w:t>
      </w:r>
      <w:r w:rsidRPr="003D4CE1">
        <w:t xml:space="preserve"> </w:t>
      </w:r>
      <w:r w:rsidR="001E7C66" w:rsidRPr="001E7C66">
        <w:t>The authors would like to thank the research team at City SGUL for their global indicators used in this study, the co-chairs and panelists for their contribution to this study and Filip Djukic for his assistance with data analysis.</w:t>
      </w:r>
    </w:p>
    <w:p w14:paraId="30C39BD9" w14:textId="060F3774" w:rsidR="007713AF" w:rsidRDefault="007713AF" w:rsidP="00517440">
      <w:pPr>
        <w:pStyle w:val="MDPI62backmatter"/>
      </w:pPr>
      <w:r w:rsidRPr="003D4CE1">
        <w:rPr>
          <w:b/>
        </w:rPr>
        <w:t>Conflicts of Interest:</w:t>
      </w:r>
      <w:r w:rsidRPr="003D4CE1">
        <w:t xml:space="preserve"> The </w:t>
      </w:r>
      <w:r w:rsidR="00C96881" w:rsidRPr="003D4CE1">
        <w:t xml:space="preserve">authors declare no </w:t>
      </w:r>
      <w:r w:rsidR="006201B5">
        <w:t xml:space="preserve">relevant </w:t>
      </w:r>
      <w:r w:rsidR="00C96881" w:rsidRPr="003D4CE1">
        <w:t xml:space="preserve">conflicts of </w:t>
      </w:r>
      <w:r w:rsidRPr="003D4CE1">
        <w:t>interest.</w:t>
      </w:r>
    </w:p>
    <w:p w14:paraId="7F91CF69" w14:textId="77777777" w:rsidR="00D4036E" w:rsidRDefault="00D4036E" w:rsidP="00517440">
      <w:pPr>
        <w:pStyle w:val="MDPI62backmatter"/>
      </w:pPr>
    </w:p>
    <w:p w14:paraId="2C4C555C" w14:textId="31B291E0" w:rsidR="006201B5" w:rsidRPr="006201B5" w:rsidRDefault="006201B5" w:rsidP="00CA179B">
      <w:pPr>
        <w:spacing w:line="240" w:lineRule="auto"/>
        <w:jc w:val="left"/>
      </w:pPr>
      <w:r>
        <w:rPr>
          <w:b/>
        </w:rPr>
        <w:t>References</w:t>
      </w:r>
    </w:p>
    <w:p w14:paraId="371EA550" w14:textId="77777777" w:rsidR="00B87F0A" w:rsidRPr="00A53DE2" w:rsidRDefault="00B87F0A" w:rsidP="009D3DA6">
      <w:pPr>
        <w:pStyle w:val="NoSpacing1"/>
        <w:rPr>
          <w:rFonts w:ascii="Palatino Linotype" w:hAnsi="Palatino Linotype"/>
          <w:sz w:val="18"/>
          <w:szCs w:val="18"/>
        </w:rPr>
      </w:pPr>
      <w:r w:rsidRPr="00A53DE2">
        <w:rPr>
          <w:rFonts w:ascii="Palatino Linotype" w:eastAsiaTheme="minorHAnsi" w:hAnsi="Palatino Linotype" w:cs="Calibri"/>
          <w:noProof/>
          <w:kern w:val="2"/>
          <w:sz w:val="18"/>
          <w:szCs w:val="18"/>
          <w:lang w:eastAsia="en-US"/>
          <w14:ligatures w14:val="standardContextual"/>
        </w:rPr>
        <w:fldChar w:fldCharType="begin"/>
      </w:r>
      <w:r w:rsidRPr="00A53DE2">
        <w:rPr>
          <w:rFonts w:ascii="Palatino Linotype" w:hAnsi="Palatino Linotype"/>
          <w:sz w:val="18"/>
          <w:szCs w:val="18"/>
        </w:rPr>
        <w:instrText xml:space="preserve"> ADDIN EN.REFLIST </w:instrText>
      </w:r>
      <w:r w:rsidRPr="00A53DE2">
        <w:rPr>
          <w:rFonts w:ascii="Palatino Linotype" w:eastAsiaTheme="minorHAnsi" w:hAnsi="Palatino Linotype" w:cs="Calibri"/>
          <w:noProof/>
          <w:kern w:val="2"/>
          <w:sz w:val="18"/>
          <w:szCs w:val="18"/>
          <w:lang w:eastAsia="en-US"/>
          <w14:ligatures w14:val="standardContextual"/>
        </w:rPr>
        <w:fldChar w:fldCharType="separate"/>
      </w:r>
      <w:r w:rsidRPr="00A53DE2">
        <w:rPr>
          <w:rFonts w:ascii="Palatino Linotype" w:hAnsi="Palatino Linotype"/>
          <w:sz w:val="18"/>
          <w:szCs w:val="18"/>
        </w:rPr>
        <w:t>1.</w:t>
      </w:r>
      <w:r w:rsidRPr="00A53DE2">
        <w:rPr>
          <w:rFonts w:ascii="Palatino Linotype" w:hAnsi="Palatino Linotype"/>
          <w:sz w:val="18"/>
          <w:szCs w:val="18"/>
        </w:rPr>
        <w:tab/>
        <w:t>Budd E, Cramp E, Sharland M, Hand K, Howard P, Wilson P, et al. Adaptation of the WHO Essential Medicines List for national antibiotic stewardship policy in England: being AWaRe. J Antimicrob Chemother. 2019;74(11):3384-9.</w:t>
      </w:r>
    </w:p>
    <w:p w14:paraId="2DB8BB2A" w14:textId="77777777" w:rsidR="00B87F0A" w:rsidRPr="00A53DE2" w:rsidRDefault="00B87F0A" w:rsidP="009D3DA6">
      <w:pPr>
        <w:pStyle w:val="NoSpacing1"/>
        <w:rPr>
          <w:rFonts w:ascii="Palatino Linotype" w:hAnsi="Palatino Linotype"/>
          <w:sz w:val="18"/>
          <w:szCs w:val="18"/>
        </w:rPr>
      </w:pPr>
      <w:r w:rsidRPr="00A53DE2">
        <w:rPr>
          <w:rFonts w:ascii="Palatino Linotype" w:hAnsi="Palatino Linotype"/>
          <w:sz w:val="18"/>
          <w:szCs w:val="18"/>
        </w:rPr>
        <w:t>2.</w:t>
      </w:r>
      <w:r w:rsidRPr="00A53DE2">
        <w:rPr>
          <w:rFonts w:ascii="Palatino Linotype" w:hAnsi="Palatino Linotype"/>
          <w:sz w:val="18"/>
          <w:szCs w:val="18"/>
        </w:rPr>
        <w:tab/>
        <w:t>Booton RD, Meeyai A, Alhusein N, Buller H, Feil E, Lambert H, et al. One Health drivers of antibacterial resistance: Quantifying the relative impacts of human, animal and environmental use and transmission. One Health. 2021;12:100220-.</w:t>
      </w:r>
    </w:p>
    <w:p w14:paraId="22F11094" w14:textId="77777777" w:rsidR="00B87F0A" w:rsidRPr="00A53DE2" w:rsidRDefault="00B87F0A" w:rsidP="009D3DA6">
      <w:pPr>
        <w:pStyle w:val="NoSpacing1"/>
        <w:rPr>
          <w:rFonts w:ascii="Palatino Linotype" w:hAnsi="Palatino Linotype"/>
          <w:sz w:val="18"/>
          <w:szCs w:val="18"/>
        </w:rPr>
      </w:pPr>
      <w:r w:rsidRPr="00A53DE2">
        <w:rPr>
          <w:rFonts w:ascii="Palatino Linotype" w:hAnsi="Palatino Linotype"/>
          <w:sz w:val="18"/>
          <w:szCs w:val="18"/>
        </w:rPr>
        <w:t>3.</w:t>
      </w:r>
      <w:r w:rsidRPr="00A53DE2">
        <w:rPr>
          <w:rFonts w:ascii="Palatino Linotype" w:hAnsi="Palatino Linotype"/>
          <w:sz w:val="18"/>
          <w:szCs w:val="18"/>
        </w:rPr>
        <w:tab/>
        <w:t>Uddin TM, Chakraborty AJ, Khusro A, Zidan BMRM, Mitra S, Emran TB, et al. Antibiotic resistance in microbes: History, mechanisms, therapeutic strategies and future prospects. Journal of Infection and Public Health. 2021;14(12):1750-66.</w:t>
      </w:r>
    </w:p>
    <w:p w14:paraId="1515BAD6" w14:textId="77777777" w:rsidR="00B87F0A" w:rsidRPr="00A53DE2" w:rsidRDefault="00B87F0A" w:rsidP="009D3DA6">
      <w:pPr>
        <w:pStyle w:val="NoSpacing1"/>
        <w:rPr>
          <w:rFonts w:ascii="Palatino Linotype" w:hAnsi="Palatino Linotype"/>
          <w:sz w:val="18"/>
          <w:szCs w:val="18"/>
        </w:rPr>
      </w:pPr>
      <w:r w:rsidRPr="00A53DE2">
        <w:rPr>
          <w:rFonts w:ascii="Palatino Linotype" w:hAnsi="Palatino Linotype"/>
          <w:sz w:val="18"/>
          <w:szCs w:val="18"/>
        </w:rPr>
        <w:t>4.</w:t>
      </w:r>
      <w:r w:rsidRPr="00A53DE2">
        <w:rPr>
          <w:rFonts w:ascii="Palatino Linotype" w:hAnsi="Palatino Linotype"/>
          <w:sz w:val="18"/>
          <w:szCs w:val="18"/>
        </w:rPr>
        <w:tab/>
        <w:t>World Health Organization. Antimicrobial resistance and primary health care. Geneva; 2018. Available at URL: https://iris.who.int/items/ed44e9fa-8f84-490c-8a60-b4422a642e4f</w:t>
      </w:r>
    </w:p>
    <w:p w14:paraId="7DAD58A3" w14:textId="77777777" w:rsidR="00B87F0A" w:rsidRPr="00A53DE2" w:rsidRDefault="00B87F0A" w:rsidP="009D3DA6">
      <w:pPr>
        <w:pStyle w:val="NoSpacing1"/>
        <w:rPr>
          <w:rFonts w:ascii="Palatino Linotype" w:hAnsi="Palatino Linotype"/>
          <w:sz w:val="18"/>
          <w:szCs w:val="18"/>
          <w:lang w:val="fr-CD"/>
        </w:rPr>
      </w:pPr>
      <w:r w:rsidRPr="00A53DE2">
        <w:rPr>
          <w:rFonts w:ascii="Palatino Linotype" w:hAnsi="Palatino Linotype"/>
          <w:sz w:val="18"/>
          <w:szCs w:val="18"/>
        </w:rPr>
        <w:t>5.</w:t>
      </w:r>
      <w:r w:rsidRPr="00A53DE2">
        <w:rPr>
          <w:rFonts w:ascii="Palatino Linotype" w:hAnsi="Palatino Linotype"/>
          <w:sz w:val="18"/>
          <w:szCs w:val="18"/>
        </w:rPr>
        <w:tab/>
        <w:t xml:space="preserve">Bankar NJ, Ugemuge S, Ambad RS, Hawale DV, Timilsina DR. Implementation of Antimicrobial Stewardship in the Healthcare Setting. </w:t>
      </w:r>
      <w:r w:rsidRPr="00A53DE2">
        <w:rPr>
          <w:rFonts w:ascii="Palatino Linotype" w:hAnsi="Palatino Linotype"/>
          <w:sz w:val="18"/>
          <w:szCs w:val="18"/>
          <w:lang w:val="fr-CD"/>
        </w:rPr>
        <w:t>Cureus. 2022;14(7):e26664-e.</w:t>
      </w:r>
    </w:p>
    <w:p w14:paraId="7E2E6E8E" w14:textId="77777777" w:rsidR="00B87F0A" w:rsidRPr="00A53DE2" w:rsidRDefault="00B87F0A" w:rsidP="009D3DA6">
      <w:pPr>
        <w:pStyle w:val="NoSpacing1"/>
        <w:rPr>
          <w:rFonts w:ascii="Palatino Linotype" w:hAnsi="Palatino Linotype"/>
          <w:sz w:val="18"/>
          <w:szCs w:val="18"/>
          <w:lang w:val="en-GB"/>
        </w:rPr>
      </w:pPr>
      <w:r w:rsidRPr="00A53DE2">
        <w:rPr>
          <w:rFonts w:ascii="Palatino Linotype" w:hAnsi="Palatino Linotype"/>
          <w:sz w:val="18"/>
          <w:szCs w:val="18"/>
          <w:lang w:val="fr-CD"/>
        </w:rPr>
        <w:t>6.</w:t>
      </w:r>
      <w:r w:rsidRPr="00A53DE2">
        <w:rPr>
          <w:rFonts w:ascii="Palatino Linotype" w:hAnsi="Palatino Linotype"/>
          <w:sz w:val="18"/>
          <w:szCs w:val="18"/>
          <w:lang w:val="fr-CD"/>
        </w:rPr>
        <w:tab/>
        <w:t xml:space="preserve">Hanif M, Sultan M, Raza A, Asad MJ, Sultana T, Hussain MI, Wajid U. </w:t>
      </w:r>
      <w:r w:rsidRPr="00A53DE2">
        <w:rPr>
          <w:rFonts w:ascii="Palatino Linotype" w:hAnsi="Palatino Linotype"/>
          <w:sz w:val="18"/>
          <w:szCs w:val="18"/>
        </w:rPr>
        <w:t xml:space="preserve">Antibiotics Overuse and its Consequences: Raising Awareness and Promoting Responsible Use. History of Medicine. 2024;10:1909-19. </w:t>
      </w:r>
      <w:r w:rsidRPr="00A53DE2">
        <w:rPr>
          <w:rFonts w:ascii="Palatino Linotype" w:hAnsi="Palatino Linotype"/>
          <w:sz w:val="18"/>
          <w:szCs w:val="18"/>
          <w:lang w:val="en-GB"/>
        </w:rPr>
        <w:t>DOI:https://doi.org/10.48047/HM.10.2.2024.1909-1919</w:t>
      </w:r>
    </w:p>
    <w:p w14:paraId="56543BD7" w14:textId="77777777" w:rsidR="00B87F0A" w:rsidRPr="00A53DE2" w:rsidRDefault="00B87F0A" w:rsidP="009D3DA6">
      <w:pPr>
        <w:pStyle w:val="NoSpacing1"/>
        <w:rPr>
          <w:rFonts w:ascii="Palatino Linotype" w:hAnsi="Palatino Linotype"/>
          <w:sz w:val="18"/>
          <w:szCs w:val="18"/>
          <w:lang w:val="en-GB"/>
        </w:rPr>
      </w:pPr>
      <w:r w:rsidRPr="00A53DE2">
        <w:rPr>
          <w:rFonts w:ascii="Palatino Linotype" w:hAnsi="Palatino Linotype"/>
          <w:sz w:val="18"/>
          <w:szCs w:val="18"/>
        </w:rPr>
        <w:t>7.</w:t>
      </w:r>
      <w:r w:rsidRPr="00A53DE2">
        <w:rPr>
          <w:rFonts w:ascii="Palatino Linotype" w:hAnsi="Palatino Linotype"/>
          <w:sz w:val="18"/>
          <w:szCs w:val="18"/>
        </w:rPr>
        <w:tab/>
      </w:r>
      <w:r w:rsidRPr="00A53DE2">
        <w:rPr>
          <w:rFonts w:ascii="Palatino Linotype" w:hAnsi="Palatino Linotype"/>
          <w:sz w:val="18"/>
          <w:szCs w:val="18"/>
          <w:lang w:val="en-GB"/>
        </w:rPr>
        <w:t xml:space="preserve">Lubanga, A.F.; Bwanali, A.N.; Kambiri, F.; Harawa, G.; Mudenda, S.; Mpinganjira, S.L.; Singano, N.; Makole, T.; Kapatsa, T.; Kamayani, M.; et al. Tackling antimicrobial resistance in sub-Saharan Africa: Challenges and opportunities for implementing thenew people-centered WHO guidelines. Expert. Rev. Anti-Infect. Ther. </w:t>
      </w:r>
      <w:r w:rsidRPr="00A53DE2">
        <w:rPr>
          <w:rFonts w:ascii="Palatino Linotype" w:hAnsi="Palatino Linotype"/>
          <w:b/>
          <w:bCs/>
          <w:sz w:val="18"/>
          <w:szCs w:val="18"/>
          <w:lang w:val="en-GB"/>
        </w:rPr>
        <w:t>2024</w:t>
      </w:r>
      <w:r w:rsidRPr="00A53DE2">
        <w:rPr>
          <w:rFonts w:ascii="Palatino Linotype" w:hAnsi="Palatino Linotype"/>
          <w:sz w:val="18"/>
          <w:szCs w:val="18"/>
          <w:lang w:val="en-GB"/>
        </w:rPr>
        <w:t>, 22, 379–386.</w:t>
      </w:r>
    </w:p>
    <w:p w14:paraId="7888837D" w14:textId="77777777" w:rsidR="00B87F0A" w:rsidRPr="00A53DE2" w:rsidRDefault="00B87F0A" w:rsidP="009D3DA6">
      <w:pPr>
        <w:pStyle w:val="NoSpacing1"/>
        <w:rPr>
          <w:rFonts w:ascii="Palatino Linotype" w:hAnsi="Palatino Linotype"/>
          <w:sz w:val="18"/>
          <w:szCs w:val="18"/>
        </w:rPr>
      </w:pPr>
      <w:r w:rsidRPr="00A53DE2">
        <w:rPr>
          <w:rFonts w:ascii="Palatino Linotype" w:hAnsi="Palatino Linotype"/>
          <w:sz w:val="18"/>
          <w:szCs w:val="18"/>
        </w:rPr>
        <w:t>8.</w:t>
      </w:r>
      <w:r w:rsidRPr="00A53DE2">
        <w:rPr>
          <w:rFonts w:ascii="Palatino Linotype" w:hAnsi="Palatino Linotype"/>
          <w:sz w:val="18"/>
          <w:szCs w:val="18"/>
        </w:rPr>
        <w:tab/>
      </w:r>
      <w:r w:rsidRPr="00A53DE2">
        <w:rPr>
          <w:rFonts w:ascii="Palatino Linotype" w:hAnsi="Palatino Linotype"/>
          <w:sz w:val="18"/>
          <w:szCs w:val="18"/>
          <w:lang w:val="en-GB"/>
        </w:rPr>
        <w:t xml:space="preserve">The Lancet. Antimicrobial resistance: An agenda for all. Lancet </w:t>
      </w:r>
      <w:r w:rsidRPr="00A53DE2">
        <w:rPr>
          <w:rFonts w:ascii="Palatino Linotype" w:hAnsi="Palatino Linotype"/>
          <w:b/>
          <w:bCs/>
          <w:sz w:val="18"/>
          <w:szCs w:val="18"/>
          <w:lang w:val="en-GB"/>
        </w:rPr>
        <w:t>2024</w:t>
      </w:r>
      <w:r w:rsidRPr="00A53DE2">
        <w:rPr>
          <w:rFonts w:ascii="Palatino Linotype" w:hAnsi="Palatino Linotype"/>
          <w:sz w:val="18"/>
          <w:szCs w:val="18"/>
          <w:lang w:val="en-GB"/>
        </w:rPr>
        <w:t>, 403, 2349.</w:t>
      </w:r>
    </w:p>
    <w:p w14:paraId="28295131" w14:textId="77777777" w:rsidR="00B87F0A" w:rsidRPr="00A53DE2" w:rsidRDefault="00B87F0A" w:rsidP="009D3DA6">
      <w:pPr>
        <w:pStyle w:val="NoSpacing1"/>
        <w:rPr>
          <w:rFonts w:ascii="Palatino Linotype" w:hAnsi="Palatino Linotype"/>
          <w:sz w:val="18"/>
          <w:szCs w:val="18"/>
        </w:rPr>
      </w:pPr>
      <w:r w:rsidRPr="00A53DE2">
        <w:rPr>
          <w:rFonts w:ascii="Palatino Linotype" w:hAnsi="Palatino Linotype"/>
          <w:sz w:val="18"/>
          <w:szCs w:val="18"/>
        </w:rPr>
        <w:t>9.</w:t>
      </w:r>
      <w:r w:rsidRPr="00A53DE2">
        <w:rPr>
          <w:rFonts w:ascii="Palatino Linotype" w:hAnsi="Palatino Linotype"/>
          <w:sz w:val="18"/>
          <w:szCs w:val="18"/>
        </w:rPr>
        <w:tab/>
        <w:t>Ajulo S, Awosile B. Global antimicrobial resistance and use surveillance system (GLASS 2022): Investigating the relationship between antimicrobial resistance and antimicrobial consumption data across the participating countries. PLoS One. 2024;19(2):e0297921.</w:t>
      </w:r>
    </w:p>
    <w:p w14:paraId="541C852A" w14:textId="77777777" w:rsidR="00B87F0A" w:rsidRPr="00A53DE2" w:rsidRDefault="00B87F0A" w:rsidP="009D3DA6">
      <w:pPr>
        <w:pStyle w:val="NoSpacing1"/>
        <w:rPr>
          <w:rFonts w:ascii="Palatino Linotype" w:hAnsi="Palatino Linotype"/>
          <w:sz w:val="18"/>
          <w:szCs w:val="18"/>
          <w:lang w:val="en-GB"/>
        </w:rPr>
      </w:pPr>
      <w:r w:rsidRPr="00A53DE2">
        <w:rPr>
          <w:rFonts w:ascii="Palatino Linotype" w:hAnsi="Palatino Linotype"/>
          <w:sz w:val="18"/>
          <w:szCs w:val="18"/>
        </w:rPr>
        <w:t>10.</w:t>
      </w:r>
      <w:r w:rsidRPr="00A53DE2">
        <w:rPr>
          <w:rFonts w:ascii="Palatino Linotype" w:hAnsi="Palatino Linotype"/>
          <w:sz w:val="18"/>
          <w:szCs w:val="18"/>
        </w:rPr>
        <w:tab/>
      </w:r>
      <w:r w:rsidRPr="00A53DE2">
        <w:rPr>
          <w:rFonts w:ascii="Palatino Linotype" w:hAnsi="Palatino Linotype"/>
          <w:sz w:val="18"/>
          <w:szCs w:val="18"/>
          <w:lang w:val="en-GB"/>
        </w:rPr>
        <w:t xml:space="preserve">Abejew, A.A.;Wubetu, G.Y.; Fenta, T.G. Relationship between Antibiotic Consumption and Resistance: A Systematic Review. Can. J. Infect. Dis. Med. Microbiol. </w:t>
      </w:r>
      <w:r w:rsidRPr="00A53DE2">
        <w:rPr>
          <w:rFonts w:ascii="Palatino Linotype" w:hAnsi="Palatino Linotype"/>
          <w:b/>
          <w:bCs/>
          <w:sz w:val="18"/>
          <w:szCs w:val="18"/>
          <w:lang w:val="en-GB"/>
        </w:rPr>
        <w:t>2024</w:t>
      </w:r>
      <w:r w:rsidRPr="00A53DE2">
        <w:rPr>
          <w:rFonts w:ascii="Palatino Linotype" w:hAnsi="Palatino Linotype"/>
          <w:sz w:val="18"/>
          <w:szCs w:val="18"/>
          <w:lang w:val="en-GB"/>
        </w:rPr>
        <w:t>, 2024, 9958678.</w:t>
      </w:r>
    </w:p>
    <w:p w14:paraId="652D7738" w14:textId="77777777" w:rsidR="00B87F0A" w:rsidRPr="00A53DE2" w:rsidRDefault="00B87F0A" w:rsidP="009D3DA6">
      <w:pPr>
        <w:pStyle w:val="NoSpacing1"/>
        <w:rPr>
          <w:rFonts w:ascii="Palatino Linotype" w:hAnsi="Palatino Linotype"/>
          <w:sz w:val="18"/>
          <w:szCs w:val="18"/>
          <w:lang w:val="en-GB"/>
        </w:rPr>
      </w:pPr>
      <w:r w:rsidRPr="00A53DE2">
        <w:rPr>
          <w:rFonts w:ascii="Palatino Linotype" w:hAnsi="Palatino Linotype"/>
          <w:sz w:val="18"/>
          <w:szCs w:val="18"/>
        </w:rPr>
        <w:t>11.</w:t>
      </w:r>
      <w:r w:rsidRPr="00A53DE2">
        <w:rPr>
          <w:rFonts w:ascii="Palatino Linotype" w:hAnsi="Palatino Linotype"/>
          <w:sz w:val="18"/>
          <w:szCs w:val="18"/>
        </w:rPr>
        <w:tab/>
      </w:r>
      <w:r w:rsidRPr="00A53DE2">
        <w:rPr>
          <w:rFonts w:ascii="Palatino Linotype" w:hAnsi="Palatino Linotype"/>
          <w:sz w:val="18"/>
          <w:szCs w:val="18"/>
          <w:lang w:val="en-GB"/>
        </w:rPr>
        <w:t xml:space="preserve">Klein, E.Y.; Impalli, I.; Poleon, S.; Denoel, P.; Cipriano, M.; Van Boeckel, T.P.; Pecettad, S.; Klein, E.Y.; Bloom, D.E.; Nandia, A. Global trends in antibiotic consumption during 2016-2023 and future projections through 2030. Proc. Natl. Acad. Sci. USA </w:t>
      </w:r>
      <w:r w:rsidRPr="00A53DE2">
        <w:rPr>
          <w:rFonts w:ascii="Palatino Linotype" w:hAnsi="Palatino Linotype"/>
          <w:b/>
          <w:bCs/>
          <w:sz w:val="18"/>
          <w:szCs w:val="18"/>
          <w:lang w:val="en-GB"/>
        </w:rPr>
        <w:t>2024</w:t>
      </w:r>
      <w:r w:rsidRPr="00A53DE2">
        <w:rPr>
          <w:rFonts w:ascii="Palatino Linotype" w:hAnsi="Palatino Linotype"/>
          <w:sz w:val="18"/>
          <w:szCs w:val="18"/>
          <w:lang w:val="en-GB"/>
        </w:rPr>
        <w:t>, 121, e2411919121.</w:t>
      </w:r>
    </w:p>
    <w:p w14:paraId="1C438CD1" w14:textId="77777777" w:rsidR="00B87F0A" w:rsidRPr="00A53DE2" w:rsidRDefault="00B87F0A" w:rsidP="009D3DA6">
      <w:pPr>
        <w:pStyle w:val="NoSpacing1"/>
        <w:rPr>
          <w:rFonts w:ascii="Palatino Linotype" w:hAnsi="Palatino Linotype"/>
          <w:sz w:val="18"/>
          <w:szCs w:val="18"/>
          <w:lang w:val="en-GB"/>
        </w:rPr>
      </w:pPr>
      <w:r w:rsidRPr="00A53DE2">
        <w:rPr>
          <w:rFonts w:ascii="Palatino Linotype" w:hAnsi="Palatino Linotype"/>
          <w:sz w:val="18"/>
          <w:szCs w:val="18"/>
        </w:rPr>
        <w:t>12.</w:t>
      </w:r>
      <w:r w:rsidRPr="00A53DE2">
        <w:rPr>
          <w:rFonts w:ascii="Palatino Linotype" w:hAnsi="Palatino Linotype"/>
          <w:sz w:val="18"/>
          <w:szCs w:val="18"/>
        </w:rPr>
        <w:tab/>
      </w:r>
      <w:r w:rsidRPr="00A53DE2">
        <w:rPr>
          <w:rFonts w:ascii="Palatino Linotype" w:hAnsi="Palatino Linotype"/>
          <w:sz w:val="18"/>
          <w:szCs w:val="18"/>
          <w:lang w:val="en-GB"/>
        </w:rPr>
        <w:t xml:space="preserve">Murray, C.J.; Ikuta, K.S.; Sharara, F.; Swetschinski, L.; Aguilar, G.R.; Gray, A.; Han, C.; Bisignano, C.; Rao, P.; Wool, E.; et al. Global burden of bacterial antimicrobial resistance in 2019: A systematic analysis. Lancet </w:t>
      </w:r>
      <w:r w:rsidRPr="00A53DE2">
        <w:rPr>
          <w:rFonts w:ascii="Palatino Linotype" w:hAnsi="Palatino Linotype"/>
          <w:b/>
          <w:bCs/>
          <w:sz w:val="18"/>
          <w:szCs w:val="18"/>
          <w:lang w:val="en-GB"/>
        </w:rPr>
        <w:t>2022</w:t>
      </w:r>
      <w:r w:rsidRPr="00A53DE2">
        <w:rPr>
          <w:rFonts w:ascii="Palatino Linotype" w:hAnsi="Palatino Linotype"/>
          <w:sz w:val="18"/>
          <w:szCs w:val="18"/>
          <w:lang w:val="en-GB"/>
        </w:rPr>
        <w:t>, 399, 629–655.</w:t>
      </w:r>
    </w:p>
    <w:p w14:paraId="667DEFDC" w14:textId="77777777" w:rsidR="00B87F0A" w:rsidRPr="00A53DE2" w:rsidRDefault="00B87F0A" w:rsidP="009D3DA6">
      <w:pPr>
        <w:pStyle w:val="NoSpacing1"/>
        <w:rPr>
          <w:rFonts w:ascii="Palatino Linotype" w:hAnsi="Palatino Linotype"/>
          <w:sz w:val="18"/>
          <w:szCs w:val="18"/>
          <w:lang w:val="en-GB"/>
        </w:rPr>
      </w:pPr>
      <w:r w:rsidRPr="00A53DE2">
        <w:rPr>
          <w:rFonts w:ascii="Palatino Linotype" w:hAnsi="Palatino Linotype"/>
          <w:sz w:val="18"/>
          <w:szCs w:val="18"/>
          <w:lang w:val="pt-PT"/>
        </w:rPr>
        <w:t>13.</w:t>
      </w:r>
      <w:r w:rsidRPr="00A53DE2">
        <w:rPr>
          <w:rFonts w:ascii="Palatino Linotype" w:hAnsi="Palatino Linotype"/>
          <w:sz w:val="18"/>
          <w:szCs w:val="18"/>
          <w:lang w:val="pt-PT"/>
        </w:rPr>
        <w:tab/>
      </w:r>
      <w:r w:rsidRPr="00A53DE2">
        <w:rPr>
          <w:rFonts w:ascii="Palatino Linotype" w:hAnsi="Palatino Linotype"/>
          <w:sz w:val="18"/>
          <w:szCs w:val="18"/>
          <w:lang w:val="en-GB"/>
        </w:rPr>
        <w:t xml:space="preserve">Totaro, V.; Guido, G.; Cotugno, S.; De Vita, E.; Asaduzzaman, M.; Patti, G.; Segala, F.V.; Putoto, G.; Frallonardo, L.; Farkas, F.B.; et al. Antimicrobial Resistance in Sub-Saharan Africa: A Comprehensive Landscape Review. Am. J. Trop. Med. Hyg. </w:t>
      </w:r>
      <w:r w:rsidRPr="00A53DE2">
        <w:rPr>
          <w:rFonts w:ascii="Palatino Linotype" w:hAnsi="Palatino Linotype"/>
          <w:b/>
          <w:bCs/>
          <w:sz w:val="18"/>
          <w:szCs w:val="18"/>
          <w:lang w:val="en-GB"/>
        </w:rPr>
        <w:t>2025</w:t>
      </w:r>
      <w:r w:rsidRPr="00A53DE2">
        <w:rPr>
          <w:rFonts w:ascii="Palatino Linotype" w:hAnsi="Palatino Linotype"/>
          <w:sz w:val="18"/>
          <w:szCs w:val="18"/>
          <w:lang w:val="en-GB"/>
        </w:rPr>
        <w:t>, 113, 253–263.</w:t>
      </w:r>
    </w:p>
    <w:p w14:paraId="0867C522" w14:textId="77777777" w:rsidR="00B87F0A" w:rsidRPr="00A53DE2" w:rsidRDefault="00B87F0A" w:rsidP="009D3DA6">
      <w:pPr>
        <w:pStyle w:val="NoSpacing1"/>
        <w:rPr>
          <w:rFonts w:ascii="Palatino Linotype" w:hAnsi="Palatino Linotype"/>
          <w:sz w:val="18"/>
          <w:szCs w:val="18"/>
          <w:lang w:val="en-GB"/>
        </w:rPr>
      </w:pPr>
      <w:r w:rsidRPr="00A53DE2">
        <w:rPr>
          <w:rFonts w:ascii="Palatino Linotype" w:hAnsi="Palatino Linotype"/>
          <w:sz w:val="18"/>
          <w:szCs w:val="18"/>
        </w:rPr>
        <w:t>14.</w:t>
      </w:r>
      <w:r w:rsidRPr="00A53DE2">
        <w:rPr>
          <w:rFonts w:ascii="Palatino Linotype" w:hAnsi="Palatino Linotype"/>
          <w:sz w:val="18"/>
          <w:szCs w:val="18"/>
        </w:rPr>
        <w:tab/>
      </w:r>
      <w:r w:rsidRPr="00A53DE2">
        <w:rPr>
          <w:rFonts w:ascii="Palatino Linotype" w:hAnsi="Palatino Linotype"/>
          <w:sz w:val="18"/>
          <w:szCs w:val="18"/>
          <w:lang w:val="en-GB"/>
        </w:rPr>
        <w:t xml:space="preserve">Lewnard, J.A.; Charani, E.; Gleason, A.; Hsu, L.Y.; Khan, W.A.; Karkey, A.; Chandler, C.I.R.; Mashe, T.; Khan, E.M.; Bulabula, A.N.H.; et al. Burden of bacterial antimicrobial resistance in low-income and middle-income countries avertible by existing in-terventions: An evidence review and modelling analysis. Lancet </w:t>
      </w:r>
      <w:r w:rsidRPr="00A53DE2">
        <w:rPr>
          <w:rFonts w:ascii="Palatino Linotype" w:hAnsi="Palatino Linotype"/>
          <w:b/>
          <w:bCs/>
          <w:sz w:val="18"/>
          <w:szCs w:val="18"/>
          <w:lang w:val="en-GB"/>
        </w:rPr>
        <w:t>2024</w:t>
      </w:r>
      <w:r w:rsidRPr="00A53DE2">
        <w:rPr>
          <w:rFonts w:ascii="Palatino Linotype" w:hAnsi="Palatino Linotype"/>
          <w:sz w:val="18"/>
          <w:szCs w:val="18"/>
          <w:lang w:val="en-GB"/>
        </w:rPr>
        <w:t>, 403, 2439–2454.</w:t>
      </w:r>
    </w:p>
    <w:p w14:paraId="100266A5" w14:textId="77777777" w:rsidR="00B87F0A" w:rsidRPr="00A53DE2" w:rsidRDefault="00B87F0A" w:rsidP="009D3DA6">
      <w:pPr>
        <w:pStyle w:val="NoSpacing1"/>
        <w:rPr>
          <w:rFonts w:ascii="Palatino Linotype" w:hAnsi="Palatino Linotype"/>
          <w:sz w:val="18"/>
          <w:szCs w:val="18"/>
          <w:lang w:val="en-GB"/>
        </w:rPr>
      </w:pPr>
      <w:r w:rsidRPr="00A53DE2">
        <w:rPr>
          <w:rFonts w:ascii="Palatino Linotype" w:hAnsi="Palatino Linotype"/>
          <w:sz w:val="18"/>
          <w:szCs w:val="18"/>
        </w:rPr>
        <w:t>15.</w:t>
      </w:r>
      <w:r w:rsidRPr="00A53DE2">
        <w:rPr>
          <w:rFonts w:ascii="Palatino Linotype" w:hAnsi="Palatino Linotype"/>
          <w:sz w:val="18"/>
          <w:szCs w:val="18"/>
        </w:rPr>
        <w:tab/>
      </w:r>
      <w:r w:rsidRPr="00A53DE2">
        <w:rPr>
          <w:rFonts w:ascii="Palatino Linotype" w:hAnsi="Palatino Linotype"/>
          <w:sz w:val="18"/>
          <w:szCs w:val="18"/>
          <w:lang w:val="en-GB"/>
        </w:rPr>
        <w:t xml:space="preserve">The burden of bacterial antimicrobial resistance in the WHO African region in 2019: A cross-country systematic analysis. Lancet Glob. Health </w:t>
      </w:r>
      <w:r w:rsidRPr="00A53DE2">
        <w:rPr>
          <w:rFonts w:ascii="Palatino Linotype" w:hAnsi="Palatino Linotype"/>
          <w:b/>
          <w:bCs/>
          <w:sz w:val="18"/>
          <w:szCs w:val="18"/>
          <w:lang w:val="en-GB"/>
        </w:rPr>
        <w:t>2024</w:t>
      </w:r>
      <w:r w:rsidRPr="00A53DE2">
        <w:rPr>
          <w:rFonts w:ascii="Palatino Linotype" w:hAnsi="Palatino Linotype"/>
          <w:sz w:val="18"/>
          <w:szCs w:val="18"/>
          <w:lang w:val="en-GB"/>
        </w:rPr>
        <w:t>, 12, e201–e216.</w:t>
      </w:r>
    </w:p>
    <w:p w14:paraId="472891BF" w14:textId="77777777" w:rsidR="00B87F0A" w:rsidRPr="00A53DE2" w:rsidRDefault="00B87F0A" w:rsidP="009D3DA6">
      <w:pPr>
        <w:pStyle w:val="NoSpacing1"/>
        <w:rPr>
          <w:rFonts w:ascii="Palatino Linotype" w:hAnsi="Palatino Linotype"/>
          <w:sz w:val="18"/>
          <w:szCs w:val="18"/>
        </w:rPr>
      </w:pPr>
      <w:r w:rsidRPr="00A53DE2">
        <w:rPr>
          <w:rFonts w:ascii="Palatino Linotype" w:hAnsi="Palatino Linotype"/>
          <w:sz w:val="18"/>
          <w:szCs w:val="18"/>
        </w:rPr>
        <w:t>16.</w:t>
      </w:r>
      <w:r w:rsidRPr="00A53DE2">
        <w:rPr>
          <w:rFonts w:ascii="Palatino Linotype" w:hAnsi="Palatino Linotype"/>
          <w:sz w:val="18"/>
          <w:szCs w:val="18"/>
        </w:rPr>
        <w:tab/>
        <w:t>World Health Organization. WHO Global Antimicrobial Resistance and Use Surveillance System (GLASS). World Health Organization; 2025. Available at URL: https://www.who.int/publications/i/item/9789240116337</w:t>
      </w:r>
    </w:p>
    <w:p w14:paraId="7A6C2300" w14:textId="77777777" w:rsidR="00B87F0A" w:rsidRPr="00A53DE2" w:rsidRDefault="00B87F0A" w:rsidP="009D3DA6">
      <w:pPr>
        <w:pStyle w:val="NoSpacing1"/>
        <w:rPr>
          <w:rFonts w:ascii="Palatino Linotype" w:hAnsi="Palatino Linotype"/>
          <w:sz w:val="18"/>
          <w:szCs w:val="18"/>
        </w:rPr>
      </w:pPr>
      <w:r w:rsidRPr="00A53DE2">
        <w:rPr>
          <w:rFonts w:ascii="Palatino Linotype" w:hAnsi="Palatino Linotype"/>
          <w:sz w:val="18"/>
          <w:szCs w:val="18"/>
        </w:rPr>
        <w:t>17.</w:t>
      </w:r>
      <w:r w:rsidRPr="00A53DE2">
        <w:rPr>
          <w:rFonts w:ascii="Palatino Linotype" w:hAnsi="Palatino Linotype"/>
          <w:sz w:val="18"/>
          <w:szCs w:val="18"/>
        </w:rPr>
        <w:tab/>
        <w:t>Tornimbene B, Eremin S, Abednego R, Abualas EO, Boutiba I, Egwuenu A, et al. Global Antimicrobial Resistance and Use Surveillance System on the African continent: Early implementation 2017-2019. Afr J Lab Med. 2022;11(1):1594.</w:t>
      </w:r>
    </w:p>
    <w:p w14:paraId="2187B64E" w14:textId="0EBFA241" w:rsidR="00B87F0A" w:rsidRPr="00185EF0" w:rsidRDefault="00B87F0A" w:rsidP="00185EF0">
      <w:pPr>
        <w:pStyle w:val="NoSpacing1"/>
        <w:rPr>
          <w:sz w:val="18"/>
          <w:szCs w:val="18"/>
          <w:lang w:val="en-GB"/>
        </w:rPr>
      </w:pPr>
      <w:r w:rsidRPr="00A53DE2">
        <w:rPr>
          <w:rFonts w:ascii="Palatino Linotype" w:hAnsi="Palatino Linotype"/>
          <w:sz w:val="18"/>
          <w:szCs w:val="18"/>
        </w:rPr>
        <w:t>18.</w:t>
      </w:r>
      <w:r w:rsidRPr="00A53DE2">
        <w:rPr>
          <w:rFonts w:ascii="Palatino Linotype" w:hAnsi="Palatino Linotype"/>
          <w:sz w:val="18"/>
          <w:szCs w:val="18"/>
        </w:rPr>
        <w:tab/>
      </w:r>
      <w:r w:rsidR="00185EF0" w:rsidRPr="00185EF0">
        <w:rPr>
          <w:sz w:val="18"/>
          <w:szCs w:val="18"/>
          <w:lang w:val="en-GB"/>
        </w:rPr>
        <w:t xml:space="preserve">Bertagnolio, S.; Dobreva, Z.; Centner, C.M.; Olaru, I.D.; Donà, D.; Burzo, S.; Huttner, B.D.; Chaillob, A.; Gebreselassie, N.;Wi, D.; et al. WHO global research priorities for antimicrobial resistance in human health. Lancet Microbe </w:t>
      </w:r>
      <w:r w:rsidR="00185EF0" w:rsidRPr="00185EF0">
        <w:rPr>
          <w:b/>
          <w:bCs/>
          <w:sz w:val="18"/>
          <w:szCs w:val="18"/>
          <w:lang w:val="en-GB"/>
        </w:rPr>
        <w:t>2024</w:t>
      </w:r>
      <w:r w:rsidR="00185EF0" w:rsidRPr="00185EF0">
        <w:rPr>
          <w:sz w:val="18"/>
          <w:szCs w:val="18"/>
          <w:lang w:val="en-GB"/>
        </w:rPr>
        <w:t>, 5,</w:t>
      </w:r>
      <w:r w:rsidR="00185EF0">
        <w:rPr>
          <w:sz w:val="18"/>
          <w:szCs w:val="18"/>
          <w:lang w:val="en-GB"/>
        </w:rPr>
        <w:t xml:space="preserve"> </w:t>
      </w:r>
      <w:r w:rsidR="00185EF0" w:rsidRPr="00185EF0">
        <w:rPr>
          <w:rFonts w:ascii="Palatino Linotype" w:hAnsi="Palatino Linotype"/>
          <w:sz w:val="18"/>
          <w:szCs w:val="18"/>
          <w:lang w:val="en-GB"/>
        </w:rPr>
        <w:t>100902.</w:t>
      </w:r>
    </w:p>
    <w:p w14:paraId="6E699930" w14:textId="77777777" w:rsidR="00B87F0A" w:rsidRPr="00A53DE2" w:rsidRDefault="00B87F0A" w:rsidP="009D3DA6">
      <w:pPr>
        <w:pStyle w:val="NoSpacing1"/>
        <w:rPr>
          <w:rFonts w:ascii="Palatino Linotype" w:hAnsi="Palatino Linotype"/>
          <w:sz w:val="18"/>
          <w:szCs w:val="18"/>
        </w:rPr>
      </w:pPr>
      <w:r w:rsidRPr="00A53DE2">
        <w:rPr>
          <w:rFonts w:ascii="Palatino Linotype" w:hAnsi="Palatino Linotype"/>
          <w:sz w:val="18"/>
          <w:szCs w:val="18"/>
        </w:rPr>
        <w:t>19.</w:t>
      </w:r>
      <w:r w:rsidRPr="00A53DE2">
        <w:rPr>
          <w:rFonts w:ascii="Palatino Linotype" w:hAnsi="Palatino Linotype"/>
          <w:sz w:val="18"/>
          <w:szCs w:val="18"/>
        </w:rPr>
        <w:tab/>
        <w:t>Boltena MT, Woldie M, Siraneh Y, Steck V, El-Khatib Z, Morankar S. Adherence to evidence-based implementation of antimicrobial treatment guidelines among prescribers in sub-Saharan Africa: a systematic review and meta-analysis. J Pharm Policy Pract. 2023;16(1):137.</w:t>
      </w:r>
    </w:p>
    <w:p w14:paraId="6426B1E2" w14:textId="77777777" w:rsidR="00B87F0A" w:rsidRPr="00A53DE2" w:rsidRDefault="00B87F0A" w:rsidP="009D3DA6">
      <w:pPr>
        <w:pStyle w:val="NoSpacing1"/>
        <w:rPr>
          <w:rFonts w:ascii="Palatino Linotype" w:hAnsi="Palatino Linotype"/>
          <w:sz w:val="18"/>
          <w:szCs w:val="18"/>
        </w:rPr>
      </w:pPr>
      <w:r w:rsidRPr="00A53DE2">
        <w:rPr>
          <w:rFonts w:ascii="Palatino Linotype" w:hAnsi="Palatino Linotype"/>
          <w:sz w:val="18"/>
          <w:szCs w:val="18"/>
        </w:rPr>
        <w:t>20.</w:t>
      </w:r>
      <w:r w:rsidRPr="00A53DE2">
        <w:rPr>
          <w:rFonts w:ascii="Palatino Linotype" w:hAnsi="Palatino Linotype"/>
          <w:sz w:val="18"/>
          <w:szCs w:val="18"/>
        </w:rPr>
        <w:tab/>
        <w:t>Saleem Z, Mekonnen BA, Orubu ES, Islam MA, Nguyen TTP, Ubaka CM, et al. Current access, availability and use of antibiotics in primary care among key low- and middle-income countries and the policy implications. Expert Rev Anti Infect Ther. 2025:1-42.</w:t>
      </w:r>
    </w:p>
    <w:p w14:paraId="3B831739" w14:textId="77777777" w:rsidR="00B87F0A" w:rsidRPr="00A53DE2" w:rsidRDefault="00B87F0A" w:rsidP="009D3DA6">
      <w:pPr>
        <w:pStyle w:val="NoSpacing1"/>
        <w:rPr>
          <w:rFonts w:ascii="Palatino Linotype" w:hAnsi="Palatino Linotype"/>
          <w:sz w:val="18"/>
          <w:szCs w:val="18"/>
          <w:lang w:val="en-GB"/>
        </w:rPr>
      </w:pPr>
      <w:r w:rsidRPr="00A53DE2">
        <w:rPr>
          <w:rFonts w:ascii="Palatino Linotype" w:hAnsi="Palatino Linotype"/>
          <w:sz w:val="18"/>
          <w:szCs w:val="18"/>
        </w:rPr>
        <w:t>21.</w:t>
      </w:r>
      <w:r w:rsidRPr="00A53DE2">
        <w:rPr>
          <w:rFonts w:ascii="Palatino Linotype" w:hAnsi="Palatino Linotype"/>
          <w:sz w:val="18"/>
          <w:szCs w:val="18"/>
        </w:rPr>
        <w:tab/>
      </w:r>
      <w:r w:rsidRPr="00A53DE2">
        <w:rPr>
          <w:rFonts w:ascii="Palatino Linotype" w:hAnsi="Palatino Linotype"/>
          <w:sz w:val="18"/>
          <w:szCs w:val="18"/>
          <w:lang w:val="en-GB"/>
        </w:rPr>
        <w:t xml:space="preserve">Klein, E.Y.; Milkowska-Shibata, M.; Tseng, K.K.; Sharland, M.; Gandra, S.; Pulcini, C.; Laxminarayan, R. Assessment of WHO antibiotic consumption and access targets in 76 countries, 2000–2015: An analysis of pharmaceutical sales data. Lancet Infect. Dis. </w:t>
      </w:r>
      <w:r w:rsidRPr="00A53DE2">
        <w:rPr>
          <w:rFonts w:ascii="Palatino Linotype" w:hAnsi="Palatino Linotype"/>
          <w:b/>
          <w:bCs/>
          <w:sz w:val="18"/>
          <w:szCs w:val="18"/>
          <w:lang w:val="en-GB"/>
        </w:rPr>
        <w:t>2021</w:t>
      </w:r>
      <w:r w:rsidRPr="00A53DE2">
        <w:rPr>
          <w:rFonts w:ascii="Palatino Linotype" w:hAnsi="Palatino Linotype"/>
          <w:sz w:val="18"/>
          <w:szCs w:val="18"/>
          <w:lang w:val="en-GB"/>
        </w:rPr>
        <w:t>, 21, 107–115.</w:t>
      </w:r>
    </w:p>
    <w:p w14:paraId="2F1EC3AB" w14:textId="77777777" w:rsidR="00B87F0A" w:rsidRPr="00A53DE2" w:rsidRDefault="00B87F0A" w:rsidP="009D3DA6">
      <w:pPr>
        <w:pStyle w:val="NoSpacing1"/>
        <w:rPr>
          <w:rFonts w:ascii="Palatino Linotype" w:hAnsi="Palatino Linotype"/>
          <w:sz w:val="18"/>
          <w:szCs w:val="18"/>
          <w:lang w:val="en-GB"/>
        </w:rPr>
      </w:pPr>
      <w:r w:rsidRPr="00A53DE2">
        <w:rPr>
          <w:rFonts w:ascii="Palatino Linotype" w:hAnsi="Palatino Linotype"/>
          <w:sz w:val="18"/>
          <w:szCs w:val="18"/>
        </w:rPr>
        <w:t>22.</w:t>
      </w:r>
      <w:r w:rsidRPr="00A53DE2">
        <w:rPr>
          <w:rFonts w:ascii="Palatino Linotype" w:hAnsi="Palatino Linotype"/>
          <w:sz w:val="18"/>
          <w:szCs w:val="18"/>
        </w:rPr>
        <w:tab/>
      </w:r>
      <w:r w:rsidRPr="00A53DE2">
        <w:rPr>
          <w:rFonts w:ascii="Palatino Linotype" w:hAnsi="Palatino Linotype"/>
          <w:sz w:val="18"/>
          <w:szCs w:val="18"/>
          <w:lang w:val="en-GB"/>
        </w:rPr>
        <w:t>ESCMID. Over 3 Million Children Died from Antimicrobial Resistance-Related Infections in 2022, Major Study Shows. 2025. Available online: https://a-p-p-a.org/pdf/over-3-million-children-died-from-antimicrobial-resistance-related-infections-in-2022.pdf</w:t>
      </w:r>
    </w:p>
    <w:p w14:paraId="4A45486B" w14:textId="77777777" w:rsidR="00B87F0A" w:rsidRPr="00A53DE2" w:rsidRDefault="00B87F0A" w:rsidP="009D3DA6">
      <w:pPr>
        <w:pStyle w:val="NoSpacing1"/>
        <w:rPr>
          <w:rFonts w:ascii="Palatino Linotype" w:hAnsi="Palatino Linotype"/>
          <w:sz w:val="18"/>
          <w:szCs w:val="18"/>
        </w:rPr>
      </w:pPr>
      <w:r w:rsidRPr="00A53DE2">
        <w:rPr>
          <w:rFonts w:ascii="Palatino Linotype" w:hAnsi="Palatino Linotype"/>
          <w:sz w:val="18"/>
          <w:szCs w:val="18"/>
        </w:rPr>
        <w:t>23.</w:t>
      </w:r>
      <w:r w:rsidRPr="00A53DE2">
        <w:rPr>
          <w:rFonts w:ascii="Palatino Linotype" w:hAnsi="Palatino Linotype"/>
          <w:sz w:val="18"/>
          <w:szCs w:val="18"/>
        </w:rPr>
        <w:tab/>
        <w:t>Chua AQ, Verma M, Hsu LY, Legido-Quigley H. An analysis of national action plans on antimicrobial resistance in Southeast Asia using a governance framework approach. Lancet Reg Health West Pac. 2021;7:100084.</w:t>
      </w:r>
    </w:p>
    <w:p w14:paraId="5EF80DC8" w14:textId="37AEA71E" w:rsidR="00B87F0A" w:rsidRPr="00A53DE2" w:rsidRDefault="00B87F0A" w:rsidP="009D3DA6">
      <w:pPr>
        <w:pStyle w:val="NoSpacing1"/>
        <w:rPr>
          <w:rFonts w:ascii="Palatino Linotype" w:hAnsi="Palatino Linotype"/>
          <w:sz w:val="18"/>
          <w:szCs w:val="18"/>
        </w:rPr>
      </w:pPr>
      <w:r w:rsidRPr="00A53DE2">
        <w:rPr>
          <w:rFonts w:ascii="Palatino Linotype" w:hAnsi="Palatino Linotype"/>
          <w:sz w:val="18"/>
          <w:szCs w:val="18"/>
        </w:rPr>
        <w:t>24.</w:t>
      </w:r>
      <w:r w:rsidRPr="00A53DE2">
        <w:rPr>
          <w:rFonts w:ascii="Palatino Linotype" w:hAnsi="Palatino Linotype"/>
          <w:sz w:val="18"/>
          <w:szCs w:val="18"/>
        </w:rPr>
        <w:tab/>
        <w:t xml:space="preserve">WHO. GLOBAL ACTION PLAN ON ANTIMICROBIAL RESISTANCE. 2015. Available at URL: </w:t>
      </w:r>
      <w:hyperlink r:id="rId30" w:history="1">
        <w:r w:rsidRPr="00A53DE2">
          <w:rPr>
            <w:rStyle w:val="Hyperlink"/>
            <w:rFonts w:ascii="Palatino Linotype" w:hAnsi="Palatino Linotype"/>
            <w:color w:val="auto"/>
            <w:sz w:val="18"/>
            <w:szCs w:val="18"/>
            <w:u w:val="none"/>
          </w:rPr>
          <w:t>https://apps.who.int/iris/bitstream/handle/10665/193736/9789241509763_eng.pdf?sequence=1</w:t>
        </w:r>
      </w:hyperlink>
      <w:r w:rsidRPr="00A53DE2">
        <w:rPr>
          <w:rFonts w:ascii="Palatino Linotype" w:hAnsi="Palatino Linotype"/>
          <w:sz w:val="18"/>
          <w:szCs w:val="18"/>
        </w:rPr>
        <w:t xml:space="preserve">. </w:t>
      </w:r>
      <w:r w:rsidR="00246D03">
        <w:rPr>
          <w:rFonts w:ascii="Palatino Linotype" w:hAnsi="Palatino Linotype"/>
          <w:sz w:val="18"/>
          <w:szCs w:val="18"/>
        </w:rPr>
        <w:t>(accessed 20 November 2025)</w:t>
      </w:r>
    </w:p>
    <w:p w14:paraId="6D35947C" w14:textId="77777777" w:rsidR="00B87F0A" w:rsidRPr="00A53DE2" w:rsidRDefault="00B87F0A" w:rsidP="009D3DA6">
      <w:pPr>
        <w:pStyle w:val="NoSpacing1"/>
        <w:rPr>
          <w:rFonts w:ascii="Palatino Linotype" w:hAnsi="Palatino Linotype"/>
          <w:sz w:val="18"/>
          <w:szCs w:val="18"/>
        </w:rPr>
      </w:pPr>
      <w:r w:rsidRPr="00A53DE2">
        <w:rPr>
          <w:rFonts w:ascii="Palatino Linotype" w:hAnsi="Palatino Linotype"/>
          <w:sz w:val="18"/>
          <w:szCs w:val="18"/>
        </w:rPr>
        <w:t>25.</w:t>
      </w:r>
      <w:r w:rsidRPr="00A53DE2">
        <w:rPr>
          <w:rFonts w:ascii="Palatino Linotype" w:hAnsi="Palatino Linotype"/>
          <w:sz w:val="18"/>
          <w:szCs w:val="18"/>
        </w:rPr>
        <w:tab/>
        <w:t>Fuller WL, Aboderin AO, Yahaya A, Adeyemo AT, Gahimbare L, Kapona O, et al. Gaps in the implementation of national core elements for sustainable antimicrobial use in the WHO-African region. Frontiers in Antibiotics. 2022;1:1047565-.</w:t>
      </w:r>
    </w:p>
    <w:p w14:paraId="3B8E494A" w14:textId="77777777" w:rsidR="00B87F0A" w:rsidRPr="00A53DE2" w:rsidRDefault="00B87F0A" w:rsidP="009D3DA6">
      <w:pPr>
        <w:pStyle w:val="NoSpacing1"/>
        <w:rPr>
          <w:rFonts w:ascii="Palatino Linotype" w:hAnsi="Palatino Linotype"/>
          <w:sz w:val="18"/>
          <w:szCs w:val="18"/>
        </w:rPr>
      </w:pPr>
      <w:r w:rsidRPr="00A53DE2">
        <w:rPr>
          <w:rFonts w:ascii="Palatino Linotype" w:hAnsi="Palatino Linotype"/>
          <w:sz w:val="18"/>
          <w:szCs w:val="18"/>
        </w:rPr>
        <w:t>26.</w:t>
      </w:r>
      <w:r w:rsidRPr="00A53DE2">
        <w:rPr>
          <w:rFonts w:ascii="Palatino Linotype" w:hAnsi="Palatino Linotype"/>
          <w:sz w:val="18"/>
          <w:szCs w:val="18"/>
        </w:rPr>
        <w:tab/>
        <w:t>Willemsen A, Reid S, Assefa Y. A review of national action plans on antimicrobial resistance: strengths and weaknesses. Antimicrobial Resistance and Infection Control. 2022;11(1):90-.</w:t>
      </w:r>
    </w:p>
    <w:p w14:paraId="46AC8527" w14:textId="0FB70625" w:rsidR="00B87F0A" w:rsidRPr="00A53DE2" w:rsidRDefault="00B87F0A" w:rsidP="009D3DA6">
      <w:pPr>
        <w:pStyle w:val="NoSpacing1"/>
        <w:rPr>
          <w:rFonts w:ascii="Palatino Linotype" w:hAnsi="Palatino Linotype"/>
          <w:sz w:val="18"/>
          <w:szCs w:val="18"/>
        </w:rPr>
      </w:pPr>
      <w:r w:rsidRPr="00A53DE2">
        <w:rPr>
          <w:rFonts w:ascii="Palatino Linotype" w:hAnsi="Palatino Linotype"/>
          <w:sz w:val="18"/>
          <w:szCs w:val="18"/>
        </w:rPr>
        <w:t>2</w:t>
      </w:r>
      <w:r w:rsidR="000152CD">
        <w:rPr>
          <w:rFonts w:ascii="Palatino Linotype" w:hAnsi="Palatino Linotype"/>
          <w:sz w:val="18"/>
          <w:szCs w:val="18"/>
        </w:rPr>
        <w:t>7</w:t>
      </w:r>
      <w:r w:rsidRPr="00A53DE2">
        <w:rPr>
          <w:rFonts w:ascii="Palatino Linotype" w:hAnsi="Palatino Linotype"/>
          <w:sz w:val="18"/>
          <w:szCs w:val="18"/>
        </w:rPr>
        <w:t>.</w:t>
      </w:r>
      <w:r w:rsidRPr="00A53DE2">
        <w:rPr>
          <w:rFonts w:ascii="Palatino Linotype" w:hAnsi="Palatino Linotype"/>
          <w:sz w:val="18"/>
          <w:szCs w:val="18"/>
        </w:rPr>
        <w:tab/>
        <w:t>Patel J, Harant A, Fernandes G, Mwamelo AJ, Hein W, Dekker D, et al. Measuring the global response to antimicrobial resistance, 2020–21: a systematic governance analysis of 114 countries. The Lancet Infectious Diseases. 2023;23(6):706-18.</w:t>
      </w:r>
    </w:p>
    <w:p w14:paraId="637D1271" w14:textId="7B737B13" w:rsidR="00B87F0A" w:rsidRPr="00A53DE2" w:rsidRDefault="00B87F0A" w:rsidP="009D3DA6">
      <w:pPr>
        <w:pStyle w:val="NoSpacing1"/>
        <w:rPr>
          <w:rFonts w:ascii="Palatino Linotype" w:hAnsi="Palatino Linotype"/>
          <w:sz w:val="18"/>
          <w:szCs w:val="18"/>
          <w:lang w:val="en-GB"/>
        </w:rPr>
      </w:pPr>
      <w:r w:rsidRPr="00A53DE2">
        <w:rPr>
          <w:rFonts w:ascii="Palatino Linotype" w:hAnsi="Palatino Linotype"/>
          <w:sz w:val="18"/>
          <w:szCs w:val="18"/>
        </w:rPr>
        <w:t>2</w:t>
      </w:r>
      <w:r w:rsidR="000152CD">
        <w:rPr>
          <w:rFonts w:ascii="Palatino Linotype" w:hAnsi="Palatino Linotype"/>
          <w:sz w:val="18"/>
          <w:szCs w:val="18"/>
        </w:rPr>
        <w:t>8</w:t>
      </w:r>
      <w:r w:rsidRPr="00A53DE2">
        <w:rPr>
          <w:rFonts w:ascii="Palatino Linotype" w:hAnsi="Palatino Linotype"/>
          <w:sz w:val="18"/>
          <w:szCs w:val="18"/>
        </w:rPr>
        <w:t>.</w:t>
      </w:r>
      <w:r w:rsidRPr="00A53DE2">
        <w:rPr>
          <w:rFonts w:ascii="Palatino Linotype" w:hAnsi="Palatino Linotype"/>
          <w:sz w:val="18"/>
          <w:szCs w:val="18"/>
        </w:rPr>
        <w:tab/>
      </w:r>
      <w:r w:rsidRPr="00A53DE2">
        <w:rPr>
          <w:rFonts w:ascii="Palatino Linotype" w:hAnsi="Palatino Linotype"/>
          <w:sz w:val="18"/>
          <w:szCs w:val="18"/>
          <w:lang w:val="en-GB"/>
        </w:rPr>
        <w:t xml:space="preserve">Godman, B.; Egwuenu, A.;Wesangula, E.; Schellack, N.; Kalungia, A.C.; Tiroyakgosi, C.; Kgatlwane, J.; Mwita, J.C.; Patrick, O.; Niba, L.L.; et al. Tackling antimicrobial resistance across sub-Saharan Africa: Current challenges and implications for the future. Expert Opin. Drug Saf. </w:t>
      </w:r>
      <w:r w:rsidRPr="00A53DE2">
        <w:rPr>
          <w:rFonts w:ascii="Palatino Linotype" w:hAnsi="Palatino Linotype"/>
          <w:b/>
          <w:bCs/>
          <w:sz w:val="18"/>
          <w:szCs w:val="18"/>
          <w:lang w:val="en-GB"/>
        </w:rPr>
        <w:t>2022</w:t>
      </w:r>
      <w:r w:rsidRPr="00A53DE2">
        <w:rPr>
          <w:rFonts w:ascii="Palatino Linotype" w:hAnsi="Palatino Linotype"/>
          <w:sz w:val="18"/>
          <w:szCs w:val="18"/>
          <w:lang w:val="en-GB"/>
        </w:rPr>
        <w:t>, 21, 1089–1111.</w:t>
      </w:r>
    </w:p>
    <w:p w14:paraId="50395AC2" w14:textId="46A7778B" w:rsidR="00B87F0A" w:rsidRPr="00A53DE2" w:rsidRDefault="000152CD" w:rsidP="009D3DA6">
      <w:pPr>
        <w:pStyle w:val="NoSpacing1"/>
        <w:rPr>
          <w:rFonts w:ascii="Palatino Linotype" w:hAnsi="Palatino Linotype"/>
          <w:sz w:val="18"/>
          <w:szCs w:val="18"/>
          <w:lang w:val="en-GB"/>
        </w:rPr>
      </w:pPr>
      <w:r>
        <w:rPr>
          <w:rFonts w:ascii="Palatino Linotype" w:hAnsi="Palatino Linotype"/>
          <w:sz w:val="18"/>
          <w:szCs w:val="18"/>
        </w:rPr>
        <w:t>29</w:t>
      </w:r>
      <w:r w:rsidR="00B87F0A" w:rsidRPr="00A53DE2">
        <w:rPr>
          <w:rFonts w:ascii="Palatino Linotype" w:hAnsi="Palatino Linotype"/>
          <w:sz w:val="18"/>
          <w:szCs w:val="18"/>
        </w:rPr>
        <w:t>.</w:t>
      </w:r>
      <w:r w:rsidR="00B87F0A" w:rsidRPr="00A53DE2">
        <w:rPr>
          <w:rFonts w:ascii="Palatino Linotype" w:hAnsi="Palatino Linotype"/>
          <w:sz w:val="18"/>
          <w:szCs w:val="18"/>
        </w:rPr>
        <w:tab/>
      </w:r>
      <w:r w:rsidR="00B87F0A" w:rsidRPr="00A53DE2">
        <w:rPr>
          <w:rFonts w:ascii="Palatino Linotype" w:hAnsi="Palatino Linotype"/>
          <w:sz w:val="18"/>
          <w:szCs w:val="18"/>
          <w:lang w:val="en-GB"/>
        </w:rPr>
        <w:t>Mendelson, M. There's Another Pandemic we Should Be Focused on: Antibiotic-Resistant Infections—Millions of People Are now Dying Every Year Because of Bad Practices and South Africa is One of the Worst Culprits. 2022. Available online: https://www.groundup.org.za/article/antibiotic-resistance-pandemic-getting-steadily-worse-we-need-fix-it/</w:t>
      </w:r>
      <w:r w:rsidR="00246D03">
        <w:rPr>
          <w:rFonts w:ascii="Palatino Linotype" w:hAnsi="Palatino Linotype"/>
          <w:sz w:val="18"/>
          <w:szCs w:val="18"/>
          <w:lang w:val="en-GB"/>
        </w:rPr>
        <w:t xml:space="preserve"> (Accessed 18 November 2025)</w:t>
      </w:r>
    </w:p>
    <w:p w14:paraId="435B98EC" w14:textId="1759A8C6" w:rsidR="00B87F0A" w:rsidRPr="00A53DE2" w:rsidRDefault="00B87F0A" w:rsidP="009D3DA6">
      <w:pPr>
        <w:pStyle w:val="NoSpacing1"/>
        <w:rPr>
          <w:rFonts w:ascii="Palatino Linotype" w:hAnsi="Palatino Linotype"/>
          <w:sz w:val="18"/>
          <w:szCs w:val="18"/>
          <w:lang w:val="en-GB"/>
        </w:rPr>
      </w:pPr>
      <w:r w:rsidRPr="00A53DE2">
        <w:rPr>
          <w:rFonts w:ascii="Palatino Linotype" w:hAnsi="Palatino Linotype"/>
          <w:sz w:val="18"/>
          <w:szCs w:val="18"/>
        </w:rPr>
        <w:t>3</w:t>
      </w:r>
      <w:r w:rsidR="000152CD">
        <w:rPr>
          <w:rFonts w:ascii="Palatino Linotype" w:hAnsi="Palatino Linotype"/>
          <w:sz w:val="18"/>
          <w:szCs w:val="18"/>
        </w:rPr>
        <w:t>0</w:t>
      </w:r>
      <w:r w:rsidRPr="00A53DE2">
        <w:rPr>
          <w:rFonts w:ascii="Palatino Linotype" w:hAnsi="Palatino Linotype"/>
          <w:sz w:val="18"/>
          <w:szCs w:val="18"/>
        </w:rPr>
        <w:t>.</w:t>
      </w:r>
      <w:r w:rsidRPr="00A53DE2">
        <w:rPr>
          <w:rFonts w:ascii="Palatino Linotype" w:hAnsi="Palatino Linotype"/>
          <w:sz w:val="18"/>
          <w:szCs w:val="18"/>
        </w:rPr>
        <w:tab/>
      </w:r>
      <w:r w:rsidRPr="00A53DE2">
        <w:rPr>
          <w:rFonts w:ascii="Palatino Linotype" w:hAnsi="Palatino Linotype"/>
          <w:sz w:val="18"/>
          <w:szCs w:val="18"/>
          <w:lang w:val="en-GB"/>
        </w:rPr>
        <w:t>Mendelson, M.; van Vuuren, M.; Govind, C.; Brink, A.J.; Schellack, N.; du Plessis, N.M.; Davies, M.-A.; Arnab, P.; Aucamp, M.; Blockman, N.; et al. Urgent Need to Reinstate a National Action Plan and Scientific Advisory Body on Antimicrobial Resistance in South Africa. 19 June 2025. Available online: https://groundup.org.za/media/uploads/documents/open_letter_to_minister_motsoaledi_final-20250619.pdf</w:t>
      </w:r>
      <w:r w:rsidR="00246D03">
        <w:rPr>
          <w:rFonts w:ascii="Palatino Linotype" w:hAnsi="Palatino Linotype"/>
          <w:sz w:val="18"/>
          <w:szCs w:val="18"/>
          <w:lang w:val="en-GB"/>
        </w:rPr>
        <w:t xml:space="preserve"> (Accessed 22 November 2025)</w:t>
      </w:r>
    </w:p>
    <w:p w14:paraId="2C066469" w14:textId="32AFD4D5" w:rsidR="00B87F0A" w:rsidRPr="00A53DE2" w:rsidRDefault="00B87F0A" w:rsidP="009D3DA6">
      <w:pPr>
        <w:pStyle w:val="NoSpacing1"/>
        <w:rPr>
          <w:rFonts w:ascii="Palatino Linotype" w:hAnsi="Palatino Linotype"/>
          <w:sz w:val="18"/>
          <w:szCs w:val="18"/>
        </w:rPr>
      </w:pPr>
      <w:r w:rsidRPr="00A53DE2">
        <w:rPr>
          <w:rFonts w:ascii="Palatino Linotype" w:hAnsi="Palatino Linotype"/>
          <w:sz w:val="18"/>
          <w:szCs w:val="18"/>
        </w:rPr>
        <w:t>3</w:t>
      </w:r>
      <w:r w:rsidR="000152CD">
        <w:rPr>
          <w:rFonts w:ascii="Palatino Linotype" w:hAnsi="Palatino Linotype"/>
          <w:sz w:val="18"/>
          <w:szCs w:val="18"/>
        </w:rPr>
        <w:t>1</w:t>
      </w:r>
      <w:r w:rsidRPr="00A53DE2">
        <w:rPr>
          <w:rFonts w:ascii="Palatino Linotype" w:hAnsi="Palatino Linotype"/>
          <w:sz w:val="18"/>
          <w:szCs w:val="18"/>
        </w:rPr>
        <w:t>.</w:t>
      </w:r>
      <w:r w:rsidRPr="00A53DE2">
        <w:rPr>
          <w:rFonts w:ascii="Palatino Linotype" w:hAnsi="Palatino Linotype"/>
          <w:sz w:val="18"/>
          <w:szCs w:val="18"/>
        </w:rPr>
        <w:tab/>
        <w:t>Shabangu K, Essack SY, Duma SE. Barriers to implementing National Action Plans on antimicrobial resistance using a One Health Approach: policymakers' perspectives from South Africa and Eswatini. J Glob Antimicrob Resist. 2023;33:130-6.</w:t>
      </w:r>
    </w:p>
    <w:p w14:paraId="0C46DF59" w14:textId="4848322F" w:rsidR="00B87F0A" w:rsidRPr="00A53DE2" w:rsidRDefault="00B87F0A" w:rsidP="009D3DA6">
      <w:pPr>
        <w:pStyle w:val="NoSpacing1"/>
        <w:rPr>
          <w:rFonts w:ascii="Palatino Linotype" w:hAnsi="Palatino Linotype"/>
          <w:sz w:val="18"/>
          <w:szCs w:val="18"/>
          <w:lang w:val="en-GB"/>
        </w:rPr>
      </w:pPr>
      <w:r w:rsidRPr="00A53DE2">
        <w:rPr>
          <w:rFonts w:ascii="Palatino Linotype" w:hAnsi="Palatino Linotype"/>
          <w:sz w:val="18"/>
          <w:szCs w:val="18"/>
        </w:rPr>
        <w:t>3</w:t>
      </w:r>
      <w:r w:rsidR="000152CD">
        <w:rPr>
          <w:rFonts w:ascii="Palatino Linotype" w:hAnsi="Palatino Linotype"/>
          <w:sz w:val="18"/>
          <w:szCs w:val="18"/>
        </w:rPr>
        <w:t>2</w:t>
      </w:r>
      <w:r w:rsidRPr="00A53DE2">
        <w:rPr>
          <w:rFonts w:ascii="Palatino Linotype" w:hAnsi="Palatino Linotype"/>
          <w:sz w:val="18"/>
          <w:szCs w:val="18"/>
        </w:rPr>
        <w:t>.</w:t>
      </w:r>
      <w:r w:rsidRPr="00A53DE2">
        <w:rPr>
          <w:rFonts w:ascii="Palatino Linotype" w:hAnsi="Palatino Linotype"/>
          <w:sz w:val="18"/>
          <w:szCs w:val="18"/>
        </w:rPr>
        <w:tab/>
      </w:r>
      <w:r w:rsidRPr="00A53DE2">
        <w:rPr>
          <w:rFonts w:ascii="Palatino Linotype" w:hAnsi="Palatino Linotype"/>
          <w:sz w:val="18"/>
          <w:szCs w:val="18"/>
          <w:lang w:val="en-GB"/>
        </w:rPr>
        <w:t xml:space="preserve">Sharland, M.; Pulcini, C.; Harbarth, S.; Zeng, M.; Gandra, S.; Mathur, S.; Magrini, N. Classifying antibiotics in the WHO Essential Medicines List for optimal use-be AWaRe. Lancet Infect. Dis. </w:t>
      </w:r>
      <w:r w:rsidRPr="00A53DE2">
        <w:rPr>
          <w:rFonts w:ascii="Palatino Linotype" w:hAnsi="Palatino Linotype"/>
          <w:b/>
          <w:bCs/>
          <w:sz w:val="18"/>
          <w:szCs w:val="18"/>
          <w:lang w:val="en-GB"/>
        </w:rPr>
        <w:t>2018</w:t>
      </w:r>
      <w:r w:rsidRPr="00A53DE2">
        <w:rPr>
          <w:rFonts w:ascii="Palatino Linotype" w:hAnsi="Palatino Linotype"/>
          <w:sz w:val="18"/>
          <w:szCs w:val="18"/>
          <w:lang w:val="en-GB"/>
        </w:rPr>
        <w:t>, 18, 18–20.</w:t>
      </w:r>
    </w:p>
    <w:p w14:paraId="28369343" w14:textId="73D4AE32" w:rsidR="00B87F0A" w:rsidRPr="00A53DE2" w:rsidRDefault="00B87F0A" w:rsidP="009D3DA6">
      <w:pPr>
        <w:pStyle w:val="NoSpacing1"/>
        <w:rPr>
          <w:rFonts w:ascii="Palatino Linotype" w:hAnsi="Palatino Linotype"/>
          <w:sz w:val="18"/>
          <w:szCs w:val="18"/>
          <w:lang w:val="en-GB"/>
        </w:rPr>
      </w:pPr>
      <w:r w:rsidRPr="00A53DE2">
        <w:rPr>
          <w:rFonts w:ascii="Palatino Linotype" w:hAnsi="Palatino Linotype"/>
          <w:sz w:val="18"/>
          <w:szCs w:val="18"/>
        </w:rPr>
        <w:t>3</w:t>
      </w:r>
      <w:r w:rsidR="000152CD">
        <w:rPr>
          <w:rFonts w:ascii="Palatino Linotype" w:hAnsi="Palatino Linotype"/>
          <w:sz w:val="18"/>
          <w:szCs w:val="18"/>
        </w:rPr>
        <w:t>3</w:t>
      </w:r>
      <w:r w:rsidRPr="00A53DE2">
        <w:rPr>
          <w:rFonts w:ascii="Palatino Linotype" w:hAnsi="Palatino Linotype"/>
          <w:sz w:val="18"/>
          <w:szCs w:val="18"/>
        </w:rPr>
        <w:t>.</w:t>
      </w:r>
      <w:r w:rsidRPr="00A53DE2">
        <w:rPr>
          <w:rFonts w:ascii="Palatino Linotype" w:hAnsi="Palatino Linotype"/>
          <w:sz w:val="18"/>
          <w:szCs w:val="18"/>
        </w:rPr>
        <w:tab/>
      </w:r>
      <w:r w:rsidRPr="00A53DE2">
        <w:rPr>
          <w:rFonts w:ascii="Palatino Linotype" w:hAnsi="Palatino Linotype"/>
          <w:sz w:val="18"/>
          <w:szCs w:val="18"/>
          <w:lang w:val="en-GB"/>
        </w:rPr>
        <w:t xml:space="preserve">Sulis, G.; Sayood, S.; Katukoori, S.; Bollam, N.; George, I.; Yaeger, L.H.; Chavez, M.A.; Tetteh, E.; Yarrabelli, S.; Pulcini, C.; et al. Exposure toWorld Health Organization's AWaRe antibiotics and isolation of multidrug resistant bacteria: A systematic review and meta-analysis. Clin. Microbiol. Infect. </w:t>
      </w:r>
      <w:r w:rsidRPr="00A53DE2">
        <w:rPr>
          <w:rFonts w:ascii="Palatino Linotype" w:hAnsi="Palatino Linotype"/>
          <w:b/>
          <w:bCs/>
          <w:sz w:val="18"/>
          <w:szCs w:val="18"/>
          <w:lang w:val="en-GB"/>
        </w:rPr>
        <w:t>2022</w:t>
      </w:r>
      <w:r w:rsidRPr="00A53DE2">
        <w:rPr>
          <w:rFonts w:ascii="Palatino Linotype" w:hAnsi="Palatino Linotype"/>
          <w:sz w:val="18"/>
          <w:szCs w:val="18"/>
          <w:lang w:val="en-GB"/>
        </w:rPr>
        <w:t>, 28, 1193–1202.</w:t>
      </w:r>
    </w:p>
    <w:p w14:paraId="50BC30BA" w14:textId="412BA42F" w:rsidR="00B87F0A" w:rsidRPr="00A53DE2" w:rsidRDefault="00B87F0A" w:rsidP="009D3DA6">
      <w:pPr>
        <w:pStyle w:val="NoSpacing1"/>
        <w:rPr>
          <w:rFonts w:ascii="Palatino Linotype" w:hAnsi="Palatino Linotype"/>
          <w:sz w:val="18"/>
          <w:szCs w:val="18"/>
          <w:lang w:val="en-GB"/>
        </w:rPr>
      </w:pPr>
      <w:r w:rsidRPr="00A53DE2">
        <w:rPr>
          <w:rFonts w:ascii="Palatino Linotype" w:hAnsi="Palatino Linotype"/>
          <w:sz w:val="18"/>
          <w:szCs w:val="18"/>
        </w:rPr>
        <w:t>3</w:t>
      </w:r>
      <w:r w:rsidR="000152CD">
        <w:rPr>
          <w:rFonts w:ascii="Palatino Linotype" w:hAnsi="Palatino Linotype"/>
          <w:sz w:val="18"/>
          <w:szCs w:val="18"/>
        </w:rPr>
        <w:t>4</w:t>
      </w:r>
      <w:r w:rsidRPr="00A53DE2">
        <w:rPr>
          <w:rFonts w:ascii="Palatino Linotype" w:hAnsi="Palatino Linotype"/>
          <w:sz w:val="18"/>
          <w:szCs w:val="18"/>
        </w:rPr>
        <w:t>.</w:t>
      </w:r>
      <w:r w:rsidRPr="00A53DE2">
        <w:rPr>
          <w:rFonts w:ascii="Palatino Linotype" w:hAnsi="Palatino Linotype"/>
          <w:sz w:val="18"/>
          <w:szCs w:val="18"/>
        </w:rPr>
        <w:tab/>
      </w:r>
      <w:r w:rsidRPr="00A53DE2">
        <w:rPr>
          <w:rFonts w:ascii="Palatino Linotype" w:hAnsi="Palatino Linotype"/>
          <w:sz w:val="18"/>
          <w:szCs w:val="18"/>
          <w:lang w:val="en-GB"/>
        </w:rPr>
        <w:t xml:space="preserve">Sulis, G.; Daniels, B.; Kwan, A.; Gandra, S.; Daftary, A.; Das, J.; Pai, M. Antibiotic overuse in the primary health care setting: A secondary data analysis of standardised patient studies from India, China and Kenya. BMJ Glob. Health </w:t>
      </w:r>
      <w:r w:rsidRPr="00A53DE2">
        <w:rPr>
          <w:rFonts w:ascii="Palatino Linotype" w:hAnsi="Palatino Linotype"/>
          <w:b/>
          <w:bCs/>
          <w:sz w:val="18"/>
          <w:szCs w:val="18"/>
          <w:lang w:val="en-GB"/>
        </w:rPr>
        <w:t>2020</w:t>
      </w:r>
      <w:r w:rsidRPr="00A53DE2">
        <w:rPr>
          <w:rFonts w:ascii="Palatino Linotype" w:hAnsi="Palatino Linotype"/>
          <w:sz w:val="18"/>
          <w:szCs w:val="18"/>
          <w:lang w:val="en-GB"/>
        </w:rPr>
        <w:t>, 5, e003393.</w:t>
      </w:r>
    </w:p>
    <w:p w14:paraId="5EA64309" w14:textId="424667D4" w:rsidR="00B87F0A" w:rsidRPr="00A53DE2" w:rsidRDefault="00B87F0A" w:rsidP="009D3DA6">
      <w:pPr>
        <w:pStyle w:val="NoSpacing1"/>
        <w:rPr>
          <w:rFonts w:ascii="Palatino Linotype" w:hAnsi="Palatino Linotype"/>
          <w:sz w:val="18"/>
          <w:szCs w:val="18"/>
        </w:rPr>
      </w:pPr>
      <w:r w:rsidRPr="00A53DE2">
        <w:rPr>
          <w:rFonts w:ascii="Palatino Linotype" w:hAnsi="Palatino Linotype"/>
          <w:sz w:val="18"/>
          <w:szCs w:val="18"/>
        </w:rPr>
        <w:t>3</w:t>
      </w:r>
      <w:r w:rsidR="000152CD">
        <w:rPr>
          <w:rFonts w:ascii="Palatino Linotype" w:hAnsi="Palatino Linotype"/>
          <w:sz w:val="18"/>
          <w:szCs w:val="18"/>
        </w:rPr>
        <w:t>5</w:t>
      </w:r>
      <w:r w:rsidRPr="00A53DE2">
        <w:rPr>
          <w:rFonts w:ascii="Palatino Linotype" w:hAnsi="Palatino Linotype"/>
          <w:sz w:val="18"/>
          <w:szCs w:val="18"/>
        </w:rPr>
        <w:t>.</w:t>
      </w:r>
      <w:r w:rsidRPr="00A53DE2">
        <w:rPr>
          <w:rFonts w:ascii="Palatino Linotype" w:hAnsi="Palatino Linotype"/>
          <w:sz w:val="18"/>
          <w:szCs w:val="18"/>
        </w:rPr>
        <w:tab/>
        <w:t>Alam M, Saleem Z, Haseeb A, Qamar MU, Sheikh A, Almarzoky Abuhussain SS, et al. Tackling antimicrobial resistance in primary care facilities across Pakistan: Current challenges and implications for the future. J Infect Public Health. 2023;16 Suppl 1:97-110.</w:t>
      </w:r>
    </w:p>
    <w:p w14:paraId="2B668697" w14:textId="0266D012" w:rsidR="00B87F0A" w:rsidRPr="00A53DE2" w:rsidRDefault="00B87F0A" w:rsidP="009D3DA6">
      <w:pPr>
        <w:pStyle w:val="NoSpacing1"/>
        <w:rPr>
          <w:rFonts w:ascii="Palatino Linotype" w:hAnsi="Palatino Linotype"/>
          <w:sz w:val="18"/>
          <w:szCs w:val="18"/>
          <w:lang w:val="en-GB"/>
        </w:rPr>
      </w:pPr>
      <w:r w:rsidRPr="00A53DE2">
        <w:rPr>
          <w:rFonts w:ascii="Palatino Linotype" w:hAnsi="Palatino Linotype"/>
          <w:sz w:val="18"/>
          <w:szCs w:val="18"/>
        </w:rPr>
        <w:t>3</w:t>
      </w:r>
      <w:r w:rsidR="000152CD">
        <w:rPr>
          <w:rFonts w:ascii="Palatino Linotype" w:hAnsi="Palatino Linotype"/>
          <w:sz w:val="18"/>
          <w:szCs w:val="18"/>
        </w:rPr>
        <w:t>6</w:t>
      </w:r>
      <w:r w:rsidRPr="00A53DE2">
        <w:rPr>
          <w:rFonts w:ascii="Palatino Linotype" w:hAnsi="Palatino Linotype"/>
          <w:sz w:val="18"/>
          <w:szCs w:val="18"/>
        </w:rPr>
        <w:t>.</w:t>
      </w:r>
      <w:r w:rsidRPr="00A53DE2">
        <w:rPr>
          <w:rFonts w:ascii="Palatino Linotype" w:hAnsi="Palatino Linotype"/>
          <w:sz w:val="18"/>
          <w:szCs w:val="18"/>
        </w:rPr>
        <w:tab/>
      </w:r>
      <w:r w:rsidRPr="00A53DE2">
        <w:rPr>
          <w:rFonts w:ascii="Palatino Linotype" w:hAnsi="Palatino Linotype"/>
          <w:sz w:val="18"/>
          <w:szCs w:val="18"/>
          <w:lang w:val="en-GB"/>
        </w:rPr>
        <w:t>Department of Health, Republic of South Africa. Surveillance for Antimicrobial Resistance and Consumption of Antibiotics in South Africa 2018–2022. March 2024. Available online: https://www.nicd.ac.za/wp-content/uploads/2024/04/South-African- AMR-Surveillance-Report-2022.pdf</w:t>
      </w:r>
      <w:r w:rsidR="00246D03">
        <w:rPr>
          <w:rFonts w:ascii="Palatino Linotype" w:hAnsi="Palatino Linotype"/>
          <w:sz w:val="18"/>
          <w:szCs w:val="18"/>
          <w:lang w:val="en-GB"/>
        </w:rPr>
        <w:t xml:space="preserve"> (Accessed 21 November 2025)</w:t>
      </w:r>
    </w:p>
    <w:p w14:paraId="17460BED" w14:textId="4568A173" w:rsidR="00B87F0A" w:rsidRPr="00A53DE2" w:rsidRDefault="00B87F0A" w:rsidP="009D3DA6">
      <w:pPr>
        <w:pStyle w:val="NoSpacing1"/>
        <w:rPr>
          <w:rFonts w:ascii="Palatino Linotype" w:hAnsi="Palatino Linotype"/>
          <w:sz w:val="18"/>
          <w:szCs w:val="18"/>
          <w:lang w:val="en-GB"/>
        </w:rPr>
      </w:pPr>
      <w:r w:rsidRPr="00A53DE2">
        <w:rPr>
          <w:rFonts w:ascii="Palatino Linotype" w:hAnsi="Palatino Linotype"/>
          <w:sz w:val="18"/>
          <w:szCs w:val="18"/>
        </w:rPr>
        <w:t>3</w:t>
      </w:r>
      <w:r w:rsidR="000152CD">
        <w:rPr>
          <w:rFonts w:ascii="Palatino Linotype" w:hAnsi="Palatino Linotype"/>
          <w:sz w:val="18"/>
          <w:szCs w:val="18"/>
        </w:rPr>
        <w:t>7</w:t>
      </w:r>
      <w:r w:rsidRPr="00A53DE2">
        <w:rPr>
          <w:rFonts w:ascii="Palatino Linotype" w:hAnsi="Palatino Linotype"/>
          <w:sz w:val="18"/>
          <w:szCs w:val="18"/>
        </w:rPr>
        <w:t>.</w:t>
      </w:r>
      <w:r w:rsidRPr="00A53DE2">
        <w:rPr>
          <w:rFonts w:ascii="Palatino Linotype" w:hAnsi="Palatino Linotype"/>
          <w:sz w:val="18"/>
          <w:szCs w:val="18"/>
        </w:rPr>
        <w:tab/>
      </w:r>
      <w:r w:rsidRPr="00A53DE2">
        <w:rPr>
          <w:rFonts w:ascii="Palatino Linotype" w:hAnsi="Palatino Linotype"/>
          <w:sz w:val="18"/>
          <w:szCs w:val="18"/>
          <w:lang w:val="en-GB"/>
        </w:rPr>
        <w:t>United Nations. Political Declaration of the High-Level Meeting on Antimicrobial Resistance. 9 September 2024. Available online: https://www.un.org/pga/wp-content/uploads/sites/108/2024/09/FINAL-Text-AMR-to-PGA.pdf</w:t>
      </w:r>
      <w:r w:rsidR="00246D03">
        <w:rPr>
          <w:rFonts w:ascii="Palatino Linotype" w:hAnsi="Palatino Linotype"/>
          <w:sz w:val="18"/>
          <w:szCs w:val="18"/>
          <w:lang w:val="en-GB"/>
        </w:rPr>
        <w:t xml:space="preserve"> (Accessed 21 November 2025)</w:t>
      </w:r>
    </w:p>
    <w:p w14:paraId="5525149E" w14:textId="1E124C23" w:rsidR="00B87F0A" w:rsidRPr="00A53DE2" w:rsidRDefault="000152CD" w:rsidP="009D3DA6">
      <w:pPr>
        <w:pStyle w:val="NoSpacing1"/>
        <w:rPr>
          <w:rFonts w:ascii="Palatino Linotype" w:hAnsi="Palatino Linotype"/>
          <w:sz w:val="18"/>
          <w:szCs w:val="18"/>
          <w:lang w:val="en-GB"/>
        </w:rPr>
      </w:pPr>
      <w:r>
        <w:rPr>
          <w:rFonts w:ascii="Palatino Linotype" w:hAnsi="Palatino Linotype"/>
          <w:sz w:val="18"/>
          <w:szCs w:val="18"/>
        </w:rPr>
        <w:t>38</w:t>
      </w:r>
      <w:r w:rsidR="00B87F0A" w:rsidRPr="00A53DE2">
        <w:rPr>
          <w:rFonts w:ascii="Palatino Linotype" w:hAnsi="Palatino Linotype"/>
          <w:sz w:val="18"/>
          <w:szCs w:val="18"/>
        </w:rPr>
        <w:t>.</w:t>
      </w:r>
      <w:r w:rsidR="00B87F0A" w:rsidRPr="00A53DE2">
        <w:rPr>
          <w:rFonts w:ascii="Palatino Linotype" w:hAnsi="Palatino Linotype"/>
          <w:sz w:val="18"/>
          <w:szCs w:val="18"/>
        </w:rPr>
        <w:tab/>
      </w:r>
      <w:r w:rsidR="00B87F0A" w:rsidRPr="00A53DE2">
        <w:rPr>
          <w:rFonts w:ascii="Palatino Linotype" w:hAnsi="Palatino Linotype"/>
          <w:sz w:val="18"/>
          <w:szCs w:val="18"/>
          <w:lang w:val="en-GB"/>
        </w:rPr>
        <w:t xml:space="preserve">Duffy, E.; Ritchie, S.; Metcalfe, S.; Van Bakel, B.; Thomas, M.G. Antibacterials dispensed in the community comprise 85%–95% of total human antibacterial consumption. J. Clin. Pharm. Ther. </w:t>
      </w:r>
      <w:r w:rsidR="00B87F0A" w:rsidRPr="00A53DE2">
        <w:rPr>
          <w:rFonts w:ascii="Palatino Linotype" w:hAnsi="Palatino Linotype"/>
          <w:b/>
          <w:bCs/>
          <w:sz w:val="18"/>
          <w:szCs w:val="18"/>
          <w:lang w:val="en-GB"/>
        </w:rPr>
        <w:t>2018</w:t>
      </w:r>
      <w:r w:rsidR="00B87F0A" w:rsidRPr="00A53DE2">
        <w:rPr>
          <w:rFonts w:ascii="Palatino Linotype" w:hAnsi="Palatino Linotype"/>
          <w:sz w:val="18"/>
          <w:szCs w:val="18"/>
          <w:lang w:val="en-GB"/>
        </w:rPr>
        <w:t>, 43, 59–64.</w:t>
      </w:r>
    </w:p>
    <w:p w14:paraId="0A94C94B" w14:textId="3EFF95AF" w:rsidR="00B87F0A" w:rsidRPr="00A53DE2" w:rsidRDefault="000152CD" w:rsidP="009D3DA6">
      <w:pPr>
        <w:pStyle w:val="NoSpacing1"/>
        <w:rPr>
          <w:rFonts w:ascii="Palatino Linotype" w:hAnsi="Palatino Linotype"/>
          <w:sz w:val="18"/>
          <w:szCs w:val="18"/>
          <w:lang w:val="en-GB"/>
        </w:rPr>
      </w:pPr>
      <w:r>
        <w:rPr>
          <w:rFonts w:ascii="Palatino Linotype" w:hAnsi="Palatino Linotype"/>
          <w:sz w:val="18"/>
          <w:szCs w:val="18"/>
        </w:rPr>
        <w:t>39</w:t>
      </w:r>
      <w:r w:rsidR="00B87F0A" w:rsidRPr="00A53DE2">
        <w:rPr>
          <w:rFonts w:ascii="Palatino Linotype" w:hAnsi="Palatino Linotype"/>
          <w:sz w:val="18"/>
          <w:szCs w:val="18"/>
        </w:rPr>
        <w:t>.</w:t>
      </w:r>
      <w:r w:rsidR="00B87F0A" w:rsidRPr="00A53DE2">
        <w:rPr>
          <w:rFonts w:ascii="Palatino Linotype" w:hAnsi="Palatino Linotype"/>
          <w:sz w:val="18"/>
          <w:szCs w:val="18"/>
        </w:rPr>
        <w:tab/>
      </w:r>
      <w:r w:rsidR="00B87F0A" w:rsidRPr="00A53DE2">
        <w:rPr>
          <w:rFonts w:ascii="Palatino Linotype" w:hAnsi="Palatino Linotype"/>
          <w:sz w:val="18"/>
          <w:szCs w:val="18"/>
          <w:lang w:val="en-GB"/>
        </w:rPr>
        <w:t xml:space="preserve">Sharland, M.; Zanichelli, V.; Ombajo, L.A.; Bazira, J.; Cappello, B.; Chitatanga, R.; Chuki, P.; Gandra, S.; Getahun, H.; Harbarth, S.; et al. The WHO essential medicines list AWaRe book: From a list to a quality improvement system. Clin. Microbiol. Infect. </w:t>
      </w:r>
      <w:r w:rsidR="00B87F0A" w:rsidRPr="00A53DE2">
        <w:rPr>
          <w:rFonts w:ascii="Palatino Linotype" w:hAnsi="Palatino Linotype"/>
          <w:b/>
          <w:bCs/>
          <w:sz w:val="18"/>
          <w:szCs w:val="18"/>
          <w:lang w:val="en-GB"/>
        </w:rPr>
        <w:t>2022</w:t>
      </w:r>
      <w:r w:rsidR="00B87F0A" w:rsidRPr="00A53DE2">
        <w:rPr>
          <w:rFonts w:ascii="Palatino Linotype" w:hAnsi="Palatino Linotype"/>
          <w:sz w:val="18"/>
          <w:szCs w:val="18"/>
          <w:lang w:val="en-GB"/>
        </w:rPr>
        <w:t>,28, 1533–1535.</w:t>
      </w:r>
    </w:p>
    <w:p w14:paraId="08FAF833" w14:textId="6E1E328A" w:rsidR="00B87F0A" w:rsidRPr="00A53DE2" w:rsidRDefault="00B87F0A" w:rsidP="009D3DA6">
      <w:pPr>
        <w:pStyle w:val="NoSpacing1"/>
        <w:rPr>
          <w:rFonts w:ascii="Palatino Linotype" w:hAnsi="Palatino Linotype"/>
          <w:sz w:val="18"/>
          <w:szCs w:val="18"/>
          <w:lang w:val="en-GB"/>
        </w:rPr>
      </w:pPr>
      <w:r w:rsidRPr="00A53DE2">
        <w:rPr>
          <w:rFonts w:ascii="Palatino Linotype" w:hAnsi="Palatino Linotype"/>
          <w:sz w:val="18"/>
          <w:szCs w:val="18"/>
          <w:lang w:val="fr-CD"/>
        </w:rPr>
        <w:t>4</w:t>
      </w:r>
      <w:r w:rsidR="000152CD">
        <w:rPr>
          <w:rFonts w:ascii="Palatino Linotype" w:hAnsi="Palatino Linotype"/>
          <w:sz w:val="18"/>
          <w:szCs w:val="18"/>
          <w:lang w:val="fr-CD"/>
        </w:rPr>
        <w:t>0</w:t>
      </w:r>
      <w:r w:rsidRPr="00A53DE2">
        <w:rPr>
          <w:rFonts w:ascii="Palatino Linotype" w:hAnsi="Palatino Linotype"/>
          <w:sz w:val="18"/>
          <w:szCs w:val="18"/>
          <w:lang w:val="fr-CD"/>
        </w:rPr>
        <w:t>.</w:t>
      </w:r>
      <w:r w:rsidRPr="00A53DE2">
        <w:rPr>
          <w:rFonts w:ascii="Palatino Linotype" w:hAnsi="Palatino Linotype"/>
          <w:sz w:val="18"/>
          <w:szCs w:val="18"/>
          <w:lang w:val="fr-CD"/>
        </w:rPr>
        <w:tab/>
      </w:r>
      <w:r w:rsidRPr="00A53DE2">
        <w:rPr>
          <w:rFonts w:ascii="Palatino Linotype" w:hAnsi="Palatino Linotype"/>
          <w:sz w:val="18"/>
          <w:szCs w:val="18"/>
          <w:lang w:val="en-GB"/>
        </w:rPr>
        <w:t>Song, Q.; Li, J.; Zhou, P.; Chen, R.; Liu, Z.; Li, H.; Yin, X.</w:t>
      </w:r>
      <w:r w:rsidR="00406091" w:rsidRPr="00A53DE2">
        <w:rPr>
          <w:rFonts w:ascii="Palatino Linotype" w:hAnsi="Palatino Linotype"/>
          <w:sz w:val="18"/>
          <w:szCs w:val="18"/>
          <w:lang w:val="en-GB"/>
        </w:rPr>
        <w:t xml:space="preserve"> </w:t>
      </w:r>
      <w:r w:rsidRPr="00A53DE2">
        <w:rPr>
          <w:rFonts w:ascii="Palatino Linotype" w:hAnsi="Palatino Linotype"/>
          <w:sz w:val="18"/>
          <w:szCs w:val="18"/>
          <w:lang w:val="en-GB"/>
        </w:rPr>
        <w:t xml:space="preserve">Worldwide antibiotic prescription practices in primary care and associated factors: A systematic review and meta-analysis. Am. J. Infect. Control </w:t>
      </w:r>
      <w:r w:rsidRPr="00A53DE2">
        <w:rPr>
          <w:rFonts w:ascii="Palatino Linotype" w:hAnsi="Palatino Linotype"/>
          <w:b/>
          <w:bCs/>
          <w:sz w:val="18"/>
          <w:szCs w:val="18"/>
          <w:lang w:val="en-GB"/>
        </w:rPr>
        <w:t>2025</w:t>
      </w:r>
      <w:r w:rsidRPr="00A53DE2">
        <w:rPr>
          <w:rFonts w:ascii="Palatino Linotype" w:hAnsi="Palatino Linotype"/>
          <w:sz w:val="18"/>
          <w:szCs w:val="18"/>
          <w:lang w:val="en-GB"/>
        </w:rPr>
        <w:t>, 53, 1137–1143.</w:t>
      </w:r>
    </w:p>
    <w:p w14:paraId="1F10679D" w14:textId="1785BB6A" w:rsidR="00B87F0A" w:rsidRPr="00A53DE2" w:rsidRDefault="00B87F0A" w:rsidP="009D3DA6">
      <w:pPr>
        <w:pStyle w:val="NoSpacing1"/>
        <w:rPr>
          <w:rFonts w:ascii="Palatino Linotype" w:hAnsi="Palatino Linotype"/>
          <w:sz w:val="18"/>
          <w:szCs w:val="18"/>
          <w:lang w:val="en-GB"/>
        </w:rPr>
      </w:pPr>
      <w:r w:rsidRPr="00A53DE2">
        <w:rPr>
          <w:rFonts w:ascii="Palatino Linotype" w:hAnsi="Palatino Linotype"/>
          <w:sz w:val="18"/>
          <w:szCs w:val="18"/>
        </w:rPr>
        <w:t>4</w:t>
      </w:r>
      <w:r w:rsidR="000152CD">
        <w:rPr>
          <w:rFonts w:ascii="Palatino Linotype" w:hAnsi="Palatino Linotype"/>
          <w:sz w:val="18"/>
          <w:szCs w:val="18"/>
        </w:rPr>
        <w:t>1</w:t>
      </w:r>
      <w:r w:rsidRPr="00A53DE2">
        <w:rPr>
          <w:rFonts w:ascii="Palatino Linotype" w:hAnsi="Palatino Linotype"/>
          <w:sz w:val="18"/>
          <w:szCs w:val="18"/>
        </w:rPr>
        <w:t>.</w:t>
      </w:r>
      <w:r w:rsidRPr="00A53DE2">
        <w:rPr>
          <w:rFonts w:ascii="Palatino Linotype" w:hAnsi="Palatino Linotype"/>
          <w:sz w:val="18"/>
          <w:szCs w:val="18"/>
        </w:rPr>
        <w:tab/>
      </w:r>
      <w:r w:rsidRPr="00A53DE2">
        <w:rPr>
          <w:rFonts w:ascii="Palatino Linotype" w:hAnsi="Palatino Linotype"/>
          <w:sz w:val="18"/>
          <w:szCs w:val="18"/>
          <w:lang w:val="en-GB"/>
        </w:rPr>
        <w:t xml:space="preserve">Farley, E.; Stewart, A.; Davies, M.A.; Govind, M.; Van den Bergh, D.; Boyles, T.H. Antibiotic use and resistance: Knowledge, attitudes and perceptions among primary care prescribers in South Africa. S. Afr. Med. J. </w:t>
      </w:r>
      <w:r w:rsidRPr="00A53DE2">
        <w:rPr>
          <w:rFonts w:ascii="Palatino Linotype" w:hAnsi="Palatino Linotype"/>
          <w:b/>
          <w:bCs/>
          <w:sz w:val="18"/>
          <w:szCs w:val="18"/>
          <w:lang w:val="en-GB"/>
        </w:rPr>
        <w:t>2018</w:t>
      </w:r>
      <w:r w:rsidRPr="00A53DE2">
        <w:rPr>
          <w:rFonts w:ascii="Palatino Linotype" w:hAnsi="Palatino Linotype"/>
          <w:sz w:val="18"/>
          <w:szCs w:val="18"/>
          <w:lang w:val="en-GB"/>
        </w:rPr>
        <w:t>, 108, 763–771.</w:t>
      </w:r>
    </w:p>
    <w:p w14:paraId="5363B685" w14:textId="00739EEA" w:rsidR="00B87F0A" w:rsidRPr="00A53DE2" w:rsidRDefault="00B87F0A" w:rsidP="009D3DA6">
      <w:pPr>
        <w:pStyle w:val="NoSpacing1"/>
        <w:rPr>
          <w:rFonts w:ascii="Palatino Linotype" w:hAnsi="Palatino Linotype"/>
          <w:sz w:val="18"/>
          <w:szCs w:val="18"/>
          <w:lang w:val="en-GB"/>
        </w:rPr>
      </w:pPr>
      <w:r w:rsidRPr="00A53DE2">
        <w:rPr>
          <w:rFonts w:ascii="Palatino Linotype" w:hAnsi="Palatino Linotype"/>
          <w:sz w:val="18"/>
          <w:szCs w:val="18"/>
        </w:rPr>
        <w:t>4</w:t>
      </w:r>
      <w:r w:rsidR="000152CD">
        <w:rPr>
          <w:rFonts w:ascii="Palatino Linotype" w:hAnsi="Palatino Linotype"/>
          <w:sz w:val="18"/>
          <w:szCs w:val="18"/>
        </w:rPr>
        <w:t>2</w:t>
      </w:r>
      <w:r w:rsidRPr="00A53DE2">
        <w:rPr>
          <w:rFonts w:ascii="Palatino Linotype" w:hAnsi="Palatino Linotype"/>
          <w:sz w:val="18"/>
          <w:szCs w:val="18"/>
        </w:rPr>
        <w:t>.</w:t>
      </w:r>
      <w:r w:rsidRPr="00A53DE2">
        <w:rPr>
          <w:rFonts w:ascii="Palatino Linotype" w:hAnsi="Palatino Linotype"/>
          <w:sz w:val="18"/>
          <w:szCs w:val="18"/>
        </w:rPr>
        <w:tab/>
      </w:r>
      <w:r w:rsidRPr="00A53DE2">
        <w:rPr>
          <w:rFonts w:ascii="Palatino Linotype" w:hAnsi="Palatino Linotype"/>
          <w:sz w:val="18"/>
          <w:szCs w:val="18"/>
          <w:lang w:val="en-GB"/>
        </w:rPr>
        <w:t xml:space="preserve">Truter, I.; Knoesen, B.C. Perceptions towards the prescribing of antibiotics by pharmacists and the use of antibiotics in primary care in South Africa. J. Infect. Dev. Ctries. </w:t>
      </w:r>
      <w:r w:rsidRPr="00A53DE2">
        <w:rPr>
          <w:rFonts w:ascii="Palatino Linotype" w:hAnsi="Palatino Linotype"/>
          <w:b/>
          <w:bCs/>
          <w:sz w:val="18"/>
          <w:szCs w:val="18"/>
          <w:lang w:val="en-GB"/>
        </w:rPr>
        <w:t>2018</w:t>
      </w:r>
      <w:r w:rsidRPr="00A53DE2">
        <w:rPr>
          <w:rFonts w:ascii="Palatino Linotype" w:hAnsi="Palatino Linotype"/>
          <w:sz w:val="18"/>
          <w:szCs w:val="18"/>
          <w:lang w:val="en-GB"/>
        </w:rPr>
        <w:t>, 12, 115–119.</w:t>
      </w:r>
    </w:p>
    <w:p w14:paraId="335DE6E8" w14:textId="6EA41C78" w:rsidR="00B87F0A" w:rsidRPr="00A53DE2" w:rsidRDefault="00B87F0A" w:rsidP="009D3DA6">
      <w:pPr>
        <w:pStyle w:val="NoSpacing1"/>
        <w:rPr>
          <w:rFonts w:ascii="Palatino Linotype" w:hAnsi="Palatino Linotype"/>
          <w:sz w:val="18"/>
          <w:szCs w:val="18"/>
          <w:lang w:val="en-GB"/>
        </w:rPr>
      </w:pPr>
      <w:r w:rsidRPr="00A53DE2">
        <w:rPr>
          <w:rFonts w:ascii="Palatino Linotype" w:hAnsi="Palatino Linotype"/>
          <w:sz w:val="18"/>
          <w:szCs w:val="18"/>
        </w:rPr>
        <w:t>4</w:t>
      </w:r>
      <w:r w:rsidR="000152CD">
        <w:rPr>
          <w:rFonts w:ascii="Palatino Linotype" w:hAnsi="Palatino Linotype"/>
          <w:sz w:val="18"/>
          <w:szCs w:val="18"/>
        </w:rPr>
        <w:t>3</w:t>
      </w:r>
      <w:r w:rsidRPr="00A53DE2">
        <w:rPr>
          <w:rFonts w:ascii="Palatino Linotype" w:hAnsi="Palatino Linotype"/>
          <w:sz w:val="18"/>
          <w:szCs w:val="18"/>
        </w:rPr>
        <w:t>.</w:t>
      </w:r>
      <w:r w:rsidRPr="00A53DE2">
        <w:rPr>
          <w:rFonts w:ascii="Palatino Linotype" w:hAnsi="Palatino Linotype"/>
          <w:sz w:val="18"/>
          <w:szCs w:val="18"/>
        </w:rPr>
        <w:tab/>
      </w:r>
      <w:r w:rsidRPr="00A53DE2">
        <w:rPr>
          <w:rFonts w:ascii="Palatino Linotype" w:hAnsi="Palatino Linotype"/>
          <w:sz w:val="18"/>
          <w:szCs w:val="18"/>
          <w:lang w:val="en-GB"/>
        </w:rPr>
        <w:t xml:space="preserve">Balliram, R.; Sibanda,W.; Essack, S.Y. The knowledge, attitudes and practices of doctors, pharmacists and nurses on antimicrobials, antimicrobial resistance and antimicrobial stewardship in South Africa. S. Afr. J. Infect. Dis. </w:t>
      </w:r>
      <w:r w:rsidRPr="00A53DE2">
        <w:rPr>
          <w:rFonts w:ascii="Palatino Linotype" w:hAnsi="Palatino Linotype"/>
          <w:b/>
          <w:bCs/>
          <w:sz w:val="18"/>
          <w:szCs w:val="18"/>
          <w:lang w:val="en-GB"/>
        </w:rPr>
        <w:t>2021</w:t>
      </w:r>
      <w:r w:rsidRPr="00A53DE2">
        <w:rPr>
          <w:rFonts w:ascii="Palatino Linotype" w:hAnsi="Palatino Linotype"/>
          <w:sz w:val="18"/>
          <w:szCs w:val="18"/>
          <w:lang w:val="en-GB"/>
        </w:rPr>
        <w:t>, 36, 262.</w:t>
      </w:r>
    </w:p>
    <w:p w14:paraId="34701CE9" w14:textId="28E520E8" w:rsidR="00B87F0A" w:rsidRPr="00A53DE2" w:rsidRDefault="00B87F0A" w:rsidP="009D3DA6">
      <w:pPr>
        <w:pStyle w:val="NoSpacing1"/>
        <w:rPr>
          <w:rFonts w:ascii="Palatino Linotype" w:hAnsi="Palatino Linotype"/>
          <w:sz w:val="18"/>
          <w:szCs w:val="18"/>
          <w:lang w:val="en-GB"/>
        </w:rPr>
      </w:pPr>
      <w:r w:rsidRPr="00A53DE2">
        <w:rPr>
          <w:rFonts w:ascii="Palatino Linotype" w:hAnsi="Palatino Linotype"/>
          <w:sz w:val="18"/>
          <w:szCs w:val="18"/>
        </w:rPr>
        <w:t>4</w:t>
      </w:r>
      <w:r w:rsidR="000152CD">
        <w:rPr>
          <w:rFonts w:ascii="Palatino Linotype" w:hAnsi="Palatino Linotype"/>
          <w:sz w:val="18"/>
          <w:szCs w:val="18"/>
        </w:rPr>
        <w:t>4</w:t>
      </w:r>
      <w:r w:rsidRPr="00A53DE2">
        <w:rPr>
          <w:rFonts w:ascii="Palatino Linotype" w:hAnsi="Palatino Linotype"/>
          <w:sz w:val="18"/>
          <w:szCs w:val="18"/>
        </w:rPr>
        <w:t>.</w:t>
      </w:r>
      <w:r w:rsidRPr="00A53DE2">
        <w:rPr>
          <w:rFonts w:ascii="Palatino Linotype" w:hAnsi="Palatino Linotype"/>
          <w:sz w:val="18"/>
          <w:szCs w:val="18"/>
        </w:rPr>
        <w:tab/>
      </w:r>
      <w:r w:rsidRPr="00A53DE2">
        <w:rPr>
          <w:rFonts w:ascii="Palatino Linotype" w:hAnsi="Palatino Linotype"/>
          <w:sz w:val="18"/>
          <w:szCs w:val="18"/>
          <w:lang w:val="en-GB"/>
        </w:rPr>
        <w:t xml:space="preserve">Govender, T.; Suleman, F.; Perumal-Pillay, V.A. Evaluating the implementation of the standard treatment guidelines (STGs) and essential medicines list (EML) at a public South African tertiary institution and its associated primary health care (PHC) facilities. J. Pharm. Policy Pract. </w:t>
      </w:r>
      <w:r w:rsidRPr="00A53DE2">
        <w:rPr>
          <w:rFonts w:ascii="Palatino Linotype" w:hAnsi="Palatino Linotype"/>
          <w:b/>
          <w:bCs/>
          <w:sz w:val="18"/>
          <w:szCs w:val="18"/>
          <w:lang w:val="en-GB"/>
        </w:rPr>
        <w:t>2021</w:t>
      </w:r>
      <w:r w:rsidRPr="00A53DE2">
        <w:rPr>
          <w:rFonts w:ascii="Palatino Linotype" w:hAnsi="Palatino Linotype"/>
          <w:sz w:val="18"/>
          <w:szCs w:val="18"/>
          <w:lang w:val="en-GB"/>
        </w:rPr>
        <w:t>, 14, 105.</w:t>
      </w:r>
    </w:p>
    <w:p w14:paraId="4C11ED30" w14:textId="792C264A" w:rsidR="00B87F0A" w:rsidRPr="00A53DE2" w:rsidRDefault="00B87F0A" w:rsidP="009D3DA6">
      <w:pPr>
        <w:pStyle w:val="NoSpacing1"/>
        <w:rPr>
          <w:rFonts w:ascii="Palatino Linotype" w:hAnsi="Palatino Linotype"/>
          <w:sz w:val="18"/>
          <w:szCs w:val="18"/>
          <w:lang w:val="en-GB"/>
        </w:rPr>
      </w:pPr>
      <w:r w:rsidRPr="00A53DE2">
        <w:rPr>
          <w:rFonts w:ascii="Palatino Linotype" w:hAnsi="Palatino Linotype"/>
          <w:sz w:val="18"/>
          <w:szCs w:val="18"/>
        </w:rPr>
        <w:t>4</w:t>
      </w:r>
      <w:r w:rsidR="000152CD">
        <w:rPr>
          <w:rFonts w:ascii="Palatino Linotype" w:hAnsi="Palatino Linotype"/>
          <w:sz w:val="18"/>
          <w:szCs w:val="18"/>
        </w:rPr>
        <w:t>5</w:t>
      </w:r>
      <w:r w:rsidRPr="00A53DE2">
        <w:rPr>
          <w:rFonts w:ascii="Palatino Linotype" w:hAnsi="Palatino Linotype"/>
          <w:sz w:val="18"/>
          <w:szCs w:val="18"/>
        </w:rPr>
        <w:t>.</w:t>
      </w:r>
      <w:r w:rsidRPr="00A53DE2">
        <w:rPr>
          <w:rFonts w:ascii="Palatino Linotype" w:hAnsi="Palatino Linotype"/>
          <w:sz w:val="18"/>
          <w:szCs w:val="18"/>
        </w:rPr>
        <w:tab/>
      </w:r>
      <w:r w:rsidRPr="00A53DE2">
        <w:rPr>
          <w:rFonts w:ascii="Palatino Linotype" w:hAnsi="Palatino Linotype"/>
          <w:sz w:val="18"/>
          <w:szCs w:val="18"/>
          <w:lang w:val="en-GB"/>
        </w:rPr>
        <w:t xml:space="preserve">Alabi, M.E.; Essack, S.Y. Antibiotic prescribing amongst South African general practitioners in private practice: An analysis of a health insurance database. JAC Antimicrob. Resist. </w:t>
      </w:r>
      <w:r w:rsidRPr="00A53DE2">
        <w:rPr>
          <w:rFonts w:ascii="Palatino Linotype" w:hAnsi="Palatino Linotype"/>
          <w:b/>
          <w:bCs/>
          <w:sz w:val="18"/>
          <w:szCs w:val="18"/>
          <w:lang w:val="en-GB"/>
        </w:rPr>
        <w:t>2022</w:t>
      </w:r>
      <w:r w:rsidRPr="00A53DE2">
        <w:rPr>
          <w:rFonts w:ascii="Palatino Linotype" w:hAnsi="Palatino Linotype"/>
          <w:sz w:val="18"/>
          <w:szCs w:val="18"/>
          <w:lang w:val="en-GB"/>
        </w:rPr>
        <w:t>, 4, dlac101.</w:t>
      </w:r>
    </w:p>
    <w:p w14:paraId="66C51C68" w14:textId="2DC5E610" w:rsidR="00B87F0A" w:rsidRPr="00A53DE2" w:rsidRDefault="00B87F0A" w:rsidP="009D3DA6">
      <w:pPr>
        <w:pStyle w:val="NoSpacing1"/>
        <w:rPr>
          <w:rFonts w:ascii="Palatino Linotype" w:hAnsi="Palatino Linotype"/>
          <w:sz w:val="18"/>
          <w:szCs w:val="18"/>
          <w:lang w:val="en-GB"/>
        </w:rPr>
      </w:pPr>
      <w:r w:rsidRPr="00A53DE2">
        <w:rPr>
          <w:rFonts w:ascii="Palatino Linotype" w:hAnsi="Palatino Linotype"/>
          <w:sz w:val="18"/>
          <w:szCs w:val="18"/>
          <w:lang w:val="fr-CD"/>
        </w:rPr>
        <w:t>4</w:t>
      </w:r>
      <w:r w:rsidR="000152CD">
        <w:rPr>
          <w:rFonts w:ascii="Palatino Linotype" w:hAnsi="Palatino Linotype"/>
          <w:sz w:val="18"/>
          <w:szCs w:val="18"/>
          <w:lang w:val="fr-CD"/>
        </w:rPr>
        <w:t>6</w:t>
      </w:r>
      <w:r w:rsidRPr="00A53DE2">
        <w:rPr>
          <w:rFonts w:ascii="Palatino Linotype" w:hAnsi="Palatino Linotype"/>
          <w:sz w:val="18"/>
          <w:szCs w:val="18"/>
          <w:lang w:val="fr-CD"/>
        </w:rPr>
        <w:t>.</w:t>
      </w:r>
      <w:r w:rsidRPr="00A53DE2">
        <w:rPr>
          <w:rFonts w:ascii="Palatino Linotype" w:hAnsi="Palatino Linotype"/>
          <w:sz w:val="18"/>
          <w:szCs w:val="18"/>
          <w:lang w:val="fr-CD"/>
        </w:rPr>
        <w:tab/>
      </w:r>
      <w:r w:rsidRPr="00A53DE2">
        <w:rPr>
          <w:rFonts w:ascii="Palatino Linotype" w:hAnsi="Palatino Linotype"/>
          <w:sz w:val="18"/>
          <w:szCs w:val="18"/>
          <w:lang w:val="en-GB"/>
        </w:rPr>
        <w:t xml:space="preserve">De Vries, E.; Johnson, Y.; Willems, B.; Bedeker, W.; Ras, T.; Coetzee, R.; Rembo, Y.; Brink, A. Improving primary care antimicrobial stewardship by implementing a peer audit and feedback intervention in Cape Town community healthcare centres. S. Afr. Med. J. </w:t>
      </w:r>
      <w:r w:rsidRPr="00A53DE2">
        <w:rPr>
          <w:rFonts w:ascii="Palatino Linotype" w:hAnsi="Palatino Linotype"/>
          <w:b/>
          <w:bCs/>
          <w:sz w:val="18"/>
          <w:szCs w:val="18"/>
          <w:lang w:val="en-GB"/>
        </w:rPr>
        <w:t>2022</w:t>
      </w:r>
      <w:r w:rsidRPr="00A53DE2">
        <w:rPr>
          <w:rFonts w:ascii="Palatino Linotype" w:hAnsi="Palatino Linotype"/>
          <w:sz w:val="18"/>
          <w:szCs w:val="18"/>
          <w:lang w:val="en-GB"/>
        </w:rPr>
        <w:t>, 112, 812–818.</w:t>
      </w:r>
    </w:p>
    <w:p w14:paraId="4B7E051A" w14:textId="09F29829" w:rsidR="00B87F0A" w:rsidRPr="00A53DE2" w:rsidRDefault="000152CD" w:rsidP="009D3DA6">
      <w:pPr>
        <w:pStyle w:val="NoSpacing1"/>
        <w:rPr>
          <w:rFonts w:ascii="Palatino Linotype" w:hAnsi="Palatino Linotype"/>
          <w:sz w:val="18"/>
          <w:szCs w:val="18"/>
        </w:rPr>
      </w:pPr>
      <w:r>
        <w:rPr>
          <w:rFonts w:ascii="Palatino Linotype" w:hAnsi="Palatino Linotype"/>
          <w:sz w:val="18"/>
          <w:szCs w:val="18"/>
        </w:rPr>
        <w:t>47</w:t>
      </w:r>
      <w:r w:rsidR="00B87F0A" w:rsidRPr="00A53DE2">
        <w:rPr>
          <w:rFonts w:ascii="Palatino Linotype" w:hAnsi="Palatino Linotype"/>
          <w:sz w:val="18"/>
          <w:szCs w:val="18"/>
        </w:rPr>
        <w:t>.</w:t>
      </w:r>
      <w:r w:rsidR="00B87F0A" w:rsidRPr="00A53DE2">
        <w:rPr>
          <w:rFonts w:ascii="Palatino Linotype" w:hAnsi="Palatino Linotype"/>
          <w:sz w:val="18"/>
          <w:szCs w:val="18"/>
        </w:rPr>
        <w:tab/>
        <w:t>Lagarde M, Blaauw D. Levels and determinants of overprescribing of antibiotics in the public and private primary care sectors in South Africa. BMJ Global Health. 2023;8(7):12374-.</w:t>
      </w:r>
    </w:p>
    <w:p w14:paraId="754727EA" w14:textId="37EDA7F1" w:rsidR="00B87F0A" w:rsidRPr="00A53DE2" w:rsidRDefault="000152CD" w:rsidP="009D3DA6">
      <w:pPr>
        <w:pStyle w:val="NoSpacing1"/>
        <w:rPr>
          <w:rFonts w:ascii="Palatino Linotype" w:hAnsi="Palatino Linotype"/>
          <w:sz w:val="18"/>
          <w:szCs w:val="18"/>
          <w:lang w:val="en-GB"/>
        </w:rPr>
      </w:pPr>
      <w:r>
        <w:rPr>
          <w:rFonts w:ascii="Palatino Linotype" w:hAnsi="Palatino Linotype"/>
          <w:sz w:val="18"/>
          <w:szCs w:val="18"/>
        </w:rPr>
        <w:t>48</w:t>
      </w:r>
      <w:r w:rsidR="00B87F0A" w:rsidRPr="00A53DE2">
        <w:rPr>
          <w:rFonts w:ascii="Palatino Linotype" w:hAnsi="Palatino Linotype"/>
          <w:sz w:val="18"/>
          <w:szCs w:val="18"/>
        </w:rPr>
        <w:t>.</w:t>
      </w:r>
      <w:r w:rsidR="00B87F0A" w:rsidRPr="00A53DE2">
        <w:rPr>
          <w:rFonts w:ascii="Palatino Linotype" w:hAnsi="Palatino Linotype"/>
          <w:sz w:val="18"/>
          <w:szCs w:val="18"/>
        </w:rPr>
        <w:tab/>
      </w:r>
      <w:r w:rsidR="00B87F0A" w:rsidRPr="00A53DE2">
        <w:rPr>
          <w:rFonts w:ascii="Palatino Linotype" w:hAnsi="Palatino Linotype"/>
          <w:sz w:val="18"/>
          <w:szCs w:val="18"/>
          <w:lang w:val="en-GB"/>
        </w:rPr>
        <w:t xml:space="preserve">Wieters, I.; Johnstone, S.; Makiala-Mandanda, S.; Poda, A.; Akoua-Koffi, C.; Abu Sin, M.; Eckmanns, T.; Galeone, V.; Kabore, F.N.; Kahwata, F.; et al. Reported antibiotic use among patients in the multicenter ANDEMIA infectious diseases surveillance study in sub-saharan Africa. Antimicrob. Resist. Infect. Control </w:t>
      </w:r>
      <w:r w:rsidR="00B87F0A" w:rsidRPr="00A53DE2">
        <w:rPr>
          <w:rFonts w:ascii="Palatino Linotype" w:hAnsi="Palatino Linotype"/>
          <w:b/>
          <w:bCs/>
          <w:sz w:val="18"/>
          <w:szCs w:val="18"/>
          <w:lang w:val="en-GB"/>
        </w:rPr>
        <w:t>2024</w:t>
      </w:r>
      <w:r w:rsidR="00B87F0A" w:rsidRPr="00A53DE2">
        <w:rPr>
          <w:rFonts w:ascii="Palatino Linotype" w:hAnsi="Palatino Linotype"/>
          <w:sz w:val="18"/>
          <w:szCs w:val="18"/>
          <w:lang w:val="en-GB"/>
        </w:rPr>
        <w:t>, 13, 9.</w:t>
      </w:r>
    </w:p>
    <w:p w14:paraId="45D33D8F" w14:textId="423AC3B8" w:rsidR="00B87F0A" w:rsidRPr="00A53DE2" w:rsidRDefault="000152CD" w:rsidP="009D3DA6">
      <w:pPr>
        <w:pStyle w:val="NoSpacing1"/>
        <w:rPr>
          <w:rFonts w:ascii="Palatino Linotype" w:hAnsi="Palatino Linotype"/>
          <w:sz w:val="18"/>
          <w:szCs w:val="18"/>
        </w:rPr>
      </w:pPr>
      <w:r>
        <w:rPr>
          <w:rFonts w:ascii="Palatino Linotype" w:hAnsi="Palatino Linotype"/>
          <w:sz w:val="18"/>
          <w:szCs w:val="18"/>
        </w:rPr>
        <w:t>49</w:t>
      </w:r>
      <w:r w:rsidR="00B87F0A" w:rsidRPr="00A53DE2">
        <w:rPr>
          <w:rFonts w:ascii="Palatino Linotype" w:hAnsi="Palatino Linotype"/>
          <w:sz w:val="18"/>
          <w:szCs w:val="18"/>
        </w:rPr>
        <w:t>.</w:t>
      </w:r>
      <w:r w:rsidR="00B87F0A" w:rsidRPr="00A53DE2">
        <w:rPr>
          <w:rFonts w:ascii="Palatino Linotype" w:hAnsi="Palatino Linotype"/>
          <w:sz w:val="18"/>
          <w:szCs w:val="18"/>
        </w:rPr>
        <w:tab/>
        <w:t>World Health Organization. Strengthening primary health care-oriented health systems to address antimicrobial resistance: Policy brief. 2025. Available at URL: https://www.who.int/publications/i/item/9789240111929</w:t>
      </w:r>
      <w:r w:rsidR="00246D03">
        <w:rPr>
          <w:rFonts w:ascii="Palatino Linotype" w:hAnsi="Palatino Linotype"/>
          <w:sz w:val="18"/>
          <w:szCs w:val="18"/>
        </w:rPr>
        <w:t xml:space="preserve"> (Accessed 18 November 2025)</w:t>
      </w:r>
    </w:p>
    <w:p w14:paraId="5763032C" w14:textId="5515F321" w:rsidR="00B87F0A" w:rsidRPr="00A53DE2" w:rsidRDefault="00B87F0A" w:rsidP="009D3DA6">
      <w:pPr>
        <w:pStyle w:val="NoSpacing1"/>
        <w:rPr>
          <w:rFonts w:ascii="Palatino Linotype" w:hAnsi="Palatino Linotype"/>
          <w:sz w:val="18"/>
          <w:szCs w:val="18"/>
        </w:rPr>
      </w:pPr>
      <w:r w:rsidRPr="00A53DE2">
        <w:rPr>
          <w:rFonts w:ascii="Palatino Linotype" w:hAnsi="Palatino Linotype"/>
          <w:sz w:val="18"/>
          <w:szCs w:val="18"/>
        </w:rPr>
        <w:t>5</w:t>
      </w:r>
      <w:r w:rsidR="000152CD">
        <w:rPr>
          <w:rFonts w:ascii="Palatino Linotype" w:hAnsi="Palatino Linotype"/>
          <w:sz w:val="18"/>
          <w:szCs w:val="18"/>
        </w:rPr>
        <w:t>0</w:t>
      </w:r>
      <w:r w:rsidRPr="00A53DE2">
        <w:rPr>
          <w:rFonts w:ascii="Palatino Linotype" w:hAnsi="Palatino Linotype"/>
          <w:sz w:val="18"/>
          <w:szCs w:val="18"/>
        </w:rPr>
        <w:t>.</w:t>
      </w:r>
      <w:r w:rsidRPr="00A53DE2">
        <w:rPr>
          <w:rFonts w:ascii="Palatino Linotype" w:hAnsi="Palatino Linotype"/>
          <w:sz w:val="18"/>
          <w:szCs w:val="18"/>
        </w:rPr>
        <w:tab/>
      </w:r>
      <w:r w:rsidRPr="00A53DE2">
        <w:rPr>
          <w:rFonts w:ascii="Palatino Linotype" w:hAnsi="Palatino Linotype"/>
          <w:sz w:val="18"/>
          <w:szCs w:val="18"/>
          <w:lang w:val="en-GB"/>
        </w:rPr>
        <w:t xml:space="preserve">Zanichelli, V.; Sharland, M.; Cappello, B.; Moja, L.; Getahun, H.; Pessoa-Silva, C.; Sati, H.; van Weezenbeek, C.; Balkhy, H.; Sim.o, M.; et al. The WHO AWaRe (Access, Watch, Reserve) antibiotic book and prevention of antimicrobial resistance. Bull. World Health Organ. </w:t>
      </w:r>
      <w:r w:rsidRPr="00A53DE2">
        <w:rPr>
          <w:rFonts w:ascii="Palatino Linotype" w:hAnsi="Palatino Linotype"/>
          <w:b/>
          <w:bCs/>
          <w:sz w:val="18"/>
          <w:szCs w:val="18"/>
          <w:lang w:val="en-GB"/>
        </w:rPr>
        <w:t>2023</w:t>
      </w:r>
      <w:r w:rsidRPr="00A53DE2">
        <w:rPr>
          <w:rFonts w:ascii="Palatino Linotype" w:hAnsi="Palatino Linotype"/>
          <w:sz w:val="18"/>
          <w:szCs w:val="18"/>
          <w:lang w:val="en-GB"/>
        </w:rPr>
        <w:t>, 101, 290–296.</w:t>
      </w:r>
    </w:p>
    <w:p w14:paraId="0C7DA633" w14:textId="650E72D9" w:rsidR="00B87F0A" w:rsidRPr="00A53DE2" w:rsidRDefault="00B87F0A" w:rsidP="009D3DA6">
      <w:pPr>
        <w:pStyle w:val="NoSpacing1"/>
        <w:rPr>
          <w:rFonts w:ascii="Palatino Linotype" w:hAnsi="Palatino Linotype"/>
          <w:sz w:val="18"/>
          <w:szCs w:val="18"/>
        </w:rPr>
      </w:pPr>
      <w:r w:rsidRPr="00A53DE2">
        <w:rPr>
          <w:rFonts w:ascii="Palatino Linotype" w:hAnsi="Palatino Linotype"/>
          <w:sz w:val="18"/>
          <w:szCs w:val="18"/>
        </w:rPr>
        <w:t>5</w:t>
      </w:r>
      <w:r w:rsidR="000152CD">
        <w:rPr>
          <w:rFonts w:ascii="Palatino Linotype" w:hAnsi="Palatino Linotype"/>
          <w:sz w:val="18"/>
          <w:szCs w:val="18"/>
        </w:rPr>
        <w:t>1</w:t>
      </w:r>
      <w:r w:rsidRPr="00A53DE2">
        <w:rPr>
          <w:rFonts w:ascii="Palatino Linotype" w:hAnsi="Palatino Linotype"/>
          <w:sz w:val="18"/>
          <w:szCs w:val="18"/>
        </w:rPr>
        <w:t>.</w:t>
      </w:r>
      <w:r w:rsidRPr="00A53DE2">
        <w:rPr>
          <w:rFonts w:ascii="Palatino Linotype" w:hAnsi="Palatino Linotype"/>
          <w:sz w:val="18"/>
          <w:szCs w:val="18"/>
        </w:rPr>
        <w:tab/>
        <w:t>Moja L, Zanichelli V, Mertz D, Gandra S, Cappello B, Cooke GS, et al. WHO's essential medicines and AWaRe: recommendations on first- and second-choice antibiotics for empiric treatment of clinical infections. Clin Microbiol Infect. 2024;30 Suppl 2:S1-s51.</w:t>
      </w:r>
    </w:p>
    <w:p w14:paraId="4B5DA5A1" w14:textId="7658D93A" w:rsidR="00B87F0A" w:rsidRPr="00A53DE2" w:rsidRDefault="00B87F0A" w:rsidP="009D3DA6">
      <w:pPr>
        <w:pStyle w:val="NoSpacing1"/>
        <w:rPr>
          <w:rFonts w:ascii="Palatino Linotype" w:hAnsi="Palatino Linotype"/>
          <w:sz w:val="18"/>
          <w:szCs w:val="18"/>
          <w:lang w:val="en-GB"/>
        </w:rPr>
      </w:pPr>
      <w:r w:rsidRPr="00A53DE2">
        <w:rPr>
          <w:rFonts w:ascii="Palatino Linotype" w:hAnsi="Palatino Linotype"/>
          <w:sz w:val="18"/>
          <w:szCs w:val="18"/>
        </w:rPr>
        <w:t>5</w:t>
      </w:r>
      <w:r w:rsidR="000152CD">
        <w:rPr>
          <w:rFonts w:ascii="Palatino Linotype" w:hAnsi="Palatino Linotype"/>
          <w:sz w:val="18"/>
          <w:szCs w:val="18"/>
        </w:rPr>
        <w:t>2</w:t>
      </w:r>
      <w:r w:rsidRPr="00A53DE2">
        <w:rPr>
          <w:rFonts w:ascii="Palatino Linotype" w:hAnsi="Palatino Linotype"/>
          <w:sz w:val="18"/>
          <w:szCs w:val="18"/>
        </w:rPr>
        <w:t>.</w:t>
      </w:r>
      <w:r w:rsidRPr="00A53DE2">
        <w:rPr>
          <w:rFonts w:ascii="Palatino Linotype" w:hAnsi="Palatino Linotype"/>
          <w:sz w:val="18"/>
          <w:szCs w:val="18"/>
        </w:rPr>
        <w:tab/>
      </w:r>
      <w:r w:rsidRPr="00A53DE2">
        <w:rPr>
          <w:rFonts w:ascii="Palatino Linotype" w:hAnsi="Palatino Linotype"/>
          <w:sz w:val="18"/>
          <w:szCs w:val="18"/>
          <w:lang w:val="en-GB"/>
        </w:rPr>
        <w:t xml:space="preserve">Saleem, Z.; Moore, C.E.; Kalungia, A.C.; Schellack, N.; Ogunleye, O.; Chigome, A.; Chowdhury, K.; Kitutu, F.E.; Massele, A.; Ramdas, N.; et al. Status and implications of the knowledge, attitudes and practices towards AWaRe antibiotic use, resistance andstewardship among low- and middle-income countries. JAC-Antimicrob. Resist. </w:t>
      </w:r>
      <w:r w:rsidRPr="00A53DE2">
        <w:rPr>
          <w:rFonts w:ascii="Palatino Linotype" w:hAnsi="Palatino Linotype"/>
          <w:b/>
          <w:bCs/>
          <w:sz w:val="18"/>
          <w:szCs w:val="18"/>
          <w:lang w:val="en-GB"/>
        </w:rPr>
        <w:t>2025</w:t>
      </w:r>
      <w:r w:rsidRPr="00A53DE2">
        <w:rPr>
          <w:rFonts w:ascii="Palatino Linotype" w:hAnsi="Palatino Linotype"/>
          <w:sz w:val="18"/>
          <w:szCs w:val="18"/>
          <w:lang w:val="en-GB"/>
        </w:rPr>
        <w:t>, 7, dlaf033.</w:t>
      </w:r>
    </w:p>
    <w:p w14:paraId="62A7E6AE" w14:textId="49928393" w:rsidR="00B87F0A" w:rsidRPr="00A53DE2" w:rsidRDefault="00B87F0A" w:rsidP="009D3DA6">
      <w:pPr>
        <w:pStyle w:val="NoSpacing1"/>
        <w:rPr>
          <w:rFonts w:ascii="Palatino Linotype" w:hAnsi="Palatino Linotype"/>
          <w:sz w:val="18"/>
          <w:szCs w:val="18"/>
          <w:lang w:val="en-GB"/>
        </w:rPr>
      </w:pPr>
      <w:r w:rsidRPr="00A53DE2">
        <w:rPr>
          <w:rFonts w:ascii="Palatino Linotype" w:hAnsi="Palatino Linotype"/>
          <w:sz w:val="18"/>
          <w:szCs w:val="18"/>
        </w:rPr>
        <w:t>5</w:t>
      </w:r>
      <w:r w:rsidR="000152CD">
        <w:rPr>
          <w:rFonts w:ascii="Palatino Linotype" w:hAnsi="Palatino Linotype"/>
          <w:sz w:val="18"/>
          <w:szCs w:val="18"/>
        </w:rPr>
        <w:t>3</w:t>
      </w:r>
      <w:r w:rsidRPr="00A53DE2">
        <w:rPr>
          <w:rFonts w:ascii="Palatino Linotype" w:hAnsi="Palatino Linotype"/>
          <w:sz w:val="18"/>
          <w:szCs w:val="18"/>
        </w:rPr>
        <w:t>.</w:t>
      </w:r>
      <w:r w:rsidRPr="00A53DE2">
        <w:rPr>
          <w:rFonts w:ascii="Palatino Linotype" w:hAnsi="Palatino Linotype"/>
          <w:sz w:val="18"/>
          <w:szCs w:val="18"/>
        </w:rPr>
        <w:tab/>
        <w:t>Namugambe JS, Heath A, Almadhoon H, Campbell S, Godman B, Sharland M, et al. P95 Assessing the feasibility of implementing AWaRe-based quality indicators into existing antimicrobial use surveillance systems: a data re-use strategy. JAC-Antimicrobial Resistance. 2025;7(Supplement_4).</w:t>
      </w:r>
    </w:p>
    <w:p w14:paraId="5E498F34" w14:textId="14CE81D6" w:rsidR="00B87F0A" w:rsidRPr="00A53DE2" w:rsidRDefault="000152CD" w:rsidP="009D3DA6">
      <w:pPr>
        <w:pStyle w:val="NoSpacing1"/>
        <w:rPr>
          <w:rFonts w:ascii="Palatino Linotype" w:hAnsi="Palatino Linotype"/>
          <w:sz w:val="18"/>
          <w:szCs w:val="18"/>
          <w:lang w:val="en-GB"/>
        </w:rPr>
      </w:pPr>
      <w:r>
        <w:rPr>
          <w:rFonts w:ascii="Palatino Linotype" w:hAnsi="Palatino Linotype"/>
          <w:sz w:val="18"/>
          <w:szCs w:val="18"/>
        </w:rPr>
        <w:t>54</w:t>
      </w:r>
      <w:r w:rsidR="00B87F0A" w:rsidRPr="00A53DE2">
        <w:rPr>
          <w:rFonts w:ascii="Palatino Linotype" w:hAnsi="Palatino Linotype"/>
          <w:sz w:val="18"/>
          <w:szCs w:val="18"/>
        </w:rPr>
        <w:t>.</w:t>
      </w:r>
      <w:r w:rsidR="00B87F0A" w:rsidRPr="00A53DE2">
        <w:rPr>
          <w:rFonts w:ascii="Palatino Linotype" w:hAnsi="Palatino Linotype"/>
          <w:sz w:val="18"/>
          <w:szCs w:val="18"/>
        </w:rPr>
        <w:tab/>
      </w:r>
      <w:r w:rsidR="00B87F0A" w:rsidRPr="00A53DE2">
        <w:rPr>
          <w:rFonts w:ascii="Palatino Linotype" w:hAnsi="Palatino Linotype"/>
          <w:sz w:val="18"/>
          <w:szCs w:val="18"/>
          <w:lang w:val="en-GB"/>
        </w:rPr>
        <w:t xml:space="preserve">Funiciello, E.; Lorenzetti, G.; Cook, A.; Goelen, J.; Moore, C.E.; Campbell, S.M.; Godman, B.; Tong, D.; Huttner, B.; Chuki, P.; et al. Identifying AWaRe indicators for appropriate antibiotic use: A narrative review. J. Antimicrob. Chemother. </w:t>
      </w:r>
      <w:r w:rsidR="00B87F0A" w:rsidRPr="00A53DE2">
        <w:rPr>
          <w:rFonts w:ascii="Palatino Linotype" w:hAnsi="Palatino Linotype"/>
          <w:b/>
          <w:bCs/>
          <w:sz w:val="18"/>
          <w:szCs w:val="18"/>
          <w:lang w:val="en-GB"/>
        </w:rPr>
        <w:t>2024</w:t>
      </w:r>
      <w:r w:rsidR="00B87F0A" w:rsidRPr="00A53DE2">
        <w:rPr>
          <w:rFonts w:ascii="Palatino Linotype" w:hAnsi="Palatino Linotype"/>
          <w:sz w:val="18"/>
          <w:szCs w:val="18"/>
          <w:lang w:val="en-GB"/>
        </w:rPr>
        <w:t>, 79, 3063–3077.</w:t>
      </w:r>
    </w:p>
    <w:p w14:paraId="4707B09B" w14:textId="5157A3A4" w:rsidR="00B87F0A" w:rsidRPr="00A53DE2" w:rsidRDefault="000152CD" w:rsidP="009D3DA6">
      <w:pPr>
        <w:pStyle w:val="NoSpacing1"/>
        <w:rPr>
          <w:rFonts w:ascii="Palatino Linotype" w:hAnsi="Palatino Linotype"/>
          <w:sz w:val="18"/>
          <w:szCs w:val="18"/>
        </w:rPr>
      </w:pPr>
      <w:r>
        <w:rPr>
          <w:rFonts w:ascii="Palatino Linotype" w:hAnsi="Palatino Linotype"/>
          <w:sz w:val="18"/>
          <w:szCs w:val="18"/>
          <w:lang w:val="fr-CD"/>
        </w:rPr>
        <w:t>55</w:t>
      </w:r>
      <w:r w:rsidR="00B87F0A" w:rsidRPr="00A53DE2">
        <w:rPr>
          <w:rFonts w:ascii="Palatino Linotype" w:hAnsi="Palatino Linotype"/>
          <w:sz w:val="18"/>
          <w:szCs w:val="18"/>
          <w:lang w:val="fr-CD"/>
        </w:rPr>
        <w:t>.</w:t>
      </w:r>
      <w:r w:rsidR="00B87F0A" w:rsidRPr="00A53DE2">
        <w:rPr>
          <w:rFonts w:ascii="Palatino Linotype" w:hAnsi="Palatino Linotype"/>
          <w:sz w:val="18"/>
          <w:szCs w:val="18"/>
          <w:lang w:val="fr-CD"/>
        </w:rPr>
        <w:tab/>
        <w:t xml:space="preserve">Le Maréchal M, Tebano G, Monnier AA, Adriaenssens N, Gyssens IC, Huttner B, et al. </w:t>
      </w:r>
      <w:r w:rsidR="00B87F0A" w:rsidRPr="00A53DE2">
        <w:rPr>
          <w:rFonts w:ascii="Palatino Linotype" w:hAnsi="Palatino Linotype"/>
          <w:sz w:val="18"/>
          <w:szCs w:val="18"/>
        </w:rPr>
        <w:t>Quality indicators assessing antibiotic use in the outpatient setting: a systematic review followed by an international multidisciplinary consensus procedure. J Antimicrob Chemother. 2018;73(suppl_6):vi40-vi9.</w:t>
      </w:r>
    </w:p>
    <w:p w14:paraId="0D0F07AC" w14:textId="2A2DAD8F" w:rsidR="00B87F0A" w:rsidRPr="00A53DE2" w:rsidRDefault="000152CD" w:rsidP="009D3DA6">
      <w:pPr>
        <w:pStyle w:val="NoSpacing1"/>
        <w:rPr>
          <w:rFonts w:ascii="Palatino Linotype" w:hAnsi="Palatino Linotype"/>
          <w:sz w:val="18"/>
          <w:szCs w:val="18"/>
        </w:rPr>
      </w:pPr>
      <w:r>
        <w:rPr>
          <w:rFonts w:ascii="Palatino Linotype" w:hAnsi="Palatino Linotype"/>
          <w:sz w:val="18"/>
          <w:szCs w:val="18"/>
        </w:rPr>
        <w:t>56</w:t>
      </w:r>
      <w:r w:rsidR="00B87F0A" w:rsidRPr="00A53DE2">
        <w:rPr>
          <w:rFonts w:ascii="Palatino Linotype" w:hAnsi="Palatino Linotype"/>
          <w:sz w:val="18"/>
          <w:szCs w:val="18"/>
        </w:rPr>
        <w:t>.</w:t>
      </w:r>
      <w:r w:rsidR="00B87F0A" w:rsidRPr="00A53DE2">
        <w:rPr>
          <w:rFonts w:ascii="Palatino Linotype" w:hAnsi="Palatino Linotype"/>
          <w:sz w:val="18"/>
          <w:szCs w:val="18"/>
        </w:rPr>
        <w:tab/>
        <w:t>Kim B, Lee MJ, Park SY, Moon SM, Song KH, Kim TH, et al. Development of key quality indicators for appropriate antibiotic use in the Republic of Korea: results of a modified Delphi survey. Antimicrob Resist Infect Control. 2021;10(1):48.</w:t>
      </w:r>
    </w:p>
    <w:p w14:paraId="14A61167" w14:textId="35681EC4" w:rsidR="00B87F0A" w:rsidRPr="00A53DE2" w:rsidRDefault="000152CD" w:rsidP="009D3DA6">
      <w:pPr>
        <w:pStyle w:val="NoSpacing1"/>
        <w:rPr>
          <w:rFonts w:ascii="Palatino Linotype" w:hAnsi="Palatino Linotype"/>
          <w:sz w:val="18"/>
          <w:szCs w:val="18"/>
        </w:rPr>
      </w:pPr>
      <w:r>
        <w:rPr>
          <w:rFonts w:ascii="Palatino Linotype" w:hAnsi="Palatino Linotype"/>
          <w:sz w:val="18"/>
          <w:szCs w:val="18"/>
        </w:rPr>
        <w:t>57</w:t>
      </w:r>
      <w:r w:rsidR="00B87F0A" w:rsidRPr="00A53DE2">
        <w:rPr>
          <w:rFonts w:ascii="Palatino Linotype" w:hAnsi="Palatino Linotype"/>
          <w:sz w:val="18"/>
          <w:szCs w:val="18"/>
        </w:rPr>
        <w:t>.</w:t>
      </w:r>
      <w:r w:rsidR="00B87F0A" w:rsidRPr="00A53DE2">
        <w:rPr>
          <w:rFonts w:ascii="Palatino Linotype" w:hAnsi="Palatino Linotype"/>
          <w:sz w:val="18"/>
          <w:szCs w:val="18"/>
        </w:rPr>
        <w:tab/>
        <w:t>de Bie S, Kaguelidou F, Verhamme KM, De Ridder M, Picelli G, Straus SM, et al. Using Prescription Patterns in Primary Care to Derive New Quality Indicators for Childhood Community Antibiotic Prescribing. Pediatr Infect Dis J. 2016;35(12):1317-23.</w:t>
      </w:r>
    </w:p>
    <w:p w14:paraId="41F64D92" w14:textId="76711A8B" w:rsidR="00B87F0A" w:rsidRPr="00A53DE2" w:rsidRDefault="000152CD" w:rsidP="009D3DA6">
      <w:pPr>
        <w:pStyle w:val="NoSpacing1"/>
        <w:rPr>
          <w:rFonts w:ascii="Palatino Linotype" w:hAnsi="Palatino Linotype"/>
          <w:sz w:val="18"/>
          <w:szCs w:val="18"/>
        </w:rPr>
      </w:pPr>
      <w:r>
        <w:rPr>
          <w:rFonts w:ascii="Palatino Linotype" w:hAnsi="Palatino Linotype"/>
          <w:sz w:val="18"/>
          <w:szCs w:val="18"/>
        </w:rPr>
        <w:t>58</w:t>
      </w:r>
      <w:r w:rsidR="00B87F0A" w:rsidRPr="00A53DE2">
        <w:rPr>
          <w:rFonts w:ascii="Palatino Linotype" w:hAnsi="Palatino Linotype"/>
          <w:sz w:val="18"/>
          <w:szCs w:val="18"/>
        </w:rPr>
        <w:t>.</w:t>
      </w:r>
      <w:r w:rsidR="00B87F0A" w:rsidRPr="00A53DE2">
        <w:rPr>
          <w:rFonts w:ascii="Palatino Linotype" w:hAnsi="Palatino Linotype"/>
          <w:sz w:val="18"/>
          <w:szCs w:val="18"/>
        </w:rPr>
        <w:tab/>
        <w:t>Leung V, Langford BJ, Ha R, Schwartz KL. Metrics for evaluating antibiotic use and prescribing in outpatient settings. JAC Antimicrob Resist. 2021;3(3):dlab098.</w:t>
      </w:r>
    </w:p>
    <w:p w14:paraId="210AB9E0" w14:textId="6C14426D" w:rsidR="00B87F0A" w:rsidRPr="00A53DE2" w:rsidRDefault="000152CD" w:rsidP="009D3DA6">
      <w:pPr>
        <w:pStyle w:val="NoSpacing1"/>
        <w:rPr>
          <w:rFonts w:ascii="Palatino Linotype" w:hAnsi="Palatino Linotype"/>
          <w:sz w:val="18"/>
          <w:szCs w:val="18"/>
        </w:rPr>
      </w:pPr>
      <w:r>
        <w:rPr>
          <w:rFonts w:ascii="Palatino Linotype" w:hAnsi="Palatino Linotype"/>
          <w:sz w:val="18"/>
          <w:szCs w:val="18"/>
        </w:rPr>
        <w:t>59</w:t>
      </w:r>
      <w:r w:rsidR="00B87F0A" w:rsidRPr="00A53DE2">
        <w:rPr>
          <w:rFonts w:ascii="Palatino Linotype" w:hAnsi="Palatino Linotype"/>
          <w:sz w:val="18"/>
          <w:szCs w:val="18"/>
        </w:rPr>
        <w:t>.</w:t>
      </w:r>
      <w:r w:rsidR="00B87F0A" w:rsidRPr="00A53DE2">
        <w:rPr>
          <w:rFonts w:ascii="Palatino Linotype" w:hAnsi="Palatino Linotype"/>
          <w:sz w:val="18"/>
          <w:szCs w:val="18"/>
        </w:rPr>
        <w:tab/>
        <w:t>van den Bosch CM, Geerlings SE, Natsch S, Prins JM, Hulscher ME. Quality indicators to measure appropriate antibiotic use in hospitalized adults. Clin Infect Dis. 2015;60(2):281-91.</w:t>
      </w:r>
    </w:p>
    <w:p w14:paraId="3DE8FCCA" w14:textId="13E94D32" w:rsidR="00B87F0A" w:rsidRPr="00A53DE2" w:rsidRDefault="00B87F0A" w:rsidP="009D3DA6">
      <w:pPr>
        <w:pStyle w:val="NoSpacing1"/>
        <w:rPr>
          <w:rFonts w:ascii="Palatino Linotype" w:hAnsi="Palatino Linotype"/>
          <w:sz w:val="18"/>
          <w:szCs w:val="18"/>
        </w:rPr>
      </w:pPr>
      <w:r w:rsidRPr="00A53DE2">
        <w:rPr>
          <w:rFonts w:ascii="Palatino Linotype" w:hAnsi="Palatino Linotype"/>
          <w:sz w:val="18"/>
          <w:szCs w:val="18"/>
        </w:rPr>
        <w:t>6</w:t>
      </w:r>
      <w:r w:rsidR="000152CD">
        <w:rPr>
          <w:rFonts w:ascii="Palatino Linotype" w:hAnsi="Palatino Linotype"/>
          <w:sz w:val="18"/>
          <w:szCs w:val="18"/>
        </w:rPr>
        <w:t>0</w:t>
      </w:r>
      <w:r w:rsidRPr="00A53DE2">
        <w:rPr>
          <w:rFonts w:ascii="Palatino Linotype" w:hAnsi="Palatino Linotype"/>
          <w:sz w:val="18"/>
          <w:szCs w:val="18"/>
        </w:rPr>
        <w:t>.</w:t>
      </w:r>
      <w:r w:rsidRPr="00A53DE2">
        <w:rPr>
          <w:rFonts w:ascii="Palatino Linotype" w:hAnsi="Palatino Linotype"/>
          <w:sz w:val="18"/>
          <w:szCs w:val="18"/>
        </w:rPr>
        <w:tab/>
        <w:t>March-López P, Madridejos R, Tomas R, Boix-Palop L, Arcenillas P, Gómez L, et al. Applicability of outpatient quality indicators for appropriate antibiotic use in a primary health care area: A point prevalence survey. Antimicrobial Agents and Chemotherapy. 2020;64(11).</w:t>
      </w:r>
    </w:p>
    <w:p w14:paraId="2E369738" w14:textId="78432218" w:rsidR="00B87F0A" w:rsidRPr="00A53DE2" w:rsidRDefault="00B87F0A" w:rsidP="009D3DA6">
      <w:pPr>
        <w:pStyle w:val="NoSpacing1"/>
        <w:rPr>
          <w:rFonts w:ascii="Palatino Linotype" w:hAnsi="Palatino Linotype"/>
          <w:sz w:val="18"/>
          <w:szCs w:val="18"/>
        </w:rPr>
      </w:pPr>
      <w:r w:rsidRPr="00A53DE2">
        <w:rPr>
          <w:rFonts w:ascii="Palatino Linotype" w:hAnsi="Palatino Linotype"/>
          <w:sz w:val="18"/>
          <w:szCs w:val="18"/>
        </w:rPr>
        <w:t>6</w:t>
      </w:r>
      <w:r w:rsidR="000152CD">
        <w:rPr>
          <w:rFonts w:ascii="Palatino Linotype" w:hAnsi="Palatino Linotype"/>
          <w:sz w:val="18"/>
          <w:szCs w:val="18"/>
        </w:rPr>
        <w:t>1</w:t>
      </w:r>
      <w:r w:rsidRPr="00A53DE2">
        <w:rPr>
          <w:rFonts w:ascii="Palatino Linotype" w:hAnsi="Palatino Linotype"/>
          <w:sz w:val="18"/>
          <w:szCs w:val="18"/>
        </w:rPr>
        <w:t>.</w:t>
      </w:r>
      <w:r w:rsidRPr="00A53DE2">
        <w:rPr>
          <w:rFonts w:ascii="Palatino Linotype" w:hAnsi="Palatino Linotype"/>
          <w:sz w:val="18"/>
          <w:szCs w:val="18"/>
        </w:rPr>
        <w:tab/>
        <w:t>van den Eijnde SEJD, van der Linden PD, van der Velden AW. Diagnosis-linked antibiotic prescribing quality indicators: demonstrating feasibility using practice-based routine primary care data, reliability, validity and their potential in antimicrobial stewardship. Journal of Antimicrobial Chemotherapy. 2024;79(4):767-73.</w:t>
      </w:r>
    </w:p>
    <w:p w14:paraId="7F53FDE8" w14:textId="427FF5FE" w:rsidR="00B87F0A" w:rsidRPr="00A53DE2" w:rsidRDefault="00B87F0A" w:rsidP="009D3DA6">
      <w:pPr>
        <w:pStyle w:val="NoSpacing1"/>
        <w:rPr>
          <w:rFonts w:ascii="Palatino Linotype" w:hAnsi="Palatino Linotype"/>
          <w:sz w:val="18"/>
          <w:szCs w:val="18"/>
          <w:lang w:val="pt-PT"/>
        </w:rPr>
      </w:pPr>
      <w:r w:rsidRPr="00A53DE2">
        <w:rPr>
          <w:rFonts w:ascii="Palatino Linotype" w:hAnsi="Palatino Linotype"/>
          <w:sz w:val="18"/>
          <w:szCs w:val="18"/>
        </w:rPr>
        <w:t>6</w:t>
      </w:r>
      <w:r w:rsidR="000152CD">
        <w:rPr>
          <w:rFonts w:ascii="Palatino Linotype" w:hAnsi="Palatino Linotype"/>
          <w:sz w:val="18"/>
          <w:szCs w:val="18"/>
        </w:rPr>
        <w:t>2</w:t>
      </w:r>
      <w:r w:rsidRPr="00A53DE2">
        <w:rPr>
          <w:rFonts w:ascii="Palatino Linotype" w:hAnsi="Palatino Linotype"/>
          <w:sz w:val="18"/>
          <w:szCs w:val="18"/>
        </w:rPr>
        <w:t>.</w:t>
      </w:r>
      <w:r w:rsidRPr="00A53DE2">
        <w:rPr>
          <w:rFonts w:ascii="Palatino Linotype" w:hAnsi="Palatino Linotype"/>
          <w:sz w:val="18"/>
          <w:szCs w:val="18"/>
        </w:rPr>
        <w:tab/>
        <w:t xml:space="preserve">Vellinga A, Luke-Currier A, Garzón-Orjuela N, Aabenhus R, Anastasaki M, Balan A, et al. Disease-Specific Quality Indicators for Outpatient Antibiotic Prescribing for Respiratory Infections (ESAC Quality Indicators) Applied to Point Prevalence Audit Surveys in General Practices in 13 European Countries. </w:t>
      </w:r>
      <w:r w:rsidRPr="00A53DE2">
        <w:rPr>
          <w:rFonts w:ascii="Palatino Linotype" w:hAnsi="Palatino Linotype"/>
          <w:sz w:val="18"/>
          <w:szCs w:val="18"/>
          <w:lang w:val="pt-PT"/>
        </w:rPr>
        <w:t>Antibiotics. 2023;12(3):572-.</w:t>
      </w:r>
    </w:p>
    <w:p w14:paraId="4E6675B9" w14:textId="68323285" w:rsidR="00B87F0A" w:rsidRPr="00A53DE2" w:rsidRDefault="000152CD" w:rsidP="009D3DA6">
      <w:pPr>
        <w:pStyle w:val="NoSpacing1"/>
        <w:rPr>
          <w:rFonts w:ascii="Palatino Linotype" w:hAnsi="Palatino Linotype"/>
          <w:sz w:val="18"/>
          <w:szCs w:val="18"/>
          <w:lang w:val="en-GB"/>
        </w:rPr>
      </w:pPr>
      <w:r>
        <w:rPr>
          <w:rFonts w:ascii="Palatino Linotype" w:hAnsi="Palatino Linotype"/>
          <w:sz w:val="18"/>
          <w:szCs w:val="18"/>
        </w:rPr>
        <w:t>63</w:t>
      </w:r>
      <w:r w:rsidR="00B87F0A" w:rsidRPr="00A53DE2">
        <w:rPr>
          <w:rFonts w:ascii="Palatino Linotype" w:hAnsi="Palatino Linotype"/>
          <w:sz w:val="18"/>
          <w:szCs w:val="18"/>
        </w:rPr>
        <w:t>.</w:t>
      </w:r>
      <w:r w:rsidR="00B87F0A" w:rsidRPr="00A53DE2">
        <w:rPr>
          <w:rFonts w:ascii="Palatino Linotype" w:hAnsi="Palatino Linotype"/>
          <w:sz w:val="18"/>
          <w:szCs w:val="18"/>
        </w:rPr>
        <w:tab/>
      </w:r>
      <w:r w:rsidR="00B87F0A" w:rsidRPr="00A53DE2">
        <w:rPr>
          <w:rFonts w:ascii="Palatino Linotype" w:hAnsi="Palatino Linotype"/>
          <w:sz w:val="18"/>
          <w:szCs w:val="18"/>
          <w:lang w:val="en-GB"/>
        </w:rPr>
        <w:t xml:space="preserve">Chigome, A.; Ramdas, N.; Skosana, P.; Cook, A.; Schellack, N.; Campbell, S.; Lorenzetti, G.; Saleem, Z.; Godman, B.; Meyer, J.C. A Narrative Review of Antibiotic Prescribing Practices in Primary Care Settings in South Africa and Potential Ways Forward to Reduce Antimicrobial Resistance. Antibiotics </w:t>
      </w:r>
      <w:r w:rsidR="00B87F0A" w:rsidRPr="00A53DE2">
        <w:rPr>
          <w:rFonts w:ascii="Palatino Linotype" w:hAnsi="Palatino Linotype"/>
          <w:b/>
          <w:bCs/>
          <w:sz w:val="18"/>
          <w:szCs w:val="18"/>
          <w:lang w:val="en-GB"/>
        </w:rPr>
        <w:t>2023</w:t>
      </w:r>
      <w:r w:rsidR="00B87F0A" w:rsidRPr="00A53DE2">
        <w:rPr>
          <w:rFonts w:ascii="Palatino Linotype" w:hAnsi="Palatino Linotype"/>
          <w:sz w:val="18"/>
          <w:szCs w:val="18"/>
          <w:lang w:val="en-GB"/>
        </w:rPr>
        <w:t>, 12, 1540.</w:t>
      </w:r>
    </w:p>
    <w:p w14:paraId="22D947FB" w14:textId="4E0D32E2" w:rsidR="00B87F0A" w:rsidRPr="00A53DE2" w:rsidRDefault="000152CD" w:rsidP="009D3DA6">
      <w:pPr>
        <w:pStyle w:val="NoSpacing1"/>
        <w:rPr>
          <w:rFonts w:ascii="Palatino Linotype" w:hAnsi="Palatino Linotype"/>
          <w:sz w:val="18"/>
          <w:szCs w:val="18"/>
        </w:rPr>
      </w:pPr>
      <w:r>
        <w:rPr>
          <w:rFonts w:ascii="Palatino Linotype" w:hAnsi="Palatino Linotype"/>
          <w:sz w:val="18"/>
          <w:szCs w:val="18"/>
        </w:rPr>
        <w:t>6</w:t>
      </w:r>
      <w:r w:rsidR="00B87F0A" w:rsidRPr="00A53DE2">
        <w:rPr>
          <w:rFonts w:ascii="Palatino Linotype" w:hAnsi="Palatino Linotype"/>
          <w:sz w:val="18"/>
          <w:szCs w:val="18"/>
        </w:rPr>
        <w:t>4.</w:t>
      </w:r>
      <w:r w:rsidR="00B87F0A" w:rsidRPr="00A53DE2">
        <w:rPr>
          <w:rFonts w:ascii="Palatino Linotype" w:hAnsi="Palatino Linotype"/>
          <w:sz w:val="18"/>
          <w:szCs w:val="18"/>
        </w:rPr>
        <w:tab/>
        <w:t>Ncube NB, Solanki GC, Kredo T, Lalloo R. Antibiotic prescription patterns of South African general medical practitioners for treatment of acute bronchitis. S Afr Med J. 2017;107(2):119-22.</w:t>
      </w:r>
    </w:p>
    <w:p w14:paraId="04AB245B" w14:textId="6B65F977" w:rsidR="00B87F0A" w:rsidRPr="00A53DE2" w:rsidRDefault="000152CD" w:rsidP="009D3DA6">
      <w:pPr>
        <w:pStyle w:val="NoSpacing1"/>
        <w:rPr>
          <w:rFonts w:ascii="Palatino Linotype" w:hAnsi="Palatino Linotype"/>
          <w:sz w:val="18"/>
          <w:szCs w:val="18"/>
          <w:lang w:val="en-GB"/>
        </w:rPr>
      </w:pPr>
      <w:r>
        <w:rPr>
          <w:rFonts w:ascii="Palatino Linotype" w:hAnsi="Palatino Linotype"/>
          <w:sz w:val="18"/>
          <w:szCs w:val="18"/>
        </w:rPr>
        <w:t>6</w:t>
      </w:r>
      <w:r w:rsidR="00B87F0A" w:rsidRPr="00A53DE2">
        <w:rPr>
          <w:rFonts w:ascii="Palatino Linotype" w:hAnsi="Palatino Linotype"/>
          <w:sz w:val="18"/>
          <w:szCs w:val="18"/>
        </w:rPr>
        <w:t>5.</w:t>
      </w:r>
      <w:r w:rsidR="00B87F0A" w:rsidRPr="00A53DE2">
        <w:rPr>
          <w:rFonts w:ascii="Palatino Linotype" w:hAnsi="Palatino Linotype"/>
          <w:sz w:val="18"/>
          <w:szCs w:val="18"/>
        </w:rPr>
        <w:tab/>
      </w:r>
      <w:r w:rsidR="00B87F0A" w:rsidRPr="00A53DE2">
        <w:rPr>
          <w:rFonts w:ascii="Palatino Linotype" w:hAnsi="Palatino Linotype"/>
          <w:sz w:val="18"/>
          <w:szCs w:val="18"/>
          <w:lang w:val="en-GB"/>
        </w:rPr>
        <w:t xml:space="preserve">Gasson, J.; Blockman, M.;Willems, B. Antibiotic prescribing practice and adherence to guidelines in primary care in the Cape Town Metro District, South Africa. S. Afr. Med. J. </w:t>
      </w:r>
      <w:r w:rsidR="00B87F0A" w:rsidRPr="00A53DE2">
        <w:rPr>
          <w:rFonts w:ascii="Palatino Linotype" w:hAnsi="Palatino Linotype"/>
          <w:b/>
          <w:bCs/>
          <w:sz w:val="18"/>
          <w:szCs w:val="18"/>
          <w:lang w:val="en-GB"/>
        </w:rPr>
        <w:t>2018</w:t>
      </w:r>
      <w:r w:rsidR="00B87F0A" w:rsidRPr="00A53DE2">
        <w:rPr>
          <w:rFonts w:ascii="Palatino Linotype" w:hAnsi="Palatino Linotype"/>
          <w:sz w:val="18"/>
          <w:szCs w:val="18"/>
          <w:lang w:val="en-GB"/>
        </w:rPr>
        <w:t>, 108, 304–310.</w:t>
      </w:r>
    </w:p>
    <w:p w14:paraId="349E6511" w14:textId="4220439D" w:rsidR="00B87F0A" w:rsidRPr="00A53DE2" w:rsidRDefault="000152CD" w:rsidP="009D3DA6">
      <w:pPr>
        <w:pStyle w:val="NoSpacing1"/>
        <w:rPr>
          <w:rFonts w:ascii="Palatino Linotype" w:hAnsi="Palatino Linotype"/>
          <w:sz w:val="18"/>
          <w:szCs w:val="18"/>
        </w:rPr>
      </w:pPr>
      <w:r>
        <w:rPr>
          <w:rFonts w:ascii="Palatino Linotype" w:hAnsi="Palatino Linotype"/>
          <w:sz w:val="18"/>
          <w:szCs w:val="18"/>
        </w:rPr>
        <w:t>6</w:t>
      </w:r>
      <w:r w:rsidR="00B87F0A" w:rsidRPr="00A53DE2">
        <w:rPr>
          <w:rFonts w:ascii="Palatino Linotype" w:hAnsi="Palatino Linotype"/>
          <w:sz w:val="18"/>
          <w:szCs w:val="18"/>
        </w:rPr>
        <w:t>6.</w:t>
      </w:r>
      <w:r w:rsidR="00B87F0A" w:rsidRPr="00A53DE2">
        <w:rPr>
          <w:rFonts w:ascii="Palatino Linotype" w:hAnsi="Palatino Linotype"/>
          <w:sz w:val="18"/>
          <w:szCs w:val="18"/>
        </w:rPr>
        <w:tab/>
        <w:t>Mathibe LJ, Zwane NP. Unnecessary antimicrobial prescribing for upper respiratory tract infections in children in Pietermaritzburg, South Africa. Afr Health Sci. 2020;20(3):1133-42.</w:t>
      </w:r>
    </w:p>
    <w:p w14:paraId="3B9804E2" w14:textId="6ACEC1C3" w:rsidR="00B87F0A" w:rsidRPr="00A53DE2" w:rsidRDefault="000152CD" w:rsidP="009D3DA6">
      <w:pPr>
        <w:pStyle w:val="NoSpacing1"/>
        <w:rPr>
          <w:rFonts w:ascii="Palatino Linotype" w:hAnsi="Palatino Linotype"/>
          <w:sz w:val="18"/>
          <w:szCs w:val="18"/>
          <w:lang w:val="en-GB"/>
        </w:rPr>
      </w:pPr>
      <w:r>
        <w:rPr>
          <w:rFonts w:ascii="Palatino Linotype" w:hAnsi="Palatino Linotype"/>
          <w:sz w:val="18"/>
          <w:szCs w:val="18"/>
        </w:rPr>
        <w:t>6</w:t>
      </w:r>
      <w:r w:rsidR="00B87F0A" w:rsidRPr="00A53DE2">
        <w:rPr>
          <w:rFonts w:ascii="Palatino Linotype" w:hAnsi="Palatino Linotype"/>
          <w:sz w:val="18"/>
          <w:szCs w:val="18"/>
        </w:rPr>
        <w:t>7.</w:t>
      </w:r>
      <w:r w:rsidR="00B87F0A" w:rsidRPr="00A53DE2">
        <w:rPr>
          <w:rFonts w:ascii="Palatino Linotype" w:hAnsi="Palatino Linotype"/>
          <w:sz w:val="18"/>
          <w:szCs w:val="18"/>
        </w:rPr>
        <w:tab/>
      </w:r>
      <w:r w:rsidR="00B87F0A" w:rsidRPr="00A53DE2">
        <w:rPr>
          <w:rFonts w:ascii="Palatino Linotype" w:hAnsi="Palatino Linotype"/>
          <w:sz w:val="18"/>
          <w:szCs w:val="18"/>
          <w:lang w:val="en-GB"/>
        </w:rPr>
        <w:t xml:space="preserve">Saleem, Z.; Sheikh, S.; Godman, B.; Haseeb, A.; Afzal, S.; Qamar, M.U.; Imam, M.T.; Abuhussain, S.S.A.; Sharland, M. Increasing the use of the WHO AWaRe system in antibiotic surveillance and stewardship programmes in low- and middle-income countries. JAC-Antimicrob. Resist. </w:t>
      </w:r>
      <w:r w:rsidR="00B87F0A" w:rsidRPr="00A53DE2">
        <w:rPr>
          <w:rFonts w:ascii="Palatino Linotype" w:hAnsi="Palatino Linotype"/>
          <w:b/>
          <w:bCs/>
          <w:sz w:val="18"/>
          <w:szCs w:val="18"/>
          <w:lang w:val="en-GB"/>
        </w:rPr>
        <w:t>2025</w:t>
      </w:r>
      <w:r w:rsidR="00B87F0A" w:rsidRPr="00A53DE2">
        <w:rPr>
          <w:rFonts w:ascii="Palatino Linotype" w:hAnsi="Palatino Linotype"/>
          <w:sz w:val="18"/>
          <w:szCs w:val="18"/>
          <w:lang w:val="en-GB"/>
        </w:rPr>
        <w:t>, 7, dlaf031.</w:t>
      </w:r>
    </w:p>
    <w:p w14:paraId="5200256C" w14:textId="18EC4CFB" w:rsidR="00B87F0A" w:rsidRPr="00A53DE2" w:rsidRDefault="000152CD" w:rsidP="009D3DA6">
      <w:pPr>
        <w:pStyle w:val="NoSpacing1"/>
        <w:rPr>
          <w:rFonts w:ascii="Palatino Linotype" w:hAnsi="Palatino Linotype"/>
          <w:sz w:val="18"/>
          <w:szCs w:val="18"/>
        </w:rPr>
      </w:pPr>
      <w:r>
        <w:rPr>
          <w:rFonts w:ascii="Palatino Linotype" w:hAnsi="Palatino Linotype"/>
          <w:sz w:val="18"/>
          <w:szCs w:val="18"/>
        </w:rPr>
        <w:t>6</w:t>
      </w:r>
      <w:r w:rsidR="00B87F0A" w:rsidRPr="00A53DE2">
        <w:rPr>
          <w:rFonts w:ascii="Palatino Linotype" w:hAnsi="Palatino Linotype"/>
          <w:sz w:val="18"/>
          <w:szCs w:val="18"/>
        </w:rPr>
        <w:t>8.</w:t>
      </w:r>
      <w:r w:rsidR="00B87F0A" w:rsidRPr="00A53DE2">
        <w:rPr>
          <w:rFonts w:ascii="Palatino Linotype" w:hAnsi="Palatino Linotype"/>
          <w:sz w:val="18"/>
          <w:szCs w:val="18"/>
        </w:rPr>
        <w:tab/>
        <w:t>Van Den Bosch CMA, Geerlings SE, Natsch S, Prins JM, Hulscher MEJL. Quality indicators to measure appropriate antibiotic use in hospitalized adults. Clin Infect Dis. 2015;60(2):281-91.</w:t>
      </w:r>
    </w:p>
    <w:p w14:paraId="6AA87979" w14:textId="3C51E577" w:rsidR="00B87F0A" w:rsidRPr="00A53DE2" w:rsidRDefault="000152CD" w:rsidP="009D3DA6">
      <w:pPr>
        <w:pStyle w:val="NoSpacing1"/>
        <w:rPr>
          <w:rFonts w:ascii="Palatino Linotype" w:hAnsi="Palatino Linotype"/>
          <w:sz w:val="18"/>
          <w:szCs w:val="18"/>
        </w:rPr>
      </w:pPr>
      <w:r>
        <w:rPr>
          <w:rFonts w:ascii="Palatino Linotype" w:hAnsi="Palatino Linotype"/>
          <w:sz w:val="18"/>
          <w:szCs w:val="18"/>
        </w:rPr>
        <w:t>6</w:t>
      </w:r>
      <w:r w:rsidR="00B87F0A" w:rsidRPr="00A53DE2">
        <w:rPr>
          <w:rFonts w:ascii="Palatino Linotype" w:hAnsi="Palatino Linotype"/>
          <w:sz w:val="18"/>
          <w:szCs w:val="18"/>
        </w:rPr>
        <w:t>9.</w:t>
      </w:r>
      <w:r w:rsidR="00B87F0A" w:rsidRPr="00A53DE2">
        <w:rPr>
          <w:rFonts w:ascii="Palatino Linotype" w:hAnsi="Palatino Linotype"/>
          <w:sz w:val="18"/>
          <w:szCs w:val="18"/>
        </w:rPr>
        <w:tab/>
        <w:t>Dresser LD, Bell CM, Steinberg M, Ferguson ND, Lapinsky S, Lazar N, et al. Use of a structured panel process to define antimicrobial prescribing appropriateness in critical care. Journal of Antimicrobial Chemotherapy. 2018;73(1):246-9.</w:t>
      </w:r>
    </w:p>
    <w:p w14:paraId="5C48FD9B" w14:textId="2CDCED7C" w:rsidR="00B87F0A" w:rsidRPr="00A53DE2" w:rsidRDefault="000152CD" w:rsidP="009D3DA6">
      <w:pPr>
        <w:pStyle w:val="NoSpacing1"/>
        <w:rPr>
          <w:rFonts w:ascii="Palatino Linotype" w:hAnsi="Palatino Linotype"/>
          <w:sz w:val="18"/>
          <w:szCs w:val="18"/>
        </w:rPr>
      </w:pPr>
      <w:r>
        <w:rPr>
          <w:rFonts w:ascii="Palatino Linotype" w:hAnsi="Palatino Linotype"/>
          <w:sz w:val="18"/>
          <w:szCs w:val="18"/>
        </w:rPr>
        <w:t>7</w:t>
      </w:r>
      <w:r w:rsidR="00B87F0A" w:rsidRPr="00A53DE2">
        <w:rPr>
          <w:rFonts w:ascii="Palatino Linotype" w:hAnsi="Palatino Linotype"/>
          <w:sz w:val="18"/>
          <w:szCs w:val="18"/>
        </w:rPr>
        <w:t>0.</w:t>
      </w:r>
      <w:r w:rsidR="00B87F0A" w:rsidRPr="00A53DE2">
        <w:rPr>
          <w:rFonts w:ascii="Palatino Linotype" w:hAnsi="Palatino Linotype"/>
          <w:sz w:val="18"/>
          <w:szCs w:val="18"/>
        </w:rPr>
        <w:tab/>
        <w:t>Saust LT, Bjerrum L, Arpi M, Hansen MP. Quality indicators for the diagnosis and antibiotic treatment of acute respiratory tract infections in general practice: a RAND Appropriateness Method. Scandinavian Journal of Primary Health Care. 2017;35(2):192-200.</w:t>
      </w:r>
    </w:p>
    <w:p w14:paraId="77361DAA" w14:textId="328F6D10" w:rsidR="00B87F0A" w:rsidRPr="00A53DE2" w:rsidRDefault="000152CD" w:rsidP="009D3DA6">
      <w:pPr>
        <w:pStyle w:val="NoSpacing1"/>
        <w:rPr>
          <w:rFonts w:ascii="Palatino Linotype" w:hAnsi="Palatino Linotype"/>
          <w:sz w:val="18"/>
          <w:szCs w:val="18"/>
        </w:rPr>
      </w:pPr>
      <w:r>
        <w:rPr>
          <w:rFonts w:ascii="Palatino Linotype" w:hAnsi="Palatino Linotype"/>
          <w:sz w:val="18"/>
          <w:szCs w:val="18"/>
        </w:rPr>
        <w:t>7</w:t>
      </w:r>
      <w:r w:rsidR="00B87F0A" w:rsidRPr="00A53DE2">
        <w:rPr>
          <w:rFonts w:ascii="Palatino Linotype" w:hAnsi="Palatino Linotype"/>
          <w:sz w:val="18"/>
          <w:szCs w:val="18"/>
        </w:rPr>
        <w:t>1.</w:t>
      </w:r>
      <w:r w:rsidR="00B87F0A" w:rsidRPr="00A53DE2">
        <w:rPr>
          <w:rFonts w:ascii="Palatino Linotype" w:hAnsi="Palatino Linotype"/>
          <w:sz w:val="18"/>
          <w:szCs w:val="18"/>
        </w:rPr>
        <w:tab/>
        <w:t>Saust LT, Siersma VD, Bjerrum L, Hansen MP. Development of quality indicators for the diagnosis and treatment of urinary tract infections in general practice: a RAND appropriateness method. BMJ Open Quality. 2023;12:2156-.</w:t>
      </w:r>
    </w:p>
    <w:p w14:paraId="721CF459" w14:textId="4357CF6F" w:rsidR="00B87F0A" w:rsidRPr="00A53DE2" w:rsidRDefault="000152CD" w:rsidP="009D3DA6">
      <w:pPr>
        <w:pStyle w:val="NoSpacing1"/>
        <w:rPr>
          <w:rFonts w:ascii="Palatino Linotype" w:hAnsi="Palatino Linotype"/>
          <w:sz w:val="18"/>
          <w:szCs w:val="18"/>
        </w:rPr>
      </w:pPr>
      <w:r>
        <w:rPr>
          <w:rFonts w:ascii="Palatino Linotype" w:hAnsi="Palatino Linotype"/>
          <w:sz w:val="18"/>
          <w:szCs w:val="18"/>
        </w:rPr>
        <w:t>7</w:t>
      </w:r>
      <w:r w:rsidR="00B87F0A" w:rsidRPr="00A53DE2">
        <w:rPr>
          <w:rFonts w:ascii="Palatino Linotype" w:hAnsi="Palatino Linotype"/>
          <w:sz w:val="18"/>
          <w:szCs w:val="18"/>
        </w:rPr>
        <w:t>2.</w:t>
      </w:r>
      <w:r w:rsidR="00B87F0A" w:rsidRPr="00A53DE2">
        <w:rPr>
          <w:rFonts w:ascii="Palatino Linotype" w:hAnsi="Palatino Linotype"/>
          <w:sz w:val="18"/>
          <w:szCs w:val="18"/>
        </w:rPr>
        <w:tab/>
        <w:t>Gutiérrez-Urbón JM, Gil-Navarro MV, Moreno-Ramos F, Núñez-Núñez M, Paño-Pardo JR, Periáñez-Párraga L. Indicators of the hospital use of antimicrobial agents based on consumption. Farmacia Hospitalaria. 2019;43(3):94-100.</w:t>
      </w:r>
    </w:p>
    <w:p w14:paraId="2847B606" w14:textId="1ABDC040" w:rsidR="00406091" w:rsidRPr="00A53DE2" w:rsidRDefault="000152CD" w:rsidP="009D3DA6">
      <w:pPr>
        <w:pStyle w:val="NoSpacing1"/>
        <w:rPr>
          <w:rFonts w:ascii="Palatino Linotype" w:hAnsi="Palatino Linotype"/>
          <w:sz w:val="18"/>
          <w:szCs w:val="18"/>
        </w:rPr>
      </w:pPr>
      <w:r>
        <w:rPr>
          <w:rFonts w:ascii="Palatino Linotype" w:hAnsi="Palatino Linotype"/>
          <w:sz w:val="18"/>
          <w:szCs w:val="18"/>
        </w:rPr>
        <w:t>7</w:t>
      </w:r>
      <w:r w:rsidR="00B87F0A" w:rsidRPr="00A53DE2">
        <w:rPr>
          <w:rFonts w:ascii="Palatino Linotype" w:hAnsi="Palatino Linotype"/>
          <w:sz w:val="18"/>
          <w:szCs w:val="18"/>
        </w:rPr>
        <w:t>3.</w:t>
      </w:r>
      <w:r w:rsidR="00B87F0A" w:rsidRPr="00A53DE2">
        <w:rPr>
          <w:rFonts w:ascii="Palatino Linotype" w:hAnsi="Palatino Linotype"/>
          <w:sz w:val="18"/>
          <w:szCs w:val="18"/>
        </w:rPr>
        <w:tab/>
        <w:t>O'Riordan F, Shiely F, Byrne S, Fleming A. Quality indicators for hospital antimicrobial stewardship programmes: a systematic review. Journal of Antimicrobial Chemotherapy. 2021;76(6):1406-19.</w:t>
      </w:r>
    </w:p>
    <w:p w14:paraId="5DB2D56B" w14:textId="7C851271" w:rsidR="00B87F0A" w:rsidRPr="00A53DE2" w:rsidRDefault="000152CD" w:rsidP="009D3DA6">
      <w:pPr>
        <w:pStyle w:val="NoSpacing1"/>
        <w:rPr>
          <w:rFonts w:ascii="Palatino Linotype" w:hAnsi="Palatino Linotype"/>
          <w:sz w:val="18"/>
          <w:szCs w:val="18"/>
        </w:rPr>
      </w:pPr>
      <w:r>
        <w:rPr>
          <w:rFonts w:ascii="Palatino Linotype" w:hAnsi="Palatino Linotype"/>
          <w:sz w:val="18"/>
          <w:szCs w:val="18"/>
        </w:rPr>
        <w:t>7</w:t>
      </w:r>
      <w:r w:rsidR="000B0942" w:rsidRPr="00A53DE2">
        <w:rPr>
          <w:rFonts w:ascii="Palatino Linotype" w:hAnsi="Palatino Linotype"/>
          <w:sz w:val="18"/>
          <w:szCs w:val="18"/>
        </w:rPr>
        <w:t>4</w:t>
      </w:r>
      <w:r w:rsidR="00B87F0A" w:rsidRPr="00A53DE2">
        <w:rPr>
          <w:rFonts w:ascii="Palatino Linotype" w:hAnsi="Palatino Linotype"/>
          <w:sz w:val="18"/>
          <w:szCs w:val="18"/>
        </w:rPr>
        <w:t>.</w:t>
      </w:r>
      <w:r w:rsidR="00B87F0A" w:rsidRPr="00A53DE2">
        <w:rPr>
          <w:rFonts w:ascii="Palatino Linotype" w:hAnsi="Palatino Linotype"/>
          <w:sz w:val="18"/>
          <w:szCs w:val="18"/>
        </w:rPr>
        <w:tab/>
        <w:t>Esposito S, Rigotti E, Argentiero A, Caminiti C, Castagnola E, Lancella L, et al. Antimicrobial Prophylaxis for Urologic Procedures in Paediatric Patients: A RAND/UCLA Appropriateness Method Consensus Study in Italy. Antibiotics 2022, Vol 11, Page 296. 2022;11(3):296-.</w:t>
      </w:r>
    </w:p>
    <w:p w14:paraId="30B242BD" w14:textId="182165ED" w:rsidR="00B87F0A" w:rsidRPr="00A53DE2" w:rsidRDefault="000152CD" w:rsidP="009D3DA6">
      <w:pPr>
        <w:pStyle w:val="NoSpacing1"/>
        <w:rPr>
          <w:rFonts w:ascii="Palatino Linotype" w:hAnsi="Palatino Linotype"/>
          <w:sz w:val="18"/>
          <w:szCs w:val="18"/>
        </w:rPr>
      </w:pPr>
      <w:r>
        <w:rPr>
          <w:rFonts w:ascii="Palatino Linotype" w:hAnsi="Palatino Linotype"/>
          <w:sz w:val="18"/>
          <w:szCs w:val="18"/>
        </w:rPr>
        <w:t>7</w:t>
      </w:r>
      <w:r w:rsidR="00FE343C" w:rsidRPr="00A53DE2">
        <w:rPr>
          <w:rFonts w:ascii="Palatino Linotype" w:hAnsi="Palatino Linotype"/>
          <w:sz w:val="18"/>
          <w:szCs w:val="18"/>
        </w:rPr>
        <w:t>5</w:t>
      </w:r>
      <w:r w:rsidR="00B87F0A" w:rsidRPr="00A53DE2">
        <w:rPr>
          <w:rFonts w:ascii="Palatino Linotype" w:hAnsi="Palatino Linotype"/>
          <w:sz w:val="18"/>
          <w:szCs w:val="18"/>
        </w:rPr>
        <w:t>.</w:t>
      </w:r>
      <w:r w:rsidR="00B87F0A" w:rsidRPr="00A53DE2">
        <w:rPr>
          <w:rFonts w:ascii="Palatino Linotype" w:hAnsi="Palatino Linotype"/>
          <w:sz w:val="18"/>
          <w:szCs w:val="18"/>
        </w:rPr>
        <w:tab/>
        <w:t xml:space="preserve">Heath A, Goelen J, Chuki P, Cook A, Djukic F, Do NTT, et al. Development of AWaRe antibiotic quality indicators for optimal use. medRxiv preprint - </w:t>
      </w:r>
      <w:hyperlink r:id="rId31" w:history="1">
        <w:r w:rsidR="00B87F0A" w:rsidRPr="00A53DE2">
          <w:rPr>
            <w:rStyle w:val="Hyperlink"/>
            <w:rFonts w:ascii="Palatino Linotype" w:hAnsi="Palatino Linotype"/>
            <w:color w:val="auto"/>
            <w:sz w:val="18"/>
            <w:szCs w:val="18"/>
            <w:u w:val="none"/>
          </w:rPr>
          <w:t>https://wwwmedrxivorg/content/101101/2025102425338539v1fullpdf</w:t>
        </w:r>
      </w:hyperlink>
      <w:r w:rsidR="00B87F0A" w:rsidRPr="00A53DE2">
        <w:rPr>
          <w:rFonts w:ascii="Palatino Linotype" w:hAnsi="Palatino Linotype"/>
          <w:sz w:val="18"/>
          <w:szCs w:val="18"/>
        </w:rPr>
        <w:t>. 2025.</w:t>
      </w:r>
    </w:p>
    <w:p w14:paraId="41B71078" w14:textId="3B2C9A7F" w:rsidR="00B87F0A" w:rsidRPr="00A53DE2" w:rsidRDefault="000152CD" w:rsidP="009D3DA6">
      <w:pPr>
        <w:pStyle w:val="NoSpacing1"/>
        <w:rPr>
          <w:rFonts w:ascii="Palatino Linotype" w:hAnsi="Palatino Linotype"/>
          <w:sz w:val="18"/>
          <w:szCs w:val="18"/>
        </w:rPr>
      </w:pPr>
      <w:r>
        <w:rPr>
          <w:rFonts w:ascii="Palatino Linotype" w:hAnsi="Palatino Linotype"/>
          <w:sz w:val="18"/>
          <w:szCs w:val="18"/>
        </w:rPr>
        <w:t>7</w:t>
      </w:r>
      <w:r w:rsidR="00FE343C" w:rsidRPr="00A53DE2">
        <w:rPr>
          <w:rFonts w:ascii="Palatino Linotype" w:hAnsi="Palatino Linotype"/>
          <w:sz w:val="18"/>
          <w:szCs w:val="18"/>
        </w:rPr>
        <w:t>6</w:t>
      </w:r>
      <w:r w:rsidR="00B87F0A" w:rsidRPr="00A53DE2">
        <w:rPr>
          <w:rFonts w:ascii="Palatino Linotype" w:hAnsi="Palatino Linotype"/>
          <w:sz w:val="18"/>
          <w:szCs w:val="18"/>
        </w:rPr>
        <w:t>.</w:t>
      </w:r>
      <w:r w:rsidR="00B87F0A" w:rsidRPr="00A53DE2">
        <w:rPr>
          <w:rFonts w:ascii="Palatino Linotype" w:hAnsi="Palatino Linotype"/>
          <w:sz w:val="18"/>
          <w:szCs w:val="18"/>
        </w:rPr>
        <w:tab/>
        <w:t>City St George's Antibiotic Policy Group. ADILA: Quality Indicators Development of AWaRe (Access, Watch, Reserve) antibiotic quality indicators for optimal use. 2</w:t>
      </w:r>
      <w:r w:rsidR="00246D03">
        <w:rPr>
          <w:rFonts w:ascii="Palatino Linotype" w:hAnsi="Palatino Linotype"/>
          <w:sz w:val="18"/>
          <w:szCs w:val="18"/>
        </w:rPr>
        <w:t>0</w:t>
      </w:r>
      <w:r w:rsidR="00B87F0A" w:rsidRPr="00A53DE2">
        <w:rPr>
          <w:rFonts w:ascii="Palatino Linotype" w:hAnsi="Palatino Linotype"/>
          <w:sz w:val="18"/>
          <w:szCs w:val="18"/>
        </w:rPr>
        <w:t xml:space="preserve">25. Available at URL: </w:t>
      </w:r>
      <w:hyperlink r:id="rId32" w:history="1">
        <w:r w:rsidR="00B87F0A" w:rsidRPr="00A53DE2">
          <w:rPr>
            <w:rStyle w:val="Hyperlink"/>
            <w:rFonts w:ascii="Palatino Linotype" w:hAnsi="Palatino Linotype"/>
            <w:color w:val="auto"/>
            <w:sz w:val="18"/>
            <w:szCs w:val="18"/>
            <w:u w:val="none"/>
          </w:rPr>
          <w:t>https://antibioticpolicy.org/project/adila/quality-indicators/</w:t>
        </w:r>
      </w:hyperlink>
      <w:r w:rsidR="00B87F0A" w:rsidRPr="00A53DE2">
        <w:rPr>
          <w:rFonts w:ascii="Palatino Linotype" w:hAnsi="Palatino Linotype"/>
          <w:sz w:val="18"/>
          <w:szCs w:val="18"/>
        </w:rPr>
        <w:t xml:space="preserve">.  </w:t>
      </w:r>
      <w:r w:rsidR="00246D03">
        <w:rPr>
          <w:rFonts w:ascii="Palatino Linotype" w:hAnsi="Palatino Linotype"/>
          <w:sz w:val="18"/>
          <w:szCs w:val="18"/>
        </w:rPr>
        <w:t>(Accessed 2 December 2025)</w:t>
      </w:r>
    </w:p>
    <w:p w14:paraId="26FFB432" w14:textId="182CE5FE" w:rsidR="00B87F0A" w:rsidRPr="00A53DE2" w:rsidRDefault="000152CD" w:rsidP="009D3DA6">
      <w:pPr>
        <w:pStyle w:val="NoSpacing1"/>
        <w:rPr>
          <w:rFonts w:ascii="Palatino Linotype" w:hAnsi="Palatino Linotype"/>
          <w:sz w:val="18"/>
          <w:szCs w:val="18"/>
          <w:lang w:val="en-GB"/>
        </w:rPr>
      </w:pPr>
      <w:r>
        <w:rPr>
          <w:rFonts w:ascii="Palatino Linotype" w:hAnsi="Palatino Linotype"/>
          <w:sz w:val="18"/>
          <w:szCs w:val="18"/>
        </w:rPr>
        <w:t>7</w:t>
      </w:r>
      <w:r w:rsidR="00FE343C" w:rsidRPr="00A53DE2">
        <w:rPr>
          <w:rFonts w:ascii="Palatino Linotype" w:hAnsi="Palatino Linotype"/>
          <w:sz w:val="18"/>
          <w:szCs w:val="18"/>
        </w:rPr>
        <w:t>7</w:t>
      </w:r>
      <w:r w:rsidR="00B87F0A" w:rsidRPr="00A53DE2">
        <w:rPr>
          <w:rFonts w:ascii="Palatino Linotype" w:hAnsi="Palatino Linotype"/>
          <w:sz w:val="18"/>
          <w:szCs w:val="18"/>
        </w:rPr>
        <w:t>.</w:t>
      </w:r>
      <w:r w:rsidR="00B87F0A" w:rsidRPr="00A53DE2">
        <w:rPr>
          <w:rFonts w:ascii="Palatino Linotype" w:hAnsi="Palatino Linotype"/>
          <w:sz w:val="18"/>
          <w:szCs w:val="18"/>
        </w:rPr>
        <w:tab/>
      </w:r>
      <w:r w:rsidR="00B87F0A" w:rsidRPr="00A53DE2">
        <w:rPr>
          <w:rFonts w:ascii="Palatino Linotype" w:hAnsi="Palatino Linotype"/>
          <w:sz w:val="18"/>
          <w:szCs w:val="18"/>
          <w:lang w:val="en-GB"/>
        </w:rPr>
        <w:t xml:space="preserve">Guma, S.P.; Godman, B.; Campbell, S.M.; Mahomed, O. Determinants of the Empiric Use of Antibiotics by General practitioners in South Africa: Observational, Analytic, Cross-Sectional Study. Antibiotics </w:t>
      </w:r>
      <w:r w:rsidR="00B87F0A" w:rsidRPr="00A53DE2">
        <w:rPr>
          <w:rFonts w:ascii="Palatino Linotype" w:hAnsi="Palatino Linotype"/>
          <w:b/>
          <w:bCs/>
          <w:sz w:val="18"/>
          <w:szCs w:val="18"/>
          <w:lang w:val="en-GB"/>
        </w:rPr>
        <w:t>2022</w:t>
      </w:r>
      <w:r w:rsidR="00B87F0A" w:rsidRPr="00A53DE2">
        <w:rPr>
          <w:rFonts w:ascii="Palatino Linotype" w:hAnsi="Palatino Linotype"/>
          <w:sz w:val="18"/>
          <w:szCs w:val="18"/>
          <w:lang w:val="en-GB"/>
        </w:rPr>
        <w:t>, 11, 1423.</w:t>
      </w:r>
    </w:p>
    <w:p w14:paraId="26B0E07D" w14:textId="18C6C16A" w:rsidR="00B87F0A" w:rsidRPr="00A53DE2" w:rsidRDefault="000152CD" w:rsidP="009D3DA6">
      <w:pPr>
        <w:pStyle w:val="NoSpacing1"/>
        <w:rPr>
          <w:rFonts w:ascii="Palatino Linotype" w:hAnsi="Palatino Linotype"/>
          <w:sz w:val="18"/>
          <w:szCs w:val="18"/>
        </w:rPr>
      </w:pPr>
      <w:r>
        <w:rPr>
          <w:rFonts w:ascii="Palatino Linotype" w:hAnsi="Palatino Linotype"/>
          <w:sz w:val="18"/>
          <w:szCs w:val="18"/>
        </w:rPr>
        <w:t>78</w:t>
      </w:r>
      <w:r w:rsidR="00B87F0A" w:rsidRPr="00A53DE2">
        <w:rPr>
          <w:rFonts w:ascii="Palatino Linotype" w:hAnsi="Palatino Linotype"/>
          <w:sz w:val="18"/>
          <w:szCs w:val="18"/>
        </w:rPr>
        <w:t>.</w:t>
      </w:r>
      <w:r w:rsidR="00B87F0A" w:rsidRPr="00A53DE2">
        <w:rPr>
          <w:rFonts w:ascii="Palatino Linotype" w:hAnsi="Palatino Linotype"/>
          <w:sz w:val="18"/>
          <w:szCs w:val="18"/>
        </w:rPr>
        <w:tab/>
        <w:t>Sharma S, Tandlich R, Docrat M, Srinivas S. Antibiotic procurement and ABC analysis for a comprehensive primary health care clinic in the Eastern Cape province, South Africa. Southern African Journal of Infectious Diseases. 2020;35(1):7-.</w:t>
      </w:r>
    </w:p>
    <w:p w14:paraId="6AA0E6B6" w14:textId="1BF6B95B" w:rsidR="00B87F0A" w:rsidRPr="00A53DE2" w:rsidRDefault="00514A46" w:rsidP="009D3DA6">
      <w:pPr>
        <w:pStyle w:val="NoSpacing1"/>
        <w:rPr>
          <w:rFonts w:ascii="Palatino Linotype" w:hAnsi="Palatino Linotype"/>
          <w:sz w:val="18"/>
          <w:szCs w:val="18"/>
        </w:rPr>
      </w:pPr>
      <w:r>
        <w:rPr>
          <w:rFonts w:ascii="Palatino Linotype" w:hAnsi="Palatino Linotype"/>
          <w:sz w:val="18"/>
          <w:szCs w:val="18"/>
        </w:rPr>
        <w:t>79</w:t>
      </w:r>
      <w:r w:rsidR="00B87F0A" w:rsidRPr="00A53DE2">
        <w:rPr>
          <w:rFonts w:ascii="Palatino Linotype" w:hAnsi="Palatino Linotype"/>
          <w:sz w:val="18"/>
          <w:szCs w:val="18"/>
        </w:rPr>
        <w:t>.</w:t>
      </w:r>
      <w:r w:rsidR="00B87F0A" w:rsidRPr="00A53DE2">
        <w:rPr>
          <w:rFonts w:ascii="Palatino Linotype" w:hAnsi="Palatino Linotype"/>
          <w:sz w:val="18"/>
          <w:szCs w:val="18"/>
        </w:rPr>
        <w:tab/>
        <w:t>Wushouer H, Yu J, Du K, Ko W, Li W, Zhang K, et al. Evaluation of appropriateness of antibiotic prescribing in primary healthcare institutions in China using proxy indicator. Lancet Reg Health West Pac. 2024;49:101132.</w:t>
      </w:r>
    </w:p>
    <w:p w14:paraId="39BFC303" w14:textId="00104972" w:rsidR="00B87F0A" w:rsidRPr="00A53DE2" w:rsidRDefault="00514A46" w:rsidP="009D3DA6">
      <w:pPr>
        <w:pStyle w:val="NoSpacing1"/>
        <w:rPr>
          <w:rFonts w:ascii="Palatino Linotype" w:hAnsi="Palatino Linotype"/>
          <w:sz w:val="18"/>
          <w:szCs w:val="18"/>
        </w:rPr>
      </w:pPr>
      <w:r>
        <w:rPr>
          <w:rFonts w:ascii="Palatino Linotype" w:hAnsi="Palatino Linotype"/>
          <w:sz w:val="18"/>
          <w:szCs w:val="18"/>
        </w:rPr>
        <w:t>80</w:t>
      </w:r>
      <w:r w:rsidR="00B87F0A" w:rsidRPr="00A53DE2">
        <w:rPr>
          <w:rFonts w:ascii="Palatino Linotype" w:hAnsi="Palatino Linotype"/>
          <w:sz w:val="18"/>
          <w:szCs w:val="18"/>
        </w:rPr>
        <w:t>.</w:t>
      </w:r>
      <w:r w:rsidR="00B87F0A" w:rsidRPr="00A53DE2">
        <w:rPr>
          <w:rFonts w:ascii="Palatino Linotype" w:hAnsi="Palatino Linotype"/>
          <w:sz w:val="18"/>
          <w:szCs w:val="18"/>
        </w:rPr>
        <w:tab/>
        <w:t>Vlahović-Palčevski V, Gyssens IC. Chapter 3 - Quality Indicators and Quantity Metrics of Antibiotic Use. In: Pulcini C, Ergönül Ö, Can F, Beović B, editors. Antimicrobial Stewardship: Academic Press; 2017: 29-37.</w:t>
      </w:r>
    </w:p>
    <w:p w14:paraId="0CA91D57" w14:textId="67A754CC" w:rsidR="00B87F0A" w:rsidRPr="00A53DE2" w:rsidRDefault="00514A46" w:rsidP="009D3DA6">
      <w:pPr>
        <w:pStyle w:val="NoSpacing1"/>
        <w:rPr>
          <w:rFonts w:ascii="Palatino Linotype" w:hAnsi="Palatino Linotype"/>
          <w:sz w:val="18"/>
          <w:szCs w:val="18"/>
        </w:rPr>
      </w:pPr>
      <w:r>
        <w:rPr>
          <w:rFonts w:ascii="Palatino Linotype" w:hAnsi="Palatino Linotype"/>
          <w:sz w:val="18"/>
          <w:szCs w:val="18"/>
        </w:rPr>
        <w:t>81</w:t>
      </w:r>
      <w:r w:rsidR="00B87F0A" w:rsidRPr="00A53DE2">
        <w:rPr>
          <w:rFonts w:ascii="Palatino Linotype" w:hAnsi="Palatino Linotype"/>
          <w:sz w:val="18"/>
          <w:szCs w:val="18"/>
        </w:rPr>
        <w:t>.</w:t>
      </w:r>
      <w:r w:rsidR="00B87F0A" w:rsidRPr="00A53DE2">
        <w:rPr>
          <w:rFonts w:ascii="Palatino Linotype" w:hAnsi="Palatino Linotype"/>
          <w:sz w:val="18"/>
          <w:szCs w:val="18"/>
        </w:rPr>
        <w:tab/>
        <w:t>Schoffelen T, Schouten J, Hoogerwerf J, Martín Quirós A, May L, Ten Oever J, et al. Quality indicators for appropriate antimicrobial therapy in the emergency department: a pragmatic Delphi procedure. Clinical Microbiology and Infection. 2021;27(2):210-4.</w:t>
      </w:r>
    </w:p>
    <w:p w14:paraId="4ED73E83" w14:textId="6D7A8006" w:rsidR="00B87F0A" w:rsidRPr="00A53DE2" w:rsidRDefault="00514A46" w:rsidP="009D3DA6">
      <w:pPr>
        <w:pStyle w:val="NoSpacing1"/>
        <w:rPr>
          <w:rFonts w:ascii="Palatino Linotype" w:hAnsi="Palatino Linotype"/>
          <w:sz w:val="18"/>
          <w:szCs w:val="18"/>
        </w:rPr>
      </w:pPr>
      <w:r>
        <w:rPr>
          <w:rFonts w:ascii="Palatino Linotype" w:hAnsi="Palatino Linotype"/>
          <w:sz w:val="18"/>
          <w:szCs w:val="18"/>
        </w:rPr>
        <w:t>82</w:t>
      </w:r>
      <w:r w:rsidR="00B87F0A" w:rsidRPr="00A53DE2">
        <w:rPr>
          <w:rFonts w:ascii="Palatino Linotype" w:hAnsi="Palatino Linotype"/>
          <w:sz w:val="18"/>
          <w:szCs w:val="18"/>
        </w:rPr>
        <w:t>.</w:t>
      </w:r>
      <w:r w:rsidR="00B87F0A" w:rsidRPr="00A53DE2">
        <w:rPr>
          <w:rFonts w:ascii="Palatino Linotype" w:hAnsi="Palatino Linotype"/>
          <w:sz w:val="18"/>
          <w:szCs w:val="18"/>
        </w:rPr>
        <w:tab/>
        <w:t xml:space="preserve">Department of Health, Republic of South Africa. Standard Treatment Guidelines and Essential Medicines List for South Africa. Primary Healthcare Level 2024 Edition. Available at URL: </w:t>
      </w:r>
      <w:hyperlink r:id="rId33" w:history="1">
        <w:r w:rsidR="00B87F0A" w:rsidRPr="00A53DE2">
          <w:rPr>
            <w:rStyle w:val="Hyperlink"/>
            <w:rFonts w:ascii="Palatino Linotype" w:hAnsi="Palatino Linotype"/>
            <w:color w:val="auto"/>
            <w:sz w:val="18"/>
            <w:szCs w:val="18"/>
            <w:u w:val="none"/>
          </w:rPr>
          <w:t>https://www.health.gov.za/wp-content/uploads/2025/07/Primary-Healthcare-Standard-Treatment-Guidelines-and-Essential-Medicines-List-8th-Edition-2024.pdf</w:t>
        </w:r>
      </w:hyperlink>
      <w:r w:rsidR="00B87F0A" w:rsidRPr="00A53DE2">
        <w:rPr>
          <w:rFonts w:ascii="Palatino Linotype" w:hAnsi="Palatino Linotype"/>
          <w:sz w:val="18"/>
          <w:szCs w:val="18"/>
        </w:rPr>
        <w:t xml:space="preserve"> </w:t>
      </w:r>
      <w:r w:rsidR="00246D03">
        <w:rPr>
          <w:rFonts w:ascii="Palatino Linotype" w:hAnsi="Palatino Linotype"/>
          <w:sz w:val="18"/>
          <w:szCs w:val="18"/>
        </w:rPr>
        <w:t>(Accessed 21 November 2025)</w:t>
      </w:r>
    </w:p>
    <w:p w14:paraId="5C7B4D67" w14:textId="32E497C8" w:rsidR="00B87F0A" w:rsidRPr="00A53DE2" w:rsidRDefault="00514A46" w:rsidP="009D3DA6">
      <w:pPr>
        <w:pStyle w:val="NoSpacing1"/>
        <w:rPr>
          <w:rFonts w:ascii="Palatino Linotype" w:hAnsi="Palatino Linotype"/>
          <w:sz w:val="18"/>
          <w:szCs w:val="18"/>
        </w:rPr>
      </w:pPr>
      <w:r>
        <w:rPr>
          <w:rFonts w:ascii="Palatino Linotype" w:hAnsi="Palatino Linotype"/>
          <w:sz w:val="18"/>
          <w:szCs w:val="18"/>
        </w:rPr>
        <w:t>83</w:t>
      </w:r>
      <w:r w:rsidR="00B87F0A" w:rsidRPr="00A53DE2">
        <w:rPr>
          <w:rFonts w:ascii="Palatino Linotype" w:hAnsi="Palatino Linotype"/>
          <w:sz w:val="18"/>
          <w:szCs w:val="18"/>
        </w:rPr>
        <w:t>.</w:t>
      </w:r>
      <w:r w:rsidR="00B87F0A" w:rsidRPr="00A53DE2">
        <w:rPr>
          <w:rFonts w:ascii="Palatino Linotype" w:hAnsi="Palatino Linotype"/>
          <w:sz w:val="18"/>
          <w:szCs w:val="18"/>
        </w:rPr>
        <w:tab/>
        <w:t>World Health Organization The WHO AWaRe (Access, Watch, Reserve) antibiotic book - Infographics. 2022. Available at URL: https://www.who.int/publications/i/item/WHO-MHP-HPS-EML-2022.02</w:t>
      </w:r>
      <w:r w:rsidR="00246D03">
        <w:rPr>
          <w:rFonts w:ascii="Palatino Linotype" w:hAnsi="Palatino Linotype"/>
          <w:sz w:val="18"/>
          <w:szCs w:val="18"/>
        </w:rPr>
        <w:t xml:space="preserve"> (Accessed 20 November 2025)</w:t>
      </w:r>
    </w:p>
    <w:p w14:paraId="01555D89" w14:textId="77896192" w:rsidR="00B87F0A" w:rsidRPr="00A53DE2" w:rsidRDefault="00514A46" w:rsidP="009D3DA6">
      <w:pPr>
        <w:pStyle w:val="NoSpacing1"/>
        <w:rPr>
          <w:rFonts w:ascii="Palatino Linotype" w:hAnsi="Palatino Linotype"/>
          <w:sz w:val="18"/>
          <w:szCs w:val="18"/>
        </w:rPr>
      </w:pPr>
      <w:r>
        <w:rPr>
          <w:rFonts w:ascii="Palatino Linotype" w:hAnsi="Palatino Linotype"/>
          <w:sz w:val="18"/>
          <w:szCs w:val="18"/>
        </w:rPr>
        <w:t>84</w:t>
      </w:r>
      <w:r w:rsidR="00B87F0A" w:rsidRPr="00A53DE2">
        <w:rPr>
          <w:rFonts w:ascii="Palatino Linotype" w:hAnsi="Palatino Linotype"/>
          <w:sz w:val="18"/>
          <w:szCs w:val="18"/>
        </w:rPr>
        <w:t>.</w:t>
      </w:r>
      <w:r w:rsidR="00B87F0A" w:rsidRPr="00A53DE2">
        <w:rPr>
          <w:rFonts w:ascii="Palatino Linotype" w:hAnsi="Palatino Linotype"/>
          <w:sz w:val="18"/>
          <w:szCs w:val="18"/>
        </w:rPr>
        <w:tab/>
        <w:t>Chigome MA, Vambe MS, Kganyago MK, Meyer PJ, Campbell PS, Godman PB, et al. Point prevalence surveys of acute infection presentation and antibiotic prescribing in selected primary healthcare facilities in North-West and Gauteng provinces of South Africa. International Journal of Infectious Diseases. 2025;152:107689-</w:t>
      </w:r>
    </w:p>
    <w:p w14:paraId="42F20093" w14:textId="4B121D4D" w:rsidR="00B87F0A" w:rsidRPr="00A53DE2" w:rsidRDefault="00514A46" w:rsidP="009D3DA6">
      <w:pPr>
        <w:pStyle w:val="NoSpacing1"/>
        <w:rPr>
          <w:rFonts w:ascii="Palatino Linotype" w:hAnsi="Palatino Linotype"/>
          <w:sz w:val="18"/>
          <w:szCs w:val="18"/>
        </w:rPr>
      </w:pPr>
      <w:r>
        <w:rPr>
          <w:rFonts w:ascii="Palatino Linotype" w:hAnsi="Palatino Linotype"/>
          <w:sz w:val="18"/>
          <w:szCs w:val="18"/>
        </w:rPr>
        <w:t>85</w:t>
      </w:r>
      <w:r w:rsidR="00B87F0A" w:rsidRPr="00A53DE2">
        <w:rPr>
          <w:rFonts w:ascii="Palatino Linotype" w:hAnsi="Palatino Linotype"/>
          <w:sz w:val="18"/>
          <w:szCs w:val="18"/>
        </w:rPr>
        <w:t>.</w:t>
      </w:r>
      <w:r w:rsidR="00B87F0A" w:rsidRPr="00A53DE2">
        <w:rPr>
          <w:rFonts w:ascii="Palatino Linotype" w:hAnsi="Palatino Linotype"/>
          <w:sz w:val="18"/>
          <w:szCs w:val="18"/>
        </w:rPr>
        <w:tab/>
        <w:t>Crowley T, Gray AL, Geyer N. Nurse prescribing and dispensing in South Africa: Gaps in the current legislative framework. Health SA. 2024;29:2582.</w:t>
      </w:r>
    </w:p>
    <w:p w14:paraId="590CDCE5" w14:textId="064D2E60" w:rsidR="00B87F0A" w:rsidRPr="00A53DE2" w:rsidRDefault="00514A46" w:rsidP="009D3DA6">
      <w:pPr>
        <w:pStyle w:val="NoSpacing1"/>
        <w:rPr>
          <w:rFonts w:ascii="Palatino Linotype" w:hAnsi="Palatino Linotype"/>
          <w:sz w:val="18"/>
          <w:szCs w:val="18"/>
          <w:lang w:val="en-GB"/>
        </w:rPr>
      </w:pPr>
      <w:r>
        <w:rPr>
          <w:rFonts w:ascii="Palatino Linotype" w:hAnsi="Palatino Linotype"/>
          <w:sz w:val="18"/>
          <w:szCs w:val="18"/>
        </w:rPr>
        <w:t>86</w:t>
      </w:r>
      <w:r w:rsidR="00B87F0A" w:rsidRPr="00A53DE2">
        <w:rPr>
          <w:rFonts w:ascii="Palatino Linotype" w:hAnsi="Palatino Linotype"/>
          <w:sz w:val="18"/>
          <w:szCs w:val="18"/>
        </w:rPr>
        <w:t>.</w:t>
      </w:r>
      <w:r w:rsidR="00B87F0A" w:rsidRPr="00A53DE2">
        <w:rPr>
          <w:rFonts w:ascii="Palatino Linotype" w:hAnsi="Palatino Linotype"/>
          <w:sz w:val="18"/>
          <w:szCs w:val="18"/>
        </w:rPr>
        <w:tab/>
      </w:r>
      <w:r w:rsidR="00B87F0A" w:rsidRPr="00A53DE2">
        <w:rPr>
          <w:rFonts w:ascii="Palatino Linotype" w:hAnsi="Palatino Linotype"/>
          <w:sz w:val="18"/>
          <w:szCs w:val="18"/>
          <w:lang w:val="en-GB"/>
        </w:rPr>
        <w:t xml:space="preserve">Van Hecke, O.; Adegoke, Y.; Allwood, M.; von Pressentin, K.; Namane, M.; Butler, C.; Mendelson, M.; Coetzee, R. Impact of pharmacist-prescriber partnerships to track antibiotic prescribing in publicly funded primary care in the Cape Town metropole, South Africa: An implementation study. S. Afr. Med. J. </w:t>
      </w:r>
      <w:r w:rsidR="00B87F0A" w:rsidRPr="00A53DE2">
        <w:rPr>
          <w:rFonts w:ascii="Palatino Linotype" w:hAnsi="Palatino Linotype"/>
          <w:b/>
          <w:bCs/>
          <w:sz w:val="18"/>
          <w:szCs w:val="18"/>
          <w:lang w:val="en-GB"/>
        </w:rPr>
        <w:t>2024</w:t>
      </w:r>
      <w:r w:rsidR="00B87F0A" w:rsidRPr="00A53DE2">
        <w:rPr>
          <w:rFonts w:ascii="Palatino Linotype" w:hAnsi="Palatino Linotype"/>
          <w:sz w:val="18"/>
          <w:szCs w:val="18"/>
          <w:lang w:val="en-GB"/>
        </w:rPr>
        <w:t>, 114, e1914.</w:t>
      </w:r>
    </w:p>
    <w:p w14:paraId="5D832C29" w14:textId="3890ACB2" w:rsidR="00B87F0A" w:rsidRPr="00A53DE2" w:rsidRDefault="00514A46" w:rsidP="009D3DA6">
      <w:pPr>
        <w:pStyle w:val="NoSpacing1"/>
        <w:rPr>
          <w:rFonts w:ascii="Palatino Linotype" w:hAnsi="Palatino Linotype"/>
          <w:sz w:val="18"/>
          <w:szCs w:val="18"/>
        </w:rPr>
      </w:pPr>
      <w:r>
        <w:rPr>
          <w:rFonts w:ascii="Palatino Linotype" w:hAnsi="Palatino Linotype"/>
          <w:sz w:val="18"/>
          <w:szCs w:val="18"/>
        </w:rPr>
        <w:t>87</w:t>
      </w:r>
      <w:r w:rsidR="00B87F0A" w:rsidRPr="00A53DE2">
        <w:rPr>
          <w:rFonts w:ascii="Palatino Linotype" w:hAnsi="Palatino Linotype"/>
          <w:sz w:val="18"/>
          <w:szCs w:val="18"/>
        </w:rPr>
        <w:t>.</w:t>
      </w:r>
      <w:r w:rsidR="00B87F0A" w:rsidRPr="00A53DE2">
        <w:rPr>
          <w:rFonts w:ascii="Palatino Linotype" w:hAnsi="Palatino Linotype"/>
          <w:sz w:val="18"/>
          <w:szCs w:val="18"/>
        </w:rPr>
        <w:tab/>
        <w:t>Avent ML, Cosgrove SE, Price-Haywood EG, Van Driel ML. Antimicrobial stewardship in the primary care setting: from dream to reality? BMC Family Practice. 2020;21(1).</w:t>
      </w:r>
    </w:p>
    <w:p w14:paraId="0C41FB1D" w14:textId="627FE5B5" w:rsidR="00B87F0A" w:rsidRPr="00A53DE2" w:rsidRDefault="00514A46" w:rsidP="009D3DA6">
      <w:pPr>
        <w:pStyle w:val="NoSpacing1"/>
        <w:rPr>
          <w:rFonts w:ascii="Palatino Linotype" w:hAnsi="Palatino Linotype"/>
          <w:sz w:val="18"/>
          <w:szCs w:val="18"/>
          <w:lang w:val="pt-PT"/>
        </w:rPr>
      </w:pPr>
      <w:r>
        <w:rPr>
          <w:rFonts w:ascii="Palatino Linotype" w:hAnsi="Palatino Linotype"/>
          <w:sz w:val="18"/>
          <w:szCs w:val="18"/>
        </w:rPr>
        <w:t>88</w:t>
      </w:r>
      <w:r w:rsidR="00B87F0A" w:rsidRPr="00A53DE2">
        <w:rPr>
          <w:rFonts w:ascii="Palatino Linotype" w:hAnsi="Palatino Linotype"/>
          <w:sz w:val="18"/>
          <w:szCs w:val="18"/>
        </w:rPr>
        <w:t>.</w:t>
      </w:r>
      <w:r w:rsidR="00B87F0A" w:rsidRPr="00A53DE2">
        <w:rPr>
          <w:rFonts w:ascii="Palatino Linotype" w:hAnsi="Palatino Linotype"/>
          <w:sz w:val="18"/>
          <w:szCs w:val="18"/>
        </w:rPr>
        <w:tab/>
        <w:t xml:space="preserve">Peiffer-Smadja N, Descousse S, Courrèges E, Nganbou A, Jeanmougin P, Birgand G, et al. Implementation of a Clinical Decision Support System for Antimicrobial Prescribing in Sub-Saharan Africa: Multisectoral Qualitative Study. </w:t>
      </w:r>
      <w:r w:rsidR="00B87F0A" w:rsidRPr="00A53DE2">
        <w:rPr>
          <w:rFonts w:ascii="Palatino Linotype" w:hAnsi="Palatino Linotype"/>
          <w:sz w:val="18"/>
          <w:szCs w:val="18"/>
          <w:lang w:val="pt-PT"/>
        </w:rPr>
        <w:t>Journal of Medical Internet Research. 2024;26:e45122.</w:t>
      </w:r>
    </w:p>
    <w:p w14:paraId="5A4B2F52" w14:textId="5F9C3588" w:rsidR="00B87F0A" w:rsidRPr="00A53DE2" w:rsidRDefault="00514A46" w:rsidP="009D3DA6">
      <w:pPr>
        <w:pStyle w:val="NoSpacing1"/>
        <w:rPr>
          <w:rFonts w:ascii="Palatino Linotype" w:hAnsi="Palatino Linotype"/>
          <w:sz w:val="18"/>
          <w:szCs w:val="18"/>
        </w:rPr>
      </w:pPr>
      <w:r>
        <w:rPr>
          <w:rFonts w:ascii="Palatino Linotype" w:hAnsi="Palatino Linotype"/>
          <w:sz w:val="18"/>
          <w:szCs w:val="18"/>
          <w:lang w:val="pt-PT"/>
        </w:rPr>
        <w:t>89</w:t>
      </w:r>
      <w:r w:rsidR="00B87F0A" w:rsidRPr="00A53DE2">
        <w:rPr>
          <w:rFonts w:ascii="Palatino Linotype" w:hAnsi="Palatino Linotype"/>
          <w:sz w:val="18"/>
          <w:szCs w:val="18"/>
          <w:lang w:val="pt-PT"/>
        </w:rPr>
        <w:t>.</w:t>
      </w:r>
      <w:r w:rsidR="00B87F0A" w:rsidRPr="00A53DE2">
        <w:rPr>
          <w:rFonts w:ascii="Palatino Linotype" w:hAnsi="Palatino Linotype"/>
          <w:sz w:val="18"/>
          <w:szCs w:val="18"/>
          <w:lang w:val="pt-PT"/>
        </w:rPr>
        <w:tab/>
        <w:t xml:space="preserve">Neto V, Estrela M, Ribeiro AF, Novais A, Neves C, Zapata-Cachafeiro M, et al. </w:t>
      </w:r>
      <w:r w:rsidR="00B87F0A" w:rsidRPr="00A53DE2">
        <w:rPr>
          <w:rFonts w:ascii="Palatino Linotype" w:hAnsi="Palatino Linotype"/>
          <w:sz w:val="18"/>
          <w:szCs w:val="18"/>
        </w:rPr>
        <w:t>Tackling antibiotic resistance—insights from eHealthResp’s educational interventions. npj Primary Care Respiratory Medicine. 2024;34(1).</w:t>
      </w:r>
    </w:p>
    <w:p w14:paraId="116347F1" w14:textId="56749A41" w:rsidR="00B87F0A" w:rsidRPr="00A53DE2" w:rsidRDefault="00514A46" w:rsidP="009D3DA6">
      <w:pPr>
        <w:pStyle w:val="NoSpacing1"/>
        <w:rPr>
          <w:rFonts w:ascii="Palatino Linotype" w:hAnsi="Palatino Linotype"/>
          <w:sz w:val="18"/>
          <w:szCs w:val="18"/>
        </w:rPr>
      </w:pPr>
      <w:r>
        <w:rPr>
          <w:rFonts w:ascii="Palatino Linotype" w:hAnsi="Palatino Linotype"/>
          <w:sz w:val="18"/>
          <w:szCs w:val="18"/>
        </w:rPr>
        <w:t>90</w:t>
      </w:r>
      <w:r w:rsidR="00B87F0A" w:rsidRPr="00A53DE2">
        <w:rPr>
          <w:rFonts w:ascii="Palatino Linotype" w:hAnsi="Palatino Linotype"/>
          <w:sz w:val="18"/>
          <w:szCs w:val="18"/>
        </w:rPr>
        <w:t>.</w:t>
      </w:r>
      <w:r w:rsidR="00B87F0A" w:rsidRPr="00A53DE2">
        <w:rPr>
          <w:rFonts w:ascii="Palatino Linotype" w:hAnsi="Palatino Linotype"/>
          <w:sz w:val="18"/>
          <w:szCs w:val="18"/>
        </w:rPr>
        <w:tab/>
        <w:t>Mahomed OH, Naidoo S, Asmall S, Taylor M. Improving the quality of nurse clinical documentation for chronic patients at primary care clinics: A multifaceted intervention. Curationis. 2015;38(1).</w:t>
      </w:r>
    </w:p>
    <w:p w14:paraId="28CB924A" w14:textId="2AB110AB" w:rsidR="00B87F0A" w:rsidRPr="00A53DE2" w:rsidRDefault="00514A46" w:rsidP="009D3DA6">
      <w:pPr>
        <w:pStyle w:val="NoSpacing1"/>
        <w:rPr>
          <w:rFonts w:ascii="Palatino Linotype" w:hAnsi="Palatino Linotype"/>
          <w:sz w:val="18"/>
          <w:szCs w:val="18"/>
        </w:rPr>
      </w:pPr>
      <w:r>
        <w:rPr>
          <w:rFonts w:ascii="Palatino Linotype" w:hAnsi="Palatino Linotype"/>
          <w:sz w:val="18"/>
          <w:szCs w:val="18"/>
        </w:rPr>
        <w:t>91</w:t>
      </w:r>
      <w:r w:rsidR="00B87F0A" w:rsidRPr="00A53DE2">
        <w:rPr>
          <w:rFonts w:ascii="Palatino Linotype" w:hAnsi="Palatino Linotype"/>
          <w:sz w:val="18"/>
          <w:szCs w:val="18"/>
        </w:rPr>
        <w:t>.</w:t>
      </w:r>
      <w:r w:rsidR="00B87F0A" w:rsidRPr="00A53DE2">
        <w:rPr>
          <w:rFonts w:ascii="Palatino Linotype" w:hAnsi="Palatino Linotype"/>
          <w:sz w:val="18"/>
          <w:szCs w:val="18"/>
        </w:rPr>
        <w:tab/>
        <w:t>Kolawole O. Non-compliant health record-keeping in South Africa: Judicial responses, and progress towards a digital remedy. The African Journal of Information and Communication. 2024(33):1-19.</w:t>
      </w:r>
    </w:p>
    <w:p w14:paraId="24B7DB07" w14:textId="577C47A4" w:rsidR="00B87F0A" w:rsidRPr="00A53DE2" w:rsidRDefault="00514A46" w:rsidP="009D3DA6">
      <w:pPr>
        <w:pStyle w:val="NoSpacing1"/>
        <w:rPr>
          <w:rFonts w:ascii="Palatino Linotype" w:hAnsi="Palatino Linotype"/>
          <w:sz w:val="18"/>
          <w:szCs w:val="18"/>
        </w:rPr>
      </w:pPr>
      <w:r>
        <w:rPr>
          <w:rFonts w:ascii="Palatino Linotype" w:hAnsi="Palatino Linotype"/>
          <w:sz w:val="18"/>
          <w:szCs w:val="18"/>
        </w:rPr>
        <w:t>92</w:t>
      </w:r>
      <w:r w:rsidR="00B87F0A" w:rsidRPr="00A53DE2">
        <w:rPr>
          <w:rFonts w:ascii="Palatino Linotype" w:hAnsi="Palatino Linotype"/>
          <w:sz w:val="18"/>
          <w:szCs w:val="18"/>
        </w:rPr>
        <w:t>.</w:t>
      </w:r>
      <w:r w:rsidR="00B87F0A" w:rsidRPr="00A53DE2">
        <w:rPr>
          <w:rFonts w:ascii="Palatino Linotype" w:hAnsi="Palatino Linotype"/>
          <w:sz w:val="18"/>
          <w:szCs w:val="18"/>
        </w:rPr>
        <w:tab/>
        <w:t>Nkoane NL. Experiences of operational managers regarding record keeping by new professional nurses in public hospitals in the North West province, South Africa. Health SA. 2023;28:2257.</w:t>
      </w:r>
    </w:p>
    <w:p w14:paraId="3C5A7396" w14:textId="6F04DC80" w:rsidR="00B87F0A" w:rsidRPr="00A53DE2" w:rsidRDefault="00514A46" w:rsidP="009D3DA6">
      <w:pPr>
        <w:pStyle w:val="NoSpacing1"/>
        <w:rPr>
          <w:rFonts w:ascii="Palatino Linotype" w:hAnsi="Palatino Linotype"/>
          <w:sz w:val="18"/>
          <w:szCs w:val="18"/>
        </w:rPr>
      </w:pPr>
      <w:r>
        <w:rPr>
          <w:rFonts w:ascii="Palatino Linotype" w:hAnsi="Palatino Linotype"/>
          <w:sz w:val="18"/>
          <w:szCs w:val="18"/>
        </w:rPr>
        <w:t>93</w:t>
      </w:r>
      <w:r w:rsidR="00B87F0A" w:rsidRPr="00A53DE2">
        <w:rPr>
          <w:rFonts w:ascii="Palatino Linotype" w:hAnsi="Palatino Linotype"/>
          <w:sz w:val="18"/>
          <w:szCs w:val="18"/>
        </w:rPr>
        <w:t>.</w:t>
      </w:r>
      <w:r w:rsidR="00B87F0A" w:rsidRPr="00A53DE2">
        <w:rPr>
          <w:rFonts w:ascii="Palatino Linotype" w:hAnsi="Palatino Linotype"/>
          <w:sz w:val="18"/>
          <w:szCs w:val="18"/>
        </w:rPr>
        <w:tab/>
        <w:t>Van Hecke O, Butler C, Mendelson M, Tonkin-Crine S. Introducing new point-of-care tests for common infections in publicly funded clinics in South Africa: a qualitative study with primary care clinicians. BMJ Open. 2019;9(11):e029260.</w:t>
      </w:r>
    </w:p>
    <w:p w14:paraId="75110560" w14:textId="1DA7CE14" w:rsidR="00B87F0A" w:rsidRPr="00A53DE2" w:rsidRDefault="00514A46" w:rsidP="009D3DA6">
      <w:pPr>
        <w:pStyle w:val="NoSpacing1"/>
        <w:rPr>
          <w:rFonts w:ascii="Palatino Linotype" w:hAnsi="Palatino Linotype"/>
          <w:sz w:val="18"/>
          <w:szCs w:val="18"/>
        </w:rPr>
      </w:pPr>
      <w:r>
        <w:rPr>
          <w:rFonts w:ascii="Palatino Linotype" w:hAnsi="Palatino Linotype"/>
          <w:sz w:val="18"/>
          <w:szCs w:val="18"/>
        </w:rPr>
        <w:t>94</w:t>
      </w:r>
      <w:r w:rsidR="00B87F0A" w:rsidRPr="00A53DE2">
        <w:rPr>
          <w:rFonts w:ascii="Palatino Linotype" w:hAnsi="Palatino Linotype"/>
          <w:sz w:val="18"/>
          <w:szCs w:val="18"/>
        </w:rPr>
        <w:t>.</w:t>
      </w:r>
      <w:r w:rsidR="00B87F0A" w:rsidRPr="00A53DE2">
        <w:rPr>
          <w:rFonts w:ascii="Palatino Linotype" w:hAnsi="Palatino Linotype"/>
          <w:sz w:val="18"/>
          <w:szCs w:val="18"/>
        </w:rPr>
        <w:tab/>
        <w:t>Lekhan VM, Puchkova NV, Zaiarskyi MI. Problems of antimicrobial resistance in the primary health care system (results of the sociological study). Wiad Lek. 2025;78(5):981-7.</w:t>
      </w:r>
    </w:p>
    <w:p w14:paraId="29082372" w14:textId="2627A445" w:rsidR="00B87F0A" w:rsidRPr="00A53DE2" w:rsidRDefault="00514A46" w:rsidP="009D3DA6">
      <w:pPr>
        <w:pStyle w:val="NoSpacing1"/>
        <w:rPr>
          <w:rFonts w:ascii="Palatino Linotype" w:hAnsi="Palatino Linotype"/>
          <w:sz w:val="18"/>
          <w:szCs w:val="18"/>
        </w:rPr>
      </w:pPr>
      <w:r>
        <w:rPr>
          <w:rFonts w:ascii="Palatino Linotype" w:hAnsi="Palatino Linotype"/>
          <w:sz w:val="18"/>
          <w:szCs w:val="18"/>
        </w:rPr>
        <w:t>95</w:t>
      </w:r>
      <w:r w:rsidR="00B87F0A" w:rsidRPr="00A53DE2">
        <w:rPr>
          <w:rFonts w:ascii="Palatino Linotype" w:hAnsi="Palatino Linotype"/>
          <w:sz w:val="18"/>
          <w:szCs w:val="18"/>
        </w:rPr>
        <w:t>.</w:t>
      </w:r>
      <w:r w:rsidR="00B87F0A" w:rsidRPr="00A53DE2">
        <w:rPr>
          <w:rFonts w:ascii="Palatino Linotype" w:hAnsi="Palatino Linotype"/>
          <w:sz w:val="18"/>
          <w:szCs w:val="18"/>
        </w:rPr>
        <w:tab/>
        <w:t>Adriaenssens N, Coenen S, Tonkin-Crine S, Verheij TJ, Little P, Goossens H. European Surveillance of Antimicrobial Consumption (ESAC): disease-specific quality indicators for outpatient antibiotic prescribing. BMJ Qual Saf. 2011;20(9):764-72.</w:t>
      </w:r>
    </w:p>
    <w:p w14:paraId="384491B9" w14:textId="759FD01A" w:rsidR="00B87F0A" w:rsidRPr="00A53DE2" w:rsidRDefault="00514A46" w:rsidP="009D3DA6">
      <w:pPr>
        <w:pStyle w:val="NoSpacing1"/>
        <w:rPr>
          <w:rFonts w:ascii="Palatino Linotype" w:hAnsi="Palatino Linotype"/>
          <w:sz w:val="18"/>
          <w:szCs w:val="18"/>
        </w:rPr>
      </w:pPr>
      <w:r>
        <w:rPr>
          <w:rFonts w:ascii="Palatino Linotype" w:hAnsi="Palatino Linotype"/>
          <w:sz w:val="18"/>
          <w:szCs w:val="18"/>
        </w:rPr>
        <w:t>96</w:t>
      </w:r>
      <w:r w:rsidR="00B87F0A" w:rsidRPr="00A53DE2">
        <w:rPr>
          <w:rFonts w:ascii="Palatino Linotype" w:hAnsi="Palatino Linotype"/>
          <w:sz w:val="18"/>
          <w:szCs w:val="18"/>
        </w:rPr>
        <w:t>.</w:t>
      </w:r>
      <w:r w:rsidR="00B87F0A" w:rsidRPr="00A53DE2">
        <w:rPr>
          <w:rFonts w:ascii="Palatino Linotype" w:hAnsi="Palatino Linotype"/>
          <w:sz w:val="18"/>
          <w:szCs w:val="18"/>
        </w:rPr>
        <w:tab/>
        <w:t>Alkhazali IE, Nik Ab Rahman NH, Alrawashdeh A, Fauzi MH. Development of respiratory disease quality indicators for pediatric patients in Jordanian emergency departments: a RAND/UCLA appropriateness method. Journal of Emergency and Critical Care Medicine. 2024;9.</w:t>
      </w:r>
    </w:p>
    <w:p w14:paraId="399740B9" w14:textId="7776E876" w:rsidR="00B87F0A" w:rsidRPr="00A53DE2" w:rsidRDefault="00514A46" w:rsidP="009D3DA6">
      <w:pPr>
        <w:pStyle w:val="NoSpacing1"/>
        <w:rPr>
          <w:rFonts w:ascii="Palatino Linotype" w:hAnsi="Palatino Linotype"/>
          <w:sz w:val="18"/>
          <w:szCs w:val="18"/>
        </w:rPr>
      </w:pPr>
      <w:r>
        <w:rPr>
          <w:rFonts w:ascii="Palatino Linotype" w:hAnsi="Palatino Linotype"/>
          <w:sz w:val="18"/>
          <w:szCs w:val="18"/>
        </w:rPr>
        <w:t>97</w:t>
      </w:r>
      <w:r w:rsidR="00B87F0A" w:rsidRPr="00A53DE2">
        <w:rPr>
          <w:rFonts w:ascii="Palatino Linotype" w:hAnsi="Palatino Linotype"/>
          <w:sz w:val="18"/>
          <w:szCs w:val="18"/>
        </w:rPr>
        <w:t>.</w:t>
      </w:r>
      <w:r w:rsidR="00B87F0A" w:rsidRPr="00A53DE2">
        <w:rPr>
          <w:rFonts w:ascii="Palatino Linotype" w:hAnsi="Palatino Linotype"/>
          <w:sz w:val="18"/>
          <w:szCs w:val="18"/>
        </w:rPr>
        <w:tab/>
        <w:t>Fitch K, Bernstein María SJ, Aguilar D, Burnand B, Lacalle JR, Lázaro P, et al. The RAND/UCLA Appropriateness Method User's Manual: The RAND Corporation; 2001. Available at URL: https://www.rand.org/pubs/monograph_reports/MR1269.html</w:t>
      </w:r>
    </w:p>
    <w:p w14:paraId="7A9ABCDD" w14:textId="31435A51" w:rsidR="00B87F0A" w:rsidRPr="00A53DE2" w:rsidRDefault="00514A46" w:rsidP="009D3DA6">
      <w:pPr>
        <w:pStyle w:val="NoSpacing1"/>
        <w:rPr>
          <w:rFonts w:ascii="Palatino Linotype" w:hAnsi="Palatino Linotype"/>
          <w:sz w:val="18"/>
          <w:szCs w:val="18"/>
          <w:lang w:val="en-GB"/>
        </w:rPr>
      </w:pPr>
      <w:r>
        <w:rPr>
          <w:rFonts w:ascii="Palatino Linotype" w:hAnsi="Palatino Linotype"/>
          <w:sz w:val="18"/>
          <w:szCs w:val="18"/>
          <w:lang w:val="en-GB"/>
        </w:rPr>
        <w:t>98</w:t>
      </w:r>
      <w:r w:rsidR="00B87F0A" w:rsidRPr="00A53DE2">
        <w:rPr>
          <w:rFonts w:ascii="Palatino Linotype" w:hAnsi="Palatino Linotype"/>
          <w:sz w:val="18"/>
          <w:szCs w:val="18"/>
          <w:lang w:val="en-GB"/>
        </w:rPr>
        <w:t xml:space="preserve">. National Department of Health Republic of South Africa. Ideal Clinic Manual, version 19. 2025. Available at URL: </w:t>
      </w:r>
      <w:hyperlink r:id="rId34" w:history="1">
        <w:r w:rsidR="00B87F0A" w:rsidRPr="00A53DE2">
          <w:rPr>
            <w:rStyle w:val="Hyperlink"/>
            <w:rFonts w:ascii="Palatino Linotype" w:hAnsi="Palatino Linotype"/>
            <w:color w:val="auto"/>
            <w:sz w:val="18"/>
            <w:szCs w:val="18"/>
            <w:u w:val="none"/>
            <w:lang w:val="en-GB"/>
          </w:rPr>
          <w:t>https://knowledgehub.health.gov.za/node/956</w:t>
        </w:r>
      </w:hyperlink>
    </w:p>
    <w:p w14:paraId="1D4C6B50" w14:textId="36FB2AA4" w:rsidR="00B87F0A" w:rsidRPr="00A53DE2" w:rsidRDefault="00514A46" w:rsidP="009D3DA6">
      <w:pPr>
        <w:pStyle w:val="NoSpacing1"/>
        <w:rPr>
          <w:rFonts w:ascii="Palatino Linotype" w:hAnsi="Palatino Linotype"/>
          <w:sz w:val="18"/>
          <w:szCs w:val="18"/>
        </w:rPr>
      </w:pPr>
      <w:r>
        <w:rPr>
          <w:rFonts w:ascii="Palatino Linotype" w:hAnsi="Palatino Linotype"/>
          <w:sz w:val="18"/>
          <w:szCs w:val="18"/>
          <w:lang w:val="en-GB"/>
        </w:rPr>
        <w:t>99</w:t>
      </w:r>
      <w:r w:rsidR="00B87F0A" w:rsidRPr="00A53DE2">
        <w:rPr>
          <w:rFonts w:ascii="Palatino Linotype" w:hAnsi="Palatino Linotype"/>
          <w:sz w:val="18"/>
          <w:szCs w:val="18"/>
          <w:lang w:val="en-GB"/>
        </w:rPr>
        <w:t xml:space="preserve">. </w:t>
      </w:r>
      <w:r w:rsidR="00B87F0A" w:rsidRPr="00A53DE2">
        <w:rPr>
          <w:rFonts w:ascii="Palatino Linotype" w:hAnsi="Palatino Linotype"/>
          <w:sz w:val="18"/>
          <w:szCs w:val="18"/>
        </w:rPr>
        <w:t>Borek AJ, Wanat M, Sallis A, Ashiru-Oredope D, Atkins L, Beech E, et al. How Can National Antimicrobial Stewardship Interventions in Primary Care Be Improved? A Stakeholder Consultation. Antibiotics. 2019;8(4)</w:t>
      </w:r>
    </w:p>
    <w:p w14:paraId="17BDADD0" w14:textId="7586A8A0" w:rsidR="00B87F0A" w:rsidRPr="00A53DE2" w:rsidRDefault="00B87F0A" w:rsidP="009D3DA6">
      <w:pPr>
        <w:pStyle w:val="NoSpacing1"/>
        <w:rPr>
          <w:rFonts w:ascii="Palatino Linotype" w:hAnsi="Palatino Linotype"/>
          <w:sz w:val="18"/>
          <w:szCs w:val="18"/>
        </w:rPr>
      </w:pPr>
      <w:r w:rsidRPr="00A53DE2">
        <w:rPr>
          <w:rFonts w:ascii="Palatino Linotype" w:hAnsi="Palatino Linotype"/>
          <w:sz w:val="18"/>
          <w:szCs w:val="18"/>
        </w:rPr>
        <w:t>1</w:t>
      </w:r>
      <w:r w:rsidR="00514A46">
        <w:rPr>
          <w:rFonts w:ascii="Palatino Linotype" w:hAnsi="Palatino Linotype"/>
          <w:sz w:val="18"/>
          <w:szCs w:val="18"/>
        </w:rPr>
        <w:t>00</w:t>
      </w:r>
      <w:r w:rsidRPr="00A53DE2">
        <w:rPr>
          <w:rFonts w:ascii="Palatino Linotype" w:hAnsi="Palatino Linotype"/>
          <w:sz w:val="18"/>
          <w:szCs w:val="18"/>
        </w:rPr>
        <w:t>. O'Connor N, Breen R, Carton M, Mc Grath I, Deasy N, Collins C, et al. Improving the quality of antibiotic prescribing through an educational intervention delivered through the out-of-hours general practice service in Ireland. Eur J Gen Pract. 2020;26(1):119-24</w:t>
      </w:r>
    </w:p>
    <w:p w14:paraId="62C1BE8E" w14:textId="7CDC2877" w:rsidR="00B87F0A" w:rsidRPr="00A53DE2" w:rsidRDefault="00B87F0A" w:rsidP="009D3DA6">
      <w:pPr>
        <w:pStyle w:val="NoSpacing1"/>
        <w:rPr>
          <w:rFonts w:ascii="Palatino Linotype" w:hAnsi="Palatino Linotype"/>
          <w:sz w:val="18"/>
          <w:szCs w:val="18"/>
        </w:rPr>
      </w:pPr>
      <w:r w:rsidRPr="00A53DE2">
        <w:rPr>
          <w:rFonts w:ascii="Palatino Linotype" w:hAnsi="Palatino Linotype"/>
          <w:sz w:val="18"/>
          <w:szCs w:val="18"/>
        </w:rPr>
        <w:t>1</w:t>
      </w:r>
      <w:r w:rsidR="00514A46">
        <w:rPr>
          <w:rFonts w:ascii="Palatino Linotype" w:hAnsi="Palatino Linotype"/>
          <w:sz w:val="18"/>
          <w:szCs w:val="18"/>
        </w:rPr>
        <w:t>01</w:t>
      </w:r>
      <w:r w:rsidRPr="00A53DE2">
        <w:rPr>
          <w:rFonts w:ascii="Palatino Linotype" w:hAnsi="Palatino Linotype"/>
          <w:sz w:val="18"/>
          <w:szCs w:val="18"/>
        </w:rPr>
        <w:t>. Kandeel A, Palms DL, Afifi S, Kandeel Y, Etman A, Hicks LA, et al. An educational intervention to promote appropriate antibiotic use for acute respiratory infections in a district in Egypt- pilot study. BMC Public Health. 2019;19(Suppl 3):498</w:t>
      </w:r>
    </w:p>
    <w:p w14:paraId="3DB83E0E" w14:textId="7532478C" w:rsidR="00B87F0A" w:rsidRPr="00A53DE2" w:rsidRDefault="00B87F0A" w:rsidP="009D3DA6">
      <w:pPr>
        <w:pStyle w:val="NoSpacing1"/>
        <w:rPr>
          <w:rFonts w:ascii="Palatino Linotype" w:hAnsi="Palatino Linotype"/>
          <w:sz w:val="18"/>
          <w:szCs w:val="18"/>
        </w:rPr>
      </w:pPr>
      <w:r w:rsidRPr="00A53DE2">
        <w:rPr>
          <w:rFonts w:ascii="Palatino Linotype" w:hAnsi="Palatino Linotype"/>
          <w:sz w:val="18"/>
          <w:szCs w:val="18"/>
        </w:rPr>
        <w:t>1</w:t>
      </w:r>
      <w:r w:rsidR="00514A46">
        <w:rPr>
          <w:rFonts w:ascii="Palatino Linotype" w:hAnsi="Palatino Linotype"/>
          <w:sz w:val="18"/>
          <w:szCs w:val="18"/>
        </w:rPr>
        <w:t>02</w:t>
      </w:r>
      <w:r w:rsidRPr="00A53DE2">
        <w:rPr>
          <w:rFonts w:ascii="Palatino Linotype" w:hAnsi="Palatino Linotype"/>
          <w:sz w:val="18"/>
          <w:szCs w:val="18"/>
        </w:rPr>
        <w:t>. Rocha V, Estrela M, Neto V, Roque F, Figueiras A, Herdeiro MT. Educational Interventions to Reduce Prescription and Dispensing of Antibiotics in Primary Care: A Systematic Review of Economic Impact. Antibiotics. 2022;11(9):1186.</w:t>
      </w:r>
    </w:p>
    <w:p w14:paraId="60316B36" w14:textId="1A2CEC90" w:rsidR="00B87F0A" w:rsidRPr="00A53DE2" w:rsidRDefault="00B87F0A" w:rsidP="009D3DA6">
      <w:pPr>
        <w:pStyle w:val="NoSpacing1"/>
        <w:rPr>
          <w:rFonts w:ascii="Palatino Linotype" w:hAnsi="Palatino Linotype"/>
          <w:sz w:val="18"/>
          <w:szCs w:val="18"/>
        </w:rPr>
      </w:pPr>
      <w:r w:rsidRPr="00A53DE2">
        <w:rPr>
          <w:rFonts w:ascii="Palatino Linotype" w:hAnsi="Palatino Linotype"/>
          <w:sz w:val="18"/>
          <w:szCs w:val="18"/>
        </w:rPr>
        <w:t>1</w:t>
      </w:r>
      <w:r w:rsidR="00514A46">
        <w:rPr>
          <w:rFonts w:ascii="Palatino Linotype" w:hAnsi="Palatino Linotype"/>
          <w:sz w:val="18"/>
          <w:szCs w:val="18"/>
        </w:rPr>
        <w:t>03</w:t>
      </w:r>
      <w:r w:rsidRPr="00A53DE2">
        <w:rPr>
          <w:rFonts w:ascii="Palatino Linotype" w:hAnsi="Palatino Linotype"/>
          <w:sz w:val="18"/>
          <w:szCs w:val="18"/>
        </w:rPr>
        <w:t>.</w:t>
      </w:r>
      <w:r w:rsidRPr="00A53DE2">
        <w:rPr>
          <w:rFonts w:ascii="Palatino Linotype" w:hAnsi="Palatino Linotype"/>
          <w:sz w:val="18"/>
          <w:szCs w:val="18"/>
        </w:rPr>
        <w:tab/>
        <w:t>Brown B. Delphi Process: A Methodology Used for the Elicitation of Opinions of Experts. 1968. California. Available at URL: https://www.rand.org/pubs/papers/P3925.html</w:t>
      </w:r>
    </w:p>
    <w:p w14:paraId="62EAE56F" w14:textId="5C9B20A9" w:rsidR="00B87F0A" w:rsidRPr="00A53DE2" w:rsidRDefault="00B87F0A" w:rsidP="009D3DA6">
      <w:pPr>
        <w:pStyle w:val="NoSpacing1"/>
        <w:rPr>
          <w:rFonts w:ascii="Palatino Linotype" w:hAnsi="Palatino Linotype"/>
          <w:sz w:val="18"/>
          <w:szCs w:val="18"/>
        </w:rPr>
      </w:pPr>
      <w:r w:rsidRPr="00A53DE2">
        <w:rPr>
          <w:rFonts w:ascii="Palatino Linotype" w:hAnsi="Palatino Linotype"/>
          <w:sz w:val="18"/>
          <w:szCs w:val="18"/>
        </w:rPr>
        <w:t>1</w:t>
      </w:r>
      <w:r w:rsidR="00514A46">
        <w:rPr>
          <w:rFonts w:ascii="Palatino Linotype" w:hAnsi="Palatino Linotype"/>
          <w:sz w:val="18"/>
          <w:szCs w:val="18"/>
        </w:rPr>
        <w:t>04</w:t>
      </w:r>
      <w:r w:rsidRPr="00A53DE2">
        <w:rPr>
          <w:rFonts w:ascii="Palatino Linotype" w:hAnsi="Palatino Linotype"/>
          <w:sz w:val="18"/>
          <w:szCs w:val="18"/>
        </w:rPr>
        <w:t>.</w:t>
      </w:r>
      <w:r w:rsidRPr="00A53DE2">
        <w:rPr>
          <w:rFonts w:ascii="Palatino Linotype" w:hAnsi="Palatino Linotype"/>
          <w:sz w:val="18"/>
          <w:szCs w:val="18"/>
        </w:rPr>
        <w:tab/>
        <w:t>Campbell SM, Braspenning J, Hutchinson A, Marshall M. Research methods used in developing and applying quality indicators in primary care. Quality and Safety in Health Care. 2002;11(4):358-64.</w:t>
      </w:r>
    </w:p>
    <w:p w14:paraId="6870C5F6" w14:textId="40AF15B7" w:rsidR="00B87F0A" w:rsidRPr="00A53DE2" w:rsidRDefault="00B87F0A" w:rsidP="009D3DA6">
      <w:pPr>
        <w:pStyle w:val="NoSpacing1"/>
        <w:rPr>
          <w:rFonts w:ascii="Palatino Linotype" w:hAnsi="Palatino Linotype"/>
          <w:sz w:val="18"/>
          <w:szCs w:val="18"/>
        </w:rPr>
      </w:pPr>
      <w:r w:rsidRPr="00A53DE2">
        <w:rPr>
          <w:rFonts w:ascii="Palatino Linotype" w:hAnsi="Palatino Linotype"/>
          <w:sz w:val="18"/>
          <w:szCs w:val="18"/>
        </w:rPr>
        <w:t>1</w:t>
      </w:r>
      <w:r w:rsidR="00514A46">
        <w:rPr>
          <w:rFonts w:ascii="Palatino Linotype" w:hAnsi="Palatino Linotype"/>
          <w:sz w:val="18"/>
          <w:szCs w:val="18"/>
        </w:rPr>
        <w:t>05</w:t>
      </w:r>
      <w:r w:rsidRPr="00A53DE2">
        <w:rPr>
          <w:rFonts w:ascii="Palatino Linotype" w:hAnsi="Palatino Linotype"/>
          <w:sz w:val="18"/>
          <w:szCs w:val="18"/>
        </w:rPr>
        <w:t>.</w:t>
      </w:r>
      <w:r w:rsidRPr="00A53DE2">
        <w:rPr>
          <w:rFonts w:ascii="Palatino Linotype" w:hAnsi="Palatino Linotype"/>
          <w:sz w:val="18"/>
          <w:szCs w:val="18"/>
        </w:rPr>
        <w:tab/>
        <w:t>Broder MS, Gibbs SN, Yermilov I. An Adaptation of the RAND/UCLA Modified Delphi Panel Method in the Time of COVID-19. Journal of Healthcare Leadership. 2022;14:63-70.</w:t>
      </w:r>
    </w:p>
    <w:p w14:paraId="49676B1F" w14:textId="2C758B2D" w:rsidR="00B87F0A" w:rsidRPr="00A53DE2" w:rsidRDefault="00B87F0A" w:rsidP="009D3DA6">
      <w:pPr>
        <w:pStyle w:val="NoSpacing1"/>
        <w:rPr>
          <w:rFonts w:ascii="Palatino Linotype" w:hAnsi="Palatino Linotype"/>
          <w:sz w:val="18"/>
          <w:szCs w:val="18"/>
        </w:rPr>
      </w:pPr>
      <w:r w:rsidRPr="00A53DE2">
        <w:rPr>
          <w:rFonts w:ascii="Palatino Linotype" w:hAnsi="Palatino Linotype"/>
          <w:sz w:val="18"/>
          <w:szCs w:val="18"/>
        </w:rPr>
        <w:t>1</w:t>
      </w:r>
      <w:r w:rsidR="00514A46">
        <w:rPr>
          <w:rFonts w:ascii="Palatino Linotype" w:hAnsi="Palatino Linotype"/>
          <w:sz w:val="18"/>
          <w:szCs w:val="18"/>
        </w:rPr>
        <w:t>06</w:t>
      </w:r>
      <w:r w:rsidRPr="00A53DE2">
        <w:rPr>
          <w:rFonts w:ascii="Palatino Linotype" w:hAnsi="Palatino Linotype"/>
          <w:sz w:val="18"/>
          <w:szCs w:val="18"/>
        </w:rPr>
        <w:t>.</w:t>
      </w:r>
      <w:r w:rsidRPr="00A53DE2">
        <w:rPr>
          <w:rFonts w:ascii="Palatino Linotype" w:hAnsi="Palatino Linotype"/>
          <w:sz w:val="18"/>
          <w:szCs w:val="18"/>
        </w:rPr>
        <w:tab/>
        <w:t>Sparks JB, Klamerus ML, Caverly TJ, Skurla SE, Hofer TP, Kerr EA, et al. Planning and Reporting Effective Web-Based RAND/UCLA Appropriateness Method Panels: Literature Review and Preliminary Recommendations. Journal of Medical Internet Research. 2022;24(8):e33898-e.</w:t>
      </w:r>
    </w:p>
    <w:p w14:paraId="1F856EAA" w14:textId="3AC5EAFC" w:rsidR="00B87F0A" w:rsidRPr="00A53DE2" w:rsidRDefault="00B87F0A" w:rsidP="009D3DA6">
      <w:pPr>
        <w:pStyle w:val="NoSpacing1"/>
        <w:rPr>
          <w:rFonts w:ascii="Palatino Linotype" w:hAnsi="Palatino Linotype"/>
          <w:sz w:val="18"/>
          <w:szCs w:val="18"/>
        </w:rPr>
      </w:pPr>
      <w:r w:rsidRPr="00A53DE2">
        <w:rPr>
          <w:rFonts w:ascii="Palatino Linotype" w:hAnsi="Palatino Linotype"/>
          <w:sz w:val="18"/>
          <w:szCs w:val="18"/>
        </w:rPr>
        <w:t>1</w:t>
      </w:r>
      <w:r w:rsidR="00514A46">
        <w:rPr>
          <w:rFonts w:ascii="Palatino Linotype" w:hAnsi="Palatino Linotype"/>
          <w:sz w:val="18"/>
          <w:szCs w:val="18"/>
        </w:rPr>
        <w:t>07</w:t>
      </w:r>
      <w:r w:rsidRPr="00A53DE2">
        <w:rPr>
          <w:rFonts w:ascii="Palatino Linotype" w:hAnsi="Palatino Linotype"/>
          <w:sz w:val="18"/>
          <w:szCs w:val="18"/>
        </w:rPr>
        <w:t>.</w:t>
      </w:r>
      <w:r w:rsidRPr="00A53DE2">
        <w:rPr>
          <w:rFonts w:ascii="Palatino Linotype" w:hAnsi="Palatino Linotype"/>
          <w:sz w:val="18"/>
          <w:szCs w:val="18"/>
        </w:rPr>
        <w:tab/>
        <w:t>Cook A, Goelen J, Moore CE, Martin J, Pouwels KB, Sharland M. A pilot protocol for surveillance of infection and antibiotic prescribing in primary healthcare across the globe: Antibiotic Prescribing in Primary Healthcare Point Prevalence Survey (APC-PPS). Wellcome Open Research. 2025;10.</w:t>
      </w:r>
    </w:p>
    <w:p w14:paraId="7BC211E3" w14:textId="5FB0FBE8" w:rsidR="00DB6B67" w:rsidRPr="00A53DE2" w:rsidRDefault="00DB6B67" w:rsidP="009D3DA6">
      <w:pPr>
        <w:pStyle w:val="NoSpacing1"/>
        <w:rPr>
          <w:rFonts w:ascii="Palatino Linotype" w:hAnsi="Palatino Linotype"/>
          <w:sz w:val="18"/>
          <w:szCs w:val="18"/>
          <w:lang w:val="en-GB"/>
        </w:rPr>
      </w:pPr>
      <w:r w:rsidRPr="00A53DE2">
        <w:rPr>
          <w:rFonts w:ascii="Palatino Linotype" w:hAnsi="Palatino Linotype"/>
          <w:sz w:val="18"/>
          <w:szCs w:val="18"/>
        </w:rPr>
        <w:t>1</w:t>
      </w:r>
      <w:r w:rsidR="00514A46">
        <w:rPr>
          <w:rFonts w:ascii="Palatino Linotype" w:hAnsi="Palatino Linotype"/>
          <w:sz w:val="18"/>
          <w:szCs w:val="18"/>
        </w:rPr>
        <w:t>08</w:t>
      </w:r>
      <w:r w:rsidRPr="00A53DE2">
        <w:rPr>
          <w:rFonts w:ascii="Palatino Linotype" w:hAnsi="Palatino Linotype"/>
          <w:sz w:val="18"/>
          <w:szCs w:val="18"/>
        </w:rPr>
        <w:t xml:space="preserve">. </w:t>
      </w:r>
      <w:r w:rsidRPr="00A53DE2">
        <w:rPr>
          <w:rFonts w:ascii="Palatino Linotype" w:hAnsi="Palatino Linotype"/>
          <w:sz w:val="18"/>
          <w:szCs w:val="18"/>
          <w:lang w:val="en-GB"/>
        </w:rPr>
        <w:t xml:space="preserve">Maluleke, T.M.; Maluleke, M.T.; Ramdas, N.; Jeli´c, A.G.; Kurdi, A.; Chigome, A.; Campbell, S.M.; Markovi´c-Pekovi´c, V.; Schellack, N.; Godman, B.; et al. Prevalence and Associated Factors for Purchasing Antibiotics Without a Prescription Among Patients in Rural South Africa: Implications for Addressing Antimicrobial Resistance. Antibiotics </w:t>
      </w:r>
      <w:r w:rsidRPr="00A53DE2">
        <w:rPr>
          <w:rFonts w:ascii="Palatino Linotype" w:hAnsi="Palatino Linotype"/>
          <w:b/>
          <w:bCs/>
          <w:sz w:val="18"/>
          <w:szCs w:val="18"/>
          <w:lang w:val="en-GB"/>
        </w:rPr>
        <w:t>2025</w:t>
      </w:r>
      <w:r w:rsidRPr="00A53DE2">
        <w:rPr>
          <w:rFonts w:ascii="Palatino Linotype" w:hAnsi="Palatino Linotype"/>
          <w:sz w:val="18"/>
          <w:szCs w:val="18"/>
          <w:lang w:val="en-GB"/>
        </w:rPr>
        <w:t>, 14, 1273.</w:t>
      </w:r>
    </w:p>
    <w:p w14:paraId="0C7516E8" w14:textId="77777777" w:rsidR="00DB6B67" w:rsidRPr="00A53DE2" w:rsidRDefault="00DB6B67" w:rsidP="009D3DA6">
      <w:pPr>
        <w:pStyle w:val="NoSpacing1"/>
        <w:rPr>
          <w:rFonts w:ascii="Palatino Linotype" w:hAnsi="Palatino Linotype"/>
          <w:sz w:val="18"/>
          <w:szCs w:val="18"/>
        </w:rPr>
      </w:pPr>
    </w:p>
    <w:p w14:paraId="272D9A58" w14:textId="5CF32089" w:rsidR="00575A6F" w:rsidRPr="00695A70" w:rsidRDefault="00B87F0A" w:rsidP="009D3DA6">
      <w:pPr>
        <w:pStyle w:val="NoSpacing1"/>
        <w:rPr>
          <w:lang w:eastAsia="de-DE" w:bidi="en-US"/>
        </w:rPr>
      </w:pPr>
      <w:r w:rsidRPr="00A53DE2">
        <w:rPr>
          <w:rFonts w:ascii="Palatino Linotype" w:hAnsi="Palatino Linotype"/>
          <w:sz w:val="18"/>
          <w:szCs w:val="18"/>
        </w:rPr>
        <w:fldChar w:fldCharType="end"/>
      </w:r>
    </w:p>
    <w:sectPr w:rsidR="00575A6F" w:rsidRPr="00695A70" w:rsidSect="00517440">
      <w:headerReference w:type="even" r:id="rId35"/>
      <w:headerReference w:type="default" r:id="rId36"/>
      <w:headerReference w:type="first" r:id="rId37"/>
      <w:footerReference w:type="first" r:id="rId38"/>
      <w:type w:val="continuous"/>
      <w:pgSz w:w="11906" w:h="16838" w:code="9"/>
      <w:pgMar w:top="1417" w:right="720" w:bottom="907" w:left="720" w:header="720" w:footer="612"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99CE2" w14:textId="77777777" w:rsidR="007010B5" w:rsidRPr="003D4CE1" w:rsidRDefault="007010B5">
      <w:pPr>
        <w:spacing w:line="240" w:lineRule="auto"/>
      </w:pPr>
      <w:r w:rsidRPr="003D4CE1">
        <w:separator/>
      </w:r>
    </w:p>
  </w:endnote>
  <w:endnote w:type="continuationSeparator" w:id="0">
    <w:p w14:paraId="5DD4014D" w14:textId="77777777" w:rsidR="007010B5" w:rsidRPr="003D4CE1" w:rsidRDefault="007010B5">
      <w:pPr>
        <w:spacing w:line="240" w:lineRule="auto"/>
      </w:pPr>
      <w:r w:rsidRPr="003D4C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93FE5" w14:textId="77777777" w:rsidR="00356DBC" w:rsidRPr="003D4CE1" w:rsidRDefault="00356DBC" w:rsidP="0090652B">
    <w:pPr>
      <w:pBdr>
        <w:top w:val="single" w:sz="4" w:space="0" w:color="000000"/>
      </w:pBdr>
      <w:tabs>
        <w:tab w:val="right" w:pos="8844"/>
      </w:tabs>
      <w:adjustRightInd w:val="0"/>
      <w:snapToGrid w:val="0"/>
      <w:spacing w:before="480" w:line="100" w:lineRule="exact"/>
      <w:jc w:val="left"/>
      <w:rPr>
        <w:i/>
        <w:sz w:val="16"/>
        <w:szCs w:val="16"/>
      </w:rPr>
    </w:pPr>
  </w:p>
  <w:p w14:paraId="3DD52C87" w14:textId="77777777" w:rsidR="00464DCD" w:rsidRPr="003D4CE1" w:rsidRDefault="00464DCD" w:rsidP="00F65BDA">
    <w:pPr>
      <w:tabs>
        <w:tab w:val="right" w:pos="10466"/>
      </w:tabs>
      <w:adjustRightInd w:val="0"/>
      <w:snapToGrid w:val="0"/>
      <w:spacing w:line="240" w:lineRule="auto"/>
      <w:rPr>
        <w:sz w:val="16"/>
        <w:szCs w:val="16"/>
      </w:rPr>
    </w:pPr>
    <w:r w:rsidRPr="003D4CE1">
      <w:rPr>
        <w:i/>
        <w:sz w:val="16"/>
        <w:szCs w:val="16"/>
      </w:rPr>
      <w:t xml:space="preserve">Antibiotics </w:t>
    </w:r>
    <w:r w:rsidR="00517440" w:rsidRPr="003D4CE1">
      <w:rPr>
        <w:b/>
        <w:bCs/>
        <w:iCs/>
        <w:sz w:val="16"/>
        <w:szCs w:val="16"/>
      </w:rPr>
      <w:t>2025</w:t>
    </w:r>
    <w:r w:rsidR="008A3AB2" w:rsidRPr="003D4CE1">
      <w:rPr>
        <w:bCs/>
        <w:iCs/>
        <w:sz w:val="16"/>
        <w:szCs w:val="16"/>
      </w:rPr>
      <w:t>,</w:t>
    </w:r>
    <w:r w:rsidR="00517440" w:rsidRPr="003D4CE1">
      <w:rPr>
        <w:bCs/>
        <w:i/>
        <w:iCs/>
        <w:sz w:val="16"/>
        <w:szCs w:val="16"/>
      </w:rPr>
      <w:t xml:space="preserve"> 14</w:t>
    </w:r>
    <w:r w:rsidR="008A3AB2" w:rsidRPr="003D4CE1">
      <w:rPr>
        <w:bCs/>
        <w:iCs/>
        <w:sz w:val="16"/>
        <w:szCs w:val="16"/>
      </w:rPr>
      <w:t xml:space="preserve">, </w:t>
    </w:r>
    <w:r w:rsidR="00F80885" w:rsidRPr="003D4CE1">
      <w:rPr>
        <w:bCs/>
        <w:iCs/>
        <w:sz w:val="16"/>
        <w:szCs w:val="16"/>
      </w:rPr>
      <w:t>x</w:t>
    </w:r>
    <w:r w:rsidR="00F65BDA" w:rsidRPr="003D4CE1">
      <w:rPr>
        <w:sz w:val="16"/>
        <w:szCs w:val="16"/>
      </w:rPr>
      <w:tab/>
    </w:r>
    <w:r w:rsidR="00517440" w:rsidRPr="003D4CE1">
      <w:rPr>
        <w:sz w:val="16"/>
        <w:szCs w:val="16"/>
      </w:rPr>
      <w:t>https://doi.org/10.3390/xxxxx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23845" w14:textId="77777777" w:rsidR="007010B5" w:rsidRPr="003D4CE1" w:rsidRDefault="007010B5">
      <w:pPr>
        <w:spacing w:line="240" w:lineRule="auto"/>
      </w:pPr>
      <w:r w:rsidRPr="003D4CE1">
        <w:separator/>
      </w:r>
    </w:p>
  </w:footnote>
  <w:footnote w:type="continuationSeparator" w:id="0">
    <w:p w14:paraId="3219E0DF" w14:textId="77777777" w:rsidR="007010B5" w:rsidRPr="003D4CE1" w:rsidRDefault="007010B5">
      <w:pPr>
        <w:spacing w:line="240" w:lineRule="auto"/>
      </w:pPr>
      <w:r w:rsidRPr="003D4C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5C1B7" w14:textId="77777777" w:rsidR="00464DCD" w:rsidRPr="003D4CE1" w:rsidRDefault="00464DCD" w:rsidP="00464DCD">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2B82A" w14:textId="77777777" w:rsidR="00356DBC" w:rsidRPr="003D4CE1" w:rsidRDefault="00464DCD" w:rsidP="00F65BDA">
    <w:pPr>
      <w:tabs>
        <w:tab w:val="right" w:pos="10466"/>
      </w:tabs>
      <w:adjustRightInd w:val="0"/>
      <w:snapToGrid w:val="0"/>
      <w:spacing w:line="240" w:lineRule="auto"/>
      <w:rPr>
        <w:sz w:val="16"/>
      </w:rPr>
    </w:pPr>
    <w:r w:rsidRPr="003D4CE1">
      <w:rPr>
        <w:i/>
        <w:sz w:val="16"/>
      </w:rPr>
      <w:t xml:space="preserve">Antibiotics </w:t>
    </w:r>
    <w:r w:rsidR="00517440" w:rsidRPr="003D4CE1">
      <w:rPr>
        <w:b/>
        <w:sz w:val="16"/>
      </w:rPr>
      <w:t>2025</w:t>
    </w:r>
    <w:r w:rsidR="008A3AB2" w:rsidRPr="003D4CE1">
      <w:rPr>
        <w:sz w:val="16"/>
      </w:rPr>
      <w:t>,</w:t>
    </w:r>
    <w:r w:rsidR="00517440" w:rsidRPr="003D4CE1">
      <w:rPr>
        <w:i/>
        <w:sz w:val="16"/>
      </w:rPr>
      <w:t xml:space="preserve"> 14</w:t>
    </w:r>
    <w:r w:rsidR="00F80885" w:rsidRPr="003D4CE1">
      <w:rPr>
        <w:sz w:val="16"/>
      </w:rPr>
      <w:t xml:space="preserve">, x </w:t>
    </w:r>
    <w:r w:rsidR="00517440" w:rsidRPr="003D4CE1">
      <w:rPr>
        <w:sz w:val="16"/>
      </w:rPr>
      <w:t>FOR PEER REVIEW</w:t>
    </w:r>
    <w:r w:rsidR="00517440" w:rsidRPr="003D4CE1">
      <w:rPr>
        <w:sz w:val="16"/>
      </w:rPr>
      <w:ptab w:relativeTo="margin" w:alignment="right" w:leader="none"/>
    </w:r>
    <w:r w:rsidR="00517440" w:rsidRPr="003D4CE1">
      <w:rPr>
        <w:sz w:val="16"/>
      </w:rPr>
      <w:fldChar w:fldCharType="begin"/>
    </w:r>
    <w:r w:rsidR="00517440" w:rsidRPr="003D4CE1">
      <w:rPr>
        <w:sz w:val="16"/>
      </w:rPr>
      <w:instrText xml:space="preserve"> PAGE   \* MERGEFORMAT </w:instrText>
    </w:r>
    <w:r w:rsidR="00517440" w:rsidRPr="003D4CE1">
      <w:rPr>
        <w:sz w:val="16"/>
      </w:rPr>
      <w:fldChar w:fldCharType="separate"/>
    </w:r>
    <w:r w:rsidR="00517440" w:rsidRPr="003D4CE1">
      <w:rPr>
        <w:sz w:val="16"/>
      </w:rPr>
      <w:t>2</w:t>
    </w:r>
    <w:r w:rsidR="00517440" w:rsidRPr="003D4CE1">
      <w:rPr>
        <w:sz w:val="16"/>
      </w:rPr>
      <w:fldChar w:fldCharType="end"/>
    </w:r>
    <w:r w:rsidR="00517440" w:rsidRPr="003D4CE1">
      <w:rPr>
        <w:sz w:val="16"/>
      </w:rPr>
      <w:t xml:space="preserve"> of </w:t>
    </w:r>
    <w:r w:rsidR="00517440" w:rsidRPr="003D4CE1">
      <w:rPr>
        <w:sz w:val="16"/>
      </w:rPr>
      <w:fldChar w:fldCharType="begin"/>
    </w:r>
    <w:r w:rsidR="00517440" w:rsidRPr="003D4CE1">
      <w:rPr>
        <w:sz w:val="16"/>
      </w:rPr>
      <w:instrText xml:space="preserve"> NUMPAGES   \* MERGEFORMAT </w:instrText>
    </w:r>
    <w:r w:rsidR="00517440" w:rsidRPr="003D4CE1">
      <w:rPr>
        <w:sz w:val="16"/>
      </w:rPr>
      <w:fldChar w:fldCharType="separate"/>
    </w:r>
    <w:r w:rsidR="00517440" w:rsidRPr="003D4CE1">
      <w:rPr>
        <w:sz w:val="16"/>
      </w:rPr>
      <w:t>8</w:t>
    </w:r>
    <w:r w:rsidR="00517440" w:rsidRPr="003D4CE1">
      <w:rPr>
        <w:sz w:val="16"/>
      </w:rPr>
      <w:fldChar w:fldCharType="end"/>
    </w:r>
  </w:p>
  <w:p w14:paraId="78E01F30" w14:textId="77777777" w:rsidR="00464DCD" w:rsidRPr="003D4CE1" w:rsidRDefault="00464DCD" w:rsidP="0090652B">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7" w:type="dxa"/>
      <w:tblCellMar>
        <w:left w:w="0" w:type="dxa"/>
        <w:right w:w="0" w:type="dxa"/>
      </w:tblCellMar>
      <w:tblLook w:val="04A0" w:firstRow="1" w:lastRow="0" w:firstColumn="1" w:lastColumn="0" w:noHBand="0" w:noVBand="1"/>
    </w:tblPr>
    <w:tblGrid>
      <w:gridCol w:w="3679"/>
      <w:gridCol w:w="4535"/>
      <w:gridCol w:w="2273"/>
    </w:tblGrid>
    <w:tr w:rsidR="00356DBC" w:rsidRPr="003D4CE1" w14:paraId="60EA4A43" w14:textId="77777777" w:rsidTr="001524B1">
      <w:trPr>
        <w:trHeight w:val="686"/>
      </w:trPr>
      <w:tc>
        <w:tcPr>
          <w:tcW w:w="3679" w:type="dxa"/>
          <w:vAlign w:val="center"/>
        </w:tcPr>
        <w:p w14:paraId="6D60AE91" w14:textId="77777777" w:rsidR="00356DBC" w:rsidRPr="003D4CE1" w:rsidRDefault="00040ACB" w:rsidP="00F65BDA">
          <w:pPr>
            <w:pStyle w:val="Header"/>
            <w:pBdr>
              <w:bottom w:val="none" w:sz="0" w:space="0" w:color="auto"/>
            </w:pBdr>
            <w:jc w:val="left"/>
            <w:rPr>
              <w:rFonts w:eastAsia="DengXian"/>
              <w:b/>
              <w:bCs/>
            </w:rPr>
          </w:pPr>
          <w:r w:rsidRPr="003D4CE1">
            <w:rPr>
              <w:rFonts w:eastAsia="DengXian"/>
              <w:b/>
              <w:bCs/>
              <w:noProof/>
            </w:rPr>
            <w:drawing>
              <wp:inline distT="0" distB="0" distL="0" distR="0" wp14:anchorId="2D384449" wp14:editId="62A06269">
                <wp:extent cx="1463324" cy="432000"/>
                <wp:effectExtent l="0" t="0" r="3810" b="6350"/>
                <wp:docPr id="1613097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097486" name=""/>
                        <pic:cNvPicPr/>
                      </pic:nvPicPr>
                      <pic:blipFill>
                        <a:blip r:embed="rId1"/>
                        <a:stretch>
                          <a:fillRect/>
                        </a:stretch>
                      </pic:blipFill>
                      <pic:spPr>
                        <a:xfrm>
                          <a:off x="0" y="0"/>
                          <a:ext cx="1463324" cy="432000"/>
                        </a:xfrm>
                        <a:prstGeom prst="rect">
                          <a:avLst/>
                        </a:prstGeom>
                      </pic:spPr>
                    </pic:pic>
                  </a:graphicData>
                </a:graphic>
              </wp:inline>
            </w:drawing>
          </w:r>
        </w:p>
      </w:tc>
      <w:tc>
        <w:tcPr>
          <w:tcW w:w="4535" w:type="dxa"/>
          <w:vAlign w:val="center"/>
        </w:tcPr>
        <w:p w14:paraId="3115F500" w14:textId="77777777" w:rsidR="00356DBC" w:rsidRPr="003D4CE1" w:rsidRDefault="00356DBC" w:rsidP="00F65BDA">
          <w:pPr>
            <w:pStyle w:val="Header"/>
            <w:pBdr>
              <w:bottom w:val="none" w:sz="0" w:space="0" w:color="auto"/>
            </w:pBdr>
            <w:rPr>
              <w:rFonts w:eastAsia="DengXian"/>
              <w:b/>
              <w:bCs/>
            </w:rPr>
          </w:pPr>
        </w:p>
      </w:tc>
      <w:tc>
        <w:tcPr>
          <w:tcW w:w="2273" w:type="dxa"/>
          <w:vAlign w:val="center"/>
        </w:tcPr>
        <w:p w14:paraId="3264D273" w14:textId="77777777" w:rsidR="00356DBC" w:rsidRPr="003D4CE1" w:rsidRDefault="001524B1" w:rsidP="001524B1">
          <w:pPr>
            <w:pStyle w:val="Header"/>
            <w:pBdr>
              <w:bottom w:val="none" w:sz="0" w:space="0" w:color="auto"/>
            </w:pBdr>
            <w:jc w:val="right"/>
            <w:rPr>
              <w:rFonts w:eastAsia="DengXian"/>
              <w:b/>
              <w:bCs/>
            </w:rPr>
          </w:pPr>
          <w:r w:rsidRPr="003D4CE1">
            <w:rPr>
              <w:rFonts w:eastAsia="DengXian"/>
              <w:b/>
              <w:bCs/>
              <w:noProof/>
            </w:rPr>
            <w:drawing>
              <wp:inline distT="0" distB="0" distL="0" distR="0" wp14:anchorId="3DEC3155" wp14:editId="292D65E4">
                <wp:extent cx="540000" cy="360000"/>
                <wp:effectExtent l="0" t="0" r="0" b="2540"/>
                <wp:docPr id="1313756440" name="Picture 1"/>
                <wp:cNvGraphicFramePr/>
                <a:graphic xmlns:a="http://schemas.openxmlformats.org/drawingml/2006/main">
                  <a:graphicData uri="http://schemas.openxmlformats.org/drawingml/2006/picture">
                    <pic:pic xmlns:pic="http://schemas.openxmlformats.org/drawingml/2006/picture">
                      <pic:nvPicPr>
                        <pic:cNvPr id="1313756440" name=""/>
                        <pic:cNvPicPr/>
                      </pic:nvPicPr>
                      <pic:blipFill>
                        <a:blip r:embed="rId2"/>
                        <a:stretch>
                          <a:fillRect/>
                        </a:stretch>
                      </pic:blipFill>
                      <pic:spPr>
                        <a:xfrm>
                          <a:off x="0" y="0"/>
                          <a:ext cx="540000" cy="360000"/>
                        </a:xfrm>
                        <a:prstGeom prst="rect">
                          <a:avLst/>
                        </a:prstGeom>
                      </pic:spPr>
                    </pic:pic>
                  </a:graphicData>
                </a:graphic>
              </wp:inline>
            </w:drawing>
          </w:r>
        </w:p>
      </w:tc>
    </w:tr>
  </w:tbl>
  <w:p w14:paraId="172FC6EE" w14:textId="77777777" w:rsidR="00464DCD" w:rsidRPr="003D4CE1" w:rsidRDefault="00464DCD" w:rsidP="00517440">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6DF4"/>
    <w:multiLevelType w:val="hybridMultilevel"/>
    <w:tmpl w:val="1AD0DD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932D03"/>
    <w:multiLevelType w:val="hybridMultilevel"/>
    <w:tmpl w:val="0E60F53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97C1D13"/>
    <w:multiLevelType w:val="hybridMultilevel"/>
    <w:tmpl w:val="80D024C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D007A33"/>
    <w:multiLevelType w:val="hybridMultilevel"/>
    <w:tmpl w:val="6F0C958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17E67844"/>
    <w:multiLevelType w:val="hybridMultilevel"/>
    <w:tmpl w:val="12A00B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B468F5"/>
    <w:multiLevelType w:val="hybridMultilevel"/>
    <w:tmpl w:val="C92AF13A"/>
    <w:lvl w:ilvl="0" w:tplc="1D6892E4">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7"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0C42D4"/>
    <w:multiLevelType w:val="hybridMultilevel"/>
    <w:tmpl w:val="59A69F04"/>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0"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6D4000"/>
    <w:multiLevelType w:val="hybridMultilevel"/>
    <w:tmpl w:val="B4E2B7EA"/>
    <w:lvl w:ilvl="0" w:tplc="1B4E0136">
      <w:start w:val="1"/>
      <w:numFmt w:val="decimal"/>
      <w:lvlText w:val="%1."/>
      <w:lvlJc w:val="left"/>
      <w:pPr>
        <w:ind w:left="720" w:hanging="360"/>
      </w:pPr>
      <w:rPr>
        <w:rFonts w:eastAsia="Times New Roman"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4461867"/>
    <w:multiLevelType w:val="hybridMultilevel"/>
    <w:tmpl w:val="89BED2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4" w15:restartNumberingAfterBreak="0">
    <w:nsid w:val="3F391F1B"/>
    <w:multiLevelType w:val="hybridMultilevel"/>
    <w:tmpl w:val="31E6B9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3F532358"/>
    <w:multiLevelType w:val="hybridMultilevel"/>
    <w:tmpl w:val="F6EEB9FA"/>
    <w:lvl w:ilvl="0" w:tplc="14EA940C">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4B36B5"/>
    <w:multiLevelType w:val="hybridMultilevel"/>
    <w:tmpl w:val="DDDCE99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411469D2"/>
    <w:multiLevelType w:val="hybridMultilevel"/>
    <w:tmpl w:val="E668BF38"/>
    <w:lvl w:ilvl="0" w:tplc="7EB0C156">
      <w:start w:val="1"/>
      <w:numFmt w:val="decimal"/>
      <w:lvlText w:val="%1."/>
      <w:lvlJc w:val="left"/>
      <w:pPr>
        <w:ind w:left="1020" w:hanging="360"/>
      </w:pPr>
    </w:lvl>
    <w:lvl w:ilvl="1" w:tplc="91E8EE2C">
      <w:start w:val="1"/>
      <w:numFmt w:val="decimal"/>
      <w:lvlText w:val="%2."/>
      <w:lvlJc w:val="left"/>
      <w:pPr>
        <w:ind w:left="1020" w:hanging="360"/>
      </w:pPr>
    </w:lvl>
    <w:lvl w:ilvl="2" w:tplc="98E03FAE">
      <w:start w:val="1"/>
      <w:numFmt w:val="decimal"/>
      <w:lvlText w:val="%3."/>
      <w:lvlJc w:val="left"/>
      <w:pPr>
        <w:ind w:left="1020" w:hanging="360"/>
      </w:pPr>
    </w:lvl>
    <w:lvl w:ilvl="3" w:tplc="4E3239EA">
      <w:start w:val="1"/>
      <w:numFmt w:val="decimal"/>
      <w:lvlText w:val="%4."/>
      <w:lvlJc w:val="left"/>
      <w:pPr>
        <w:ind w:left="1020" w:hanging="360"/>
      </w:pPr>
    </w:lvl>
    <w:lvl w:ilvl="4" w:tplc="24540F9E">
      <w:start w:val="1"/>
      <w:numFmt w:val="decimal"/>
      <w:lvlText w:val="%5."/>
      <w:lvlJc w:val="left"/>
      <w:pPr>
        <w:ind w:left="1020" w:hanging="360"/>
      </w:pPr>
    </w:lvl>
    <w:lvl w:ilvl="5" w:tplc="7D5EE728">
      <w:start w:val="1"/>
      <w:numFmt w:val="decimal"/>
      <w:lvlText w:val="%6."/>
      <w:lvlJc w:val="left"/>
      <w:pPr>
        <w:ind w:left="1020" w:hanging="360"/>
      </w:pPr>
    </w:lvl>
    <w:lvl w:ilvl="6" w:tplc="A8D458EC">
      <w:start w:val="1"/>
      <w:numFmt w:val="decimal"/>
      <w:lvlText w:val="%7."/>
      <w:lvlJc w:val="left"/>
      <w:pPr>
        <w:ind w:left="1020" w:hanging="360"/>
      </w:pPr>
    </w:lvl>
    <w:lvl w:ilvl="7" w:tplc="A6FA65FE">
      <w:start w:val="1"/>
      <w:numFmt w:val="decimal"/>
      <w:lvlText w:val="%8."/>
      <w:lvlJc w:val="left"/>
      <w:pPr>
        <w:ind w:left="1020" w:hanging="360"/>
      </w:pPr>
    </w:lvl>
    <w:lvl w:ilvl="8" w:tplc="2EBAE6A8">
      <w:start w:val="1"/>
      <w:numFmt w:val="decimal"/>
      <w:lvlText w:val="%9."/>
      <w:lvlJc w:val="left"/>
      <w:pPr>
        <w:ind w:left="1020" w:hanging="360"/>
      </w:pPr>
    </w:lvl>
  </w:abstractNum>
  <w:abstractNum w:abstractNumId="18" w15:restartNumberingAfterBreak="0">
    <w:nsid w:val="434159B9"/>
    <w:multiLevelType w:val="hybridMultilevel"/>
    <w:tmpl w:val="BE8A54F6"/>
    <w:lvl w:ilvl="0" w:tplc="BDCCF1FA">
      <w:start w:val="1"/>
      <w:numFmt w:val="decimal"/>
      <w:lvlText w:val="%1."/>
      <w:lvlJc w:val="left"/>
      <w:pPr>
        <w:ind w:left="1020" w:hanging="360"/>
      </w:pPr>
    </w:lvl>
    <w:lvl w:ilvl="1" w:tplc="A21C8868">
      <w:start w:val="1"/>
      <w:numFmt w:val="decimal"/>
      <w:lvlText w:val="%2."/>
      <w:lvlJc w:val="left"/>
      <w:pPr>
        <w:ind w:left="1020" w:hanging="360"/>
      </w:pPr>
    </w:lvl>
    <w:lvl w:ilvl="2" w:tplc="96A0050A">
      <w:start w:val="1"/>
      <w:numFmt w:val="decimal"/>
      <w:lvlText w:val="%3."/>
      <w:lvlJc w:val="left"/>
      <w:pPr>
        <w:ind w:left="1020" w:hanging="360"/>
      </w:pPr>
    </w:lvl>
    <w:lvl w:ilvl="3" w:tplc="A7BA290E">
      <w:start w:val="1"/>
      <w:numFmt w:val="decimal"/>
      <w:lvlText w:val="%4."/>
      <w:lvlJc w:val="left"/>
      <w:pPr>
        <w:ind w:left="1020" w:hanging="360"/>
      </w:pPr>
    </w:lvl>
    <w:lvl w:ilvl="4" w:tplc="6E9A826C">
      <w:start w:val="1"/>
      <w:numFmt w:val="decimal"/>
      <w:lvlText w:val="%5."/>
      <w:lvlJc w:val="left"/>
      <w:pPr>
        <w:ind w:left="1020" w:hanging="360"/>
      </w:pPr>
    </w:lvl>
    <w:lvl w:ilvl="5" w:tplc="CD92D488">
      <w:start w:val="1"/>
      <w:numFmt w:val="decimal"/>
      <w:lvlText w:val="%6."/>
      <w:lvlJc w:val="left"/>
      <w:pPr>
        <w:ind w:left="1020" w:hanging="360"/>
      </w:pPr>
    </w:lvl>
    <w:lvl w:ilvl="6" w:tplc="F280BB5E">
      <w:start w:val="1"/>
      <w:numFmt w:val="decimal"/>
      <w:lvlText w:val="%7."/>
      <w:lvlJc w:val="left"/>
      <w:pPr>
        <w:ind w:left="1020" w:hanging="360"/>
      </w:pPr>
    </w:lvl>
    <w:lvl w:ilvl="7" w:tplc="AB1C06FA">
      <w:start w:val="1"/>
      <w:numFmt w:val="decimal"/>
      <w:lvlText w:val="%8."/>
      <w:lvlJc w:val="left"/>
      <w:pPr>
        <w:ind w:left="1020" w:hanging="360"/>
      </w:pPr>
    </w:lvl>
    <w:lvl w:ilvl="8" w:tplc="22F8E05E">
      <w:start w:val="1"/>
      <w:numFmt w:val="decimal"/>
      <w:lvlText w:val="%9."/>
      <w:lvlJc w:val="left"/>
      <w:pPr>
        <w:ind w:left="1020" w:hanging="360"/>
      </w:pPr>
    </w:lvl>
  </w:abstractNum>
  <w:abstractNum w:abstractNumId="19" w15:restartNumberingAfterBreak="0">
    <w:nsid w:val="43695318"/>
    <w:multiLevelType w:val="hybridMultilevel"/>
    <w:tmpl w:val="21CC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4BFF2D5A"/>
    <w:multiLevelType w:val="hybridMultilevel"/>
    <w:tmpl w:val="1D6864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CAB7440"/>
    <w:multiLevelType w:val="hybridMultilevel"/>
    <w:tmpl w:val="9E14E096"/>
    <w:lvl w:ilvl="0" w:tplc="E77E4FE0">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22" w15:restartNumberingAfterBreak="0">
    <w:nsid w:val="4DDD4C2A"/>
    <w:multiLevelType w:val="hybridMultilevel"/>
    <w:tmpl w:val="3C7816A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0F92582"/>
    <w:multiLevelType w:val="hybridMultilevel"/>
    <w:tmpl w:val="D0142292"/>
    <w:lvl w:ilvl="0" w:tplc="1E447FF8">
      <w:start w:val="16"/>
      <w:numFmt w:val="decimal"/>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4"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0B23E8"/>
    <w:multiLevelType w:val="hybridMultilevel"/>
    <w:tmpl w:val="68D2A4F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6" w15:restartNumberingAfterBreak="0">
    <w:nsid w:val="533F4C18"/>
    <w:multiLevelType w:val="hybridMultilevel"/>
    <w:tmpl w:val="0C36ED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28" w15:restartNumberingAfterBreak="0">
    <w:nsid w:val="55124E3F"/>
    <w:multiLevelType w:val="hybridMultilevel"/>
    <w:tmpl w:val="BD0C2E5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8C8403F"/>
    <w:multiLevelType w:val="hybridMultilevel"/>
    <w:tmpl w:val="3DDA47D6"/>
    <w:lvl w:ilvl="0" w:tplc="748452B4">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EA0E74"/>
    <w:multiLevelType w:val="hybridMultilevel"/>
    <w:tmpl w:val="92204D70"/>
    <w:lvl w:ilvl="0" w:tplc="A09A9F10">
      <w:start w:val="1"/>
      <w:numFmt w:val="decimal"/>
      <w:lvlText w:val="%1."/>
      <w:lvlJc w:val="left"/>
      <w:pPr>
        <w:ind w:left="444" w:hanging="360"/>
      </w:pPr>
      <w:rPr>
        <w:rFonts w:hint="default"/>
      </w:rPr>
    </w:lvl>
    <w:lvl w:ilvl="1" w:tplc="1C090019" w:tentative="1">
      <w:start w:val="1"/>
      <w:numFmt w:val="lowerLetter"/>
      <w:lvlText w:val="%2."/>
      <w:lvlJc w:val="left"/>
      <w:pPr>
        <w:ind w:left="1164" w:hanging="360"/>
      </w:pPr>
    </w:lvl>
    <w:lvl w:ilvl="2" w:tplc="1C09001B" w:tentative="1">
      <w:start w:val="1"/>
      <w:numFmt w:val="lowerRoman"/>
      <w:lvlText w:val="%3."/>
      <w:lvlJc w:val="right"/>
      <w:pPr>
        <w:ind w:left="1884" w:hanging="180"/>
      </w:pPr>
    </w:lvl>
    <w:lvl w:ilvl="3" w:tplc="1C09000F" w:tentative="1">
      <w:start w:val="1"/>
      <w:numFmt w:val="decimal"/>
      <w:lvlText w:val="%4."/>
      <w:lvlJc w:val="left"/>
      <w:pPr>
        <w:ind w:left="2604" w:hanging="360"/>
      </w:pPr>
    </w:lvl>
    <w:lvl w:ilvl="4" w:tplc="1C090019" w:tentative="1">
      <w:start w:val="1"/>
      <w:numFmt w:val="lowerLetter"/>
      <w:lvlText w:val="%5."/>
      <w:lvlJc w:val="left"/>
      <w:pPr>
        <w:ind w:left="3324" w:hanging="360"/>
      </w:pPr>
    </w:lvl>
    <w:lvl w:ilvl="5" w:tplc="1C09001B" w:tentative="1">
      <w:start w:val="1"/>
      <w:numFmt w:val="lowerRoman"/>
      <w:lvlText w:val="%6."/>
      <w:lvlJc w:val="right"/>
      <w:pPr>
        <w:ind w:left="4044" w:hanging="180"/>
      </w:pPr>
    </w:lvl>
    <w:lvl w:ilvl="6" w:tplc="1C09000F" w:tentative="1">
      <w:start w:val="1"/>
      <w:numFmt w:val="decimal"/>
      <w:lvlText w:val="%7."/>
      <w:lvlJc w:val="left"/>
      <w:pPr>
        <w:ind w:left="4764" w:hanging="360"/>
      </w:pPr>
    </w:lvl>
    <w:lvl w:ilvl="7" w:tplc="1C090019" w:tentative="1">
      <w:start w:val="1"/>
      <w:numFmt w:val="lowerLetter"/>
      <w:lvlText w:val="%8."/>
      <w:lvlJc w:val="left"/>
      <w:pPr>
        <w:ind w:left="5484" w:hanging="360"/>
      </w:pPr>
    </w:lvl>
    <w:lvl w:ilvl="8" w:tplc="1C09001B" w:tentative="1">
      <w:start w:val="1"/>
      <w:numFmt w:val="lowerRoman"/>
      <w:lvlText w:val="%9."/>
      <w:lvlJc w:val="right"/>
      <w:pPr>
        <w:ind w:left="6204" w:hanging="180"/>
      </w:pPr>
    </w:lvl>
  </w:abstractNum>
  <w:abstractNum w:abstractNumId="31" w15:restartNumberingAfterBreak="0">
    <w:nsid w:val="6684355D"/>
    <w:multiLevelType w:val="hybridMultilevel"/>
    <w:tmpl w:val="BC545B60"/>
    <w:lvl w:ilvl="0" w:tplc="C40ED7AA">
      <w:start w:val="1"/>
      <w:numFmt w:val="decimal"/>
      <w:lvlText w:val="%1."/>
      <w:lvlJc w:val="left"/>
      <w:pPr>
        <w:ind w:left="1020" w:hanging="360"/>
      </w:pPr>
    </w:lvl>
    <w:lvl w:ilvl="1" w:tplc="0CDCABD6">
      <w:start w:val="1"/>
      <w:numFmt w:val="decimal"/>
      <w:lvlText w:val="%2."/>
      <w:lvlJc w:val="left"/>
      <w:pPr>
        <w:ind w:left="1020" w:hanging="360"/>
      </w:pPr>
    </w:lvl>
    <w:lvl w:ilvl="2" w:tplc="A1DC055C">
      <w:start w:val="1"/>
      <w:numFmt w:val="decimal"/>
      <w:lvlText w:val="%3."/>
      <w:lvlJc w:val="left"/>
      <w:pPr>
        <w:ind w:left="1020" w:hanging="360"/>
      </w:pPr>
    </w:lvl>
    <w:lvl w:ilvl="3" w:tplc="D35C226E">
      <w:start w:val="1"/>
      <w:numFmt w:val="decimal"/>
      <w:lvlText w:val="%4."/>
      <w:lvlJc w:val="left"/>
      <w:pPr>
        <w:ind w:left="1020" w:hanging="360"/>
      </w:pPr>
    </w:lvl>
    <w:lvl w:ilvl="4" w:tplc="3F04EDAE">
      <w:start w:val="1"/>
      <w:numFmt w:val="decimal"/>
      <w:lvlText w:val="%5."/>
      <w:lvlJc w:val="left"/>
      <w:pPr>
        <w:ind w:left="1020" w:hanging="360"/>
      </w:pPr>
    </w:lvl>
    <w:lvl w:ilvl="5" w:tplc="B608C23A">
      <w:start w:val="1"/>
      <w:numFmt w:val="decimal"/>
      <w:lvlText w:val="%6."/>
      <w:lvlJc w:val="left"/>
      <w:pPr>
        <w:ind w:left="1020" w:hanging="360"/>
      </w:pPr>
    </w:lvl>
    <w:lvl w:ilvl="6" w:tplc="AF0CD418">
      <w:start w:val="1"/>
      <w:numFmt w:val="decimal"/>
      <w:lvlText w:val="%7."/>
      <w:lvlJc w:val="left"/>
      <w:pPr>
        <w:ind w:left="1020" w:hanging="360"/>
      </w:pPr>
    </w:lvl>
    <w:lvl w:ilvl="7" w:tplc="27C8B1C2">
      <w:start w:val="1"/>
      <w:numFmt w:val="decimal"/>
      <w:lvlText w:val="%8."/>
      <w:lvlJc w:val="left"/>
      <w:pPr>
        <w:ind w:left="1020" w:hanging="360"/>
      </w:pPr>
    </w:lvl>
    <w:lvl w:ilvl="8" w:tplc="D3A61232">
      <w:start w:val="1"/>
      <w:numFmt w:val="decimal"/>
      <w:lvlText w:val="%9."/>
      <w:lvlJc w:val="left"/>
      <w:pPr>
        <w:ind w:left="1020" w:hanging="360"/>
      </w:pPr>
    </w:lvl>
  </w:abstractNum>
  <w:abstractNum w:abstractNumId="32" w15:restartNumberingAfterBreak="0">
    <w:nsid w:val="688C1596"/>
    <w:multiLevelType w:val="multilevel"/>
    <w:tmpl w:val="8A729A46"/>
    <w:lvl w:ilvl="0">
      <w:start w:val="1"/>
      <w:numFmt w:val="bullet"/>
      <w:lvlText w:val=""/>
      <w:lvlJc w:val="left"/>
      <w:pPr>
        <w:tabs>
          <w:tab w:val="num" w:pos="360"/>
        </w:tabs>
        <w:ind w:left="360" w:hanging="360"/>
      </w:pPr>
      <w:rPr>
        <w:rFonts w:ascii="Symbol" w:hAnsi="Symbol" w:hint="default"/>
        <w:b/>
        <w:bCs/>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15:restartNumberingAfterBreak="0">
    <w:nsid w:val="68AF487A"/>
    <w:multiLevelType w:val="hybridMultilevel"/>
    <w:tmpl w:val="3FC850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E3A7E94"/>
    <w:multiLevelType w:val="hybridMultilevel"/>
    <w:tmpl w:val="92B8161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5"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EC29A6"/>
    <w:multiLevelType w:val="hybridMultilevel"/>
    <w:tmpl w:val="1D6864C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24A4FCB"/>
    <w:multiLevelType w:val="hybridMultilevel"/>
    <w:tmpl w:val="EA2A008E"/>
    <w:lvl w:ilvl="0" w:tplc="C0169BD4">
      <w:start w:val="1"/>
      <w:numFmt w:val="decimal"/>
      <w:lvlText w:val="%1."/>
      <w:lvlJc w:val="left"/>
      <w:pPr>
        <w:ind w:left="1020" w:hanging="360"/>
      </w:pPr>
    </w:lvl>
    <w:lvl w:ilvl="1" w:tplc="B2724EE2">
      <w:start w:val="1"/>
      <w:numFmt w:val="decimal"/>
      <w:lvlText w:val="%2."/>
      <w:lvlJc w:val="left"/>
      <w:pPr>
        <w:ind w:left="1020" w:hanging="360"/>
      </w:pPr>
    </w:lvl>
    <w:lvl w:ilvl="2" w:tplc="89BC56D0">
      <w:start w:val="1"/>
      <w:numFmt w:val="decimal"/>
      <w:lvlText w:val="%3."/>
      <w:lvlJc w:val="left"/>
      <w:pPr>
        <w:ind w:left="1020" w:hanging="360"/>
      </w:pPr>
    </w:lvl>
    <w:lvl w:ilvl="3" w:tplc="E6F00D4A">
      <w:start w:val="1"/>
      <w:numFmt w:val="decimal"/>
      <w:lvlText w:val="%4."/>
      <w:lvlJc w:val="left"/>
      <w:pPr>
        <w:ind w:left="1020" w:hanging="360"/>
      </w:pPr>
    </w:lvl>
    <w:lvl w:ilvl="4" w:tplc="40824796">
      <w:start w:val="1"/>
      <w:numFmt w:val="decimal"/>
      <w:lvlText w:val="%5."/>
      <w:lvlJc w:val="left"/>
      <w:pPr>
        <w:ind w:left="1020" w:hanging="360"/>
      </w:pPr>
    </w:lvl>
    <w:lvl w:ilvl="5" w:tplc="DAD49712">
      <w:start w:val="1"/>
      <w:numFmt w:val="decimal"/>
      <w:lvlText w:val="%6."/>
      <w:lvlJc w:val="left"/>
      <w:pPr>
        <w:ind w:left="1020" w:hanging="360"/>
      </w:pPr>
    </w:lvl>
    <w:lvl w:ilvl="6" w:tplc="17C2AEDC">
      <w:start w:val="1"/>
      <w:numFmt w:val="decimal"/>
      <w:lvlText w:val="%7."/>
      <w:lvlJc w:val="left"/>
      <w:pPr>
        <w:ind w:left="1020" w:hanging="360"/>
      </w:pPr>
    </w:lvl>
    <w:lvl w:ilvl="7" w:tplc="B5E832F2">
      <w:start w:val="1"/>
      <w:numFmt w:val="decimal"/>
      <w:lvlText w:val="%8."/>
      <w:lvlJc w:val="left"/>
      <w:pPr>
        <w:ind w:left="1020" w:hanging="360"/>
      </w:pPr>
    </w:lvl>
    <w:lvl w:ilvl="8" w:tplc="F1FA8E70">
      <w:start w:val="1"/>
      <w:numFmt w:val="decimal"/>
      <w:lvlText w:val="%9."/>
      <w:lvlJc w:val="left"/>
      <w:pPr>
        <w:ind w:left="1020" w:hanging="360"/>
      </w:pPr>
    </w:lvl>
  </w:abstractNum>
  <w:abstractNum w:abstractNumId="38" w15:restartNumberingAfterBreak="0">
    <w:nsid w:val="7BBB1260"/>
    <w:multiLevelType w:val="hybridMultilevel"/>
    <w:tmpl w:val="50B48D2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782303251">
    <w:abstractNumId w:val="9"/>
  </w:num>
  <w:num w:numId="2" w16cid:durableId="63723078">
    <w:abstractNumId w:val="13"/>
  </w:num>
  <w:num w:numId="3" w16cid:durableId="1285425296">
    <w:abstractNumId w:val="7"/>
  </w:num>
  <w:num w:numId="4" w16cid:durableId="1301349773">
    <w:abstractNumId w:val="10"/>
  </w:num>
  <w:num w:numId="5" w16cid:durableId="907693277">
    <w:abstractNumId w:val="27"/>
  </w:num>
  <w:num w:numId="6" w16cid:durableId="30150131">
    <w:abstractNumId w:val="6"/>
  </w:num>
  <w:num w:numId="7" w16cid:durableId="67578042">
    <w:abstractNumId w:val="27"/>
  </w:num>
  <w:num w:numId="8" w16cid:durableId="1383284747">
    <w:abstractNumId w:val="6"/>
  </w:num>
  <w:num w:numId="9" w16cid:durableId="1185942779">
    <w:abstractNumId w:val="27"/>
  </w:num>
  <w:num w:numId="10" w16cid:durableId="1147936526">
    <w:abstractNumId w:val="6"/>
  </w:num>
  <w:num w:numId="11" w16cid:durableId="2167500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8449768">
    <w:abstractNumId w:val="35"/>
  </w:num>
  <w:num w:numId="13" w16cid:durableId="1630159564">
    <w:abstractNumId w:val="27"/>
  </w:num>
  <w:num w:numId="14" w16cid:durableId="958141881">
    <w:abstractNumId w:val="6"/>
  </w:num>
  <w:num w:numId="15" w16cid:durableId="1426532817">
    <w:abstractNumId w:val="5"/>
  </w:num>
  <w:num w:numId="16" w16cid:durableId="531890614">
    <w:abstractNumId w:val="24"/>
  </w:num>
  <w:num w:numId="17" w16cid:durableId="1071123122">
    <w:abstractNumId w:val="5"/>
  </w:num>
  <w:num w:numId="18" w16cid:durableId="1081411489">
    <w:abstractNumId w:val="27"/>
  </w:num>
  <w:num w:numId="19" w16cid:durableId="2060542984">
    <w:abstractNumId w:val="6"/>
  </w:num>
  <w:num w:numId="20" w16cid:durableId="1136995739">
    <w:abstractNumId w:val="5"/>
  </w:num>
  <w:num w:numId="21" w16cid:durableId="1310211744">
    <w:abstractNumId w:val="15"/>
  </w:num>
  <w:num w:numId="22" w16cid:durableId="11421452">
    <w:abstractNumId w:val="21"/>
  </w:num>
  <w:num w:numId="23" w16cid:durableId="231085756">
    <w:abstractNumId w:val="29"/>
  </w:num>
  <w:num w:numId="24" w16cid:durableId="927425692">
    <w:abstractNumId w:val="36"/>
  </w:num>
  <w:num w:numId="25" w16cid:durableId="864248631">
    <w:abstractNumId w:val="0"/>
  </w:num>
  <w:num w:numId="26" w16cid:durableId="1461847168">
    <w:abstractNumId w:val="32"/>
  </w:num>
  <w:num w:numId="27" w16cid:durableId="652488116">
    <w:abstractNumId w:val="23"/>
  </w:num>
  <w:num w:numId="28" w16cid:durableId="146673265">
    <w:abstractNumId w:val="14"/>
  </w:num>
  <w:num w:numId="29" w16cid:durableId="414517960">
    <w:abstractNumId w:val="19"/>
  </w:num>
  <w:num w:numId="30" w16cid:durableId="64840623">
    <w:abstractNumId w:val="34"/>
  </w:num>
  <w:num w:numId="31" w16cid:durableId="844786740">
    <w:abstractNumId w:val="25"/>
  </w:num>
  <w:num w:numId="32" w16cid:durableId="656418699">
    <w:abstractNumId w:val="16"/>
  </w:num>
  <w:num w:numId="33" w16cid:durableId="417944668">
    <w:abstractNumId w:val="3"/>
  </w:num>
  <w:num w:numId="34" w16cid:durableId="1874078498">
    <w:abstractNumId w:val="38"/>
  </w:num>
  <w:num w:numId="35" w16cid:durableId="1908225425">
    <w:abstractNumId w:val="8"/>
  </w:num>
  <w:num w:numId="36" w16cid:durableId="1433740171">
    <w:abstractNumId w:val="26"/>
  </w:num>
  <w:num w:numId="37" w16cid:durableId="892230520">
    <w:abstractNumId w:val="22"/>
  </w:num>
  <w:num w:numId="38" w16cid:durableId="1720469311">
    <w:abstractNumId w:val="1"/>
  </w:num>
  <w:num w:numId="39" w16cid:durableId="1461803642">
    <w:abstractNumId w:val="2"/>
  </w:num>
  <w:num w:numId="40" w16cid:durableId="537202260">
    <w:abstractNumId w:val="20"/>
  </w:num>
  <w:num w:numId="41" w16cid:durableId="2124575098">
    <w:abstractNumId w:val="12"/>
  </w:num>
  <w:num w:numId="42" w16cid:durableId="1061248100">
    <w:abstractNumId w:val="33"/>
  </w:num>
  <w:num w:numId="43" w16cid:durableId="1647053012">
    <w:abstractNumId w:val="4"/>
  </w:num>
  <w:num w:numId="44" w16cid:durableId="463471462">
    <w:abstractNumId w:val="11"/>
  </w:num>
  <w:num w:numId="45" w16cid:durableId="705107000">
    <w:abstractNumId w:val="28"/>
  </w:num>
  <w:num w:numId="46" w16cid:durableId="1256403309">
    <w:abstractNumId w:val="30"/>
  </w:num>
  <w:num w:numId="47" w16cid:durableId="182518830">
    <w:abstractNumId w:val="18"/>
  </w:num>
  <w:num w:numId="48" w16cid:durableId="1035621355">
    <w:abstractNumId w:val="31"/>
  </w:num>
  <w:num w:numId="49" w16cid:durableId="971860624">
    <w:abstractNumId w:val="17"/>
  </w:num>
  <w:num w:numId="50" w16cid:durableId="189439099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NotTrackFormatting/>
  <w:defaultTabStop w:val="510"/>
  <w:autoHyphenation/>
  <w:drawingGridHorizontalSpacing w:val="100"/>
  <w:drawingGridVerticalSpacing w:val="163"/>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Palatino Linotype&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2rtd0fr3rfrdkewf27xdvtedzzse52e2fz9&quot;&gt;My EndNote Library&lt;record-ids&gt;&lt;item&gt;1&lt;/item&gt;&lt;item&gt;2&lt;/item&gt;&lt;item&gt;3&lt;/item&gt;&lt;item&gt;4&lt;/item&gt;&lt;item&gt;5&lt;/item&gt;&lt;item&gt;6&lt;/item&gt;&lt;item&gt;7&lt;/item&gt;&lt;item&gt;8&lt;/item&gt;&lt;item&gt;10&lt;/item&gt;&lt;item&gt;11&lt;/item&gt;&lt;item&gt;12&lt;/item&gt;&lt;item&gt;13&lt;/item&gt;&lt;item&gt;15&lt;/item&gt;&lt;item&gt;16&lt;/item&gt;&lt;item&gt;20&lt;/item&gt;&lt;item&gt;21&lt;/item&gt;&lt;item&gt;23&lt;/item&gt;&lt;item&gt;25&lt;/item&gt;&lt;item&gt;26&lt;/item&gt;&lt;item&gt;27&lt;/item&gt;&lt;item&gt;28&lt;/item&gt;&lt;item&gt;31&lt;/item&gt;&lt;item&gt;35&lt;/item&gt;&lt;item&gt;37&lt;/item&gt;&lt;item&gt;38&lt;/item&gt;&lt;item&gt;39&lt;/item&gt;&lt;item&gt;42&lt;/item&gt;&lt;item&gt;43&lt;/item&gt;&lt;item&gt;44&lt;/item&gt;&lt;item&gt;45&lt;/item&gt;&lt;item&gt;46&lt;/item&gt;&lt;item&gt;47&lt;/item&gt;&lt;item&gt;48&lt;/item&gt;&lt;item&gt;49&lt;/item&gt;&lt;item&gt;50&lt;/item&gt;&lt;item&gt;51&lt;/item&gt;&lt;item&gt;52&lt;/item&gt;&lt;item&gt;53&lt;/item&gt;&lt;item&gt;55&lt;/item&gt;&lt;item&gt;56&lt;/item&gt;&lt;item&gt;57&lt;/item&gt;&lt;item&gt;58&lt;/item&gt;&lt;item&gt;59&lt;/item&gt;&lt;item&gt;62&lt;/item&gt;&lt;item&gt;64&lt;/item&gt;&lt;item&gt;65&lt;/item&gt;&lt;item&gt;66&lt;/item&gt;&lt;item&gt;67&lt;/item&gt;&lt;item&gt;68&lt;/item&gt;&lt;item&gt;69&lt;/item&gt;&lt;item&gt;70&lt;/item&gt;&lt;item&gt;71&lt;/item&gt;&lt;item&gt;72&lt;/item&gt;&lt;item&gt;73&lt;/item&gt;&lt;item&gt;74&lt;/item&gt;&lt;item&gt;75&lt;/item&gt;&lt;item&gt;76&lt;/item&gt;&lt;item&gt;77&lt;/item&gt;&lt;item&gt;79&lt;/item&gt;&lt;item&gt;99&lt;/item&gt;&lt;item&gt;101&lt;/item&gt;&lt;item&gt;111&lt;/item&gt;&lt;item&gt;114&lt;/item&gt;&lt;item&gt;124&lt;/item&gt;&lt;item&gt;125&lt;/item&gt;&lt;item&gt;129&lt;/item&gt;&lt;item&gt;130&lt;/item&gt;&lt;item&gt;132&lt;/item&gt;&lt;item&gt;133&lt;/item&gt;&lt;item&gt;134&lt;/item&gt;&lt;item&gt;135&lt;/item&gt;&lt;item&gt;136&lt;/item&gt;&lt;item&gt;137&lt;/item&gt;&lt;/record-ids&gt;&lt;/item&gt;&lt;/Libraries&gt;"/>
  </w:docVars>
  <w:rsids>
    <w:rsidRoot w:val="00A1109E"/>
    <w:rsid w:val="0000137F"/>
    <w:rsid w:val="0000348D"/>
    <w:rsid w:val="0000419B"/>
    <w:rsid w:val="00004A80"/>
    <w:rsid w:val="00005AF5"/>
    <w:rsid w:val="000100D8"/>
    <w:rsid w:val="0001187F"/>
    <w:rsid w:val="00013BE7"/>
    <w:rsid w:val="00014445"/>
    <w:rsid w:val="00015163"/>
    <w:rsid w:val="000152CC"/>
    <w:rsid w:val="000152CD"/>
    <w:rsid w:val="00015B14"/>
    <w:rsid w:val="00016223"/>
    <w:rsid w:val="00023454"/>
    <w:rsid w:val="0002381A"/>
    <w:rsid w:val="00026424"/>
    <w:rsid w:val="00030401"/>
    <w:rsid w:val="00030737"/>
    <w:rsid w:val="000333F6"/>
    <w:rsid w:val="00034A46"/>
    <w:rsid w:val="00034DF4"/>
    <w:rsid w:val="00036FCB"/>
    <w:rsid w:val="00040170"/>
    <w:rsid w:val="00040ACB"/>
    <w:rsid w:val="00041942"/>
    <w:rsid w:val="000427B3"/>
    <w:rsid w:val="00042FB9"/>
    <w:rsid w:val="00044837"/>
    <w:rsid w:val="00045187"/>
    <w:rsid w:val="000459AD"/>
    <w:rsid w:val="00045B43"/>
    <w:rsid w:val="00045D62"/>
    <w:rsid w:val="00045FCD"/>
    <w:rsid w:val="000509FE"/>
    <w:rsid w:val="00050B60"/>
    <w:rsid w:val="000510DC"/>
    <w:rsid w:val="00052F30"/>
    <w:rsid w:val="000544AA"/>
    <w:rsid w:val="00054863"/>
    <w:rsid w:val="00063125"/>
    <w:rsid w:val="00063516"/>
    <w:rsid w:val="00070F07"/>
    <w:rsid w:val="000725E2"/>
    <w:rsid w:val="00072699"/>
    <w:rsid w:val="00073F07"/>
    <w:rsid w:val="00074774"/>
    <w:rsid w:val="0007569D"/>
    <w:rsid w:val="000756E1"/>
    <w:rsid w:val="00075F96"/>
    <w:rsid w:val="00085B07"/>
    <w:rsid w:val="0008675F"/>
    <w:rsid w:val="0009043E"/>
    <w:rsid w:val="00090AAA"/>
    <w:rsid w:val="00093E48"/>
    <w:rsid w:val="00095DBD"/>
    <w:rsid w:val="000A5E3F"/>
    <w:rsid w:val="000B0942"/>
    <w:rsid w:val="000B0F52"/>
    <w:rsid w:val="000B2B62"/>
    <w:rsid w:val="000B2F6A"/>
    <w:rsid w:val="000B387A"/>
    <w:rsid w:val="000B4461"/>
    <w:rsid w:val="000B6799"/>
    <w:rsid w:val="000B6C36"/>
    <w:rsid w:val="000C1572"/>
    <w:rsid w:val="000C2ED9"/>
    <w:rsid w:val="000D1B50"/>
    <w:rsid w:val="000D1BFE"/>
    <w:rsid w:val="000D304E"/>
    <w:rsid w:val="000D4C88"/>
    <w:rsid w:val="000D7B18"/>
    <w:rsid w:val="000E3382"/>
    <w:rsid w:val="000E5489"/>
    <w:rsid w:val="000E5987"/>
    <w:rsid w:val="000E6CC8"/>
    <w:rsid w:val="000F1A48"/>
    <w:rsid w:val="000F5115"/>
    <w:rsid w:val="000F5362"/>
    <w:rsid w:val="000F65CA"/>
    <w:rsid w:val="000F6793"/>
    <w:rsid w:val="00103AB5"/>
    <w:rsid w:val="00110FDB"/>
    <w:rsid w:val="001123CF"/>
    <w:rsid w:val="001133F6"/>
    <w:rsid w:val="001134A3"/>
    <w:rsid w:val="00114368"/>
    <w:rsid w:val="00114A4F"/>
    <w:rsid w:val="00116411"/>
    <w:rsid w:val="00116A34"/>
    <w:rsid w:val="001205FA"/>
    <w:rsid w:val="001267B1"/>
    <w:rsid w:val="00126845"/>
    <w:rsid w:val="00126EB4"/>
    <w:rsid w:val="0013490A"/>
    <w:rsid w:val="001446A0"/>
    <w:rsid w:val="00144DC0"/>
    <w:rsid w:val="00146180"/>
    <w:rsid w:val="00150B58"/>
    <w:rsid w:val="001524B1"/>
    <w:rsid w:val="0015257A"/>
    <w:rsid w:val="00152E64"/>
    <w:rsid w:val="001541E5"/>
    <w:rsid w:val="001551DB"/>
    <w:rsid w:val="00157B1E"/>
    <w:rsid w:val="00161BF0"/>
    <w:rsid w:val="00161D6B"/>
    <w:rsid w:val="00161ED8"/>
    <w:rsid w:val="00162C27"/>
    <w:rsid w:val="0016398D"/>
    <w:rsid w:val="00166B96"/>
    <w:rsid w:val="00166BBA"/>
    <w:rsid w:val="00170F31"/>
    <w:rsid w:val="00171A69"/>
    <w:rsid w:val="00171F32"/>
    <w:rsid w:val="00172066"/>
    <w:rsid w:val="00172752"/>
    <w:rsid w:val="00177011"/>
    <w:rsid w:val="00177C56"/>
    <w:rsid w:val="00180052"/>
    <w:rsid w:val="00180CC7"/>
    <w:rsid w:val="00180E4A"/>
    <w:rsid w:val="001821AD"/>
    <w:rsid w:val="00185AAE"/>
    <w:rsid w:val="00185EF0"/>
    <w:rsid w:val="00191FF1"/>
    <w:rsid w:val="00194D33"/>
    <w:rsid w:val="001954FA"/>
    <w:rsid w:val="00197ABB"/>
    <w:rsid w:val="001A1629"/>
    <w:rsid w:val="001A1E09"/>
    <w:rsid w:val="001A280A"/>
    <w:rsid w:val="001A4BE6"/>
    <w:rsid w:val="001A7C68"/>
    <w:rsid w:val="001B07D6"/>
    <w:rsid w:val="001B1DBD"/>
    <w:rsid w:val="001B4E81"/>
    <w:rsid w:val="001B51E8"/>
    <w:rsid w:val="001B7CA8"/>
    <w:rsid w:val="001B7D7D"/>
    <w:rsid w:val="001C02FB"/>
    <w:rsid w:val="001C1D88"/>
    <w:rsid w:val="001C5C1A"/>
    <w:rsid w:val="001C64EA"/>
    <w:rsid w:val="001C664D"/>
    <w:rsid w:val="001D0197"/>
    <w:rsid w:val="001D1471"/>
    <w:rsid w:val="001D2F7D"/>
    <w:rsid w:val="001D3BF9"/>
    <w:rsid w:val="001E076E"/>
    <w:rsid w:val="001E2AEB"/>
    <w:rsid w:val="001E6690"/>
    <w:rsid w:val="001E6ADF"/>
    <w:rsid w:val="001E7135"/>
    <w:rsid w:val="001E72FB"/>
    <w:rsid w:val="001E7C66"/>
    <w:rsid w:val="001F1676"/>
    <w:rsid w:val="001F28AE"/>
    <w:rsid w:val="001F2D4E"/>
    <w:rsid w:val="001F3492"/>
    <w:rsid w:val="001F3D56"/>
    <w:rsid w:val="001F51E0"/>
    <w:rsid w:val="001F62D3"/>
    <w:rsid w:val="001F7F61"/>
    <w:rsid w:val="002027D0"/>
    <w:rsid w:val="00205DEC"/>
    <w:rsid w:val="002063BA"/>
    <w:rsid w:val="002100FB"/>
    <w:rsid w:val="00210925"/>
    <w:rsid w:val="002121AD"/>
    <w:rsid w:val="00212F02"/>
    <w:rsid w:val="00213A4D"/>
    <w:rsid w:val="00213A84"/>
    <w:rsid w:val="00213BA6"/>
    <w:rsid w:val="00220816"/>
    <w:rsid w:val="00221CA5"/>
    <w:rsid w:val="00221E6B"/>
    <w:rsid w:val="00225772"/>
    <w:rsid w:val="002302FA"/>
    <w:rsid w:val="00234A23"/>
    <w:rsid w:val="00240F7A"/>
    <w:rsid w:val="002419D4"/>
    <w:rsid w:val="002464A9"/>
    <w:rsid w:val="00246745"/>
    <w:rsid w:val="00246D03"/>
    <w:rsid w:val="0025009E"/>
    <w:rsid w:val="002522AF"/>
    <w:rsid w:val="00252BFC"/>
    <w:rsid w:val="00254E6B"/>
    <w:rsid w:val="0025585D"/>
    <w:rsid w:val="00255E39"/>
    <w:rsid w:val="00260169"/>
    <w:rsid w:val="0026517B"/>
    <w:rsid w:val="002668FB"/>
    <w:rsid w:val="002679C5"/>
    <w:rsid w:val="00267ADA"/>
    <w:rsid w:val="0027446C"/>
    <w:rsid w:val="00275278"/>
    <w:rsid w:val="0027672A"/>
    <w:rsid w:val="00284BFE"/>
    <w:rsid w:val="002850F5"/>
    <w:rsid w:val="002858D6"/>
    <w:rsid w:val="00286749"/>
    <w:rsid w:val="00293292"/>
    <w:rsid w:val="002950A1"/>
    <w:rsid w:val="00295161"/>
    <w:rsid w:val="002973BB"/>
    <w:rsid w:val="00297A9C"/>
    <w:rsid w:val="00297B8F"/>
    <w:rsid w:val="002A4127"/>
    <w:rsid w:val="002A4AEF"/>
    <w:rsid w:val="002B0524"/>
    <w:rsid w:val="002B06BF"/>
    <w:rsid w:val="002B0769"/>
    <w:rsid w:val="002B4F56"/>
    <w:rsid w:val="002C0623"/>
    <w:rsid w:val="002C3620"/>
    <w:rsid w:val="002D3091"/>
    <w:rsid w:val="002D591E"/>
    <w:rsid w:val="002D7B7C"/>
    <w:rsid w:val="002E284F"/>
    <w:rsid w:val="002E369B"/>
    <w:rsid w:val="002E4B3A"/>
    <w:rsid w:val="002E6FB2"/>
    <w:rsid w:val="002F15C3"/>
    <w:rsid w:val="002F2E1D"/>
    <w:rsid w:val="002F5E9C"/>
    <w:rsid w:val="002F73FA"/>
    <w:rsid w:val="003018DF"/>
    <w:rsid w:val="00303228"/>
    <w:rsid w:val="003037B3"/>
    <w:rsid w:val="00303916"/>
    <w:rsid w:val="003126E7"/>
    <w:rsid w:val="00317898"/>
    <w:rsid w:val="0032149C"/>
    <w:rsid w:val="00322E3C"/>
    <w:rsid w:val="00325225"/>
    <w:rsid w:val="003256B0"/>
    <w:rsid w:val="00326141"/>
    <w:rsid w:val="00326368"/>
    <w:rsid w:val="00327ACB"/>
    <w:rsid w:val="00330627"/>
    <w:rsid w:val="00330645"/>
    <w:rsid w:val="00333EA0"/>
    <w:rsid w:val="003344EA"/>
    <w:rsid w:val="003374E8"/>
    <w:rsid w:val="00340159"/>
    <w:rsid w:val="00345BFD"/>
    <w:rsid w:val="00346EE5"/>
    <w:rsid w:val="00347187"/>
    <w:rsid w:val="00350C63"/>
    <w:rsid w:val="00356DBC"/>
    <w:rsid w:val="00356F2D"/>
    <w:rsid w:val="0036075D"/>
    <w:rsid w:val="00360B25"/>
    <w:rsid w:val="003651F0"/>
    <w:rsid w:val="00366B67"/>
    <w:rsid w:val="00367F2D"/>
    <w:rsid w:val="0037068D"/>
    <w:rsid w:val="003732A4"/>
    <w:rsid w:val="00373DA8"/>
    <w:rsid w:val="00375FEA"/>
    <w:rsid w:val="00376A2B"/>
    <w:rsid w:val="00376CD4"/>
    <w:rsid w:val="003816D9"/>
    <w:rsid w:val="00382356"/>
    <w:rsid w:val="003901FC"/>
    <w:rsid w:val="003903C7"/>
    <w:rsid w:val="00390CD9"/>
    <w:rsid w:val="00390E91"/>
    <w:rsid w:val="00391C20"/>
    <w:rsid w:val="00392E38"/>
    <w:rsid w:val="0039379A"/>
    <w:rsid w:val="00393C16"/>
    <w:rsid w:val="0039523C"/>
    <w:rsid w:val="0039646E"/>
    <w:rsid w:val="003A0E06"/>
    <w:rsid w:val="003A26DE"/>
    <w:rsid w:val="003A3B34"/>
    <w:rsid w:val="003A3C80"/>
    <w:rsid w:val="003A6530"/>
    <w:rsid w:val="003A69A3"/>
    <w:rsid w:val="003A70B6"/>
    <w:rsid w:val="003B33E2"/>
    <w:rsid w:val="003C1244"/>
    <w:rsid w:val="003C2C25"/>
    <w:rsid w:val="003C4625"/>
    <w:rsid w:val="003C502D"/>
    <w:rsid w:val="003C6E9B"/>
    <w:rsid w:val="003D0C0E"/>
    <w:rsid w:val="003D1467"/>
    <w:rsid w:val="003D3FE1"/>
    <w:rsid w:val="003D4CE1"/>
    <w:rsid w:val="003E1EF4"/>
    <w:rsid w:val="003E214F"/>
    <w:rsid w:val="003E46E4"/>
    <w:rsid w:val="003E6129"/>
    <w:rsid w:val="003E63BE"/>
    <w:rsid w:val="003E76BF"/>
    <w:rsid w:val="003E7AA9"/>
    <w:rsid w:val="003F1C43"/>
    <w:rsid w:val="003F28E9"/>
    <w:rsid w:val="003F7782"/>
    <w:rsid w:val="00401D30"/>
    <w:rsid w:val="00404DE1"/>
    <w:rsid w:val="00405146"/>
    <w:rsid w:val="00406091"/>
    <w:rsid w:val="00407437"/>
    <w:rsid w:val="00407A72"/>
    <w:rsid w:val="00415B6E"/>
    <w:rsid w:val="00421AC8"/>
    <w:rsid w:val="0042481D"/>
    <w:rsid w:val="004255B0"/>
    <w:rsid w:val="004268C8"/>
    <w:rsid w:val="0043150D"/>
    <w:rsid w:val="00431B92"/>
    <w:rsid w:val="0043449B"/>
    <w:rsid w:val="004443CB"/>
    <w:rsid w:val="00444BD6"/>
    <w:rsid w:val="00445320"/>
    <w:rsid w:val="0044667E"/>
    <w:rsid w:val="00450F1F"/>
    <w:rsid w:val="0045256C"/>
    <w:rsid w:val="0045290E"/>
    <w:rsid w:val="0045311F"/>
    <w:rsid w:val="00454A4A"/>
    <w:rsid w:val="00455442"/>
    <w:rsid w:val="00460C31"/>
    <w:rsid w:val="004611B8"/>
    <w:rsid w:val="00461C0F"/>
    <w:rsid w:val="004620B4"/>
    <w:rsid w:val="004638CD"/>
    <w:rsid w:val="00464DCD"/>
    <w:rsid w:val="004715A1"/>
    <w:rsid w:val="00471842"/>
    <w:rsid w:val="00473626"/>
    <w:rsid w:val="00473A1A"/>
    <w:rsid w:val="00474916"/>
    <w:rsid w:val="0047591C"/>
    <w:rsid w:val="00477B7F"/>
    <w:rsid w:val="0048355E"/>
    <w:rsid w:val="004857E8"/>
    <w:rsid w:val="00490760"/>
    <w:rsid w:val="0049253B"/>
    <w:rsid w:val="00492D3C"/>
    <w:rsid w:val="00493669"/>
    <w:rsid w:val="00494147"/>
    <w:rsid w:val="00495C7E"/>
    <w:rsid w:val="004963AB"/>
    <w:rsid w:val="004A03DF"/>
    <w:rsid w:val="004A2375"/>
    <w:rsid w:val="004A5E58"/>
    <w:rsid w:val="004A69B4"/>
    <w:rsid w:val="004A6C7B"/>
    <w:rsid w:val="004A7F94"/>
    <w:rsid w:val="004B2059"/>
    <w:rsid w:val="004B4AD3"/>
    <w:rsid w:val="004B5FF7"/>
    <w:rsid w:val="004C01E2"/>
    <w:rsid w:val="004C2C6F"/>
    <w:rsid w:val="004C2D65"/>
    <w:rsid w:val="004C4DB6"/>
    <w:rsid w:val="004C5B7D"/>
    <w:rsid w:val="004D30A7"/>
    <w:rsid w:val="004D421F"/>
    <w:rsid w:val="004D571B"/>
    <w:rsid w:val="004D5B13"/>
    <w:rsid w:val="004D6940"/>
    <w:rsid w:val="004D69A5"/>
    <w:rsid w:val="004D6F68"/>
    <w:rsid w:val="004E0643"/>
    <w:rsid w:val="004E10C1"/>
    <w:rsid w:val="004E18D3"/>
    <w:rsid w:val="004E2764"/>
    <w:rsid w:val="004E4EAE"/>
    <w:rsid w:val="004E5ED3"/>
    <w:rsid w:val="004E62D1"/>
    <w:rsid w:val="004E7EC4"/>
    <w:rsid w:val="004F1683"/>
    <w:rsid w:val="004F2526"/>
    <w:rsid w:val="004F4548"/>
    <w:rsid w:val="004F49F6"/>
    <w:rsid w:val="004F56A7"/>
    <w:rsid w:val="004F78B0"/>
    <w:rsid w:val="00500D3A"/>
    <w:rsid w:val="00500EAD"/>
    <w:rsid w:val="005025F6"/>
    <w:rsid w:val="00505126"/>
    <w:rsid w:val="00507019"/>
    <w:rsid w:val="00514864"/>
    <w:rsid w:val="00514A46"/>
    <w:rsid w:val="00514DB0"/>
    <w:rsid w:val="005152EB"/>
    <w:rsid w:val="00515DF0"/>
    <w:rsid w:val="00517440"/>
    <w:rsid w:val="005209BD"/>
    <w:rsid w:val="00520B78"/>
    <w:rsid w:val="0052132E"/>
    <w:rsid w:val="00524D1F"/>
    <w:rsid w:val="00526DC1"/>
    <w:rsid w:val="00530531"/>
    <w:rsid w:val="005315AC"/>
    <w:rsid w:val="00532E75"/>
    <w:rsid w:val="00533CBF"/>
    <w:rsid w:val="005401FA"/>
    <w:rsid w:val="00540BE5"/>
    <w:rsid w:val="005411BF"/>
    <w:rsid w:val="005412F0"/>
    <w:rsid w:val="00541AE2"/>
    <w:rsid w:val="00541AEB"/>
    <w:rsid w:val="00542414"/>
    <w:rsid w:val="00542437"/>
    <w:rsid w:val="00544CE5"/>
    <w:rsid w:val="00545B32"/>
    <w:rsid w:val="00546221"/>
    <w:rsid w:val="0054660F"/>
    <w:rsid w:val="00546AA7"/>
    <w:rsid w:val="005477F7"/>
    <w:rsid w:val="00551D4C"/>
    <w:rsid w:val="005563D9"/>
    <w:rsid w:val="00557FF7"/>
    <w:rsid w:val="005600A9"/>
    <w:rsid w:val="005606B4"/>
    <w:rsid w:val="0056127A"/>
    <w:rsid w:val="0056351D"/>
    <w:rsid w:val="00563797"/>
    <w:rsid w:val="00563B1B"/>
    <w:rsid w:val="005640E7"/>
    <w:rsid w:val="00564777"/>
    <w:rsid w:val="0056523A"/>
    <w:rsid w:val="00567C97"/>
    <w:rsid w:val="0057136E"/>
    <w:rsid w:val="00573A24"/>
    <w:rsid w:val="00574185"/>
    <w:rsid w:val="005748E5"/>
    <w:rsid w:val="00575A6F"/>
    <w:rsid w:val="00580551"/>
    <w:rsid w:val="00584335"/>
    <w:rsid w:val="00584CB9"/>
    <w:rsid w:val="005859AA"/>
    <w:rsid w:val="00586200"/>
    <w:rsid w:val="00586DB3"/>
    <w:rsid w:val="005943E2"/>
    <w:rsid w:val="005A0BDC"/>
    <w:rsid w:val="005A337D"/>
    <w:rsid w:val="005A37E5"/>
    <w:rsid w:val="005A5325"/>
    <w:rsid w:val="005A67F4"/>
    <w:rsid w:val="005A6B0B"/>
    <w:rsid w:val="005A75ED"/>
    <w:rsid w:val="005B4A49"/>
    <w:rsid w:val="005B6286"/>
    <w:rsid w:val="005B6527"/>
    <w:rsid w:val="005B68FB"/>
    <w:rsid w:val="005B7198"/>
    <w:rsid w:val="005B720F"/>
    <w:rsid w:val="005C2EB3"/>
    <w:rsid w:val="005C365D"/>
    <w:rsid w:val="005C47CA"/>
    <w:rsid w:val="005C4875"/>
    <w:rsid w:val="005C7C4A"/>
    <w:rsid w:val="005D0B65"/>
    <w:rsid w:val="005D1F0E"/>
    <w:rsid w:val="005E1DC2"/>
    <w:rsid w:val="005E2B76"/>
    <w:rsid w:val="005E6D0E"/>
    <w:rsid w:val="005E7C00"/>
    <w:rsid w:val="005F2679"/>
    <w:rsid w:val="005F5A67"/>
    <w:rsid w:val="005F77A4"/>
    <w:rsid w:val="005F78ED"/>
    <w:rsid w:val="0060034B"/>
    <w:rsid w:val="00600FA4"/>
    <w:rsid w:val="00601ECE"/>
    <w:rsid w:val="00602271"/>
    <w:rsid w:val="00604BA3"/>
    <w:rsid w:val="00605377"/>
    <w:rsid w:val="00610D0E"/>
    <w:rsid w:val="00615F25"/>
    <w:rsid w:val="006201B5"/>
    <w:rsid w:val="006262F2"/>
    <w:rsid w:val="0063210E"/>
    <w:rsid w:val="0063272F"/>
    <w:rsid w:val="00634995"/>
    <w:rsid w:val="00634F04"/>
    <w:rsid w:val="00635DCE"/>
    <w:rsid w:val="006371BA"/>
    <w:rsid w:val="00643049"/>
    <w:rsid w:val="00643D6F"/>
    <w:rsid w:val="006455F2"/>
    <w:rsid w:val="006477CC"/>
    <w:rsid w:val="0065300E"/>
    <w:rsid w:val="0065342B"/>
    <w:rsid w:val="00653E88"/>
    <w:rsid w:val="006540FA"/>
    <w:rsid w:val="00655F56"/>
    <w:rsid w:val="006561EF"/>
    <w:rsid w:val="006614EE"/>
    <w:rsid w:val="0066313E"/>
    <w:rsid w:val="0066354D"/>
    <w:rsid w:val="0066624B"/>
    <w:rsid w:val="00666E84"/>
    <w:rsid w:val="00670A46"/>
    <w:rsid w:val="00672C7D"/>
    <w:rsid w:val="00672E91"/>
    <w:rsid w:val="0067557D"/>
    <w:rsid w:val="006763EA"/>
    <w:rsid w:val="00676AB9"/>
    <w:rsid w:val="0068020A"/>
    <w:rsid w:val="00681955"/>
    <w:rsid w:val="00681CFA"/>
    <w:rsid w:val="006833C1"/>
    <w:rsid w:val="006855B5"/>
    <w:rsid w:val="00687BD6"/>
    <w:rsid w:val="00687E55"/>
    <w:rsid w:val="0069039E"/>
    <w:rsid w:val="00690507"/>
    <w:rsid w:val="00690EAF"/>
    <w:rsid w:val="00691CFE"/>
    <w:rsid w:val="00691FFC"/>
    <w:rsid w:val="00692393"/>
    <w:rsid w:val="0069239B"/>
    <w:rsid w:val="00695202"/>
    <w:rsid w:val="00695A70"/>
    <w:rsid w:val="00697B1E"/>
    <w:rsid w:val="006A0D16"/>
    <w:rsid w:val="006A106E"/>
    <w:rsid w:val="006A1A6E"/>
    <w:rsid w:val="006A2477"/>
    <w:rsid w:val="006A7128"/>
    <w:rsid w:val="006B447B"/>
    <w:rsid w:val="006B6ADF"/>
    <w:rsid w:val="006B6BB7"/>
    <w:rsid w:val="006B7BFD"/>
    <w:rsid w:val="006C1AE9"/>
    <w:rsid w:val="006C6EB6"/>
    <w:rsid w:val="006C759D"/>
    <w:rsid w:val="006C7FE9"/>
    <w:rsid w:val="006D0D01"/>
    <w:rsid w:val="006D0DB1"/>
    <w:rsid w:val="006D1AAB"/>
    <w:rsid w:val="006D1FE0"/>
    <w:rsid w:val="006D2509"/>
    <w:rsid w:val="006D5897"/>
    <w:rsid w:val="006D6479"/>
    <w:rsid w:val="006D79E9"/>
    <w:rsid w:val="006E28FC"/>
    <w:rsid w:val="006E3F80"/>
    <w:rsid w:val="006E696A"/>
    <w:rsid w:val="006F076B"/>
    <w:rsid w:val="006F1B5D"/>
    <w:rsid w:val="006F27CB"/>
    <w:rsid w:val="006F43BF"/>
    <w:rsid w:val="006F600C"/>
    <w:rsid w:val="00700A45"/>
    <w:rsid w:val="00700C7B"/>
    <w:rsid w:val="007010B5"/>
    <w:rsid w:val="007059D1"/>
    <w:rsid w:val="0070767F"/>
    <w:rsid w:val="00707DDE"/>
    <w:rsid w:val="00712130"/>
    <w:rsid w:val="007151A2"/>
    <w:rsid w:val="00717A08"/>
    <w:rsid w:val="0073340A"/>
    <w:rsid w:val="00734408"/>
    <w:rsid w:val="00734AC1"/>
    <w:rsid w:val="0073592D"/>
    <w:rsid w:val="00737764"/>
    <w:rsid w:val="00740199"/>
    <w:rsid w:val="007412F8"/>
    <w:rsid w:val="00742E58"/>
    <w:rsid w:val="007439E7"/>
    <w:rsid w:val="00743CA8"/>
    <w:rsid w:val="00745384"/>
    <w:rsid w:val="007471D6"/>
    <w:rsid w:val="0075373B"/>
    <w:rsid w:val="00755D04"/>
    <w:rsid w:val="00757064"/>
    <w:rsid w:val="00764275"/>
    <w:rsid w:val="00764BEB"/>
    <w:rsid w:val="00766369"/>
    <w:rsid w:val="00767233"/>
    <w:rsid w:val="007713AF"/>
    <w:rsid w:val="0077600A"/>
    <w:rsid w:val="00776AE6"/>
    <w:rsid w:val="00777E89"/>
    <w:rsid w:val="0078107A"/>
    <w:rsid w:val="00781D28"/>
    <w:rsid w:val="00781F77"/>
    <w:rsid w:val="00783D5F"/>
    <w:rsid w:val="00785B59"/>
    <w:rsid w:val="00786753"/>
    <w:rsid w:val="00787A0D"/>
    <w:rsid w:val="007919DA"/>
    <w:rsid w:val="00794066"/>
    <w:rsid w:val="00794BA7"/>
    <w:rsid w:val="00795A28"/>
    <w:rsid w:val="00795ED9"/>
    <w:rsid w:val="007A01F1"/>
    <w:rsid w:val="007A0482"/>
    <w:rsid w:val="007A1E78"/>
    <w:rsid w:val="007A2655"/>
    <w:rsid w:val="007A335E"/>
    <w:rsid w:val="007A6035"/>
    <w:rsid w:val="007A7A36"/>
    <w:rsid w:val="007B0E48"/>
    <w:rsid w:val="007B21D2"/>
    <w:rsid w:val="007B7007"/>
    <w:rsid w:val="007B7D8E"/>
    <w:rsid w:val="007B7E50"/>
    <w:rsid w:val="007C16A7"/>
    <w:rsid w:val="007C2C2F"/>
    <w:rsid w:val="007C613D"/>
    <w:rsid w:val="007C7415"/>
    <w:rsid w:val="007D50E4"/>
    <w:rsid w:val="007D61A8"/>
    <w:rsid w:val="007D6DAA"/>
    <w:rsid w:val="007D7977"/>
    <w:rsid w:val="007E0AD4"/>
    <w:rsid w:val="007E14C2"/>
    <w:rsid w:val="007E1D5B"/>
    <w:rsid w:val="007E3EAF"/>
    <w:rsid w:val="007E41A5"/>
    <w:rsid w:val="007E52D6"/>
    <w:rsid w:val="007E617F"/>
    <w:rsid w:val="007F0E0C"/>
    <w:rsid w:val="007F1448"/>
    <w:rsid w:val="007F69C3"/>
    <w:rsid w:val="007F7363"/>
    <w:rsid w:val="00804A08"/>
    <w:rsid w:val="00805EF8"/>
    <w:rsid w:val="00807616"/>
    <w:rsid w:val="00807D86"/>
    <w:rsid w:val="00810C4E"/>
    <w:rsid w:val="00811D14"/>
    <w:rsid w:val="0081796C"/>
    <w:rsid w:val="0082039E"/>
    <w:rsid w:val="00820583"/>
    <w:rsid w:val="00821FFE"/>
    <w:rsid w:val="0082290A"/>
    <w:rsid w:val="00824E3B"/>
    <w:rsid w:val="0082533A"/>
    <w:rsid w:val="00825BF7"/>
    <w:rsid w:val="0082707A"/>
    <w:rsid w:val="00831F8C"/>
    <w:rsid w:val="00833EB1"/>
    <w:rsid w:val="00834D5F"/>
    <w:rsid w:val="00836140"/>
    <w:rsid w:val="00844182"/>
    <w:rsid w:val="00847ECD"/>
    <w:rsid w:val="00850413"/>
    <w:rsid w:val="00851A24"/>
    <w:rsid w:val="00851BEB"/>
    <w:rsid w:val="008522DC"/>
    <w:rsid w:val="0085269E"/>
    <w:rsid w:val="00854E40"/>
    <w:rsid w:val="0085667E"/>
    <w:rsid w:val="00856FDD"/>
    <w:rsid w:val="008601B0"/>
    <w:rsid w:val="008605CD"/>
    <w:rsid w:val="00860600"/>
    <w:rsid w:val="0086146F"/>
    <w:rsid w:val="00862098"/>
    <w:rsid w:val="00865AC6"/>
    <w:rsid w:val="00867318"/>
    <w:rsid w:val="00867B28"/>
    <w:rsid w:val="008713B0"/>
    <w:rsid w:val="008726FD"/>
    <w:rsid w:val="00874CE0"/>
    <w:rsid w:val="0087689A"/>
    <w:rsid w:val="00880AEE"/>
    <w:rsid w:val="00881C68"/>
    <w:rsid w:val="00881D50"/>
    <w:rsid w:val="0088373E"/>
    <w:rsid w:val="00885AD3"/>
    <w:rsid w:val="0088718D"/>
    <w:rsid w:val="008919E7"/>
    <w:rsid w:val="008923A7"/>
    <w:rsid w:val="00892E31"/>
    <w:rsid w:val="00893573"/>
    <w:rsid w:val="00893891"/>
    <w:rsid w:val="008A0EBC"/>
    <w:rsid w:val="008A294B"/>
    <w:rsid w:val="008A3AB2"/>
    <w:rsid w:val="008A669C"/>
    <w:rsid w:val="008B29BB"/>
    <w:rsid w:val="008B2D11"/>
    <w:rsid w:val="008B33CA"/>
    <w:rsid w:val="008B43AF"/>
    <w:rsid w:val="008B47FA"/>
    <w:rsid w:val="008C1381"/>
    <w:rsid w:val="008C4534"/>
    <w:rsid w:val="008C487C"/>
    <w:rsid w:val="008C591D"/>
    <w:rsid w:val="008C6133"/>
    <w:rsid w:val="008C7FAC"/>
    <w:rsid w:val="008D0236"/>
    <w:rsid w:val="008D11F9"/>
    <w:rsid w:val="008D1E70"/>
    <w:rsid w:val="008D34EC"/>
    <w:rsid w:val="008D5EA6"/>
    <w:rsid w:val="008D6193"/>
    <w:rsid w:val="008D6400"/>
    <w:rsid w:val="008E147C"/>
    <w:rsid w:val="008E573B"/>
    <w:rsid w:val="008E6B44"/>
    <w:rsid w:val="008F0AA3"/>
    <w:rsid w:val="008F1263"/>
    <w:rsid w:val="008F3069"/>
    <w:rsid w:val="008F4AAF"/>
    <w:rsid w:val="008F5EB6"/>
    <w:rsid w:val="008F6B26"/>
    <w:rsid w:val="008F75E5"/>
    <w:rsid w:val="009011AC"/>
    <w:rsid w:val="0090201F"/>
    <w:rsid w:val="00902B1F"/>
    <w:rsid w:val="00903C42"/>
    <w:rsid w:val="009040F5"/>
    <w:rsid w:val="009058C3"/>
    <w:rsid w:val="0090652B"/>
    <w:rsid w:val="00906DEF"/>
    <w:rsid w:val="009079D5"/>
    <w:rsid w:val="0091068C"/>
    <w:rsid w:val="009136D0"/>
    <w:rsid w:val="009144EE"/>
    <w:rsid w:val="009217F0"/>
    <w:rsid w:val="009244EE"/>
    <w:rsid w:val="009369E2"/>
    <w:rsid w:val="00937260"/>
    <w:rsid w:val="00937D6D"/>
    <w:rsid w:val="00937E76"/>
    <w:rsid w:val="00940191"/>
    <w:rsid w:val="0094196F"/>
    <w:rsid w:val="009444C2"/>
    <w:rsid w:val="00945FE8"/>
    <w:rsid w:val="00946D50"/>
    <w:rsid w:val="00946ECB"/>
    <w:rsid w:val="00950258"/>
    <w:rsid w:val="00951A63"/>
    <w:rsid w:val="009525E0"/>
    <w:rsid w:val="00952FA2"/>
    <w:rsid w:val="0095358C"/>
    <w:rsid w:val="00953744"/>
    <w:rsid w:val="0095553C"/>
    <w:rsid w:val="00955C79"/>
    <w:rsid w:val="0095757A"/>
    <w:rsid w:val="00961E34"/>
    <w:rsid w:val="00961F13"/>
    <w:rsid w:val="0096225B"/>
    <w:rsid w:val="009648DF"/>
    <w:rsid w:val="00967015"/>
    <w:rsid w:val="009677AC"/>
    <w:rsid w:val="00970B70"/>
    <w:rsid w:val="00971E3D"/>
    <w:rsid w:val="0097665A"/>
    <w:rsid w:val="00981541"/>
    <w:rsid w:val="00982ACA"/>
    <w:rsid w:val="009854CF"/>
    <w:rsid w:val="00987620"/>
    <w:rsid w:val="00991C7D"/>
    <w:rsid w:val="00992716"/>
    <w:rsid w:val="00992C6D"/>
    <w:rsid w:val="00996112"/>
    <w:rsid w:val="00996366"/>
    <w:rsid w:val="009A2AEF"/>
    <w:rsid w:val="009A5F4C"/>
    <w:rsid w:val="009A686A"/>
    <w:rsid w:val="009B039A"/>
    <w:rsid w:val="009B09EE"/>
    <w:rsid w:val="009B0F3A"/>
    <w:rsid w:val="009B13D9"/>
    <w:rsid w:val="009B29C1"/>
    <w:rsid w:val="009B707A"/>
    <w:rsid w:val="009B7757"/>
    <w:rsid w:val="009C0E18"/>
    <w:rsid w:val="009C351E"/>
    <w:rsid w:val="009C638A"/>
    <w:rsid w:val="009D05F6"/>
    <w:rsid w:val="009D3D5A"/>
    <w:rsid w:val="009D3DA6"/>
    <w:rsid w:val="009D4837"/>
    <w:rsid w:val="009D4D48"/>
    <w:rsid w:val="009D6232"/>
    <w:rsid w:val="009E1E6C"/>
    <w:rsid w:val="009E2F52"/>
    <w:rsid w:val="009E3270"/>
    <w:rsid w:val="009E6129"/>
    <w:rsid w:val="009F1CB8"/>
    <w:rsid w:val="009F2AB7"/>
    <w:rsid w:val="009F2CF0"/>
    <w:rsid w:val="009F6139"/>
    <w:rsid w:val="009F70E6"/>
    <w:rsid w:val="00A00C02"/>
    <w:rsid w:val="00A017DC"/>
    <w:rsid w:val="00A02761"/>
    <w:rsid w:val="00A1109E"/>
    <w:rsid w:val="00A1311C"/>
    <w:rsid w:val="00A13A33"/>
    <w:rsid w:val="00A17210"/>
    <w:rsid w:val="00A264C0"/>
    <w:rsid w:val="00A27924"/>
    <w:rsid w:val="00A27F6B"/>
    <w:rsid w:val="00A32B08"/>
    <w:rsid w:val="00A338C2"/>
    <w:rsid w:val="00A40C3E"/>
    <w:rsid w:val="00A40D29"/>
    <w:rsid w:val="00A43A9C"/>
    <w:rsid w:val="00A43F4B"/>
    <w:rsid w:val="00A440F8"/>
    <w:rsid w:val="00A46DEC"/>
    <w:rsid w:val="00A47FE4"/>
    <w:rsid w:val="00A52852"/>
    <w:rsid w:val="00A53DE2"/>
    <w:rsid w:val="00A55A81"/>
    <w:rsid w:val="00A573E7"/>
    <w:rsid w:val="00A60E3F"/>
    <w:rsid w:val="00A61928"/>
    <w:rsid w:val="00A67113"/>
    <w:rsid w:val="00A71DBB"/>
    <w:rsid w:val="00A7616F"/>
    <w:rsid w:val="00A77439"/>
    <w:rsid w:val="00A77E31"/>
    <w:rsid w:val="00A81436"/>
    <w:rsid w:val="00A82859"/>
    <w:rsid w:val="00A828FF"/>
    <w:rsid w:val="00A8311D"/>
    <w:rsid w:val="00A85421"/>
    <w:rsid w:val="00A86B31"/>
    <w:rsid w:val="00A8797D"/>
    <w:rsid w:val="00A9011C"/>
    <w:rsid w:val="00A90D92"/>
    <w:rsid w:val="00AA0B6C"/>
    <w:rsid w:val="00AA31FB"/>
    <w:rsid w:val="00AA3FAA"/>
    <w:rsid w:val="00AA5664"/>
    <w:rsid w:val="00AB3512"/>
    <w:rsid w:val="00AB56F4"/>
    <w:rsid w:val="00AB5ECB"/>
    <w:rsid w:val="00AB64B0"/>
    <w:rsid w:val="00AC0048"/>
    <w:rsid w:val="00AC0834"/>
    <w:rsid w:val="00AC27CF"/>
    <w:rsid w:val="00AC315D"/>
    <w:rsid w:val="00AC67DB"/>
    <w:rsid w:val="00AC7D9D"/>
    <w:rsid w:val="00AD2380"/>
    <w:rsid w:val="00AD2EA0"/>
    <w:rsid w:val="00AE04F2"/>
    <w:rsid w:val="00AE2A98"/>
    <w:rsid w:val="00AE4E49"/>
    <w:rsid w:val="00AE5FF4"/>
    <w:rsid w:val="00AE7EA1"/>
    <w:rsid w:val="00AF0340"/>
    <w:rsid w:val="00AF3ED2"/>
    <w:rsid w:val="00B00150"/>
    <w:rsid w:val="00B05FBE"/>
    <w:rsid w:val="00B0659B"/>
    <w:rsid w:val="00B06DC9"/>
    <w:rsid w:val="00B10F2C"/>
    <w:rsid w:val="00B119CA"/>
    <w:rsid w:val="00B13D54"/>
    <w:rsid w:val="00B1525B"/>
    <w:rsid w:val="00B15826"/>
    <w:rsid w:val="00B214DB"/>
    <w:rsid w:val="00B21CBE"/>
    <w:rsid w:val="00B25057"/>
    <w:rsid w:val="00B26206"/>
    <w:rsid w:val="00B26542"/>
    <w:rsid w:val="00B33146"/>
    <w:rsid w:val="00B35B6F"/>
    <w:rsid w:val="00B3676C"/>
    <w:rsid w:val="00B40676"/>
    <w:rsid w:val="00B4162E"/>
    <w:rsid w:val="00B424F6"/>
    <w:rsid w:val="00B45832"/>
    <w:rsid w:val="00B47861"/>
    <w:rsid w:val="00B56A01"/>
    <w:rsid w:val="00B57994"/>
    <w:rsid w:val="00B637EB"/>
    <w:rsid w:val="00B649AA"/>
    <w:rsid w:val="00B64EE4"/>
    <w:rsid w:val="00B7124D"/>
    <w:rsid w:val="00B72A49"/>
    <w:rsid w:val="00B73310"/>
    <w:rsid w:val="00B7528A"/>
    <w:rsid w:val="00B76679"/>
    <w:rsid w:val="00B80B45"/>
    <w:rsid w:val="00B85FB5"/>
    <w:rsid w:val="00B86197"/>
    <w:rsid w:val="00B87484"/>
    <w:rsid w:val="00B87F0A"/>
    <w:rsid w:val="00B91846"/>
    <w:rsid w:val="00B934E5"/>
    <w:rsid w:val="00B93DA7"/>
    <w:rsid w:val="00B94F66"/>
    <w:rsid w:val="00B96236"/>
    <w:rsid w:val="00B96717"/>
    <w:rsid w:val="00BA7349"/>
    <w:rsid w:val="00BA78D9"/>
    <w:rsid w:val="00BA7CDA"/>
    <w:rsid w:val="00BB19BA"/>
    <w:rsid w:val="00BB3091"/>
    <w:rsid w:val="00BB4479"/>
    <w:rsid w:val="00BC00D5"/>
    <w:rsid w:val="00BC1A5D"/>
    <w:rsid w:val="00BC1E77"/>
    <w:rsid w:val="00BC4194"/>
    <w:rsid w:val="00BC5493"/>
    <w:rsid w:val="00BC55CF"/>
    <w:rsid w:val="00BC78BC"/>
    <w:rsid w:val="00BD0A17"/>
    <w:rsid w:val="00BD2438"/>
    <w:rsid w:val="00BD2618"/>
    <w:rsid w:val="00BD51F5"/>
    <w:rsid w:val="00BD5783"/>
    <w:rsid w:val="00BD6222"/>
    <w:rsid w:val="00BD6649"/>
    <w:rsid w:val="00BD737A"/>
    <w:rsid w:val="00BD76AD"/>
    <w:rsid w:val="00BE23ED"/>
    <w:rsid w:val="00BE2625"/>
    <w:rsid w:val="00BE2841"/>
    <w:rsid w:val="00BE44F7"/>
    <w:rsid w:val="00BE672D"/>
    <w:rsid w:val="00BF10F7"/>
    <w:rsid w:val="00BF362E"/>
    <w:rsid w:val="00BF5CED"/>
    <w:rsid w:val="00BF6CE3"/>
    <w:rsid w:val="00C00C34"/>
    <w:rsid w:val="00C05310"/>
    <w:rsid w:val="00C057F2"/>
    <w:rsid w:val="00C0668C"/>
    <w:rsid w:val="00C06941"/>
    <w:rsid w:val="00C06FDC"/>
    <w:rsid w:val="00C07BC6"/>
    <w:rsid w:val="00C1215F"/>
    <w:rsid w:val="00C14FAF"/>
    <w:rsid w:val="00C155E3"/>
    <w:rsid w:val="00C16198"/>
    <w:rsid w:val="00C164A2"/>
    <w:rsid w:val="00C1720E"/>
    <w:rsid w:val="00C17893"/>
    <w:rsid w:val="00C20BA7"/>
    <w:rsid w:val="00C219FB"/>
    <w:rsid w:val="00C226F0"/>
    <w:rsid w:val="00C2471A"/>
    <w:rsid w:val="00C2549A"/>
    <w:rsid w:val="00C25918"/>
    <w:rsid w:val="00C25A5E"/>
    <w:rsid w:val="00C25F7E"/>
    <w:rsid w:val="00C27097"/>
    <w:rsid w:val="00C27725"/>
    <w:rsid w:val="00C31C72"/>
    <w:rsid w:val="00C35A57"/>
    <w:rsid w:val="00C35B66"/>
    <w:rsid w:val="00C36C60"/>
    <w:rsid w:val="00C41638"/>
    <w:rsid w:val="00C41D7E"/>
    <w:rsid w:val="00C44380"/>
    <w:rsid w:val="00C44C93"/>
    <w:rsid w:val="00C44FDF"/>
    <w:rsid w:val="00C46482"/>
    <w:rsid w:val="00C46F19"/>
    <w:rsid w:val="00C47A81"/>
    <w:rsid w:val="00C5263C"/>
    <w:rsid w:val="00C52BE2"/>
    <w:rsid w:val="00C52E50"/>
    <w:rsid w:val="00C53A9E"/>
    <w:rsid w:val="00C540DB"/>
    <w:rsid w:val="00C611A1"/>
    <w:rsid w:val="00C633C9"/>
    <w:rsid w:val="00C66798"/>
    <w:rsid w:val="00C735CD"/>
    <w:rsid w:val="00C73893"/>
    <w:rsid w:val="00C80080"/>
    <w:rsid w:val="00C80244"/>
    <w:rsid w:val="00C80EDA"/>
    <w:rsid w:val="00C80FFB"/>
    <w:rsid w:val="00C83526"/>
    <w:rsid w:val="00C84047"/>
    <w:rsid w:val="00C90DA1"/>
    <w:rsid w:val="00C90F65"/>
    <w:rsid w:val="00C9410A"/>
    <w:rsid w:val="00C95F6C"/>
    <w:rsid w:val="00C96881"/>
    <w:rsid w:val="00C9771E"/>
    <w:rsid w:val="00CA082D"/>
    <w:rsid w:val="00CA0C7A"/>
    <w:rsid w:val="00CA179B"/>
    <w:rsid w:val="00CA1C61"/>
    <w:rsid w:val="00CA3A9F"/>
    <w:rsid w:val="00CA4162"/>
    <w:rsid w:val="00CA5900"/>
    <w:rsid w:val="00CA64E0"/>
    <w:rsid w:val="00CA736E"/>
    <w:rsid w:val="00CB2C8D"/>
    <w:rsid w:val="00CB3B14"/>
    <w:rsid w:val="00CC08E0"/>
    <w:rsid w:val="00CC42A7"/>
    <w:rsid w:val="00CC57FC"/>
    <w:rsid w:val="00CC58B5"/>
    <w:rsid w:val="00CC697F"/>
    <w:rsid w:val="00CC7020"/>
    <w:rsid w:val="00CC73E7"/>
    <w:rsid w:val="00CC7834"/>
    <w:rsid w:val="00CC7FDF"/>
    <w:rsid w:val="00CD1C40"/>
    <w:rsid w:val="00CD1D57"/>
    <w:rsid w:val="00CD64D6"/>
    <w:rsid w:val="00CE0873"/>
    <w:rsid w:val="00CE3003"/>
    <w:rsid w:val="00CE36BC"/>
    <w:rsid w:val="00CE4879"/>
    <w:rsid w:val="00CE5AC2"/>
    <w:rsid w:val="00CF14E4"/>
    <w:rsid w:val="00CF1B5F"/>
    <w:rsid w:val="00CF483D"/>
    <w:rsid w:val="00CF4D28"/>
    <w:rsid w:val="00D00CEB"/>
    <w:rsid w:val="00D05552"/>
    <w:rsid w:val="00D059A2"/>
    <w:rsid w:val="00D14038"/>
    <w:rsid w:val="00D15CD0"/>
    <w:rsid w:val="00D176B8"/>
    <w:rsid w:val="00D17CCF"/>
    <w:rsid w:val="00D20AAD"/>
    <w:rsid w:val="00D217E9"/>
    <w:rsid w:val="00D232E1"/>
    <w:rsid w:val="00D26A66"/>
    <w:rsid w:val="00D3436A"/>
    <w:rsid w:val="00D343B3"/>
    <w:rsid w:val="00D347DD"/>
    <w:rsid w:val="00D4036E"/>
    <w:rsid w:val="00D409D5"/>
    <w:rsid w:val="00D44063"/>
    <w:rsid w:val="00D4580E"/>
    <w:rsid w:val="00D45C5C"/>
    <w:rsid w:val="00D46384"/>
    <w:rsid w:val="00D509F5"/>
    <w:rsid w:val="00D5350C"/>
    <w:rsid w:val="00D5414F"/>
    <w:rsid w:val="00D5631F"/>
    <w:rsid w:val="00D56F8B"/>
    <w:rsid w:val="00D61C44"/>
    <w:rsid w:val="00D626F4"/>
    <w:rsid w:val="00D63E0A"/>
    <w:rsid w:val="00D63EFE"/>
    <w:rsid w:val="00D71EEA"/>
    <w:rsid w:val="00D7378B"/>
    <w:rsid w:val="00D75625"/>
    <w:rsid w:val="00D76DA2"/>
    <w:rsid w:val="00D811E0"/>
    <w:rsid w:val="00D82065"/>
    <w:rsid w:val="00D92771"/>
    <w:rsid w:val="00D93229"/>
    <w:rsid w:val="00D93E03"/>
    <w:rsid w:val="00D95213"/>
    <w:rsid w:val="00D95A2F"/>
    <w:rsid w:val="00D96952"/>
    <w:rsid w:val="00DA2FE8"/>
    <w:rsid w:val="00DA403F"/>
    <w:rsid w:val="00DA504F"/>
    <w:rsid w:val="00DA593F"/>
    <w:rsid w:val="00DA5BB3"/>
    <w:rsid w:val="00DB0AC5"/>
    <w:rsid w:val="00DB6B67"/>
    <w:rsid w:val="00DC1117"/>
    <w:rsid w:val="00DC34D9"/>
    <w:rsid w:val="00DC5FDB"/>
    <w:rsid w:val="00DC6B79"/>
    <w:rsid w:val="00DD008B"/>
    <w:rsid w:val="00DD0932"/>
    <w:rsid w:val="00DD4311"/>
    <w:rsid w:val="00DD539A"/>
    <w:rsid w:val="00DD6ACF"/>
    <w:rsid w:val="00DE202D"/>
    <w:rsid w:val="00DE6198"/>
    <w:rsid w:val="00DE7D7D"/>
    <w:rsid w:val="00DF17CA"/>
    <w:rsid w:val="00DF28A0"/>
    <w:rsid w:val="00DF3272"/>
    <w:rsid w:val="00DF4CD2"/>
    <w:rsid w:val="00DF57F1"/>
    <w:rsid w:val="00E0204C"/>
    <w:rsid w:val="00E025AA"/>
    <w:rsid w:val="00E02A7E"/>
    <w:rsid w:val="00E069FA"/>
    <w:rsid w:val="00E11569"/>
    <w:rsid w:val="00E11C49"/>
    <w:rsid w:val="00E11DBF"/>
    <w:rsid w:val="00E127AC"/>
    <w:rsid w:val="00E12E5A"/>
    <w:rsid w:val="00E15B11"/>
    <w:rsid w:val="00E17932"/>
    <w:rsid w:val="00E220D2"/>
    <w:rsid w:val="00E24FE5"/>
    <w:rsid w:val="00E2501F"/>
    <w:rsid w:val="00E2561E"/>
    <w:rsid w:val="00E25F3F"/>
    <w:rsid w:val="00E40E4F"/>
    <w:rsid w:val="00E45835"/>
    <w:rsid w:val="00E46CF9"/>
    <w:rsid w:val="00E5039B"/>
    <w:rsid w:val="00E5154B"/>
    <w:rsid w:val="00E520AF"/>
    <w:rsid w:val="00E61CA7"/>
    <w:rsid w:val="00E64059"/>
    <w:rsid w:val="00E735B9"/>
    <w:rsid w:val="00E738FF"/>
    <w:rsid w:val="00E77BC1"/>
    <w:rsid w:val="00E77D68"/>
    <w:rsid w:val="00E82884"/>
    <w:rsid w:val="00E8297F"/>
    <w:rsid w:val="00E83006"/>
    <w:rsid w:val="00E84BD5"/>
    <w:rsid w:val="00E860D0"/>
    <w:rsid w:val="00E90404"/>
    <w:rsid w:val="00E967B8"/>
    <w:rsid w:val="00E96F73"/>
    <w:rsid w:val="00E97300"/>
    <w:rsid w:val="00E97A8A"/>
    <w:rsid w:val="00E97FB1"/>
    <w:rsid w:val="00EA23A7"/>
    <w:rsid w:val="00EA260B"/>
    <w:rsid w:val="00EA28FB"/>
    <w:rsid w:val="00EA4FC7"/>
    <w:rsid w:val="00EA50E1"/>
    <w:rsid w:val="00EA5C39"/>
    <w:rsid w:val="00EA5C5A"/>
    <w:rsid w:val="00EA6436"/>
    <w:rsid w:val="00EA6736"/>
    <w:rsid w:val="00EA7273"/>
    <w:rsid w:val="00EA74D7"/>
    <w:rsid w:val="00EB1BC6"/>
    <w:rsid w:val="00EB3329"/>
    <w:rsid w:val="00EB3C70"/>
    <w:rsid w:val="00EB42EB"/>
    <w:rsid w:val="00EB50BE"/>
    <w:rsid w:val="00EB5BC1"/>
    <w:rsid w:val="00EB756D"/>
    <w:rsid w:val="00EC20E0"/>
    <w:rsid w:val="00EC23A3"/>
    <w:rsid w:val="00EC28DD"/>
    <w:rsid w:val="00EC2AA7"/>
    <w:rsid w:val="00EC489D"/>
    <w:rsid w:val="00EC731F"/>
    <w:rsid w:val="00ED1B01"/>
    <w:rsid w:val="00ED5C37"/>
    <w:rsid w:val="00ED63F6"/>
    <w:rsid w:val="00ED686F"/>
    <w:rsid w:val="00EE0A48"/>
    <w:rsid w:val="00EE0B64"/>
    <w:rsid w:val="00EE19F6"/>
    <w:rsid w:val="00EF20ED"/>
    <w:rsid w:val="00EF3FC9"/>
    <w:rsid w:val="00EF41CF"/>
    <w:rsid w:val="00EF693A"/>
    <w:rsid w:val="00EF7A25"/>
    <w:rsid w:val="00F01947"/>
    <w:rsid w:val="00F02EA1"/>
    <w:rsid w:val="00F039E8"/>
    <w:rsid w:val="00F03B29"/>
    <w:rsid w:val="00F05A21"/>
    <w:rsid w:val="00F06C90"/>
    <w:rsid w:val="00F0794D"/>
    <w:rsid w:val="00F10881"/>
    <w:rsid w:val="00F13EE5"/>
    <w:rsid w:val="00F14689"/>
    <w:rsid w:val="00F14863"/>
    <w:rsid w:val="00F16B30"/>
    <w:rsid w:val="00F1718E"/>
    <w:rsid w:val="00F17420"/>
    <w:rsid w:val="00F202A7"/>
    <w:rsid w:val="00F2054E"/>
    <w:rsid w:val="00F211C7"/>
    <w:rsid w:val="00F224F9"/>
    <w:rsid w:val="00F22AE4"/>
    <w:rsid w:val="00F23B21"/>
    <w:rsid w:val="00F266DE"/>
    <w:rsid w:val="00F31EE2"/>
    <w:rsid w:val="00F34FEE"/>
    <w:rsid w:val="00F3691F"/>
    <w:rsid w:val="00F4198C"/>
    <w:rsid w:val="00F44223"/>
    <w:rsid w:val="00F477AE"/>
    <w:rsid w:val="00F47A77"/>
    <w:rsid w:val="00F50660"/>
    <w:rsid w:val="00F551D9"/>
    <w:rsid w:val="00F55567"/>
    <w:rsid w:val="00F60A34"/>
    <w:rsid w:val="00F6480F"/>
    <w:rsid w:val="00F65BDA"/>
    <w:rsid w:val="00F66C2C"/>
    <w:rsid w:val="00F729A0"/>
    <w:rsid w:val="00F73508"/>
    <w:rsid w:val="00F740FA"/>
    <w:rsid w:val="00F7621B"/>
    <w:rsid w:val="00F77F7A"/>
    <w:rsid w:val="00F80885"/>
    <w:rsid w:val="00F808CE"/>
    <w:rsid w:val="00F856C8"/>
    <w:rsid w:val="00F86294"/>
    <w:rsid w:val="00F87958"/>
    <w:rsid w:val="00F928DE"/>
    <w:rsid w:val="00F92C1C"/>
    <w:rsid w:val="00F931A2"/>
    <w:rsid w:val="00F9414C"/>
    <w:rsid w:val="00F94E3C"/>
    <w:rsid w:val="00F95401"/>
    <w:rsid w:val="00F95B7C"/>
    <w:rsid w:val="00F96904"/>
    <w:rsid w:val="00F97342"/>
    <w:rsid w:val="00FA076F"/>
    <w:rsid w:val="00FA08E1"/>
    <w:rsid w:val="00FA0941"/>
    <w:rsid w:val="00FA0FD0"/>
    <w:rsid w:val="00FA15E8"/>
    <w:rsid w:val="00FA3C5C"/>
    <w:rsid w:val="00FA507E"/>
    <w:rsid w:val="00FB0C53"/>
    <w:rsid w:val="00FB2A5B"/>
    <w:rsid w:val="00FB6F27"/>
    <w:rsid w:val="00FB6F7F"/>
    <w:rsid w:val="00FB7020"/>
    <w:rsid w:val="00FC15D9"/>
    <w:rsid w:val="00FC2ACE"/>
    <w:rsid w:val="00FC3AAC"/>
    <w:rsid w:val="00FC668B"/>
    <w:rsid w:val="00FC74B2"/>
    <w:rsid w:val="00FD2892"/>
    <w:rsid w:val="00FE09F0"/>
    <w:rsid w:val="00FE0BA0"/>
    <w:rsid w:val="00FE2036"/>
    <w:rsid w:val="00FE27C5"/>
    <w:rsid w:val="00FE343C"/>
    <w:rsid w:val="00FE3C56"/>
    <w:rsid w:val="00FF25EE"/>
    <w:rsid w:val="00FF4920"/>
    <w:rsid w:val="00FF53A4"/>
    <w:rsid w:val="00FF59B4"/>
    <w:rsid w:val="00FF6966"/>
    <w:rsid w:val="00FF7D13"/>
    <w:rsid w:val="00FF7E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58AF2C"/>
  <w15:chartTrackingRefBased/>
  <w15:docId w15:val="{EFFA83D6-C168-4C6B-9D61-4548FEA26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3AF"/>
    <w:pPr>
      <w:spacing w:line="280" w:lineRule="atLeast"/>
      <w:jc w:val="both"/>
    </w:pPr>
    <w:rPr>
      <w:rFonts w:ascii="Palatino Linotype" w:hAnsi="Palatino Linotype"/>
      <w:color w:val="000000"/>
    </w:rPr>
  </w:style>
  <w:style w:type="paragraph" w:styleId="Heading1">
    <w:name w:val="heading 1"/>
    <w:basedOn w:val="Normal"/>
    <w:next w:val="Normal"/>
    <w:link w:val="Heading1Char"/>
    <w:uiPriority w:val="9"/>
    <w:qFormat/>
    <w:rsid w:val="007412F8"/>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lang w:val="en-GB" w:eastAsia="en-US"/>
      <w14:ligatures w14:val="standardContextual"/>
    </w:rPr>
  </w:style>
  <w:style w:type="paragraph" w:styleId="Heading2">
    <w:name w:val="heading 2"/>
    <w:basedOn w:val="Normal"/>
    <w:next w:val="Normal"/>
    <w:link w:val="Heading2Char"/>
    <w:uiPriority w:val="9"/>
    <w:semiHidden/>
    <w:unhideWhenUsed/>
    <w:qFormat/>
    <w:rsid w:val="007412F8"/>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lang w:val="en-GB" w:eastAsia="en-US"/>
      <w14:ligatures w14:val="standardContextual"/>
    </w:rPr>
  </w:style>
  <w:style w:type="paragraph" w:styleId="Heading3">
    <w:name w:val="heading 3"/>
    <w:basedOn w:val="Normal"/>
    <w:next w:val="Normal"/>
    <w:link w:val="Heading3Char"/>
    <w:uiPriority w:val="9"/>
    <w:semiHidden/>
    <w:unhideWhenUsed/>
    <w:qFormat/>
    <w:rsid w:val="007412F8"/>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lang w:val="en-GB" w:eastAsia="en-US"/>
      <w14:ligatures w14:val="standardContextual"/>
    </w:rPr>
  </w:style>
  <w:style w:type="paragraph" w:styleId="Heading4">
    <w:name w:val="heading 4"/>
    <w:basedOn w:val="Normal"/>
    <w:next w:val="Normal"/>
    <w:link w:val="Heading4Char"/>
    <w:uiPriority w:val="9"/>
    <w:semiHidden/>
    <w:unhideWhenUsed/>
    <w:qFormat/>
    <w:rsid w:val="007412F8"/>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szCs w:val="22"/>
      <w:lang w:val="en-GB" w:eastAsia="en-US"/>
      <w14:ligatures w14:val="standardContextual"/>
    </w:rPr>
  </w:style>
  <w:style w:type="paragraph" w:styleId="Heading5">
    <w:name w:val="heading 5"/>
    <w:basedOn w:val="Normal"/>
    <w:next w:val="Normal"/>
    <w:link w:val="Heading5Char"/>
    <w:uiPriority w:val="9"/>
    <w:semiHidden/>
    <w:unhideWhenUsed/>
    <w:qFormat/>
    <w:rsid w:val="007412F8"/>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2"/>
      <w:szCs w:val="22"/>
      <w:lang w:val="en-GB" w:eastAsia="en-US"/>
      <w14:ligatures w14:val="standardContextual"/>
    </w:rPr>
  </w:style>
  <w:style w:type="paragraph" w:styleId="Heading6">
    <w:name w:val="heading 6"/>
    <w:basedOn w:val="Normal"/>
    <w:next w:val="Normal"/>
    <w:link w:val="Heading6Char"/>
    <w:uiPriority w:val="9"/>
    <w:semiHidden/>
    <w:unhideWhenUsed/>
    <w:qFormat/>
    <w:rsid w:val="007412F8"/>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val="en-GB" w:eastAsia="en-US"/>
      <w14:ligatures w14:val="standardContextual"/>
    </w:rPr>
  </w:style>
  <w:style w:type="paragraph" w:styleId="Heading7">
    <w:name w:val="heading 7"/>
    <w:basedOn w:val="Normal"/>
    <w:next w:val="Normal"/>
    <w:link w:val="Heading7Char"/>
    <w:uiPriority w:val="9"/>
    <w:semiHidden/>
    <w:unhideWhenUsed/>
    <w:qFormat/>
    <w:rsid w:val="007412F8"/>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val="en-GB" w:eastAsia="en-US"/>
      <w14:ligatures w14:val="standardContextual"/>
    </w:rPr>
  </w:style>
  <w:style w:type="paragraph" w:styleId="Heading8">
    <w:name w:val="heading 8"/>
    <w:basedOn w:val="Normal"/>
    <w:next w:val="Normal"/>
    <w:link w:val="Heading8Char"/>
    <w:uiPriority w:val="9"/>
    <w:semiHidden/>
    <w:unhideWhenUsed/>
    <w:qFormat/>
    <w:rsid w:val="007412F8"/>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lang w:val="en-GB" w:eastAsia="en-US"/>
      <w14:ligatures w14:val="standardContextual"/>
    </w:rPr>
  </w:style>
  <w:style w:type="paragraph" w:styleId="Heading9">
    <w:name w:val="heading 9"/>
    <w:basedOn w:val="Normal"/>
    <w:next w:val="Normal"/>
    <w:link w:val="Heading9Char"/>
    <w:uiPriority w:val="9"/>
    <w:semiHidden/>
    <w:unhideWhenUsed/>
    <w:qFormat/>
    <w:rsid w:val="007412F8"/>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7713AF"/>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7713AF"/>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7713AF"/>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7713AF"/>
    <w:pPr>
      <w:adjustRightInd w:val="0"/>
      <w:snapToGrid w:val="0"/>
      <w:spacing w:line="240" w:lineRule="atLeast"/>
      <w:ind w:right="113"/>
      <w:jc w:val="left"/>
    </w:pPr>
    <w:rPr>
      <w:rFonts w:eastAsia="Times New Roman"/>
      <w:sz w:val="14"/>
      <w:lang w:eastAsia="de-DE" w:bidi="en-US"/>
    </w:rPr>
  </w:style>
  <w:style w:type="paragraph" w:customStyle="1" w:styleId="MDPI16affiliation">
    <w:name w:val="MDPI_1.6_affiliation"/>
    <w:qFormat/>
    <w:rsid w:val="007713AF"/>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7713AF"/>
    <w:pPr>
      <w:adjustRightInd w:val="0"/>
      <w:snapToGrid w:val="0"/>
      <w:spacing w:before="240" w:after="12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Normal"/>
    <w:qFormat/>
    <w:rsid w:val="007713AF"/>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7713AF"/>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F23B21"/>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7713AF"/>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713AF"/>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7713AF"/>
    <w:rPr>
      <w:rFonts w:ascii="Palatino Linotype" w:hAnsi="Palatino Linotype"/>
      <w:noProof/>
      <w:color w:val="000000"/>
      <w:szCs w:val="18"/>
    </w:rPr>
  </w:style>
  <w:style w:type="paragraph" w:customStyle="1" w:styleId="MDPI32textnoindent">
    <w:name w:val="MDPI_3.2_text_no_indent"/>
    <w:basedOn w:val="MDPI31text"/>
    <w:qFormat/>
    <w:rsid w:val="007713AF"/>
    <w:pPr>
      <w:ind w:firstLine="0"/>
    </w:pPr>
  </w:style>
  <w:style w:type="paragraph" w:customStyle="1" w:styleId="MDPI31text">
    <w:name w:val="MDPI_3.1_text"/>
    <w:link w:val="MDPI31textChar"/>
    <w:qFormat/>
    <w:rsid w:val="00D00CEB"/>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7713AF"/>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7713AF"/>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7713AF"/>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7713AF"/>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0E5987"/>
    <w:pPr>
      <w:numPr>
        <w:numId w:val="22"/>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0E5987"/>
    <w:pPr>
      <w:numPr>
        <w:numId w:val="20"/>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7713AF"/>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7713AF"/>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7713AF"/>
    <w:pPr>
      <w:adjustRightInd w:val="0"/>
      <w:snapToGrid w:val="0"/>
      <w:spacing w:before="240" w:after="120"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7B7D8E"/>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7713AF"/>
    <w:pPr>
      <w:adjustRightInd w:val="0"/>
      <w:snapToGrid w:val="0"/>
      <w:spacing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7713AF"/>
    <w:pPr>
      <w:adjustRightInd w:val="0"/>
      <w:snapToGrid w:val="0"/>
      <w:spacing w:before="120" w:after="240" w:line="280" w:lineRule="atLeast"/>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7713AF"/>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2theorem">
    <w:name w:val="MDPI_8.2_theorem"/>
    <w:qFormat/>
    <w:rsid w:val="007713AF"/>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7713AF"/>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qFormat/>
    <w:rsid w:val="007713AF"/>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7713AF"/>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7713AF"/>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qFormat/>
    <w:rsid w:val="003C1244"/>
    <w:pPr>
      <w:numPr>
        <w:numId w:val="23"/>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7713AF"/>
    <w:rPr>
      <w:rFonts w:cs="Tahoma"/>
      <w:szCs w:val="18"/>
    </w:rPr>
  </w:style>
  <w:style w:type="character" w:customStyle="1" w:styleId="BalloonTextChar">
    <w:name w:val="Balloon Text Char"/>
    <w:link w:val="BalloonText"/>
    <w:uiPriority w:val="99"/>
    <w:rsid w:val="007713AF"/>
    <w:rPr>
      <w:rFonts w:ascii="Palatino Linotype" w:hAnsi="Palatino Linotype" w:cs="Tahoma"/>
      <w:noProof/>
      <w:color w:val="000000"/>
      <w:szCs w:val="18"/>
    </w:rPr>
  </w:style>
  <w:style w:type="character" w:styleId="LineNumber">
    <w:name w:val="line number"/>
    <w:uiPriority w:val="99"/>
    <w:rsid w:val="007F69C3"/>
    <w:rPr>
      <w:rFonts w:ascii="Palatino Linotype" w:hAnsi="Palatino Linotype"/>
      <w:sz w:val="16"/>
    </w:rPr>
  </w:style>
  <w:style w:type="table" w:customStyle="1" w:styleId="MDPI41threelinetable">
    <w:name w:val="MDPI_4.1_three_line_table"/>
    <w:basedOn w:val="TableNormal"/>
    <w:uiPriority w:val="99"/>
    <w:rsid w:val="007713AF"/>
    <w:pPr>
      <w:adjustRightInd w:val="0"/>
      <w:snapToGrid w:val="0"/>
      <w:spacing w:line="280" w:lineRule="atLeast"/>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7713AF"/>
    <w:rPr>
      <w:color w:val="0000FF"/>
      <w:u w:val="single"/>
    </w:rPr>
  </w:style>
  <w:style w:type="character" w:styleId="UnresolvedMention">
    <w:name w:val="Unresolved Mention"/>
    <w:uiPriority w:val="99"/>
    <w:semiHidden/>
    <w:unhideWhenUsed/>
    <w:rsid w:val="002C3620"/>
    <w:rPr>
      <w:color w:val="605E5C"/>
      <w:shd w:val="clear" w:color="auto" w:fill="E1DFDD"/>
    </w:rPr>
  </w:style>
  <w:style w:type="paragraph" w:styleId="Footer">
    <w:name w:val="footer"/>
    <w:basedOn w:val="Normal"/>
    <w:link w:val="FooterChar"/>
    <w:uiPriority w:val="99"/>
    <w:rsid w:val="007713AF"/>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7713AF"/>
    <w:rPr>
      <w:rFonts w:ascii="Palatino Linotype" w:hAnsi="Palatino Linotype"/>
      <w:noProof/>
      <w:color w:val="000000"/>
      <w:szCs w:val="18"/>
    </w:rPr>
  </w:style>
  <w:style w:type="table" w:styleId="PlainTable4">
    <w:name w:val="Plain Table 4"/>
    <w:basedOn w:val="TableNormal"/>
    <w:uiPriority w:val="44"/>
    <w:rsid w:val="008A3AB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7713AF"/>
    <w:pPr>
      <w:adjustRightInd w:val="0"/>
      <w:snapToGrid w:val="0"/>
      <w:spacing w:before="120" w:after="120" w:line="240" w:lineRule="atLeast"/>
      <w:ind w:right="113"/>
    </w:pPr>
    <w:rPr>
      <w:rFonts w:ascii="Palatino Linotype" w:hAnsi="Palatino Linotype" w:cs="Cordia New"/>
      <w:sz w:val="14"/>
      <w:szCs w:val="22"/>
    </w:rPr>
  </w:style>
  <w:style w:type="paragraph" w:customStyle="1" w:styleId="MDPI62backmatter">
    <w:name w:val="MDPI_6.2_back_matter"/>
    <w:qFormat/>
    <w:rsid w:val="007713AF"/>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7713AF"/>
    <w:pPr>
      <w:adjustRightInd w:val="0"/>
      <w:snapToGrid w:val="0"/>
      <w:spacing w:before="240" w:line="280" w:lineRule="atLeast"/>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584CB9"/>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411onetablecaption">
    <w:name w:val="MDPI_4.1.1_one_table_caption"/>
    <w:qFormat/>
    <w:rsid w:val="007713AF"/>
    <w:pPr>
      <w:adjustRightInd w:val="0"/>
      <w:snapToGrid w:val="0"/>
      <w:spacing w:before="240" w:after="120" w:line="28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7713AF"/>
    <w:pPr>
      <w:adjustRightInd w:val="0"/>
      <w:snapToGrid w:val="0"/>
      <w:spacing w:before="240" w:after="120" w:line="280" w:lineRule="atLeast"/>
      <w:jc w:val="center"/>
    </w:pPr>
    <w:rPr>
      <w:rFonts w:ascii="Palatino Linotype" w:hAnsi="Palatino Linotype"/>
      <w:noProof/>
      <w:color w:val="000000"/>
      <w:sz w:val="18"/>
      <w:lang w:bidi="en-US"/>
    </w:rPr>
  </w:style>
  <w:style w:type="paragraph" w:customStyle="1" w:styleId="MDPI72copyright">
    <w:name w:val="MDPI_7.2_copyright"/>
    <w:qFormat/>
    <w:rsid w:val="00DB0AC5"/>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Normal"/>
    <w:uiPriority w:val="99"/>
    <w:rsid w:val="007713AF"/>
    <w:rPr>
      <w:rFonts w:ascii="Palatino Linotype" w:hAnsi="Palatino Linotype"/>
      <w:color w:val="000000"/>
      <w:lang w:val="en-CA" w:eastAsia="en-US"/>
    </w:rPr>
    <w:tblPr>
      <w:tblCellMar>
        <w:left w:w="0" w:type="dxa"/>
        <w:right w:w="0" w:type="dxa"/>
      </w:tblCellMar>
    </w:tblPr>
  </w:style>
  <w:style w:type="character" w:customStyle="1" w:styleId="apple-converted-space">
    <w:name w:val="apple-converted-space"/>
    <w:rsid w:val="007713AF"/>
  </w:style>
  <w:style w:type="paragraph" w:styleId="Bibliography">
    <w:name w:val="Bibliography"/>
    <w:basedOn w:val="Normal"/>
    <w:next w:val="Normal"/>
    <w:uiPriority w:val="37"/>
    <w:semiHidden/>
    <w:unhideWhenUsed/>
    <w:rsid w:val="007713AF"/>
  </w:style>
  <w:style w:type="paragraph" w:styleId="BodyText">
    <w:name w:val="Body Text"/>
    <w:link w:val="BodyTextChar"/>
    <w:rsid w:val="007713AF"/>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7713AF"/>
    <w:rPr>
      <w:rFonts w:ascii="Palatino Linotype" w:hAnsi="Palatino Linotype"/>
      <w:color w:val="000000"/>
      <w:sz w:val="24"/>
      <w:lang w:eastAsia="de-DE"/>
    </w:rPr>
  </w:style>
  <w:style w:type="character" w:styleId="CommentReference">
    <w:name w:val="annotation reference"/>
    <w:uiPriority w:val="99"/>
    <w:rsid w:val="007713AF"/>
    <w:rPr>
      <w:sz w:val="21"/>
      <w:szCs w:val="21"/>
    </w:rPr>
  </w:style>
  <w:style w:type="paragraph" w:styleId="CommentText">
    <w:name w:val="annotation text"/>
    <w:basedOn w:val="Normal"/>
    <w:link w:val="CommentTextChar"/>
    <w:uiPriority w:val="99"/>
    <w:rsid w:val="007713AF"/>
  </w:style>
  <w:style w:type="character" w:customStyle="1" w:styleId="CommentTextChar">
    <w:name w:val="Comment Text Char"/>
    <w:link w:val="CommentText"/>
    <w:uiPriority w:val="99"/>
    <w:rsid w:val="007713AF"/>
    <w:rPr>
      <w:rFonts w:ascii="Palatino Linotype" w:hAnsi="Palatino Linotype"/>
      <w:noProof/>
      <w:color w:val="000000"/>
    </w:rPr>
  </w:style>
  <w:style w:type="paragraph" w:styleId="CommentSubject">
    <w:name w:val="annotation subject"/>
    <w:basedOn w:val="CommentText"/>
    <w:next w:val="CommentText"/>
    <w:link w:val="CommentSubjectChar"/>
    <w:uiPriority w:val="99"/>
    <w:rsid w:val="007713AF"/>
    <w:rPr>
      <w:b/>
      <w:bCs/>
    </w:rPr>
  </w:style>
  <w:style w:type="character" w:customStyle="1" w:styleId="CommentSubjectChar">
    <w:name w:val="Comment Subject Char"/>
    <w:link w:val="CommentSubject"/>
    <w:uiPriority w:val="99"/>
    <w:rsid w:val="007713AF"/>
    <w:rPr>
      <w:rFonts w:ascii="Palatino Linotype" w:hAnsi="Palatino Linotype"/>
      <w:b/>
      <w:bCs/>
      <w:noProof/>
      <w:color w:val="000000"/>
    </w:rPr>
  </w:style>
  <w:style w:type="character" w:styleId="EndnoteReference">
    <w:name w:val="endnote reference"/>
    <w:rsid w:val="007713AF"/>
    <w:rPr>
      <w:vertAlign w:val="superscript"/>
    </w:rPr>
  </w:style>
  <w:style w:type="paragraph" w:styleId="EndnoteText">
    <w:name w:val="endnote text"/>
    <w:basedOn w:val="Normal"/>
    <w:link w:val="EndnoteTextChar"/>
    <w:semiHidden/>
    <w:unhideWhenUsed/>
    <w:rsid w:val="007713AF"/>
    <w:pPr>
      <w:spacing w:line="240" w:lineRule="auto"/>
    </w:pPr>
  </w:style>
  <w:style w:type="character" w:customStyle="1" w:styleId="EndnoteTextChar">
    <w:name w:val="Endnote Text Char"/>
    <w:link w:val="EndnoteText"/>
    <w:semiHidden/>
    <w:rsid w:val="007713AF"/>
    <w:rPr>
      <w:rFonts w:ascii="Palatino Linotype" w:hAnsi="Palatino Linotype"/>
      <w:noProof/>
      <w:color w:val="000000"/>
    </w:rPr>
  </w:style>
  <w:style w:type="character" w:styleId="FollowedHyperlink">
    <w:name w:val="FollowedHyperlink"/>
    <w:uiPriority w:val="99"/>
    <w:rsid w:val="007713AF"/>
    <w:rPr>
      <w:color w:val="954F72"/>
      <w:u w:val="single"/>
    </w:rPr>
  </w:style>
  <w:style w:type="paragraph" w:styleId="FootnoteText">
    <w:name w:val="footnote text"/>
    <w:basedOn w:val="Normal"/>
    <w:link w:val="FootnoteTextChar"/>
    <w:semiHidden/>
    <w:unhideWhenUsed/>
    <w:rsid w:val="007713AF"/>
    <w:pPr>
      <w:spacing w:line="240" w:lineRule="auto"/>
    </w:pPr>
  </w:style>
  <w:style w:type="character" w:customStyle="1" w:styleId="FootnoteTextChar">
    <w:name w:val="Footnote Text Char"/>
    <w:link w:val="FootnoteText"/>
    <w:semiHidden/>
    <w:rsid w:val="007713AF"/>
    <w:rPr>
      <w:rFonts w:ascii="Palatino Linotype" w:hAnsi="Palatino Linotype"/>
      <w:noProof/>
      <w:color w:val="000000"/>
    </w:rPr>
  </w:style>
  <w:style w:type="paragraph" w:styleId="NormalWeb">
    <w:name w:val="Normal (Web)"/>
    <w:basedOn w:val="Normal"/>
    <w:uiPriority w:val="99"/>
    <w:rsid w:val="007713AF"/>
    <w:rPr>
      <w:szCs w:val="24"/>
    </w:rPr>
  </w:style>
  <w:style w:type="paragraph" w:customStyle="1" w:styleId="MsoFootnoteText0">
    <w:name w:val="MsoFootnoteText"/>
    <w:basedOn w:val="NormalWeb"/>
    <w:qFormat/>
    <w:rsid w:val="007713AF"/>
    <w:rPr>
      <w:rFonts w:ascii="Times New Roman" w:hAnsi="Times New Roman"/>
    </w:rPr>
  </w:style>
  <w:style w:type="character" w:styleId="PageNumber">
    <w:name w:val="page number"/>
    <w:rsid w:val="007713AF"/>
  </w:style>
  <w:style w:type="character" w:styleId="PlaceholderText">
    <w:name w:val="Placeholder Text"/>
    <w:uiPriority w:val="99"/>
    <w:semiHidden/>
    <w:rsid w:val="007713AF"/>
    <w:rPr>
      <w:color w:val="808080"/>
    </w:rPr>
  </w:style>
  <w:style w:type="paragraph" w:customStyle="1" w:styleId="MDPI71footnotes">
    <w:name w:val="MDPI_7.1_footnotes"/>
    <w:qFormat/>
    <w:rsid w:val="0025009E"/>
    <w:pPr>
      <w:numPr>
        <w:numId w:val="21"/>
      </w:numPr>
      <w:adjustRightInd w:val="0"/>
      <w:snapToGrid w:val="0"/>
      <w:spacing w:line="280" w:lineRule="atLeast"/>
    </w:pPr>
    <w:rPr>
      <w:rFonts w:ascii="Palatino Linotype" w:eastAsiaTheme="minorEastAsia" w:hAnsi="Palatino Linotype"/>
      <w:noProof/>
      <w:color w:val="000000"/>
      <w:sz w:val="18"/>
    </w:rPr>
  </w:style>
  <w:style w:type="character" w:styleId="Strong">
    <w:name w:val="Strong"/>
    <w:basedOn w:val="DefaultParagraphFont"/>
    <w:uiPriority w:val="22"/>
    <w:qFormat/>
    <w:rsid w:val="00116A34"/>
    <w:rPr>
      <w:b/>
      <w:bCs/>
    </w:rPr>
  </w:style>
  <w:style w:type="paragraph" w:customStyle="1" w:styleId="NoSpacing1">
    <w:name w:val="No Spacing1"/>
    <w:link w:val="NoSpacing1Char"/>
    <w:qFormat/>
    <w:rsid w:val="00F95401"/>
    <w:rPr>
      <w:rFonts w:ascii="Times New Roman" w:eastAsia="Times New Roman" w:hAnsi="Times New Roman"/>
      <w:sz w:val="22"/>
      <w:szCs w:val="22"/>
      <w:lang w:val="nl-BE" w:eastAsia="nl-BE"/>
    </w:rPr>
  </w:style>
  <w:style w:type="character" w:customStyle="1" w:styleId="NoSpacing1Char">
    <w:name w:val="No Spacing1 Char"/>
    <w:link w:val="NoSpacing1"/>
    <w:rsid w:val="00F95401"/>
    <w:rPr>
      <w:rFonts w:ascii="Times New Roman" w:eastAsia="Times New Roman" w:hAnsi="Times New Roman"/>
      <w:sz w:val="22"/>
      <w:szCs w:val="22"/>
      <w:lang w:val="nl-BE" w:eastAsia="nl-BE"/>
    </w:rPr>
  </w:style>
  <w:style w:type="character" w:customStyle="1" w:styleId="Heading1Char">
    <w:name w:val="Heading 1 Char"/>
    <w:basedOn w:val="DefaultParagraphFont"/>
    <w:link w:val="Heading1"/>
    <w:uiPriority w:val="9"/>
    <w:rsid w:val="007412F8"/>
    <w:rPr>
      <w:rFonts w:asciiTheme="majorHAnsi" w:eastAsiaTheme="majorEastAsia" w:hAnsiTheme="majorHAnsi" w:cstheme="majorBidi"/>
      <w:color w:val="2F5496" w:themeColor="accent1" w:themeShade="BF"/>
      <w:kern w:val="2"/>
      <w:sz w:val="40"/>
      <w:szCs w:val="40"/>
      <w:lang w:val="en-GB" w:eastAsia="en-US"/>
      <w14:ligatures w14:val="standardContextual"/>
    </w:rPr>
  </w:style>
  <w:style w:type="character" w:customStyle="1" w:styleId="Heading2Char">
    <w:name w:val="Heading 2 Char"/>
    <w:basedOn w:val="DefaultParagraphFont"/>
    <w:link w:val="Heading2"/>
    <w:uiPriority w:val="9"/>
    <w:semiHidden/>
    <w:rsid w:val="007412F8"/>
    <w:rPr>
      <w:rFonts w:asciiTheme="majorHAnsi" w:eastAsiaTheme="majorEastAsia" w:hAnsiTheme="majorHAnsi" w:cstheme="majorBidi"/>
      <w:color w:val="2F5496" w:themeColor="accent1" w:themeShade="BF"/>
      <w:kern w:val="2"/>
      <w:sz w:val="32"/>
      <w:szCs w:val="32"/>
      <w:lang w:val="en-GB" w:eastAsia="en-US"/>
      <w14:ligatures w14:val="standardContextual"/>
    </w:rPr>
  </w:style>
  <w:style w:type="character" w:customStyle="1" w:styleId="Heading3Char">
    <w:name w:val="Heading 3 Char"/>
    <w:basedOn w:val="DefaultParagraphFont"/>
    <w:link w:val="Heading3"/>
    <w:uiPriority w:val="9"/>
    <w:semiHidden/>
    <w:rsid w:val="007412F8"/>
    <w:rPr>
      <w:rFonts w:asciiTheme="minorHAnsi" w:eastAsiaTheme="majorEastAsia" w:hAnsiTheme="minorHAnsi" w:cstheme="majorBidi"/>
      <w:color w:val="2F5496" w:themeColor="accent1" w:themeShade="BF"/>
      <w:kern w:val="2"/>
      <w:sz w:val="28"/>
      <w:szCs w:val="28"/>
      <w:lang w:val="en-GB" w:eastAsia="en-US"/>
      <w14:ligatures w14:val="standardContextual"/>
    </w:rPr>
  </w:style>
  <w:style w:type="character" w:customStyle="1" w:styleId="Heading4Char">
    <w:name w:val="Heading 4 Char"/>
    <w:basedOn w:val="DefaultParagraphFont"/>
    <w:link w:val="Heading4"/>
    <w:uiPriority w:val="9"/>
    <w:semiHidden/>
    <w:rsid w:val="007412F8"/>
    <w:rPr>
      <w:rFonts w:asciiTheme="minorHAnsi" w:eastAsiaTheme="majorEastAsia" w:hAnsiTheme="minorHAnsi" w:cstheme="majorBidi"/>
      <w:i/>
      <w:iCs/>
      <w:color w:val="2F5496" w:themeColor="accent1" w:themeShade="BF"/>
      <w:kern w:val="2"/>
      <w:sz w:val="22"/>
      <w:szCs w:val="22"/>
      <w:lang w:val="en-GB" w:eastAsia="en-US"/>
      <w14:ligatures w14:val="standardContextual"/>
    </w:rPr>
  </w:style>
  <w:style w:type="character" w:customStyle="1" w:styleId="Heading5Char">
    <w:name w:val="Heading 5 Char"/>
    <w:basedOn w:val="DefaultParagraphFont"/>
    <w:link w:val="Heading5"/>
    <w:uiPriority w:val="9"/>
    <w:semiHidden/>
    <w:rsid w:val="007412F8"/>
    <w:rPr>
      <w:rFonts w:asciiTheme="minorHAnsi" w:eastAsiaTheme="majorEastAsia" w:hAnsiTheme="minorHAnsi" w:cstheme="majorBidi"/>
      <w:color w:val="2F5496" w:themeColor="accent1" w:themeShade="BF"/>
      <w:kern w:val="2"/>
      <w:sz w:val="22"/>
      <w:szCs w:val="22"/>
      <w:lang w:val="en-GB" w:eastAsia="en-US"/>
      <w14:ligatures w14:val="standardContextual"/>
    </w:rPr>
  </w:style>
  <w:style w:type="character" w:customStyle="1" w:styleId="Heading6Char">
    <w:name w:val="Heading 6 Char"/>
    <w:basedOn w:val="DefaultParagraphFont"/>
    <w:link w:val="Heading6"/>
    <w:uiPriority w:val="9"/>
    <w:semiHidden/>
    <w:rsid w:val="007412F8"/>
    <w:rPr>
      <w:rFonts w:asciiTheme="minorHAnsi" w:eastAsiaTheme="majorEastAsia" w:hAnsiTheme="minorHAnsi" w:cstheme="majorBidi"/>
      <w:i/>
      <w:iCs/>
      <w:color w:val="595959" w:themeColor="text1" w:themeTint="A6"/>
      <w:kern w:val="2"/>
      <w:sz w:val="22"/>
      <w:szCs w:val="22"/>
      <w:lang w:val="en-GB" w:eastAsia="en-US"/>
      <w14:ligatures w14:val="standardContextual"/>
    </w:rPr>
  </w:style>
  <w:style w:type="character" w:customStyle="1" w:styleId="Heading7Char">
    <w:name w:val="Heading 7 Char"/>
    <w:basedOn w:val="DefaultParagraphFont"/>
    <w:link w:val="Heading7"/>
    <w:uiPriority w:val="9"/>
    <w:semiHidden/>
    <w:rsid w:val="007412F8"/>
    <w:rPr>
      <w:rFonts w:asciiTheme="minorHAnsi" w:eastAsiaTheme="majorEastAsia" w:hAnsiTheme="minorHAnsi" w:cstheme="majorBidi"/>
      <w:color w:val="595959" w:themeColor="text1" w:themeTint="A6"/>
      <w:kern w:val="2"/>
      <w:sz w:val="22"/>
      <w:szCs w:val="22"/>
      <w:lang w:val="en-GB" w:eastAsia="en-US"/>
      <w14:ligatures w14:val="standardContextual"/>
    </w:rPr>
  </w:style>
  <w:style w:type="character" w:customStyle="1" w:styleId="Heading8Char">
    <w:name w:val="Heading 8 Char"/>
    <w:basedOn w:val="DefaultParagraphFont"/>
    <w:link w:val="Heading8"/>
    <w:uiPriority w:val="9"/>
    <w:semiHidden/>
    <w:rsid w:val="007412F8"/>
    <w:rPr>
      <w:rFonts w:asciiTheme="minorHAnsi" w:eastAsiaTheme="majorEastAsia" w:hAnsiTheme="minorHAnsi" w:cstheme="majorBidi"/>
      <w:i/>
      <w:iCs/>
      <w:color w:val="272727" w:themeColor="text1" w:themeTint="D8"/>
      <w:kern w:val="2"/>
      <w:sz w:val="22"/>
      <w:szCs w:val="22"/>
      <w:lang w:val="en-GB" w:eastAsia="en-US"/>
      <w14:ligatures w14:val="standardContextual"/>
    </w:rPr>
  </w:style>
  <w:style w:type="character" w:customStyle="1" w:styleId="Heading9Char">
    <w:name w:val="Heading 9 Char"/>
    <w:basedOn w:val="DefaultParagraphFont"/>
    <w:link w:val="Heading9"/>
    <w:uiPriority w:val="9"/>
    <w:semiHidden/>
    <w:rsid w:val="007412F8"/>
    <w:rPr>
      <w:rFonts w:asciiTheme="minorHAnsi" w:eastAsiaTheme="majorEastAsia" w:hAnsiTheme="minorHAnsi" w:cstheme="majorBidi"/>
      <w:color w:val="272727" w:themeColor="text1" w:themeTint="D8"/>
      <w:kern w:val="2"/>
      <w:sz w:val="22"/>
      <w:szCs w:val="22"/>
      <w:lang w:val="en-GB" w:eastAsia="en-US"/>
      <w14:ligatures w14:val="standardContextual"/>
    </w:rPr>
  </w:style>
  <w:style w:type="paragraph" w:styleId="Title">
    <w:name w:val="Title"/>
    <w:basedOn w:val="Normal"/>
    <w:next w:val="Normal"/>
    <w:link w:val="TitleChar"/>
    <w:uiPriority w:val="10"/>
    <w:qFormat/>
    <w:rsid w:val="007412F8"/>
    <w:pPr>
      <w:spacing w:after="80" w:line="240" w:lineRule="auto"/>
      <w:contextualSpacing/>
      <w:jc w:val="left"/>
    </w:pPr>
    <w:rPr>
      <w:rFonts w:asciiTheme="majorHAnsi" w:eastAsiaTheme="majorEastAsia" w:hAnsiTheme="majorHAnsi" w:cstheme="majorBidi"/>
      <w:color w:val="auto"/>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7412F8"/>
    <w:rPr>
      <w:rFonts w:asciiTheme="majorHAnsi" w:eastAsiaTheme="majorEastAsia" w:hAnsiTheme="majorHAnsi" w:cstheme="majorBidi"/>
      <w:spacing w:val="-10"/>
      <w:kern w:val="28"/>
      <w:sz w:val="56"/>
      <w:szCs w:val="56"/>
      <w:lang w:val="en-GB" w:eastAsia="en-US"/>
      <w14:ligatures w14:val="standardContextual"/>
    </w:rPr>
  </w:style>
  <w:style w:type="paragraph" w:styleId="Subtitle">
    <w:name w:val="Subtitle"/>
    <w:basedOn w:val="Normal"/>
    <w:next w:val="Normal"/>
    <w:link w:val="SubtitleChar"/>
    <w:uiPriority w:val="11"/>
    <w:qFormat/>
    <w:rsid w:val="007412F8"/>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7412F8"/>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paragraph" w:styleId="Quote">
    <w:name w:val="Quote"/>
    <w:basedOn w:val="Normal"/>
    <w:next w:val="Normal"/>
    <w:link w:val="QuoteChar"/>
    <w:uiPriority w:val="29"/>
    <w:qFormat/>
    <w:rsid w:val="007412F8"/>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eastAsia="en-US"/>
      <w14:ligatures w14:val="standardContextual"/>
    </w:rPr>
  </w:style>
  <w:style w:type="character" w:customStyle="1" w:styleId="QuoteChar">
    <w:name w:val="Quote Char"/>
    <w:basedOn w:val="DefaultParagraphFont"/>
    <w:link w:val="Quote"/>
    <w:uiPriority w:val="29"/>
    <w:rsid w:val="007412F8"/>
    <w:rPr>
      <w:rFonts w:asciiTheme="minorHAnsi" w:eastAsiaTheme="minorHAnsi" w:hAnsiTheme="minorHAnsi" w:cstheme="minorBidi"/>
      <w:i/>
      <w:iCs/>
      <w:color w:val="404040" w:themeColor="text1" w:themeTint="BF"/>
      <w:kern w:val="2"/>
      <w:sz w:val="22"/>
      <w:szCs w:val="22"/>
      <w:lang w:val="en-GB" w:eastAsia="en-US"/>
      <w14:ligatures w14:val="standardContextual"/>
    </w:rPr>
  </w:style>
  <w:style w:type="paragraph" w:styleId="ListParagraph">
    <w:name w:val="List Paragraph"/>
    <w:basedOn w:val="Normal"/>
    <w:uiPriority w:val="34"/>
    <w:qFormat/>
    <w:rsid w:val="007412F8"/>
    <w:pPr>
      <w:spacing w:after="160" w:line="259" w:lineRule="auto"/>
      <w:ind w:left="720"/>
      <w:contextualSpacing/>
      <w:jc w:val="left"/>
    </w:pPr>
    <w:rPr>
      <w:rFonts w:asciiTheme="minorHAnsi" w:eastAsiaTheme="minorHAnsi" w:hAnsiTheme="minorHAnsi" w:cstheme="minorBidi"/>
      <w:color w:val="auto"/>
      <w:kern w:val="2"/>
      <w:sz w:val="22"/>
      <w:szCs w:val="22"/>
      <w:lang w:val="en-GB" w:eastAsia="en-US"/>
      <w14:ligatures w14:val="standardContextual"/>
    </w:rPr>
  </w:style>
  <w:style w:type="character" w:styleId="IntenseEmphasis">
    <w:name w:val="Intense Emphasis"/>
    <w:basedOn w:val="DefaultParagraphFont"/>
    <w:uiPriority w:val="21"/>
    <w:qFormat/>
    <w:rsid w:val="007412F8"/>
    <w:rPr>
      <w:i/>
      <w:iCs/>
      <w:color w:val="2F5496" w:themeColor="accent1" w:themeShade="BF"/>
    </w:rPr>
  </w:style>
  <w:style w:type="paragraph" w:styleId="IntenseQuote">
    <w:name w:val="Intense Quote"/>
    <w:basedOn w:val="Normal"/>
    <w:next w:val="Normal"/>
    <w:link w:val="IntenseQuoteChar"/>
    <w:uiPriority w:val="30"/>
    <w:qFormat/>
    <w:rsid w:val="007412F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GB" w:eastAsia="en-US"/>
      <w14:ligatures w14:val="standardContextual"/>
    </w:rPr>
  </w:style>
  <w:style w:type="character" w:customStyle="1" w:styleId="IntenseQuoteChar">
    <w:name w:val="Intense Quote Char"/>
    <w:basedOn w:val="DefaultParagraphFont"/>
    <w:link w:val="IntenseQuote"/>
    <w:uiPriority w:val="30"/>
    <w:rsid w:val="007412F8"/>
    <w:rPr>
      <w:rFonts w:asciiTheme="minorHAnsi" w:eastAsiaTheme="minorHAnsi" w:hAnsiTheme="minorHAnsi" w:cstheme="minorBidi"/>
      <w:i/>
      <w:iCs/>
      <w:color w:val="2F5496" w:themeColor="accent1" w:themeShade="BF"/>
      <w:kern w:val="2"/>
      <w:sz w:val="22"/>
      <w:szCs w:val="22"/>
      <w:lang w:val="en-GB" w:eastAsia="en-US"/>
      <w14:ligatures w14:val="standardContextual"/>
    </w:rPr>
  </w:style>
  <w:style w:type="character" w:styleId="IntenseReference">
    <w:name w:val="Intense Reference"/>
    <w:basedOn w:val="DefaultParagraphFont"/>
    <w:uiPriority w:val="32"/>
    <w:qFormat/>
    <w:rsid w:val="007412F8"/>
    <w:rPr>
      <w:b/>
      <w:bCs/>
      <w:smallCaps/>
      <w:color w:val="2F5496" w:themeColor="accent1" w:themeShade="BF"/>
      <w:spacing w:val="5"/>
    </w:rPr>
  </w:style>
  <w:style w:type="paragraph" w:customStyle="1" w:styleId="Default">
    <w:name w:val="Default"/>
    <w:rsid w:val="007412F8"/>
    <w:pPr>
      <w:autoSpaceDE w:val="0"/>
      <w:autoSpaceDN w:val="0"/>
      <w:adjustRightInd w:val="0"/>
    </w:pPr>
    <w:rPr>
      <w:rFonts w:ascii="Times New Roman" w:eastAsiaTheme="minorHAnsi" w:hAnsi="Times New Roman"/>
      <w:color w:val="000000"/>
      <w:sz w:val="24"/>
      <w:szCs w:val="24"/>
      <w:lang w:val="en-GB" w:eastAsia="en-US"/>
      <w14:ligatures w14:val="standardContextual"/>
    </w:rPr>
  </w:style>
  <w:style w:type="paragraph" w:styleId="Revision">
    <w:name w:val="Revision"/>
    <w:hidden/>
    <w:uiPriority w:val="99"/>
    <w:semiHidden/>
    <w:rsid w:val="007412F8"/>
    <w:rPr>
      <w:rFonts w:asciiTheme="minorHAnsi" w:eastAsiaTheme="minorHAnsi" w:hAnsiTheme="minorHAnsi" w:cstheme="minorBidi"/>
      <w:kern w:val="2"/>
      <w:sz w:val="22"/>
      <w:szCs w:val="22"/>
      <w:lang w:val="en-GB" w:eastAsia="en-US"/>
      <w14:ligatures w14:val="standardContextual"/>
    </w:rPr>
  </w:style>
  <w:style w:type="paragraph" w:customStyle="1" w:styleId="EndNoteBibliography">
    <w:name w:val="EndNote Bibliography"/>
    <w:basedOn w:val="Normal"/>
    <w:link w:val="EndNoteBibliographyChar"/>
    <w:rsid w:val="007412F8"/>
    <w:pPr>
      <w:spacing w:after="160" w:line="240" w:lineRule="auto"/>
      <w:jc w:val="left"/>
    </w:pPr>
    <w:rPr>
      <w:rFonts w:eastAsiaTheme="minorHAnsi" w:cs="Calibri"/>
      <w:noProof/>
      <w:color w:val="auto"/>
      <w:kern w:val="2"/>
      <w:szCs w:val="24"/>
      <w:lang w:eastAsia="en-US"/>
      <w14:ligatures w14:val="standardContextual"/>
    </w:rPr>
  </w:style>
  <w:style w:type="character" w:customStyle="1" w:styleId="EndNoteBibliographyChar">
    <w:name w:val="EndNote Bibliography Char"/>
    <w:basedOn w:val="DefaultParagraphFont"/>
    <w:link w:val="EndNoteBibliography"/>
    <w:rsid w:val="007412F8"/>
    <w:rPr>
      <w:rFonts w:ascii="Palatino Linotype" w:eastAsiaTheme="minorHAnsi" w:hAnsi="Palatino Linotype" w:cs="Calibri"/>
      <w:noProof/>
      <w:kern w:val="2"/>
      <w:szCs w:val="24"/>
      <w:lang w:eastAsia="en-US"/>
      <w14:ligatures w14:val="standardContextual"/>
    </w:rPr>
  </w:style>
  <w:style w:type="paragraph" w:customStyle="1" w:styleId="EndNoteBibliographyTitle">
    <w:name w:val="EndNote Bibliography Title"/>
    <w:basedOn w:val="Normal"/>
    <w:link w:val="EndNoteBibliographyTitleChar"/>
    <w:rsid w:val="009A5F4C"/>
    <w:pPr>
      <w:jc w:val="center"/>
    </w:pPr>
    <w:rPr>
      <w:noProof/>
    </w:rPr>
  </w:style>
  <w:style w:type="character" w:customStyle="1" w:styleId="MDPI31textChar">
    <w:name w:val="MDPI_3.1_text Char"/>
    <w:basedOn w:val="DefaultParagraphFont"/>
    <w:link w:val="MDPI31text"/>
    <w:rsid w:val="009A5F4C"/>
    <w:rPr>
      <w:rFonts w:ascii="Palatino Linotype" w:eastAsia="Times New Roman" w:hAnsi="Palatino Linotype"/>
      <w:snapToGrid w:val="0"/>
      <w:color w:val="000000"/>
      <w:szCs w:val="22"/>
      <w:lang w:eastAsia="de-DE" w:bidi="en-US"/>
    </w:rPr>
  </w:style>
  <w:style w:type="character" w:customStyle="1" w:styleId="EndNoteBibliographyTitleChar">
    <w:name w:val="EndNote Bibliography Title Char"/>
    <w:basedOn w:val="MDPI31textChar"/>
    <w:link w:val="EndNoteBibliographyTitle"/>
    <w:rsid w:val="009A5F4C"/>
    <w:rPr>
      <w:rFonts w:ascii="Palatino Linotype" w:eastAsia="Times New Roman" w:hAnsi="Palatino Linotype"/>
      <w:noProof/>
      <w:snapToGrid/>
      <w:color w:val="000000"/>
      <w:szCs w:val="22"/>
      <w:lang w:eastAsia="de-DE" w:bidi="en-US"/>
    </w:rPr>
  </w:style>
  <w:style w:type="paragraph" w:styleId="NoSpacing">
    <w:name w:val="No Spacing"/>
    <w:uiPriority w:val="1"/>
    <w:qFormat/>
    <w:rsid w:val="00490760"/>
    <w:rPr>
      <w:rFonts w:asciiTheme="minorHAnsi" w:eastAsiaTheme="minorHAnsi" w:hAnsiTheme="minorHAnsi" w:cstheme="minorBidi"/>
      <w:kern w:val="2"/>
      <w:sz w:val="24"/>
      <w:szCs w:val="24"/>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ian.brink@uct.ac.za" TargetMode="External"/><Relationship Id="rId13" Type="http://schemas.openxmlformats.org/officeDocument/2006/relationships/hyperlink" Target="mailto:recoetzee@uwc.ac.za" TargetMode="External"/><Relationship Id="rId18" Type="http://schemas.openxmlformats.org/officeDocument/2006/relationships/hyperlink" Target="mailto:fdjukic@citystgeorges.ac.uk" TargetMode="External"/><Relationship Id="rId26" Type="http://schemas.openxmlformats.org/officeDocument/2006/relationships/diagramLayout" Target="diagrams/layout1.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gkumar@citystgeorges.ac.uk" TargetMode="External"/><Relationship Id="rId34" Type="http://schemas.openxmlformats.org/officeDocument/2006/relationships/hyperlink" Target="https://knowledgehub.health.gov.za/node/956" TargetMode="External"/><Relationship Id="rId7" Type="http://schemas.openxmlformats.org/officeDocument/2006/relationships/endnotes" Target="endnotes.xml"/><Relationship Id="rId12" Type="http://schemas.openxmlformats.org/officeDocument/2006/relationships/hyperlink" Target="mailto:Yasmina.Johnson@westerncape.gov.za" TargetMode="External"/><Relationship Id="rId17" Type="http://schemas.openxmlformats.org/officeDocument/2006/relationships/hyperlink" Target="mailto:nnhlapo02@gmail.com" TargetMode="External"/><Relationship Id="rId25" Type="http://schemas.openxmlformats.org/officeDocument/2006/relationships/diagramData" Target="diagrams/data1.xml"/><Relationship Id="rId33" Type="http://schemas.openxmlformats.org/officeDocument/2006/relationships/hyperlink" Target="https://www.health.gov.za/wp-content/uploads/2025/07/Primary-Healthcare-Standard-Treatment-Guidelines-and-Essential-Medicines-List-8th-Edition-2024.pdf"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MalebacoBP@fshealth.gov.za" TargetMode="External"/><Relationship Id="rId20" Type="http://schemas.openxmlformats.org/officeDocument/2006/relationships/hyperlink" Target="mailto:aicook@citystgeorges.ac.uk" TargetMode="External"/><Relationship Id="rId29"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woodh@ukzn.ac.za" TargetMode="External"/><Relationship Id="rId24" Type="http://schemas.openxmlformats.org/officeDocument/2006/relationships/hyperlink" Target="mailto:audrey.chigome@smu.ac.za" TargetMode="External"/><Relationship Id="rId32" Type="http://schemas.openxmlformats.org/officeDocument/2006/relationships/hyperlink" Target="https://antibioticpolicy.org/project/adila/quality-indicators/"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olokophaho@gmail.com" TargetMode="External"/><Relationship Id="rId23" Type="http://schemas.openxmlformats.org/officeDocument/2006/relationships/hyperlink" Target="mailto:Marc.mendelson@uct.ac.za" TargetMode="External"/><Relationship Id="rId28" Type="http://schemas.openxmlformats.org/officeDocument/2006/relationships/diagramColors" Target="diagrams/colors1.xml"/><Relationship Id="rId36" Type="http://schemas.openxmlformats.org/officeDocument/2006/relationships/header" Target="header2.xml"/><Relationship Id="rId10" Type="http://schemas.openxmlformats.org/officeDocument/2006/relationships/hyperlink" Target="mailto:elmien.bronkhorst@smu.ac.za" TargetMode="External"/><Relationship Id="rId19" Type="http://schemas.openxmlformats.org/officeDocument/2006/relationships/hyperlink" Target="mailto:aheath@citystgeorges.ac.uk" TargetMode="External"/><Relationship Id="rId31" Type="http://schemas.openxmlformats.org/officeDocument/2006/relationships/hyperlink" Target="https://wwwmedrxivorg/content/101101/2025102425338539v1fullpdf" TargetMode="External"/><Relationship Id="rId4" Type="http://schemas.openxmlformats.org/officeDocument/2006/relationships/settings" Target="settings.xml"/><Relationship Id="rId9" Type="http://schemas.openxmlformats.org/officeDocument/2006/relationships/hyperlink" Target="mailto:essacks@ukzn.ac.za" TargetMode="External"/><Relationship Id="rId14" Type="http://schemas.openxmlformats.org/officeDocument/2006/relationships/hyperlink" Target="mailto:vuyomaphathwana@gmail.com" TargetMode="External"/><Relationship Id="rId22" Type="http://schemas.openxmlformats.org/officeDocument/2006/relationships/hyperlink" Target="mailto:stephen.campbell@manchester.ac.uk" TargetMode="External"/><Relationship Id="rId27" Type="http://schemas.openxmlformats.org/officeDocument/2006/relationships/diagramQuickStyle" Target="diagrams/quickStyle1.xml"/><Relationship Id="rId30" Type="http://schemas.openxmlformats.org/officeDocument/2006/relationships/hyperlink" Target="https://apps.who.int/iris/bitstream/handle/10665/193736/9789241509763_eng.pdf?sequence=1" TargetMode="External"/><Relationship Id="rId35"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l\Downloads\antibiotics-template%20(45).dot"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7212AAD-F704-46CE-8190-FA6CF8750C99}" type="doc">
      <dgm:prSet loTypeId="urn:microsoft.com/office/officeart/2005/8/layout/process4" loCatId="process" qsTypeId="urn:microsoft.com/office/officeart/2005/8/quickstyle/3d3" qsCatId="3D" csTypeId="urn:microsoft.com/office/officeart/2005/8/colors/accent0_1" csCatId="mainScheme" phldr="1"/>
      <dgm:spPr/>
      <dgm:t>
        <a:bodyPr/>
        <a:lstStyle/>
        <a:p>
          <a:endParaRPr lang="en-ZA"/>
        </a:p>
      </dgm:t>
    </dgm:pt>
    <dgm:pt modelId="{D2CD328D-CC55-45E2-B177-6432191C85B9}">
      <dgm:prSet phldrT="[Text]" custT="1"/>
      <dgm:spPr>
        <a:xfrm rot="10800000">
          <a:off x="0" y="1529"/>
          <a:ext cx="5486400" cy="693388"/>
        </a:xfrm>
        <a:prstGeom prst="upArrowCallout">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ZA" sz="1100" b="0">
              <a:solidFill>
                <a:sysClr val="windowText" lastClr="000000">
                  <a:hueOff val="0"/>
                  <a:satOff val="0"/>
                  <a:lumOff val="0"/>
                  <a:alphaOff val="0"/>
                </a:sysClr>
              </a:solidFill>
              <a:latin typeface="Aptos" panose="02110004020202020204"/>
              <a:ea typeface="+mn-ea"/>
              <a:cs typeface="+mn-cs"/>
            </a:rPr>
            <a:t>Evidence synthesis and preparation of quality indicators</a:t>
          </a:r>
        </a:p>
      </dgm:t>
    </dgm:pt>
    <dgm:pt modelId="{0608A53A-E537-4923-8BE8-98646A22F4A4}" type="parTrans" cxnId="{AF374B11-2497-4F42-9693-32AA8BA93AA5}">
      <dgm:prSet/>
      <dgm:spPr/>
      <dgm:t>
        <a:bodyPr/>
        <a:lstStyle/>
        <a:p>
          <a:endParaRPr lang="en-ZA" b="1"/>
        </a:p>
      </dgm:t>
    </dgm:pt>
    <dgm:pt modelId="{2ABB7AB0-1F2D-4781-8CE1-19366D5F7249}" type="sibTrans" cxnId="{AF374B11-2497-4F42-9693-32AA8BA93AA5}">
      <dgm:prSet/>
      <dgm:spPr/>
      <dgm:t>
        <a:bodyPr/>
        <a:lstStyle/>
        <a:p>
          <a:endParaRPr lang="en-ZA" b="1"/>
        </a:p>
      </dgm:t>
    </dgm:pt>
    <dgm:pt modelId="{DDC3FB3E-18A3-4539-959B-0905C0060961}">
      <dgm:prSet phldrT="[Text]" custT="1"/>
      <dgm:spPr>
        <a:xfrm rot="10800000">
          <a:off x="0" y="688155"/>
          <a:ext cx="5486400" cy="693388"/>
        </a:xfrm>
        <a:prstGeom prst="upArrowCallout">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ZA" sz="1100" b="0">
              <a:solidFill>
                <a:sysClr val="windowText" lastClr="000000">
                  <a:hueOff val="0"/>
                  <a:satOff val="0"/>
                  <a:lumOff val="0"/>
                  <a:alphaOff val="0"/>
                </a:sysClr>
              </a:solidFill>
              <a:latin typeface="Aptos" panose="02110004020202020204"/>
              <a:ea typeface="+mn-ea"/>
              <a:cs typeface="+mn-cs"/>
            </a:rPr>
            <a:t>Expert panel selection</a:t>
          </a:r>
        </a:p>
      </dgm:t>
    </dgm:pt>
    <dgm:pt modelId="{9EB36721-5B87-4AB7-B352-0D0605197BB1}" type="parTrans" cxnId="{9C4CF507-30BA-40B3-9B28-A56D10E80834}">
      <dgm:prSet/>
      <dgm:spPr/>
      <dgm:t>
        <a:bodyPr/>
        <a:lstStyle/>
        <a:p>
          <a:endParaRPr lang="en-ZA" b="1"/>
        </a:p>
      </dgm:t>
    </dgm:pt>
    <dgm:pt modelId="{30B5F1AE-83F5-4FDF-8D13-2B0DF68B7035}" type="sibTrans" cxnId="{9C4CF507-30BA-40B3-9B28-A56D10E80834}">
      <dgm:prSet/>
      <dgm:spPr/>
      <dgm:t>
        <a:bodyPr/>
        <a:lstStyle/>
        <a:p>
          <a:endParaRPr lang="en-ZA" b="1"/>
        </a:p>
      </dgm:t>
    </dgm:pt>
    <dgm:pt modelId="{24222781-595C-4CF0-BE84-CA5E3D232B79}">
      <dgm:prSet custT="1"/>
      <dgm:spPr>
        <a:xfrm rot="10800000">
          <a:off x="0" y="1374781"/>
          <a:ext cx="5486400" cy="693388"/>
        </a:xfrm>
        <a:prstGeom prst="upArrowCallout">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ZA" sz="1100" b="0">
              <a:solidFill>
                <a:sysClr val="windowText" lastClr="000000">
                  <a:hueOff val="0"/>
                  <a:satOff val="0"/>
                  <a:lumOff val="0"/>
                  <a:alphaOff val="0"/>
                </a:sysClr>
              </a:solidFill>
              <a:latin typeface="Aptos" panose="02110004020202020204"/>
              <a:ea typeface="+mn-ea"/>
              <a:cs typeface="+mn-cs"/>
            </a:rPr>
            <a:t>Round 1: Individual rating of indicators on clarity and appropriateness  </a:t>
          </a:r>
        </a:p>
      </dgm:t>
    </dgm:pt>
    <dgm:pt modelId="{F168C2B9-D30A-47A3-82ED-1C4F64CD9951}" type="parTrans" cxnId="{F1C51CE4-C0CF-4CC9-BFA9-26501E7C5917}">
      <dgm:prSet/>
      <dgm:spPr/>
      <dgm:t>
        <a:bodyPr/>
        <a:lstStyle/>
        <a:p>
          <a:endParaRPr lang="en-ZA" b="1"/>
        </a:p>
      </dgm:t>
    </dgm:pt>
    <dgm:pt modelId="{6A34EFDC-E98B-43CE-8C2A-571B04FA6885}" type="sibTrans" cxnId="{F1C51CE4-C0CF-4CC9-BFA9-26501E7C5917}">
      <dgm:prSet/>
      <dgm:spPr/>
      <dgm:t>
        <a:bodyPr/>
        <a:lstStyle/>
        <a:p>
          <a:endParaRPr lang="en-ZA" b="1"/>
        </a:p>
      </dgm:t>
    </dgm:pt>
    <dgm:pt modelId="{8786A516-74B6-4E9E-9DB0-8D714A0EFAB8}">
      <dgm:prSet custT="1"/>
      <dgm:spPr>
        <a:xfrm rot="10800000">
          <a:off x="0" y="2061406"/>
          <a:ext cx="5486400" cy="693388"/>
        </a:xfrm>
        <a:prstGeom prst="upArrowCallout">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ZA" sz="1100" b="0">
              <a:solidFill>
                <a:sysClr val="windowText" lastClr="000000">
                  <a:hueOff val="0"/>
                  <a:satOff val="0"/>
                  <a:lumOff val="0"/>
                  <a:alphaOff val="0"/>
                </a:sysClr>
              </a:solidFill>
              <a:latin typeface="Aptos" panose="02110004020202020204"/>
              <a:ea typeface="+mn-ea"/>
              <a:cs typeface="+mn-cs"/>
            </a:rPr>
            <a:t>Round 2: Virtual panel discussion and rating on appropriateness and feasibility</a:t>
          </a:r>
        </a:p>
      </dgm:t>
    </dgm:pt>
    <dgm:pt modelId="{CBDA29ED-8D73-47AE-B9D2-D9EF1A18D6C3}" type="parTrans" cxnId="{CB8B02C7-D0A1-4D1C-B0E9-6C3B36972866}">
      <dgm:prSet/>
      <dgm:spPr/>
      <dgm:t>
        <a:bodyPr/>
        <a:lstStyle/>
        <a:p>
          <a:endParaRPr lang="en-ZA" b="1"/>
        </a:p>
      </dgm:t>
    </dgm:pt>
    <dgm:pt modelId="{F6E1E13A-62C1-4A93-A6AE-24346988D57E}" type="sibTrans" cxnId="{CB8B02C7-D0A1-4D1C-B0E9-6C3B36972866}">
      <dgm:prSet/>
      <dgm:spPr/>
      <dgm:t>
        <a:bodyPr/>
        <a:lstStyle/>
        <a:p>
          <a:endParaRPr lang="en-ZA" b="1"/>
        </a:p>
      </dgm:t>
    </dgm:pt>
    <dgm:pt modelId="{F33BBA85-28EB-4B17-BFEE-87CFB812CA15}">
      <dgm:prSet custT="1"/>
      <dgm:spPr>
        <a:xfrm>
          <a:off x="0" y="2748032"/>
          <a:ext cx="5486400" cy="450837"/>
        </a:xfrm>
        <a:prstGeom prst="rect">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ZA" sz="1100">
              <a:solidFill>
                <a:sysClr val="windowText" lastClr="000000">
                  <a:hueOff val="0"/>
                  <a:satOff val="0"/>
                  <a:lumOff val="0"/>
                  <a:alphaOff val="0"/>
                </a:sysClr>
              </a:solidFill>
              <a:latin typeface="Aptos" panose="02110004020202020204"/>
              <a:ea typeface="+mn-ea"/>
              <a:cs typeface="+mn-cs"/>
            </a:rPr>
            <a:t>Analysis and compilation of final set of indicators</a:t>
          </a:r>
        </a:p>
      </dgm:t>
    </dgm:pt>
    <dgm:pt modelId="{34C6FB1B-AF14-4DD8-BFF9-F12D329C6CE0}" type="parTrans" cxnId="{2EE4763B-737B-41A0-91FB-0D0EA8F1532D}">
      <dgm:prSet/>
      <dgm:spPr/>
      <dgm:t>
        <a:bodyPr/>
        <a:lstStyle/>
        <a:p>
          <a:endParaRPr lang="en-ZA"/>
        </a:p>
      </dgm:t>
    </dgm:pt>
    <dgm:pt modelId="{E3153F23-8AA9-4C2D-9FAA-76DE7FD7B652}" type="sibTrans" cxnId="{2EE4763B-737B-41A0-91FB-0D0EA8F1532D}">
      <dgm:prSet/>
      <dgm:spPr/>
      <dgm:t>
        <a:bodyPr/>
        <a:lstStyle/>
        <a:p>
          <a:endParaRPr lang="en-ZA"/>
        </a:p>
      </dgm:t>
    </dgm:pt>
    <dgm:pt modelId="{E73F8A86-3077-4BAB-A025-4649A72B430F}" type="pres">
      <dgm:prSet presAssocID="{D7212AAD-F704-46CE-8190-FA6CF8750C99}" presName="Name0" presStyleCnt="0">
        <dgm:presLayoutVars>
          <dgm:dir/>
          <dgm:animLvl val="lvl"/>
          <dgm:resizeHandles val="exact"/>
        </dgm:presLayoutVars>
      </dgm:prSet>
      <dgm:spPr/>
    </dgm:pt>
    <dgm:pt modelId="{874ABF2E-DD63-4EC1-89B5-C60BEEF63D60}" type="pres">
      <dgm:prSet presAssocID="{F33BBA85-28EB-4B17-BFEE-87CFB812CA15}" presName="boxAndChildren" presStyleCnt="0"/>
      <dgm:spPr/>
    </dgm:pt>
    <dgm:pt modelId="{A32128D3-E7B2-4F0B-8BDA-DB7985497F49}" type="pres">
      <dgm:prSet presAssocID="{F33BBA85-28EB-4B17-BFEE-87CFB812CA15}" presName="parentTextBox" presStyleLbl="node1" presStyleIdx="0" presStyleCnt="5"/>
      <dgm:spPr/>
    </dgm:pt>
    <dgm:pt modelId="{B6749832-2291-4426-B243-4ADF4A657789}" type="pres">
      <dgm:prSet presAssocID="{F6E1E13A-62C1-4A93-A6AE-24346988D57E}" presName="sp" presStyleCnt="0"/>
      <dgm:spPr/>
    </dgm:pt>
    <dgm:pt modelId="{583FF19C-CCD8-47DC-B25F-C4EC8281FEA0}" type="pres">
      <dgm:prSet presAssocID="{8786A516-74B6-4E9E-9DB0-8D714A0EFAB8}" presName="arrowAndChildren" presStyleCnt="0"/>
      <dgm:spPr/>
    </dgm:pt>
    <dgm:pt modelId="{6B234D95-FD7E-41CF-A8A7-B095C23EFC54}" type="pres">
      <dgm:prSet presAssocID="{8786A516-74B6-4E9E-9DB0-8D714A0EFAB8}" presName="parentTextArrow" presStyleLbl="node1" presStyleIdx="1" presStyleCnt="5"/>
      <dgm:spPr/>
    </dgm:pt>
    <dgm:pt modelId="{9ADD0012-96AC-400B-91E9-288A2941A557}" type="pres">
      <dgm:prSet presAssocID="{6A34EFDC-E98B-43CE-8C2A-571B04FA6885}" presName="sp" presStyleCnt="0"/>
      <dgm:spPr/>
    </dgm:pt>
    <dgm:pt modelId="{B0B26273-4D7B-497D-A510-3E717198F7FB}" type="pres">
      <dgm:prSet presAssocID="{24222781-595C-4CF0-BE84-CA5E3D232B79}" presName="arrowAndChildren" presStyleCnt="0"/>
      <dgm:spPr/>
    </dgm:pt>
    <dgm:pt modelId="{3FBE304E-8B88-41DD-B115-347D15A28E09}" type="pres">
      <dgm:prSet presAssocID="{24222781-595C-4CF0-BE84-CA5E3D232B79}" presName="parentTextArrow" presStyleLbl="node1" presStyleIdx="2" presStyleCnt="5"/>
      <dgm:spPr/>
    </dgm:pt>
    <dgm:pt modelId="{8771CF18-D651-4A3C-AF0C-A332EDB5C4F0}" type="pres">
      <dgm:prSet presAssocID="{30B5F1AE-83F5-4FDF-8D13-2B0DF68B7035}" presName="sp" presStyleCnt="0"/>
      <dgm:spPr/>
    </dgm:pt>
    <dgm:pt modelId="{7A456AA0-7523-4CC9-A1EA-41315D8A6FFA}" type="pres">
      <dgm:prSet presAssocID="{DDC3FB3E-18A3-4539-959B-0905C0060961}" presName="arrowAndChildren" presStyleCnt="0"/>
      <dgm:spPr/>
    </dgm:pt>
    <dgm:pt modelId="{E3F9F11B-CDCC-45CB-B826-953C4279E06A}" type="pres">
      <dgm:prSet presAssocID="{DDC3FB3E-18A3-4539-959B-0905C0060961}" presName="parentTextArrow" presStyleLbl="node1" presStyleIdx="3" presStyleCnt="5"/>
      <dgm:spPr/>
    </dgm:pt>
    <dgm:pt modelId="{06E9D7AE-5D0B-4957-84DD-FDCC185323AB}" type="pres">
      <dgm:prSet presAssocID="{2ABB7AB0-1F2D-4781-8CE1-19366D5F7249}" presName="sp" presStyleCnt="0"/>
      <dgm:spPr/>
    </dgm:pt>
    <dgm:pt modelId="{DE3D4EE0-D2AD-47C7-BD3A-213C025BB5CE}" type="pres">
      <dgm:prSet presAssocID="{D2CD328D-CC55-45E2-B177-6432191C85B9}" presName="arrowAndChildren" presStyleCnt="0"/>
      <dgm:spPr/>
    </dgm:pt>
    <dgm:pt modelId="{F6092284-B1D0-474B-B2D9-6381B671FB15}" type="pres">
      <dgm:prSet presAssocID="{D2CD328D-CC55-45E2-B177-6432191C85B9}" presName="parentTextArrow" presStyleLbl="node1" presStyleIdx="4" presStyleCnt="5"/>
      <dgm:spPr/>
    </dgm:pt>
  </dgm:ptLst>
  <dgm:cxnLst>
    <dgm:cxn modelId="{9C4CF507-30BA-40B3-9B28-A56D10E80834}" srcId="{D7212AAD-F704-46CE-8190-FA6CF8750C99}" destId="{DDC3FB3E-18A3-4539-959B-0905C0060961}" srcOrd="1" destOrd="0" parTransId="{9EB36721-5B87-4AB7-B352-0D0605197BB1}" sibTransId="{30B5F1AE-83F5-4FDF-8D13-2B0DF68B7035}"/>
    <dgm:cxn modelId="{AF374B11-2497-4F42-9693-32AA8BA93AA5}" srcId="{D7212AAD-F704-46CE-8190-FA6CF8750C99}" destId="{D2CD328D-CC55-45E2-B177-6432191C85B9}" srcOrd="0" destOrd="0" parTransId="{0608A53A-E537-4923-8BE8-98646A22F4A4}" sibTransId="{2ABB7AB0-1F2D-4781-8CE1-19366D5F7249}"/>
    <dgm:cxn modelId="{77023A29-C93F-4441-92EA-560D4434CD77}" type="presOf" srcId="{8786A516-74B6-4E9E-9DB0-8D714A0EFAB8}" destId="{6B234D95-FD7E-41CF-A8A7-B095C23EFC54}" srcOrd="0" destOrd="0" presId="urn:microsoft.com/office/officeart/2005/8/layout/process4"/>
    <dgm:cxn modelId="{2EE4763B-737B-41A0-91FB-0D0EA8F1532D}" srcId="{D7212AAD-F704-46CE-8190-FA6CF8750C99}" destId="{F33BBA85-28EB-4B17-BFEE-87CFB812CA15}" srcOrd="4" destOrd="0" parTransId="{34C6FB1B-AF14-4DD8-BFF9-F12D329C6CE0}" sibTransId="{E3153F23-8AA9-4C2D-9FAA-76DE7FD7B652}"/>
    <dgm:cxn modelId="{699EFF71-FB32-4CEB-95C6-21A9D64E04E6}" type="presOf" srcId="{D7212AAD-F704-46CE-8190-FA6CF8750C99}" destId="{E73F8A86-3077-4BAB-A025-4649A72B430F}" srcOrd="0" destOrd="0" presId="urn:microsoft.com/office/officeart/2005/8/layout/process4"/>
    <dgm:cxn modelId="{1E6C4C80-F9C7-4B43-8C2D-91C0F886289A}" type="presOf" srcId="{24222781-595C-4CF0-BE84-CA5E3D232B79}" destId="{3FBE304E-8B88-41DD-B115-347D15A28E09}" srcOrd="0" destOrd="0" presId="urn:microsoft.com/office/officeart/2005/8/layout/process4"/>
    <dgm:cxn modelId="{D35BE2C0-6EBD-4253-A872-212434B1428D}" type="presOf" srcId="{D2CD328D-CC55-45E2-B177-6432191C85B9}" destId="{F6092284-B1D0-474B-B2D9-6381B671FB15}" srcOrd="0" destOrd="0" presId="urn:microsoft.com/office/officeart/2005/8/layout/process4"/>
    <dgm:cxn modelId="{CB8B02C7-D0A1-4D1C-B0E9-6C3B36972866}" srcId="{D7212AAD-F704-46CE-8190-FA6CF8750C99}" destId="{8786A516-74B6-4E9E-9DB0-8D714A0EFAB8}" srcOrd="3" destOrd="0" parTransId="{CBDA29ED-8D73-47AE-B9D2-D9EF1A18D6C3}" sibTransId="{F6E1E13A-62C1-4A93-A6AE-24346988D57E}"/>
    <dgm:cxn modelId="{163DC3D5-6EDE-47CF-89D6-7DD42EA67364}" type="presOf" srcId="{F33BBA85-28EB-4B17-BFEE-87CFB812CA15}" destId="{A32128D3-E7B2-4F0B-8BDA-DB7985497F49}" srcOrd="0" destOrd="0" presId="urn:microsoft.com/office/officeart/2005/8/layout/process4"/>
    <dgm:cxn modelId="{B4CB2BDC-AE3C-4EFA-BA0E-A29E662F02DC}" type="presOf" srcId="{DDC3FB3E-18A3-4539-959B-0905C0060961}" destId="{E3F9F11B-CDCC-45CB-B826-953C4279E06A}" srcOrd="0" destOrd="0" presId="urn:microsoft.com/office/officeart/2005/8/layout/process4"/>
    <dgm:cxn modelId="{F1C51CE4-C0CF-4CC9-BFA9-26501E7C5917}" srcId="{D7212AAD-F704-46CE-8190-FA6CF8750C99}" destId="{24222781-595C-4CF0-BE84-CA5E3D232B79}" srcOrd="2" destOrd="0" parTransId="{F168C2B9-D30A-47A3-82ED-1C4F64CD9951}" sibTransId="{6A34EFDC-E98B-43CE-8C2A-571B04FA6885}"/>
    <dgm:cxn modelId="{618208CC-DCBA-4D16-983C-BE963F1B12C7}" type="presParOf" srcId="{E73F8A86-3077-4BAB-A025-4649A72B430F}" destId="{874ABF2E-DD63-4EC1-89B5-C60BEEF63D60}" srcOrd="0" destOrd="0" presId="urn:microsoft.com/office/officeart/2005/8/layout/process4"/>
    <dgm:cxn modelId="{0050AC5B-DD90-49EA-BFEE-C17736949312}" type="presParOf" srcId="{874ABF2E-DD63-4EC1-89B5-C60BEEF63D60}" destId="{A32128D3-E7B2-4F0B-8BDA-DB7985497F49}" srcOrd="0" destOrd="0" presId="urn:microsoft.com/office/officeart/2005/8/layout/process4"/>
    <dgm:cxn modelId="{A5517F2E-6FBD-43E2-93DA-7FD20C70D9C2}" type="presParOf" srcId="{E73F8A86-3077-4BAB-A025-4649A72B430F}" destId="{B6749832-2291-4426-B243-4ADF4A657789}" srcOrd="1" destOrd="0" presId="urn:microsoft.com/office/officeart/2005/8/layout/process4"/>
    <dgm:cxn modelId="{57BA4F7C-1917-4B59-9218-FD05C7E77983}" type="presParOf" srcId="{E73F8A86-3077-4BAB-A025-4649A72B430F}" destId="{583FF19C-CCD8-47DC-B25F-C4EC8281FEA0}" srcOrd="2" destOrd="0" presId="urn:microsoft.com/office/officeart/2005/8/layout/process4"/>
    <dgm:cxn modelId="{4D09127A-840E-4AF6-8A4C-C01F9CA9CB9B}" type="presParOf" srcId="{583FF19C-CCD8-47DC-B25F-C4EC8281FEA0}" destId="{6B234D95-FD7E-41CF-A8A7-B095C23EFC54}" srcOrd="0" destOrd="0" presId="urn:microsoft.com/office/officeart/2005/8/layout/process4"/>
    <dgm:cxn modelId="{26AF0A0B-CA40-47C4-BA2D-E77F797CDD40}" type="presParOf" srcId="{E73F8A86-3077-4BAB-A025-4649A72B430F}" destId="{9ADD0012-96AC-400B-91E9-288A2941A557}" srcOrd="3" destOrd="0" presId="urn:microsoft.com/office/officeart/2005/8/layout/process4"/>
    <dgm:cxn modelId="{98A3EA68-B3F1-4BFA-85FB-31689C1FE300}" type="presParOf" srcId="{E73F8A86-3077-4BAB-A025-4649A72B430F}" destId="{B0B26273-4D7B-497D-A510-3E717198F7FB}" srcOrd="4" destOrd="0" presId="urn:microsoft.com/office/officeart/2005/8/layout/process4"/>
    <dgm:cxn modelId="{599DD7B8-4932-4A8A-85FA-FB27D4F64FA6}" type="presParOf" srcId="{B0B26273-4D7B-497D-A510-3E717198F7FB}" destId="{3FBE304E-8B88-41DD-B115-347D15A28E09}" srcOrd="0" destOrd="0" presId="urn:microsoft.com/office/officeart/2005/8/layout/process4"/>
    <dgm:cxn modelId="{AA4945D9-18FD-4D80-AC79-D5F7DE62D31B}" type="presParOf" srcId="{E73F8A86-3077-4BAB-A025-4649A72B430F}" destId="{8771CF18-D651-4A3C-AF0C-A332EDB5C4F0}" srcOrd="5" destOrd="0" presId="urn:microsoft.com/office/officeart/2005/8/layout/process4"/>
    <dgm:cxn modelId="{9FC2A674-58FF-492C-886F-932251A2422A}" type="presParOf" srcId="{E73F8A86-3077-4BAB-A025-4649A72B430F}" destId="{7A456AA0-7523-4CC9-A1EA-41315D8A6FFA}" srcOrd="6" destOrd="0" presId="urn:microsoft.com/office/officeart/2005/8/layout/process4"/>
    <dgm:cxn modelId="{DF85B6A5-7F42-4106-819A-CFC538A126E7}" type="presParOf" srcId="{7A456AA0-7523-4CC9-A1EA-41315D8A6FFA}" destId="{E3F9F11B-CDCC-45CB-B826-953C4279E06A}" srcOrd="0" destOrd="0" presId="urn:microsoft.com/office/officeart/2005/8/layout/process4"/>
    <dgm:cxn modelId="{9F660563-E323-4B95-B623-939ED8E49262}" type="presParOf" srcId="{E73F8A86-3077-4BAB-A025-4649A72B430F}" destId="{06E9D7AE-5D0B-4957-84DD-FDCC185323AB}" srcOrd="7" destOrd="0" presId="urn:microsoft.com/office/officeart/2005/8/layout/process4"/>
    <dgm:cxn modelId="{70C61611-D806-4F13-A95E-A17846EEE285}" type="presParOf" srcId="{E73F8A86-3077-4BAB-A025-4649A72B430F}" destId="{DE3D4EE0-D2AD-47C7-BD3A-213C025BB5CE}" srcOrd="8" destOrd="0" presId="urn:microsoft.com/office/officeart/2005/8/layout/process4"/>
    <dgm:cxn modelId="{43B72A2E-9005-4DF0-8A5B-CD3EE0EED0D5}" type="presParOf" srcId="{DE3D4EE0-D2AD-47C7-BD3A-213C025BB5CE}" destId="{F6092284-B1D0-474B-B2D9-6381B671FB15}" srcOrd="0" destOrd="0" presId="urn:microsoft.com/office/officeart/2005/8/layout/process4"/>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32128D3-E7B2-4F0B-8BDA-DB7985497F49}">
      <dsp:nvSpPr>
        <dsp:cNvPr id="0" name=""/>
        <dsp:cNvSpPr/>
      </dsp:nvSpPr>
      <dsp:spPr>
        <a:xfrm>
          <a:off x="0" y="2748032"/>
          <a:ext cx="5486400" cy="450837"/>
        </a:xfrm>
        <a:prstGeom prst="rect">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ZA" sz="1100" kern="1200">
              <a:solidFill>
                <a:sysClr val="windowText" lastClr="000000">
                  <a:hueOff val="0"/>
                  <a:satOff val="0"/>
                  <a:lumOff val="0"/>
                  <a:alphaOff val="0"/>
                </a:sysClr>
              </a:solidFill>
              <a:latin typeface="Aptos" panose="02110004020202020204"/>
              <a:ea typeface="+mn-ea"/>
              <a:cs typeface="+mn-cs"/>
            </a:rPr>
            <a:t>Analysis and compilation of final set of indicators</a:t>
          </a:r>
        </a:p>
      </dsp:txBody>
      <dsp:txXfrm>
        <a:off x="0" y="2748032"/>
        <a:ext cx="5486400" cy="450837"/>
      </dsp:txXfrm>
    </dsp:sp>
    <dsp:sp modelId="{6B234D95-FD7E-41CF-A8A7-B095C23EFC54}">
      <dsp:nvSpPr>
        <dsp:cNvPr id="0" name=""/>
        <dsp:cNvSpPr/>
      </dsp:nvSpPr>
      <dsp:spPr>
        <a:xfrm rot="10800000">
          <a:off x="0" y="2061406"/>
          <a:ext cx="5486400" cy="693388"/>
        </a:xfrm>
        <a:prstGeom prst="upArrowCallout">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ZA" sz="1100" b="0" kern="1200">
              <a:solidFill>
                <a:sysClr val="windowText" lastClr="000000">
                  <a:hueOff val="0"/>
                  <a:satOff val="0"/>
                  <a:lumOff val="0"/>
                  <a:alphaOff val="0"/>
                </a:sysClr>
              </a:solidFill>
              <a:latin typeface="Aptos" panose="02110004020202020204"/>
              <a:ea typeface="+mn-ea"/>
              <a:cs typeface="+mn-cs"/>
            </a:rPr>
            <a:t>Round 2: Virtual panel discussion and rating on appropriateness and feasibility</a:t>
          </a:r>
        </a:p>
      </dsp:txBody>
      <dsp:txXfrm rot="10800000">
        <a:off x="0" y="2061406"/>
        <a:ext cx="5486400" cy="450543"/>
      </dsp:txXfrm>
    </dsp:sp>
    <dsp:sp modelId="{3FBE304E-8B88-41DD-B115-347D15A28E09}">
      <dsp:nvSpPr>
        <dsp:cNvPr id="0" name=""/>
        <dsp:cNvSpPr/>
      </dsp:nvSpPr>
      <dsp:spPr>
        <a:xfrm rot="10800000">
          <a:off x="0" y="1374781"/>
          <a:ext cx="5486400" cy="693388"/>
        </a:xfrm>
        <a:prstGeom prst="upArrowCallout">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ZA" sz="1100" b="0" kern="1200">
              <a:solidFill>
                <a:sysClr val="windowText" lastClr="000000">
                  <a:hueOff val="0"/>
                  <a:satOff val="0"/>
                  <a:lumOff val="0"/>
                  <a:alphaOff val="0"/>
                </a:sysClr>
              </a:solidFill>
              <a:latin typeface="Aptos" panose="02110004020202020204"/>
              <a:ea typeface="+mn-ea"/>
              <a:cs typeface="+mn-cs"/>
            </a:rPr>
            <a:t>Round 1: Individual rating of indicators on clarity and appropriateness  </a:t>
          </a:r>
        </a:p>
      </dsp:txBody>
      <dsp:txXfrm rot="10800000">
        <a:off x="0" y="1374781"/>
        <a:ext cx="5486400" cy="450543"/>
      </dsp:txXfrm>
    </dsp:sp>
    <dsp:sp modelId="{E3F9F11B-CDCC-45CB-B826-953C4279E06A}">
      <dsp:nvSpPr>
        <dsp:cNvPr id="0" name=""/>
        <dsp:cNvSpPr/>
      </dsp:nvSpPr>
      <dsp:spPr>
        <a:xfrm rot="10800000">
          <a:off x="0" y="688155"/>
          <a:ext cx="5486400" cy="693388"/>
        </a:xfrm>
        <a:prstGeom prst="upArrowCallout">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ZA" sz="1100" b="0" kern="1200">
              <a:solidFill>
                <a:sysClr val="windowText" lastClr="000000">
                  <a:hueOff val="0"/>
                  <a:satOff val="0"/>
                  <a:lumOff val="0"/>
                  <a:alphaOff val="0"/>
                </a:sysClr>
              </a:solidFill>
              <a:latin typeface="Aptos" panose="02110004020202020204"/>
              <a:ea typeface="+mn-ea"/>
              <a:cs typeface="+mn-cs"/>
            </a:rPr>
            <a:t>Expert panel selection</a:t>
          </a:r>
        </a:p>
      </dsp:txBody>
      <dsp:txXfrm rot="10800000">
        <a:off x="0" y="688155"/>
        <a:ext cx="5486400" cy="450543"/>
      </dsp:txXfrm>
    </dsp:sp>
    <dsp:sp modelId="{F6092284-B1D0-474B-B2D9-6381B671FB15}">
      <dsp:nvSpPr>
        <dsp:cNvPr id="0" name=""/>
        <dsp:cNvSpPr/>
      </dsp:nvSpPr>
      <dsp:spPr>
        <a:xfrm rot="10800000">
          <a:off x="0" y="1529"/>
          <a:ext cx="5486400" cy="693388"/>
        </a:xfrm>
        <a:prstGeom prst="upArrowCallout">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ZA" sz="1100" b="0" kern="1200">
              <a:solidFill>
                <a:sysClr val="windowText" lastClr="000000">
                  <a:hueOff val="0"/>
                  <a:satOff val="0"/>
                  <a:lumOff val="0"/>
                  <a:alphaOff val="0"/>
                </a:sysClr>
              </a:solidFill>
              <a:latin typeface="Aptos" panose="02110004020202020204"/>
              <a:ea typeface="+mn-ea"/>
              <a:cs typeface="+mn-cs"/>
            </a:rPr>
            <a:t>Evidence synthesis and preparation of quality indicators</a:t>
          </a:r>
        </a:p>
      </dsp:txBody>
      <dsp:txXfrm rot="10800000">
        <a:off x="0" y="1529"/>
        <a:ext cx="5486400" cy="45054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2EA74EE6-7C4E-4475-BF48-72E4688B4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antibiotics-template (45)</Template>
  <TotalTime>3</TotalTime>
  <Pages>28</Pages>
  <Words>14151</Words>
  <Characters>80667</Characters>
  <Application>Microsoft Office Word</Application>
  <DocSecurity>0</DocSecurity>
  <Lines>672</Lines>
  <Paragraphs>189</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Type of the Paper (Article</vt:lpstr>
      <vt:lpstr>1. Introduction</vt:lpstr>
      <vt:lpstr>2. Results</vt:lpstr>
      <vt:lpstr>    2.1. The rating process</vt:lpstr>
      <vt:lpstr>    2.2. Median scores and level of consensus for Round 2</vt:lpstr>
      <vt:lpstr>    2.3. Round 2 rating outcomes for appropriateness and feasibility</vt:lpstr>
      <vt:lpstr>    2.4. Final set of quality indicators rated appropriate and feasible in the secon</vt:lpstr>
      <vt:lpstr>3. Discussion</vt:lpstr>
      <vt:lpstr>4. Materials and Methods</vt:lpstr>
      <vt:lpstr>    4.1. Evidence synthesis and preparation of quality indicators</vt:lpstr>
      <vt:lpstr>    1)	A published review of indicators for appropriate antibiotic use aligned to th</vt:lpstr>
      <vt:lpstr>    2)	Quality indicators and quantity metrics for optimal antibiotic use based on t</vt:lpstr>
      <vt:lpstr>    3)	Data from the Antibiotic Prescribing in Primary Healthcare Point Prevalence S</vt:lpstr>
      <vt:lpstr>    </vt:lpstr>
      <vt:lpstr>    4.2. Expert panel selection and composition</vt:lpstr>
      <vt:lpstr>    4.3. Round 1: rating clarity and appropriateness</vt:lpstr>
      <vt:lpstr>    4.4. Round 2: consensus meeting and rating appropriateness and feasibility</vt:lpstr>
      <vt:lpstr>    The virtual interactive meeting and second round rating took place in September </vt:lpstr>
      <vt:lpstr>    The 3-hour consensus meeting was co-chaired and moderated by a RAM expert (SMC) </vt:lpstr>
      <vt:lpstr>    Data from both rounds were analyzed using Microsoft Excel™. The median ratin</vt:lpstr>
      <vt:lpstr>5. Conclusions</vt:lpstr>
    </vt:vector>
  </TitlesOfParts>
  <Company/>
  <LinksUpToDate>false</LinksUpToDate>
  <CharactersWithSpaces>94629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Brian Godman</dc:creator>
  <cp:keywords/>
  <dc:description/>
  <cp:lastModifiedBy>Brian Godman</cp:lastModifiedBy>
  <cp:revision>2</cp:revision>
  <cp:lastPrinted>2026-01-21T10:55:00Z</cp:lastPrinted>
  <dcterms:created xsi:type="dcterms:W3CDTF">2026-01-22T14:30:00Z</dcterms:created>
  <dcterms:modified xsi:type="dcterms:W3CDTF">2026-01-22T14:30:00Z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454a0d9665e248b25bc084b05c9c25d22c4049ed1a4fdf1ae4bf506f97ada112</vt:lpwstr>
  </property>
</Properties>
</file>