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DF9C0D" w14:textId="77777777" w:rsidR="00244553" w:rsidRDefault="00244553" w:rsidP="00244553">
      <w:pPr>
        <w:rPr>
          <w:rFonts w:ascii="Arial" w:hAnsi="Arial" w:cs="Arial"/>
          <w:b/>
          <w:bCs/>
          <w:sz w:val="28"/>
          <w:szCs w:val="28"/>
          <w:lang w:val="en-US"/>
        </w:rPr>
      </w:pPr>
      <w:r>
        <w:rPr>
          <w:rFonts w:ascii="Arial" w:hAnsi="Arial" w:cs="Arial"/>
          <w:b/>
          <w:bCs/>
          <w:sz w:val="28"/>
          <w:szCs w:val="28"/>
          <w:lang w:val="en-US"/>
        </w:rPr>
        <w:t>Appendix</w:t>
      </w:r>
    </w:p>
    <w:p w14:paraId="30725B44" w14:textId="77777777" w:rsidR="00244553" w:rsidRDefault="00244553" w:rsidP="00244553">
      <w:pPr>
        <w:rPr>
          <w:rFonts w:ascii="Arial" w:hAnsi="Arial" w:cs="Arial"/>
          <w:b/>
          <w:bCs/>
          <w:sz w:val="28"/>
          <w:szCs w:val="28"/>
          <w:lang w:val="en-US"/>
        </w:rPr>
      </w:pPr>
    </w:p>
    <w:p w14:paraId="2E24108D" w14:textId="77777777" w:rsidR="00244553" w:rsidRPr="003B2D93" w:rsidRDefault="00244553" w:rsidP="00244553">
      <w:pPr>
        <w:rPr>
          <w:rFonts w:ascii="Arial" w:hAnsi="Arial" w:cs="Arial"/>
          <w:i/>
          <w:iCs/>
          <w:color w:val="0E2841" w:themeColor="text2"/>
          <w:sz w:val="24"/>
          <w:szCs w:val="24"/>
          <w:lang w:val="en-US"/>
        </w:rPr>
      </w:pPr>
      <w:r w:rsidRPr="003B2D93">
        <w:rPr>
          <w:rFonts w:ascii="Arial" w:hAnsi="Arial" w:cs="Arial"/>
          <w:i/>
          <w:iCs/>
          <w:color w:val="0E2841" w:themeColor="text2"/>
          <w:sz w:val="24"/>
          <w:szCs w:val="24"/>
          <w:lang w:val="en-US"/>
        </w:rPr>
        <w:t>Appendix 1 definitions</w:t>
      </w:r>
    </w:p>
    <w:p w14:paraId="389BCAB0" w14:textId="77777777" w:rsidR="00244553" w:rsidRPr="00822DF0" w:rsidRDefault="00244553" w:rsidP="00244553">
      <w:pPr>
        <w:rPr>
          <w:sz w:val="28"/>
          <w:szCs w:val="28"/>
          <w:lang w:val="en-US"/>
        </w:rPr>
      </w:pPr>
    </w:p>
    <w:p w14:paraId="4BBB9721" w14:textId="77777777" w:rsidR="00244553" w:rsidRDefault="00244553" w:rsidP="00244553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  <w:r w:rsidRPr="009647F9">
        <w:rPr>
          <w:rFonts w:ascii="Arial" w:hAnsi="Arial" w:cs="Arial"/>
          <w:sz w:val="24"/>
          <w:szCs w:val="24"/>
          <w:lang w:val="en-US"/>
        </w:rPr>
        <w:t>Maternal adverse events were</w:t>
      </w:r>
      <w:r>
        <w:rPr>
          <w:rFonts w:ascii="Arial" w:hAnsi="Arial" w:cs="Arial"/>
          <w:sz w:val="24"/>
          <w:szCs w:val="24"/>
          <w:lang w:val="en-US"/>
        </w:rPr>
        <w:t xml:space="preserve"> graded based on the </w:t>
      </w:r>
      <w:r w:rsidRPr="000B3962">
        <w:rPr>
          <w:rFonts w:ascii="Arial" w:hAnsi="Arial" w:cs="Arial"/>
          <w:sz w:val="24"/>
          <w:szCs w:val="24"/>
          <w:lang w:val="en-US"/>
        </w:rPr>
        <w:t xml:space="preserve">MFAET version 1.1 and Gijtenbeek et al </w:t>
      </w:r>
      <w:r w:rsidRPr="000B3962">
        <w:rPr>
          <w:rFonts w:ascii="Arial" w:hAnsi="Arial" w:cs="Arial"/>
          <w:sz w:val="24"/>
          <w:szCs w:val="24"/>
          <w:lang w:val="en-US"/>
        </w:rPr>
        <w:fldChar w:fldCharType="begin">
          <w:fldData xml:space="preserve">PEVuZE5vdGU+PENpdGU+PEF1dGhvcj5TcGVuY2VyPC9BdXRob3I+PFllYXI+MjAyMjwvWWVhcj48
UmVjTnVtPjIyPC9SZWNOdW0+PERpc3BsYXlUZXh0PjxzdHlsZSBmYWNlPSJzdXBlcnNjcmlwdCI+
MTUsMTY8L3N0eWxlPjwvRGlzcGxheVRleHQ+PHJlY29yZD48cmVjLW51bWJlcj4yMjwvcmVjLW51
bWJlcj48Zm9yZWlnbi1rZXlzPjxrZXkgYXBwPSJFTiIgZGItaWQ9InhlZnhhZWFyd3Bzcnd4ZTA1
c2Z2ZXN3OGR6cHRyMHd4ZjkyMCIgdGltZXN0YW1wPSIxNzQzNjA1NzQxIj4yMjwva2V5PjwvZm9y
ZWlnbi1rZXlzPjxyZWYtdHlwZSBuYW1lPSJKb3VybmFsIEFydGljbGUiPjE3PC9yZWYtdHlwZT48
Y29udHJpYnV0b3JzPjxhdXRob3JzPjxhdXRob3I+U3BlbmNlciwgUi4gTi48L2F1dGhvcj48YXV0
aG9yPkhlY2hlciwgSy48L2F1dGhvcj48YXV0aG9yPk5vcm1hbiwgRy48L2F1dGhvcj48YXV0aG9y
Pk1hcnNhbCwgSy48L2F1dGhvcj48YXV0aG9yPkRlcHJlc3QsIEouPC9hdXRob3I+PGF1dGhvcj5G
bGFrZSwgQS48L2F1dGhvcj48YXV0aG9yPkZpZ3VlcmFzLCBGLjwvYXV0aG9yPjxhdXRob3I+TGVl
cywgQy48L2F1dGhvcj48YXV0aG9yPlRob3JudG9uLCBTLjwvYXV0aG9yPjxhdXRob3I+QmVhY2gs
IEsuPC9hdXRob3I+PGF1dGhvcj5Qb3dlbGwsIE0uPC9hdXRob3I+PGF1dGhvcj5DcmlzcGksIEYu
PC9hdXRob3I+PGF1dGhvcj5EaWVtZXJ0LCBBLjwvYXV0aG9yPjxhdXRob3I+TWFybG93LCBOLjwv
YXV0aG9yPjxhdXRob3I+UGVlYmxlcywgRC4gTS48L2F1dGhvcj48YXV0aG9yPldlc3RncmVuLCBN
LjwvYXV0aG9yPjxhdXRob3I+R2FyZGluZXIsIEguPC9hdXRob3I+PGF1dGhvcj5HcmF0YWNvcywg
RS48L2F1dGhvcj48YXV0aG9yPkJyb2RzemtpLCBKLjwvYXV0aG9yPjxhdXRob3I+QmF0aXN0YSwg
QS48L2F1dGhvcj48YXV0aG9yPlR1cmllciwgSC48L2F1dGhvcj48YXV0aG9yPlBhdGVsLCBNLjwv
YXV0aG9yPjxhdXRob3I+UG93ZXIsIEIuPC9hdXRob3I+PGF1dGhvcj5Qb3dlciwgSi48L2F1dGhv
cj48YXV0aG9yPllheiwgRy48L2F1dGhvcj48YXV0aG9yPkRhdmlkLCBBLiBMLjwvYXV0aG9yPjwv
YXV0aG9ycz48L2NvbnRyaWJ1dG9ycz48YXV0aC1hZGRyZXNzPlNjaG9vbCBvZiBNZWRpY2luZSwg
VW5pdmVyc2l0eSBvZiBMZWVkcywgTGVlZHMsIFVLLiYjeEQ7RWxpemFiZXRoIEdhcnJldHQgQW5k
ZXJzb24gSW5zdGl0dXRlIGZvciBXb21lbiZhcG9zO3MgSGVhbHRoLCBVbml2ZXJzaXR5IENvbGxl
Z2UgTG9uZG9uLCBMb25kb24sIFVLLiYjeEQ7RGVwYXJ0bWVudCBvZiBPYnN0ZXRyaWNzIGFuZCBG
ZXRhbCBNZWRpY2luZSwgVW5pdmVyc2l0eSBNZWRpY2FsIENlbnRlciBIYW1idXJnLUVwcGVuZG9y
ZiwgSGFtYnVyZywgR2VybWFueS4mI3hEO0RpdmlzaW9uIG9mIE51cnNpbmcsIE1pZHdpZmVyecKg
JmFtcDsgU29jaWFsIFdvcmssIEZhY3VsdHkgb2YgQmlvbG9neSwgTWVkaWNpbmUgYW5kIEhlYWx0
aCwgU2Nob29sIG9mIEhlYWx0aCBTY2llbmNlcywgVW5pdmVyc2l0eSBvZiBNYW5jaGVzdGVyLCBN
YW5jaGVzdGVyLCBVSy4mI3hEO0FudGVuYXRhbCBSZXN1bHRzIGFuZCBDaG9pY2VzIENoYXJpdHks
IFVLLiYjeEQ7THVuZCBVbml2ZXJzaXR5LCBMdW5kLCBTd2VkZW4uJiN4RDtEZXBhcnRtZW50IG9m
IERldmVsb3BtZW50IGFuZCBSZWdlbmVyYXRpb24sIEtVIExldXZlbiwgTGV1dmVuLCBCZWxnaXVt
LiYjeEQ7RGVwYXJ0bWVudCBvZiBTdXJnZXJ5LCBDaGlsZHJlbiZhcG9zO3MgSG9zcGl0YWwgb2Yg
UGhpbGFkZWxwaGlhLCBQaGlsYWRlbHBoaWEsIFBlbm5zeWx2YW5pYSwgVVNBLiYjeEQ7SW5zdGl0
dXQgRCZhcG9zO0ludmVzdGlnYWNpb25zIEJpb23DqGRpcXVlcyBBdWd1c3QgUGkgw6wgU3VueWVy
LCBCYXJjZWxvbmEsIFNwYWluLiYjeEQ7QkNOYXRhbCAtIEJhcmNlbG9uYSBDZW50ZXIgZm9yIE1h
dGVybmFsLUZldGFsIGFuZCBOZW9uYXRhbCBNZWRpY2luZSAoSG9zcGl0YWwgQ2nDrW5pYyBhbmQg
SG9zcGl0YWwgU2FudCBKb2FuIGRlIERldSksIFVuaXZlcnNpdHkgb2YgQmFyY2Vsb25hLCBTcGFp
bi4mI3hEO1F1ZWVuIENoYXJsb3R0ZXMgYW5kIENoZWxzZWEgSG9zcGl0YWwsIEltcGVyaWFsIENv
bGxlZ2UgTG9uZG9uLCBMb25kb24sIFVLLiYjeEQ7UXVlZW4gTWFyeSBVbml2ZXJzaXR5IG9mIExv
bmRvbiwgTG9uZG9uLCBVSy4mI3hEO0dsb2JhbCBIZWFsdGggVW5pdCwgR2xheG9TbWl0aEtsaW5l
LCBSZXNlYXJjaCBUcmlhbmdsZSBQYXJrLCBOb3J0aCBDYXJvbGluYSwgVVNBLiYjeEQ7U2FmZXR5
IGFuZCBNZWRpY2FsIEdvdmVybmFuY2UsIEdsYXhvU21pdGhLbGluZSwgUmVzZWFyY2ggVHJpYW5n
bGUgUGFyaywgTm9ydGggQ2Fyb2xpbmEsIFVTQS4mI3hEO0NsaW5pYyBmb3IgT2JzdGV0cmljcyBh
bmQgUHJlbmF0YWwgTWVkaWNpbmUsIFVuaXZlcnNpdHkgTWVkaWNhbCBDZW50ZXIgSGFtYnVyZy1F
cHBlbmRvcmYsIEhhbWJ1cmcsIEdlcm1hbnkuJiN4RDtOSUhSIFVDTEggQmlvbWVkaWNhbCBSZXNl
YXJjaCBDZW50cmUsIExvbmRvbiwgVUsuJiN4RDtLYXJvbGluc2thIEluc3RpdHV0ZSwgU3RvY2to
b2xtLCBTd2VkZW4uJiN4RDtUaGUgRmV0YWwgQ2VudGVyLCBVVEhlYWx0aCBNY0dvdmVybiBNZWRp
Y2FsIFNjaG9vbCwgSG91c3RvbiwgVGV4YXMsIFVTQS4mI3hEO0NlbnRlciBmb3IgQmlvbWVkaWNh
bCBSZXNlYXJjaCBvbiByYXJlIERpc2Vhc2VzIChDSUJFUkVSKSwgSW5zdGl0dXQgRCZhcG9zO0lu
dmVzdGlnYWNpb25zIEJpb23DqGRpcXVlcyBBdWd1c3QgUGkgw6wgU3VueWVyLCBVbml2ZXJzaXRh
dCBkZSBCYXJjZWxvbmEsIEJhcmNlbG9uYSwgU3BhaW4uJiN4RDtUd2lucyBUcnVzdCBDaGFyaXR5
LCBBbGRlcnNob3QsIFVLLiYjeEQ7Qmxpc3MgQ2hhcml0eSwgTG9uZG9uLCBVSy4mI3hEO1NhbmRz
IENoYXJpdHksIExvbmRvbiwgVUsuJiN4RDtDREggVUs6IFRoZSBDb25nZW5pdGFsIERpYXBocmFn
bWF0aWMgSGVybmlhIFN1cHBvcnQgQ2hhcml0eSwgS2luZyZhcG9zO3MgTHlubiwgVUsuJiN4RDtT
SElORTogU3BpbmEgYmlmaWRhLCBIeWRyb2NlcGhhbHVzLCBJbmZvcm1hdGlvbiwgTmV0d29ya2lu
ZywgRXF1YWxpdHkgQ2hhcml0eSwgUGV0ZXJib3JvdWdoLCBVSy48L2F1dGgtYWRkcmVzcz48dGl0
bGVzPjx0aXRsZT5EZXZlbG9wbWVudCBvZiBzdGFuZGFyZCBkZWZpbml0aW9ucyBhbmQgZ3JhZGlu
ZyBmb3IgTWF0ZXJuYWwgYW5kIEZldGFsIEFkdmVyc2UgRXZlbnQgVGVybWlub2xvZ3k8L3RpdGxl
PjxzZWNvbmRhcnktdGl0bGU+UHJlbmF0IERpYWduPC9zZWNvbmRhcnktdGl0bGU+PC90aXRsZXM+
PHBlcmlvZGljYWw+PGZ1bGwtdGl0bGU+UHJlbmF0IERpYWduPC9mdWxsLXRpdGxlPjwvcGVyaW9k
aWNhbD48cGFnZXM+MTUtMjY8L3BhZ2VzPjx2b2x1bWU+NDI8L3ZvbHVtZT48bnVtYmVyPjE8L251
bWJlcj48ZWRpdGlvbj4yMDIxMTAxMjwvZWRpdGlvbj48a2V5d29yZHM+PGtleXdvcmQ+RmVtYWxl
PC9rZXl3b3JkPjxrZXl3b3JkPkZldHVzL2Fibm9ybWFsaXRpZXMvZGlhZ25vc3RpYyBpbWFnaW5n
PC9rZXl3b3JkPjxrZXl3b3JkPkh1bWFuczwva2V5d29yZD48a2V5d29yZD5QcmVnbmFuY3k8L2tl
eXdvcmQ+PGtleXdvcmQ+UHJlZ25hbmN5IENvbXBsaWNhdGlvbnMvKmNsYXNzaWZpY2F0aW9uPC9r
ZXl3b3JkPjxrZXl3b3JkPlJlZmVyZW5jZSBTdGFuZGFyZHM8L2tleXdvcmQ+PGtleXdvcmQ+KlRl
cm1pbm9sb2d5IGFzIFRvcGljPC9rZXl3b3JkPjwva2V5d29yZHM+PGRhdGVzPjx5ZWFyPjIwMjI8
L3llYXI+PHB1Yi1kYXRlcz48ZGF0ZT5KYW48L2RhdGU+PC9wdWItZGF0ZXM+PC9kYXRlcz48aXNi
bj4wMTk3LTM4NTE8L2lzYm4+PGFjY2Vzc2lvbi1udW0+MzQ1NTA2MjQ8L2FjY2Vzc2lvbi1udW0+
PHVybHM+PC91cmxzPjxlbGVjdHJvbmljLXJlc291cmNlLW51bT4xMC4xMDAyL3BkLjYwNDc8L2Vs
ZWN0cm9uaWMtcmVzb3VyY2UtbnVtPjxyZW1vdGUtZGF0YWJhc2UtcHJvdmlkZXI+TkxNPC9yZW1v
dGUtZGF0YWJhc2UtcHJvdmlkZXI+PGxhbmd1YWdlPmVuZzwvbGFuZ3VhZ2U+PC9yZWNvcmQ+PC9D
aXRlPjxDaXRlPjxBdXRob3I+R2lqdGVuYmVlazwvQXV0aG9yPjxZZWFyPjIwMjQ8L1llYXI+PFJl
Y051bT4yMTwvUmVjTnVtPjxyZWNvcmQ+PHJlYy1udW1iZXI+MjE8L3JlYy1udW1iZXI+PGZvcmVp
Z24ta2V5cz48a2V5IGFwcD0iRU4iIGRiLWlkPSJ4ZWZ4YWVhcndwc3J3eGUwNXNmdmVzdzhkenB0
cjB3eGY5MjAiIHRpbWVzdGFtcD0iMTc0MzYwNTY0NCI+MjE8L2tleT48L2ZvcmVpZ24ta2V5cz48
cmVmLXR5cGUgbmFtZT0iSm91cm5hbCBBcnRpY2xlIj4xNzwvcmVmLXR5cGU+PGNvbnRyaWJ1dG9y
cz48YXV0aG9ycz48YXV0aG9yPkdpanRlbmJlZWssIE0uPC9hdXRob3I+PGF1dGhvcj5QcmVpbiwg
Ri4gTS4gTS48L2F1dGhvcj48YXV0aG9yPlZlcndlaWosIEUuIEouIFQuPC9hdXRob3I+PGF1dGhv
cj5NaWRkZWxkb3JwLCBKLiBNLjwvYXV0aG9yPjxhdXRob3I+U2xhZ2hla2tlLCBGLjwvYXV0aG9y
PjxhdXRob3I+SGFhaywgTS4gQy48L2F1dGhvcj48L2F1dGhvcnM+PC9jb250cmlidXRvcnM+PHRp
dGxlcz48dGl0bGU+TWF0ZXJuYWwgQ29tcGxpY2F0aW9ucyBBZnRlciBMYXNlciBTdXJnZXJ5IGZv
ciBUd2luLXRvLVR3aW4gVHJhbnNmdXNpb24gU3luZHJvbWUsIGEgQ29ob3J0IFN0dWR5PC90aXRs
ZT48c2Vjb25kYXJ5LXRpdGxlPlByZW5hdGFsIERpYWdub3Npczwvc2Vjb25kYXJ5LXRpdGxlPjwv
dGl0bGVzPjxwZXJpb2RpY2FsPjxmdWxsLXRpdGxlPlByZW5hdGFsIERpYWdub3NpczwvZnVsbC10
aXRsZT48L3BlcmlvZGljYWw+PHBhZ2VzPjE1NTYtMTU2MjwvcGFnZXM+PHZvbHVtZT40NDwvdm9s
dW1lPjxudW1iZXI+MTI8L251bWJlcj48ZGF0ZXM+PHllYXI+MjAyNDwveWVhcj48L2RhdGVzPjxp
c2JuPjAxOTctMzg1MTwvaXNibj48dXJscz48cmVsYXRlZC11cmxzPjx1cmw+aHR0cHM6Ly9vYmd5
bi5vbmxpbmVsaWJyYXJ5LndpbGV5LmNvbS9kb2kvYWJzLzEwLjEwMDIvcGQuNjY2MzwvdXJsPjwv
cmVsYXRlZC11cmxzPjwvdXJscz48ZWxlY3Ryb25pYy1yZXNvdXJjZS1udW0+aHR0cHM6Ly9kb2ku
b3JnLzEwLjEwMDIvcGQuNjY2MzwvZWxlY3Ryb25pYy1yZXNvdXJjZS1udW0+PC9yZWNvcmQ+PC9D
aXRlPjwvRW5kTm90ZT5=
</w:fldData>
        </w:fldChar>
      </w:r>
      <w:r>
        <w:rPr>
          <w:rFonts w:ascii="Arial" w:hAnsi="Arial" w:cs="Arial"/>
          <w:sz w:val="24"/>
          <w:szCs w:val="24"/>
          <w:lang w:val="en-US"/>
        </w:rPr>
        <w:instrText xml:space="preserve"> ADDIN EN.CITE </w:instrText>
      </w:r>
      <w:r>
        <w:rPr>
          <w:rFonts w:ascii="Arial" w:hAnsi="Arial" w:cs="Arial"/>
          <w:sz w:val="24"/>
          <w:szCs w:val="24"/>
          <w:lang w:val="en-US"/>
        </w:rPr>
        <w:fldChar w:fldCharType="begin">
          <w:fldData xml:space="preserve">PEVuZE5vdGU+PENpdGU+PEF1dGhvcj5TcGVuY2VyPC9BdXRob3I+PFllYXI+MjAyMjwvWWVhcj48
UmVjTnVtPjIyPC9SZWNOdW0+PERpc3BsYXlUZXh0PjxzdHlsZSBmYWNlPSJzdXBlcnNjcmlwdCI+
MTUsMTY8L3N0eWxlPjwvRGlzcGxheVRleHQ+PHJlY29yZD48cmVjLW51bWJlcj4yMjwvcmVjLW51
bWJlcj48Zm9yZWlnbi1rZXlzPjxrZXkgYXBwPSJFTiIgZGItaWQ9InhlZnhhZWFyd3Bzcnd4ZTA1
c2Z2ZXN3OGR6cHRyMHd4ZjkyMCIgdGltZXN0YW1wPSIxNzQzNjA1NzQxIj4yMjwva2V5PjwvZm9y
ZWlnbi1rZXlzPjxyZWYtdHlwZSBuYW1lPSJKb3VybmFsIEFydGljbGUiPjE3PC9yZWYtdHlwZT48
Y29udHJpYnV0b3JzPjxhdXRob3JzPjxhdXRob3I+U3BlbmNlciwgUi4gTi48L2F1dGhvcj48YXV0
aG9yPkhlY2hlciwgSy48L2F1dGhvcj48YXV0aG9yPk5vcm1hbiwgRy48L2F1dGhvcj48YXV0aG9y
Pk1hcnNhbCwgSy48L2F1dGhvcj48YXV0aG9yPkRlcHJlc3QsIEouPC9hdXRob3I+PGF1dGhvcj5G
bGFrZSwgQS48L2F1dGhvcj48YXV0aG9yPkZpZ3VlcmFzLCBGLjwvYXV0aG9yPjxhdXRob3I+TGVl
cywgQy48L2F1dGhvcj48YXV0aG9yPlRob3JudG9uLCBTLjwvYXV0aG9yPjxhdXRob3I+QmVhY2gs
IEsuPC9hdXRob3I+PGF1dGhvcj5Qb3dlbGwsIE0uPC9hdXRob3I+PGF1dGhvcj5DcmlzcGksIEYu
PC9hdXRob3I+PGF1dGhvcj5EaWVtZXJ0LCBBLjwvYXV0aG9yPjxhdXRob3I+TWFybG93LCBOLjwv
YXV0aG9yPjxhdXRob3I+UGVlYmxlcywgRC4gTS48L2F1dGhvcj48YXV0aG9yPldlc3RncmVuLCBN
LjwvYXV0aG9yPjxhdXRob3I+R2FyZGluZXIsIEguPC9hdXRob3I+PGF1dGhvcj5HcmF0YWNvcywg
RS48L2F1dGhvcj48YXV0aG9yPkJyb2RzemtpLCBKLjwvYXV0aG9yPjxhdXRob3I+QmF0aXN0YSwg
QS48L2F1dGhvcj48YXV0aG9yPlR1cmllciwgSC48L2F1dGhvcj48YXV0aG9yPlBhdGVsLCBNLjwv
YXV0aG9yPjxhdXRob3I+UG93ZXIsIEIuPC9hdXRob3I+PGF1dGhvcj5Qb3dlciwgSi48L2F1dGhv
cj48YXV0aG9yPllheiwgRy48L2F1dGhvcj48YXV0aG9yPkRhdmlkLCBBLiBMLjwvYXV0aG9yPjwv
YXV0aG9ycz48L2NvbnRyaWJ1dG9ycz48YXV0aC1hZGRyZXNzPlNjaG9vbCBvZiBNZWRpY2luZSwg
VW5pdmVyc2l0eSBvZiBMZWVkcywgTGVlZHMsIFVLLiYjeEQ7RWxpemFiZXRoIEdhcnJldHQgQW5k
ZXJzb24gSW5zdGl0dXRlIGZvciBXb21lbiZhcG9zO3MgSGVhbHRoLCBVbml2ZXJzaXR5IENvbGxl
Z2UgTG9uZG9uLCBMb25kb24sIFVLLiYjeEQ7RGVwYXJ0bWVudCBvZiBPYnN0ZXRyaWNzIGFuZCBG
ZXRhbCBNZWRpY2luZSwgVW5pdmVyc2l0eSBNZWRpY2FsIENlbnRlciBIYW1idXJnLUVwcGVuZG9y
ZiwgSGFtYnVyZywgR2VybWFueS4mI3hEO0RpdmlzaW9uIG9mIE51cnNpbmcsIE1pZHdpZmVyecKg
JmFtcDsgU29jaWFsIFdvcmssIEZhY3VsdHkgb2YgQmlvbG9neSwgTWVkaWNpbmUgYW5kIEhlYWx0
aCwgU2Nob29sIG9mIEhlYWx0aCBTY2llbmNlcywgVW5pdmVyc2l0eSBvZiBNYW5jaGVzdGVyLCBN
YW5jaGVzdGVyLCBVSy4mI3hEO0FudGVuYXRhbCBSZXN1bHRzIGFuZCBDaG9pY2VzIENoYXJpdHks
IFVLLiYjeEQ7THVuZCBVbml2ZXJzaXR5LCBMdW5kLCBTd2VkZW4uJiN4RDtEZXBhcnRtZW50IG9m
IERldmVsb3BtZW50IGFuZCBSZWdlbmVyYXRpb24sIEtVIExldXZlbiwgTGV1dmVuLCBCZWxnaXVt
LiYjeEQ7RGVwYXJ0bWVudCBvZiBTdXJnZXJ5LCBDaGlsZHJlbiZhcG9zO3MgSG9zcGl0YWwgb2Yg
UGhpbGFkZWxwaGlhLCBQaGlsYWRlbHBoaWEsIFBlbm5zeWx2YW5pYSwgVVNBLiYjeEQ7SW5zdGl0
dXQgRCZhcG9zO0ludmVzdGlnYWNpb25zIEJpb23DqGRpcXVlcyBBdWd1c3QgUGkgw6wgU3VueWVy
LCBCYXJjZWxvbmEsIFNwYWluLiYjeEQ7QkNOYXRhbCAtIEJhcmNlbG9uYSBDZW50ZXIgZm9yIE1h
dGVybmFsLUZldGFsIGFuZCBOZW9uYXRhbCBNZWRpY2luZSAoSG9zcGl0YWwgQ2nDrW5pYyBhbmQg
SG9zcGl0YWwgU2FudCBKb2FuIGRlIERldSksIFVuaXZlcnNpdHkgb2YgQmFyY2Vsb25hLCBTcGFp
bi4mI3hEO1F1ZWVuIENoYXJsb3R0ZXMgYW5kIENoZWxzZWEgSG9zcGl0YWwsIEltcGVyaWFsIENv
bGxlZ2UgTG9uZG9uLCBMb25kb24sIFVLLiYjeEQ7UXVlZW4gTWFyeSBVbml2ZXJzaXR5IG9mIExv
bmRvbiwgTG9uZG9uLCBVSy4mI3hEO0dsb2JhbCBIZWFsdGggVW5pdCwgR2xheG9TbWl0aEtsaW5l
LCBSZXNlYXJjaCBUcmlhbmdsZSBQYXJrLCBOb3J0aCBDYXJvbGluYSwgVVNBLiYjeEQ7U2FmZXR5
IGFuZCBNZWRpY2FsIEdvdmVybmFuY2UsIEdsYXhvU21pdGhLbGluZSwgUmVzZWFyY2ggVHJpYW5n
bGUgUGFyaywgTm9ydGggQ2Fyb2xpbmEsIFVTQS4mI3hEO0NsaW5pYyBmb3IgT2JzdGV0cmljcyBh
bmQgUHJlbmF0YWwgTWVkaWNpbmUsIFVuaXZlcnNpdHkgTWVkaWNhbCBDZW50ZXIgSGFtYnVyZy1F
cHBlbmRvcmYsIEhhbWJ1cmcsIEdlcm1hbnkuJiN4RDtOSUhSIFVDTEggQmlvbWVkaWNhbCBSZXNl
YXJjaCBDZW50cmUsIExvbmRvbiwgVUsuJiN4RDtLYXJvbGluc2thIEluc3RpdHV0ZSwgU3RvY2to
b2xtLCBTd2VkZW4uJiN4RDtUaGUgRmV0YWwgQ2VudGVyLCBVVEhlYWx0aCBNY0dvdmVybiBNZWRp
Y2FsIFNjaG9vbCwgSG91c3RvbiwgVGV4YXMsIFVTQS4mI3hEO0NlbnRlciBmb3IgQmlvbWVkaWNh
bCBSZXNlYXJjaCBvbiByYXJlIERpc2Vhc2VzIChDSUJFUkVSKSwgSW5zdGl0dXQgRCZhcG9zO0lu
dmVzdGlnYWNpb25zIEJpb23DqGRpcXVlcyBBdWd1c3QgUGkgw6wgU3VueWVyLCBVbml2ZXJzaXRh
dCBkZSBCYXJjZWxvbmEsIEJhcmNlbG9uYSwgU3BhaW4uJiN4RDtUd2lucyBUcnVzdCBDaGFyaXR5
LCBBbGRlcnNob3QsIFVLLiYjeEQ7Qmxpc3MgQ2hhcml0eSwgTG9uZG9uLCBVSy4mI3hEO1NhbmRz
IENoYXJpdHksIExvbmRvbiwgVUsuJiN4RDtDREggVUs6IFRoZSBDb25nZW5pdGFsIERpYXBocmFn
bWF0aWMgSGVybmlhIFN1cHBvcnQgQ2hhcml0eSwgS2luZyZhcG9zO3MgTHlubiwgVUsuJiN4RDtT
SElORTogU3BpbmEgYmlmaWRhLCBIeWRyb2NlcGhhbHVzLCBJbmZvcm1hdGlvbiwgTmV0d29ya2lu
ZywgRXF1YWxpdHkgQ2hhcml0eSwgUGV0ZXJib3JvdWdoLCBVSy48L2F1dGgtYWRkcmVzcz48dGl0
bGVzPjx0aXRsZT5EZXZlbG9wbWVudCBvZiBzdGFuZGFyZCBkZWZpbml0aW9ucyBhbmQgZ3JhZGlu
ZyBmb3IgTWF0ZXJuYWwgYW5kIEZldGFsIEFkdmVyc2UgRXZlbnQgVGVybWlub2xvZ3k8L3RpdGxl
PjxzZWNvbmRhcnktdGl0bGU+UHJlbmF0IERpYWduPC9zZWNvbmRhcnktdGl0bGU+PC90aXRsZXM+
PHBlcmlvZGljYWw+PGZ1bGwtdGl0bGU+UHJlbmF0IERpYWduPC9mdWxsLXRpdGxlPjwvcGVyaW9k
aWNhbD48cGFnZXM+MTUtMjY8L3BhZ2VzPjx2b2x1bWU+NDI8L3ZvbHVtZT48bnVtYmVyPjE8L251
bWJlcj48ZWRpdGlvbj4yMDIxMTAxMjwvZWRpdGlvbj48a2V5d29yZHM+PGtleXdvcmQ+RmVtYWxl
PC9rZXl3b3JkPjxrZXl3b3JkPkZldHVzL2Fibm9ybWFsaXRpZXMvZGlhZ25vc3RpYyBpbWFnaW5n
PC9rZXl3b3JkPjxrZXl3b3JkPkh1bWFuczwva2V5d29yZD48a2V5d29yZD5QcmVnbmFuY3k8L2tl
eXdvcmQ+PGtleXdvcmQ+UHJlZ25hbmN5IENvbXBsaWNhdGlvbnMvKmNsYXNzaWZpY2F0aW9uPC9r
ZXl3b3JkPjxrZXl3b3JkPlJlZmVyZW5jZSBTdGFuZGFyZHM8L2tleXdvcmQ+PGtleXdvcmQ+KlRl
cm1pbm9sb2d5IGFzIFRvcGljPC9rZXl3b3JkPjwva2V5d29yZHM+PGRhdGVzPjx5ZWFyPjIwMjI8
L3llYXI+PHB1Yi1kYXRlcz48ZGF0ZT5KYW48L2RhdGU+PC9wdWItZGF0ZXM+PC9kYXRlcz48aXNi
bj4wMTk3LTM4NTE8L2lzYm4+PGFjY2Vzc2lvbi1udW0+MzQ1NTA2MjQ8L2FjY2Vzc2lvbi1udW0+
PHVybHM+PC91cmxzPjxlbGVjdHJvbmljLXJlc291cmNlLW51bT4xMC4xMDAyL3BkLjYwNDc8L2Vs
ZWN0cm9uaWMtcmVzb3VyY2UtbnVtPjxyZW1vdGUtZGF0YWJhc2UtcHJvdmlkZXI+TkxNPC9yZW1v
dGUtZGF0YWJhc2UtcHJvdmlkZXI+PGxhbmd1YWdlPmVuZzwvbGFuZ3VhZ2U+PC9yZWNvcmQ+PC9D
aXRlPjxDaXRlPjxBdXRob3I+R2lqdGVuYmVlazwvQXV0aG9yPjxZZWFyPjIwMjQ8L1llYXI+PFJl
Y051bT4yMTwvUmVjTnVtPjxyZWNvcmQ+PHJlYy1udW1iZXI+MjE8L3JlYy1udW1iZXI+PGZvcmVp
Z24ta2V5cz48a2V5IGFwcD0iRU4iIGRiLWlkPSJ4ZWZ4YWVhcndwc3J3eGUwNXNmdmVzdzhkenB0
cjB3eGY5MjAiIHRpbWVzdGFtcD0iMTc0MzYwNTY0NCI+MjE8L2tleT48L2ZvcmVpZ24ta2V5cz48
cmVmLXR5cGUgbmFtZT0iSm91cm5hbCBBcnRpY2xlIj4xNzwvcmVmLXR5cGU+PGNvbnRyaWJ1dG9y
cz48YXV0aG9ycz48YXV0aG9yPkdpanRlbmJlZWssIE0uPC9hdXRob3I+PGF1dGhvcj5QcmVpbiwg
Ri4gTS4gTS48L2F1dGhvcj48YXV0aG9yPlZlcndlaWosIEUuIEouIFQuPC9hdXRob3I+PGF1dGhv
cj5NaWRkZWxkb3JwLCBKLiBNLjwvYXV0aG9yPjxhdXRob3I+U2xhZ2hla2tlLCBGLjwvYXV0aG9y
PjxhdXRob3I+SGFhaywgTS4gQy48L2F1dGhvcj48L2F1dGhvcnM+PC9jb250cmlidXRvcnM+PHRp
dGxlcz48dGl0bGU+TWF0ZXJuYWwgQ29tcGxpY2F0aW9ucyBBZnRlciBMYXNlciBTdXJnZXJ5IGZv
ciBUd2luLXRvLVR3aW4gVHJhbnNmdXNpb24gU3luZHJvbWUsIGEgQ29ob3J0IFN0dWR5PC90aXRs
ZT48c2Vjb25kYXJ5LXRpdGxlPlByZW5hdGFsIERpYWdub3Npczwvc2Vjb25kYXJ5LXRpdGxlPjwv
dGl0bGVzPjxwZXJpb2RpY2FsPjxmdWxsLXRpdGxlPlByZW5hdGFsIERpYWdub3NpczwvZnVsbC10
aXRsZT48L3BlcmlvZGljYWw+PHBhZ2VzPjE1NTYtMTU2MjwvcGFnZXM+PHZvbHVtZT40NDwvdm9s
dW1lPjxudW1iZXI+MTI8L251bWJlcj48ZGF0ZXM+PHllYXI+MjAyNDwveWVhcj48L2RhdGVzPjxp
c2JuPjAxOTctMzg1MTwvaXNibj48dXJscz48cmVsYXRlZC11cmxzPjx1cmw+aHR0cHM6Ly9vYmd5
bi5vbmxpbmVsaWJyYXJ5LndpbGV5LmNvbS9kb2kvYWJzLzEwLjEwMDIvcGQuNjY2MzwvdXJsPjwv
cmVsYXRlZC11cmxzPjwvdXJscz48ZWxlY3Ryb25pYy1yZXNvdXJjZS1udW0+aHR0cHM6Ly9kb2ku
b3JnLzEwLjEwMDIvcGQuNjY2MzwvZWxlY3Ryb25pYy1yZXNvdXJjZS1udW0+PC9yZWNvcmQ+PC9D
aXRlPjwvRW5kTm90ZT5=
</w:fldData>
        </w:fldChar>
      </w:r>
      <w:r>
        <w:rPr>
          <w:rFonts w:ascii="Arial" w:hAnsi="Arial" w:cs="Arial"/>
          <w:sz w:val="24"/>
          <w:szCs w:val="24"/>
          <w:lang w:val="en-US"/>
        </w:rPr>
        <w:instrText xml:space="preserve"> ADDIN EN.CITE.DATA </w:instrText>
      </w:r>
      <w:r>
        <w:rPr>
          <w:rFonts w:ascii="Arial" w:hAnsi="Arial" w:cs="Arial"/>
          <w:sz w:val="24"/>
          <w:szCs w:val="24"/>
          <w:lang w:val="en-US"/>
        </w:rPr>
      </w:r>
      <w:r>
        <w:rPr>
          <w:rFonts w:ascii="Arial" w:hAnsi="Arial" w:cs="Arial"/>
          <w:sz w:val="24"/>
          <w:szCs w:val="24"/>
          <w:lang w:val="en-US"/>
        </w:rPr>
        <w:fldChar w:fldCharType="end"/>
      </w:r>
      <w:r w:rsidRPr="000B3962">
        <w:rPr>
          <w:rFonts w:ascii="Arial" w:hAnsi="Arial" w:cs="Arial"/>
          <w:sz w:val="24"/>
          <w:szCs w:val="24"/>
          <w:lang w:val="en-US"/>
        </w:rPr>
      </w:r>
      <w:r w:rsidRPr="000B3962">
        <w:rPr>
          <w:rFonts w:ascii="Arial" w:hAnsi="Arial" w:cs="Arial"/>
          <w:sz w:val="24"/>
          <w:szCs w:val="24"/>
          <w:lang w:val="en-US"/>
        </w:rPr>
        <w:fldChar w:fldCharType="separate"/>
      </w:r>
      <w:hyperlink w:anchor="_ENREF_15" w:tooltip="Spencer, 2022 #22" w:history="1">
        <w:r w:rsidRPr="00FE65B8">
          <w:rPr>
            <w:rFonts w:ascii="Arial" w:hAnsi="Arial" w:cs="Arial"/>
            <w:noProof/>
            <w:sz w:val="24"/>
            <w:szCs w:val="24"/>
            <w:vertAlign w:val="superscript"/>
            <w:lang w:val="en-US"/>
          </w:rPr>
          <w:t>15</w:t>
        </w:r>
      </w:hyperlink>
      <w:r w:rsidRPr="00FE65B8">
        <w:rPr>
          <w:rFonts w:ascii="Arial" w:hAnsi="Arial" w:cs="Arial"/>
          <w:noProof/>
          <w:sz w:val="24"/>
          <w:szCs w:val="24"/>
          <w:vertAlign w:val="superscript"/>
          <w:lang w:val="en-US"/>
        </w:rPr>
        <w:t>,</w:t>
      </w:r>
      <w:hyperlink w:anchor="_ENREF_16" w:tooltip="Gijtenbeek, 2024 #21" w:history="1">
        <w:r w:rsidRPr="00FE65B8">
          <w:rPr>
            <w:rFonts w:ascii="Arial" w:hAnsi="Arial" w:cs="Arial"/>
            <w:noProof/>
            <w:sz w:val="24"/>
            <w:szCs w:val="24"/>
            <w:vertAlign w:val="superscript"/>
            <w:lang w:val="en-US"/>
          </w:rPr>
          <w:t>16</w:t>
        </w:r>
      </w:hyperlink>
      <w:r w:rsidRPr="000B3962">
        <w:rPr>
          <w:rFonts w:ascii="Arial" w:hAnsi="Arial" w:cs="Arial"/>
          <w:sz w:val="24"/>
          <w:szCs w:val="24"/>
          <w:lang w:val="en-US"/>
        </w:rPr>
        <w:fldChar w:fldCharType="end"/>
      </w:r>
      <w:r w:rsidRPr="000B3962">
        <w:rPr>
          <w:rFonts w:ascii="Arial" w:hAnsi="Arial" w:cs="Arial"/>
          <w:sz w:val="24"/>
          <w:szCs w:val="24"/>
          <w:lang w:val="en-US"/>
        </w:rPr>
        <w:t>. Maternal adverse events were</w:t>
      </w:r>
      <w:r w:rsidRPr="009647F9">
        <w:rPr>
          <w:rFonts w:ascii="Arial" w:hAnsi="Arial" w:cs="Arial"/>
          <w:sz w:val="24"/>
          <w:szCs w:val="24"/>
          <w:lang w:val="en-US"/>
        </w:rPr>
        <w:t xml:space="preserve"> categoriz</w:t>
      </w:r>
      <w:r>
        <w:rPr>
          <w:rFonts w:ascii="Arial" w:hAnsi="Arial" w:cs="Arial"/>
          <w:sz w:val="24"/>
          <w:szCs w:val="24"/>
          <w:lang w:val="en-US"/>
        </w:rPr>
        <w:t>ed as r</w:t>
      </w:r>
      <w:r w:rsidRPr="009647F9">
        <w:rPr>
          <w:rFonts w:ascii="Arial" w:hAnsi="Arial" w:cs="Arial"/>
          <w:sz w:val="24"/>
          <w:szCs w:val="24"/>
          <w:lang w:val="en-US"/>
        </w:rPr>
        <w:t xml:space="preserve">eported shoulder pain, the need for additional diagnostic examinations, the presence of vaginal blood loss, the need for abdominal surgery because of maternal abdominal bleeding, </w:t>
      </w:r>
      <w:r>
        <w:rPr>
          <w:rFonts w:ascii="Arial" w:hAnsi="Arial" w:cs="Arial"/>
          <w:sz w:val="24"/>
          <w:szCs w:val="24"/>
          <w:lang w:val="en-US"/>
        </w:rPr>
        <w:t xml:space="preserve">and the </w:t>
      </w:r>
      <w:r w:rsidRPr="009647F9">
        <w:rPr>
          <w:rFonts w:ascii="Arial" w:hAnsi="Arial" w:cs="Arial"/>
          <w:sz w:val="24"/>
          <w:szCs w:val="24"/>
          <w:lang w:val="en-US"/>
        </w:rPr>
        <w:t>presence of a feve</w:t>
      </w:r>
      <w:r>
        <w:rPr>
          <w:rFonts w:ascii="Arial" w:hAnsi="Arial" w:cs="Arial"/>
          <w:sz w:val="24"/>
          <w:szCs w:val="24"/>
          <w:lang w:val="en-US"/>
        </w:rPr>
        <w:t>r.</w:t>
      </w:r>
    </w:p>
    <w:p w14:paraId="76A1BAFB" w14:textId="77777777" w:rsidR="00244553" w:rsidRDefault="00244553" w:rsidP="00244553">
      <w:pPr>
        <w:rPr>
          <w:b/>
          <w:bCs/>
          <w:lang w:val="en-US"/>
        </w:rPr>
      </w:pPr>
    </w:p>
    <w:p w14:paraId="358F21E6" w14:textId="77777777" w:rsidR="00244553" w:rsidRDefault="00244553" w:rsidP="00244553">
      <w:pPr>
        <w:rPr>
          <w:rFonts w:ascii="Arial" w:hAnsi="Arial" w:cs="Arial"/>
          <w:i/>
          <w:iCs/>
          <w:color w:val="0E2841" w:themeColor="text2"/>
          <w:sz w:val="24"/>
          <w:szCs w:val="24"/>
          <w:lang w:val="en-US"/>
        </w:rPr>
      </w:pPr>
      <w:r w:rsidRPr="003B2D93">
        <w:rPr>
          <w:rFonts w:ascii="Arial" w:hAnsi="Arial" w:cs="Arial"/>
          <w:i/>
          <w:iCs/>
          <w:color w:val="0E2841" w:themeColor="text2"/>
          <w:sz w:val="24"/>
          <w:szCs w:val="24"/>
          <w:lang w:val="en-US"/>
        </w:rPr>
        <w:t>Appendix 2 proportion of fetus that underwent genetic diagnostics.</w:t>
      </w:r>
    </w:p>
    <w:p w14:paraId="4F1451FD" w14:textId="77777777" w:rsidR="00244553" w:rsidRDefault="00244553" w:rsidP="00244553">
      <w:pPr>
        <w:rPr>
          <w:rFonts w:ascii="Arial" w:hAnsi="Arial" w:cs="Arial"/>
          <w:i/>
          <w:iCs/>
          <w:color w:val="0E2841" w:themeColor="text2"/>
          <w:sz w:val="24"/>
          <w:szCs w:val="24"/>
          <w:lang w:val="en-US"/>
        </w:rPr>
      </w:pPr>
    </w:p>
    <w:tbl>
      <w:tblPr>
        <w:tblStyle w:val="ListTable1Light-Accent3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44553" w:rsidRPr="00373254" w14:paraId="365FB54E" w14:textId="77777777" w:rsidTr="006218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9A4428" w14:textId="77777777" w:rsidR="00244553" w:rsidRPr="00373254" w:rsidRDefault="00244553" w:rsidP="006218FF">
            <w:pPr>
              <w:rPr>
                <w:rFonts w:ascii="Arial" w:hAnsi="Arial" w:cs="Arial"/>
                <w:lang w:val="en-US"/>
              </w:rPr>
            </w:pPr>
            <w:r w:rsidRPr="00373254">
              <w:rPr>
                <w:rFonts w:ascii="Arial" w:hAnsi="Arial" w:cs="Arial"/>
                <w:lang w:val="en-US"/>
              </w:rPr>
              <w:t xml:space="preserve">Type of genetic testing 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E3585EE" w14:textId="77777777" w:rsidR="00244553" w:rsidRPr="00373254" w:rsidRDefault="00244553" w:rsidP="006218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373254">
              <w:rPr>
                <w:rFonts w:ascii="Arial" w:hAnsi="Arial" w:cs="Arial"/>
                <w:lang w:val="en-US"/>
              </w:rPr>
              <w:t>N (%)</w:t>
            </w:r>
          </w:p>
        </w:tc>
      </w:tr>
      <w:tr w:rsidR="00244553" w:rsidRPr="00373254" w14:paraId="2EDDC786" w14:textId="77777777" w:rsidTr="00621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BB53DF" w14:textId="77777777" w:rsidR="00244553" w:rsidRPr="00373254" w:rsidRDefault="00244553" w:rsidP="006218FF">
            <w:pPr>
              <w:rPr>
                <w:rFonts w:ascii="Arial" w:hAnsi="Arial" w:cs="Arial"/>
                <w:vertAlign w:val="superscript"/>
                <w:lang w:val="en-US"/>
              </w:rPr>
            </w:pPr>
            <w:r w:rsidRPr="00373254">
              <w:rPr>
                <w:rFonts w:ascii="Arial" w:hAnsi="Arial" w:cs="Arial"/>
                <w:lang w:val="en-US"/>
              </w:rPr>
              <w:t>E</w:t>
            </w:r>
            <w:r>
              <w:rPr>
                <w:rFonts w:ascii="Arial" w:hAnsi="Arial" w:cs="Arial"/>
                <w:lang w:val="en-US"/>
              </w:rPr>
              <w:t>xome Sequencing</w:t>
            </w:r>
            <w:r w:rsidRPr="003A701A">
              <w:rPr>
                <w:rFonts w:ascii="Open Sans" w:hAnsi="Open Sans" w:cs="Open Sans"/>
                <w:b w:val="0"/>
                <w:bCs w:val="0"/>
                <w:color w:val="1C1D1E"/>
                <w:sz w:val="24"/>
                <w:szCs w:val="24"/>
                <w:shd w:val="clear" w:color="auto" w:fill="FFFFFF"/>
                <w:vertAlign w:val="superscript"/>
                <w:lang w:val="en-US"/>
              </w:rPr>
              <w:t>†</w:t>
            </w:r>
          </w:p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7D8D4004" w14:textId="77777777" w:rsidR="00244553" w:rsidRPr="00F124AE" w:rsidRDefault="00244553" w:rsidP="006218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124AE">
              <w:rPr>
                <w:rFonts w:ascii="Arial" w:hAnsi="Arial" w:cs="Arial"/>
                <w:sz w:val="20"/>
                <w:szCs w:val="20"/>
                <w:lang w:val="en-US"/>
              </w:rPr>
              <w:t>46 (13.3)</w:t>
            </w:r>
          </w:p>
        </w:tc>
      </w:tr>
      <w:tr w:rsidR="00244553" w:rsidRPr="00373254" w14:paraId="282854B4" w14:textId="77777777" w:rsidTr="006218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0D3C3314" w14:textId="77777777" w:rsidR="00244553" w:rsidRPr="00A30262" w:rsidRDefault="00244553" w:rsidP="006218FF">
            <w:pPr>
              <w:rPr>
                <w:rFonts w:ascii="Arial" w:hAnsi="Arial" w:cs="Arial"/>
                <w:vertAlign w:val="superscript"/>
                <w:lang w:val="en-US"/>
              </w:rPr>
            </w:pPr>
            <w:r w:rsidRPr="00373254">
              <w:rPr>
                <w:rFonts w:ascii="Arial" w:hAnsi="Arial" w:cs="Arial"/>
                <w:lang w:val="en-US"/>
              </w:rPr>
              <w:t>Rapid aneuploidy testing</w:t>
            </w:r>
            <w:r w:rsidRPr="007329BD">
              <w:rPr>
                <w:rFonts w:ascii="Open Sans" w:hAnsi="Open Sans" w:cs="Open Sans"/>
                <w:b w:val="0"/>
                <w:bCs w:val="0"/>
                <w:color w:val="1C1D1E"/>
                <w:sz w:val="24"/>
                <w:szCs w:val="24"/>
                <w:shd w:val="clear" w:color="auto" w:fill="FFFFFF"/>
                <w:vertAlign w:val="superscript"/>
                <w:lang w:val="en-US"/>
              </w:rPr>
              <w:t>‡</w:t>
            </w:r>
          </w:p>
        </w:tc>
        <w:tc>
          <w:tcPr>
            <w:tcW w:w="450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80401C" w14:textId="77777777" w:rsidR="00244553" w:rsidRPr="00F124AE" w:rsidRDefault="00244553" w:rsidP="006218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124AE">
              <w:rPr>
                <w:rFonts w:ascii="Arial" w:hAnsi="Arial" w:cs="Arial"/>
                <w:sz w:val="20"/>
                <w:szCs w:val="20"/>
                <w:lang w:val="en-US"/>
              </w:rPr>
              <w:t>238 (68.6)</w:t>
            </w:r>
          </w:p>
        </w:tc>
      </w:tr>
      <w:tr w:rsidR="00244553" w:rsidRPr="00373254" w14:paraId="6366672E" w14:textId="77777777" w:rsidTr="00621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2E4651C3" w14:textId="77777777" w:rsidR="00244553" w:rsidRPr="00373254" w:rsidRDefault="00244553" w:rsidP="006218F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Copy number variant analysis</w:t>
            </w:r>
          </w:p>
        </w:tc>
        <w:tc>
          <w:tcPr>
            <w:tcW w:w="450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ABB6D8B" w14:textId="77777777" w:rsidR="00244553" w:rsidRPr="00F124AE" w:rsidRDefault="00244553" w:rsidP="006218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124AE">
              <w:rPr>
                <w:rFonts w:ascii="Arial" w:hAnsi="Arial" w:cs="Arial"/>
                <w:sz w:val="20"/>
                <w:szCs w:val="20"/>
                <w:lang w:val="en-US"/>
              </w:rPr>
              <w:t>254 (73.0)</w:t>
            </w:r>
          </w:p>
        </w:tc>
      </w:tr>
      <w:tr w:rsidR="00244553" w:rsidRPr="00373254" w14:paraId="7C7AF674" w14:textId="77777777" w:rsidTr="006218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6A9128F3" w14:textId="77777777" w:rsidR="00244553" w:rsidRPr="00373254" w:rsidRDefault="00244553" w:rsidP="006218FF">
            <w:pPr>
              <w:rPr>
                <w:rFonts w:ascii="Arial" w:hAnsi="Arial" w:cs="Arial"/>
                <w:lang w:val="en-US"/>
              </w:rPr>
            </w:pPr>
            <w:r w:rsidRPr="00373254">
              <w:rPr>
                <w:rFonts w:ascii="Arial" w:hAnsi="Arial" w:cs="Arial"/>
                <w:lang w:val="en-US"/>
              </w:rPr>
              <w:t>Noonan panel</w:t>
            </w:r>
          </w:p>
        </w:tc>
        <w:tc>
          <w:tcPr>
            <w:tcW w:w="450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5DDCD8ED" w14:textId="77777777" w:rsidR="00244553" w:rsidRPr="00F124AE" w:rsidRDefault="00244553" w:rsidP="006218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124AE">
              <w:rPr>
                <w:rFonts w:ascii="Arial" w:hAnsi="Arial" w:cs="Arial"/>
                <w:sz w:val="20"/>
                <w:szCs w:val="20"/>
                <w:lang w:val="en-US"/>
              </w:rPr>
              <w:t>59 (17)</w:t>
            </w:r>
          </w:p>
        </w:tc>
      </w:tr>
      <w:tr w:rsidR="00244553" w:rsidRPr="00373254" w14:paraId="67E6E149" w14:textId="77777777" w:rsidTr="00621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44DB1BC" w14:textId="77777777" w:rsidR="00244553" w:rsidRPr="00373254" w:rsidRDefault="00244553" w:rsidP="006218F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Hydrops panel</w:t>
            </w:r>
          </w:p>
        </w:tc>
        <w:tc>
          <w:tcPr>
            <w:tcW w:w="450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03A83ADD" w14:textId="77777777" w:rsidR="00244553" w:rsidRPr="00F124AE" w:rsidRDefault="00244553" w:rsidP="006218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124AE">
              <w:rPr>
                <w:rFonts w:ascii="Arial" w:hAnsi="Arial" w:cs="Arial"/>
                <w:sz w:val="20"/>
                <w:szCs w:val="20"/>
                <w:lang w:val="en-US"/>
              </w:rPr>
              <w:t>6 (1.7)</w:t>
            </w:r>
          </w:p>
        </w:tc>
      </w:tr>
      <w:tr w:rsidR="00244553" w:rsidRPr="00373254" w14:paraId="3082AFB8" w14:textId="77777777" w:rsidTr="006218F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F5DA5C8" w14:textId="77777777" w:rsidR="00244553" w:rsidRDefault="00244553" w:rsidP="006218FF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Chromosome analysis </w:t>
            </w:r>
          </w:p>
        </w:tc>
        <w:tc>
          <w:tcPr>
            <w:tcW w:w="4508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66ADB196" w14:textId="77777777" w:rsidR="00244553" w:rsidRPr="00F124AE" w:rsidRDefault="00244553" w:rsidP="006218F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124AE">
              <w:rPr>
                <w:rFonts w:ascii="Arial" w:hAnsi="Arial" w:cs="Arial"/>
                <w:sz w:val="20"/>
                <w:szCs w:val="20"/>
                <w:lang w:val="en-US"/>
              </w:rPr>
              <w:t>14 (4)</w:t>
            </w:r>
          </w:p>
        </w:tc>
      </w:tr>
      <w:tr w:rsidR="00244553" w:rsidRPr="00373254" w14:paraId="450FF131" w14:textId="77777777" w:rsidTr="006218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9BF2B9" w14:textId="77777777" w:rsidR="00244553" w:rsidRPr="00F124AE" w:rsidRDefault="00244553" w:rsidP="006218FF">
            <w:pPr>
              <w:rPr>
                <w:rFonts w:ascii="Arial" w:hAnsi="Arial" w:cs="Arial"/>
                <w:sz w:val="20"/>
                <w:szCs w:val="20"/>
                <w:vertAlign w:val="superscript"/>
                <w:lang w:val="en-US"/>
              </w:rPr>
            </w:pPr>
            <w:r w:rsidRPr="00373254">
              <w:rPr>
                <w:rFonts w:ascii="Arial" w:hAnsi="Arial" w:cs="Arial"/>
                <w:lang w:val="en-US"/>
              </w:rPr>
              <w:t>Other</w:t>
            </w:r>
            <w:r w:rsidRPr="007329BD">
              <w:rPr>
                <w:rFonts w:ascii="Open Sans" w:hAnsi="Open Sans" w:cs="Open Sans"/>
                <w:b w:val="0"/>
                <w:bCs w:val="0"/>
                <w:color w:val="1C1D1E"/>
                <w:sz w:val="24"/>
                <w:szCs w:val="24"/>
                <w:shd w:val="clear" w:color="auto" w:fill="FFFFFF"/>
                <w:vertAlign w:val="superscript"/>
                <w:lang w:val="en-US"/>
              </w:rPr>
              <w:t>§</w:t>
            </w:r>
          </w:p>
        </w:tc>
        <w:tc>
          <w:tcPr>
            <w:tcW w:w="450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9BB649F" w14:textId="77777777" w:rsidR="00244553" w:rsidRPr="00F124AE" w:rsidRDefault="00244553" w:rsidP="006218F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F124AE">
              <w:rPr>
                <w:rFonts w:ascii="Arial" w:hAnsi="Arial" w:cs="Arial"/>
                <w:sz w:val="20"/>
                <w:szCs w:val="20"/>
                <w:lang w:val="en-US"/>
              </w:rPr>
              <w:t>9 (2.6)</w:t>
            </w:r>
          </w:p>
        </w:tc>
      </w:tr>
      <w:tr w:rsidR="00244553" w:rsidRPr="001B3B22" w14:paraId="4F8B4C10" w14:textId="77777777" w:rsidTr="006218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1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0FA4BEF1" w14:textId="77777777" w:rsidR="00244553" w:rsidRDefault="00244553" w:rsidP="006218FF">
            <w:pPr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  <w:r w:rsidRPr="003A701A">
              <w:rPr>
                <w:rFonts w:ascii="Open Sans" w:hAnsi="Open Sans" w:cs="Open Sans"/>
                <w:b w:val="0"/>
                <w:bCs w:val="0"/>
                <w:color w:val="1C1D1E"/>
                <w:sz w:val="24"/>
                <w:szCs w:val="24"/>
                <w:shd w:val="clear" w:color="auto" w:fill="FFFFFF"/>
                <w:vertAlign w:val="superscript"/>
                <w:lang w:val="en-US"/>
              </w:rPr>
              <w:t>†</w:t>
            </w:r>
            <w:r w:rsidRPr="00F124AE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  <w:lang w:val="en-US"/>
              </w:rPr>
              <w:t xml:space="preserve">  5x Single WES (1.4%), 15x Trio WES (4.3%), 19x WES not specified if single or trio (5.5%), 3x WGS (0.9%), 4x</w:t>
            </w:r>
            <w:r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  <w:lang w:val="en-US"/>
              </w:rPr>
              <w:t xml:space="preserve"> WES-</w:t>
            </w:r>
            <w:r w:rsidRPr="00F124AE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  <w:lang w:val="en-US"/>
              </w:rPr>
              <w:t>R2</w:t>
            </w:r>
            <w:r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  <w:lang w:val="en-US"/>
              </w:rPr>
              <w:t>1</w:t>
            </w:r>
            <w:r w:rsidRPr="00F124AE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  <w:lang w:val="en-US"/>
              </w:rPr>
              <w:t xml:space="preserve"> (1.1%),  </w:t>
            </w:r>
          </w:p>
          <w:p w14:paraId="3E3DEABC" w14:textId="77777777" w:rsidR="00244553" w:rsidRPr="00F124AE" w:rsidRDefault="00244553" w:rsidP="006218FF">
            <w:pPr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  <w:lang w:val="en-US"/>
              </w:rPr>
            </w:pPr>
            <w:r w:rsidRPr="007329BD">
              <w:rPr>
                <w:rFonts w:ascii="Open Sans" w:hAnsi="Open Sans" w:cs="Open Sans"/>
                <w:b w:val="0"/>
                <w:bCs w:val="0"/>
                <w:color w:val="1C1D1E"/>
                <w:sz w:val="24"/>
                <w:szCs w:val="24"/>
                <w:shd w:val="clear" w:color="auto" w:fill="FFFFFF"/>
                <w:vertAlign w:val="superscript"/>
                <w:lang w:val="en-US"/>
              </w:rPr>
              <w:t>‡</w:t>
            </w:r>
            <w:r w:rsidRPr="00F124AE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  <w:lang w:val="en-US"/>
              </w:rPr>
              <w:t>I</w:t>
            </w:r>
            <w:r w:rsidRPr="00F124AE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  <w:lang w:val="en-US"/>
              </w:rPr>
              <w:t>ncluding QF PCR, MLPA/MLPS and FISH</w:t>
            </w:r>
          </w:p>
          <w:p w14:paraId="6862F733" w14:textId="77777777" w:rsidR="00244553" w:rsidRPr="00F124AE" w:rsidRDefault="00244553" w:rsidP="006218FF">
            <w:pPr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  <w:lang w:val="en-US"/>
              </w:rPr>
            </w:pPr>
            <w:r w:rsidRPr="007329BD">
              <w:rPr>
                <w:rFonts w:ascii="Open Sans" w:hAnsi="Open Sans" w:cs="Open Sans"/>
                <w:b w:val="0"/>
                <w:bCs w:val="0"/>
                <w:color w:val="1C1D1E"/>
                <w:sz w:val="24"/>
                <w:szCs w:val="24"/>
                <w:shd w:val="clear" w:color="auto" w:fill="FFFFFF"/>
                <w:vertAlign w:val="superscript"/>
                <w:lang w:val="en-US"/>
              </w:rPr>
              <w:t>§</w:t>
            </w:r>
            <w:r w:rsidRPr="00F124AE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  <w:lang w:val="en-US"/>
              </w:rPr>
              <w:t xml:space="preserve"> 7x NIPT (2.1)</w:t>
            </w:r>
            <w:r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  <w:lang w:val="en-US"/>
              </w:rPr>
              <w:t>. Two neonates were tested for specific syndromes based on postnatal symptoms (</w:t>
            </w:r>
            <w:r w:rsidRPr="00F124AE"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  <w:lang w:val="en-US"/>
              </w:rPr>
              <w:t>1x Opitz (0.3), 1x CF (0.3)</w:t>
            </w:r>
            <w:r>
              <w:rPr>
                <w:rFonts w:ascii="Arial" w:hAnsi="Arial" w:cs="Arial"/>
                <w:b w:val="0"/>
                <w:bCs w:val="0"/>
                <w:i/>
                <w:iCs/>
                <w:sz w:val="18"/>
                <w:szCs w:val="18"/>
                <w:lang w:val="en-US"/>
              </w:rPr>
              <w:t>)</w:t>
            </w:r>
          </w:p>
          <w:p w14:paraId="37B2559D" w14:textId="77777777" w:rsidR="00244553" w:rsidRPr="00F124AE" w:rsidRDefault="00244553" w:rsidP="006218FF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3844FD2D" w14:textId="77777777" w:rsidR="00074FD2" w:rsidRPr="00244553" w:rsidRDefault="00074FD2">
      <w:pPr>
        <w:rPr>
          <w:lang w:val="en-US"/>
        </w:rPr>
      </w:pPr>
    </w:p>
    <w:sectPr w:rsidR="00074FD2" w:rsidRPr="0024455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553"/>
    <w:rsid w:val="00074FD2"/>
    <w:rsid w:val="00244553"/>
    <w:rsid w:val="008A56FE"/>
    <w:rsid w:val="00AB7687"/>
    <w:rsid w:val="00AE051C"/>
    <w:rsid w:val="00EB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8F28E"/>
  <w15:chartTrackingRefBased/>
  <w15:docId w15:val="{9C1450BA-8FDF-4F9C-9C0D-470567280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4553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455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4455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455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455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4455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4455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4455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4455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4455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45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445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45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45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445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445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445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445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445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4455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445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455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445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44553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445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44553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445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445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445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44553"/>
    <w:rPr>
      <w:b/>
      <w:bCs/>
      <w:smallCaps/>
      <w:color w:val="0F4761" w:themeColor="accent1" w:themeShade="BF"/>
      <w:spacing w:val="5"/>
    </w:rPr>
  </w:style>
  <w:style w:type="table" w:styleId="ListTable1Light-Accent3">
    <w:name w:val="List Table 1 Light Accent 3"/>
    <w:basedOn w:val="TableNormal"/>
    <w:uiPriority w:val="46"/>
    <w:rsid w:val="00244553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951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Treurniet, T.T. (VERLOS)</dc:creator>
  <cp:keywords/>
  <dc:description/>
  <cp:lastModifiedBy>Treurniet, T.T. (VERLOS)</cp:lastModifiedBy>
  <cp:revision>1</cp:revision>
  <dcterms:created xsi:type="dcterms:W3CDTF">2025-07-29T14:10:00Z</dcterms:created>
  <dcterms:modified xsi:type="dcterms:W3CDTF">2025-07-29T14:10:00Z</dcterms:modified>
</cp:coreProperties>
</file>