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BCF6" w14:textId="0A5DEDE3" w:rsidR="0034091D" w:rsidRPr="00156AEA" w:rsidRDefault="0034091D" w:rsidP="0034091D">
      <w:pPr>
        <w:spacing w:line="480" w:lineRule="auto"/>
        <w:jc w:val="both"/>
        <w:rPr>
          <w:rFonts w:ascii="Arial" w:hAnsi="Arial" w:cs="Arial"/>
          <w:b/>
          <w:bCs/>
          <w:lang w:val="en-US"/>
        </w:rPr>
      </w:pPr>
      <w:r w:rsidRPr="00156AEA">
        <w:rPr>
          <w:rFonts w:ascii="Arial" w:hAnsi="Arial" w:cs="Arial"/>
          <w:b/>
          <w:bCs/>
          <w:lang w:val="en-US"/>
        </w:rPr>
        <w:t>Supplementary Table 1</w:t>
      </w:r>
      <w:r w:rsidR="009C7AB4" w:rsidRPr="009C7AB4">
        <w:rPr>
          <w:rFonts w:ascii="Arial" w:hAnsi="Arial" w:cs="Arial"/>
          <w:lang w:val="en-US"/>
        </w:rPr>
        <w:t xml:space="preserve"> </w:t>
      </w:r>
      <w:r w:rsidR="009C7AB4" w:rsidRPr="00F975DB">
        <w:rPr>
          <w:rFonts w:ascii="Arial" w:hAnsi="Arial" w:cs="Arial"/>
          <w:lang w:val="en-US"/>
        </w:rPr>
        <w:t>Cut-off values for estimated fetal weight (EFW) discordance and EFW centile based on singleton and twin growth charts at fixed false</w:t>
      </w:r>
      <w:r w:rsidR="00677228">
        <w:rPr>
          <w:rFonts w:ascii="Arial" w:hAnsi="Arial" w:cs="Arial"/>
          <w:lang w:val="en-US"/>
        </w:rPr>
        <w:t>-</w:t>
      </w:r>
      <w:r w:rsidR="009C7AB4" w:rsidRPr="00F975DB">
        <w:rPr>
          <w:rFonts w:ascii="Arial" w:hAnsi="Arial" w:cs="Arial"/>
          <w:lang w:val="en-US"/>
        </w:rPr>
        <w:t>positive rates (FPR)</w:t>
      </w:r>
      <w:r w:rsidR="009C7AB4">
        <w:rPr>
          <w:rFonts w:ascii="Arial" w:hAnsi="Arial" w:cs="Arial"/>
          <w:lang w:val="en-US"/>
        </w:rPr>
        <w:t xml:space="preserve"> </w:t>
      </w:r>
      <w:r w:rsidR="009C7AB4" w:rsidRPr="00F975DB">
        <w:rPr>
          <w:rFonts w:ascii="Arial" w:hAnsi="Arial" w:cs="Arial"/>
          <w:lang w:val="en-US"/>
        </w:rPr>
        <w:t>for prediction of</w:t>
      </w:r>
      <w:r w:rsidR="009C7AB4">
        <w:rPr>
          <w:rFonts w:ascii="Arial" w:hAnsi="Arial" w:cs="Arial"/>
          <w:lang w:val="en-US"/>
        </w:rPr>
        <w:t xml:space="preserve"> composite</w:t>
      </w:r>
      <w:r w:rsidR="009C7AB4" w:rsidRPr="00F975DB">
        <w:rPr>
          <w:rFonts w:ascii="Arial" w:hAnsi="Arial" w:cs="Arial"/>
          <w:lang w:val="en-US"/>
        </w:rPr>
        <w:t xml:space="preserve"> adverse perinatal outcome in dichorionic and monochorionic twin</w:t>
      </w:r>
      <w:r w:rsidR="009C7AB4">
        <w:rPr>
          <w:rFonts w:ascii="Arial" w:hAnsi="Arial" w:cs="Arial"/>
          <w:lang w:val="en-US"/>
        </w:rPr>
        <w:t xml:space="preserve"> pregnancie</w:t>
      </w:r>
      <w:r w:rsidR="009C7AB4" w:rsidRPr="00F975DB">
        <w:rPr>
          <w:rFonts w:ascii="Arial" w:hAnsi="Arial" w:cs="Arial"/>
          <w:lang w:val="en-US"/>
        </w:rPr>
        <w:t>s</w:t>
      </w:r>
    </w:p>
    <w:p w14:paraId="30140C57" w14:textId="6D39C6ED" w:rsidR="0034091D" w:rsidRPr="00156AEA" w:rsidRDefault="0034091D" w:rsidP="0034091D">
      <w:pPr>
        <w:spacing w:line="480" w:lineRule="auto"/>
        <w:jc w:val="both"/>
        <w:rPr>
          <w:rFonts w:ascii="Arial" w:hAnsi="Arial" w:cs="Arial"/>
          <w:lang w:val="en-US"/>
        </w:rPr>
      </w:pPr>
    </w:p>
    <w:tbl>
      <w:tblPr>
        <w:tblStyle w:val="TableGrid"/>
        <w:tblW w:w="0" w:type="auto"/>
        <w:tblLook w:val="04A0" w:firstRow="1" w:lastRow="0" w:firstColumn="1" w:lastColumn="0" w:noHBand="0" w:noVBand="1"/>
      </w:tblPr>
      <w:tblGrid>
        <w:gridCol w:w="2327"/>
        <w:gridCol w:w="1669"/>
        <w:gridCol w:w="1670"/>
        <w:gridCol w:w="1669"/>
        <w:gridCol w:w="1675"/>
      </w:tblGrid>
      <w:tr w:rsidR="0034091D" w:rsidRPr="00156AEA" w14:paraId="5D3C0913" w14:textId="77777777" w:rsidTr="00DE564A">
        <w:tc>
          <w:tcPr>
            <w:tcW w:w="2327" w:type="dxa"/>
            <w:vAlign w:val="center"/>
          </w:tcPr>
          <w:p w14:paraId="657496F3" w14:textId="58187388" w:rsidR="0034091D" w:rsidRPr="00156AEA" w:rsidRDefault="0034091D" w:rsidP="00DE564A">
            <w:pPr>
              <w:spacing w:before="120" w:after="120"/>
              <w:jc w:val="center"/>
              <w:rPr>
                <w:rFonts w:ascii="Arial" w:hAnsi="Arial" w:cs="Arial"/>
                <w:b/>
                <w:bCs/>
                <w:sz w:val="22"/>
                <w:szCs w:val="22"/>
                <w:lang w:val="en-US"/>
              </w:rPr>
            </w:pPr>
          </w:p>
        </w:tc>
        <w:tc>
          <w:tcPr>
            <w:tcW w:w="1669" w:type="dxa"/>
            <w:vAlign w:val="center"/>
          </w:tcPr>
          <w:p w14:paraId="5EFD3547" w14:textId="77777777" w:rsidR="0034091D" w:rsidRPr="00156AEA" w:rsidRDefault="0034091D" w:rsidP="00DE564A">
            <w:pPr>
              <w:spacing w:before="120" w:after="120"/>
              <w:jc w:val="center"/>
              <w:rPr>
                <w:rFonts w:ascii="Arial" w:hAnsi="Arial" w:cs="Arial"/>
                <w:b/>
                <w:bCs/>
                <w:sz w:val="22"/>
                <w:szCs w:val="22"/>
                <w:lang w:val="en-US"/>
              </w:rPr>
            </w:pPr>
            <w:r w:rsidRPr="00156AEA">
              <w:rPr>
                <w:rFonts w:ascii="Arial" w:hAnsi="Arial" w:cs="Arial"/>
                <w:b/>
                <w:bCs/>
                <w:sz w:val="22"/>
                <w:szCs w:val="22"/>
                <w:lang w:val="en-US"/>
              </w:rPr>
              <w:t xml:space="preserve">Cut-offs </w:t>
            </w:r>
          </w:p>
          <w:p w14:paraId="44CFD18D" w14:textId="25A5A6D0" w:rsidR="0034091D" w:rsidRPr="00156AEA" w:rsidRDefault="0034091D" w:rsidP="00DE564A">
            <w:pPr>
              <w:spacing w:before="120" w:after="120"/>
              <w:jc w:val="center"/>
              <w:rPr>
                <w:rFonts w:ascii="Arial" w:hAnsi="Arial" w:cs="Arial"/>
                <w:b/>
                <w:bCs/>
                <w:sz w:val="22"/>
                <w:szCs w:val="22"/>
                <w:lang w:val="en-US"/>
              </w:rPr>
            </w:pPr>
            <w:r w:rsidRPr="00156AEA">
              <w:rPr>
                <w:rFonts w:ascii="Arial" w:hAnsi="Arial" w:cs="Arial"/>
                <w:b/>
                <w:bCs/>
                <w:sz w:val="22"/>
                <w:szCs w:val="22"/>
                <w:lang w:val="en-US"/>
              </w:rPr>
              <w:t>5% FPR</w:t>
            </w:r>
          </w:p>
        </w:tc>
        <w:tc>
          <w:tcPr>
            <w:tcW w:w="1670" w:type="dxa"/>
            <w:vAlign w:val="center"/>
          </w:tcPr>
          <w:p w14:paraId="113EDF71" w14:textId="21C6B80B" w:rsidR="0034091D" w:rsidRPr="00156AEA" w:rsidRDefault="0034091D" w:rsidP="0034091D">
            <w:pPr>
              <w:spacing w:before="120" w:after="120"/>
              <w:rPr>
                <w:rFonts w:ascii="Arial" w:hAnsi="Arial" w:cs="Arial"/>
                <w:b/>
                <w:bCs/>
                <w:sz w:val="22"/>
                <w:szCs w:val="22"/>
                <w:lang w:val="en-US"/>
              </w:rPr>
            </w:pPr>
            <w:r w:rsidRPr="00156AEA">
              <w:rPr>
                <w:rFonts w:ascii="Arial" w:hAnsi="Arial" w:cs="Arial"/>
                <w:b/>
                <w:bCs/>
                <w:sz w:val="22"/>
                <w:szCs w:val="22"/>
                <w:lang w:val="en-US"/>
              </w:rPr>
              <w:t xml:space="preserve">      Cut-offs </w:t>
            </w:r>
          </w:p>
          <w:p w14:paraId="73A6EFED" w14:textId="13A08C9B" w:rsidR="0034091D" w:rsidRPr="00156AEA" w:rsidRDefault="0034091D" w:rsidP="00DE564A">
            <w:pPr>
              <w:spacing w:before="120" w:after="120"/>
              <w:jc w:val="center"/>
              <w:rPr>
                <w:rFonts w:ascii="Arial" w:hAnsi="Arial" w:cs="Arial"/>
                <w:b/>
                <w:bCs/>
                <w:sz w:val="22"/>
                <w:szCs w:val="22"/>
                <w:lang w:val="en-US"/>
              </w:rPr>
            </w:pPr>
            <w:r w:rsidRPr="00156AEA">
              <w:rPr>
                <w:rFonts w:ascii="Arial" w:hAnsi="Arial" w:cs="Arial"/>
                <w:b/>
                <w:bCs/>
                <w:sz w:val="22"/>
                <w:szCs w:val="22"/>
                <w:lang w:val="en-US"/>
              </w:rPr>
              <w:t>10% FPR</w:t>
            </w:r>
          </w:p>
        </w:tc>
        <w:tc>
          <w:tcPr>
            <w:tcW w:w="1669" w:type="dxa"/>
            <w:vAlign w:val="center"/>
          </w:tcPr>
          <w:p w14:paraId="23DCF662" w14:textId="58DE4D4A" w:rsidR="0034091D" w:rsidRPr="00156AEA" w:rsidRDefault="0034091D" w:rsidP="00DE564A">
            <w:pPr>
              <w:spacing w:before="120" w:after="120"/>
              <w:jc w:val="center"/>
              <w:rPr>
                <w:rFonts w:ascii="Arial" w:hAnsi="Arial" w:cs="Arial"/>
                <w:b/>
                <w:bCs/>
                <w:sz w:val="22"/>
                <w:szCs w:val="22"/>
                <w:lang w:val="en-US"/>
              </w:rPr>
            </w:pPr>
            <w:r w:rsidRPr="00156AEA">
              <w:rPr>
                <w:rFonts w:ascii="Arial" w:hAnsi="Arial" w:cs="Arial"/>
                <w:b/>
                <w:bCs/>
                <w:sz w:val="22"/>
                <w:szCs w:val="22"/>
                <w:lang w:val="en-US"/>
              </w:rPr>
              <w:t>Cut-offs</w:t>
            </w:r>
          </w:p>
          <w:p w14:paraId="664F51E7" w14:textId="13C5BC7E" w:rsidR="0034091D" w:rsidRPr="00156AEA" w:rsidRDefault="0034091D" w:rsidP="00DE564A">
            <w:pPr>
              <w:spacing w:before="120" w:after="120"/>
              <w:jc w:val="center"/>
              <w:rPr>
                <w:rFonts w:ascii="Arial" w:hAnsi="Arial" w:cs="Arial"/>
                <w:b/>
                <w:bCs/>
                <w:sz w:val="22"/>
                <w:szCs w:val="22"/>
                <w:lang w:val="en-US"/>
              </w:rPr>
            </w:pPr>
            <w:r w:rsidRPr="00156AEA">
              <w:rPr>
                <w:rFonts w:ascii="Arial" w:hAnsi="Arial" w:cs="Arial"/>
                <w:b/>
                <w:bCs/>
                <w:sz w:val="22"/>
                <w:szCs w:val="22"/>
                <w:lang w:val="en-US"/>
              </w:rPr>
              <w:t>20% FPR</w:t>
            </w:r>
          </w:p>
        </w:tc>
        <w:tc>
          <w:tcPr>
            <w:tcW w:w="1675" w:type="dxa"/>
            <w:vAlign w:val="center"/>
          </w:tcPr>
          <w:p w14:paraId="4EAF9AC3" w14:textId="0A76BB58" w:rsidR="0034091D" w:rsidRPr="00156AEA" w:rsidRDefault="0034091D" w:rsidP="00DE564A">
            <w:pPr>
              <w:spacing w:before="120" w:after="120"/>
              <w:jc w:val="center"/>
              <w:rPr>
                <w:rFonts w:ascii="Arial" w:hAnsi="Arial" w:cs="Arial"/>
                <w:b/>
                <w:bCs/>
                <w:sz w:val="22"/>
                <w:szCs w:val="22"/>
                <w:lang w:val="en-US"/>
              </w:rPr>
            </w:pPr>
            <w:r w:rsidRPr="00156AEA">
              <w:rPr>
                <w:rFonts w:ascii="Arial" w:hAnsi="Arial" w:cs="Arial"/>
                <w:b/>
                <w:bCs/>
                <w:sz w:val="22"/>
                <w:szCs w:val="22"/>
                <w:lang w:val="en-US"/>
              </w:rPr>
              <w:t>Cut-offs</w:t>
            </w:r>
          </w:p>
          <w:p w14:paraId="0C060009" w14:textId="5B7911E0" w:rsidR="0034091D" w:rsidRPr="00156AEA" w:rsidRDefault="0034091D" w:rsidP="00DE564A">
            <w:pPr>
              <w:spacing w:before="120" w:after="120"/>
              <w:jc w:val="center"/>
              <w:rPr>
                <w:rFonts w:ascii="Arial" w:hAnsi="Arial" w:cs="Arial"/>
                <w:b/>
                <w:bCs/>
                <w:sz w:val="22"/>
                <w:szCs w:val="22"/>
                <w:lang w:val="en-US"/>
              </w:rPr>
            </w:pPr>
            <w:r w:rsidRPr="00156AEA">
              <w:rPr>
                <w:rFonts w:ascii="Arial" w:hAnsi="Arial" w:cs="Arial"/>
                <w:b/>
                <w:bCs/>
                <w:sz w:val="22"/>
                <w:szCs w:val="22"/>
                <w:lang w:val="en-US"/>
              </w:rPr>
              <w:t>40% FPR</w:t>
            </w:r>
          </w:p>
        </w:tc>
      </w:tr>
      <w:tr w:rsidR="0034091D" w:rsidRPr="00156AEA" w14:paraId="016A4D33" w14:textId="77777777" w:rsidTr="00DE564A">
        <w:tc>
          <w:tcPr>
            <w:tcW w:w="9010" w:type="dxa"/>
            <w:gridSpan w:val="5"/>
            <w:shd w:val="clear" w:color="auto" w:fill="D1D1D1" w:themeFill="background2" w:themeFillShade="E6"/>
          </w:tcPr>
          <w:p w14:paraId="6334F365" w14:textId="77777777" w:rsidR="0034091D" w:rsidRPr="00156AEA" w:rsidRDefault="0034091D" w:rsidP="00DE564A">
            <w:pPr>
              <w:spacing w:before="120" w:after="120"/>
              <w:jc w:val="both"/>
              <w:rPr>
                <w:rFonts w:ascii="Arial" w:hAnsi="Arial" w:cs="Arial"/>
                <w:b/>
                <w:bCs/>
                <w:sz w:val="22"/>
                <w:szCs w:val="22"/>
                <w:lang w:val="en-US"/>
              </w:rPr>
            </w:pPr>
            <w:r w:rsidRPr="00156AEA">
              <w:rPr>
                <w:rFonts w:ascii="Arial" w:hAnsi="Arial" w:cs="Arial"/>
                <w:b/>
                <w:bCs/>
                <w:sz w:val="22"/>
                <w:szCs w:val="22"/>
                <w:lang w:val="en-US"/>
              </w:rPr>
              <w:t>Dichorionic twins</w:t>
            </w:r>
          </w:p>
        </w:tc>
      </w:tr>
      <w:tr w:rsidR="0034091D" w:rsidRPr="00156AEA" w14:paraId="0FF38500" w14:textId="77777777" w:rsidTr="00A95AF1">
        <w:tc>
          <w:tcPr>
            <w:tcW w:w="2327" w:type="dxa"/>
          </w:tcPr>
          <w:p w14:paraId="66205965" w14:textId="07C21207" w:rsidR="0034091D" w:rsidRPr="00156AEA" w:rsidRDefault="00D91575" w:rsidP="0034091D">
            <w:pPr>
              <w:spacing w:before="120" w:after="120"/>
              <w:rPr>
                <w:rFonts w:ascii="Arial" w:hAnsi="Arial" w:cs="Arial"/>
                <w:sz w:val="22"/>
                <w:szCs w:val="22"/>
                <w:lang w:val="en-US"/>
              </w:rPr>
            </w:pPr>
            <w:r w:rsidRPr="00156AEA">
              <w:rPr>
                <w:rFonts w:ascii="Arial" w:hAnsi="Arial" w:cs="Arial"/>
                <w:sz w:val="22"/>
                <w:szCs w:val="22"/>
                <w:lang w:val="en-US"/>
              </w:rPr>
              <w:t>EFW discordance</w:t>
            </w:r>
          </w:p>
        </w:tc>
        <w:tc>
          <w:tcPr>
            <w:tcW w:w="1669" w:type="dxa"/>
          </w:tcPr>
          <w:p w14:paraId="148F42E1" w14:textId="27C802DB" w:rsidR="0034091D" w:rsidRPr="00156AEA" w:rsidRDefault="0034091D" w:rsidP="0034091D">
            <w:pPr>
              <w:spacing w:before="120" w:after="120"/>
              <w:jc w:val="center"/>
              <w:rPr>
                <w:rFonts w:ascii="Arial" w:hAnsi="Arial" w:cs="Arial"/>
                <w:sz w:val="22"/>
                <w:szCs w:val="22"/>
                <w:lang w:val="en-US"/>
              </w:rPr>
            </w:pPr>
            <w:r w:rsidRPr="00156AEA">
              <w:rPr>
                <w:rFonts w:ascii="Arial" w:hAnsi="Arial" w:cs="Arial"/>
                <w:sz w:val="22"/>
                <w:szCs w:val="22"/>
              </w:rPr>
              <w:t>30</w:t>
            </w:r>
          </w:p>
        </w:tc>
        <w:tc>
          <w:tcPr>
            <w:tcW w:w="1670" w:type="dxa"/>
          </w:tcPr>
          <w:p w14:paraId="0861711F" w14:textId="3F224E18" w:rsidR="0034091D" w:rsidRPr="00156AEA" w:rsidRDefault="0034091D" w:rsidP="0034091D">
            <w:pPr>
              <w:spacing w:before="120" w:after="120"/>
              <w:jc w:val="center"/>
              <w:rPr>
                <w:rFonts w:ascii="Arial" w:hAnsi="Arial" w:cs="Arial"/>
                <w:sz w:val="22"/>
                <w:szCs w:val="22"/>
                <w:lang w:val="en-US"/>
              </w:rPr>
            </w:pPr>
            <w:r w:rsidRPr="00156AEA">
              <w:rPr>
                <w:rFonts w:ascii="Arial" w:hAnsi="Arial" w:cs="Arial"/>
                <w:sz w:val="22"/>
                <w:szCs w:val="22"/>
              </w:rPr>
              <w:t>22</w:t>
            </w:r>
          </w:p>
        </w:tc>
        <w:tc>
          <w:tcPr>
            <w:tcW w:w="1669" w:type="dxa"/>
          </w:tcPr>
          <w:p w14:paraId="55F68688" w14:textId="221AD3F3" w:rsidR="0034091D" w:rsidRPr="00156AEA" w:rsidRDefault="0034091D" w:rsidP="0034091D">
            <w:pPr>
              <w:spacing w:before="120" w:after="120"/>
              <w:jc w:val="center"/>
              <w:rPr>
                <w:rFonts w:ascii="Arial" w:hAnsi="Arial" w:cs="Arial"/>
                <w:sz w:val="22"/>
                <w:szCs w:val="22"/>
                <w:lang w:val="en-US"/>
              </w:rPr>
            </w:pPr>
            <w:r w:rsidRPr="00156AEA">
              <w:rPr>
                <w:rFonts w:ascii="Arial" w:hAnsi="Arial" w:cs="Arial"/>
                <w:sz w:val="22"/>
                <w:szCs w:val="22"/>
              </w:rPr>
              <w:t>15</w:t>
            </w:r>
          </w:p>
        </w:tc>
        <w:tc>
          <w:tcPr>
            <w:tcW w:w="1675" w:type="dxa"/>
          </w:tcPr>
          <w:p w14:paraId="5FFD3552" w14:textId="7A41D3F6" w:rsidR="0034091D" w:rsidRPr="00156AEA" w:rsidRDefault="0034091D" w:rsidP="0034091D">
            <w:pPr>
              <w:spacing w:before="120" w:after="120"/>
              <w:jc w:val="center"/>
              <w:rPr>
                <w:rFonts w:ascii="Arial" w:hAnsi="Arial" w:cs="Arial"/>
                <w:sz w:val="22"/>
                <w:szCs w:val="22"/>
                <w:lang w:val="en-US"/>
              </w:rPr>
            </w:pPr>
            <w:r w:rsidRPr="00156AEA">
              <w:rPr>
                <w:rFonts w:ascii="Arial" w:hAnsi="Arial" w:cs="Arial"/>
                <w:sz w:val="22"/>
                <w:szCs w:val="22"/>
              </w:rPr>
              <w:t>10</w:t>
            </w:r>
          </w:p>
        </w:tc>
      </w:tr>
      <w:tr w:rsidR="00D91575" w:rsidRPr="00156AEA" w14:paraId="6D3A9686" w14:textId="77777777" w:rsidTr="00A95AF1">
        <w:tc>
          <w:tcPr>
            <w:tcW w:w="2327" w:type="dxa"/>
          </w:tcPr>
          <w:p w14:paraId="0C420E4B" w14:textId="0C3EF1A4" w:rsidR="00D91575" w:rsidRPr="00156AEA" w:rsidRDefault="00D91575" w:rsidP="00D91575">
            <w:pPr>
              <w:spacing w:before="120" w:after="120"/>
              <w:rPr>
                <w:rFonts w:ascii="Arial" w:hAnsi="Arial" w:cs="Arial"/>
                <w:sz w:val="22"/>
                <w:szCs w:val="22"/>
                <w:lang w:val="en-US"/>
              </w:rPr>
            </w:pPr>
            <w:r w:rsidRPr="00156AEA">
              <w:rPr>
                <w:rFonts w:ascii="Arial" w:hAnsi="Arial" w:cs="Arial"/>
                <w:sz w:val="22"/>
                <w:szCs w:val="22"/>
                <w:lang w:val="en-US"/>
              </w:rPr>
              <w:t>Singleton chart estimated fetal weight centile</w:t>
            </w:r>
          </w:p>
        </w:tc>
        <w:tc>
          <w:tcPr>
            <w:tcW w:w="1669" w:type="dxa"/>
          </w:tcPr>
          <w:p w14:paraId="5A065257" w14:textId="4A6D7788"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rPr>
              <w:t>1.25</w:t>
            </w:r>
          </w:p>
        </w:tc>
        <w:tc>
          <w:tcPr>
            <w:tcW w:w="1670" w:type="dxa"/>
          </w:tcPr>
          <w:p w14:paraId="529541A3" w14:textId="648F7D49"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rPr>
              <w:t>2.65</w:t>
            </w:r>
          </w:p>
        </w:tc>
        <w:tc>
          <w:tcPr>
            <w:tcW w:w="1669" w:type="dxa"/>
          </w:tcPr>
          <w:p w14:paraId="08E8EC66" w14:textId="6FC65466"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rPr>
              <w:t>4.45</w:t>
            </w:r>
          </w:p>
        </w:tc>
        <w:tc>
          <w:tcPr>
            <w:tcW w:w="1675" w:type="dxa"/>
          </w:tcPr>
          <w:p w14:paraId="234A1CAB" w14:textId="26A0C910"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rPr>
              <w:t>8.05</w:t>
            </w:r>
          </w:p>
        </w:tc>
      </w:tr>
      <w:tr w:rsidR="00D91575" w:rsidRPr="00156AEA" w14:paraId="106D129D" w14:textId="77777777" w:rsidTr="00A95AF1">
        <w:tc>
          <w:tcPr>
            <w:tcW w:w="2327" w:type="dxa"/>
          </w:tcPr>
          <w:p w14:paraId="7BAD7AAD" w14:textId="66F4524E" w:rsidR="00D91575" w:rsidRPr="00156AEA" w:rsidRDefault="00D91575" w:rsidP="00D91575">
            <w:pPr>
              <w:spacing w:before="120" w:after="120"/>
              <w:rPr>
                <w:rFonts w:ascii="Arial" w:hAnsi="Arial" w:cs="Arial"/>
                <w:sz w:val="22"/>
                <w:szCs w:val="22"/>
                <w:lang w:val="en-US"/>
              </w:rPr>
            </w:pPr>
            <w:r w:rsidRPr="00156AEA">
              <w:rPr>
                <w:rFonts w:ascii="Arial" w:hAnsi="Arial" w:cs="Arial"/>
                <w:sz w:val="22"/>
                <w:szCs w:val="22"/>
                <w:lang w:val="en-US"/>
              </w:rPr>
              <w:t>Twin chart estimated fetal weight centile</w:t>
            </w:r>
          </w:p>
        </w:tc>
        <w:tc>
          <w:tcPr>
            <w:tcW w:w="1669" w:type="dxa"/>
          </w:tcPr>
          <w:p w14:paraId="74541FB5" w14:textId="014E35F8"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rPr>
              <w:t>0.9</w:t>
            </w:r>
          </w:p>
        </w:tc>
        <w:tc>
          <w:tcPr>
            <w:tcW w:w="1670" w:type="dxa"/>
          </w:tcPr>
          <w:p w14:paraId="7DB8D50F" w14:textId="307925B0"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rPr>
              <w:t>2.15</w:t>
            </w:r>
          </w:p>
        </w:tc>
        <w:tc>
          <w:tcPr>
            <w:tcW w:w="1669" w:type="dxa"/>
          </w:tcPr>
          <w:p w14:paraId="468739BA" w14:textId="32A7AC6D"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rPr>
              <w:t>4.45</w:t>
            </w:r>
          </w:p>
        </w:tc>
        <w:tc>
          <w:tcPr>
            <w:tcW w:w="1675" w:type="dxa"/>
          </w:tcPr>
          <w:p w14:paraId="40622688" w14:textId="658EAE9F"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rPr>
              <w:t>8.05</w:t>
            </w:r>
          </w:p>
        </w:tc>
      </w:tr>
      <w:tr w:rsidR="00D91575" w:rsidRPr="00156AEA" w14:paraId="34A706AC" w14:textId="77777777" w:rsidTr="00DE564A">
        <w:tc>
          <w:tcPr>
            <w:tcW w:w="9010" w:type="dxa"/>
            <w:gridSpan w:val="5"/>
            <w:shd w:val="clear" w:color="auto" w:fill="D9D9D9" w:themeFill="background1" w:themeFillShade="D9"/>
          </w:tcPr>
          <w:p w14:paraId="436FD765" w14:textId="77777777" w:rsidR="00D91575" w:rsidRPr="00156AEA" w:rsidRDefault="00D91575" w:rsidP="00D91575">
            <w:pPr>
              <w:spacing w:before="120" w:after="120"/>
              <w:jc w:val="both"/>
              <w:rPr>
                <w:rFonts w:ascii="Arial" w:hAnsi="Arial" w:cs="Arial"/>
                <w:b/>
                <w:bCs/>
                <w:sz w:val="22"/>
                <w:szCs w:val="22"/>
                <w:lang w:val="en-US"/>
              </w:rPr>
            </w:pPr>
            <w:r w:rsidRPr="00156AEA">
              <w:rPr>
                <w:rFonts w:ascii="Arial" w:hAnsi="Arial" w:cs="Arial"/>
                <w:b/>
                <w:bCs/>
                <w:sz w:val="22"/>
                <w:szCs w:val="22"/>
                <w:lang w:val="en-US"/>
              </w:rPr>
              <w:t>Monochorionic twins</w:t>
            </w:r>
          </w:p>
        </w:tc>
      </w:tr>
      <w:tr w:rsidR="00D91575" w:rsidRPr="00156AEA" w14:paraId="53C1A69B" w14:textId="77777777" w:rsidTr="00DE564A">
        <w:tc>
          <w:tcPr>
            <w:tcW w:w="2327" w:type="dxa"/>
          </w:tcPr>
          <w:p w14:paraId="06B7CB2E" w14:textId="463C333B" w:rsidR="00D91575" w:rsidRPr="00156AEA" w:rsidRDefault="00D91575" w:rsidP="00D91575">
            <w:pPr>
              <w:spacing w:before="120" w:after="120"/>
              <w:rPr>
                <w:rFonts w:ascii="Arial" w:hAnsi="Arial" w:cs="Arial"/>
                <w:sz w:val="22"/>
                <w:szCs w:val="22"/>
                <w:lang w:val="en-US"/>
              </w:rPr>
            </w:pPr>
            <w:r w:rsidRPr="00156AEA">
              <w:rPr>
                <w:rFonts w:ascii="Arial" w:hAnsi="Arial" w:cs="Arial"/>
                <w:sz w:val="22"/>
                <w:szCs w:val="22"/>
                <w:lang w:val="en-US"/>
              </w:rPr>
              <w:t>EFW discordance</w:t>
            </w:r>
          </w:p>
        </w:tc>
        <w:tc>
          <w:tcPr>
            <w:tcW w:w="1669" w:type="dxa"/>
            <w:vAlign w:val="center"/>
          </w:tcPr>
          <w:p w14:paraId="46D873A2" w14:textId="05D35650"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25</w:t>
            </w:r>
          </w:p>
        </w:tc>
        <w:tc>
          <w:tcPr>
            <w:tcW w:w="1670" w:type="dxa"/>
            <w:vAlign w:val="center"/>
          </w:tcPr>
          <w:p w14:paraId="35E3CFF6" w14:textId="626F013D"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21</w:t>
            </w:r>
          </w:p>
        </w:tc>
        <w:tc>
          <w:tcPr>
            <w:tcW w:w="1669" w:type="dxa"/>
            <w:vAlign w:val="center"/>
          </w:tcPr>
          <w:p w14:paraId="4F23F7BC" w14:textId="36DB8489"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15</w:t>
            </w:r>
          </w:p>
        </w:tc>
        <w:tc>
          <w:tcPr>
            <w:tcW w:w="1675" w:type="dxa"/>
            <w:vAlign w:val="center"/>
          </w:tcPr>
          <w:p w14:paraId="09A32B52" w14:textId="09AFB0E4"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10</w:t>
            </w:r>
          </w:p>
        </w:tc>
      </w:tr>
      <w:tr w:rsidR="00D91575" w:rsidRPr="00156AEA" w14:paraId="4CD52C7B" w14:textId="77777777" w:rsidTr="00DE564A">
        <w:tc>
          <w:tcPr>
            <w:tcW w:w="2327" w:type="dxa"/>
          </w:tcPr>
          <w:p w14:paraId="47215C87" w14:textId="75377284" w:rsidR="00D91575" w:rsidRPr="00156AEA" w:rsidRDefault="00D91575" w:rsidP="00D91575">
            <w:pPr>
              <w:spacing w:before="120" w:after="120"/>
              <w:rPr>
                <w:rFonts w:ascii="Arial" w:hAnsi="Arial" w:cs="Arial"/>
                <w:sz w:val="22"/>
                <w:szCs w:val="22"/>
                <w:lang w:val="en-US"/>
              </w:rPr>
            </w:pPr>
            <w:r w:rsidRPr="00156AEA">
              <w:rPr>
                <w:rFonts w:ascii="Arial" w:hAnsi="Arial" w:cs="Arial"/>
                <w:sz w:val="22"/>
                <w:szCs w:val="22"/>
                <w:lang w:val="en-US"/>
              </w:rPr>
              <w:t>Singleton chart estimated fetal weight centile</w:t>
            </w:r>
          </w:p>
        </w:tc>
        <w:tc>
          <w:tcPr>
            <w:tcW w:w="1669" w:type="dxa"/>
            <w:vAlign w:val="center"/>
          </w:tcPr>
          <w:p w14:paraId="7E39A4E8" w14:textId="0A73F312"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1.5</w:t>
            </w:r>
          </w:p>
        </w:tc>
        <w:tc>
          <w:tcPr>
            <w:tcW w:w="1670" w:type="dxa"/>
            <w:vAlign w:val="center"/>
          </w:tcPr>
          <w:p w14:paraId="17B3A120" w14:textId="1D40BDA7"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3</w:t>
            </w:r>
          </w:p>
        </w:tc>
        <w:tc>
          <w:tcPr>
            <w:tcW w:w="1669" w:type="dxa"/>
            <w:vAlign w:val="center"/>
          </w:tcPr>
          <w:p w14:paraId="62C49C43" w14:textId="161549B2"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4.9</w:t>
            </w:r>
          </w:p>
        </w:tc>
        <w:tc>
          <w:tcPr>
            <w:tcW w:w="1675" w:type="dxa"/>
            <w:vAlign w:val="center"/>
          </w:tcPr>
          <w:p w14:paraId="717912DA" w14:textId="62C9CFED"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8.6</w:t>
            </w:r>
          </w:p>
        </w:tc>
      </w:tr>
      <w:tr w:rsidR="00D91575" w:rsidRPr="00443C16" w14:paraId="2E187B50" w14:textId="77777777" w:rsidTr="00DE564A">
        <w:tc>
          <w:tcPr>
            <w:tcW w:w="2327" w:type="dxa"/>
          </w:tcPr>
          <w:p w14:paraId="29184B1E" w14:textId="5A46CFBA" w:rsidR="00D91575" w:rsidRPr="00156AEA" w:rsidRDefault="00D91575" w:rsidP="00D91575">
            <w:pPr>
              <w:spacing w:before="120" w:after="120"/>
              <w:rPr>
                <w:rFonts w:ascii="Arial" w:hAnsi="Arial" w:cs="Arial"/>
                <w:sz w:val="22"/>
                <w:szCs w:val="22"/>
                <w:lang w:val="en-US"/>
              </w:rPr>
            </w:pPr>
            <w:r w:rsidRPr="00156AEA">
              <w:rPr>
                <w:rFonts w:ascii="Arial" w:hAnsi="Arial" w:cs="Arial"/>
                <w:sz w:val="22"/>
                <w:szCs w:val="22"/>
                <w:lang w:val="en-US"/>
              </w:rPr>
              <w:t>Twin chart estimated fetal weight centile</w:t>
            </w:r>
          </w:p>
        </w:tc>
        <w:tc>
          <w:tcPr>
            <w:tcW w:w="1669" w:type="dxa"/>
            <w:vAlign w:val="center"/>
          </w:tcPr>
          <w:p w14:paraId="2AA7AE77" w14:textId="570D4F41"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1.3</w:t>
            </w:r>
          </w:p>
        </w:tc>
        <w:tc>
          <w:tcPr>
            <w:tcW w:w="1670" w:type="dxa"/>
            <w:vAlign w:val="center"/>
          </w:tcPr>
          <w:p w14:paraId="1BC03292" w14:textId="53B089F7"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2.6</w:t>
            </w:r>
          </w:p>
        </w:tc>
        <w:tc>
          <w:tcPr>
            <w:tcW w:w="1669" w:type="dxa"/>
            <w:vAlign w:val="center"/>
          </w:tcPr>
          <w:p w14:paraId="17A186CC" w14:textId="55A9CFE9" w:rsidR="00D91575" w:rsidRPr="00156AEA"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4.3</w:t>
            </w:r>
          </w:p>
        </w:tc>
        <w:tc>
          <w:tcPr>
            <w:tcW w:w="1675" w:type="dxa"/>
            <w:vAlign w:val="center"/>
          </w:tcPr>
          <w:p w14:paraId="2FF03B1C" w14:textId="278F357E" w:rsidR="00D91575" w:rsidRPr="00443C16" w:rsidRDefault="00D91575" w:rsidP="00D91575">
            <w:pPr>
              <w:spacing w:before="120" w:after="120"/>
              <w:jc w:val="center"/>
              <w:rPr>
                <w:rFonts w:ascii="Arial" w:hAnsi="Arial" w:cs="Arial"/>
                <w:sz w:val="22"/>
                <w:szCs w:val="22"/>
                <w:lang w:val="en-US"/>
              </w:rPr>
            </w:pPr>
            <w:r w:rsidRPr="00156AEA">
              <w:rPr>
                <w:rFonts w:ascii="Arial" w:hAnsi="Arial" w:cs="Arial"/>
                <w:sz w:val="22"/>
                <w:szCs w:val="22"/>
                <w:lang w:val="en-US"/>
              </w:rPr>
              <w:t>8</w:t>
            </w:r>
          </w:p>
        </w:tc>
      </w:tr>
    </w:tbl>
    <w:p w14:paraId="02D147BB" w14:textId="77777777" w:rsidR="009C7AB4" w:rsidRPr="00156AEA" w:rsidRDefault="009C7AB4" w:rsidP="009C7AB4">
      <w:pPr>
        <w:spacing w:line="480" w:lineRule="auto"/>
        <w:jc w:val="both"/>
        <w:rPr>
          <w:rFonts w:ascii="Arial" w:hAnsi="Arial" w:cs="Arial"/>
          <w:lang w:val="en-US"/>
        </w:rPr>
      </w:pPr>
      <w:r w:rsidRPr="00156AEA">
        <w:rPr>
          <w:rFonts w:ascii="Arial" w:hAnsi="Arial" w:cs="Arial"/>
          <w:lang w:val="en-US"/>
        </w:rPr>
        <w:t>This table shows the threshold values for estimated fetal weight (EFW) discordance and estimated fetal weight centiles based on singleton and twin growth charts, corresponding to fixed false positive rates (FPRs) of 5%, 10%, 20%, and 40% for the prediction of adverse perinatal outcomes in dichorionic and monochorionic twins. EFW discordance values are presented as percentages, while centiles are expressed numerically.</w:t>
      </w:r>
    </w:p>
    <w:p w14:paraId="70B75145" w14:textId="77777777" w:rsidR="0064297A" w:rsidRDefault="0064297A"/>
    <w:sectPr w:rsidR="0064297A" w:rsidSect="00156AEA">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2CA4" w14:textId="77777777" w:rsidR="007A4F8F" w:rsidRDefault="007A4F8F">
      <w:r>
        <w:separator/>
      </w:r>
    </w:p>
  </w:endnote>
  <w:endnote w:type="continuationSeparator" w:id="0">
    <w:p w14:paraId="696200A2" w14:textId="77777777" w:rsidR="007A4F8F" w:rsidRDefault="007A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9375045"/>
      <w:docPartObj>
        <w:docPartGallery w:val="Page Numbers (Bottom of Page)"/>
        <w:docPartUnique/>
      </w:docPartObj>
    </w:sdtPr>
    <w:sdtContent>
      <w:p w14:paraId="7EEBC9FC" w14:textId="77777777" w:rsidR="00E93544" w:rsidRDefault="00000000" w:rsidP="002D0C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B0B1F9" w14:textId="77777777" w:rsidR="00E93544" w:rsidRDefault="00E93544" w:rsidP="00BB24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3032986"/>
      <w:docPartObj>
        <w:docPartGallery w:val="Page Numbers (Bottom of Page)"/>
        <w:docPartUnique/>
      </w:docPartObj>
    </w:sdtPr>
    <w:sdtContent>
      <w:p w14:paraId="5E7D0CBB" w14:textId="77777777" w:rsidR="00E93544" w:rsidRDefault="00000000" w:rsidP="002D0C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5E5399" w14:textId="77777777" w:rsidR="00E93544" w:rsidRDefault="00E93544" w:rsidP="00BB24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8A6E" w14:textId="77777777" w:rsidR="007A4F8F" w:rsidRDefault="007A4F8F">
      <w:r>
        <w:separator/>
      </w:r>
    </w:p>
  </w:footnote>
  <w:footnote w:type="continuationSeparator" w:id="0">
    <w:p w14:paraId="7B67EB9C" w14:textId="77777777" w:rsidR="007A4F8F" w:rsidRDefault="007A4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32"/>
    <w:rsid w:val="000007FB"/>
    <w:rsid w:val="000104F7"/>
    <w:rsid w:val="0001755E"/>
    <w:rsid w:val="00063BF7"/>
    <w:rsid w:val="0008103C"/>
    <w:rsid w:val="00083C44"/>
    <w:rsid w:val="00085DE4"/>
    <w:rsid w:val="00096068"/>
    <w:rsid w:val="000A237F"/>
    <w:rsid w:val="000A335C"/>
    <w:rsid w:val="000A5AF9"/>
    <w:rsid w:val="000A6B96"/>
    <w:rsid w:val="000A6E2D"/>
    <w:rsid w:val="000B05E3"/>
    <w:rsid w:val="000C6DD2"/>
    <w:rsid w:val="000D06AA"/>
    <w:rsid w:val="000E06C0"/>
    <w:rsid w:val="000E198B"/>
    <w:rsid w:val="000F2632"/>
    <w:rsid w:val="000F5161"/>
    <w:rsid w:val="00115619"/>
    <w:rsid w:val="001240AF"/>
    <w:rsid w:val="001522E4"/>
    <w:rsid w:val="0015274C"/>
    <w:rsid w:val="0015329A"/>
    <w:rsid w:val="001533FE"/>
    <w:rsid w:val="00156AEA"/>
    <w:rsid w:val="001632A4"/>
    <w:rsid w:val="0018136D"/>
    <w:rsid w:val="00197B02"/>
    <w:rsid w:val="001A704A"/>
    <w:rsid w:val="001B323F"/>
    <w:rsid w:val="001C0E9D"/>
    <w:rsid w:val="001C4D69"/>
    <w:rsid w:val="001D2454"/>
    <w:rsid w:val="00200A40"/>
    <w:rsid w:val="00202AF3"/>
    <w:rsid w:val="00231598"/>
    <w:rsid w:val="002353B6"/>
    <w:rsid w:val="00235B1B"/>
    <w:rsid w:val="0026614F"/>
    <w:rsid w:val="00273819"/>
    <w:rsid w:val="00282941"/>
    <w:rsid w:val="0028388F"/>
    <w:rsid w:val="00291C4A"/>
    <w:rsid w:val="00296A2D"/>
    <w:rsid w:val="002B737F"/>
    <w:rsid w:val="002C07CD"/>
    <w:rsid w:val="002E78D8"/>
    <w:rsid w:val="0032259B"/>
    <w:rsid w:val="003229AD"/>
    <w:rsid w:val="00325E40"/>
    <w:rsid w:val="00326CCF"/>
    <w:rsid w:val="00336C89"/>
    <w:rsid w:val="0034091D"/>
    <w:rsid w:val="00347F0E"/>
    <w:rsid w:val="0035505A"/>
    <w:rsid w:val="00356975"/>
    <w:rsid w:val="0036577C"/>
    <w:rsid w:val="00370EB3"/>
    <w:rsid w:val="0037180B"/>
    <w:rsid w:val="003733B0"/>
    <w:rsid w:val="0038772E"/>
    <w:rsid w:val="0039397F"/>
    <w:rsid w:val="00396589"/>
    <w:rsid w:val="003A101E"/>
    <w:rsid w:val="003A113E"/>
    <w:rsid w:val="003A21F7"/>
    <w:rsid w:val="003A254D"/>
    <w:rsid w:val="003A4C4B"/>
    <w:rsid w:val="003B5107"/>
    <w:rsid w:val="003B53DB"/>
    <w:rsid w:val="003C59C1"/>
    <w:rsid w:val="003E04FF"/>
    <w:rsid w:val="003E40F3"/>
    <w:rsid w:val="003F4DC8"/>
    <w:rsid w:val="004116CC"/>
    <w:rsid w:val="00414C8F"/>
    <w:rsid w:val="00432F09"/>
    <w:rsid w:val="00443C28"/>
    <w:rsid w:val="0044546A"/>
    <w:rsid w:val="00453D4B"/>
    <w:rsid w:val="00496635"/>
    <w:rsid w:val="00496CA3"/>
    <w:rsid w:val="004A28B6"/>
    <w:rsid w:val="004A43B6"/>
    <w:rsid w:val="004C1CBA"/>
    <w:rsid w:val="004C60BB"/>
    <w:rsid w:val="004C76A3"/>
    <w:rsid w:val="004D02C5"/>
    <w:rsid w:val="004D3926"/>
    <w:rsid w:val="004E2E1E"/>
    <w:rsid w:val="004E4DB8"/>
    <w:rsid w:val="004E6CA5"/>
    <w:rsid w:val="00501277"/>
    <w:rsid w:val="005024B6"/>
    <w:rsid w:val="005052E2"/>
    <w:rsid w:val="0050774F"/>
    <w:rsid w:val="005079D8"/>
    <w:rsid w:val="005173BF"/>
    <w:rsid w:val="00521584"/>
    <w:rsid w:val="00542F30"/>
    <w:rsid w:val="00554EFC"/>
    <w:rsid w:val="00563F5D"/>
    <w:rsid w:val="0057799D"/>
    <w:rsid w:val="005968D4"/>
    <w:rsid w:val="0059747B"/>
    <w:rsid w:val="00597B57"/>
    <w:rsid w:val="005A2F5D"/>
    <w:rsid w:val="005B1333"/>
    <w:rsid w:val="005C0C95"/>
    <w:rsid w:val="005C1411"/>
    <w:rsid w:val="005E20EA"/>
    <w:rsid w:val="005F3157"/>
    <w:rsid w:val="00606B09"/>
    <w:rsid w:val="00616959"/>
    <w:rsid w:val="00616990"/>
    <w:rsid w:val="00636A63"/>
    <w:rsid w:val="0064297A"/>
    <w:rsid w:val="00644B2A"/>
    <w:rsid w:val="00674059"/>
    <w:rsid w:val="00677228"/>
    <w:rsid w:val="00683AD6"/>
    <w:rsid w:val="00683D92"/>
    <w:rsid w:val="00687164"/>
    <w:rsid w:val="006975DB"/>
    <w:rsid w:val="006B0E25"/>
    <w:rsid w:val="006D0AA3"/>
    <w:rsid w:val="006D4EAC"/>
    <w:rsid w:val="006E4B4A"/>
    <w:rsid w:val="006F3096"/>
    <w:rsid w:val="006F3766"/>
    <w:rsid w:val="006F5CC5"/>
    <w:rsid w:val="006F5DC5"/>
    <w:rsid w:val="006F7995"/>
    <w:rsid w:val="00716AC7"/>
    <w:rsid w:val="00725683"/>
    <w:rsid w:val="00734EB3"/>
    <w:rsid w:val="00761199"/>
    <w:rsid w:val="00761457"/>
    <w:rsid w:val="00770680"/>
    <w:rsid w:val="007720BF"/>
    <w:rsid w:val="00772A63"/>
    <w:rsid w:val="00773B20"/>
    <w:rsid w:val="007976B4"/>
    <w:rsid w:val="007A4F8F"/>
    <w:rsid w:val="007B3342"/>
    <w:rsid w:val="007B3EC1"/>
    <w:rsid w:val="007C1335"/>
    <w:rsid w:val="007F7195"/>
    <w:rsid w:val="00800BFC"/>
    <w:rsid w:val="00813633"/>
    <w:rsid w:val="00817885"/>
    <w:rsid w:val="00821592"/>
    <w:rsid w:val="008224DE"/>
    <w:rsid w:val="00830123"/>
    <w:rsid w:val="00845F23"/>
    <w:rsid w:val="00853A11"/>
    <w:rsid w:val="008562C7"/>
    <w:rsid w:val="008651CB"/>
    <w:rsid w:val="008654F7"/>
    <w:rsid w:val="00870732"/>
    <w:rsid w:val="0087550B"/>
    <w:rsid w:val="00875DA8"/>
    <w:rsid w:val="008838B6"/>
    <w:rsid w:val="008A4776"/>
    <w:rsid w:val="008A615F"/>
    <w:rsid w:val="008B263F"/>
    <w:rsid w:val="008B32CB"/>
    <w:rsid w:val="008B373D"/>
    <w:rsid w:val="008B4F0D"/>
    <w:rsid w:val="008C4D1E"/>
    <w:rsid w:val="008D3D43"/>
    <w:rsid w:val="008E52BC"/>
    <w:rsid w:val="008F04D3"/>
    <w:rsid w:val="008F46BF"/>
    <w:rsid w:val="008F5681"/>
    <w:rsid w:val="00911048"/>
    <w:rsid w:val="00912F1C"/>
    <w:rsid w:val="009155CE"/>
    <w:rsid w:val="009177F3"/>
    <w:rsid w:val="0092231C"/>
    <w:rsid w:val="00942B2B"/>
    <w:rsid w:val="009669F5"/>
    <w:rsid w:val="00966E91"/>
    <w:rsid w:val="0098512F"/>
    <w:rsid w:val="00986E89"/>
    <w:rsid w:val="00994ACC"/>
    <w:rsid w:val="009A4E4A"/>
    <w:rsid w:val="009B1900"/>
    <w:rsid w:val="009C7AB4"/>
    <w:rsid w:val="009E2836"/>
    <w:rsid w:val="009E66D1"/>
    <w:rsid w:val="009E7FD0"/>
    <w:rsid w:val="009F58D2"/>
    <w:rsid w:val="009F6D6B"/>
    <w:rsid w:val="009F7418"/>
    <w:rsid w:val="00A172C4"/>
    <w:rsid w:val="00A207A6"/>
    <w:rsid w:val="00A20E3F"/>
    <w:rsid w:val="00A4173E"/>
    <w:rsid w:val="00A45079"/>
    <w:rsid w:val="00A50645"/>
    <w:rsid w:val="00A55C74"/>
    <w:rsid w:val="00A63A0E"/>
    <w:rsid w:val="00A801A0"/>
    <w:rsid w:val="00A824C5"/>
    <w:rsid w:val="00A87429"/>
    <w:rsid w:val="00A92358"/>
    <w:rsid w:val="00A96E02"/>
    <w:rsid w:val="00A975DE"/>
    <w:rsid w:val="00AC4B1A"/>
    <w:rsid w:val="00AD0CC3"/>
    <w:rsid w:val="00AE098D"/>
    <w:rsid w:val="00AF00F3"/>
    <w:rsid w:val="00AF1425"/>
    <w:rsid w:val="00B12B12"/>
    <w:rsid w:val="00B32E72"/>
    <w:rsid w:val="00B34481"/>
    <w:rsid w:val="00B73BA6"/>
    <w:rsid w:val="00B94BF7"/>
    <w:rsid w:val="00BA245F"/>
    <w:rsid w:val="00BA74D4"/>
    <w:rsid w:val="00BB0FB2"/>
    <w:rsid w:val="00BB27F2"/>
    <w:rsid w:val="00BB427B"/>
    <w:rsid w:val="00BC125D"/>
    <w:rsid w:val="00BD6C54"/>
    <w:rsid w:val="00BF4912"/>
    <w:rsid w:val="00C0008F"/>
    <w:rsid w:val="00C40EC5"/>
    <w:rsid w:val="00C50FEE"/>
    <w:rsid w:val="00C67770"/>
    <w:rsid w:val="00C734C1"/>
    <w:rsid w:val="00C747F7"/>
    <w:rsid w:val="00C93783"/>
    <w:rsid w:val="00CB3483"/>
    <w:rsid w:val="00CD4C35"/>
    <w:rsid w:val="00CD76F8"/>
    <w:rsid w:val="00CF2774"/>
    <w:rsid w:val="00D00AF2"/>
    <w:rsid w:val="00D13E32"/>
    <w:rsid w:val="00D14EDD"/>
    <w:rsid w:val="00D3357A"/>
    <w:rsid w:val="00D43505"/>
    <w:rsid w:val="00D55ED9"/>
    <w:rsid w:val="00D74976"/>
    <w:rsid w:val="00D76098"/>
    <w:rsid w:val="00D824FD"/>
    <w:rsid w:val="00D83E7F"/>
    <w:rsid w:val="00D85A80"/>
    <w:rsid w:val="00D91575"/>
    <w:rsid w:val="00DA1642"/>
    <w:rsid w:val="00DA2038"/>
    <w:rsid w:val="00DB4368"/>
    <w:rsid w:val="00DB53F2"/>
    <w:rsid w:val="00DE214D"/>
    <w:rsid w:val="00DE7564"/>
    <w:rsid w:val="00DF1204"/>
    <w:rsid w:val="00E00566"/>
    <w:rsid w:val="00E32CF9"/>
    <w:rsid w:val="00E444CC"/>
    <w:rsid w:val="00E5083A"/>
    <w:rsid w:val="00E67B85"/>
    <w:rsid w:val="00E92717"/>
    <w:rsid w:val="00E93544"/>
    <w:rsid w:val="00EA240E"/>
    <w:rsid w:val="00EA7EEC"/>
    <w:rsid w:val="00EB2CDA"/>
    <w:rsid w:val="00EB6BFF"/>
    <w:rsid w:val="00EE065E"/>
    <w:rsid w:val="00EE4DC6"/>
    <w:rsid w:val="00EF6497"/>
    <w:rsid w:val="00F15B2B"/>
    <w:rsid w:val="00F2000E"/>
    <w:rsid w:val="00F21B9D"/>
    <w:rsid w:val="00F2276A"/>
    <w:rsid w:val="00F34537"/>
    <w:rsid w:val="00F46B61"/>
    <w:rsid w:val="00F66884"/>
    <w:rsid w:val="00F7152B"/>
    <w:rsid w:val="00F730B8"/>
    <w:rsid w:val="00F93608"/>
    <w:rsid w:val="00FA7C03"/>
    <w:rsid w:val="00FD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7A42"/>
  <w15:chartTrackingRefBased/>
  <w15:docId w15:val="{D3357E43-8687-C04D-AD54-8F3DCF69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32"/>
  </w:style>
  <w:style w:type="paragraph" w:styleId="Heading1">
    <w:name w:val="heading 1"/>
    <w:basedOn w:val="Normal"/>
    <w:next w:val="Normal"/>
    <w:link w:val="Heading1Char"/>
    <w:uiPriority w:val="9"/>
    <w:qFormat/>
    <w:rsid w:val="00870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7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7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7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7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732"/>
    <w:rPr>
      <w:rFonts w:eastAsiaTheme="majorEastAsia" w:cstheme="majorBidi"/>
      <w:color w:val="272727" w:themeColor="text1" w:themeTint="D8"/>
    </w:rPr>
  </w:style>
  <w:style w:type="paragraph" w:styleId="Title">
    <w:name w:val="Title"/>
    <w:basedOn w:val="Normal"/>
    <w:next w:val="Normal"/>
    <w:link w:val="TitleChar"/>
    <w:uiPriority w:val="10"/>
    <w:qFormat/>
    <w:rsid w:val="008707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7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7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732"/>
    <w:rPr>
      <w:i/>
      <w:iCs/>
      <w:color w:val="404040" w:themeColor="text1" w:themeTint="BF"/>
    </w:rPr>
  </w:style>
  <w:style w:type="paragraph" w:styleId="ListParagraph">
    <w:name w:val="List Paragraph"/>
    <w:basedOn w:val="Normal"/>
    <w:uiPriority w:val="34"/>
    <w:qFormat/>
    <w:rsid w:val="00870732"/>
    <w:pPr>
      <w:ind w:left="720"/>
      <w:contextualSpacing/>
    </w:pPr>
  </w:style>
  <w:style w:type="character" w:styleId="IntenseEmphasis">
    <w:name w:val="Intense Emphasis"/>
    <w:basedOn w:val="DefaultParagraphFont"/>
    <w:uiPriority w:val="21"/>
    <w:qFormat/>
    <w:rsid w:val="00870732"/>
    <w:rPr>
      <w:i/>
      <w:iCs/>
      <w:color w:val="0F4761" w:themeColor="accent1" w:themeShade="BF"/>
    </w:rPr>
  </w:style>
  <w:style w:type="paragraph" w:styleId="IntenseQuote">
    <w:name w:val="Intense Quote"/>
    <w:basedOn w:val="Normal"/>
    <w:next w:val="Normal"/>
    <w:link w:val="IntenseQuoteChar"/>
    <w:uiPriority w:val="30"/>
    <w:qFormat/>
    <w:rsid w:val="00870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732"/>
    <w:rPr>
      <w:i/>
      <w:iCs/>
      <w:color w:val="0F4761" w:themeColor="accent1" w:themeShade="BF"/>
    </w:rPr>
  </w:style>
  <w:style w:type="character" w:styleId="IntenseReference">
    <w:name w:val="Intense Reference"/>
    <w:basedOn w:val="DefaultParagraphFont"/>
    <w:uiPriority w:val="32"/>
    <w:qFormat/>
    <w:rsid w:val="00870732"/>
    <w:rPr>
      <w:b/>
      <w:bCs/>
      <w:smallCaps/>
      <w:color w:val="0F4761" w:themeColor="accent1" w:themeShade="BF"/>
      <w:spacing w:val="5"/>
    </w:rPr>
  </w:style>
  <w:style w:type="paragraph" w:styleId="Footer">
    <w:name w:val="footer"/>
    <w:basedOn w:val="Normal"/>
    <w:link w:val="FooterChar"/>
    <w:uiPriority w:val="99"/>
    <w:unhideWhenUsed/>
    <w:rsid w:val="00870732"/>
    <w:pPr>
      <w:tabs>
        <w:tab w:val="center" w:pos="4513"/>
        <w:tab w:val="right" w:pos="9026"/>
      </w:tabs>
    </w:pPr>
  </w:style>
  <w:style w:type="character" w:customStyle="1" w:styleId="FooterChar">
    <w:name w:val="Footer Char"/>
    <w:basedOn w:val="DefaultParagraphFont"/>
    <w:link w:val="Footer"/>
    <w:uiPriority w:val="99"/>
    <w:rsid w:val="00870732"/>
  </w:style>
  <w:style w:type="character" w:styleId="PageNumber">
    <w:name w:val="page number"/>
    <w:basedOn w:val="DefaultParagraphFont"/>
    <w:uiPriority w:val="99"/>
    <w:semiHidden/>
    <w:unhideWhenUsed/>
    <w:rsid w:val="00870732"/>
  </w:style>
  <w:style w:type="character" w:styleId="LineNumber">
    <w:name w:val="line number"/>
    <w:basedOn w:val="DefaultParagraphFont"/>
    <w:uiPriority w:val="99"/>
    <w:semiHidden/>
    <w:unhideWhenUsed/>
    <w:rsid w:val="00870732"/>
  </w:style>
  <w:style w:type="table" w:styleId="TableGrid">
    <w:name w:val="Table Grid"/>
    <w:basedOn w:val="TableNormal"/>
    <w:uiPriority w:val="39"/>
    <w:rsid w:val="00340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d959d4-bd39-4a03-8053-226e0a73a35d" xsi:nil="true"/>
    <lcf76f155ced4ddcb4097134ff3c332f xmlns="b698f96d-d5ec-48b2-ae82-8afd58f7cf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6558F88BE734894A08D8394EE58EE" ma:contentTypeVersion="14" ma:contentTypeDescription="Create a new document." ma:contentTypeScope="" ma:versionID="c699f9aba66f115c65af4724798487d8">
  <xsd:schema xmlns:xsd="http://www.w3.org/2001/XMLSchema" xmlns:xs="http://www.w3.org/2001/XMLSchema" xmlns:p="http://schemas.microsoft.com/office/2006/metadata/properties" xmlns:ns2="b698f96d-d5ec-48b2-ae82-8afd58f7cf55" xmlns:ns3="32d959d4-bd39-4a03-8053-226e0a73a35d" targetNamespace="http://schemas.microsoft.com/office/2006/metadata/properties" ma:root="true" ma:fieldsID="b1db9b20e80023889f342a2329615a70" ns2:_="" ns3:_="">
    <xsd:import namespace="b698f96d-d5ec-48b2-ae82-8afd58f7cf55"/>
    <xsd:import namespace="32d959d4-bd39-4a03-8053-226e0a73a35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8f96d-d5ec-48b2-ae82-8afd58f7cf5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47fb5a4-a0ac-49d0-9a4e-8590e20716b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959d4-bd39-4a03-8053-226e0a73a35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d8c34a-7f38-44f5-a8e7-c781c9b378c9}" ma:internalName="TaxCatchAll" ma:showField="CatchAllData" ma:web="32d959d4-bd39-4a03-8053-226e0a73a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B1749-5266-4D8C-80A0-69DD87618CF8}">
  <ds:schemaRefs>
    <ds:schemaRef ds:uri="http://schemas.microsoft.com/office/2006/metadata/properties"/>
    <ds:schemaRef ds:uri="http://schemas.microsoft.com/office/infopath/2007/PartnerControls"/>
    <ds:schemaRef ds:uri="32d959d4-bd39-4a03-8053-226e0a73a35d"/>
    <ds:schemaRef ds:uri="b698f96d-d5ec-48b2-ae82-8afd58f7cf55"/>
  </ds:schemaRefs>
</ds:datastoreItem>
</file>

<file path=customXml/itemProps2.xml><?xml version="1.0" encoding="utf-8"?>
<ds:datastoreItem xmlns:ds="http://schemas.openxmlformats.org/officeDocument/2006/customXml" ds:itemID="{EB3ECE2B-7A1B-4CAA-9049-7C4BA3582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8f96d-d5ec-48b2-ae82-8afd58f7cf55"/>
    <ds:schemaRef ds:uri="32d959d4-bd39-4a03-8053-226e0a73a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82475-0E75-4F16-81BE-C232B280F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giorgione</dc:creator>
  <cp:keywords/>
  <dc:description/>
  <cp:lastModifiedBy>John Forder</cp:lastModifiedBy>
  <cp:revision>3</cp:revision>
  <dcterms:created xsi:type="dcterms:W3CDTF">2025-10-02T09:28:00Z</dcterms:created>
  <dcterms:modified xsi:type="dcterms:W3CDTF">2025-10-21T09:37:00Z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0x01010062C6558F88BE734894A08D8394EE58EE</vt:lpwstr>
  </property>
</Properties>
</file>