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C51F" w14:textId="37E51AF3" w:rsidR="00FD7D57" w:rsidRPr="009D57A3" w:rsidRDefault="00B043B5" w:rsidP="00FD7D57">
      <w:pPr>
        <w:spacing w:line="480" w:lineRule="auto"/>
        <w:jc w:val="both"/>
        <w:rPr>
          <w:rFonts w:ascii="Arial" w:hAnsi="Arial" w:cs="Arial"/>
          <w:b/>
          <w:bCs/>
          <w:sz w:val="24"/>
          <w:szCs w:val="24"/>
        </w:rPr>
      </w:pPr>
      <w:r w:rsidRPr="009D57A3">
        <w:rPr>
          <w:rFonts w:ascii="Arial" w:hAnsi="Arial" w:cs="Arial"/>
          <w:b/>
          <w:bCs/>
          <w:sz w:val="24"/>
          <w:szCs w:val="24"/>
        </w:rPr>
        <w:t>SUPPLEMENTARY METHODS</w:t>
      </w:r>
    </w:p>
    <w:p w14:paraId="25017177" w14:textId="77777777" w:rsidR="000014C3" w:rsidRPr="009D57A3" w:rsidRDefault="000014C3" w:rsidP="00FD7D57">
      <w:pPr>
        <w:spacing w:line="480" w:lineRule="auto"/>
        <w:jc w:val="both"/>
        <w:rPr>
          <w:rFonts w:ascii="Arial" w:hAnsi="Arial" w:cs="Arial"/>
          <w:b/>
          <w:bCs/>
          <w:sz w:val="24"/>
          <w:szCs w:val="24"/>
        </w:rPr>
      </w:pPr>
    </w:p>
    <w:p w14:paraId="03D97E0F" w14:textId="77777777" w:rsidR="00767F2D" w:rsidRPr="009D57A3" w:rsidRDefault="00767F2D" w:rsidP="00555BC6">
      <w:pPr>
        <w:spacing w:line="480" w:lineRule="auto"/>
        <w:jc w:val="both"/>
        <w:rPr>
          <w:rFonts w:ascii="Arial" w:hAnsi="Arial" w:cs="Arial"/>
          <w:b/>
          <w:bCs/>
          <w:sz w:val="24"/>
          <w:szCs w:val="24"/>
        </w:rPr>
      </w:pPr>
      <w:r w:rsidRPr="009D57A3">
        <w:rPr>
          <w:rFonts w:ascii="Arial" w:hAnsi="Arial" w:cs="Arial"/>
          <w:b/>
          <w:bCs/>
          <w:sz w:val="24"/>
          <w:szCs w:val="24"/>
        </w:rPr>
        <w:t>Inclusion exclusion criteria</w:t>
      </w:r>
    </w:p>
    <w:p w14:paraId="48F62B6C" w14:textId="5C5DE620" w:rsidR="00767F2D" w:rsidRPr="009D57A3" w:rsidRDefault="00767F2D" w:rsidP="00555BC6">
      <w:pPr>
        <w:spacing w:line="480" w:lineRule="auto"/>
        <w:jc w:val="both"/>
        <w:rPr>
          <w:rFonts w:ascii="Arial" w:hAnsi="Arial" w:cs="Arial"/>
          <w:b/>
          <w:bCs/>
          <w:sz w:val="24"/>
          <w:szCs w:val="24"/>
        </w:rPr>
      </w:pPr>
      <w:r w:rsidRPr="009D57A3">
        <w:rPr>
          <w:rFonts w:ascii="Arial" w:hAnsi="Arial" w:cs="Arial"/>
          <w:sz w:val="24"/>
          <w:szCs w:val="24"/>
        </w:rPr>
        <w:t xml:space="preserve">Inclusion criteria were age 35-90 with a clinical diagnosis of OA. A total of n=128 participants were recruited and assessed for clinical measures (early/advanced OA diagnosis, age, sex, BMI, HADS) and WOMAC subscales for pain and stiffness; n=124 undertook the </w:t>
      </w:r>
      <w:proofErr w:type="spellStart"/>
      <w:r w:rsidRPr="009D57A3">
        <w:rPr>
          <w:rFonts w:ascii="Arial" w:hAnsi="Arial" w:cs="Arial"/>
          <w:sz w:val="24"/>
          <w:szCs w:val="24"/>
        </w:rPr>
        <w:t>painDETECT</w:t>
      </w:r>
      <w:proofErr w:type="spellEnd"/>
      <w:r w:rsidRPr="009D57A3">
        <w:rPr>
          <w:rFonts w:ascii="Arial" w:hAnsi="Arial" w:cs="Arial"/>
          <w:sz w:val="24"/>
          <w:szCs w:val="24"/>
        </w:rPr>
        <w:t xml:space="preserve"> questionnaire for detection of central sensitisation; n=93 had MRI of the most affected knee, undergoing </w:t>
      </w:r>
      <w:r w:rsidRPr="009D57A3">
        <w:rPr>
          <w:rFonts w:ascii="Arial" w:eastAsia="Times New Roman" w:hAnsi="Arial" w:cs="Arial"/>
          <w:sz w:val="24"/>
          <w:szCs w:val="24"/>
          <w:lang w:eastAsia="en-GB"/>
        </w:rPr>
        <w:t xml:space="preserve">TKR for </w:t>
      </w:r>
      <w:r w:rsidRPr="009D57A3">
        <w:rPr>
          <w:rFonts w:ascii="Arial" w:hAnsi="Arial" w:cs="Arial"/>
          <w:sz w:val="24"/>
          <w:szCs w:val="24"/>
        </w:rPr>
        <w:t>advanced OA; clinical knee radiographs were available for n=100 OA patients; serum TSP-4 was measured in n=123 participants in total.</w:t>
      </w:r>
    </w:p>
    <w:p w14:paraId="32F63660" w14:textId="77777777" w:rsidR="00DD67D5" w:rsidRPr="009D57A3" w:rsidRDefault="00DD67D5" w:rsidP="00FD7D57">
      <w:pPr>
        <w:spacing w:line="480" w:lineRule="auto"/>
        <w:jc w:val="both"/>
        <w:rPr>
          <w:rFonts w:ascii="Arial" w:eastAsia="Times New Roman" w:hAnsi="Arial" w:cs="Arial"/>
          <w:b/>
          <w:bCs/>
          <w:color w:val="000000"/>
          <w:sz w:val="24"/>
          <w:szCs w:val="24"/>
        </w:rPr>
      </w:pPr>
    </w:p>
    <w:p w14:paraId="0B809A09" w14:textId="77777777" w:rsidR="000014C3" w:rsidRPr="009D57A3" w:rsidRDefault="000014C3">
      <w:pPr>
        <w:rPr>
          <w:rFonts w:ascii="Arial" w:eastAsia="Times New Roman" w:hAnsi="Arial" w:cs="Arial"/>
          <w:b/>
          <w:bCs/>
          <w:color w:val="000000"/>
          <w:sz w:val="24"/>
          <w:szCs w:val="24"/>
        </w:rPr>
      </w:pPr>
      <w:r w:rsidRPr="009D57A3">
        <w:rPr>
          <w:rFonts w:ascii="Arial" w:eastAsia="Times New Roman" w:hAnsi="Arial" w:cs="Arial"/>
          <w:b/>
          <w:bCs/>
          <w:color w:val="000000"/>
          <w:sz w:val="24"/>
          <w:szCs w:val="24"/>
        </w:rPr>
        <w:br w:type="page"/>
      </w:r>
    </w:p>
    <w:p w14:paraId="54A8863D" w14:textId="16CB21BC" w:rsidR="00892AC5" w:rsidRPr="009D57A3" w:rsidRDefault="00B043B5" w:rsidP="00FD7D57">
      <w:pPr>
        <w:spacing w:line="480" w:lineRule="auto"/>
        <w:jc w:val="both"/>
        <w:rPr>
          <w:rFonts w:ascii="Arial" w:eastAsia="Times New Roman" w:hAnsi="Arial" w:cs="Arial"/>
          <w:b/>
          <w:bCs/>
          <w:color w:val="000000"/>
          <w:sz w:val="24"/>
          <w:szCs w:val="24"/>
        </w:rPr>
      </w:pPr>
      <w:r w:rsidRPr="009D57A3">
        <w:rPr>
          <w:rFonts w:ascii="Arial" w:eastAsia="Times New Roman" w:hAnsi="Arial" w:cs="Arial"/>
          <w:b/>
          <w:bCs/>
          <w:color w:val="000000"/>
          <w:sz w:val="24"/>
          <w:szCs w:val="24"/>
        </w:rPr>
        <w:lastRenderedPageBreak/>
        <w:t>SUPPLEMENTARY DATA and RESULTS</w:t>
      </w:r>
    </w:p>
    <w:p w14:paraId="665AB104" w14:textId="77777777" w:rsidR="00B043B5" w:rsidRPr="009D57A3" w:rsidRDefault="00B043B5" w:rsidP="00FD7D57">
      <w:pPr>
        <w:spacing w:line="480" w:lineRule="auto"/>
        <w:jc w:val="both"/>
        <w:rPr>
          <w:rFonts w:ascii="Arial" w:eastAsia="Times New Roman" w:hAnsi="Arial" w:cs="Arial"/>
          <w:b/>
          <w:bCs/>
          <w:color w:val="000000"/>
          <w:sz w:val="24"/>
          <w:szCs w:val="24"/>
        </w:rPr>
      </w:pPr>
    </w:p>
    <w:p w14:paraId="5275A81A" w14:textId="53819E04" w:rsidR="00D250FC" w:rsidRPr="009D57A3" w:rsidRDefault="00D250FC" w:rsidP="00FD7D57">
      <w:pPr>
        <w:spacing w:line="480" w:lineRule="auto"/>
        <w:jc w:val="both"/>
        <w:rPr>
          <w:rFonts w:ascii="Arial" w:eastAsia="Times New Roman" w:hAnsi="Arial" w:cs="Arial"/>
          <w:color w:val="000000"/>
          <w:sz w:val="24"/>
          <w:szCs w:val="24"/>
        </w:rPr>
      </w:pPr>
      <w:r w:rsidRPr="009D57A3">
        <w:rPr>
          <w:rFonts w:ascii="Arial" w:eastAsia="Times New Roman" w:hAnsi="Arial" w:cs="Arial"/>
          <w:b/>
          <w:bCs/>
          <w:color w:val="000000"/>
          <w:sz w:val="24"/>
          <w:szCs w:val="24"/>
        </w:rPr>
        <w:t>Supplementary Table 1</w:t>
      </w:r>
      <w:r w:rsidR="001F6DFF" w:rsidRPr="009D57A3">
        <w:rPr>
          <w:rFonts w:ascii="Arial" w:eastAsia="Times New Roman" w:hAnsi="Arial" w:cs="Arial"/>
          <w:color w:val="000000"/>
          <w:sz w:val="24"/>
          <w:szCs w:val="24"/>
        </w:rPr>
        <w:tab/>
        <w:t>Data subsets used in the analyses</w:t>
      </w:r>
    </w:p>
    <w:tbl>
      <w:tblPr>
        <w:tblW w:w="9740" w:type="dxa"/>
        <w:tblLook w:val="04A0" w:firstRow="1" w:lastRow="0" w:firstColumn="1" w:lastColumn="0" w:noHBand="0" w:noVBand="1"/>
      </w:tblPr>
      <w:tblGrid>
        <w:gridCol w:w="3020"/>
        <w:gridCol w:w="960"/>
        <w:gridCol w:w="1400"/>
        <w:gridCol w:w="1480"/>
        <w:gridCol w:w="1460"/>
        <w:gridCol w:w="1420"/>
      </w:tblGrid>
      <w:tr w:rsidR="00D250FC" w:rsidRPr="009D57A3" w14:paraId="0E06CC31" w14:textId="77777777" w:rsidTr="00D250FC">
        <w:trPr>
          <w:trHeight w:val="300"/>
        </w:trPr>
        <w:tc>
          <w:tcPr>
            <w:tcW w:w="3020" w:type="dxa"/>
            <w:tcBorders>
              <w:top w:val="nil"/>
              <w:left w:val="nil"/>
              <w:bottom w:val="nil"/>
              <w:right w:val="nil"/>
            </w:tcBorders>
            <w:hideMark/>
          </w:tcPr>
          <w:p w14:paraId="591BB36B" w14:textId="77777777" w:rsidR="00D250FC" w:rsidRPr="009D57A3" w:rsidRDefault="00D250FC" w:rsidP="00D250FC">
            <w:pPr>
              <w:spacing w:after="0" w:line="240" w:lineRule="auto"/>
              <w:rPr>
                <w:rFonts w:ascii="Arial" w:eastAsia="Times New Roman" w:hAnsi="Arial" w:cs="Arial"/>
                <w:sz w:val="20"/>
                <w:szCs w:val="20"/>
                <w:lang w:eastAsia="en-GB"/>
              </w:rPr>
            </w:pPr>
          </w:p>
        </w:tc>
        <w:tc>
          <w:tcPr>
            <w:tcW w:w="2360"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6BEEAE9"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Full dataset values</w:t>
            </w:r>
          </w:p>
        </w:tc>
        <w:tc>
          <w:tcPr>
            <w:tcW w:w="1480" w:type="dxa"/>
            <w:tcBorders>
              <w:top w:val="single" w:sz="4" w:space="0" w:color="auto"/>
              <w:left w:val="nil"/>
              <w:bottom w:val="nil"/>
              <w:right w:val="single" w:sz="4" w:space="0" w:color="auto"/>
            </w:tcBorders>
            <w:noWrap/>
            <w:vAlign w:val="bottom"/>
            <w:hideMark/>
          </w:tcPr>
          <w:p w14:paraId="3546BAB9"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CTX-II subset</w:t>
            </w:r>
          </w:p>
        </w:tc>
        <w:tc>
          <w:tcPr>
            <w:tcW w:w="1460" w:type="dxa"/>
            <w:tcBorders>
              <w:top w:val="single" w:sz="4" w:space="0" w:color="auto"/>
              <w:left w:val="nil"/>
              <w:bottom w:val="nil"/>
              <w:right w:val="single" w:sz="4" w:space="0" w:color="auto"/>
            </w:tcBorders>
            <w:noWrap/>
            <w:vAlign w:val="bottom"/>
            <w:hideMark/>
          </w:tcPr>
          <w:p w14:paraId="75760905"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MRI subset</w:t>
            </w:r>
          </w:p>
        </w:tc>
        <w:tc>
          <w:tcPr>
            <w:tcW w:w="1420" w:type="dxa"/>
            <w:tcBorders>
              <w:top w:val="single" w:sz="4" w:space="0" w:color="auto"/>
              <w:left w:val="nil"/>
              <w:bottom w:val="nil"/>
              <w:right w:val="single" w:sz="4" w:space="0" w:color="auto"/>
            </w:tcBorders>
            <w:noWrap/>
            <w:vAlign w:val="bottom"/>
            <w:hideMark/>
          </w:tcPr>
          <w:p w14:paraId="4C44FF66"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Xray subset</w:t>
            </w:r>
          </w:p>
        </w:tc>
      </w:tr>
      <w:tr w:rsidR="00D250FC" w:rsidRPr="009D57A3" w14:paraId="3A0E7895" w14:textId="77777777" w:rsidTr="00D250FC">
        <w:trPr>
          <w:trHeight w:val="300"/>
        </w:trPr>
        <w:tc>
          <w:tcPr>
            <w:tcW w:w="3020" w:type="dxa"/>
            <w:tcBorders>
              <w:top w:val="nil"/>
              <w:left w:val="nil"/>
              <w:bottom w:val="nil"/>
              <w:right w:val="nil"/>
            </w:tcBorders>
            <w:hideMark/>
          </w:tcPr>
          <w:p w14:paraId="35D42900"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p>
        </w:tc>
        <w:tc>
          <w:tcPr>
            <w:tcW w:w="2360" w:type="dxa"/>
            <w:gridSpan w:val="2"/>
            <w:vMerge/>
            <w:tcBorders>
              <w:top w:val="nil"/>
              <w:left w:val="nil"/>
              <w:bottom w:val="nil"/>
              <w:right w:val="nil"/>
            </w:tcBorders>
            <w:vAlign w:val="center"/>
            <w:hideMark/>
          </w:tcPr>
          <w:p w14:paraId="2735BD7E" w14:textId="77777777" w:rsidR="00D250FC" w:rsidRPr="009D57A3" w:rsidRDefault="00D250FC" w:rsidP="00D250FC">
            <w:pPr>
              <w:spacing w:after="0" w:line="240" w:lineRule="auto"/>
              <w:rPr>
                <w:rFonts w:ascii="Arial" w:eastAsia="Times New Roman" w:hAnsi="Arial" w:cs="Arial"/>
                <w:b/>
                <w:bCs/>
                <w:color w:val="000000"/>
                <w:sz w:val="20"/>
                <w:szCs w:val="20"/>
                <w:lang w:eastAsia="en-GB"/>
              </w:rPr>
            </w:pPr>
          </w:p>
        </w:tc>
        <w:tc>
          <w:tcPr>
            <w:tcW w:w="1480" w:type="dxa"/>
            <w:tcBorders>
              <w:top w:val="nil"/>
              <w:left w:val="nil"/>
              <w:bottom w:val="single" w:sz="4" w:space="0" w:color="auto"/>
              <w:right w:val="single" w:sz="4" w:space="0" w:color="auto"/>
            </w:tcBorders>
            <w:noWrap/>
            <w:vAlign w:val="bottom"/>
            <w:hideMark/>
          </w:tcPr>
          <w:p w14:paraId="53B3521B"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N=112</w:t>
            </w:r>
          </w:p>
        </w:tc>
        <w:tc>
          <w:tcPr>
            <w:tcW w:w="1460" w:type="dxa"/>
            <w:tcBorders>
              <w:top w:val="nil"/>
              <w:left w:val="nil"/>
              <w:bottom w:val="single" w:sz="4" w:space="0" w:color="auto"/>
              <w:right w:val="single" w:sz="4" w:space="0" w:color="auto"/>
            </w:tcBorders>
            <w:noWrap/>
            <w:vAlign w:val="bottom"/>
            <w:hideMark/>
          </w:tcPr>
          <w:p w14:paraId="2161ACA7"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N=93</w:t>
            </w:r>
          </w:p>
        </w:tc>
        <w:tc>
          <w:tcPr>
            <w:tcW w:w="1420" w:type="dxa"/>
            <w:tcBorders>
              <w:top w:val="nil"/>
              <w:left w:val="nil"/>
              <w:bottom w:val="single" w:sz="4" w:space="0" w:color="auto"/>
              <w:right w:val="single" w:sz="4" w:space="0" w:color="auto"/>
            </w:tcBorders>
            <w:noWrap/>
            <w:vAlign w:val="bottom"/>
            <w:hideMark/>
          </w:tcPr>
          <w:p w14:paraId="3B294A26" w14:textId="77777777" w:rsidR="00D250FC" w:rsidRPr="009D57A3" w:rsidRDefault="00D250FC" w:rsidP="00D250FC">
            <w:pPr>
              <w:spacing w:after="0" w:line="240" w:lineRule="auto"/>
              <w:jc w:val="center"/>
              <w:rPr>
                <w:rFonts w:ascii="Arial" w:eastAsia="Times New Roman" w:hAnsi="Arial" w:cs="Arial"/>
                <w:b/>
                <w:bCs/>
                <w:color w:val="000000"/>
                <w:sz w:val="20"/>
                <w:szCs w:val="20"/>
                <w:lang w:eastAsia="en-GB"/>
              </w:rPr>
            </w:pPr>
            <w:r w:rsidRPr="009D57A3">
              <w:rPr>
                <w:rFonts w:ascii="Arial" w:eastAsia="Times New Roman" w:hAnsi="Arial" w:cs="Arial"/>
                <w:b/>
                <w:bCs/>
                <w:color w:val="000000"/>
                <w:sz w:val="20"/>
                <w:szCs w:val="20"/>
                <w:lang w:eastAsia="en-GB"/>
              </w:rPr>
              <w:t>N=100</w:t>
            </w:r>
          </w:p>
        </w:tc>
      </w:tr>
      <w:tr w:rsidR="00D250FC" w:rsidRPr="009D57A3" w14:paraId="25FE561F" w14:textId="77777777" w:rsidTr="00D250FC">
        <w:trPr>
          <w:trHeight w:val="750"/>
        </w:trPr>
        <w:tc>
          <w:tcPr>
            <w:tcW w:w="3020" w:type="dxa"/>
            <w:tcBorders>
              <w:top w:val="nil"/>
              <w:left w:val="nil"/>
              <w:bottom w:val="nil"/>
              <w:right w:val="nil"/>
            </w:tcBorders>
            <w:vAlign w:val="bottom"/>
            <w:hideMark/>
          </w:tcPr>
          <w:p w14:paraId="5834D1BB" w14:textId="77777777" w:rsidR="00D250FC" w:rsidRPr="009D57A3" w:rsidRDefault="00D250FC" w:rsidP="00D250FC">
            <w:pPr>
              <w:spacing w:after="0" w:line="240" w:lineRule="auto"/>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Clinical parameters</w:t>
            </w:r>
          </w:p>
        </w:tc>
        <w:tc>
          <w:tcPr>
            <w:tcW w:w="960" w:type="dxa"/>
            <w:tcBorders>
              <w:top w:val="nil"/>
              <w:left w:val="single" w:sz="4" w:space="0" w:color="auto"/>
              <w:bottom w:val="single" w:sz="4" w:space="0" w:color="auto"/>
              <w:right w:val="single" w:sz="4" w:space="0" w:color="auto"/>
            </w:tcBorders>
            <w:noWrap/>
            <w:vAlign w:val="center"/>
            <w:hideMark/>
          </w:tcPr>
          <w:p w14:paraId="7D5ED875"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 total</w:t>
            </w:r>
          </w:p>
        </w:tc>
        <w:tc>
          <w:tcPr>
            <w:tcW w:w="1400" w:type="dxa"/>
            <w:tcBorders>
              <w:top w:val="nil"/>
              <w:left w:val="nil"/>
              <w:bottom w:val="single" w:sz="4" w:space="0" w:color="auto"/>
              <w:right w:val="single" w:sz="4" w:space="0" w:color="auto"/>
            </w:tcBorders>
            <w:vAlign w:val="bottom"/>
            <w:hideMark/>
          </w:tcPr>
          <w:p w14:paraId="3AA3056D"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N/N or mean(</w:t>
            </w:r>
            <w:proofErr w:type="spellStart"/>
            <w:r w:rsidRPr="009D57A3">
              <w:rPr>
                <w:rFonts w:ascii="Arial" w:eastAsia="Times New Roman" w:hAnsi="Arial" w:cs="Arial"/>
                <w:b/>
                <w:bCs/>
                <w:i/>
                <w:iCs/>
                <w:color w:val="000000"/>
                <w:sz w:val="20"/>
                <w:szCs w:val="20"/>
                <w:lang w:eastAsia="en-GB"/>
              </w:rPr>
              <w:t>stdev</w:t>
            </w:r>
            <w:proofErr w:type="spellEnd"/>
            <w:r w:rsidRPr="009D57A3">
              <w:rPr>
                <w:rFonts w:ascii="Arial" w:eastAsia="Times New Roman" w:hAnsi="Arial" w:cs="Arial"/>
                <w:b/>
                <w:bCs/>
                <w:i/>
                <w:iCs/>
                <w:color w:val="000000"/>
                <w:sz w:val="20"/>
                <w:szCs w:val="20"/>
                <w:lang w:eastAsia="en-GB"/>
              </w:rPr>
              <w:t>)</w:t>
            </w:r>
          </w:p>
        </w:tc>
        <w:tc>
          <w:tcPr>
            <w:tcW w:w="1480" w:type="dxa"/>
            <w:tcBorders>
              <w:top w:val="nil"/>
              <w:left w:val="nil"/>
              <w:bottom w:val="single" w:sz="4" w:space="0" w:color="auto"/>
              <w:right w:val="single" w:sz="4" w:space="0" w:color="auto"/>
            </w:tcBorders>
            <w:vAlign w:val="bottom"/>
            <w:hideMark/>
          </w:tcPr>
          <w:p w14:paraId="1B14096E"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N/N or mean(</w:t>
            </w:r>
            <w:proofErr w:type="spellStart"/>
            <w:r w:rsidRPr="009D57A3">
              <w:rPr>
                <w:rFonts w:ascii="Arial" w:eastAsia="Times New Roman" w:hAnsi="Arial" w:cs="Arial"/>
                <w:b/>
                <w:bCs/>
                <w:i/>
                <w:iCs/>
                <w:color w:val="000000"/>
                <w:sz w:val="20"/>
                <w:szCs w:val="20"/>
                <w:lang w:eastAsia="en-GB"/>
              </w:rPr>
              <w:t>stdev</w:t>
            </w:r>
            <w:proofErr w:type="spellEnd"/>
            <w:r w:rsidRPr="009D57A3">
              <w:rPr>
                <w:rFonts w:ascii="Arial" w:eastAsia="Times New Roman" w:hAnsi="Arial" w:cs="Arial"/>
                <w:b/>
                <w:bCs/>
                <w:i/>
                <w:iCs/>
                <w:color w:val="000000"/>
                <w:sz w:val="20"/>
                <w:szCs w:val="20"/>
                <w:lang w:eastAsia="en-GB"/>
              </w:rPr>
              <w:t>)</w:t>
            </w:r>
          </w:p>
        </w:tc>
        <w:tc>
          <w:tcPr>
            <w:tcW w:w="1460" w:type="dxa"/>
            <w:tcBorders>
              <w:top w:val="nil"/>
              <w:left w:val="nil"/>
              <w:bottom w:val="single" w:sz="4" w:space="0" w:color="auto"/>
              <w:right w:val="single" w:sz="4" w:space="0" w:color="auto"/>
            </w:tcBorders>
            <w:vAlign w:val="bottom"/>
            <w:hideMark/>
          </w:tcPr>
          <w:p w14:paraId="6ABA8AD7"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N/N or mean(</w:t>
            </w:r>
            <w:proofErr w:type="spellStart"/>
            <w:r w:rsidRPr="009D57A3">
              <w:rPr>
                <w:rFonts w:ascii="Arial" w:eastAsia="Times New Roman" w:hAnsi="Arial" w:cs="Arial"/>
                <w:b/>
                <w:bCs/>
                <w:i/>
                <w:iCs/>
                <w:color w:val="000000"/>
                <w:sz w:val="20"/>
                <w:szCs w:val="20"/>
                <w:lang w:eastAsia="en-GB"/>
              </w:rPr>
              <w:t>stdev</w:t>
            </w:r>
            <w:proofErr w:type="spellEnd"/>
            <w:r w:rsidRPr="009D57A3">
              <w:rPr>
                <w:rFonts w:ascii="Arial" w:eastAsia="Times New Roman" w:hAnsi="Arial" w:cs="Arial"/>
                <w:b/>
                <w:bCs/>
                <w:i/>
                <w:iCs/>
                <w:color w:val="000000"/>
                <w:sz w:val="20"/>
                <w:szCs w:val="20"/>
                <w:lang w:eastAsia="en-GB"/>
              </w:rPr>
              <w:t>)</w:t>
            </w:r>
          </w:p>
        </w:tc>
        <w:tc>
          <w:tcPr>
            <w:tcW w:w="1420" w:type="dxa"/>
            <w:tcBorders>
              <w:top w:val="nil"/>
              <w:left w:val="nil"/>
              <w:bottom w:val="single" w:sz="4" w:space="0" w:color="auto"/>
              <w:right w:val="single" w:sz="4" w:space="0" w:color="auto"/>
            </w:tcBorders>
            <w:vAlign w:val="bottom"/>
            <w:hideMark/>
          </w:tcPr>
          <w:p w14:paraId="116D37B2"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N/N or mean(</w:t>
            </w:r>
            <w:proofErr w:type="spellStart"/>
            <w:r w:rsidRPr="009D57A3">
              <w:rPr>
                <w:rFonts w:ascii="Arial" w:eastAsia="Times New Roman" w:hAnsi="Arial" w:cs="Arial"/>
                <w:b/>
                <w:bCs/>
                <w:i/>
                <w:iCs/>
                <w:color w:val="000000"/>
                <w:sz w:val="20"/>
                <w:szCs w:val="20"/>
                <w:lang w:eastAsia="en-GB"/>
              </w:rPr>
              <w:t>stdev</w:t>
            </w:r>
            <w:proofErr w:type="spellEnd"/>
            <w:r w:rsidRPr="009D57A3">
              <w:rPr>
                <w:rFonts w:ascii="Arial" w:eastAsia="Times New Roman" w:hAnsi="Arial" w:cs="Arial"/>
                <w:b/>
                <w:bCs/>
                <w:i/>
                <w:iCs/>
                <w:color w:val="000000"/>
                <w:sz w:val="20"/>
                <w:szCs w:val="20"/>
                <w:lang w:eastAsia="en-GB"/>
              </w:rPr>
              <w:t>)</w:t>
            </w:r>
          </w:p>
        </w:tc>
      </w:tr>
      <w:tr w:rsidR="00D250FC" w:rsidRPr="009D57A3" w14:paraId="26D381AA" w14:textId="77777777" w:rsidTr="00D250FC">
        <w:trPr>
          <w:trHeight w:val="300"/>
        </w:trPr>
        <w:tc>
          <w:tcPr>
            <w:tcW w:w="3020" w:type="dxa"/>
            <w:tcBorders>
              <w:top w:val="single" w:sz="4" w:space="0" w:color="auto"/>
              <w:left w:val="single" w:sz="4" w:space="0" w:color="auto"/>
              <w:bottom w:val="single" w:sz="4" w:space="0" w:color="auto"/>
              <w:right w:val="nil"/>
            </w:tcBorders>
            <w:hideMark/>
          </w:tcPr>
          <w:p w14:paraId="293AAE6B"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Early/Advanced</w:t>
            </w:r>
          </w:p>
        </w:tc>
        <w:tc>
          <w:tcPr>
            <w:tcW w:w="960" w:type="dxa"/>
            <w:tcBorders>
              <w:top w:val="nil"/>
              <w:left w:val="single" w:sz="4" w:space="0" w:color="auto"/>
              <w:bottom w:val="single" w:sz="4" w:space="0" w:color="auto"/>
              <w:right w:val="single" w:sz="4" w:space="0" w:color="auto"/>
            </w:tcBorders>
            <w:noWrap/>
            <w:vAlign w:val="bottom"/>
            <w:hideMark/>
          </w:tcPr>
          <w:p w14:paraId="4B41F977"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128</w:t>
            </w:r>
          </w:p>
        </w:tc>
        <w:tc>
          <w:tcPr>
            <w:tcW w:w="1400" w:type="dxa"/>
            <w:tcBorders>
              <w:top w:val="nil"/>
              <w:left w:val="nil"/>
              <w:bottom w:val="single" w:sz="4" w:space="0" w:color="auto"/>
              <w:right w:val="single" w:sz="4" w:space="0" w:color="auto"/>
            </w:tcBorders>
            <w:noWrap/>
            <w:vAlign w:val="bottom"/>
            <w:hideMark/>
          </w:tcPr>
          <w:p w14:paraId="3D0C25B8" w14:textId="77777777" w:rsidR="00D250FC" w:rsidRPr="009D57A3" w:rsidRDefault="00D250FC" w:rsidP="00D250FC">
            <w:pPr>
              <w:spacing w:after="0" w:line="240" w:lineRule="auto"/>
              <w:jc w:val="center"/>
              <w:rPr>
                <w:rFonts w:ascii="Arial" w:eastAsia="Times New Roman" w:hAnsi="Arial" w:cs="Arial"/>
                <w:i/>
                <w:iCs/>
                <w:color w:val="000000"/>
                <w:sz w:val="20"/>
                <w:szCs w:val="20"/>
                <w:lang w:eastAsia="en-GB"/>
              </w:rPr>
            </w:pPr>
            <w:r w:rsidRPr="009D57A3">
              <w:rPr>
                <w:rFonts w:ascii="Arial" w:eastAsia="Times New Roman" w:hAnsi="Arial" w:cs="Arial"/>
                <w:i/>
                <w:iCs/>
                <w:color w:val="000000"/>
                <w:sz w:val="20"/>
                <w:szCs w:val="20"/>
                <w:lang w:eastAsia="en-GB"/>
              </w:rPr>
              <w:t>43/85</w:t>
            </w:r>
          </w:p>
        </w:tc>
        <w:tc>
          <w:tcPr>
            <w:tcW w:w="1480" w:type="dxa"/>
            <w:tcBorders>
              <w:top w:val="nil"/>
              <w:left w:val="nil"/>
              <w:bottom w:val="single" w:sz="4" w:space="0" w:color="auto"/>
              <w:right w:val="single" w:sz="4" w:space="0" w:color="auto"/>
            </w:tcBorders>
            <w:noWrap/>
            <w:vAlign w:val="bottom"/>
            <w:hideMark/>
          </w:tcPr>
          <w:p w14:paraId="160FD55E"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40/72</w:t>
            </w:r>
          </w:p>
        </w:tc>
        <w:tc>
          <w:tcPr>
            <w:tcW w:w="1460" w:type="dxa"/>
            <w:tcBorders>
              <w:top w:val="nil"/>
              <w:left w:val="nil"/>
              <w:bottom w:val="single" w:sz="4" w:space="0" w:color="auto"/>
              <w:right w:val="single" w:sz="4" w:space="0" w:color="auto"/>
            </w:tcBorders>
            <w:noWrap/>
            <w:vAlign w:val="bottom"/>
            <w:hideMark/>
          </w:tcPr>
          <w:p w14:paraId="7879429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24/69</w:t>
            </w:r>
          </w:p>
        </w:tc>
        <w:tc>
          <w:tcPr>
            <w:tcW w:w="1420" w:type="dxa"/>
            <w:tcBorders>
              <w:top w:val="nil"/>
              <w:left w:val="nil"/>
              <w:bottom w:val="single" w:sz="4" w:space="0" w:color="auto"/>
              <w:right w:val="single" w:sz="4" w:space="0" w:color="auto"/>
            </w:tcBorders>
            <w:noWrap/>
            <w:vAlign w:val="bottom"/>
            <w:hideMark/>
          </w:tcPr>
          <w:p w14:paraId="5EFCE46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37/64</w:t>
            </w:r>
          </w:p>
        </w:tc>
      </w:tr>
      <w:tr w:rsidR="00D250FC" w:rsidRPr="009D57A3" w14:paraId="4A6CBECC"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1B22115B"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Male/Female</w:t>
            </w:r>
          </w:p>
        </w:tc>
        <w:tc>
          <w:tcPr>
            <w:tcW w:w="960" w:type="dxa"/>
            <w:tcBorders>
              <w:top w:val="nil"/>
              <w:left w:val="nil"/>
              <w:bottom w:val="single" w:sz="4" w:space="0" w:color="auto"/>
              <w:right w:val="single" w:sz="4" w:space="0" w:color="auto"/>
            </w:tcBorders>
            <w:noWrap/>
            <w:vAlign w:val="bottom"/>
            <w:hideMark/>
          </w:tcPr>
          <w:p w14:paraId="05008530"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128</w:t>
            </w:r>
          </w:p>
        </w:tc>
        <w:tc>
          <w:tcPr>
            <w:tcW w:w="1400" w:type="dxa"/>
            <w:tcBorders>
              <w:top w:val="nil"/>
              <w:left w:val="nil"/>
              <w:bottom w:val="single" w:sz="4" w:space="0" w:color="auto"/>
              <w:right w:val="single" w:sz="4" w:space="0" w:color="auto"/>
            </w:tcBorders>
            <w:noWrap/>
            <w:vAlign w:val="bottom"/>
            <w:hideMark/>
          </w:tcPr>
          <w:p w14:paraId="00022D9A" w14:textId="77777777" w:rsidR="00D250FC" w:rsidRPr="009D57A3" w:rsidRDefault="00D250FC" w:rsidP="00D250FC">
            <w:pPr>
              <w:spacing w:after="0" w:line="240" w:lineRule="auto"/>
              <w:jc w:val="center"/>
              <w:rPr>
                <w:rFonts w:ascii="Arial" w:eastAsia="Times New Roman" w:hAnsi="Arial" w:cs="Arial"/>
                <w:i/>
                <w:iCs/>
                <w:color w:val="000000"/>
                <w:sz w:val="20"/>
                <w:szCs w:val="20"/>
                <w:lang w:eastAsia="en-GB"/>
              </w:rPr>
            </w:pPr>
            <w:r w:rsidRPr="009D57A3">
              <w:rPr>
                <w:rFonts w:ascii="Arial" w:eastAsia="Times New Roman" w:hAnsi="Arial" w:cs="Arial"/>
                <w:i/>
                <w:iCs/>
                <w:color w:val="000000"/>
                <w:sz w:val="20"/>
                <w:szCs w:val="20"/>
                <w:lang w:eastAsia="en-GB"/>
              </w:rPr>
              <w:t>33/95</w:t>
            </w:r>
          </w:p>
        </w:tc>
        <w:tc>
          <w:tcPr>
            <w:tcW w:w="1480" w:type="dxa"/>
            <w:tcBorders>
              <w:top w:val="nil"/>
              <w:left w:val="nil"/>
              <w:bottom w:val="single" w:sz="4" w:space="0" w:color="auto"/>
              <w:right w:val="single" w:sz="4" w:space="0" w:color="auto"/>
            </w:tcBorders>
            <w:noWrap/>
            <w:vAlign w:val="bottom"/>
            <w:hideMark/>
          </w:tcPr>
          <w:p w14:paraId="6E9C1208"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28/84</w:t>
            </w:r>
          </w:p>
        </w:tc>
        <w:tc>
          <w:tcPr>
            <w:tcW w:w="1460" w:type="dxa"/>
            <w:tcBorders>
              <w:top w:val="nil"/>
              <w:left w:val="nil"/>
              <w:bottom w:val="single" w:sz="4" w:space="0" w:color="auto"/>
              <w:right w:val="single" w:sz="4" w:space="0" w:color="auto"/>
            </w:tcBorders>
            <w:noWrap/>
            <w:vAlign w:val="bottom"/>
            <w:hideMark/>
          </w:tcPr>
          <w:p w14:paraId="746CB9BC"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20/73</w:t>
            </w:r>
          </w:p>
        </w:tc>
        <w:tc>
          <w:tcPr>
            <w:tcW w:w="1420" w:type="dxa"/>
            <w:tcBorders>
              <w:top w:val="nil"/>
              <w:left w:val="nil"/>
              <w:bottom w:val="single" w:sz="4" w:space="0" w:color="auto"/>
              <w:right w:val="single" w:sz="4" w:space="0" w:color="auto"/>
            </w:tcBorders>
            <w:noWrap/>
            <w:vAlign w:val="bottom"/>
            <w:hideMark/>
          </w:tcPr>
          <w:p w14:paraId="0A1E609B"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27/74</w:t>
            </w:r>
          </w:p>
        </w:tc>
      </w:tr>
      <w:tr w:rsidR="00D250FC" w:rsidRPr="009D57A3" w14:paraId="79A4BD04" w14:textId="77777777" w:rsidTr="00D250FC">
        <w:trPr>
          <w:trHeight w:val="330"/>
        </w:trPr>
        <w:tc>
          <w:tcPr>
            <w:tcW w:w="3020" w:type="dxa"/>
            <w:tcBorders>
              <w:top w:val="nil"/>
              <w:left w:val="single" w:sz="4" w:space="0" w:color="auto"/>
              <w:bottom w:val="single" w:sz="4" w:space="0" w:color="auto"/>
              <w:right w:val="single" w:sz="4" w:space="0" w:color="auto"/>
            </w:tcBorders>
            <w:hideMark/>
          </w:tcPr>
          <w:p w14:paraId="48E0838E"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BMI (kg/m</w:t>
            </w:r>
            <w:r w:rsidRPr="009D57A3">
              <w:rPr>
                <w:rFonts w:ascii="Arial" w:eastAsia="Times New Roman" w:hAnsi="Arial" w:cs="Arial"/>
                <w:color w:val="000000"/>
                <w:sz w:val="20"/>
                <w:szCs w:val="20"/>
                <w:vertAlign w:val="superscript"/>
                <w:lang w:eastAsia="en-GB"/>
              </w:rPr>
              <w:t>2</w:t>
            </w:r>
            <w:r w:rsidRPr="009D57A3">
              <w:rPr>
                <w:rFonts w:ascii="Arial" w:eastAsia="Times New Roman" w:hAnsi="Arial" w:cs="Arial"/>
                <w:color w:val="000000"/>
                <w:sz w:val="20"/>
                <w:szCs w:val="20"/>
                <w:lang w:eastAsia="en-GB"/>
              </w:rPr>
              <w:t>)</w:t>
            </w:r>
          </w:p>
        </w:tc>
        <w:tc>
          <w:tcPr>
            <w:tcW w:w="960" w:type="dxa"/>
            <w:tcBorders>
              <w:top w:val="nil"/>
              <w:left w:val="nil"/>
              <w:bottom w:val="single" w:sz="4" w:space="0" w:color="auto"/>
              <w:right w:val="single" w:sz="4" w:space="0" w:color="auto"/>
            </w:tcBorders>
            <w:vAlign w:val="center"/>
            <w:hideMark/>
          </w:tcPr>
          <w:p w14:paraId="6823CA8E"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127</w:t>
            </w:r>
          </w:p>
        </w:tc>
        <w:tc>
          <w:tcPr>
            <w:tcW w:w="1400" w:type="dxa"/>
            <w:tcBorders>
              <w:top w:val="nil"/>
              <w:left w:val="nil"/>
              <w:bottom w:val="single" w:sz="4" w:space="0" w:color="auto"/>
              <w:right w:val="single" w:sz="4" w:space="0" w:color="auto"/>
            </w:tcBorders>
            <w:hideMark/>
          </w:tcPr>
          <w:p w14:paraId="401E9FF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31.5 (5.7)</w:t>
            </w:r>
          </w:p>
        </w:tc>
        <w:tc>
          <w:tcPr>
            <w:tcW w:w="1480" w:type="dxa"/>
            <w:tcBorders>
              <w:top w:val="nil"/>
              <w:left w:val="nil"/>
              <w:bottom w:val="single" w:sz="4" w:space="0" w:color="auto"/>
              <w:right w:val="single" w:sz="4" w:space="0" w:color="auto"/>
            </w:tcBorders>
            <w:noWrap/>
            <w:vAlign w:val="bottom"/>
            <w:hideMark/>
          </w:tcPr>
          <w:p w14:paraId="71EBECFE"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31.3 (5.6)</w:t>
            </w:r>
          </w:p>
        </w:tc>
        <w:tc>
          <w:tcPr>
            <w:tcW w:w="1460" w:type="dxa"/>
            <w:tcBorders>
              <w:top w:val="nil"/>
              <w:left w:val="nil"/>
              <w:bottom w:val="single" w:sz="4" w:space="0" w:color="auto"/>
              <w:right w:val="single" w:sz="4" w:space="0" w:color="auto"/>
            </w:tcBorders>
            <w:noWrap/>
            <w:vAlign w:val="bottom"/>
            <w:hideMark/>
          </w:tcPr>
          <w:p w14:paraId="02EFCECD"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31.2 (5.5)</w:t>
            </w:r>
          </w:p>
        </w:tc>
        <w:tc>
          <w:tcPr>
            <w:tcW w:w="1420" w:type="dxa"/>
            <w:tcBorders>
              <w:top w:val="nil"/>
              <w:left w:val="nil"/>
              <w:bottom w:val="single" w:sz="4" w:space="0" w:color="auto"/>
              <w:right w:val="single" w:sz="4" w:space="0" w:color="auto"/>
            </w:tcBorders>
            <w:noWrap/>
            <w:vAlign w:val="bottom"/>
            <w:hideMark/>
          </w:tcPr>
          <w:p w14:paraId="44DD5222"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31.1 (5.6)</w:t>
            </w:r>
          </w:p>
        </w:tc>
      </w:tr>
      <w:tr w:rsidR="00D250FC" w:rsidRPr="009D57A3" w14:paraId="6F9599FF"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3FF42B0E"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Age (yr)</w:t>
            </w:r>
          </w:p>
        </w:tc>
        <w:tc>
          <w:tcPr>
            <w:tcW w:w="960" w:type="dxa"/>
            <w:tcBorders>
              <w:top w:val="nil"/>
              <w:left w:val="nil"/>
              <w:bottom w:val="single" w:sz="4" w:space="0" w:color="auto"/>
              <w:right w:val="single" w:sz="4" w:space="0" w:color="auto"/>
            </w:tcBorders>
            <w:vAlign w:val="center"/>
            <w:hideMark/>
          </w:tcPr>
          <w:p w14:paraId="15248172"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128</w:t>
            </w:r>
          </w:p>
        </w:tc>
        <w:tc>
          <w:tcPr>
            <w:tcW w:w="1400" w:type="dxa"/>
            <w:tcBorders>
              <w:top w:val="nil"/>
              <w:left w:val="nil"/>
              <w:bottom w:val="single" w:sz="4" w:space="0" w:color="auto"/>
              <w:right w:val="single" w:sz="4" w:space="0" w:color="auto"/>
            </w:tcBorders>
            <w:hideMark/>
          </w:tcPr>
          <w:p w14:paraId="34869F3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67 (8.7)</w:t>
            </w:r>
          </w:p>
        </w:tc>
        <w:tc>
          <w:tcPr>
            <w:tcW w:w="1480" w:type="dxa"/>
            <w:tcBorders>
              <w:top w:val="nil"/>
              <w:left w:val="nil"/>
              <w:bottom w:val="single" w:sz="4" w:space="0" w:color="auto"/>
              <w:right w:val="single" w:sz="4" w:space="0" w:color="auto"/>
            </w:tcBorders>
            <w:noWrap/>
            <w:vAlign w:val="bottom"/>
            <w:hideMark/>
          </w:tcPr>
          <w:p w14:paraId="2B971903"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67.2 (8.8)</w:t>
            </w:r>
          </w:p>
        </w:tc>
        <w:tc>
          <w:tcPr>
            <w:tcW w:w="1460" w:type="dxa"/>
            <w:tcBorders>
              <w:top w:val="nil"/>
              <w:left w:val="nil"/>
              <w:bottom w:val="single" w:sz="4" w:space="0" w:color="auto"/>
              <w:right w:val="single" w:sz="4" w:space="0" w:color="auto"/>
            </w:tcBorders>
            <w:noWrap/>
            <w:vAlign w:val="bottom"/>
            <w:hideMark/>
          </w:tcPr>
          <w:p w14:paraId="5EA7509E"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65.3 (8.4)</w:t>
            </w:r>
          </w:p>
        </w:tc>
        <w:tc>
          <w:tcPr>
            <w:tcW w:w="1420" w:type="dxa"/>
            <w:tcBorders>
              <w:top w:val="nil"/>
              <w:left w:val="nil"/>
              <w:bottom w:val="single" w:sz="4" w:space="0" w:color="auto"/>
              <w:right w:val="single" w:sz="4" w:space="0" w:color="auto"/>
            </w:tcBorders>
            <w:noWrap/>
            <w:vAlign w:val="bottom"/>
            <w:hideMark/>
          </w:tcPr>
          <w:p w14:paraId="53CCB702"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66.7 (8.2)</w:t>
            </w:r>
          </w:p>
        </w:tc>
      </w:tr>
      <w:tr w:rsidR="00D250FC" w:rsidRPr="009D57A3" w14:paraId="5AC936F9"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5941B669"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WOMAC_P</w:t>
            </w:r>
          </w:p>
        </w:tc>
        <w:tc>
          <w:tcPr>
            <w:tcW w:w="960" w:type="dxa"/>
            <w:tcBorders>
              <w:top w:val="nil"/>
              <w:left w:val="nil"/>
              <w:bottom w:val="single" w:sz="4" w:space="0" w:color="auto"/>
              <w:right w:val="single" w:sz="4" w:space="0" w:color="auto"/>
            </w:tcBorders>
            <w:vAlign w:val="center"/>
            <w:hideMark/>
          </w:tcPr>
          <w:p w14:paraId="48FFADD7"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128</w:t>
            </w:r>
          </w:p>
        </w:tc>
        <w:tc>
          <w:tcPr>
            <w:tcW w:w="1400" w:type="dxa"/>
            <w:tcBorders>
              <w:top w:val="nil"/>
              <w:left w:val="nil"/>
              <w:bottom w:val="single" w:sz="4" w:space="0" w:color="auto"/>
              <w:right w:val="single" w:sz="4" w:space="0" w:color="auto"/>
            </w:tcBorders>
            <w:hideMark/>
          </w:tcPr>
          <w:p w14:paraId="13BCE6D4"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53.3 (24.3)</w:t>
            </w:r>
          </w:p>
        </w:tc>
        <w:tc>
          <w:tcPr>
            <w:tcW w:w="1480" w:type="dxa"/>
            <w:tcBorders>
              <w:top w:val="nil"/>
              <w:left w:val="nil"/>
              <w:bottom w:val="single" w:sz="4" w:space="0" w:color="auto"/>
              <w:right w:val="single" w:sz="4" w:space="0" w:color="auto"/>
            </w:tcBorders>
            <w:noWrap/>
            <w:vAlign w:val="bottom"/>
            <w:hideMark/>
          </w:tcPr>
          <w:p w14:paraId="50EFFEB3"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52.6 (24.7)</w:t>
            </w:r>
          </w:p>
        </w:tc>
        <w:tc>
          <w:tcPr>
            <w:tcW w:w="1460" w:type="dxa"/>
            <w:tcBorders>
              <w:top w:val="nil"/>
              <w:left w:val="nil"/>
              <w:bottom w:val="single" w:sz="4" w:space="0" w:color="auto"/>
              <w:right w:val="single" w:sz="4" w:space="0" w:color="auto"/>
            </w:tcBorders>
            <w:noWrap/>
            <w:vAlign w:val="bottom"/>
            <w:hideMark/>
          </w:tcPr>
          <w:p w14:paraId="220AEEE6"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53.7 (23.9)</w:t>
            </w:r>
          </w:p>
        </w:tc>
        <w:tc>
          <w:tcPr>
            <w:tcW w:w="1420" w:type="dxa"/>
            <w:tcBorders>
              <w:top w:val="nil"/>
              <w:left w:val="nil"/>
              <w:bottom w:val="single" w:sz="4" w:space="0" w:color="auto"/>
              <w:right w:val="single" w:sz="4" w:space="0" w:color="auto"/>
            </w:tcBorders>
            <w:noWrap/>
            <w:vAlign w:val="bottom"/>
            <w:hideMark/>
          </w:tcPr>
          <w:p w14:paraId="187BA72D"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54.5 (24.5)</w:t>
            </w:r>
          </w:p>
        </w:tc>
      </w:tr>
      <w:tr w:rsidR="00D250FC" w:rsidRPr="009D57A3" w14:paraId="7277F47C"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744ECF30"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WOMAC_S</w:t>
            </w:r>
          </w:p>
        </w:tc>
        <w:tc>
          <w:tcPr>
            <w:tcW w:w="960" w:type="dxa"/>
            <w:tcBorders>
              <w:top w:val="nil"/>
              <w:left w:val="nil"/>
              <w:bottom w:val="single" w:sz="4" w:space="0" w:color="auto"/>
              <w:right w:val="single" w:sz="4" w:space="0" w:color="auto"/>
            </w:tcBorders>
            <w:vAlign w:val="center"/>
            <w:hideMark/>
          </w:tcPr>
          <w:p w14:paraId="0E6F5163"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128</w:t>
            </w:r>
          </w:p>
        </w:tc>
        <w:tc>
          <w:tcPr>
            <w:tcW w:w="1400" w:type="dxa"/>
            <w:tcBorders>
              <w:top w:val="nil"/>
              <w:left w:val="nil"/>
              <w:bottom w:val="single" w:sz="4" w:space="0" w:color="auto"/>
              <w:right w:val="single" w:sz="4" w:space="0" w:color="auto"/>
            </w:tcBorders>
            <w:hideMark/>
          </w:tcPr>
          <w:p w14:paraId="5F91FAA3"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58.0 (28.1)</w:t>
            </w:r>
          </w:p>
        </w:tc>
        <w:tc>
          <w:tcPr>
            <w:tcW w:w="1480" w:type="dxa"/>
            <w:tcBorders>
              <w:top w:val="nil"/>
              <w:left w:val="nil"/>
              <w:bottom w:val="single" w:sz="4" w:space="0" w:color="auto"/>
              <w:right w:val="single" w:sz="4" w:space="0" w:color="auto"/>
            </w:tcBorders>
            <w:noWrap/>
            <w:vAlign w:val="bottom"/>
            <w:hideMark/>
          </w:tcPr>
          <w:p w14:paraId="7E49177A"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52 (28)</w:t>
            </w:r>
          </w:p>
        </w:tc>
        <w:tc>
          <w:tcPr>
            <w:tcW w:w="1460" w:type="dxa"/>
            <w:tcBorders>
              <w:top w:val="nil"/>
              <w:left w:val="nil"/>
              <w:bottom w:val="single" w:sz="4" w:space="0" w:color="auto"/>
              <w:right w:val="single" w:sz="4" w:space="0" w:color="auto"/>
            </w:tcBorders>
            <w:noWrap/>
            <w:vAlign w:val="bottom"/>
            <w:hideMark/>
          </w:tcPr>
          <w:p w14:paraId="5516A27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58.4 (28.4)</w:t>
            </w:r>
          </w:p>
        </w:tc>
        <w:tc>
          <w:tcPr>
            <w:tcW w:w="1420" w:type="dxa"/>
            <w:tcBorders>
              <w:top w:val="nil"/>
              <w:left w:val="nil"/>
              <w:bottom w:val="single" w:sz="4" w:space="0" w:color="auto"/>
              <w:right w:val="single" w:sz="4" w:space="0" w:color="auto"/>
            </w:tcBorders>
            <w:noWrap/>
            <w:vAlign w:val="bottom"/>
            <w:hideMark/>
          </w:tcPr>
          <w:p w14:paraId="6063DF3C"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53.1 (28.3)</w:t>
            </w:r>
          </w:p>
        </w:tc>
      </w:tr>
      <w:tr w:rsidR="00D250FC" w:rsidRPr="009D57A3" w14:paraId="7A71624D"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7EEB2444" w14:textId="77777777" w:rsidR="00D250FC" w:rsidRPr="009D57A3" w:rsidRDefault="00D250FC" w:rsidP="00D250FC">
            <w:pPr>
              <w:spacing w:after="0" w:line="240" w:lineRule="auto"/>
              <w:rPr>
                <w:rFonts w:ascii="Arial" w:eastAsia="Times New Roman" w:hAnsi="Arial" w:cs="Arial"/>
                <w:color w:val="000000"/>
                <w:sz w:val="20"/>
                <w:szCs w:val="20"/>
                <w:lang w:eastAsia="en-GB"/>
              </w:rPr>
            </w:pPr>
            <w:proofErr w:type="spellStart"/>
            <w:r w:rsidRPr="009D57A3">
              <w:rPr>
                <w:rFonts w:ascii="Arial" w:eastAsia="Times New Roman" w:hAnsi="Arial" w:cs="Arial"/>
                <w:color w:val="000000"/>
                <w:sz w:val="20"/>
                <w:szCs w:val="20"/>
                <w:lang w:eastAsia="en-GB"/>
              </w:rPr>
              <w:t>painDETECT</w:t>
            </w:r>
            <w:proofErr w:type="spellEnd"/>
          </w:p>
        </w:tc>
        <w:tc>
          <w:tcPr>
            <w:tcW w:w="960" w:type="dxa"/>
            <w:tcBorders>
              <w:top w:val="nil"/>
              <w:left w:val="nil"/>
              <w:bottom w:val="single" w:sz="4" w:space="0" w:color="auto"/>
              <w:right w:val="single" w:sz="4" w:space="0" w:color="auto"/>
            </w:tcBorders>
            <w:vAlign w:val="center"/>
            <w:hideMark/>
          </w:tcPr>
          <w:p w14:paraId="1DDB4236"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127</w:t>
            </w:r>
          </w:p>
        </w:tc>
        <w:tc>
          <w:tcPr>
            <w:tcW w:w="1400" w:type="dxa"/>
            <w:tcBorders>
              <w:top w:val="nil"/>
              <w:left w:val="nil"/>
              <w:bottom w:val="single" w:sz="4" w:space="0" w:color="auto"/>
              <w:right w:val="single" w:sz="4" w:space="0" w:color="auto"/>
            </w:tcBorders>
            <w:hideMark/>
          </w:tcPr>
          <w:p w14:paraId="7F87CEAE"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12.6 (6.8)</w:t>
            </w:r>
          </w:p>
        </w:tc>
        <w:tc>
          <w:tcPr>
            <w:tcW w:w="1480" w:type="dxa"/>
            <w:tcBorders>
              <w:top w:val="nil"/>
              <w:left w:val="nil"/>
              <w:bottom w:val="single" w:sz="4" w:space="0" w:color="auto"/>
              <w:right w:val="single" w:sz="4" w:space="0" w:color="auto"/>
            </w:tcBorders>
            <w:noWrap/>
            <w:vAlign w:val="bottom"/>
            <w:hideMark/>
          </w:tcPr>
          <w:p w14:paraId="1810EAD7"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12.2 (6.7)</w:t>
            </w:r>
          </w:p>
        </w:tc>
        <w:tc>
          <w:tcPr>
            <w:tcW w:w="1460" w:type="dxa"/>
            <w:tcBorders>
              <w:top w:val="nil"/>
              <w:left w:val="nil"/>
              <w:bottom w:val="single" w:sz="4" w:space="0" w:color="auto"/>
              <w:right w:val="single" w:sz="4" w:space="0" w:color="auto"/>
            </w:tcBorders>
            <w:noWrap/>
            <w:vAlign w:val="bottom"/>
            <w:hideMark/>
          </w:tcPr>
          <w:p w14:paraId="5C0DF6DF"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11.9 (6.3)</w:t>
            </w:r>
          </w:p>
        </w:tc>
        <w:tc>
          <w:tcPr>
            <w:tcW w:w="1420" w:type="dxa"/>
            <w:tcBorders>
              <w:top w:val="nil"/>
              <w:left w:val="nil"/>
              <w:bottom w:val="single" w:sz="4" w:space="0" w:color="auto"/>
              <w:right w:val="single" w:sz="4" w:space="0" w:color="auto"/>
            </w:tcBorders>
            <w:noWrap/>
            <w:vAlign w:val="bottom"/>
            <w:hideMark/>
          </w:tcPr>
          <w:p w14:paraId="1EC4AEC4"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12.6 (6.7)</w:t>
            </w:r>
          </w:p>
        </w:tc>
      </w:tr>
      <w:tr w:rsidR="00D250FC" w:rsidRPr="009D57A3" w14:paraId="5D3AB0C0"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6AD520A7"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HADS</w:t>
            </w:r>
          </w:p>
        </w:tc>
        <w:tc>
          <w:tcPr>
            <w:tcW w:w="960" w:type="dxa"/>
            <w:tcBorders>
              <w:top w:val="nil"/>
              <w:left w:val="nil"/>
              <w:bottom w:val="single" w:sz="4" w:space="0" w:color="auto"/>
              <w:right w:val="single" w:sz="4" w:space="0" w:color="auto"/>
            </w:tcBorders>
            <w:vAlign w:val="center"/>
            <w:hideMark/>
          </w:tcPr>
          <w:p w14:paraId="0D528A1A"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127</w:t>
            </w:r>
          </w:p>
        </w:tc>
        <w:tc>
          <w:tcPr>
            <w:tcW w:w="1400" w:type="dxa"/>
            <w:tcBorders>
              <w:top w:val="nil"/>
              <w:left w:val="nil"/>
              <w:bottom w:val="single" w:sz="4" w:space="0" w:color="auto"/>
              <w:right w:val="single" w:sz="4" w:space="0" w:color="auto"/>
            </w:tcBorders>
            <w:hideMark/>
          </w:tcPr>
          <w:p w14:paraId="3288BC6C"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12.9 (7.3)</w:t>
            </w:r>
          </w:p>
        </w:tc>
        <w:tc>
          <w:tcPr>
            <w:tcW w:w="1480" w:type="dxa"/>
            <w:tcBorders>
              <w:top w:val="nil"/>
              <w:left w:val="nil"/>
              <w:bottom w:val="single" w:sz="4" w:space="0" w:color="auto"/>
              <w:right w:val="single" w:sz="4" w:space="0" w:color="auto"/>
            </w:tcBorders>
            <w:noWrap/>
            <w:vAlign w:val="bottom"/>
            <w:hideMark/>
          </w:tcPr>
          <w:p w14:paraId="42B13ED2"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12.7 (7.3)</w:t>
            </w:r>
          </w:p>
        </w:tc>
        <w:tc>
          <w:tcPr>
            <w:tcW w:w="1460" w:type="dxa"/>
            <w:tcBorders>
              <w:top w:val="nil"/>
              <w:left w:val="nil"/>
              <w:bottom w:val="single" w:sz="4" w:space="0" w:color="auto"/>
              <w:right w:val="single" w:sz="4" w:space="0" w:color="auto"/>
            </w:tcBorders>
            <w:noWrap/>
            <w:vAlign w:val="bottom"/>
            <w:hideMark/>
          </w:tcPr>
          <w:p w14:paraId="24C3D1FC"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12.7 (7.1)</w:t>
            </w:r>
          </w:p>
        </w:tc>
        <w:tc>
          <w:tcPr>
            <w:tcW w:w="1420" w:type="dxa"/>
            <w:tcBorders>
              <w:top w:val="nil"/>
              <w:left w:val="nil"/>
              <w:bottom w:val="single" w:sz="4" w:space="0" w:color="auto"/>
              <w:right w:val="single" w:sz="4" w:space="0" w:color="auto"/>
            </w:tcBorders>
            <w:noWrap/>
            <w:vAlign w:val="bottom"/>
            <w:hideMark/>
          </w:tcPr>
          <w:p w14:paraId="075B8645"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13.4 (7.1)</w:t>
            </w:r>
          </w:p>
        </w:tc>
      </w:tr>
      <w:tr w:rsidR="00D250FC" w:rsidRPr="009D57A3" w14:paraId="28D5F5CF" w14:textId="77777777" w:rsidTr="00D250FC">
        <w:trPr>
          <w:trHeight w:val="300"/>
        </w:trPr>
        <w:tc>
          <w:tcPr>
            <w:tcW w:w="3020" w:type="dxa"/>
            <w:tcBorders>
              <w:top w:val="nil"/>
              <w:left w:val="nil"/>
              <w:bottom w:val="nil"/>
              <w:right w:val="nil"/>
            </w:tcBorders>
            <w:noWrap/>
            <w:vAlign w:val="bottom"/>
            <w:hideMark/>
          </w:tcPr>
          <w:p w14:paraId="2F9B8B9F"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p>
        </w:tc>
        <w:tc>
          <w:tcPr>
            <w:tcW w:w="960" w:type="dxa"/>
            <w:tcBorders>
              <w:top w:val="nil"/>
              <w:left w:val="nil"/>
              <w:bottom w:val="nil"/>
              <w:right w:val="nil"/>
            </w:tcBorders>
            <w:noWrap/>
            <w:vAlign w:val="bottom"/>
            <w:hideMark/>
          </w:tcPr>
          <w:p w14:paraId="7D480C61" w14:textId="77777777" w:rsidR="00D250FC" w:rsidRPr="009D57A3" w:rsidRDefault="00D250FC" w:rsidP="00D250FC">
            <w:pPr>
              <w:spacing w:after="0" w:line="240" w:lineRule="auto"/>
              <w:rPr>
                <w:rFonts w:ascii="Arial" w:eastAsia="Times New Roman" w:hAnsi="Arial" w:cs="Arial"/>
                <w:sz w:val="20"/>
                <w:szCs w:val="20"/>
                <w:lang w:eastAsia="en-GB"/>
              </w:rPr>
            </w:pPr>
          </w:p>
        </w:tc>
        <w:tc>
          <w:tcPr>
            <w:tcW w:w="1400" w:type="dxa"/>
            <w:tcBorders>
              <w:top w:val="nil"/>
              <w:left w:val="nil"/>
              <w:bottom w:val="nil"/>
              <w:right w:val="nil"/>
            </w:tcBorders>
            <w:noWrap/>
            <w:vAlign w:val="bottom"/>
            <w:hideMark/>
          </w:tcPr>
          <w:p w14:paraId="500FD93A" w14:textId="77777777" w:rsidR="00D250FC" w:rsidRPr="009D57A3" w:rsidRDefault="00D250FC" w:rsidP="00D250FC">
            <w:pPr>
              <w:spacing w:after="0" w:line="240" w:lineRule="auto"/>
              <w:rPr>
                <w:rFonts w:ascii="Arial" w:eastAsia="Times New Roman" w:hAnsi="Arial" w:cs="Arial"/>
                <w:sz w:val="20"/>
                <w:szCs w:val="20"/>
                <w:lang w:eastAsia="en-GB"/>
              </w:rPr>
            </w:pPr>
          </w:p>
        </w:tc>
        <w:tc>
          <w:tcPr>
            <w:tcW w:w="1480" w:type="dxa"/>
            <w:tcBorders>
              <w:top w:val="nil"/>
              <w:left w:val="nil"/>
              <w:bottom w:val="nil"/>
              <w:right w:val="nil"/>
            </w:tcBorders>
            <w:noWrap/>
            <w:vAlign w:val="bottom"/>
            <w:hideMark/>
          </w:tcPr>
          <w:p w14:paraId="0B0D66CE" w14:textId="77777777" w:rsidR="00D250FC" w:rsidRPr="009D57A3" w:rsidRDefault="00D250FC" w:rsidP="00D250FC">
            <w:pPr>
              <w:spacing w:after="0" w:line="240" w:lineRule="auto"/>
              <w:rPr>
                <w:rFonts w:ascii="Arial" w:eastAsia="Times New Roman" w:hAnsi="Arial" w:cs="Arial"/>
                <w:sz w:val="20"/>
                <w:szCs w:val="20"/>
                <w:lang w:eastAsia="en-GB"/>
              </w:rPr>
            </w:pPr>
          </w:p>
        </w:tc>
        <w:tc>
          <w:tcPr>
            <w:tcW w:w="1460" w:type="dxa"/>
            <w:tcBorders>
              <w:top w:val="nil"/>
              <w:left w:val="nil"/>
              <w:bottom w:val="nil"/>
              <w:right w:val="nil"/>
            </w:tcBorders>
            <w:noWrap/>
            <w:vAlign w:val="bottom"/>
            <w:hideMark/>
          </w:tcPr>
          <w:p w14:paraId="1C2DB36C" w14:textId="77777777" w:rsidR="00D250FC" w:rsidRPr="009D57A3" w:rsidRDefault="00D250FC" w:rsidP="00D250FC">
            <w:pPr>
              <w:spacing w:after="0" w:line="240" w:lineRule="auto"/>
              <w:jc w:val="center"/>
              <w:rPr>
                <w:rFonts w:ascii="Arial" w:eastAsia="Times New Roman" w:hAnsi="Arial" w:cs="Arial"/>
                <w:sz w:val="20"/>
                <w:szCs w:val="20"/>
                <w:lang w:eastAsia="en-GB"/>
              </w:rPr>
            </w:pPr>
          </w:p>
        </w:tc>
        <w:tc>
          <w:tcPr>
            <w:tcW w:w="1420" w:type="dxa"/>
            <w:tcBorders>
              <w:top w:val="nil"/>
              <w:left w:val="nil"/>
              <w:bottom w:val="nil"/>
              <w:right w:val="nil"/>
            </w:tcBorders>
            <w:noWrap/>
            <w:vAlign w:val="bottom"/>
            <w:hideMark/>
          </w:tcPr>
          <w:p w14:paraId="2048EDC2" w14:textId="77777777" w:rsidR="00D250FC" w:rsidRPr="009D57A3" w:rsidRDefault="00D250FC" w:rsidP="00D250FC">
            <w:pPr>
              <w:spacing w:after="0" w:line="240" w:lineRule="auto"/>
              <w:jc w:val="center"/>
              <w:rPr>
                <w:rFonts w:ascii="Arial" w:eastAsia="Times New Roman" w:hAnsi="Arial" w:cs="Arial"/>
                <w:sz w:val="20"/>
                <w:szCs w:val="20"/>
                <w:lang w:eastAsia="en-GB"/>
              </w:rPr>
            </w:pPr>
          </w:p>
        </w:tc>
      </w:tr>
      <w:tr w:rsidR="00D250FC" w:rsidRPr="009D57A3" w14:paraId="2EF5C91F" w14:textId="77777777" w:rsidTr="00D250FC">
        <w:trPr>
          <w:trHeight w:val="300"/>
        </w:trPr>
        <w:tc>
          <w:tcPr>
            <w:tcW w:w="3020" w:type="dxa"/>
            <w:tcBorders>
              <w:top w:val="nil"/>
              <w:left w:val="nil"/>
              <w:bottom w:val="nil"/>
              <w:right w:val="nil"/>
            </w:tcBorders>
            <w:hideMark/>
          </w:tcPr>
          <w:p w14:paraId="3343C0DF" w14:textId="77777777" w:rsidR="00D250FC" w:rsidRPr="009D57A3" w:rsidRDefault="00D250FC" w:rsidP="00D250FC">
            <w:pPr>
              <w:spacing w:after="0" w:line="240" w:lineRule="auto"/>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Blood biomarkers</w:t>
            </w:r>
          </w:p>
        </w:tc>
        <w:tc>
          <w:tcPr>
            <w:tcW w:w="960" w:type="dxa"/>
            <w:tcBorders>
              <w:top w:val="nil"/>
              <w:left w:val="nil"/>
              <w:bottom w:val="nil"/>
              <w:right w:val="nil"/>
            </w:tcBorders>
            <w:noWrap/>
            <w:vAlign w:val="bottom"/>
            <w:hideMark/>
          </w:tcPr>
          <w:p w14:paraId="494AE71B" w14:textId="77777777" w:rsidR="00D250FC" w:rsidRPr="009D57A3" w:rsidRDefault="00D250FC" w:rsidP="00D250FC">
            <w:pPr>
              <w:spacing w:after="0" w:line="240" w:lineRule="auto"/>
              <w:rPr>
                <w:rFonts w:ascii="Arial" w:eastAsia="Times New Roman" w:hAnsi="Arial" w:cs="Arial"/>
                <w:b/>
                <w:bCs/>
                <w:i/>
                <w:iCs/>
                <w:color w:val="000000"/>
                <w:sz w:val="20"/>
                <w:szCs w:val="20"/>
                <w:lang w:eastAsia="en-GB"/>
              </w:rPr>
            </w:pPr>
          </w:p>
        </w:tc>
        <w:tc>
          <w:tcPr>
            <w:tcW w:w="1400" w:type="dxa"/>
            <w:tcBorders>
              <w:top w:val="nil"/>
              <w:left w:val="nil"/>
              <w:bottom w:val="nil"/>
              <w:right w:val="nil"/>
            </w:tcBorders>
            <w:noWrap/>
            <w:vAlign w:val="bottom"/>
            <w:hideMark/>
          </w:tcPr>
          <w:p w14:paraId="5990C435" w14:textId="77777777" w:rsidR="00D250FC" w:rsidRPr="009D57A3" w:rsidRDefault="00D250FC" w:rsidP="00D250FC">
            <w:pPr>
              <w:spacing w:after="0" w:line="240" w:lineRule="auto"/>
              <w:rPr>
                <w:rFonts w:ascii="Arial" w:eastAsia="Times New Roman" w:hAnsi="Arial" w:cs="Arial"/>
                <w:sz w:val="20"/>
                <w:szCs w:val="20"/>
                <w:lang w:eastAsia="en-GB"/>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1C41772"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N=112</w:t>
            </w:r>
          </w:p>
        </w:tc>
        <w:tc>
          <w:tcPr>
            <w:tcW w:w="1460" w:type="dxa"/>
            <w:tcBorders>
              <w:top w:val="single" w:sz="4" w:space="0" w:color="auto"/>
              <w:left w:val="nil"/>
              <w:bottom w:val="single" w:sz="4" w:space="0" w:color="auto"/>
              <w:right w:val="single" w:sz="4" w:space="0" w:color="auto"/>
            </w:tcBorders>
            <w:noWrap/>
            <w:vAlign w:val="bottom"/>
            <w:hideMark/>
          </w:tcPr>
          <w:p w14:paraId="7AC4435B"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N=90</w:t>
            </w:r>
          </w:p>
        </w:tc>
        <w:tc>
          <w:tcPr>
            <w:tcW w:w="1420" w:type="dxa"/>
            <w:tcBorders>
              <w:top w:val="single" w:sz="4" w:space="0" w:color="auto"/>
              <w:left w:val="nil"/>
              <w:bottom w:val="single" w:sz="4" w:space="0" w:color="auto"/>
              <w:right w:val="single" w:sz="4" w:space="0" w:color="auto"/>
            </w:tcBorders>
            <w:noWrap/>
            <w:vAlign w:val="bottom"/>
            <w:hideMark/>
          </w:tcPr>
          <w:p w14:paraId="5658FD2F" w14:textId="77777777" w:rsidR="00D250FC" w:rsidRPr="009D57A3" w:rsidRDefault="00D250FC" w:rsidP="00D250FC">
            <w:pPr>
              <w:spacing w:after="0" w:line="240" w:lineRule="auto"/>
              <w:jc w:val="center"/>
              <w:rPr>
                <w:rFonts w:ascii="Arial" w:eastAsia="Times New Roman" w:hAnsi="Arial" w:cs="Arial"/>
                <w:b/>
                <w:bCs/>
                <w:i/>
                <w:iCs/>
                <w:color w:val="000000"/>
                <w:sz w:val="20"/>
                <w:szCs w:val="20"/>
                <w:lang w:eastAsia="en-GB"/>
              </w:rPr>
            </w:pPr>
            <w:r w:rsidRPr="009D57A3">
              <w:rPr>
                <w:rFonts w:ascii="Arial" w:eastAsia="Times New Roman" w:hAnsi="Arial" w:cs="Arial"/>
                <w:b/>
                <w:bCs/>
                <w:i/>
                <w:iCs/>
                <w:color w:val="000000"/>
                <w:sz w:val="20"/>
                <w:szCs w:val="20"/>
                <w:lang w:eastAsia="en-GB"/>
              </w:rPr>
              <w:t>N=95</w:t>
            </w:r>
          </w:p>
        </w:tc>
      </w:tr>
      <w:tr w:rsidR="00D250FC" w:rsidRPr="009D57A3" w14:paraId="39BA0C86" w14:textId="77777777" w:rsidTr="00D250FC">
        <w:trPr>
          <w:trHeight w:val="300"/>
        </w:trPr>
        <w:tc>
          <w:tcPr>
            <w:tcW w:w="3020" w:type="dxa"/>
            <w:tcBorders>
              <w:top w:val="single" w:sz="4" w:space="0" w:color="auto"/>
              <w:left w:val="single" w:sz="4" w:space="0" w:color="auto"/>
              <w:bottom w:val="single" w:sz="4" w:space="0" w:color="auto"/>
              <w:right w:val="single" w:sz="4" w:space="0" w:color="auto"/>
            </w:tcBorders>
            <w:hideMark/>
          </w:tcPr>
          <w:p w14:paraId="263163F5"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CTX-II (ng/mmol)</w:t>
            </w:r>
          </w:p>
        </w:tc>
        <w:tc>
          <w:tcPr>
            <w:tcW w:w="960" w:type="dxa"/>
            <w:tcBorders>
              <w:top w:val="single" w:sz="4" w:space="0" w:color="auto"/>
              <w:left w:val="nil"/>
              <w:bottom w:val="single" w:sz="4" w:space="0" w:color="auto"/>
              <w:right w:val="single" w:sz="4" w:space="0" w:color="auto"/>
            </w:tcBorders>
            <w:vAlign w:val="center"/>
            <w:hideMark/>
          </w:tcPr>
          <w:p w14:paraId="4FD48299"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112</w:t>
            </w:r>
          </w:p>
        </w:tc>
        <w:tc>
          <w:tcPr>
            <w:tcW w:w="1400" w:type="dxa"/>
            <w:tcBorders>
              <w:top w:val="single" w:sz="4" w:space="0" w:color="auto"/>
              <w:left w:val="nil"/>
              <w:bottom w:val="single" w:sz="4" w:space="0" w:color="auto"/>
              <w:right w:val="single" w:sz="4" w:space="0" w:color="auto"/>
            </w:tcBorders>
            <w:hideMark/>
          </w:tcPr>
          <w:p w14:paraId="26A30432"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383 (246)</w:t>
            </w:r>
          </w:p>
        </w:tc>
        <w:tc>
          <w:tcPr>
            <w:tcW w:w="1480" w:type="dxa"/>
            <w:tcBorders>
              <w:top w:val="nil"/>
              <w:left w:val="nil"/>
              <w:bottom w:val="single" w:sz="4" w:space="0" w:color="auto"/>
              <w:right w:val="single" w:sz="4" w:space="0" w:color="auto"/>
            </w:tcBorders>
            <w:noWrap/>
            <w:vAlign w:val="bottom"/>
            <w:hideMark/>
          </w:tcPr>
          <w:p w14:paraId="56E4B91F"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383 (246)</w:t>
            </w:r>
          </w:p>
        </w:tc>
        <w:tc>
          <w:tcPr>
            <w:tcW w:w="1460" w:type="dxa"/>
            <w:tcBorders>
              <w:top w:val="nil"/>
              <w:left w:val="nil"/>
              <w:bottom w:val="single" w:sz="4" w:space="0" w:color="auto"/>
              <w:right w:val="single" w:sz="4" w:space="0" w:color="auto"/>
            </w:tcBorders>
            <w:noWrap/>
            <w:vAlign w:val="bottom"/>
            <w:hideMark/>
          </w:tcPr>
          <w:p w14:paraId="1F9EB4A1"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356 (263)</w:t>
            </w:r>
          </w:p>
        </w:tc>
        <w:tc>
          <w:tcPr>
            <w:tcW w:w="1420" w:type="dxa"/>
            <w:tcBorders>
              <w:top w:val="nil"/>
              <w:left w:val="nil"/>
              <w:bottom w:val="single" w:sz="4" w:space="0" w:color="auto"/>
              <w:right w:val="single" w:sz="4" w:space="0" w:color="auto"/>
            </w:tcBorders>
            <w:noWrap/>
            <w:vAlign w:val="bottom"/>
            <w:hideMark/>
          </w:tcPr>
          <w:p w14:paraId="26843A37"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388 (248)</w:t>
            </w:r>
          </w:p>
        </w:tc>
      </w:tr>
      <w:tr w:rsidR="00D250FC" w:rsidRPr="009D57A3" w14:paraId="72789CE6" w14:textId="77777777" w:rsidTr="00D250FC">
        <w:trPr>
          <w:trHeight w:val="300"/>
        </w:trPr>
        <w:tc>
          <w:tcPr>
            <w:tcW w:w="3020" w:type="dxa"/>
            <w:tcBorders>
              <w:top w:val="nil"/>
              <w:left w:val="single" w:sz="4" w:space="0" w:color="auto"/>
              <w:bottom w:val="single" w:sz="4" w:space="0" w:color="auto"/>
              <w:right w:val="single" w:sz="4" w:space="0" w:color="auto"/>
            </w:tcBorders>
            <w:hideMark/>
          </w:tcPr>
          <w:p w14:paraId="317F4187" w14:textId="77777777" w:rsidR="00D250FC" w:rsidRPr="009D57A3" w:rsidRDefault="00D250FC" w:rsidP="00D250FC">
            <w:pPr>
              <w:spacing w:after="0" w:line="240" w:lineRule="auto"/>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TSP-4 (ng/ml)</w:t>
            </w:r>
          </w:p>
        </w:tc>
        <w:tc>
          <w:tcPr>
            <w:tcW w:w="960" w:type="dxa"/>
            <w:tcBorders>
              <w:top w:val="nil"/>
              <w:left w:val="nil"/>
              <w:bottom w:val="single" w:sz="4" w:space="0" w:color="auto"/>
              <w:right w:val="single" w:sz="4" w:space="0" w:color="auto"/>
            </w:tcBorders>
            <w:vAlign w:val="center"/>
            <w:hideMark/>
          </w:tcPr>
          <w:p w14:paraId="7A01B181"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120</w:t>
            </w:r>
          </w:p>
        </w:tc>
        <w:tc>
          <w:tcPr>
            <w:tcW w:w="1400" w:type="dxa"/>
            <w:tcBorders>
              <w:top w:val="nil"/>
              <w:left w:val="nil"/>
              <w:bottom w:val="single" w:sz="4" w:space="0" w:color="auto"/>
              <w:right w:val="single" w:sz="4" w:space="0" w:color="auto"/>
            </w:tcBorders>
            <w:hideMark/>
          </w:tcPr>
          <w:p w14:paraId="2E039D6C"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8.3 (6.2)</w:t>
            </w:r>
          </w:p>
        </w:tc>
        <w:tc>
          <w:tcPr>
            <w:tcW w:w="1480" w:type="dxa"/>
            <w:tcBorders>
              <w:top w:val="nil"/>
              <w:left w:val="nil"/>
              <w:bottom w:val="single" w:sz="4" w:space="0" w:color="auto"/>
              <w:right w:val="single" w:sz="4" w:space="0" w:color="auto"/>
            </w:tcBorders>
            <w:noWrap/>
            <w:vAlign w:val="bottom"/>
            <w:hideMark/>
          </w:tcPr>
          <w:p w14:paraId="5BBAFFF0"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7.9 (5.6)</w:t>
            </w:r>
          </w:p>
        </w:tc>
        <w:tc>
          <w:tcPr>
            <w:tcW w:w="1460" w:type="dxa"/>
            <w:tcBorders>
              <w:top w:val="nil"/>
              <w:left w:val="nil"/>
              <w:bottom w:val="single" w:sz="4" w:space="0" w:color="auto"/>
              <w:right w:val="single" w:sz="4" w:space="0" w:color="auto"/>
            </w:tcBorders>
            <w:noWrap/>
            <w:vAlign w:val="bottom"/>
            <w:hideMark/>
          </w:tcPr>
          <w:p w14:paraId="2FF993DF"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7.2 (6.2)</w:t>
            </w:r>
          </w:p>
        </w:tc>
        <w:tc>
          <w:tcPr>
            <w:tcW w:w="1420" w:type="dxa"/>
            <w:tcBorders>
              <w:top w:val="nil"/>
              <w:left w:val="nil"/>
              <w:bottom w:val="single" w:sz="4" w:space="0" w:color="auto"/>
              <w:right w:val="single" w:sz="4" w:space="0" w:color="auto"/>
            </w:tcBorders>
            <w:noWrap/>
            <w:vAlign w:val="bottom"/>
            <w:hideMark/>
          </w:tcPr>
          <w:p w14:paraId="14AAAB41" w14:textId="77777777" w:rsidR="00D250FC" w:rsidRPr="009D57A3" w:rsidRDefault="00D250FC" w:rsidP="00D250FC">
            <w:pPr>
              <w:spacing w:after="0" w:line="240" w:lineRule="auto"/>
              <w:jc w:val="center"/>
              <w:rPr>
                <w:rFonts w:ascii="Arial" w:eastAsia="Times New Roman" w:hAnsi="Arial" w:cs="Arial"/>
                <w:color w:val="000000"/>
                <w:sz w:val="20"/>
                <w:szCs w:val="20"/>
                <w:lang w:eastAsia="en-GB"/>
              </w:rPr>
            </w:pPr>
            <w:r w:rsidRPr="009D57A3">
              <w:rPr>
                <w:rFonts w:ascii="Arial" w:eastAsia="Times New Roman" w:hAnsi="Arial" w:cs="Arial"/>
                <w:color w:val="000000"/>
                <w:sz w:val="20"/>
                <w:szCs w:val="20"/>
                <w:lang w:eastAsia="en-GB"/>
              </w:rPr>
              <w:t>7.8 (5.7)</w:t>
            </w:r>
          </w:p>
        </w:tc>
      </w:tr>
    </w:tbl>
    <w:p w14:paraId="671BC974" w14:textId="77777777" w:rsidR="00892AC5" w:rsidRPr="009D57A3" w:rsidRDefault="00892AC5" w:rsidP="00FD7D57">
      <w:pPr>
        <w:spacing w:line="480" w:lineRule="auto"/>
        <w:jc w:val="both"/>
        <w:rPr>
          <w:rFonts w:ascii="Arial" w:hAnsi="Arial" w:cs="Arial"/>
          <w:sz w:val="24"/>
          <w:szCs w:val="24"/>
        </w:rPr>
      </w:pPr>
    </w:p>
    <w:p w14:paraId="2D44E9C3" w14:textId="77777777" w:rsidR="0016692D" w:rsidRPr="009D57A3" w:rsidRDefault="0016692D" w:rsidP="0016692D">
      <w:pPr>
        <w:spacing w:line="480" w:lineRule="auto"/>
        <w:jc w:val="both"/>
        <w:rPr>
          <w:rFonts w:ascii="Arial" w:hAnsi="Arial" w:cs="Arial"/>
          <w:sz w:val="24"/>
          <w:szCs w:val="24"/>
        </w:rPr>
      </w:pPr>
      <w:r w:rsidRPr="009D57A3">
        <w:rPr>
          <w:rFonts w:ascii="Arial" w:hAnsi="Arial" w:cs="Arial"/>
          <w:sz w:val="24"/>
          <w:szCs w:val="24"/>
        </w:rPr>
        <w:t>For investigating whether TSP-4 was a significant factor in predicting pain and stiffness scores there were N=118 patients contributing to the analysis. When CTX-II was included for the LDA to assess whether a combination of blood biomarkers and clinical parameters (e.g. HADS, age, BMI) could aid prediction of pain sensitisation there were N=112 patients. There were N=93 patients for assessing whether MRI measures of structural damage could significantly add to TSP-4 in describing pain and stiffness scores, and N=90 patients for doing the same with x-ray measures of structural damage.</w:t>
      </w:r>
    </w:p>
    <w:p w14:paraId="3B2CF07E" w14:textId="7E27AC47" w:rsidR="008815E9" w:rsidRPr="009D57A3" w:rsidRDefault="00CA50DA" w:rsidP="00FD7D57">
      <w:pPr>
        <w:spacing w:line="480" w:lineRule="auto"/>
        <w:jc w:val="both"/>
        <w:rPr>
          <w:rFonts w:ascii="Arial" w:hAnsi="Arial" w:cs="Arial"/>
          <w:sz w:val="24"/>
          <w:szCs w:val="24"/>
        </w:rPr>
      </w:pPr>
      <w:r w:rsidRPr="009D57A3">
        <w:rPr>
          <w:rFonts w:ascii="Arial" w:hAnsi="Arial" w:cs="Arial"/>
          <w:sz w:val="24"/>
          <w:szCs w:val="24"/>
        </w:rPr>
        <w:t>Means and standard deviations (</w:t>
      </w:r>
      <w:proofErr w:type="spellStart"/>
      <w:r w:rsidRPr="009D57A3">
        <w:rPr>
          <w:rFonts w:ascii="Arial" w:hAnsi="Arial" w:cs="Arial"/>
          <w:sz w:val="24"/>
          <w:szCs w:val="24"/>
        </w:rPr>
        <w:t>stdev</w:t>
      </w:r>
      <w:proofErr w:type="spellEnd"/>
      <w:r w:rsidRPr="009D57A3">
        <w:rPr>
          <w:rFonts w:ascii="Arial" w:hAnsi="Arial" w:cs="Arial"/>
          <w:sz w:val="24"/>
          <w:szCs w:val="24"/>
        </w:rPr>
        <w:t>) show</w:t>
      </w:r>
      <w:r w:rsidR="00B043B5" w:rsidRPr="009D57A3">
        <w:rPr>
          <w:rFonts w:ascii="Arial" w:hAnsi="Arial" w:cs="Arial"/>
          <w:sz w:val="24"/>
          <w:szCs w:val="24"/>
        </w:rPr>
        <w:t xml:space="preserve">n above </w:t>
      </w:r>
      <w:r w:rsidR="009B6D1F" w:rsidRPr="009D57A3">
        <w:rPr>
          <w:rFonts w:ascii="Arial" w:hAnsi="Arial" w:cs="Arial"/>
          <w:sz w:val="24"/>
          <w:szCs w:val="24"/>
        </w:rPr>
        <w:t>have</w:t>
      </w:r>
      <w:r w:rsidR="00102BE0" w:rsidRPr="009D57A3">
        <w:rPr>
          <w:rFonts w:ascii="Arial" w:hAnsi="Arial" w:cs="Arial"/>
          <w:sz w:val="24"/>
          <w:szCs w:val="24"/>
        </w:rPr>
        <w:t xml:space="preserve"> high consistency for the subgroups used in the analysis</w:t>
      </w:r>
      <w:r w:rsidR="00DE2941" w:rsidRPr="009D57A3">
        <w:rPr>
          <w:rFonts w:ascii="Arial" w:hAnsi="Arial" w:cs="Arial"/>
          <w:sz w:val="24"/>
          <w:szCs w:val="24"/>
        </w:rPr>
        <w:t xml:space="preserve">, hence </w:t>
      </w:r>
      <w:r w:rsidR="002C0069" w:rsidRPr="009D57A3">
        <w:rPr>
          <w:rFonts w:ascii="Arial" w:hAnsi="Arial" w:cs="Arial"/>
          <w:sz w:val="24"/>
          <w:szCs w:val="24"/>
        </w:rPr>
        <w:t>we believe there is justification for comparisons</w:t>
      </w:r>
      <w:r w:rsidR="00C835D5" w:rsidRPr="009D57A3">
        <w:rPr>
          <w:rFonts w:ascii="Arial" w:hAnsi="Arial" w:cs="Arial"/>
          <w:sz w:val="24"/>
          <w:szCs w:val="24"/>
        </w:rPr>
        <w:t xml:space="preserve"> </w:t>
      </w:r>
      <w:r w:rsidR="00C835D5" w:rsidRPr="009D57A3">
        <w:rPr>
          <w:rFonts w:ascii="Arial" w:hAnsi="Arial" w:cs="Arial"/>
          <w:sz w:val="24"/>
          <w:szCs w:val="24"/>
        </w:rPr>
        <w:lastRenderedPageBreak/>
        <w:t>across the sub-groups</w:t>
      </w:r>
      <w:r w:rsidR="00102BE0" w:rsidRPr="009D57A3">
        <w:rPr>
          <w:rFonts w:ascii="Arial" w:hAnsi="Arial" w:cs="Arial"/>
          <w:sz w:val="24"/>
          <w:szCs w:val="24"/>
        </w:rPr>
        <w:t>.</w:t>
      </w:r>
      <w:r w:rsidR="00AB4CAE" w:rsidRPr="009D57A3">
        <w:rPr>
          <w:rFonts w:ascii="Arial" w:hAnsi="Arial" w:cs="Arial"/>
          <w:sz w:val="24"/>
          <w:szCs w:val="24"/>
        </w:rPr>
        <w:t xml:space="preserve"> There is also the advantage of stronger statistical results when using the largest </w:t>
      </w:r>
      <w:r w:rsidR="007B72F9" w:rsidRPr="009D57A3">
        <w:rPr>
          <w:rFonts w:ascii="Arial" w:hAnsi="Arial" w:cs="Arial"/>
          <w:sz w:val="24"/>
          <w:szCs w:val="24"/>
        </w:rPr>
        <w:t>amount of data</w:t>
      </w:r>
      <w:r w:rsidR="00BD5E31" w:rsidRPr="009D57A3">
        <w:rPr>
          <w:rFonts w:ascii="Arial" w:hAnsi="Arial" w:cs="Arial"/>
          <w:sz w:val="24"/>
          <w:szCs w:val="24"/>
        </w:rPr>
        <w:t xml:space="preserve"> for creating princip</w:t>
      </w:r>
      <w:r w:rsidR="00EF50FF" w:rsidRPr="009D57A3">
        <w:rPr>
          <w:rFonts w:ascii="Arial" w:hAnsi="Arial" w:cs="Arial"/>
          <w:sz w:val="24"/>
          <w:szCs w:val="24"/>
        </w:rPr>
        <w:t>al</w:t>
      </w:r>
      <w:r w:rsidR="00BD5E31" w:rsidRPr="009D57A3">
        <w:rPr>
          <w:rFonts w:ascii="Arial" w:hAnsi="Arial" w:cs="Arial"/>
          <w:sz w:val="24"/>
          <w:szCs w:val="24"/>
        </w:rPr>
        <w:t xml:space="preserve"> components or determining </w:t>
      </w:r>
      <w:r w:rsidR="00932D4F" w:rsidRPr="009D57A3">
        <w:rPr>
          <w:rFonts w:ascii="Arial" w:hAnsi="Arial" w:cs="Arial"/>
          <w:sz w:val="24"/>
          <w:szCs w:val="24"/>
        </w:rPr>
        <w:t>correlations or group differences</w:t>
      </w:r>
      <w:r w:rsidR="007B72F9" w:rsidRPr="009D57A3">
        <w:rPr>
          <w:rFonts w:ascii="Arial" w:hAnsi="Arial" w:cs="Arial"/>
          <w:sz w:val="24"/>
          <w:szCs w:val="24"/>
        </w:rPr>
        <w:t xml:space="preserve">. E.g. </w:t>
      </w:r>
      <w:r w:rsidR="004655F5" w:rsidRPr="009D57A3">
        <w:rPr>
          <w:rFonts w:ascii="Arial" w:hAnsi="Arial" w:cs="Arial"/>
          <w:sz w:val="24"/>
          <w:szCs w:val="24"/>
        </w:rPr>
        <w:t xml:space="preserve">we have used the full N=100 patients with x-rays </w:t>
      </w:r>
      <w:r w:rsidR="00A24A9C" w:rsidRPr="009D57A3">
        <w:rPr>
          <w:rFonts w:ascii="Arial" w:hAnsi="Arial" w:cs="Arial"/>
          <w:sz w:val="24"/>
          <w:szCs w:val="24"/>
        </w:rPr>
        <w:t xml:space="preserve">as a </w:t>
      </w:r>
      <w:r w:rsidR="008815E9" w:rsidRPr="009D57A3">
        <w:rPr>
          <w:rFonts w:ascii="Arial" w:hAnsi="Arial" w:cs="Arial"/>
          <w:sz w:val="24"/>
          <w:szCs w:val="24"/>
        </w:rPr>
        <w:t xml:space="preserve">greater representation of data variability </w:t>
      </w:r>
      <w:r w:rsidR="007B72F9" w:rsidRPr="009D57A3">
        <w:rPr>
          <w:rFonts w:ascii="Arial" w:hAnsi="Arial" w:cs="Arial"/>
          <w:sz w:val="24"/>
          <w:szCs w:val="24"/>
        </w:rPr>
        <w:t>to determine the princi</w:t>
      </w:r>
      <w:r w:rsidR="00E32C17" w:rsidRPr="009D57A3">
        <w:rPr>
          <w:rFonts w:ascii="Arial" w:hAnsi="Arial" w:cs="Arial"/>
          <w:sz w:val="24"/>
          <w:szCs w:val="24"/>
        </w:rPr>
        <w:t>pal</w:t>
      </w:r>
      <w:r w:rsidR="007B72F9" w:rsidRPr="009D57A3">
        <w:rPr>
          <w:rFonts w:ascii="Arial" w:hAnsi="Arial" w:cs="Arial"/>
          <w:sz w:val="24"/>
          <w:szCs w:val="24"/>
        </w:rPr>
        <w:t xml:space="preserve"> components of joint space data</w:t>
      </w:r>
      <w:r w:rsidR="0087750B" w:rsidRPr="009D57A3">
        <w:rPr>
          <w:rFonts w:ascii="Arial" w:hAnsi="Arial" w:cs="Arial"/>
          <w:sz w:val="24"/>
          <w:szCs w:val="24"/>
        </w:rPr>
        <w:t xml:space="preserve"> </w:t>
      </w:r>
      <w:r w:rsidR="00A24A9C" w:rsidRPr="009D57A3">
        <w:rPr>
          <w:rFonts w:ascii="Arial" w:hAnsi="Arial" w:cs="Arial"/>
          <w:sz w:val="24"/>
          <w:szCs w:val="24"/>
        </w:rPr>
        <w:t xml:space="preserve">rather than just the N=76 </w:t>
      </w:r>
      <w:r w:rsidR="008815E9" w:rsidRPr="009D57A3">
        <w:rPr>
          <w:rFonts w:ascii="Arial" w:hAnsi="Arial" w:cs="Arial"/>
          <w:sz w:val="24"/>
          <w:szCs w:val="24"/>
        </w:rPr>
        <w:t xml:space="preserve">if we restricted the dataset to those with </w:t>
      </w:r>
      <w:r w:rsidR="00A24A9C" w:rsidRPr="009D57A3">
        <w:rPr>
          <w:rFonts w:ascii="Arial" w:hAnsi="Arial" w:cs="Arial"/>
          <w:sz w:val="24"/>
          <w:szCs w:val="24"/>
        </w:rPr>
        <w:t>MRI data</w:t>
      </w:r>
      <w:r w:rsidR="008815E9" w:rsidRPr="009D57A3">
        <w:rPr>
          <w:rFonts w:ascii="Arial" w:hAnsi="Arial" w:cs="Arial"/>
          <w:sz w:val="24"/>
          <w:szCs w:val="24"/>
        </w:rPr>
        <w:t xml:space="preserve"> as well.</w:t>
      </w:r>
    </w:p>
    <w:p w14:paraId="226B8687" w14:textId="77777777" w:rsidR="006F67FB" w:rsidRPr="009D57A3" w:rsidRDefault="006F67FB" w:rsidP="00FD7D57">
      <w:pPr>
        <w:spacing w:line="480" w:lineRule="auto"/>
        <w:jc w:val="both"/>
        <w:rPr>
          <w:rFonts w:ascii="Arial" w:hAnsi="Arial" w:cs="Arial"/>
          <w:sz w:val="24"/>
          <w:szCs w:val="24"/>
        </w:rPr>
      </w:pPr>
    </w:p>
    <w:p w14:paraId="4DA23FC2" w14:textId="693EBE30" w:rsidR="0057089A" w:rsidRPr="009D57A3" w:rsidRDefault="00F41EA7" w:rsidP="00FD7D57">
      <w:pPr>
        <w:spacing w:line="480" w:lineRule="auto"/>
        <w:jc w:val="both"/>
        <w:rPr>
          <w:rFonts w:ascii="Arial" w:hAnsi="Arial" w:cs="Arial"/>
          <w:sz w:val="24"/>
          <w:szCs w:val="24"/>
        </w:rPr>
      </w:pPr>
      <w:r w:rsidRPr="009D57A3">
        <w:rPr>
          <w:rFonts w:ascii="Arial" w:hAnsi="Arial" w:cs="Arial"/>
          <w:b/>
          <w:bCs/>
          <w:sz w:val="24"/>
          <w:szCs w:val="24"/>
        </w:rPr>
        <w:t>Supplementary Table 2</w:t>
      </w:r>
      <w:r w:rsidRPr="009D57A3">
        <w:rPr>
          <w:rFonts w:ascii="Arial" w:hAnsi="Arial" w:cs="Arial"/>
          <w:sz w:val="24"/>
          <w:szCs w:val="24"/>
        </w:rPr>
        <w:tab/>
      </w:r>
      <w:r w:rsidR="000777E0" w:rsidRPr="009D57A3">
        <w:rPr>
          <w:rFonts w:ascii="Arial" w:hAnsi="Arial" w:cs="Arial"/>
          <w:sz w:val="24"/>
          <w:szCs w:val="24"/>
        </w:rPr>
        <w:t>GLM analysis of the different sub-groups</w:t>
      </w:r>
    </w:p>
    <w:p w14:paraId="3B61C7F7" w14:textId="711FDBA3" w:rsidR="0057089A" w:rsidRPr="009D57A3" w:rsidRDefault="00F41EA7" w:rsidP="00FD7D57">
      <w:pPr>
        <w:spacing w:line="480" w:lineRule="auto"/>
        <w:jc w:val="both"/>
        <w:rPr>
          <w:rFonts w:ascii="Arial" w:hAnsi="Arial" w:cs="Arial"/>
          <w:sz w:val="24"/>
          <w:szCs w:val="24"/>
        </w:rPr>
      </w:pPr>
      <w:r w:rsidRPr="009D57A3">
        <w:rPr>
          <w:noProof/>
        </w:rPr>
        <w:drawing>
          <wp:inline distT="0" distB="0" distL="0" distR="0" wp14:anchorId="47E51C89" wp14:editId="23200C44">
            <wp:extent cx="5731510" cy="5242560"/>
            <wp:effectExtent l="0" t="0" r="2540" b="0"/>
            <wp:docPr id="185391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242560"/>
                    </a:xfrm>
                    <a:prstGeom prst="rect">
                      <a:avLst/>
                    </a:prstGeom>
                    <a:noFill/>
                    <a:ln>
                      <a:noFill/>
                    </a:ln>
                  </pic:spPr>
                </pic:pic>
              </a:graphicData>
            </a:graphic>
          </wp:inline>
        </w:drawing>
      </w:r>
    </w:p>
    <w:p w14:paraId="2AB97488" w14:textId="04865ECD" w:rsidR="000777E0" w:rsidRPr="009D57A3" w:rsidRDefault="002C719C" w:rsidP="00FD7D57">
      <w:pPr>
        <w:spacing w:line="480" w:lineRule="auto"/>
        <w:jc w:val="both"/>
        <w:rPr>
          <w:rFonts w:ascii="Arial" w:hAnsi="Arial" w:cs="Arial"/>
          <w:sz w:val="24"/>
          <w:szCs w:val="24"/>
        </w:rPr>
      </w:pPr>
      <w:r w:rsidRPr="009D57A3">
        <w:rPr>
          <w:rFonts w:ascii="Arial" w:hAnsi="Arial" w:cs="Arial"/>
          <w:sz w:val="24"/>
          <w:szCs w:val="24"/>
        </w:rPr>
        <w:lastRenderedPageBreak/>
        <w:t xml:space="preserve">The clinical data set with fluid biomarkers were first analysed with a GLM and the </w:t>
      </w:r>
      <w:r w:rsidR="00A20319" w:rsidRPr="009D57A3">
        <w:rPr>
          <w:rFonts w:ascii="Arial" w:hAnsi="Arial" w:cs="Arial"/>
          <w:sz w:val="24"/>
          <w:szCs w:val="24"/>
        </w:rPr>
        <w:t xml:space="preserve">parameters </w:t>
      </w:r>
      <w:r w:rsidR="0067357A" w:rsidRPr="009D57A3">
        <w:rPr>
          <w:rFonts w:ascii="Arial" w:hAnsi="Arial" w:cs="Arial"/>
          <w:sz w:val="24"/>
          <w:szCs w:val="24"/>
        </w:rPr>
        <w:t xml:space="preserve">significant at p&lt;=0.05 </w:t>
      </w:r>
      <w:r w:rsidR="00A20319" w:rsidRPr="009D57A3">
        <w:rPr>
          <w:rFonts w:ascii="Arial" w:hAnsi="Arial" w:cs="Arial"/>
          <w:sz w:val="24"/>
          <w:szCs w:val="24"/>
        </w:rPr>
        <w:t xml:space="preserve">for describing variability in pain, </w:t>
      </w:r>
      <w:proofErr w:type="spellStart"/>
      <w:r w:rsidR="00A20319" w:rsidRPr="009D57A3">
        <w:rPr>
          <w:rFonts w:ascii="Arial" w:hAnsi="Arial" w:cs="Arial"/>
          <w:sz w:val="24"/>
          <w:szCs w:val="24"/>
        </w:rPr>
        <w:t>painDETECT</w:t>
      </w:r>
      <w:proofErr w:type="spellEnd"/>
      <w:r w:rsidR="00A20319" w:rsidRPr="009D57A3">
        <w:rPr>
          <w:rFonts w:ascii="Arial" w:hAnsi="Arial" w:cs="Arial"/>
          <w:sz w:val="24"/>
          <w:szCs w:val="24"/>
        </w:rPr>
        <w:t xml:space="preserve"> and stiffness are shown in the first column</w:t>
      </w:r>
      <w:r w:rsidR="00C5345A" w:rsidRPr="009D57A3">
        <w:rPr>
          <w:rFonts w:ascii="Arial" w:hAnsi="Arial" w:cs="Arial"/>
          <w:sz w:val="24"/>
          <w:szCs w:val="24"/>
        </w:rPr>
        <w:t xml:space="preserve"> above</w:t>
      </w:r>
      <w:r w:rsidR="0067357A" w:rsidRPr="009D57A3">
        <w:rPr>
          <w:rFonts w:ascii="Arial" w:hAnsi="Arial" w:cs="Arial"/>
          <w:sz w:val="24"/>
          <w:szCs w:val="24"/>
        </w:rPr>
        <w:t>.</w:t>
      </w:r>
      <w:r w:rsidR="00B70669" w:rsidRPr="009D57A3">
        <w:rPr>
          <w:rFonts w:ascii="Arial" w:hAnsi="Arial" w:cs="Arial"/>
          <w:sz w:val="24"/>
          <w:szCs w:val="24"/>
        </w:rPr>
        <w:t xml:space="preserve"> </w:t>
      </w:r>
      <w:r w:rsidR="0067357A" w:rsidRPr="009D57A3">
        <w:rPr>
          <w:rFonts w:ascii="Arial" w:hAnsi="Arial" w:cs="Arial"/>
          <w:sz w:val="24"/>
          <w:szCs w:val="24"/>
        </w:rPr>
        <w:t>T</w:t>
      </w:r>
      <w:r w:rsidR="00B70669" w:rsidRPr="009D57A3">
        <w:rPr>
          <w:rFonts w:ascii="Arial" w:hAnsi="Arial" w:cs="Arial"/>
          <w:sz w:val="24"/>
          <w:szCs w:val="24"/>
        </w:rPr>
        <w:t>he p and F-values</w:t>
      </w:r>
      <w:r w:rsidR="0067357A" w:rsidRPr="009D57A3">
        <w:rPr>
          <w:rFonts w:ascii="Arial" w:hAnsi="Arial" w:cs="Arial"/>
          <w:sz w:val="24"/>
          <w:szCs w:val="24"/>
        </w:rPr>
        <w:t xml:space="preserve"> shown were</w:t>
      </w:r>
      <w:r w:rsidR="00B70669" w:rsidRPr="009D57A3">
        <w:rPr>
          <w:rFonts w:ascii="Arial" w:hAnsi="Arial" w:cs="Arial"/>
          <w:sz w:val="24"/>
          <w:szCs w:val="24"/>
        </w:rPr>
        <w:t xml:space="preserve"> evaluated for the GLM with </w:t>
      </w:r>
      <w:r w:rsidR="00202D04" w:rsidRPr="009D57A3">
        <w:rPr>
          <w:rFonts w:ascii="Arial" w:hAnsi="Arial" w:cs="Arial"/>
          <w:sz w:val="24"/>
          <w:szCs w:val="24"/>
        </w:rPr>
        <w:t xml:space="preserve">the limited parameter set. </w:t>
      </w:r>
      <w:r w:rsidR="00832D53" w:rsidRPr="009D57A3">
        <w:rPr>
          <w:rFonts w:ascii="Arial" w:hAnsi="Arial" w:cs="Arial"/>
          <w:sz w:val="24"/>
          <w:szCs w:val="24"/>
        </w:rPr>
        <w:t xml:space="preserve">For the data </w:t>
      </w:r>
      <w:r w:rsidR="00AB159C" w:rsidRPr="009D57A3">
        <w:rPr>
          <w:rFonts w:ascii="Arial" w:hAnsi="Arial" w:cs="Arial"/>
          <w:sz w:val="24"/>
          <w:szCs w:val="24"/>
        </w:rPr>
        <w:t xml:space="preserve">subsets for which MRI and x-ray data were available, </w:t>
      </w:r>
      <w:r w:rsidR="002717F7" w:rsidRPr="009D57A3">
        <w:rPr>
          <w:rFonts w:ascii="Arial" w:hAnsi="Arial" w:cs="Arial"/>
          <w:sz w:val="24"/>
          <w:szCs w:val="24"/>
        </w:rPr>
        <w:t>the imaging parameters were added individually to assess their contribution</w:t>
      </w:r>
      <w:r w:rsidR="004772DF" w:rsidRPr="009D57A3">
        <w:rPr>
          <w:rFonts w:ascii="Arial" w:hAnsi="Arial" w:cs="Arial"/>
          <w:sz w:val="24"/>
          <w:szCs w:val="24"/>
        </w:rPr>
        <w:t xml:space="preserve"> to the</w:t>
      </w:r>
      <w:r w:rsidR="00BB2A9D" w:rsidRPr="009D57A3">
        <w:rPr>
          <w:rFonts w:ascii="Arial" w:hAnsi="Arial" w:cs="Arial"/>
          <w:sz w:val="24"/>
          <w:szCs w:val="24"/>
        </w:rPr>
        <w:t xml:space="preserve"> variability. The </w:t>
      </w:r>
      <w:r w:rsidR="004E678F" w:rsidRPr="009D57A3">
        <w:rPr>
          <w:rFonts w:ascii="Arial" w:hAnsi="Arial" w:cs="Arial"/>
          <w:sz w:val="24"/>
          <w:szCs w:val="24"/>
        </w:rPr>
        <w:t xml:space="preserve">GLM of the subset of parameters </w:t>
      </w:r>
      <w:r w:rsidR="00BB2A9D" w:rsidRPr="009D57A3">
        <w:rPr>
          <w:rFonts w:ascii="Arial" w:hAnsi="Arial" w:cs="Arial"/>
          <w:sz w:val="24"/>
          <w:szCs w:val="24"/>
        </w:rPr>
        <w:t>with p&lt;0.05</w:t>
      </w:r>
      <w:r w:rsidR="004E678F" w:rsidRPr="009D57A3">
        <w:rPr>
          <w:rFonts w:ascii="Arial" w:hAnsi="Arial" w:cs="Arial"/>
          <w:sz w:val="24"/>
          <w:szCs w:val="24"/>
        </w:rPr>
        <w:t xml:space="preserve"> are shown</w:t>
      </w:r>
      <w:r w:rsidR="009A7742" w:rsidRPr="009D57A3">
        <w:rPr>
          <w:rFonts w:ascii="Arial" w:hAnsi="Arial" w:cs="Arial"/>
          <w:sz w:val="24"/>
          <w:szCs w:val="24"/>
        </w:rPr>
        <w:t xml:space="preserve"> above</w:t>
      </w:r>
      <w:r w:rsidR="00025334" w:rsidRPr="009D57A3">
        <w:rPr>
          <w:rFonts w:ascii="Arial" w:hAnsi="Arial" w:cs="Arial"/>
          <w:sz w:val="24"/>
          <w:szCs w:val="24"/>
        </w:rPr>
        <w:t xml:space="preserve"> demonstrates that TSP-4 has greater significance and contribution to the variability of pain and stiffness scores than any of the </w:t>
      </w:r>
      <w:r w:rsidR="001E25D1" w:rsidRPr="009D57A3">
        <w:rPr>
          <w:rFonts w:ascii="Arial" w:hAnsi="Arial" w:cs="Arial"/>
          <w:sz w:val="24"/>
          <w:szCs w:val="24"/>
        </w:rPr>
        <w:t>individual imaging parameters.</w:t>
      </w:r>
      <w:r w:rsidR="001B00D6" w:rsidRPr="009D57A3">
        <w:rPr>
          <w:rFonts w:ascii="Arial" w:hAnsi="Arial" w:cs="Arial"/>
          <w:sz w:val="24"/>
          <w:szCs w:val="24"/>
        </w:rPr>
        <w:t xml:space="preserve"> Data in bold shows the combinations</w:t>
      </w:r>
      <w:r w:rsidR="00D238DC" w:rsidRPr="009D57A3">
        <w:rPr>
          <w:rFonts w:ascii="Arial" w:hAnsi="Arial" w:cs="Arial"/>
          <w:sz w:val="24"/>
          <w:szCs w:val="24"/>
        </w:rPr>
        <w:t xml:space="preserve"> of parameters</w:t>
      </w:r>
      <w:r w:rsidR="00594F6D" w:rsidRPr="009D57A3">
        <w:rPr>
          <w:rFonts w:ascii="Arial" w:hAnsi="Arial" w:cs="Arial"/>
          <w:sz w:val="24"/>
          <w:szCs w:val="24"/>
        </w:rPr>
        <w:t xml:space="preserve">, all with p&lt;0.05, </w:t>
      </w:r>
      <w:r w:rsidR="004E678F" w:rsidRPr="009D57A3">
        <w:rPr>
          <w:rFonts w:ascii="Arial" w:hAnsi="Arial" w:cs="Arial"/>
          <w:sz w:val="24"/>
          <w:szCs w:val="24"/>
        </w:rPr>
        <w:t>for</w:t>
      </w:r>
      <w:r w:rsidR="00594F6D" w:rsidRPr="009D57A3">
        <w:rPr>
          <w:rFonts w:ascii="Arial" w:hAnsi="Arial" w:cs="Arial"/>
          <w:sz w:val="24"/>
          <w:szCs w:val="24"/>
        </w:rPr>
        <w:t xml:space="preserve"> which </w:t>
      </w:r>
      <w:r w:rsidR="001B00D6" w:rsidRPr="009D57A3">
        <w:rPr>
          <w:rFonts w:ascii="Arial" w:hAnsi="Arial" w:cs="Arial"/>
          <w:sz w:val="24"/>
          <w:szCs w:val="24"/>
        </w:rPr>
        <w:t xml:space="preserve">TSP-4 shows the </w:t>
      </w:r>
      <w:r w:rsidR="00D238DC" w:rsidRPr="009D57A3">
        <w:rPr>
          <w:rFonts w:ascii="Arial" w:hAnsi="Arial" w:cs="Arial"/>
          <w:sz w:val="24"/>
          <w:szCs w:val="24"/>
        </w:rPr>
        <w:t>highest F</w:t>
      </w:r>
      <w:r w:rsidR="00594F6D" w:rsidRPr="009D57A3">
        <w:rPr>
          <w:rFonts w:ascii="Arial" w:hAnsi="Arial" w:cs="Arial"/>
          <w:sz w:val="24"/>
          <w:szCs w:val="24"/>
        </w:rPr>
        <w:t xml:space="preserve"> value.</w:t>
      </w:r>
    </w:p>
    <w:p w14:paraId="0B9439B6" w14:textId="77777777" w:rsidR="002F6821" w:rsidRPr="009D57A3" w:rsidRDefault="002F6821" w:rsidP="002F6821">
      <w:pPr>
        <w:spacing w:line="480" w:lineRule="auto"/>
        <w:jc w:val="both"/>
        <w:rPr>
          <w:rFonts w:ascii="Arial" w:hAnsi="Arial" w:cs="Arial"/>
          <w:bCs/>
          <w:sz w:val="24"/>
          <w:szCs w:val="24"/>
        </w:rPr>
      </w:pPr>
      <w:r w:rsidRPr="009D57A3">
        <w:rPr>
          <w:rFonts w:ascii="Arial" w:hAnsi="Arial" w:cs="Arial"/>
          <w:bCs/>
          <w:sz w:val="24"/>
          <w:szCs w:val="24"/>
        </w:rPr>
        <w:t>For WOMAC pain, only BMI, TSP-4 and HADS were significant covariates (all at p&lt;0.02, F&gt;5), and when using these parameters alone the predicted pain score is shown in Figure 2A along with their p-values and F-statistics. For the data subsets that also included imaging data (MRI or x-ray), TSP-4 showed greater significance and effect size for describing WOMAC pain than any individual structural imaging parameter. When individual imaging parameters were examined with TSP-4 also included in the model, only KLG still showed a significant contribution (log BMI &lt;0.006, F=8.1; HADS p=0.003, F=9.1; TSP-4 p&lt;0.001, F=21.0; KLG p=0.004, F=8.5), but the predicted variability in WOMAC_P was no better described than as shown in Figure 2A.</w:t>
      </w:r>
    </w:p>
    <w:p w14:paraId="4F09BA53" w14:textId="77777777" w:rsidR="00C5345A" w:rsidRPr="009D57A3" w:rsidRDefault="00C5345A" w:rsidP="00C5345A">
      <w:pPr>
        <w:spacing w:line="480" w:lineRule="auto"/>
        <w:jc w:val="both"/>
        <w:rPr>
          <w:rFonts w:ascii="Arial" w:hAnsi="Arial" w:cs="Arial"/>
          <w:bCs/>
          <w:sz w:val="24"/>
          <w:szCs w:val="24"/>
        </w:rPr>
      </w:pPr>
      <w:r w:rsidRPr="009D57A3">
        <w:rPr>
          <w:rFonts w:ascii="Arial" w:hAnsi="Arial" w:cs="Arial"/>
          <w:bCs/>
          <w:sz w:val="24"/>
          <w:szCs w:val="24"/>
        </w:rPr>
        <w:t xml:space="preserve">For predicting </w:t>
      </w:r>
      <w:proofErr w:type="spellStart"/>
      <w:r w:rsidRPr="009D57A3">
        <w:rPr>
          <w:rFonts w:ascii="Arial" w:hAnsi="Arial" w:cs="Arial"/>
          <w:bCs/>
          <w:sz w:val="24"/>
          <w:szCs w:val="24"/>
        </w:rPr>
        <w:t>painDETECT</w:t>
      </w:r>
      <w:proofErr w:type="spellEnd"/>
      <w:r w:rsidRPr="009D57A3">
        <w:rPr>
          <w:rFonts w:ascii="Arial" w:hAnsi="Arial" w:cs="Arial"/>
          <w:bCs/>
          <w:sz w:val="24"/>
          <w:szCs w:val="24"/>
        </w:rPr>
        <w:t xml:space="preserve"> a GLM with the clinical data (BMI, age, HADS, sex) and TSP-4, only HADS (p&lt;0.001, F=31.2) and TSP-4 (p&lt;0.001, F=11.4) were significant in describing its variability as shown in Figure 2B. As with the GLM analysis for WOMAC pain, TSP-4 showed greater significance (lower p and higher F-value) than any of the structural parameters when added individually. When TSP-4 was included </w:t>
      </w:r>
      <w:r w:rsidRPr="009D57A3">
        <w:rPr>
          <w:rFonts w:ascii="Arial" w:hAnsi="Arial" w:cs="Arial"/>
          <w:bCs/>
          <w:sz w:val="24"/>
          <w:szCs w:val="24"/>
        </w:rPr>
        <w:lastRenderedPageBreak/>
        <w:t xml:space="preserve">in the GLM along with </w:t>
      </w:r>
      <w:proofErr w:type="gramStart"/>
      <w:r w:rsidRPr="009D57A3">
        <w:rPr>
          <w:rFonts w:ascii="Arial" w:hAnsi="Arial" w:cs="Arial"/>
          <w:bCs/>
          <w:sz w:val="24"/>
          <w:szCs w:val="24"/>
        </w:rPr>
        <w:t>individual  structural</w:t>
      </w:r>
      <w:proofErr w:type="gramEnd"/>
      <w:r w:rsidRPr="009D57A3">
        <w:rPr>
          <w:rFonts w:ascii="Arial" w:hAnsi="Arial" w:cs="Arial"/>
          <w:bCs/>
          <w:sz w:val="24"/>
          <w:szCs w:val="24"/>
        </w:rPr>
        <w:t xml:space="preserve"> parameters, only </w:t>
      </w:r>
      <w:proofErr w:type="spellStart"/>
      <w:r w:rsidRPr="009D57A3">
        <w:rPr>
          <w:rFonts w:ascii="Arial" w:hAnsi="Arial" w:cs="Arial"/>
          <w:bCs/>
          <w:sz w:val="24"/>
          <w:szCs w:val="24"/>
        </w:rPr>
        <w:t>nCD</w:t>
      </w:r>
      <w:proofErr w:type="spellEnd"/>
      <w:r w:rsidRPr="009D57A3">
        <w:rPr>
          <w:rFonts w:ascii="Arial" w:hAnsi="Arial" w:cs="Arial"/>
          <w:bCs/>
          <w:sz w:val="24"/>
          <w:szCs w:val="24"/>
        </w:rPr>
        <w:t xml:space="preserve"> still remained significant (HADS p&lt;0.001, F=</w:t>
      </w:r>
      <w:proofErr w:type="gramStart"/>
      <w:r w:rsidRPr="009D57A3">
        <w:rPr>
          <w:rFonts w:ascii="Arial" w:hAnsi="Arial" w:cs="Arial"/>
          <w:bCs/>
          <w:sz w:val="24"/>
          <w:szCs w:val="24"/>
        </w:rPr>
        <w:t>21.9;,</w:t>
      </w:r>
      <w:proofErr w:type="gramEnd"/>
      <w:r w:rsidRPr="009D57A3">
        <w:rPr>
          <w:rFonts w:ascii="Arial" w:hAnsi="Arial" w:cs="Arial"/>
          <w:bCs/>
          <w:sz w:val="24"/>
          <w:szCs w:val="24"/>
        </w:rPr>
        <w:t xml:space="preserve"> TSP-4 p=0.022, F=5.5; </w:t>
      </w:r>
      <w:proofErr w:type="spellStart"/>
      <w:r w:rsidRPr="009D57A3">
        <w:rPr>
          <w:rFonts w:ascii="Arial" w:hAnsi="Arial" w:cs="Arial"/>
          <w:bCs/>
          <w:sz w:val="24"/>
          <w:szCs w:val="24"/>
        </w:rPr>
        <w:t>nCD</w:t>
      </w:r>
      <w:proofErr w:type="spellEnd"/>
      <w:r w:rsidRPr="009D57A3">
        <w:rPr>
          <w:rFonts w:ascii="Arial" w:hAnsi="Arial" w:cs="Arial"/>
          <w:bCs/>
          <w:sz w:val="24"/>
          <w:szCs w:val="24"/>
        </w:rPr>
        <w:t xml:space="preserve"> p=0.032, F=4.8).  </w:t>
      </w:r>
    </w:p>
    <w:p w14:paraId="433DD8FF" w14:textId="64DA5695" w:rsidR="00C5345A" w:rsidRDefault="00C5345A" w:rsidP="00C5345A">
      <w:pPr>
        <w:spacing w:line="480" w:lineRule="auto"/>
        <w:jc w:val="both"/>
        <w:rPr>
          <w:rFonts w:ascii="Arial" w:hAnsi="Arial" w:cs="Arial"/>
          <w:bCs/>
          <w:sz w:val="24"/>
          <w:szCs w:val="24"/>
        </w:rPr>
      </w:pPr>
      <w:r w:rsidRPr="009D57A3">
        <w:rPr>
          <w:rFonts w:ascii="Arial" w:hAnsi="Arial" w:cs="Arial"/>
          <w:bCs/>
          <w:sz w:val="24"/>
          <w:szCs w:val="24"/>
        </w:rPr>
        <w:t xml:space="preserve">For WOMAC stiffness, only log BMI, TSP-4 and sex were significant for the clinical </w:t>
      </w:r>
      <w:r w:rsidR="00076461" w:rsidRPr="009D57A3">
        <w:rPr>
          <w:rFonts w:ascii="Arial" w:hAnsi="Arial" w:cs="Arial"/>
          <w:bCs/>
          <w:sz w:val="24"/>
          <w:szCs w:val="24"/>
        </w:rPr>
        <w:t>parameters</w:t>
      </w:r>
      <w:r w:rsidRPr="009D57A3">
        <w:rPr>
          <w:rFonts w:ascii="Arial" w:hAnsi="Arial" w:cs="Arial"/>
          <w:bCs/>
          <w:sz w:val="24"/>
          <w:szCs w:val="24"/>
        </w:rPr>
        <w:t xml:space="preserve"> combined with fluid biomarkers, and the predicted stiffness score using a GLM, is shown in Figure 2C along with their p and F-values. In the data subsets with imaging, TSP-4 was more significant (p=0.007, F=7.6) than any of the imaging parameters added individually. For TSP-4 combined with an imaging parameter only the PC of </w:t>
      </w:r>
      <w:proofErr w:type="spellStart"/>
      <w:r w:rsidRPr="009D57A3">
        <w:rPr>
          <w:rFonts w:ascii="Arial" w:hAnsi="Arial" w:cs="Arial"/>
          <w:bCs/>
          <w:sz w:val="24"/>
          <w:szCs w:val="24"/>
        </w:rPr>
        <w:t>JS_lateral</w:t>
      </w:r>
      <w:proofErr w:type="spellEnd"/>
      <w:r w:rsidRPr="009D57A3">
        <w:rPr>
          <w:rFonts w:ascii="Arial" w:hAnsi="Arial" w:cs="Arial"/>
          <w:bCs/>
          <w:sz w:val="24"/>
          <w:szCs w:val="24"/>
        </w:rPr>
        <w:t xml:space="preserve"> was significant (</w:t>
      </w:r>
      <w:proofErr w:type="spellStart"/>
      <w:r w:rsidRPr="009D57A3">
        <w:rPr>
          <w:rFonts w:ascii="Arial" w:hAnsi="Arial" w:cs="Arial"/>
          <w:bCs/>
          <w:sz w:val="24"/>
          <w:szCs w:val="24"/>
        </w:rPr>
        <w:t>logBMI</w:t>
      </w:r>
      <w:proofErr w:type="spellEnd"/>
      <w:r w:rsidRPr="009D57A3">
        <w:rPr>
          <w:rFonts w:ascii="Arial" w:hAnsi="Arial" w:cs="Arial"/>
          <w:bCs/>
          <w:sz w:val="24"/>
          <w:szCs w:val="24"/>
        </w:rPr>
        <w:t xml:space="preserve"> p=0.001, F=10.9; sex p&lt;0.001, F=15.9; TSP-4 p&lt;0.001, F=17.3; </w:t>
      </w:r>
      <w:proofErr w:type="spellStart"/>
      <w:r w:rsidRPr="009D57A3">
        <w:rPr>
          <w:rFonts w:ascii="Arial" w:hAnsi="Arial" w:cs="Arial"/>
          <w:bCs/>
          <w:sz w:val="24"/>
          <w:szCs w:val="24"/>
        </w:rPr>
        <w:t>JS_lateral</w:t>
      </w:r>
      <w:proofErr w:type="spellEnd"/>
      <w:r w:rsidRPr="009D57A3">
        <w:rPr>
          <w:rFonts w:ascii="Arial" w:hAnsi="Arial" w:cs="Arial"/>
          <w:bCs/>
          <w:sz w:val="24"/>
          <w:szCs w:val="24"/>
        </w:rPr>
        <w:t xml:space="preserve"> p=0.003, F=9.6). The addition of </w:t>
      </w:r>
      <w:proofErr w:type="spellStart"/>
      <w:r w:rsidRPr="009D57A3">
        <w:rPr>
          <w:rFonts w:ascii="Arial" w:hAnsi="Arial" w:cs="Arial"/>
          <w:bCs/>
          <w:sz w:val="24"/>
          <w:szCs w:val="24"/>
        </w:rPr>
        <w:t>JS_lateral</w:t>
      </w:r>
      <w:proofErr w:type="spellEnd"/>
      <w:r w:rsidRPr="009D57A3">
        <w:rPr>
          <w:rFonts w:ascii="Arial" w:hAnsi="Arial" w:cs="Arial"/>
          <w:bCs/>
          <w:sz w:val="24"/>
          <w:szCs w:val="24"/>
        </w:rPr>
        <w:t xml:space="preserve"> gave a model with improved description of WOMAC stiffness as shown in Figure 2D.</w:t>
      </w:r>
      <w:r w:rsidRPr="006568B5">
        <w:rPr>
          <w:rFonts w:ascii="Arial" w:hAnsi="Arial" w:cs="Arial"/>
          <w:bCs/>
          <w:sz w:val="24"/>
          <w:szCs w:val="24"/>
        </w:rPr>
        <w:t xml:space="preserve"> </w:t>
      </w:r>
    </w:p>
    <w:p w14:paraId="34F4BFE5" w14:textId="1056C813" w:rsidR="000F24DA" w:rsidRDefault="000F24DA" w:rsidP="00C5345A">
      <w:pPr>
        <w:spacing w:line="480" w:lineRule="auto"/>
        <w:jc w:val="both"/>
        <w:rPr>
          <w:rFonts w:ascii="Arial" w:hAnsi="Arial" w:cs="Arial"/>
          <w:sz w:val="24"/>
          <w:szCs w:val="24"/>
        </w:rPr>
      </w:pPr>
      <w:r w:rsidRPr="008A7975">
        <w:rPr>
          <w:rFonts w:ascii="Arial" w:hAnsi="Arial" w:cs="Arial"/>
          <w:sz w:val="24"/>
          <w:szCs w:val="24"/>
        </w:rPr>
        <w:t xml:space="preserve">We investigated how WOMAC scores vary in relation to the clinical and structural damage scores using a GLM and show that TSP-4 levels are a significant factor in the variability of pain and stiffness, with BMI and HADS being the most significant factors. For our subsets with imaging data, the variability of WOMAC scores showed greater significance (lower p and higher F-values) for TSP-4 than for most of the imaging measures of structural damage (Supplementary Table 2). This is likely because of the strong covariance of TSP-4 with structural damage as measured by MRI (Table 2 and Figure 3) accounts for disease progression in terms of damage. However, the stronger correlation of TSP-4 to </w:t>
      </w:r>
      <w:proofErr w:type="spellStart"/>
      <w:r w:rsidRPr="008A7975">
        <w:rPr>
          <w:rFonts w:ascii="Arial" w:hAnsi="Arial" w:cs="Arial"/>
          <w:sz w:val="24"/>
          <w:szCs w:val="24"/>
        </w:rPr>
        <w:t>painDETECT</w:t>
      </w:r>
      <w:proofErr w:type="spellEnd"/>
      <w:r w:rsidRPr="008A7975">
        <w:rPr>
          <w:rFonts w:ascii="Arial" w:hAnsi="Arial" w:cs="Arial"/>
          <w:sz w:val="24"/>
          <w:szCs w:val="24"/>
        </w:rPr>
        <w:t xml:space="preserve"> (Table 2) and its significant difference between </w:t>
      </w:r>
      <w:proofErr w:type="spellStart"/>
      <w:r w:rsidRPr="008A7975">
        <w:rPr>
          <w:rFonts w:ascii="Arial" w:hAnsi="Arial" w:cs="Arial"/>
          <w:sz w:val="24"/>
          <w:szCs w:val="24"/>
        </w:rPr>
        <w:t>painDETECT</w:t>
      </w:r>
      <w:proofErr w:type="spellEnd"/>
      <w:r w:rsidRPr="008A7975">
        <w:rPr>
          <w:rFonts w:ascii="Arial" w:hAnsi="Arial" w:cs="Arial"/>
          <w:sz w:val="24"/>
          <w:szCs w:val="24"/>
        </w:rPr>
        <w:t xml:space="preserve"> groups and importance in the prediction models (Fig</w:t>
      </w:r>
      <w:r>
        <w:rPr>
          <w:rFonts w:ascii="Arial" w:hAnsi="Arial" w:cs="Arial"/>
          <w:sz w:val="24"/>
          <w:szCs w:val="24"/>
        </w:rPr>
        <w:t>ure</w:t>
      </w:r>
      <w:r w:rsidRPr="008A7975">
        <w:rPr>
          <w:rFonts w:ascii="Arial" w:hAnsi="Arial" w:cs="Arial"/>
          <w:sz w:val="24"/>
          <w:szCs w:val="24"/>
        </w:rPr>
        <w:t xml:space="preserve"> 4), suggests that TSP-4 maybe biologically involved in pain sensitisation, and more than a marker of structural damage. Only the x-ray derived KLG score provided additional significance in pain variability, and lateral joint space to WOMAC stiffness. </w:t>
      </w:r>
    </w:p>
    <w:sectPr w:rsidR="000F24DA" w:rsidSect="001352F9">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57"/>
    <w:rsid w:val="000014C3"/>
    <w:rsid w:val="00025334"/>
    <w:rsid w:val="0004684A"/>
    <w:rsid w:val="00075756"/>
    <w:rsid w:val="00076461"/>
    <w:rsid w:val="000777E0"/>
    <w:rsid w:val="00097C69"/>
    <w:rsid w:val="000A4CCA"/>
    <w:rsid w:val="000C12AE"/>
    <w:rsid w:val="000E38B6"/>
    <w:rsid w:val="000E71E8"/>
    <w:rsid w:val="000F24DA"/>
    <w:rsid w:val="000F3F94"/>
    <w:rsid w:val="00102BE0"/>
    <w:rsid w:val="00110C12"/>
    <w:rsid w:val="0011629B"/>
    <w:rsid w:val="001352F9"/>
    <w:rsid w:val="0016692D"/>
    <w:rsid w:val="001B00D6"/>
    <w:rsid w:val="001B11E1"/>
    <w:rsid w:val="001C3DE2"/>
    <w:rsid w:val="001E25D1"/>
    <w:rsid w:val="001F6DFF"/>
    <w:rsid w:val="00202D04"/>
    <w:rsid w:val="00247CD3"/>
    <w:rsid w:val="002637DB"/>
    <w:rsid w:val="002717F7"/>
    <w:rsid w:val="002862CE"/>
    <w:rsid w:val="002C0069"/>
    <w:rsid w:val="002C024F"/>
    <w:rsid w:val="002C719C"/>
    <w:rsid w:val="002F5266"/>
    <w:rsid w:val="002F6821"/>
    <w:rsid w:val="00310BC5"/>
    <w:rsid w:val="00321094"/>
    <w:rsid w:val="00397720"/>
    <w:rsid w:val="003A1C9B"/>
    <w:rsid w:val="003C3ED2"/>
    <w:rsid w:val="0040574E"/>
    <w:rsid w:val="00446C1A"/>
    <w:rsid w:val="004655F5"/>
    <w:rsid w:val="00473D7C"/>
    <w:rsid w:val="00474632"/>
    <w:rsid w:val="004772DF"/>
    <w:rsid w:val="004E678F"/>
    <w:rsid w:val="005062DA"/>
    <w:rsid w:val="00550EC0"/>
    <w:rsid w:val="00555BC6"/>
    <w:rsid w:val="0057089A"/>
    <w:rsid w:val="00594F6D"/>
    <w:rsid w:val="005B44CC"/>
    <w:rsid w:val="005D1326"/>
    <w:rsid w:val="005D1F25"/>
    <w:rsid w:val="005D5F1B"/>
    <w:rsid w:val="00621ADD"/>
    <w:rsid w:val="00650CD0"/>
    <w:rsid w:val="0067357A"/>
    <w:rsid w:val="006817BE"/>
    <w:rsid w:val="006A5C18"/>
    <w:rsid w:val="006D60F7"/>
    <w:rsid w:val="006F232E"/>
    <w:rsid w:val="006F67FB"/>
    <w:rsid w:val="00714719"/>
    <w:rsid w:val="0076446B"/>
    <w:rsid w:val="007654EC"/>
    <w:rsid w:val="00767F2D"/>
    <w:rsid w:val="007B72F9"/>
    <w:rsid w:val="007E07C9"/>
    <w:rsid w:val="007F40CC"/>
    <w:rsid w:val="00810D9E"/>
    <w:rsid w:val="0082008F"/>
    <w:rsid w:val="008218EA"/>
    <w:rsid w:val="00832D53"/>
    <w:rsid w:val="00837C4F"/>
    <w:rsid w:val="0087750B"/>
    <w:rsid w:val="008815E9"/>
    <w:rsid w:val="0088160D"/>
    <w:rsid w:val="00886735"/>
    <w:rsid w:val="00892AC5"/>
    <w:rsid w:val="008B4F0E"/>
    <w:rsid w:val="008E44AB"/>
    <w:rsid w:val="00932D4F"/>
    <w:rsid w:val="009377F0"/>
    <w:rsid w:val="0095325E"/>
    <w:rsid w:val="009A7742"/>
    <w:rsid w:val="009B6063"/>
    <w:rsid w:val="009B6D1F"/>
    <w:rsid w:val="009C1B79"/>
    <w:rsid w:val="009D57A3"/>
    <w:rsid w:val="009D62FB"/>
    <w:rsid w:val="009E04E6"/>
    <w:rsid w:val="00A16CD4"/>
    <w:rsid w:val="00A20319"/>
    <w:rsid w:val="00A24A9C"/>
    <w:rsid w:val="00A429A1"/>
    <w:rsid w:val="00A64DC2"/>
    <w:rsid w:val="00A656A7"/>
    <w:rsid w:val="00A77F65"/>
    <w:rsid w:val="00AA33EA"/>
    <w:rsid w:val="00AB068A"/>
    <w:rsid w:val="00AB159C"/>
    <w:rsid w:val="00AB4CAE"/>
    <w:rsid w:val="00AE588E"/>
    <w:rsid w:val="00B043B5"/>
    <w:rsid w:val="00B0748B"/>
    <w:rsid w:val="00B70669"/>
    <w:rsid w:val="00B769C5"/>
    <w:rsid w:val="00BB2A9D"/>
    <w:rsid w:val="00BD142F"/>
    <w:rsid w:val="00BD38A7"/>
    <w:rsid w:val="00BD5E31"/>
    <w:rsid w:val="00BE098F"/>
    <w:rsid w:val="00C511CD"/>
    <w:rsid w:val="00C5345A"/>
    <w:rsid w:val="00C835D5"/>
    <w:rsid w:val="00C96C09"/>
    <w:rsid w:val="00CA50DA"/>
    <w:rsid w:val="00CB500F"/>
    <w:rsid w:val="00D01F88"/>
    <w:rsid w:val="00D238DC"/>
    <w:rsid w:val="00D250FC"/>
    <w:rsid w:val="00D354ED"/>
    <w:rsid w:val="00D430DE"/>
    <w:rsid w:val="00D47757"/>
    <w:rsid w:val="00D544D3"/>
    <w:rsid w:val="00D65EF9"/>
    <w:rsid w:val="00DB4FAE"/>
    <w:rsid w:val="00DD67D5"/>
    <w:rsid w:val="00DE2941"/>
    <w:rsid w:val="00DE39FD"/>
    <w:rsid w:val="00E32C17"/>
    <w:rsid w:val="00E3676A"/>
    <w:rsid w:val="00E516D5"/>
    <w:rsid w:val="00E63C59"/>
    <w:rsid w:val="00E71714"/>
    <w:rsid w:val="00E8253A"/>
    <w:rsid w:val="00E9436D"/>
    <w:rsid w:val="00EB0D19"/>
    <w:rsid w:val="00EE350F"/>
    <w:rsid w:val="00EF50FF"/>
    <w:rsid w:val="00F27D4D"/>
    <w:rsid w:val="00F337F6"/>
    <w:rsid w:val="00F36ABE"/>
    <w:rsid w:val="00F41EA7"/>
    <w:rsid w:val="00F738F2"/>
    <w:rsid w:val="00FC2AB5"/>
    <w:rsid w:val="00FD7D57"/>
    <w:rsid w:val="00FF2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904C"/>
  <w15:chartTrackingRefBased/>
  <w15:docId w15:val="{1487A672-1A4C-420D-AA88-A4BE2610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57"/>
    <w:rPr>
      <w:kern w:val="0"/>
      <w14:ligatures w14:val="none"/>
    </w:rPr>
  </w:style>
  <w:style w:type="paragraph" w:styleId="Heading1">
    <w:name w:val="heading 1"/>
    <w:basedOn w:val="Normal"/>
    <w:next w:val="Normal"/>
    <w:link w:val="Heading1Char"/>
    <w:uiPriority w:val="9"/>
    <w:qFormat/>
    <w:rsid w:val="00FD7D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7D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7D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7D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7D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7D5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7D5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7D5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7D5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D57"/>
    <w:rPr>
      <w:rFonts w:eastAsiaTheme="majorEastAsia" w:cstheme="majorBidi"/>
      <w:color w:val="272727" w:themeColor="text1" w:themeTint="D8"/>
    </w:rPr>
  </w:style>
  <w:style w:type="paragraph" w:styleId="Title">
    <w:name w:val="Title"/>
    <w:basedOn w:val="Normal"/>
    <w:next w:val="Normal"/>
    <w:link w:val="TitleChar"/>
    <w:uiPriority w:val="10"/>
    <w:qFormat/>
    <w:rsid w:val="00FD7D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7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D5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7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D5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D7D57"/>
    <w:rPr>
      <w:i/>
      <w:iCs/>
      <w:color w:val="404040" w:themeColor="text1" w:themeTint="BF"/>
    </w:rPr>
  </w:style>
  <w:style w:type="paragraph" w:styleId="ListParagraph">
    <w:name w:val="List Paragraph"/>
    <w:basedOn w:val="Normal"/>
    <w:uiPriority w:val="34"/>
    <w:qFormat/>
    <w:rsid w:val="00FD7D57"/>
    <w:pPr>
      <w:ind w:left="720"/>
      <w:contextualSpacing/>
    </w:pPr>
    <w:rPr>
      <w:kern w:val="2"/>
      <w14:ligatures w14:val="standardContextual"/>
    </w:rPr>
  </w:style>
  <w:style w:type="character" w:styleId="IntenseEmphasis">
    <w:name w:val="Intense Emphasis"/>
    <w:basedOn w:val="DefaultParagraphFont"/>
    <w:uiPriority w:val="21"/>
    <w:qFormat/>
    <w:rsid w:val="00FD7D57"/>
    <w:rPr>
      <w:i/>
      <w:iCs/>
      <w:color w:val="0F4761" w:themeColor="accent1" w:themeShade="BF"/>
    </w:rPr>
  </w:style>
  <w:style w:type="paragraph" w:styleId="IntenseQuote">
    <w:name w:val="Intense Quote"/>
    <w:basedOn w:val="Normal"/>
    <w:next w:val="Normal"/>
    <w:link w:val="IntenseQuoteChar"/>
    <w:uiPriority w:val="30"/>
    <w:qFormat/>
    <w:rsid w:val="00FD7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D7D57"/>
    <w:rPr>
      <w:i/>
      <w:iCs/>
      <w:color w:val="0F4761" w:themeColor="accent1" w:themeShade="BF"/>
    </w:rPr>
  </w:style>
  <w:style w:type="character" w:styleId="IntenseReference">
    <w:name w:val="Intense Reference"/>
    <w:basedOn w:val="DefaultParagraphFont"/>
    <w:uiPriority w:val="32"/>
    <w:qFormat/>
    <w:rsid w:val="00FD7D57"/>
    <w:rPr>
      <w:b/>
      <w:bCs/>
      <w:smallCaps/>
      <w:color w:val="0F4761" w:themeColor="accent1" w:themeShade="BF"/>
      <w:spacing w:val="5"/>
    </w:rPr>
  </w:style>
  <w:style w:type="paragraph" w:styleId="Revision">
    <w:name w:val="Revision"/>
    <w:hidden/>
    <w:uiPriority w:val="99"/>
    <w:semiHidden/>
    <w:rsid w:val="002637DB"/>
    <w:pPr>
      <w:spacing w:after="0" w:line="240" w:lineRule="auto"/>
    </w:pPr>
    <w:rPr>
      <w:kern w:val="0"/>
      <w14:ligatures w14:val="none"/>
    </w:rPr>
  </w:style>
  <w:style w:type="character" w:styleId="LineNumber">
    <w:name w:val="line number"/>
    <w:basedOn w:val="DefaultParagraphFont"/>
    <w:uiPriority w:val="99"/>
    <w:semiHidden/>
    <w:unhideWhenUsed/>
    <w:rsid w:val="00F337F6"/>
  </w:style>
  <w:style w:type="table" w:styleId="TableGrid">
    <w:name w:val="Table Grid"/>
    <w:basedOn w:val="TableNormal"/>
    <w:uiPriority w:val="39"/>
    <w:rsid w:val="002F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4DA"/>
    <w:rPr>
      <w:sz w:val="16"/>
      <w:szCs w:val="16"/>
    </w:rPr>
  </w:style>
  <w:style w:type="paragraph" w:styleId="CommentText">
    <w:name w:val="annotation text"/>
    <w:basedOn w:val="Normal"/>
    <w:link w:val="CommentTextChar"/>
    <w:uiPriority w:val="99"/>
    <w:unhideWhenUsed/>
    <w:rsid w:val="000F24DA"/>
    <w:pPr>
      <w:spacing w:line="240" w:lineRule="auto"/>
    </w:pPr>
    <w:rPr>
      <w:sz w:val="20"/>
      <w:szCs w:val="20"/>
    </w:rPr>
  </w:style>
  <w:style w:type="character" w:customStyle="1" w:styleId="CommentTextChar">
    <w:name w:val="Comment Text Char"/>
    <w:basedOn w:val="DefaultParagraphFont"/>
    <w:link w:val="CommentText"/>
    <w:uiPriority w:val="99"/>
    <w:rsid w:val="000F24D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0787">
      <w:bodyDiv w:val="1"/>
      <w:marLeft w:val="0"/>
      <w:marRight w:val="0"/>
      <w:marTop w:val="0"/>
      <w:marBottom w:val="0"/>
      <w:divBdr>
        <w:top w:val="none" w:sz="0" w:space="0" w:color="auto"/>
        <w:left w:val="none" w:sz="0" w:space="0" w:color="auto"/>
        <w:bottom w:val="none" w:sz="0" w:space="0" w:color="auto"/>
        <w:right w:val="none" w:sz="0" w:space="0" w:color="auto"/>
      </w:divBdr>
    </w:div>
    <w:div w:id="667826771">
      <w:bodyDiv w:val="1"/>
      <w:marLeft w:val="0"/>
      <w:marRight w:val="0"/>
      <w:marTop w:val="0"/>
      <w:marBottom w:val="0"/>
      <w:divBdr>
        <w:top w:val="none" w:sz="0" w:space="0" w:color="auto"/>
        <w:left w:val="none" w:sz="0" w:space="0" w:color="auto"/>
        <w:bottom w:val="none" w:sz="0" w:space="0" w:color="auto"/>
        <w:right w:val="none" w:sz="0" w:space="0" w:color="auto"/>
      </w:divBdr>
    </w:div>
    <w:div w:id="765153837">
      <w:bodyDiv w:val="1"/>
      <w:marLeft w:val="0"/>
      <w:marRight w:val="0"/>
      <w:marTop w:val="0"/>
      <w:marBottom w:val="0"/>
      <w:divBdr>
        <w:top w:val="none" w:sz="0" w:space="0" w:color="auto"/>
        <w:left w:val="none" w:sz="0" w:space="0" w:color="auto"/>
        <w:bottom w:val="none" w:sz="0" w:space="0" w:color="auto"/>
        <w:right w:val="none" w:sz="0" w:space="0" w:color="auto"/>
      </w:divBdr>
    </w:div>
    <w:div w:id="1099637889">
      <w:bodyDiv w:val="1"/>
      <w:marLeft w:val="0"/>
      <w:marRight w:val="0"/>
      <w:marTop w:val="0"/>
      <w:marBottom w:val="0"/>
      <w:divBdr>
        <w:top w:val="none" w:sz="0" w:space="0" w:color="auto"/>
        <w:left w:val="none" w:sz="0" w:space="0" w:color="auto"/>
        <w:bottom w:val="none" w:sz="0" w:space="0" w:color="auto"/>
        <w:right w:val="none" w:sz="0" w:space="0" w:color="auto"/>
      </w:divBdr>
    </w:div>
    <w:div w:id="15496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D5C7-10E0-4EAC-B00A-BB5901CE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Sofat</dc:creator>
  <cp:keywords/>
  <dc:description/>
  <cp:lastModifiedBy>Nidhi Sofat</cp:lastModifiedBy>
  <cp:revision>5</cp:revision>
  <dcterms:created xsi:type="dcterms:W3CDTF">2025-06-06T12:24:00Z</dcterms:created>
  <dcterms:modified xsi:type="dcterms:W3CDTF">2025-10-04T09:46:00Z</dcterms:modified>
</cp:coreProperties>
</file>