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22ED7" w14:textId="77777777" w:rsidR="00122EB2" w:rsidRDefault="00122EB2">
      <w:pPr>
        <w:rPr>
          <w:rFonts w:ascii="Arial" w:eastAsia="Arial" w:hAnsi="Arial" w:cs="Arial"/>
          <w:sz w:val="20"/>
          <w:szCs w:val="20"/>
        </w:rPr>
      </w:pPr>
    </w:p>
    <w:p w14:paraId="2EEBF62D" w14:textId="77777777" w:rsidR="00122EB2" w:rsidRDefault="00000000">
      <w:pPr>
        <w:jc w:val="center"/>
        <w:rPr>
          <w:rFonts w:ascii="Arial" w:eastAsia="Arial" w:hAnsi="Arial" w:cs="Arial"/>
          <w:b/>
          <w:bCs/>
          <w:sz w:val="32"/>
          <w:szCs w:val="32"/>
        </w:rPr>
      </w:pPr>
      <w:r>
        <w:rPr>
          <w:rFonts w:ascii="Arial" w:eastAsia="Arial" w:hAnsi="Arial" w:cs="Arial"/>
          <w:b/>
          <w:bCs/>
          <w:sz w:val="32"/>
          <w:szCs w:val="32"/>
        </w:rPr>
        <w:t>A Randomised Control Trial Study Evaluating a Compulsive Exercise Group for Adolescent Inpatients with Eating Disorders</w:t>
      </w:r>
    </w:p>
    <w:p w14:paraId="2D4FF0CB" w14:textId="77777777" w:rsidR="00122EB2" w:rsidRDefault="00122EB2">
      <w:pPr>
        <w:rPr>
          <w:rFonts w:ascii="Arial" w:eastAsia="Arial" w:hAnsi="Arial" w:cs="Arial"/>
          <w:sz w:val="20"/>
          <w:szCs w:val="20"/>
        </w:rPr>
      </w:pPr>
    </w:p>
    <w:p w14:paraId="6ED56A6B" w14:textId="77777777" w:rsidR="00122EB2" w:rsidRDefault="00000000">
      <w:pPr>
        <w:jc w:val="center"/>
        <w:rPr>
          <w:rFonts w:ascii="Arial" w:eastAsia="Arial" w:hAnsi="Arial" w:cs="Arial"/>
          <w:b/>
          <w:bCs/>
          <w:sz w:val="24"/>
          <w:szCs w:val="24"/>
        </w:rPr>
      </w:pPr>
      <w:r>
        <w:rPr>
          <w:rFonts w:ascii="Arial" w:eastAsia="Arial" w:hAnsi="Arial" w:cs="Arial"/>
          <w:b/>
          <w:bCs/>
          <w:sz w:val="24"/>
          <w:szCs w:val="24"/>
        </w:rPr>
        <w:t>Authors and Affiliations:</w:t>
      </w:r>
    </w:p>
    <w:p w14:paraId="0C608070" w14:textId="77777777" w:rsidR="00122EB2" w:rsidRDefault="00000000">
      <w:pPr>
        <w:spacing w:after="0" w:line="303" w:lineRule="auto"/>
        <w:jc w:val="center"/>
        <w:rPr>
          <w:rFonts w:ascii="Arial" w:eastAsia="Arial" w:hAnsi="Arial" w:cs="Arial"/>
          <w:b/>
          <w:bCs/>
        </w:rPr>
      </w:pPr>
      <w:r>
        <w:rPr>
          <w:rFonts w:ascii="Arial" w:eastAsia="Arial" w:hAnsi="Arial" w:cs="Arial"/>
          <w:b/>
          <w:bCs/>
        </w:rPr>
        <w:t>Schoen Clinic Newbridge, Birmingham, UK</w:t>
      </w:r>
    </w:p>
    <w:p w14:paraId="6D2BFC03" w14:textId="77777777" w:rsidR="00122EB2" w:rsidRDefault="00000000">
      <w:pPr>
        <w:spacing w:after="0" w:line="303" w:lineRule="auto"/>
        <w:jc w:val="center"/>
        <w:rPr>
          <w:rFonts w:ascii="Arial" w:eastAsia="Arial" w:hAnsi="Arial" w:cs="Arial"/>
          <w:b/>
          <w:bCs/>
        </w:rPr>
      </w:pPr>
      <w:r>
        <w:rPr>
          <w:rFonts w:ascii="Arial" w:eastAsia="Arial" w:hAnsi="Arial" w:cs="Arial"/>
          <w:b/>
          <w:bCs/>
        </w:rPr>
        <w:t xml:space="preserve">Eleanor Herrmann, Amie </w:t>
      </w:r>
      <w:proofErr w:type="spellStart"/>
      <w:proofErr w:type="gramStart"/>
      <w:r>
        <w:rPr>
          <w:rFonts w:ascii="Arial" w:eastAsia="Arial" w:hAnsi="Arial" w:cs="Arial"/>
          <w:b/>
          <w:bCs/>
        </w:rPr>
        <w:t>Garghan</w:t>
      </w:r>
      <w:proofErr w:type="spellEnd"/>
      <w:r>
        <w:rPr>
          <w:rFonts w:ascii="Arial" w:eastAsia="Arial" w:hAnsi="Arial" w:cs="Arial"/>
          <w:b/>
          <w:bCs/>
        </w:rPr>
        <w:t xml:space="preserve"> ,</w:t>
      </w:r>
      <w:proofErr w:type="gramEnd"/>
      <w:r>
        <w:rPr>
          <w:rFonts w:ascii="Arial" w:eastAsia="Arial" w:hAnsi="Arial" w:cs="Arial"/>
          <w:b/>
          <w:bCs/>
        </w:rPr>
        <w:t xml:space="preserve"> Gurdeep Aulakh, Natasha </w:t>
      </w:r>
      <w:proofErr w:type="spellStart"/>
      <w:r>
        <w:rPr>
          <w:rFonts w:ascii="Arial" w:eastAsia="Arial" w:hAnsi="Arial" w:cs="Arial"/>
          <w:b/>
          <w:bCs/>
        </w:rPr>
        <w:t>Cogings</w:t>
      </w:r>
      <w:proofErr w:type="spellEnd"/>
      <w:r>
        <w:rPr>
          <w:rFonts w:ascii="Arial" w:eastAsia="Arial" w:hAnsi="Arial" w:cs="Arial"/>
          <w:b/>
          <w:bCs/>
        </w:rPr>
        <w:t>, Pria Sandhu, Jessica Grant, Josephine Greenhill, J Hubert Lacey</w:t>
      </w:r>
    </w:p>
    <w:p w14:paraId="4B6FE930" w14:textId="77777777" w:rsidR="00122EB2" w:rsidRDefault="00000000">
      <w:pPr>
        <w:spacing w:after="0" w:line="303" w:lineRule="auto"/>
        <w:jc w:val="center"/>
        <w:rPr>
          <w:rFonts w:ascii="Arial" w:eastAsia="Arial" w:hAnsi="Arial" w:cs="Arial"/>
          <w:b/>
          <w:bCs/>
        </w:rPr>
      </w:pPr>
      <w:r>
        <w:rPr>
          <w:rFonts w:ascii="Arial" w:eastAsia="Arial" w:hAnsi="Arial" w:cs="Arial"/>
          <w:b/>
          <w:bCs/>
        </w:rPr>
        <w:t xml:space="preserve"> </w:t>
      </w:r>
    </w:p>
    <w:p w14:paraId="1F51B812" w14:textId="6FC804B3" w:rsidR="00122EB2" w:rsidRDefault="00D65223">
      <w:pPr>
        <w:spacing w:after="0" w:line="303" w:lineRule="auto"/>
        <w:jc w:val="center"/>
        <w:rPr>
          <w:rFonts w:ascii="Arial" w:eastAsia="Arial" w:hAnsi="Arial" w:cs="Arial"/>
          <w:b/>
          <w:bCs/>
        </w:rPr>
      </w:pPr>
      <w:r>
        <w:rPr>
          <w:rFonts w:ascii="Arial" w:eastAsia="Arial" w:hAnsi="Arial" w:cs="Arial"/>
          <w:b/>
          <w:bCs/>
        </w:rPr>
        <w:t>City St George’s, University of London, London, UK</w:t>
      </w:r>
    </w:p>
    <w:p w14:paraId="1D0F5804" w14:textId="77777777" w:rsidR="00122EB2" w:rsidRDefault="00000000">
      <w:pPr>
        <w:spacing w:after="0" w:line="303" w:lineRule="auto"/>
        <w:jc w:val="center"/>
        <w:rPr>
          <w:rFonts w:ascii="Arial" w:eastAsia="Arial" w:hAnsi="Arial" w:cs="Arial"/>
          <w:b/>
          <w:bCs/>
        </w:rPr>
      </w:pPr>
      <w:r>
        <w:rPr>
          <w:rFonts w:ascii="Arial" w:eastAsia="Arial" w:hAnsi="Arial" w:cs="Arial"/>
          <w:b/>
          <w:bCs/>
        </w:rPr>
        <w:t>J. Hubert Lacey</w:t>
      </w:r>
    </w:p>
    <w:p w14:paraId="70B0643F" w14:textId="77777777" w:rsidR="00122EB2" w:rsidRDefault="00122EB2">
      <w:pPr>
        <w:jc w:val="center"/>
        <w:rPr>
          <w:rFonts w:ascii="Arial" w:eastAsia="Arial" w:hAnsi="Arial" w:cs="Arial"/>
          <w:b/>
          <w:bCs/>
          <w:sz w:val="24"/>
          <w:szCs w:val="24"/>
        </w:rPr>
      </w:pPr>
    </w:p>
    <w:p w14:paraId="3A02BA13" w14:textId="77777777" w:rsidR="00122EB2" w:rsidRDefault="00000000">
      <w:pPr>
        <w:jc w:val="center"/>
        <w:rPr>
          <w:rFonts w:ascii="Arial" w:eastAsia="Arial" w:hAnsi="Arial" w:cs="Arial"/>
          <w:b/>
          <w:bCs/>
          <w:color w:val="96607D"/>
        </w:rPr>
      </w:pPr>
      <w:r>
        <w:rPr>
          <w:rFonts w:ascii="Arial" w:eastAsia="Arial" w:hAnsi="Arial" w:cs="Arial"/>
          <w:b/>
          <w:bCs/>
          <w:sz w:val="24"/>
          <w:szCs w:val="24"/>
        </w:rPr>
        <w:t xml:space="preserve">Corresponding author: </w:t>
      </w:r>
      <w:r>
        <w:rPr>
          <w:rFonts w:ascii="Arial" w:eastAsia="Arial" w:hAnsi="Arial" w:cs="Arial"/>
          <w:b/>
          <w:bCs/>
          <w:color w:val="96607D"/>
        </w:rPr>
        <w:t>hlacey@sgul.ac.uk</w:t>
      </w:r>
    </w:p>
    <w:p w14:paraId="15A9480B" w14:textId="77777777" w:rsidR="00122EB2" w:rsidRDefault="00000000">
      <w:pPr>
        <w:spacing w:after="0" w:line="303" w:lineRule="auto"/>
        <w:jc w:val="center"/>
        <w:rPr>
          <w:rFonts w:ascii="Arial" w:eastAsia="Arial" w:hAnsi="Arial" w:cs="Arial"/>
          <w:b/>
          <w:bCs/>
        </w:rPr>
      </w:pPr>
      <w:r>
        <w:rPr>
          <w:rFonts w:ascii="Arial" w:eastAsia="Arial" w:hAnsi="Arial" w:cs="Arial"/>
          <w:b/>
          <w:bCs/>
        </w:rPr>
        <w:t>ORCID: 0000-0001-7302-6496</w:t>
      </w:r>
    </w:p>
    <w:p w14:paraId="1A3D7902" w14:textId="77777777" w:rsidR="00122EB2" w:rsidRDefault="00122EB2">
      <w:pPr>
        <w:jc w:val="center"/>
        <w:rPr>
          <w:rFonts w:ascii="Arial" w:eastAsia="Arial" w:hAnsi="Arial" w:cs="Arial"/>
          <w:b/>
          <w:bCs/>
          <w:sz w:val="24"/>
          <w:szCs w:val="24"/>
        </w:rPr>
      </w:pPr>
    </w:p>
    <w:p w14:paraId="4357FF3E" w14:textId="77777777" w:rsidR="00122EB2" w:rsidRDefault="00000000">
      <w:pPr>
        <w:jc w:val="center"/>
        <w:rPr>
          <w:rFonts w:ascii="Arial" w:eastAsia="Arial" w:hAnsi="Arial" w:cs="Arial"/>
          <w:b/>
          <w:bCs/>
          <w:sz w:val="24"/>
          <w:szCs w:val="24"/>
        </w:rPr>
      </w:pPr>
      <w:r>
        <w:rPr>
          <w:rFonts w:ascii="Arial" w:eastAsia="Arial" w:hAnsi="Arial" w:cs="Arial"/>
          <w:b/>
          <w:bCs/>
          <w:sz w:val="24"/>
          <w:szCs w:val="24"/>
        </w:rPr>
        <w:t>Acknowledgements:</w:t>
      </w:r>
    </w:p>
    <w:p w14:paraId="21E7CC3C" w14:textId="77777777" w:rsidR="00122EB2" w:rsidRDefault="00000000">
      <w:pPr>
        <w:jc w:val="center"/>
        <w:rPr>
          <w:rFonts w:ascii="Arial" w:eastAsia="Arial" w:hAnsi="Arial" w:cs="Arial"/>
          <w:b/>
          <w:bCs/>
          <w:sz w:val="24"/>
          <w:szCs w:val="24"/>
        </w:rPr>
      </w:pPr>
      <w:r>
        <w:rPr>
          <w:rFonts w:ascii="Arial" w:eastAsia="Arial" w:hAnsi="Arial" w:cs="Arial"/>
          <w:b/>
          <w:bCs/>
          <w:sz w:val="24"/>
          <w:szCs w:val="24"/>
        </w:rPr>
        <w:t>We would also like to thank the adolescents who attended the groups, and we acknowledge support and contributions from colleagues.</w:t>
      </w:r>
    </w:p>
    <w:p w14:paraId="5492E40D" w14:textId="77777777" w:rsidR="00122EB2" w:rsidRDefault="00122EB2">
      <w:pPr>
        <w:jc w:val="center"/>
        <w:rPr>
          <w:rFonts w:ascii="Arial" w:eastAsia="Arial" w:hAnsi="Arial" w:cs="Arial"/>
          <w:b/>
          <w:bCs/>
          <w:sz w:val="24"/>
          <w:szCs w:val="24"/>
        </w:rPr>
      </w:pPr>
    </w:p>
    <w:p w14:paraId="2243A0CA" w14:textId="77777777" w:rsidR="00122EB2" w:rsidRDefault="00122EB2">
      <w:pPr>
        <w:rPr>
          <w:rFonts w:ascii="Arial" w:eastAsia="Arial" w:hAnsi="Arial" w:cs="Arial"/>
          <w:sz w:val="20"/>
          <w:szCs w:val="20"/>
        </w:rPr>
      </w:pPr>
    </w:p>
    <w:p w14:paraId="177C2599" w14:textId="77777777" w:rsidR="00122EB2" w:rsidRDefault="00122EB2">
      <w:pPr>
        <w:rPr>
          <w:rFonts w:ascii="Arial" w:eastAsia="Arial" w:hAnsi="Arial" w:cs="Arial"/>
          <w:sz w:val="24"/>
          <w:szCs w:val="24"/>
        </w:rPr>
      </w:pPr>
    </w:p>
    <w:p w14:paraId="10BB2B9D" w14:textId="77777777" w:rsidR="00122EB2" w:rsidRDefault="00122EB2">
      <w:pPr>
        <w:rPr>
          <w:rFonts w:ascii="Arial" w:eastAsia="Arial" w:hAnsi="Arial" w:cs="Arial"/>
          <w:sz w:val="24"/>
          <w:szCs w:val="24"/>
        </w:rPr>
      </w:pPr>
    </w:p>
    <w:p w14:paraId="7784CF05" w14:textId="77777777" w:rsidR="00122EB2" w:rsidRDefault="00122EB2">
      <w:pPr>
        <w:rPr>
          <w:rFonts w:ascii="Arial" w:eastAsia="Arial" w:hAnsi="Arial" w:cs="Arial"/>
          <w:sz w:val="20"/>
          <w:szCs w:val="20"/>
        </w:rPr>
      </w:pPr>
    </w:p>
    <w:p w14:paraId="3D06DA5E" w14:textId="77777777" w:rsidR="00122EB2" w:rsidRDefault="00122EB2">
      <w:pPr>
        <w:rPr>
          <w:rFonts w:ascii="Arial" w:eastAsia="Arial" w:hAnsi="Arial" w:cs="Arial"/>
          <w:sz w:val="20"/>
          <w:szCs w:val="20"/>
        </w:rPr>
      </w:pPr>
    </w:p>
    <w:p w14:paraId="4AF42309" w14:textId="77777777" w:rsidR="00122EB2" w:rsidRDefault="00122EB2">
      <w:pPr>
        <w:rPr>
          <w:rFonts w:ascii="Arial" w:eastAsia="Arial" w:hAnsi="Arial" w:cs="Arial"/>
          <w:sz w:val="20"/>
          <w:szCs w:val="20"/>
        </w:rPr>
      </w:pPr>
    </w:p>
    <w:p w14:paraId="12F0F6C6" w14:textId="77777777" w:rsidR="00122EB2" w:rsidRDefault="00000000">
      <w:pPr>
        <w:rPr>
          <w:rFonts w:ascii="Arial" w:eastAsia="Arial" w:hAnsi="Arial" w:cs="Arial"/>
          <w:sz w:val="20"/>
          <w:szCs w:val="20"/>
        </w:rPr>
      </w:pPr>
      <w:r>
        <w:rPr>
          <w:rFonts w:ascii="Arial" w:eastAsia="Arial" w:hAnsi="Arial" w:cs="Arial"/>
          <w:sz w:val="20"/>
          <w:szCs w:val="20"/>
        </w:rPr>
        <w:t xml:space="preserve"> </w:t>
      </w:r>
    </w:p>
    <w:p w14:paraId="4137CFFD" w14:textId="77777777" w:rsidR="00122EB2" w:rsidRDefault="00122EB2">
      <w:pPr>
        <w:rPr>
          <w:rFonts w:ascii="Arial" w:eastAsia="Arial" w:hAnsi="Arial" w:cs="Arial"/>
          <w:sz w:val="20"/>
          <w:szCs w:val="20"/>
        </w:rPr>
      </w:pPr>
    </w:p>
    <w:p w14:paraId="1532F062" w14:textId="77777777" w:rsidR="00122EB2" w:rsidRDefault="00122EB2">
      <w:pPr>
        <w:rPr>
          <w:rFonts w:ascii="Arial" w:eastAsia="Arial" w:hAnsi="Arial" w:cs="Arial"/>
          <w:sz w:val="20"/>
          <w:szCs w:val="20"/>
        </w:rPr>
      </w:pPr>
    </w:p>
    <w:p w14:paraId="5E3CA06A" w14:textId="77777777" w:rsidR="00122EB2" w:rsidRDefault="00122EB2">
      <w:pPr>
        <w:rPr>
          <w:rFonts w:ascii="Arial" w:eastAsia="Arial" w:hAnsi="Arial" w:cs="Arial"/>
          <w:sz w:val="20"/>
          <w:szCs w:val="20"/>
        </w:rPr>
      </w:pPr>
    </w:p>
    <w:p w14:paraId="56E2E0EB" w14:textId="77777777" w:rsidR="00122EB2" w:rsidRDefault="00122EB2">
      <w:pPr>
        <w:rPr>
          <w:rFonts w:ascii="Arial" w:eastAsia="Arial" w:hAnsi="Arial" w:cs="Arial"/>
          <w:sz w:val="20"/>
          <w:szCs w:val="20"/>
        </w:rPr>
      </w:pPr>
    </w:p>
    <w:p w14:paraId="58DB6C1D" w14:textId="77777777" w:rsidR="00122EB2" w:rsidRDefault="00122EB2">
      <w:pPr>
        <w:rPr>
          <w:rFonts w:ascii="Arial" w:eastAsia="Arial" w:hAnsi="Arial" w:cs="Arial"/>
          <w:sz w:val="20"/>
          <w:szCs w:val="20"/>
        </w:rPr>
      </w:pPr>
    </w:p>
    <w:p w14:paraId="74CF7F15" w14:textId="77777777" w:rsidR="00122EB2" w:rsidRDefault="00122EB2">
      <w:pPr>
        <w:rPr>
          <w:rFonts w:ascii="Arial" w:eastAsia="Arial" w:hAnsi="Arial" w:cs="Arial"/>
          <w:sz w:val="20"/>
          <w:szCs w:val="20"/>
        </w:rPr>
      </w:pPr>
    </w:p>
    <w:p w14:paraId="574B2DB5" w14:textId="77777777" w:rsidR="00122EB2" w:rsidRDefault="00122EB2">
      <w:pPr>
        <w:rPr>
          <w:rFonts w:ascii="Arial" w:eastAsia="Arial" w:hAnsi="Arial" w:cs="Arial"/>
          <w:b/>
          <w:bCs/>
          <w:sz w:val="24"/>
          <w:szCs w:val="24"/>
          <w:u w:val="single"/>
        </w:rPr>
      </w:pPr>
    </w:p>
    <w:p w14:paraId="7A2553F0" w14:textId="77777777" w:rsidR="00122EB2" w:rsidRDefault="00122EB2">
      <w:pPr>
        <w:rPr>
          <w:rFonts w:ascii="Arial" w:eastAsia="Arial" w:hAnsi="Arial" w:cs="Arial"/>
          <w:b/>
          <w:bCs/>
          <w:sz w:val="24"/>
          <w:szCs w:val="24"/>
          <w:u w:val="single"/>
        </w:rPr>
      </w:pPr>
    </w:p>
    <w:p w14:paraId="05122091" w14:textId="77777777" w:rsidR="00122EB2" w:rsidRDefault="00000000">
      <w:pPr>
        <w:jc w:val="center"/>
        <w:rPr>
          <w:rFonts w:ascii="Arial" w:eastAsia="Arial" w:hAnsi="Arial" w:cs="Arial"/>
        </w:rPr>
      </w:pPr>
      <w:r>
        <w:rPr>
          <w:rFonts w:ascii="Arial" w:eastAsia="Arial" w:hAnsi="Arial" w:cs="Arial"/>
        </w:rPr>
        <w:t>Abstract</w:t>
      </w:r>
    </w:p>
    <w:p w14:paraId="23781040" w14:textId="77777777" w:rsidR="00122EB2" w:rsidRDefault="00000000">
      <w:pPr>
        <w:rPr>
          <w:rFonts w:ascii="Arial" w:eastAsia="Arial" w:hAnsi="Arial" w:cs="Arial"/>
        </w:rPr>
      </w:pPr>
      <w:r>
        <w:rPr>
          <w:rFonts w:ascii="Arial" w:eastAsia="Arial" w:hAnsi="Arial" w:cs="Arial"/>
          <w:b/>
          <w:bCs/>
        </w:rPr>
        <w:t xml:space="preserve">Purpose: </w:t>
      </w:r>
      <w:r>
        <w:rPr>
          <w:rFonts w:ascii="Arial" w:eastAsia="Arial" w:hAnsi="Arial" w:cs="Arial"/>
        </w:rPr>
        <w:t>To evaluate the efficacy of a 7-session manualised group intervention for Compulsive Exercise (NEAT) as an adjuvant to inpatient treatment for adolescents with Anorexia Nervosa (AN)</w:t>
      </w:r>
    </w:p>
    <w:p w14:paraId="50143C38" w14:textId="77777777" w:rsidR="00122EB2" w:rsidRDefault="00000000">
      <w:pPr>
        <w:rPr>
          <w:rFonts w:ascii="Arial" w:eastAsia="Arial" w:hAnsi="Arial" w:cs="Arial"/>
          <w:b/>
          <w:bCs/>
        </w:rPr>
      </w:pPr>
      <w:r>
        <w:rPr>
          <w:rFonts w:ascii="Arial" w:eastAsia="Arial" w:hAnsi="Arial" w:cs="Arial"/>
          <w:b/>
          <w:bCs/>
        </w:rPr>
        <w:t xml:space="preserve">Methods: </w:t>
      </w:r>
      <w:r>
        <w:rPr>
          <w:rFonts w:ascii="Arial" w:eastAsia="Arial" w:hAnsi="Arial" w:cs="Arial"/>
        </w:rPr>
        <w:t>Adolescents aged 12-17 consented to the study (N=75). Using a randomised control design, they were allocated to the NEAT group with treatment as usual (NEAT+TAU) (N = 43), or to treatment as usual alone (TAU) (N = 32). Self-report measures of compulsive exercise and eating disorder psychopathology were administered at two time points to assess the efficacy of the intervention</w:t>
      </w:r>
      <w:proofErr w:type="gramStart"/>
      <w:r>
        <w:rPr>
          <w:rFonts w:ascii="Arial" w:eastAsia="Arial" w:hAnsi="Arial" w:cs="Arial"/>
        </w:rPr>
        <w:t>. .</w:t>
      </w:r>
      <w:proofErr w:type="gramEnd"/>
      <w:r>
        <w:rPr>
          <w:rFonts w:ascii="Arial" w:eastAsia="Arial" w:hAnsi="Arial" w:cs="Arial"/>
        </w:rPr>
        <w:t xml:space="preserve"> </w:t>
      </w:r>
    </w:p>
    <w:p w14:paraId="3357096F" w14:textId="77777777" w:rsidR="00122EB2" w:rsidRDefault="00000000">
      <w:pPr>
        <w:rPr>
          <w:rFonts w:ascii="Arial" w:eastAsia="Arial" w:hAnsi="Arial" w:cs="Arial"/>
        </w:rPr>
      </w:pPr>
      <w:r>
        <w:rPr>
          <w:rFonts w:ascii="Arial" w:eastAsia="Arial" w:hAnsi="Arial" w:cs="Arial"/>
          <w:b/>
          <w:bCs/>
        </w:rPr>
        <w:t xml:space="preserve">Results: </w:t>
      </w:r>
      <w:r>
        <w:rPr>
          <w:rFonts w:ascii="Arial" w:eastAsia="Arial" w:hAnsi="Arial" w:cs="Arial"/>
        </w:rPr>
        <w:t xml:space="preserve">51 participants completed the study (NEAT + TAU N= 27; TAU N= 24). Both groups saw a significant decrease in compulsive exercise and eating disorder psychopathology between time points. There were no significant differences between treatment groups on the outcome measures.  </w:t>
      </w:r>
    </w:p>
    <w:p w14:paraId="2D11C00A" w14:textId="77777777" w:rsidR="00122EB2" w:rsidRDefault="00000000">
      <w:pPr>
        <w:rPr>
          <w:rFonts w:ascii="Arial" w:eastAsia="Arial" w:hAnsi="Arial" w:cs="Arial"/>
        </w:rPr>
      </w:pPr>
      <w:r>
        <w:rPr>
          <w:rFonts w:ascii="Arial" w:eastAsia="Arial" w:hAnsi="Arial" w:cs="Arial"/>
          <w:b/>
          <w:bCs/>
        </w:rPr>
        <w:t xml:space="preserve">Conclusions - </w:t>
      </w:r>
      <w:r>
        <w:rPr>
          <w:rFonts w:ascii="Arial" w:eastAsia="Arial" w:hAnsi="Arial" w:cs="Arial"/>
        </w:rPr>
        <w:t xml:space="preserve">Intensive, multidisciplinary TAU, and NEAT group added to TAU were effective at reducing compulsive exercise and eating disorder symptoms. Clinical opinion and recommendations for further study are discussed. Treatment manual is made available below. </w:t>
      </w:r>
    </w:p>
    <w:p w14:paraId="1D011BDF" w14:textId="77777777" w:rsidR="00122EB2" w:rsidRDefault="00000000">
      <w:pPr>
        <w:rPr>
          <w:rFonts w:ascii="Arial" w:eastAsia="Arial" w:hAnsi="Arial" w:cs="Arial"/>
        </w:rPr>
      </w:pPr>
      <w:r>
        <w:rPr>
          <w:rFonts w:ascii="Arial" w:eastAsia="Arial" w:hAnsi="Arial" w:cs="Arial"/>
          <w:b/>
          <w:bCs/>
        </w:rPr>
        <w:t xml:space="preserve">Level of evidence: </w:t>
      </w:r>
      <w:r>
        <w:rPr>
          <w:rFonts w:ascii="Arial" w:eastAsia="Arial" w:hAnsi="Arial" w:cs="Arial"/>
        </w:rPr>
        <w:t>Level I</w:t>
      </w:r>
      <w:r>
        <w:rPr>
          <w:rFonts w:ascii="Arial" w:eastAsia="Arial" w:hAnsi="Arial" w:cs="Arial"/>
          <w:b/>
          <w:bCs/>
        </w:rPr>
        <w:t xml:space="preserve"> </w:t>
      </w:r>
      <w:r>
        <w:rPr>
          <w:rFonts w:ascii="Arial" w:eastAsia="Arial" w:hAnsi="Arial" w:cs="Arial"/>
          <w:shd w:val="clear" w:color="auto" w:fill="FCFCFC"/>
        </w:rPr>
        <w:t>Evidence obtained from: at least one properly designed randomized controlled trials; systematic reviews and meta-analyses; experimental studies</w:t>
      </w:r>
    </w:p>
    <w:p w14:paraId="4E97047D" w14:textId="42298E4A" w:rsidR="00122EB2" w:rsidRDefault="00D65223">
      <w:pPr>
        <w:rPr>
          <w:rFonts w:ascii="Arial" w:eastAsia="Arial" w:hAnsi="Arial" w:cs="Arial"/>
        </w:rPr>
      </w:pPr>
      <w:r>
        <w:rPr>
          <w:rFonts w:ascii="Arial" w:eastAsia="Arial" w:hAnsi="Arial" w:cs="Arial"/>
          <w:b/>
          <w:bCs/>
        </w:rPr>
        <w:t>Keywords</w:t>
      </w:r>
      <w:r>
        <w:rPr>
          <w:rFonts w:ascii="Arial" w:eastAsia="Arial" w:hAnsi="Arial" w:cs="Arial"/>
        </w:rPr>
        <w:t xml:space="preserve"> Anorexia Nervosa, Compulsive Exercise, Group Therapy, CBT, psychoeducation.</w:t>
      </w:r>
    </w:p>
    <w:p w14:paraId="12941E62" w14:textId="77777777" w:rsidR="00122EB2" w:rsidRDefault="00122EB2">
      <w:pPr>
        <w:rPr>
          <w:rFonts w:ascii="Arial" w:eastAsia="Arial" w:hAnsi="Arial" w:cs="Arial"/>
          <w:sz w:val="20"/>
          <w:szCs w:val="20"/>
        </w:rPr>
      </w:pPr>
    </w:p>
    <w:p w14:paraId="575E4973" w14:textId="77777777" w:rsidR="00122EB2" w:rsidRDefault="00122EB2">
      <w:pPr>
        <w:jc w:val="both"/>
        <w:rPr>
          <w:rFonts w:ascii="Arial" w:eastAsia="Arial" w:hAnsi="Arial" w:cs="Arial"/>
          <w:b/>
          <w:bCs/>
          <w:sz w:val="24"/>
          <w:szCs w:val="24"/>
        </w:rPr>
      </w:pPr>
    </w:p>
    <w:p w14:paraId="5734B54A" w14:textId="77777777" w:rsidR="00122EB2" w:rsidRDefault="00122EB2">
      <w:pPr>
        <w:jc w:val="both"/>
        <w:rPr>
          <w:rFonts w:ascii="Arial" w:eastAsia="Arial" w:hAnsi="Arial" w:cs="Arial"/>
          <w:b/>
          <w:bCs/>
          <w:sz w:val="24"/>
          <w:szCs w:val="24"/>
        </w:rPr>
      </w:pPr>
    </w:p>
    <w:p w14:paraId="1C1BC308" w14:textId="77777777" w:rsidR="00122EB2" w:rsidRDefault="00122EB2">
      <w:pPr>
        <w:jc w:val="both"/>
        <w:rPr>
          <w:rFonts w:ascii="Arial" w:eastAsia="Arial" w:hAnsi="Arial" w:cs="Arial"/>
          <w:b/>
          <w:bCs/>
          <w:sz w:val="24"/>
          <w:szCs w:val="24"/>
        </w:rPr>
      </w:pPr>
    </w:p>
    <w:p w14:paraId="7015DA01" w14:textId="77777777" w:rsidR="00122EB2" w:rsidRDefault="00122EB2">
      <w:pPr>
        <w:jc w:val="both"/>
        <w:rPr>
          <w:rFonts w:ascii="Arial" w:eastAsia="Arial" w:hAnsi="Arial" w:cs="Arial"/>
          <w:b/>
          <w:bCs/>
          <w:sz w:val="24"/>
          <w:szCs w:val="24"/>
        </w:rPr>
      </w:pPr>
    </w:p>
    <w:p w14:paraId="115938E0" w14:textId="77777777" w:rsidR="00122EB2" w:rsidRDefault="00122EB2">
      <w:pPr>
        <w:jc w:val="both"/>
        <w:rPr>
          <w:rFonts w:ascii="Arial" w:eastAsia="Arial" w:hAnsi="Arial" w:cs="Arial"/>
          <w:b/>
          <w:bCs/>
          <w:sz w:val="24"/>
          <w:szCs w:val="24"/>
        </w:rPr>
      </w:pPr>
    </w:p>
    <w:p w14:paraId="26E79B0E" w14:textId="77777777" w:rsidR="00122EB2" w:rsidRDefault="00122EB2">
      <w:pPr>
        <w:jc w:val="both"/>
        <w:rPr>
          <w:rFonts w:ascii="Arial" w:eastAsia="Arial" w:hAnsi="Arial" w:cs="Arial"/>
          <w:b/>
          <w:bCs/>
          <w:sz w:val="24"/>
          <w:szCs w:val="24"/>
        </w:rPr>
      </w:pPr>
    </w:p>
    <w:p w14:paraId="1E342BF9" w14:textId="77777777" w:rsidR="00122EB2" w:rsidRDefault="00122EB2">
      <w:pPr>
        <w:jc w:val="both"/>
        <w:rPr>
          <w:rFonts w:ascii="Arial" w:eastAsia="Arial" w:hAnsi="Arial" w:cs="Arial"/>
          <w:b/>
          <w:bCs/>
          <w:sz w:val="24"/>
          <w:szCs w:val="24"/>
        </w:rPr>
      </w:pPr>
    </w:p>
    <w:p w14:paraId="5287B8A9" w14:textId="77777777" w:rsidR="00122EB2" w:rsidRDefault="00122EB2">
      <w:pPr>
        <w:jc w:val="both"/>
        <w:rPr>
          <w:rFonts w:ascii="Arial" w:eastAsia="Arial" w:hAnsi="Arial" w:cs="Arial"/>
          <w:b/>
          <w:bCs/>
          <w:sz w:val="24"/>
          <w:szCs w:val="24"/>
        </w:rPr>
      </w:pPr>
    </w:p>
    <w:p w14:paraId="3BC416FE" w14:textId="77777777" w:rsidR="00122EB2" w:rsidRDefault="00122EB2">
      <w:pPr>
        <w:jc w:val="both"/>
        <w:rPr>
          <w:rFonts w:ascii="Arial" w:eastAsia="Arial" w:hAnsi="Arial" w:cs="Arial"/>
          <w:b/>
          <w:bCs/>
          <w:sz w:val="24"/>
          <w:szCs w:val="24"/>
        </w:rPr>
      </w:pPr>
    </w:p>
    <w:p w14:paraId="6CB2E1D1" w14:textId="77777777" w:rsidR="00122EB2" w:rsidRDefault="00122EB2">
      <w:pPr>
        <w:jc w:val="both"/>
        <w:rPr>
          <w:rFonts w:ascii="Arial" w:eastAsia="Arial" w:hAnsi="Arial" w:cs="Arial"/>
          <w:b/>
          <w:bCs/>
          <w:sz w:val="24"/>
          <w:szCs w:val="24"/>
        </w:rPr>
      </w:pPr>
    </w:p>
    <w:p w14:paraId="258DFD13" w14:textId="77777777" w:rsidR="00122EB2" w:rsidRDefault="00122EB2">
      <w:pPr>
        <w:jc w:val="both"/>
        <w:rPr>
          <w:rFonts w:ascii="Arial" w:eastAsia="Arial" w:hAnsi="Arial" w:cs="Arial"/>
          <w:b/>
          <w:bCs/>
          <w:sz w:val="24"/>
          <w:szCs w:val="24"/>
        </w:rPr>
      </w:pPr>
    </w:p>
    <w:p w14:paraId="533275D4" w14:textId="77777777" w:rsidR="00122EB2" w:rsidRDefault="00122EB2">
      <w:pPr>
        <w:jc w:val="both"/>
        <w:rPr>
          <w:rFonts w:ascii="Arial" w:eastAsia="Arial" w:hAnsi="Arial" w:cs="Arial"/>
          <w:b/>
          <w:bCs/>
          <w:sz w:val="24"/>
          <w:szCs w:val="24"/>
        </w:rPr>
      </w:pPr>
    </w:p>
    <w:p w14:paraId="51DF1B22" w14:textId="77777777" w:rsidR="00122EB2" w:rsidRDefault="00122EB2">
      <w:pPr>
        <w:jc w:val="both"/>
        <w:rPr>
          <w:rFonts w:ascii="Arial" w:eastAsia="Arial" w:hAnsi="Arial" w:cs="Arial"/>
          <w:b/>
          <w:bCs/>
          <w:sz w:val="24"/>
          <w:szCs w:val="24"/>
        </w:rPr>
      </w:pPr>
    </w:p>
    <w:p w14:paraId="7720CE60" w14:textId="77777777" w:rsidR="00122EB2" w:rsidRDefault="00122EB2">
      <w:pPr>
        <w:jc w:val="both"/>
        <w:rPr>
          <w:rFonts w:ascii="Arial" w:eastAsia="Arial" w:hAnsi="Arial" w:cs="Arial"/>
          <w:b/>
          <w:bCs/>
          <w:sz w:val="24"/>
          <w:szCs w:val="24"/>
        </w:rPr>
      </w:pPr>
    </w:p>
    <w:p w14:paraId="409A2FB6" w14:textId="77777777" w:rsidR="00122EB2" w:rsidRDefault="00000000">
      <w:pPr>
        <w:jc w:val="center"/>
        <w:rPr>
          <w:rFonts w:ascii="Arial" w:eastAsia="Arial" w:hAnsi="Arial" w:cs="Arial"/>
          <w:b/>
          <w:bCs/>
          <w:sz w:val="24"/>
          <w:szCs w:val="24"/>
          <w:u w:val="single"/>
        </w:rPr>
      </w:pPr>
      <w:r>
        <w:rPr>
          <w:rFonts w:ascii="Arial" w:eastAsia="Arial" w:hAnsi="Arial" w:cs="Arial"/>
          <w:b/>
          <w:bCs/>
          <w:sz w:val="24"/>
          <w:szCs w:val="24"/>
          <w:u w:val="single"/>
        </w:rPr>
        <w:lastRenderedPageBreak/>
        <w:t>Introduction</w:t>
      </w:r>
    </w:p>
    <w:p w14:paraId="7625361A" w14:textId="021B4A06" w:rsidR="00122EB2" w:rsidRDefault="00000000">
      <w:pPr>
        <w:jc w:val="both"/>
        <w:rPr>
          <w:rFonts w:ascii="Arial" w:eastAsia="Arial" w:hAnsi="Arial" w:cs="Arial"/>
          <w:sz w:val="24"/>
          <w:szCs w:val="24"/>
        </w:rPr>
      </w:pPr>
      <w:r>
        <w:rPr>
          <w:rFonts w:ascii="Arial" w:eastAsia="Arial" w:hAnsi="Arial" w:cs="Arial"/>
          <w:sz w:val="24"/>
          <w:szCs w:val="24"/>
        </w:rPr>
        <w:t xml:space="preserve">Compulsive exercise is a clinical term describing exercise driven by fear of weight or weight gain or </w:t>
      </w:r>
      <w:r w:rsidR="00D65223">
        <w:rPr>
          <w:rFonts w:ascii="Arial" w:eastAsia="Arial" w:hAnsi="Arial" w:cs="Arial"/>
          <w:sz w:val="24"/>
          <w:szCs w:val="24"/>
        </w:rPr>
        <w:t>to</w:t>
      </w:r>
      <w:r>
        <w:rPr>
          <w:rFonts w:ascii="Arial" w:eastAsia="Arial" w:hAnsi="Arial" w:cs="Arial"/>
          <w:sz w:val="24"/>
          <w:szCs w:val="24"/>
        </w:rPr>
        <w:t xml:space="preserve"> regulate emotions, often negatively impacting physical and mental wellbeing [1,2]. It is a common feature of most eating disorders, particularly anorexia nervosa (AN) [3], and plays a significant role in both the development and maintenance of AN [4,5,6]. Among young individuals with eating disorders, compulsive exercise is the most prevalent weight-control </w:t>
      </w:r>
      <w:r w:rsidR="00D65223">
        <w:rPr>
          <w:rFonts w:ascii="Arial" w:eastAsia="Arial" w:hAnsi="Arial" w:cs="Arial"/>
          <w:sz w:val="24"/>
          <w:szCs w:val="24"/>
        </w:rPr>
        <w:t>behaviour</w:t>
      </w:r>
      <w:r>
        <w:rPr>
          <w:rFonts w:ascii="Arial" w:eastAsia="Arial" w:hAnsi="Arial" w:cs="Arial"/>
          <w:sz w:val="24"/>
          <w:szCs w:val="24"/>
        </w:rPr>
        <w:t xml:space="preserve"> and has been suggested as a potential gateway to further eating disordered </w:t>
      </w:r>
      <w:r w:rsidR="00D65223">
        <w:rPr>
          <w:rFonts w:ascii="Arial" w:eastAsia="Arial" w:hAnsi="Arial" w:cs="Arial"/>
          <w:sz w:val="24"/>
          <w:szCs w:val="24"/>
        </w:rPr>
        <w:t>behaviours</w:t>
      </w:r>
      <w:r>
        <w:rPr>
          <w:rFonts w:ascii="Arial" w:eastAsia="Arial" w:hAnsi="Arial" w:cs="Arial"/>
          <w:sz w:val="24"/>
          <w:szCs w:val="24"/>
        </w:rPr>
        <w:t xml:space="preserve"> such as purging [7]. Research in adult populations with AN indicates that compulsive exercise is associated with greater illness severity [3], prolonged inpatient admissions [8], and an increased risk of relapse [9].</w:t>
      </w:r>
    </w:p>
    <w:p w14:paraId="0C996D3F" w14:textId="3E0847C8" w:rsidR="00122EB2" w:rsidRDefault="00000000">
      <w:pPr>
        <w:jc w:val="both"/>
        <w:rPr>
          <w:rFonts w:ascii="Arial" w:eastAsia="Arial" w:hAnsi="Arial" w:cs="Arial"/>
          <w:sz w:val="24"/>
          <w:szCs w:val="24"/>
        </w:rPr>
      </w:pPr>
      <w:r>
        <w:rPr>
          <w:rFonts w:ascii="Arial" w:eastAsia="Arial" w:hAnsi="Arial" w:cs="Arial"/>
          <w:sz w:val="24"/>
          <w:szCs w:val="24"/>
        </w:rPr>
        <w:t xml:space="preserve">A 2017 editorial [10] highlighted the </w:t>
      </w:r>
      <w:r w:rsidR="00D65223">
        <w:rPr>
          <w:rFonts w:ascii="Arial" w:eastAsia="Arial" w:hAnsi="Arial" w:cs="Arial"/>
          <w:sz w:val="24"/>
          <w:szCs w:val="24"/>
        </w:rPr>
        <w:t>need</w:t>
      </w:r>
      <w:r>
        <w:rPr>
          <w:rFonts w:ascii="Arial" w:eastAsia="Arial" w:hAnsi="Arial" w:cs="Arial"/>
          <w:sz w:val="24"/>
          <w:szCs w:val="24"/>
        </w:rPr>
        <w:t xml:space="preserve"> for treatment to address compulsive exercise in adolescents with eating disorders. Despite its high prevalence and detrimental effects, there remains limited guidance on effective interventions. Notably, the NICE Guidelines, the UK official guidance to treatment, state only that practitioners should “advise people with an eating disorder who are exercising excessively to stop doing so”![11]. While there is consensus amongst professionals that psychoeducation is a suitable approach for adolescents with compulsive exercise [12], no evidence-based therapeutic interventions have been designed specifically for young people with eating disorders. </w:t>
      </w:r>
    </w:p>
    <w:p w14:paraId="7500CFA4" w14:textId="6639FAF8" w:rsidR="00122EB2" w:rsidRDefault="00000000">
      <w:pPr>
        <w:jc w:val="both"/>
        <w:rPr>
          <w:rFonts w:ascii="Arial" w:eastAsia="Arial" w:hAnsi="Arial" w:cs="Arial"/>
          <w:sz w:val="24"/>
          <w:szCs w:val="24"/>
        </w:rPr>
      </w:pPr>
      <w:r>
        <w:rPr>
          <w:rFonts w:ascii="Arial" w:eastAsia="Arial" w:hAnsi="Arial" w:cs="Arial"/>
          <w:sz w:val="24"/>
          <w:szCs w:val="24"/>
        </w:rPr>
        <w:t xml:space="preserve">The Loughborough Eating Disorder Activity Programme (LEAP) was the first evidence-based group intervention developed to address compulsive exercise for adults with eating disorders, using a framework of </w:t>
      </w:r>
      <w:r w:rsidR="00D65223">
        <w:rPr>
          <w:rFonts w:ascii="Arial" w:eastAsia="Arial" w:hAnsi="Arial" w:cs="Arial"/>
          <w:sz w:val="24"/>
          <w:szCs w:val="24"/>
        </w:rPr>
        <w:t>psychoeducation</w:t>
      </w:r>
      <w:r>
        <w:rPr>
          <w:rFonts w:ascii="Arial" w:eastAsia="Arial" w:hAnsi="Arial" w:cs="Arial"/>
          <w:sz w:val="24"/>
          <w:szCs w:val="24"/>
        </w:rPr>
        <w:t xml:space="preserve"> and Cognitive Behavioural Therapy (CBT) [10].</w:t>
      </w:r>
      <w:r>
        <w:rPr>
          <w:rFonts w:ascii="Arial" w:eastAsia="Arial" w:hAnsi="Arial" w:cs="Arial"/>
          <w:color w:val="FF0000"/>
          <w:sz w:val="24"/>
          <w:szCs w:val="24"/>
        </w:rPr>
        <w:t xml:space="preserve"> </w:t>
      </w:r>
      <w:r>
        <w:rPr>
          <w:rFonts w:ascii="Arial" w:eastAsia="Arial" w:hAnsi="Arial" w:cs="Arial"/>
          <w:sz w:val="24"/>
          <w:szCs w:val="24"/>
        </w:rPr>
        <w:t xml:space="preserve">A randomised controlled </w:t>
      </w:r>
      <w:r w:rsidR="00D65223">
        <w:rPr>
          <w:rFonts w:ascii="Arial" w:eastAsia="Arial" w:hAnsi="Arial" w:cs="Arial"/>
          <w:sz w:val="24"/>
          <w:szCs w:val="24"/>
        </w:rPr>
        <w:t>trial [</w:t>
      </w:r>
      <w:r>
        <w:rPr>
          <w:rFonts w:ascii="Arial" w:eastAsia="Arial" w:hAnsi="Arial" w:cs="Arial"/>
          <w:sz w:val="24"/>
          <w:szCs w:val="24"/>
        </w:rPr>
        <w:t xml:space="preserve">13] studied the efficacy of LEAP in conjunction with CBT, in comparison to CBT alone for outpatients. Both treatments significantly reduced compulsive exercise severity, and further analyses suggested that LEAP was more effective than CBT in reducing core aspects of compulsive exercise [14]. </w:t>
      </w:r>
    </w:p>
    <w:p w14:paraId="3B2ACAE7" w14:textId="77777777" w:rsidR="00122EB2" w:rsidRDefault="00122EB2">
      <w:pPr>
        <w:jc w:val="both"/>
        <w:rPr>
          <w:rFonts w:ascii="Arial" w:eastAsia="Arial" w:hAnsi="Arial" w:cs="Arial"/>
          <w:sz w:val="24"/>
          <w:szCs w:val="24"/>
        </w:rPr>
      </w:pPr>
    </w:p>
    <w:p w14:paraId="73B6D136" w14:textId="77777777" w:rsidR="00122EB2" w:rsidRDefault="00122EB2">
      <w:pPr>
        <w:jc w:val="both"/>
        <w:rPr>
          <w:rFonts w:ascii="Arial" w:eastAsia="Arial" w:hAnsi="Arial" w:cs="Arial"/>
          <w:sz w:val="24"/>
          <w:szCs w:val="24"/>
        </w:rPr>
      </w:pPr>
    </w:p>
    <w:p w14:paraId="478507E4" w14:textId="77777777" w:rsidR="00122EB2" w:rsidRDefault="00000000">
      <w:pPr>
        <w:jc w:val="both"/>
        <w:rPr>
          <w:rFonts w:ascii="Arial" w:eastAsia="Arial" w:hAnsi="Arial" w:cs="Arial"/>
          <w:b/>
          <w:bCs/>
          <w:sz w:val="24"/>
          <w:szCs w:val="24"/>
        </w:rPr>
      </w:pPr>
      <w:r>
        <w:rPr>
          <w:rFonts w:ascii="Arial" w:eastAsia="Arial" w:hAnsi="Arial" w:cs="Arial"/>
          <w:b/>
          <w:bCs/>
          <w:sz w:val="24"/>
          <w:szCs w:val="24"/>
        </w:rPr>
        <w:t>Development of NEAT Intervention (formerly Junior LEAP)</w:t>
      </w:r>
    </w:p>
    <w:p w14:paraId="558C98A8" w14:textId="77777777" w:rsidR="00122EB2" w:rsidRDefault="00000000">
      <w:pPr>
        <w:jc w:val="both"/>
        <w:rPr>
          <w:rFonts w:ascii="Arial" w:eastAsia="Arial" w:hAnsi="Arial" w:cs="Arial"/>
          <w:sz w:val="24"/>
          <w:szCs w:val="24"/>
        </w:rPr>
      </w:pPr>
      <w:r>
        <w:rPr>
          <w:rFonts w:ascii="Arial" w:eastAsia="Arial" w:hAnsi="Arial" w:cs="Arial"/>
          <w:sz w:val="24"/>
          <w:szCs w:val="24"/>
        </w:rPr>
        <w:t xml:space="preserve">Given the lack of evidence-based treatment for adolescent compulsive exercise, and the promising outcomes of LEAP, staff at Schoen Clinic Newbridge, a specialist hospital for eating disorders in adolescents, adapted the programme for a younger population. </w:t>
      </w:r>
    </w:p>
    <w:p w14:paraId="0DC95547" w14:textId="75DBD936" w:rsidR="00122EB2" w:rsidRDefault="00000000">
      <w:pPr>
        <w:jc w:val="both"/>
        <w:rPr>
          <w:rFonts w:ascii="Arial" w:eastAsia="Arial" w:hAnsi="Arial" w:cs="Arial"/>
          <w:sz w:val="24"/>
          <w:szCs w:val="24"/>
        </w:rPr>
      </w:pPr>
      <w:r>
        <w:rPr>
          <w:rFonts w:ascii="Arial" w:eastAsia="Arial" w:hAnsi="Arial" w:cs="Arial"/>
          <w:sz w:val="24"/>
          <w:szCs w:val="24"/>
        </w:rPr>
        <w:t xml:space="preserve">Initially the adult version of LEAP was used with adolescent patients at the hospital in a series of audits, however the results showed that patients were unhappy in the programme and the attrition rates were high. As a result, LEAP was adapted to create NEAT (Newbridge Eating-disorders Activity Treatment) (originally named </w:t>
      </w:r>
      <w:proofErr w:type="spellStart"/>
      <w:r>
        <w:rPr>
          <w:rFonts w:ascii="Arial" w:eastAsia="Arial" w:hAnsi="Arial" w:cs="Arial"/>
          <w:sz w:val="24"/>
          <w:szCs w:val="24"/>
        </w:rPr>
        <w:t>JuniorLEAP</w:t>
      </w:r>
      <w:proofErr w:type="spellEnd"/>
      <w:r>
        <w:rPr>
          <w:rFonts w:ascii="Arial" w:eastAsia="Arial" w:hAnsi="Arial" w:cs="Arial"/>
          <w:sz w:val="24"/>
          <w:szCs w:val="24"/>
        </w:rPr>
        <w:t xml:space="preserve"> [15) a brief intervention specifically for children and adolescents with eating disorder diagnoses. Adaptations included simplifying the psycho-educational content for young </w:t>
      </w:r>
      <w:proofErr w:type="gramStart"/>
      <w:r>
        <w:rPr>
          <w:rFonts w:ascii="Arial" w:eastAsia="Arial" w:hAnsi="Arial" w:cs="Arial"/>
          <w:sz w:val="24"/>
          <w:szCs w:val="24"/>
        </w:rPr>
        <w:t>people;</w:t>
      </w:r>
      <w:proofErr w:type="gramEnd"/>
      <w:r>
        <w:rPr>
          <w:rFonts w:ascii="Arial" w:eastAsia="Arial" w:hAnsi="Arial" w:cs="Arial"/>
          <w:sz w:val="24"/>
          <w:szCs w:val="24"/>
        </w:rPr>
        <w:t xml:space="preserve"> such as the explanation of the exercise maintenance formulation. </w:t>
      </w:r>
      <w:r w:rsidR="00D65223">
        <w:rPr>
          <w:rFonts w:ascii="Arial" w:eastAsia="Arial" w:hAnsi="Arial" w:cs="Arial"/>
          <w:sz w:val="24"/>
          <w:szCs w:val="24"/>
        </w:rPr>
        <w:t>PowerPoint</w:t>
      </w:r>
      <w:r>
        <w:rPr>
          <w:rFonts w:ascii="Arial" w:eastAsia="Arial" w:hAnsi="Arial" w:cs="Arial"/>
          <w:sz w:val="24"/>
          <w:szCs w:val="24"/>
        </w:rPr>
        <w:t xml:space="preserve"> </w:t>
      </w:r>
      <w:r>
        <w:rPr>
          <w:rFonts w:ascii="Arial" w:eastAsia="Arial" w:hAnsi="Arial" w:cs="Arial"/>
          <w:sz w:val="24"/>
          <w:szCs w:val="24"/>
        </w:rPr>
        <w:lastRenderedPageBreak/>
        <w:t xml:space="preserve">slides were incorporated into the group sessions to allow the young people to access visual learning. The development was an iterative process involving patients and each version of NEAT was tested in audit before a version was found that held the children’s attention and interest. </w:t>
      </w:r>
    </w:p>
    <w:p w14:paraId="7FD93C03" w14:textId="54E21FAD" w:rsidR="00122EB2" w:rsidRDefault="00000000">
      <w:pPr>
        <w:jc w:val="both"/>
        <w:rPr>
          <w:rFonts w:ascii="Arial" w:eastAsia="Arial" w:hAnsi="Arial" w:cs="Arial"/>
          <w:sz w:val="24"/>
          <w:szCs w:val="24"/>
        </w:rPr>
      </w:pPr>
      <w:r>
        <w:rPr>
          <w:rFonts w:ascii="Arial" w:eastAsia="Arial" w:hAnsi="Arial" w:cs="Arial"/>
          <w:sz w:val="24"/>
          <w:szCs w:val="24"/>
        </w:rPr>
        <w:t>An initial study explored the feasibility of NEAT for children and adolescents with eating disorders, by measuring psychopathology and compulsive exercise before and following completion of the group [15]. The study found the NEAT group therapy, alongside other therapies in a specialised inpatient setting, significantly reduced compulsive exercise as measured across all five subscales in the Compulsive Exercise Test (CET)</w:t>
      </w:r>
      <w:r>
        <w:rPr>
          <w:rFonts w:ascii="Arial" w:eastAsia="Arial" w:hAnsi="Arial" w:cs="Arial"/>
          <w:sz w:val="24"/>
          <w:szCs w:val="24"/>
          <w:vertAlign w:val="superscript"/>
        </w:rPr>
        <w:t xml:space="preserve"> </w:t>
      </w:r>
      <w:r>
        <w:rPr>
          <w:rFonts w:ascii="Arial" w:eastAsia="Arial" w:hAnsi="Arial" w:cs="Arial"/>
          <w:sz w:val="24"/>
          <w:szCs w:val="24"/>
        </w:rPr>
        <w:t xml:space="preserve">[16]. Additionally, eating disorder psychopathology significantly reduced following completion of the </w:t>
      </w:r>
      <w:r w:rsidR="00D65223">
        <w:rPr>
          <w:rFonts w:ascii="Arial" w:eastAsia="Arial" w:hAnsi="Arial" w:cs="Arial"/>
          <w:sz w:val="24"/>
          <w:szCs w:val="24"/>
        </w:rPr>
        <w:t>group. Qualitative</w:t>
      </w:r>
      <w:r>
        <w:rPr>
          <w:rFonts w:ascii="Arial" w:eastAsia="Arial" w:hAnsi="Arial" w:cs="Arial"/>
          <w:sz w:val="24"/>
          <w:szCs w:val="24"/>
        </w:rPr>
        <w:t xml:space="preserve"> feedback suggested that participants found the sessions “helpful,” particularly in challenging misconceptions about exercise, learning strategies to reduce compulsivity, and understanding the compulsive exercise maintenance </w:t>
      </w:r>
      <w:r w:rsidR="00D65223">
        <w:rPr>
          <w:rFonts w:ascii="Arial" w:eastAsia="Arial" w:hAnsi="Arial" w:cs="Arial"/>
          <w:sz w:val="24"/>
          <w:szCs w:val="24"/>
        </w:rPr>
        <w:t>cycle. As</w:t>
      </w:r>
      <w:r>
        <w:rPr>
          <w:rFonts w:ascii="Arial" w:eastAsia="Arial" w:hAnsi="Arial" w:cs="Arial"/>
          <w:sz w:val="24"/>
          <w:szCs w:val="24"/>
        </w:rPr>
        <w:t xml:space="preserve"> the study did not compare the treatments efficacy to treatment as usual (TAU), the authors emphasised the need for further research to test NEAT treatment in a randomised control trial.</w:t>
      </w:r>
    </w:p>
    <w:p w14:paraId="4BE03A46" w14:textId="77777777" w:rsidR="00122EB2" w:rsidRDefault="00000000">
      <w:pPr>
        <w:rPr>
          <w:rFonts w:ascii="Arial" w:eastAsia="Arial" w:hAnsi="Arial" w:cs="Arial"/>
          <w:sz w:val="24"/>
          <w:szCs w:val="24"/>
        </w:rPr>
      </w:pPr>
      <w:r>
        <w:rPr>
          <w:rFonts w:ascii="Arial" w:eastAsia="Arial" w:hAnsi="Arial" w:cs="Arial"/>
          <w:sz w:val="24"/>
          <w:szCs w:val="24"/>
        </w:rPr>
        <w:t>The present study using the definitive manualised version of NEAT has two primary aims.</w:t>
      </w:r>
    </w:p>
    <w:p w14:paraId="74285A94" w14:textId="77777777" w:rsidR="00122EB2" w:rsidRDefault="00000000">
      <w:pPr>
        <w:rPr>
          <w:rFonts w:ascii="Arial" w:eastAsia="Arial" w:hAnsi="Arial" w:cs="Arial"/>
          <w:sz w:val="24"/>
          <w:szCs w:val="24"/>
        </w:rPr>
      </w:pPr>
      <w:r>
        <w:rPr>
          <w:rFonts w:ascii="Arial" w:eastAsia="Arial" w:hAnsi="Arial" w:cs="Arial"/>
          <w:sz w:val="24"/>
          <w:szCs w:val="24"/>
        </w:rPr>
        <w:t xml:space="preserve">1. To evaluate whether the NEAT group intervention reduces compulsive exercise in adolescents with an eating disorder diagnosis, when compared to TAU. </w:t>
      </w:r>
    </w:p>
    <w:p w14:paraId="4B27E716" w14:textId="09719457" w:rsidR="00122EB2" w:rsidRDefault="00000000">
      <w:pPr>
        <w:rPr>
          <w:rFonts w:ascii="Arial" w:eastAsia="Arial" w:hAnsi="Arial" w:cs="Arial"/>
          <w:sz w:val="24"/>
          <w:szCs w:val="24"/>
        </w:rPr>
      </w:pPr>
      <w:r>
        <w:rPr>
          <w:rFonts w:ascii="Arial" w:eastAsia="Arial" w:hAnsi="Arial" w:cs="Arial"/>
          <w:sz w:val="24"/>
          <w:szCs w:val="24"/>
        </w:rPr>
        <w:t xml:space="preserve"> 2. To explore whether the NEAT group </w:t>
      </w:r>
      <w:r w:rsidR="00D65223">
        <w:rPr>
          <w:rFonts w:ascii="Arial" w:eastAsia="Arial" w:hAnsi="Arial" w:cs="Arial"/>
          <w:sz w:val="24"/>
          <w:szCs w:val="24"/>
        </w:rPr>
        <w:t>reduces eating</w:t>
      </w:r>
      <w:r>
        <w:rPr>
          <w:rFonts w:ascii="Arial" w:eastAsia="Arial" w:hAnsi="Arial" w:cs="Arial"/>
          <w:sz w:val="24"/>
          <w:szCs w:val="24"/>
        </w:rPr>
        <w:t xml:space="preserve"> disorder psychopathology in adolescents with an eating disorder </w:t>
      </w:r>
      <w:r w:rsidR="00D65223">
        <w:rPr>
          <w:rFonts w:ascii="Arial" w:eastAsia="Arial" w:hAnsi="Arial" w:cs="Arial"/>
          <w:sz w:val="24"/>
          <w:szCs w:val="24"/>
        </w:rPr>
        <w:t>diagnosis, compared</w:t>
      </w:r>
      <w:r>
        <w:rPr>
          <w:rFonts w:ascii="Arial" w:eastAsia="Arial" w:hAnsi="Arial" w:cs="Arial"/>
          <w:sz w:val="24"/>
          <w:szCs w:val="24"/>
        </w:rPr>
        <w:t xml:space="preserve"> with TAU. </w:t>
      </w:r>
    </w:p>
    <w:p w14:paraId="54D9127B" w14:textId="77777777" w:rsidR="00122EB2" w:rsidRDefault="00122EB2">
      <w:pPr>
        <w:rPr>
          <w:rFonts w:ascii="Arial" w:eastAsia="Arial" w:hAnsi="Arial" w:cs="Arial"/>
          <w:b/>
          <w:bCs/>
          <w:sz w:val="24"/>
          <w:szCs w:val="24"/>
        </w:rPr>
      </w:pPr>
    </w:p>
    <w:p w14:paraId="26A6CA35" w14:textId="77777777" w:rsidR="00122EB2" w:rsidRDefault="00000000">
      <w:pPr>
        <w:jc w:val="center"/>
        <w:rPr>
          <w:rFonts w:ascii="Arial" w:eastAsia="Arial" w:hAnsi="Arial" w:cs="Arial"/>
          <w:b/>
          <w:bCs/>
          <w:sz w:val="28"/>
          <w:szCs w:val="28"/>
        </w:rPr>
      </w:pPr>
      <w:r>
        <w:rPr>
          <w:rFonts w:ascii="Arial" w:eastAsia="Arial" w:hAnsi="Arial" w:cs="Arial"/>
          <w:b/>
          <w:bCs/>
          <w:sz w:val="28"/>
          <w:szCs w:val="28"/>
        </w:rPr>
        <w:t>Research design and methods</w:t>
      </w:r>
    </w:p>
    <w:p w14:paraId="67A81EB4" w14:textId="77777777" w:rsidR="00122EB2" w:rsidRDefault="00000000">
      <w:pPr>
        <w:rPr>
          <w:rFonts w:ascii="Arial" w:eastAsia="Arial" w:hAnsi="Arial" w:cs="Arial"/>
          <w:sz w:val="24"/>
          <w:szCs w:val="24"/>
        </w:rPr>
      </w:pPr>
      <w:r>
        <w:rPr>
          <w:rFonts w:ascii="Arial" w:eastAsia="Arial" w:hAnsi="Arial" w:cs="Arial"/>
          <w:b/>
          <w:bCs/>
          <w:sz w:val="24"/>
          <w:szCs w:val="24"/>
        </w:rPr>
        <w:t>Participants:</w:t>
      </w:r>
      <w:r>
        <w:rPr>
          <w:rFonts w:ascii="Arial" w:eastAsia="Arial" w:hAnsi="Arial" w:cs="Arial"/>
          <w:sz w:val="24"/>
          <w:szCs w:val="24"/>
        </w:rPr>
        <w:t xml:space="preserve">  </w:t>
      </w:r>
    </w:p>
    <w:p w14:paraId="37AEDC39" w14:textId="5AB79A8F" w:rsidR="00122EB2" w:rsidRDefault="00000000">
      <w:pPr>
        <w:rPr>
          <w:rFonts w:ascii="Arial" w:eastAsia="Arial" w:hAnsi="Arial" w:cs="Arial"/>
          <w:sz w:val="24"/>
          <w:szCs w:val="24"/>
        </w:rPr>
      </w:pPr>
      <w:r>
        <w:rPr>
          <w:rFonts w:ascii="Arial" w:eastAsia="Arial" w:hAnsi="Arial" w:cs="Arial"/>
          <w:sz w:val="24"/>
          <w:szCs w:val="24"/>
        </w:rPr>
        <w:t>Participants were inpatients receiving treatment at Schoen Clinic Newbridge (SCN), a specialised eating disorder hospital for children and adolescents. Inclusion criteria required meeting DSM-5 criteria for an eating disorder, while exclusion criteria included having previously completed NEAT or LEAP at the hospital, being below 75% Median BMI (%</w:t>
      </w:r>
      <w:proofErr w:type="spellStart"/>
      <w:r w:rsidR="00D65223">
        <w:rPr>
          <w:rFonts w:ascii="Arial" w:eastAsia="Arial" w:hAnsi="Arial" w:cs="Arial"/>
          <w:sz w:val="24"/>
          <w:szCs w:val="24"/>
        </w:rPr>
        <w:t>mBMI</w:t>
      </w:r>
      <w:proofErr w:type="spellEnd"/>
      <w:r w:rsidR="00D65223">
        <w:rPr>
          <w:rFonts w:ascii="Arial" w:eastAsia="Arial" w:hAnsi="Arial" w:cs="Arial"/>
          <w:sz w:val="24"/>
          <w:szCs w:val="24"/>
        </w:rPr>
        <w:t>) being</w:t>
      </w:r>
      <w:r>
        <w:rPr>
          <w:rFonts w:ascii="Arial" w:eastAsia="Arial" w:hAnsi="Arial" w:cs="Arial"/>
          <w:sz w:val="24"/>
          <w:szCs w:val="24"/>
        </w:rPr>
        <w:t xml:space="preserve"> under 10 years old, having a severe learning disability, being a day patient or having comorbid psychosis. </w:t>
      </w:r>
    </w:p>
    <w:p w14:paraId="4A4341B6" w14:textId="78A634BE" w:rsidR="00122EB2" w:rsidRDefault="00000000">
      <w:pPr>
        <w:rPr>
          <w:rFonts w:ascii="Arial" w:eastAsia="Arial" w:hAnsi="Arial" w:cs="Arial"/>
          <w:sz w:val="24"/>
          <w:szCs w:val="24"/>
        </w:rPr>
      </w:pPr>
      <w:r>
        <w:rPr>
          <w:rFonts w:ascii="Arial" w:eastAsia="Arial" w:hAnsi="Arial" w:cs="Arial"/>
          <w:sz w:val="24"/>
          <w:szCs w:val="24"/>
        </w:rPr>
        <w:t xml:space="preserve">Participants were randomly allocated to one of two treatment </w:t>
      </w:r>
      <w:r w:rsidR="00D65223">
        <w:rPr>
          <w:rFonts w:ascii="Arial" w:eastAsia="Arial" w:hAnsi="Arial" w:cs="Arial"/>
          <w:sz w:val="24"/>
          <w:szCs w:val="24"/>
        </w:rPr>
        <w:t>groups:</w:t>
      </w:r>
      <w:r>
        <w:rPr>
          <w:rFonts w:ascii="Arial" w:eastAsia="Arial" w:hAnsi="Arial" w:cs="Arial"/>
          <w:sz w:val="24"/>
          <w:szCs w:val="24"/>
        </w:rPr>
        <w:t xml:space="preserve"> a ‘case’</w:t>
      </w:r>
      <w:r>
        <w:rPr>
          <w:rFonts w:ascii="Arial" w:eastAsia="Arial" w:hAnsi="Arial" w:cs="Arial"/>
          <w:color w:val="FF0000"/>
          <w:sz w:val="24"/>
          <w:szCs w:val="24"/>
        </w:rPr>
        <w:t xml:space="preserve"> </w:t>
      </w:r>
      <w:r>
        <w:rPr>
          <w:rFonts w:ascii="Arial" w:eastAsia="Arial" w:hAnsi="Arial" w:cs="Arial"/>
          <w:sz w:val="24"/>
          <w:szCs w:val="24"/>
        </w:rPr>
        <w:t xml:space="preserve">group to complete the NEAT group alongside Treatment </w:t>
      </w:r>
      <w:proofErr w:type="gramStart"/>
      <w:r>
        <w:rPr>
          <w:rFonts w:ascii="Arial" w:eastAsia="Arial" w:hAnsi="Arial" w:cs="Arial"/>
          <w:sz w:val="24"/>
          <w:szCs w:val="24"/>
        </w:rPr>
        <w:t>As</w:t>
      </w:r>
      <w:proofErr w:type="gramEnd"/>
      <w:r>
        <w:rPr>
          <w:rFonts w:ascii="Arial" w:eastAsia="Arial" w:hAnsi="Arial" w:cs="Arial"/>
          <w:sz w:val="24"/>
          <w:szCs w:val="24"/>
        </w:rPr>
        <w:t xml:space="preserve"> Usual (NEAT + TAU) group or a ‘control’</w:t>
      </w:r>
      <w:r>
        <w:rPr>
          <w:rFonts w:ascii="Arial" w:eastAsia="Arial" w:hAnsi="Arial" w:cs="Arial"/>
          <w:color w:val="FF0000"/>
          <w:sz w:val="24"/>
          <w:szCs w:val="24"/>
        </w:rPr>
        <w:t xml:space="preserve"> </w:t>
      </w:r>
      <w:r>
        <w:rPr>
          <w:rFonts w:ascii="Arial" w:eastAsia="Arial" w:hAnsi="Arial" w:cs="Arial"/>
          <w:sz w:val="24"/>
          <w:szCs w:val="24"/>
        </w:rPr>
        <w:t xml:space="preserve">TAU group. </w:t>
      </w:r>
    </w:p>
    <w:p w14:paraId="113CB624" w14:textId="77777777" w:rsidR="00122EB2" w:rsidRDefault="00000000">
      <w:pPr>
        <w:rPr>
          <w:rFonts w:ascii="Arial" w:eastAsia="Arial" w:hAnsi="Arial" w:cs="Arial"/>
          <w:sz w:val="24"/>
          <w:szCs w:val="24"/>
        </w:rPr>
      </w:pPr>
      <w:r>
        <w:rPr>
          <w:rFonts w:ascii="Arial" w:eastAsia="Arial" w:hAnsi="Arial" w:cs="Arial"/>
          <w:color w:val="000000"/>
          <w:sz w:val="24"/>
          <w:szCs w:val="24"/>
        </w:rPr>
        <w:t xml:space="preserve">A power calculation (available at request) was conducted based on the data from the initial study </w:t>
      </w:r>
      <w:r>
        <w:rPr>
          <w:rFonts w:ascii="Arial" w:eastAsia="Arial" w:hAnsi="Arial" w:cs="Arial"/>
          <w:sz w:val="24"/>
          <w:szCs w:val="24"/>
        </w:rPr>
        <w:t>[15</w:t>
      </w:r>
      <w:r>
        <w:rPr>
          <w:rFonts w:ascii="Arial" w:eastAsia="Arial" w:hAnsi="Arial" w:cs="Arial"/>
          <w:color w:val="000000"/>
          <w:sz w:val="24"/>
          <w:szCs w:val="24"/>
        </w:rPr>
        <w:t xml:space="preserve">] and a sample size of N=80 was agreed as sufficient to generate data. </w:t>
      </w:r>
      <w:r>
        <w:rPr>
          <w:rFonts w:ascii="Arial" w:eastAsia="Arial" w:hAnsi="Arial" w:cs="Arial"/>
          <w:sz w:val="24"/>
          <w:szCs w:val="24"/>
        </w:rPr>
        <w:t>To prevent withholding an effective intervention from inpatients at Schoen Clinic Newbridge, i</w:t>
      </w:r>
      <w:r>
        <w:rPr>
          <w:rFonts w:ascii="Arial" w:eastAsia="Arial" w:hAnsi="Arial" w:cs="Arial"/>
          <w:color w:val="000000"/>
          <w:sz w:val="24"/>
          <w:szCs w:val="24"/>
        </w:rPr>
        <w:t>t was further agreed that mean values would be examined at the mid-way point (N=50). I</w:t>
      </w:r>
      <w:r>
        <w:rPr>
          <w:rFonts w:ascii="Arial" w:eastAsia="Arial" w:hAnsi="Arial" w:cs="Arial"/>
          <w:sz w:val="24"/>
          <w:szCs w:val="24"/>
        </w:rPr>
        <w:t xml:space="preserve">f the mean values are in line with our hypotheses at the mid-way point, data collection would stop and data analysis would begin. </w:t>
      </w:r>
    </w:p>
    <w:p w14:paraId="61244071" w14:textId="77777777" w:rsidR="00122EB2" w:rsidRDefault="00122EB2">
      <w:pPr>
        <w:pBdr>
          <w:top w:val="nil"/>
          <w:left w:val="nil"/>
          <w:bottom w:val="nil"/>
          <w:right w:val="nil"/>
          <w:between w:val="nil"/>
        </w:pBdr>
        <w:spacing w:after="0" w:line="256" w:lineRule="auto"/>
        <w:ind w:left="720"/>
        <w:rPr>
          <w:rFonts w:ascii="Arial" w:eastAsia="Arial" w:hAnsi="Arial" w:cs="Arial"/>
          <w:color w:val="000000"/>
          <w:sz w:val="24"/>
          <w:szCs w:val="24"/>
        </w:rPr>
      </w:pPr>
    </w:p>
    <w:p w14:paraId="46C92630" w14:textId="77777777" w:rsidR="00122EB2" w:rsidRDefault="00000000">
      <w:pPr>
        <w:pBdr>
          <w:top w:val="nil"/>
          <w:left w:val="nil"/>
          <w:bottom w:val="nil"/>
          <w:right w:val="nil"/>
          <w:between w:val="nil"/>
        </w:pBdr>
        <w:spacing w:line="256" w:lineRule="auto"/>
        <w:jc w:val="both"/>
        <w:rPr>
          <w:rFonts w:ascii="Arial" w:eastAsia="Arial" w:hAnsi="Arial" w:cs="Arial"/>
          <w:color w:val="000000"/>
          <w:sz w:val="24"/>
          <w:szCs w:val="24"/>
        </w:rPr>
      </w:pPr>
      <w:r>
        <w:rPr>
          <w:rFonts w:ascii="Arial" w:eastAsia="Arial" w:hAnsi="Arial" w:cs="Arial"/>
          <w:b/>
          <w:bCs/>
          <w:color w:val="000000"/>
          <w:sz w:val="24"/>
          <w:szCs w:val="24"/>
        </w:rPr>
        <w:t>NEAT Group</w:t>
      </w:r>
    </w:p>
    <w:p w14:paraId="2DCAD1EF" w14:textId="5233E8E8" w:rsidR="00122EB2" w:rsidRDefault="00000000">
      <w:pPr>
        <w:rPr>
          <w:rFonts w:ascii="Arial" w:eastAsia="Arial" w:hAnsi="Arial" w:cs="Arial"/>
          <w:sz w:val="24"/>
          <w:szCs w:val="24"/>
        </w:rPr>
      </w:pPr>
      <w:r>
        <w:rPr>
          <w:rFonts w:ascii="Arial" w:eastAsia="Arial" w:hAnsi="Arial" w:cs="Arial"/>
          <w:sz w:val="24"/>
          <w:szCs w:val="24"/>
        </w:rPr>
        <w:t xml:space="preserve">The NEAT intervention comprises 1 individual session to gain information around participants’ exercise habits, and 7 weekly group sessions which use a cognitive behavioural approach (see table 1). NEAT is an active therapy group, which means that the patients take responsibility for behavioural change. Therapeutic homework </w:t>
      </w:r>
      <w:r w:rsidR="00D65223">
        <w:rPr>
          <w:rFonts w:ascii="Arial" w:eastAsia="Arial" w:hAnsi="Arial" w:cs="Arial"/>
          <w:sz w:val="24"/>
          <w:szCs w:val="24"/>
        </w:rPr>
        <w:t>of exercise</w:t>
      </w:r>
      <w:r>
        <w:rPr>
          <w:rFonts w:ascii="Arial" w:eastAsia="Arial" w:hAnsi="Arial" w:cs="Arial"/>
          <w:sz w:val="24"/>
          <w:szCs w:val="24"/>
        </w:rPr>
        <w:t xml:space="preserve"> monitoring records and a leisure activity questionnaire were provided for participants to complete between sessions. The therapists’ roles are to provide the information, guide the young people through the content, encourage and support to help them make the necessary changes.</w:t>
      </w:r>
      <w:r>
        <w:rPr>
          <w:rFonts w:ascii="Arial" w:eastAsia="Arial" w:hAnsi="Arial" w:cs="Arial"/>
          <w:sz w:val="28"/>
          <w:szCs w:val="28"/>
        </w:rPr>
        <w:t xml:space="preserve"> </w:t>
      </w:r>
      <w:r>
        <w:rPr>
          <w:rFonts w:ascii="Arial" w:eastAsia="Arial" w:hAnsi="Arial" w:cs="Arial"/>
          <w:sz w:val="24"/>
          <w:szCs w:val="24"/>
        </w:rPr>
        <w:t xml:space="preserve">The therapy is manualised into a treatment protocol and was administered by Assistant Psychologists and a Psychotherapist employed at Schoen Clinic Newbridge receiving supervision from a Clinical Psychologist. </w:t>
      </w:r>
      <w:r w:rsidR="00EE5C6A">
        <w:rPr>
          <w:rFonts w:ascii="Arial" w:eastAsia="Arial" w:hAnsi="Arial" w:cs="Arial"/>
          <w:sz w:val="24"/>
          <w:szCs w:val="24"/>
        </w:rPr>
        <w:t>The Manual and materials needed for the therapy are available in the Supplementary Materials, here.</w:t>
      </w:r>
    </w:p>
    <w:p w14:paraId="58E49723" w14:textId="77777777" w:rsidR="00122EB2" w:rsidRDefault="00122EB2">
      <w:pPr>
        <w:rPr>
          <w:rFonts w:ascii="Arial" w:eastAsia="Arial" w:hAnsi="Arial" w:cs="Arial"/>
          <w:sz w:val="24"/>
          <w:szCs w:val="24"/>
        </w:rPr>
      </w:pPr>
    </w:p>
    <w:p w14:paraId="54870756" w14:textId="77777777" w:rsidR="00122EB2" w:rsidRDefault="00000000">
      <w:pPr>
        <w:jc w:val="both"/>
        <w:rPr>
          <w:rFonts w:ascii="Arial" w:eastAsia="Arial" w:hAnsi="Arial" w:cs="Arial"/>
        </w:rPr>
      </w:pPr>
      <w:r>
        <w:rPr>
          <w:rFonts w:ascii="Arial" w:eastAsia="Arial" w:hAnsi="Arial" w:cs="Arial"/>
          <w:b/>
          <w:bCs/>
        </w:rPr>
        <w:t>Table 1</w:t>
      </w:r>
      <w:r>
        <w:rPr>
          <w:rFonts w:ascii="Arial" w:eastAsia="Arial" w:hAnsi="Arial" w:cs="Arial"/>
        </w:rPr>
        <w:t>. NEAT Programme Outline</w:t>
      </w:r>
    </w:p>
    <w:tbl>
      <w:tblPr>
        <w:tblStyle w:val="ab"/>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8"/>
        <w:gridCol w:w="4943"/>
      </w:tblGrid>
      <w:tr w:rsidR="00122EB2" w14:paraId="37D3A2E8" w14:textId="77777777" w:rsidTr="00122EB2">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918" w:type="dxa"/>
            <w:tcBorders>
              <w:top w:val="nil"/>
              <w:left w:val="nil"/>
              <w:right w:val="nil"/>
            </w:tcBorders>
          </w:tcPr>
          <w:p w14:paraId="5B313E1D" w14:textId="77777777" w:rsidR="00122EB2" w:rsidRDefault="00000000">
            <w:pPr>
              <w:jc w:val="both"/>
              <w:rPr>
                <w:rFonts w:ascii="Arial" w:eastAsia="Arial" w:hAnsi="Arial" w:cs="Arial"/>
                <w:sz w:val="24"/>
                <w:szCs w:val="24"/>
              </w:rPr>
            </w:pPr>
            <w:r>
              <w:rPr>
                <w:rFonts w:ascii="Arial" w:eastAsia="Arial" w:hAnsi="Arial" w:cs="Arial"/>
                <w:sz w:val="24"/>
                <w:szCs w:val="24"/>
              </w:rPr>
              <w:t>Session 0 – NEAT Exercise profile</w:t>
            </w:r>
          </w:p>
        </w:tc>
        <w:tc>
          <w:tcPr>
            <w:tcW w:w="4943" w:type="dxa"/>
            <w:tcBorders>
              <w:top w:val="nil"/>
              <w:left w:val="nil"/>
              <w:right w:val="nil"/>
            </w:tcBorders>
          </w:tcPr>
          <w:p w14:paraId="0B28D081" w14:textId="77777777" w:rsidR="00122EB2" w:rsidRDefault="00000000">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bCs w:val="0"/>
                <w:sz w:val="24"/>
                <w:szCs w:val="24"/>
              </w:rPr>
              <w:t>Completion of NEAT exercise profile; completion of questionnaire pack.</w:t>
            </w:r>
          </w:p>
        </w:tc>
      </w:tr>
      <w:tr w:rsidR="00122EB2" w14:paraId="311059E4" w14:textId="77777777" w:rsidTr="00122EB2">
        <w:trPr>
          <w:trHeight w:val="1752"/>
        </w:trPr>
        <w:tc>
          <w:tcPr>
            <w:cnfStyle w:val="001000000000" w:firstRow="0" w:lastRow="0" w:firstColumn="1" w:lastColumn="0" w:oddVBand="0" w:evenVBand="0" w:oddHBand="0" w:evenHBand="0" w:firstRowFirstColumn="0" w:firstRowLastColumn="0" w:lastRowFirstColumn="0" w:lastRowLastColumn="0"/>
            <w:tcW w:w="4918" w:type="dxa"/>
            <w:shd w:val="clear" w:color="auto" w:fill="DEEBF6"/>
          </w:tcPr>
          <w:p w14:paraId="4D1D610B" w14:textId="77777777" w:rsidR="00122EB2" w:rsidRDefault="00000000">
            <w:pPr>
              <w:jc w:val="both"/>
              <w:rPr>
                <w:rFonts w:ascii="Arial" w:eastAsia="Arial" w:hAnsi="Arial" w:cs="Arial"/>
                <w:sz w:val="24"/>
                <w:szCs w:val="24"/>
              </w:rPr>
            </w:pPr>
            <w:r>
              <w:rPr>
                <w:rFonts w:ascii="Arial" w:eastAsia="Arial" w:hAnsi="Arial" w:cs="Arial"/>
                <w:sz w:val="24"/>
                <w:szCs w:val="24"/>
              </w:rPr>
              <w:t>Session 1 – Introduction to NEAT</w:t>
            </w:r>
          </w:p>
        </w:tc>
        <w:tc>
          <w:tcPr>
            <w:tcW w:w="4943" w:type="dxa"/>
            <w:shd w:val="clear" w:color="auto" w:fill="DEEBF6"/>
          </w:tcPr>
          <w:p w14:paraId="7B20B6C3"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Introduction to the NEAT group and its aims; definitions of keywords; introduction to maintenance formulation for compulsive exercise; introduction to monitoring records and leisure questionnaires.</w:t>
            </w:r>
          </w:p>
        </w:tc>
      </w:tr>
      <w:tr w:rsidR="00122EB2" w14:paraId="3D2AD869" w14:textId="77777777" w:rsidTr="00122EB2">
        <w:trPr>
          <w:trHeight w:val="1043"/>
        </w:trPr>
        <w:tc>
          <w:tcPr>
            <w:cnfStyle w:val="001000000000" w:firstRow="0" w:lastRow="0" w:firstColumn="1" w:lastColumn="0" w:oddVBand="0" w:evenVBand="0" w:oddHBand="0" w:evenHBand="0" w:firstRowFirstColumn="0" w:firstRowLastColumn="0" w:lastRowFirstColumn="0" w:lastRowLastColumn="0"/>
            <w:tcW w:w="4918" w:type="dxa"/>
          </w:tcPr>
          <w:p w14:paraId="5B554DD4" w14:textId="77777777" w:rsidR="00122EB2" w:rsidRDefault="00000000">
            <w:pPr>
              <w:jc w:val="both"/>
              <w:rPr>
                <w:rFonts w:ascii="Arial" w:eastAsia="Arial" w:hAnsi="Arial" w:cs="Arial"/>
                <w:sz w:val="24"/>
                <w:szCs w:val="24"/>
              </w:rPr>
            </w:pPr>
            <w:r>
              <w:rPr>
                <w:rFonts w:ascii="Arial" w:eastAsia="Arial" w:hAnsi="Arial" w:cs="Arial"/>
                <w:sz w:val="24"/>
                <w:szCs w:val="24"/>
              </w:rPr>
              <w:t>Session 2 – Eating Disorders and Exercise</w:t>
            </w:r>
          </w:p>
        </w:tc>
        <w:tc>
          <w:tcPr>
            <w:tcW w:w="4943" w:type="dxa"/>
          </w:tcPr>
          <w:p w14:paraId="72979B39"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Introduction to Activity Anorexia Theory and weight and shape concerns; reflection on initiating and maintaining factors for exercise.</w:t>
            </w:r>
          </w:p>
        </w:tc>
      </w:tr>
      <w:tr w:rsidR="00122EB2" w14:paraId="359CAAFD" w14:textId="77777777" w:rsidTr="00122EB2">
        <w:trPr>
          <w:trHeight w:val="1043"/>
        </w:trPr>
        <w:tc>
          <w:tcPr>
            <w:cnfStyle w:val="001000000000" w:firstRow="0" w:lastRow="0" w:firstColumn="1" w:lastColumn="0" w:oddVBand="0" w:evenVBand="0" w:oddHBand="0" w:evenHBand="0" w:firstRowFirstColumn="0" w:firstRowLastColumn="0" w:lastRowFirstColumn="0" w:lastRowLastColumn="0"/>
            <w:tcW w:w="4918" w:type="dxa"/>
            <w:shd w:val="clear" w:color="auto" w:fill="DEEBF6"/>
          </w:tcPr>
          <w:p w14:paraId="2FBD13FB" w14:textId="77777777" w:rsidR="00122EB2" w:rsidRDefault="00000000">
            <w:pPr>
              <w:jc w:val="both"/>
              <w:rPr>
                <w:rFonts w:ascii="Arial" w:eastAsia="Arial" w:hAnsi="Arial" w:cs="Arial"/>
                <w:sz w:val="24"/>
                <w:szCs w:val="24"/>
              </w:rPr>
            </w:pPr>
            <w:r>
              <w:rPr>
                <w:rFonts w:ascii="Arial" w:eastAsia="Arial" w:hAnsi="Arial" w:cs="Arial"/>
                <w:sz w:val="24"/>
                <w:szCs w:val="24"/>
              </w:rPr>
              <w:t>Session 3 – Exercise Dependence</w:t>
            </w:r>
          </w:p>
        </w:tc>
        <w:tc>
          <w:tcPr>
            <w:tcW w:w="4943" w:type="dxa"/>
            <w:shd w:val="clear" w:color="auto" w:fill="DEEBF6"/>
          </w:tcPr>
          <w:p w14:paraId="03B443E0"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Introduction to positive and negative reinforcement; introduction to psychological dependence on exercise.</w:t>
            </w:r>
          </w:p>
        </w:tc>
      </w:tr>
      <w:tr w:rsidR="00122EB2" w14:paraId="02E3DFD2" w14:textId="77777777" w:rsidTr="00122EB2">
        <w:trPr>
          <w:trHeight w:val="1043"/>
        </w:trPr>
        <w:tc>
          <w:tcPr>
            <w:cnfStyle w:val="001000000000" w:firstRow="0" w:lastRow="0" w:firstColumn="1" w:lastColumn="0" w:oddVBand="0" w:evenVBand="0" w:oddHBand="0" w:evenHBand="0" w:firstRowFirstColumn="0" w:firstRowLastColumn="0" w:lastRowFirstColumn="0" w:lastRowLastColumn="0"/>
            <w:tcW w:w="4918" w:type="dxa"/>
          </w:tcPr>
          <w:p w14:paraId="565871BE" w14:textId="77777777" w:rsidR="00122EB2" w:rsidRDefault="00000000">
            <w:pPr>
              <w:jc w:val="both"/>
              <w:rPr>
                <w:rFonts w:ascii="Arial" w:eastAsia="Arial" w:hAnsi="Arial" w:cs="Arial"/>
                <w:sz w:val="24"/>
                <w:szCs w:val="24"/>
              </w:rPr>
            </w:pPr>
            <w:r>
              <w:rPr>
                <w:rFonts w:ascii="Arial" w:eastAsia="Arial" w:hAnsi="Arial" w:cs="Arial"/>
                <w:sz w:val="24"/>
                <w:szCs w:val="24"/>
              </w:rPr>
              <w:t>Session 4 - Compulsivity</w:t>
            </w:r>
          </w:p>
        </w:tc>
        <w:tc>
          <w:tcPr>
            <w:tcW w:w="4943" w:type="dxa"/>
          </w:tcPr>
          <w:p w14:paraId="1A106AF4"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Reflection on myths and facts about exercise; introduction to cognitive restructuring techniques; young people are challenged not to attend leisure activities, such as Yoga, which is on offer weekly.</w:t>
            </w:r>
          </w:p>
        </w:tc>
      </w:tr>
      <w:tr w:rsidR="00122EB2" w14:paraId="756116A9" w14:textId="77777777" w:rsidTr="00122EB2">
        <w:trPr>
          <w:trHeight w:val="1868"/>
        </w:trPr>
        <w:tc>
          <w:tcPr>
            <w:cnfStyle w:val="001000000000" w:firstRow="0" w:lastRow="0" w:firstColumn="1" w:lastColumn="0" w:oddVBand="0" w:evenVBand="0" w:oddHBand="0" w:evenHBand="0" w:firstRowFirstColumn="0" w:firstRowLastColumn="0" w:lastRowFirstColumn="0" w:lastRowLastColumn="0"/>
            <w:tcW w:w="4918" w:type="dxa"/>
            <w:shd w:val="clear" w:color="auto" w:fill="DEEBF6"/>
          </w:tcPr>
          <w:p w14:paraId="7B0E3235" w14:textId="77777777" w:rsidR="00122EB2" w:rsidRDefault="00000000">
            <w:pPr>
              <w:jc w:val="both"/>
              <w:rPr>
                <w:rFonts w:ascii="Arial" w:eastAsia="Arial" w:hAnsi="Arial" w:cs="Arial"/>
                <w:sz w:val="24"/>
                <w:szCs w:val="24"/>
              </w:rPr>
            </w:pPr>
            <w:r>
              <w:rPr>
                <w:rFonts w:ascii="Arial" w:eastAsia="Arial" w:hAnsi="Arial" w:cs="Arial"/>
                <w:sz w:val="24"/>
                <w:szCs w:val="24"/>
              </w:rPr>
              <w:t>Session 5 – Strict Rules</w:t>
            </w:r>
          </w:p>
        </w:tc>
        <w:tc>
          <w:tcPr>
            <w:tcW w:w="4943" w:type="dxa"/>
            <w:shd w:val="clear" w:color="auto" w:fill="DEEBF6"/>
          </w:tcPr>
          <w:p w14:paraId="6AA920ED"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Introduction to the relationship between holding beliefs about exercise and strict rules, resulting in behavioural rigidity. Young people are encouraged to consider own rules and encouraged to set more flexible and healthy ones.</w:t>
            </w:r>
          </w:p>
        </w:tc>
      </w:tr>
      <w:tr w:rsidR="00122EB2" w14:paraId="34A51434" w14:textId="77777777" w:rsidTr="00122EB2">
        <w:trPr>
          <w:trHeight w:val="1043"/>
        </w:trPr>
        <w:tc>
          <w:tcPr>
            <w:cnfStyle w:val="001000000000" w:firstRow="0" w:lastRow="0" w:firstColumn="1" w:lastColumn="0" w:oddVBand="0" w:evenVBand="0" w:oddHBand="0" w:evenHBand="0" w:firstRowFirstColumn="0" w:firstRowLastColumn="0" w:lastRowFirstColumn="0" w:lastRowLastColumn="0"/>
            <w:tcW w:w="4918" w:type="dxa"/>
          </w:tcPr>
          <w:p w14:paraId="28AF472F" w14:textId="77777777" w:rsidR="00122EB2" w:rsidRDefault="00000000">
            <w:pPr>
              <w:jc w:val="both"/>
              <w:rPr>
                <w:rFonts w:ascii="Arial" w:eastAsia="Arial" w:hAnsi="Arial" w:cs="Arial"/>
                <w:sz w:val="24"/>
                <w:szCs w:val="24"/>
              </w:rPr>
            </w:pPr>
            <w:r>
              <w:rPr>
                <w:rFonts w:ascii="Arial" w:eastAsia="Arial" w:hAnsi="Arial" w:cs="Arial"/>
                <w:sz w:val="24"/>
                <w:szCs w:val="24"/>
              </w:rPr>
              <w:lastRenderedPageBreak/>
              <w:t>Session 6 – Healthy Exercise and Relapse Prevention</w:t>
            </w:r>
          </w:p>
        </w:tc>
        <w:tc>
          <w:tcPr>
            <w:tcW w:w="4943" w:type="dxa"/>
          </w:tcPr>
          <w:p w14:paraId="674A9E3A"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Reviewing the difference between healthy and unhealthy exercise behaviours; introduction of techniques to manage urges. </w:t>
            </w:r>
          </w:p>
        </w:tc>
      </w:tr>
      <w:tr w:rsidR="00122EB2" w14:paraId="470E87A7" w14:textId="77777777" w:rsidTr="00122EB2">
        <w:trPr>
          <w:trHeight w:val="1043"/>
        </w:trPr>
        <w:tc>
          <w:tcPr>
            <w:cnfStyle w:val="001000000000" w:firstRow="0" w:lastRow="0" w:firstColumn="1" w:lastColumn="0" w:oddVBand="0" w:evenVBand="0" w:oddHBand="0" w:evenHBand="0" w:firstRowFirstColumn="0" w:firstRowLastColumn="0" w:lastRowFirstColumn="0" w:lastRowLastColumn="0"/>
            <w:tcW w:w="4918" w:type="dxa"/>
            <w:shd w:val="clear" w:color="auto" w:fill="DEEBF6"/>
          </w:tcPr>
          <w:p w14:paraId="3C04CF68" w14:textId="77777777" w:rsidR="00122EB2" w:rsidRDefault="00000000">
            <w:pPr>
              <w:jc w:val="both"/>
              <w:rPr>
                <w:rFonts w:ascii="Arial" w:eastAsia="Arial" w:hAnsi="Arial" w:cs="Arial"/>
                <w:sz w:val="24"/>
                <w:szCs w:val="24"/>
              </w:rPr>
            </w:pPr>
            <w:r>
              <w:rPr>
                <w:rFonts w:ascii="Arial" w:eastAsia="Arial" w:hAnsi="Arial" w:cs="Arial"/>
                <w:sz w:val="24"/>
                <w:szCs w:val="24"/>
              </w:rPr>
              <w:t xml:space="preserve">Session 7 – Review and Reflection </w:t>
            </w:r>
          </w:p>
        </w:tc>
        <w:tc>
          <w:tcPr>
            <w:tcW w:w="4943" w:type="dxa"/>
            <w:shd w:val="clear" w:color="auto" w:fill="DEEBF6"/>
          </w:tcPr>
          <w:p w14:paraId="1F958B52" w14:textId="77777777" w:rsidR="00122EB2" w:rsidRDefault="0000000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Providing a space to reflect and review on NEAT. Consolidate knowledge and complete a risk management plan. </w:t>
            </w:r>
          </w:p>
        </w:tc>
      </w:tr>
    </w:tbl>
    <w:p w14:paraId="1376FAB8" w14:textId="77777777" w:rsidR="00122EB2" w:rsidRDefault="00122EB2">
      <w:pPr>
        <w:pBdr>
          <w:top w:val="nil"/>
          <w:left w:val="nil"/>
          <w:bottom w:val="nil"/>
          <w:right w:val="nil"/>
          <w:between w:val="nil"/>
        </w:pBdr>
        <w:spacing w:after="0" w:line="256" w:lineRule="auto"/>
        <w:jc w:val="both"/>
        <w:rPr>
          <w:rFonts w:ascii="Arial" w:eastAsia="Arial" w:hAnsi="Arial" w:cs="Arial"/>
          <w:b/>
          <w:bCs/>
          <w:color w:val="000000"/>
          <w:sz w:val="24"/>
          <w:szCs w:val="24"/>
        </w:rPr>
      </w:pPr>
    </w:p>
    <w:p w14:paraId="567D31A5" w14:textId="77777777" w:rsidR="00122EB2" w:rsidRDefault="00000000">
      <w:pPr>
        <w:pBdr>
          <w:top w:val="nil"/>
          <w:left w:val="nil"/>
          <w:bottom w:val="nil"/>
          <w:right w:val="nil"/>
          <w:between w:val="nil"/>
        </w:pBdr>
        <w:spacing w:after="0" w:line="256"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Treatment as Usual </w:t>
      </w:r>
    </w:p>
    <w:p w14:paraId="1BE667C0" w14:textId="77777777" w:rsidR="00122EB2" w:rsidRDefault="00122EB2">
      <w:pPr>
        <w:pBdr>
          <w:top w:val="nil"/>
          <w:left w:val="nil"/>
          <w:bottom w:val="nil"/>
          <w:right w:val="nil"/>
          <w:between w:val="nil"/>
        </w:pBdr>
        <w:spacing w:after="0" w:line="256" w:lineRule="auto"/>
        <w:jc w:val="both"/>
        <w:rPr>
          <w:rFonts w:ascii="Arial" w:eastAsia="Arial" w:hAnsi="Arial" w:cs="Arial"/>
          <w:b/>
          <w:bCs/>
          <w:color w:val="000000"/>
          <w:sz w:val="24"/>
          <w:szCs w:val="24"/>
        </w:rPr>
      </w:pPr>
    </w:p>
    <w:p w14:paraId="7126FE4C" w14:textId="77777777" w:rsidR="00122EB2" w:rsidRDefault="00000000">
      <w:pPr>
        <w:pBdr>
          <w:top w:val="nil"/>
          <w:left w:val="nil"/>
          <w:bottom w:val="nil"/>
          <w:right w:val="nil"/>
          <w:between w:val="nil"/>
        </w:pBdr>
        <w:spacing w:line="256" w:lineRule="auto"/>
        <w:jc w:val="both"/>
        <w:rPr>
          <w:rFonts w:ascii="Arial" w:eastAsia="Arial" w:hAnsi="Arial" w:cs="Arial"/>
          <w:color w:val="000000"/>
          <w:sz w:val="24"/>
          <w:szCs w:val="24"/>
        </w:rPr>
      </w:pPr>
      <w:r>
        <w:rPr>
          <w:rFonts w:ascii="Arial" w:eastAsia="Arial" w:hAnsi="Arial" w:cs="Arial"/>
          <w:color w:val="000000"/>
          <w:sz w:val="24"/>
          <w:szCs w:val="24"/>
        </w:rPr>
        <w:t xml:space="preserve">TAU refers to the standard inpatient programme at Schoen Clinic Newbridge. Treatment is provided by a multidisciplinary team including Dietitians, Occupational Therapists, Nurses, Psychologists, and Psychiatrists. Patients may attend individual therapy, as well as group therapies providing psycho-educational content and addressing issues such as body image and self-esteem. Patients may also be invited to groups to reintroduce physical activity such as tai chi, yoga, and other sports. Antidepressant and psychotropic medication may also be prescribed. </w:t>
      </w:r>
    </w:p>
    <w:p w14:paraId="3B78D801" w14:textId="69B2CF33" w:rsidR="00917760" w:rsidRDefault="00917760">
      <w:pPr>
        <w:pBdr>
          <w:top w:val="nil"/>
          <w:left w:val="nil"/>
          <w:bottom w:val="nil"/>
          <w:right w:val="nil"/>
          <w:between w:val="nil"/>
        </w:pBdr>
        <w:spacing w:line="256" w:lineRule="auto"/>
        <w:jc w:val="both"/>
        <w:rPr>
          <w:rFonts w:ascii="Arial" w:eastAsia="Arial" w:hAnsi="Arial" w:cs="Arial"/>
          <w:color w:val="000000"/>
          <w:sz w:val="24"/>
          <w:szCs w:val="24"/>
        </w:rPr>
      </w:pPr>
      <w:r>
        <w:rPr>
          <w:rFonts w:ascii="Arial" w:eastAsia="Arial" w:hAnsi="Arial" w:cs="Arial"/>
          <w:color w:val="000000"/>
          <w:sz w:val="24"/>
          <w:szCs w:val="24"/>
        </w:rPr>
        <w:t>The treatment at Schoen Clinic Newbridge was rated ‘Outstanding’ by the Care Quality Commission (CQC)</w:t>
      </w:r>
      <w:r w:rsidR="006D70A6">
        <w:rPr>
          <w:rFonts w:ascii="Arial" w:eastAsia="Arial" w:hAnsi="Arial" w:cs="Arial"/>
          <w:color w:val="000000"/>
          <w:sz w:val="24"/>
          <w:szCs w:val="24"/>
        </w:rPr>
        <w:t xml:space="preserve"> </w:t>
      </w:r>
      <w:r>
        <w:rPr>
          <w:rFonts w:ascii="Arial" w:eastAsia="Arial" w:hAnsi="Arial" w:cs="Arial"/>
          <w:color w:val="000000"/>
          <w:sz w:val="24"/>
          <w:szCs w:val="24"/>
        </w:rPr>
        <w:t>[22]</w:t>
      </w:r>
      <w:r w:rsidR="00977839">
        <w:rPr>
          <w:rFonts w:ascii="Arial" w:eastAsia="Arial" w:hAnsi="Arial" w:cs="Arial"/>
          <w:color w:val="000000"/>
          <w:sz w:val="24"/>
          <w:szCs w:val="24"/>
        </w:rPr>
        <w:t>, The CQC is a UK governmental body which rates, inter alia, all British hospitals and ‘Outstanding’ is the highest rating. See Discussion</w:t>
      </w:r>
      <w:r w:rsidR="00505E96">
        <w:rPr>
          <w:rFonts w:ascii="Arial" w:eastAsia="Arial" w:hAnsi="Arial" w:cs="Arial"/>
          <w:color w:val="000000"/>
          <w:sz w:val="24"/>
          <w:szCs w:val="24"/>
        </w:rPr>
        <w:t xml:space="preserve"> for the possible implication of this.</w:t>
      </w:r>
    </w:p>
    <w:p w14:paraId="4202D048" w14:textId="77777777" w:rsidR="00B07F97" w:rsidRDefault="00B07F97">
      <w:pPr>
        <w:pBdr>
          <w:top w:val="nil"/>
          <w:left w:val="nil"/>
          <w:bottom w:val="nil"/>
          <w:right w:val="nil"/>
          <w:between w:val="nil"/>
        </w:pBdr>
        <w:spacing w:line="256" w:lineRule="auto"/>
        <w:jc w:val="both"/>
        <w:rPr>
          <w:rFonts w:ascii="Arial" w:eastAsia="Arial" w:hAnsi="Arial" w:cs="Arial"/>
          <w:color w:val="000000"/>
          <w:sz w:val="24"/>
          <w:szCs w:val="24"/>
        </w:rPr>
      </w:pPr>
    </w:p>
    <w:p w14:paraId="7FF6A9BC" w14:textId="77777777" w:rsidR="00122EB2" w:rsidRDefault="00000000">
      <w:pPr>
        <w:rPr>
          <w:rFonts w:ascii="Arial" w:eastAsia="Arial" w:hAnsi="Arial" w:cs="Arial"/>
          <w:b/>
          <w:bCs/>
          <w:sz w:val="24"/>
          <w:szCs w:val="24"/>
        </w:rPr>
      </w:pPr>
      <w:r>
        <w:rPr>
          <w:rFonts w:ascii="Arial" w:eastAsia="Arial" w:hAnsi="Arial" w:cs="Arial"/>
          <w:b/>
          <w:bCs/>
          <w:sz w:val="24"/>
          <w:szCs w:val="24"/>
        </w:rPr>
        <w:t>Measures</w:t>
      </w:r>
    </w:p>
    <w:p w14:paraId="34DA825D" w14:textId="77777777" w:rsidR="00122EB2" w:rsidRDefault="00000000">
      <w:pPr>
        <w:rPr>
          <w:rFonts w:ascii="Arial" w:eastAsia="Arial" w:hAnsi="Arial" w:cs="Arial"/>
          <w:i/>
          <w:iCs/>
          <w:sz w:val="24"/>
          <w:szCs w:val="24"/>
        </w:rPr>
      </w:pPr>
      <w:r>
        <w:rPr>
          <w:rFonts w:ascii="Arial" w:eastAsia="Arial" w:hAnsi="Arial" w:cs="Arial"/>
          <w:i/>
          <w:iCs/>
          <w:sz w:val="24"/>
          <w:szCs w:val="24"/>
        </w:rPr>
        <w:t>Compulsive Exercise Test (CET)</w:t>
      </w:r>
      <w:r>
        <w:rPr>
          <w:rFonts w:ascii="Arial" w:eastAsia="Arial" w:hAnsi="Arial" w:cs="Arial"/>
          <w:i/>
          <w:iCs/>
          <w:sz w:val="24"/>
          <w:szCs w:val="24"/>
          <w:vertAlign w:val="superscript"/>
        </w:rPr>
        <w:t xml:space="preserve"> </w:t>
      </w:r>
      <w:r>
        <w:rPr>
          <w:rFonts w:ascii="Arial" w:eastAsia="Arial" w:hAnsi="Arial" w:cs="Arial"/>
          <w:i/>
          <w:iCs/>
          <w:sz w:val="24"/>
          <w:szCs w:val="24"/>
        </w:rPr>
        <w:t>[16]</w:t>
      </w:r>
    </w:p>
    <w:p w14:paraId="3DC8075F" w14:textId="36C5E7BC" w:rsidR="00122EB2" w:rsidRDefault="00000000">
      <w:pPr>
        <w:rPr>
          <w:rFonts w:ascii="Arial" w:eastAsia="Arial" w:hAnsi="Arial" w:cs="Arial"/>
          <w:sz w:val="24"/>
          <w:szCs w:val="24"/>
        </w:rPr>
      </w:pPr>
      <w:sdt>
        <w:sdtPr>
          <w:tag w:val="goog_rdk_0"/>
          <w:id w:val="-1023268634"/>
        </w:sdtPr>
        <w:sdtContent>
          <w:r>
            <w:rPr>
              <w:rFonts w:ascii="Arial Unicode MS" w:eastAsia="Arial Unicode MS" w:hAnsi="Arial Unicode MS" w:cs="Arial Unicode MS"/>
              <w:sz w:val="24"/>
              <w:szCs w:val="24"/>
            </w:rPr>
            <w:t xml:space="preserve">The CET is a twenty-four item self-report scale measuring compulsive exercise. Participants rate how much they agree with a statement on a six-point scale from “Never True” to “Always True”. The CET measures five subscales of compulsive exercise: “Avoidance and Rule-Driven Behaviour”, “Weight Control Exercise”, “Mood Improvement”, “Lack of Exercise Enjoyment”, and “Exercise Rigidity”. A global score is calculated by totalling all subscales; a global score of ≤15 has been proposed as a cut-off to indicate compulsive exercise [17]. Internal </w:t>
          </w:r>
          <w:r w:rsidR="00D65223">
            <w:rPr>
              <w:rFonts w:ascii="Arial Unicode MS" w:eastAsia="Arial Unicode MS" w:hAnsi="Arial Unicode MS" w:cs="Arial Unicode MS"/>
              <w:sz w:val="24"/>
              <w:szCs w:val="24"/>
            </w:rPr>
            <w:t>consistency for</w:t>
          </w:r>
          <w:r>
            <w:rPr>
              <w:rFonts w:ascii="Arial Unicode MS" w:eastAsia="Arial Unicode MS" w:hAnsi="Arial Unicode MS" w:cs="Arial Unicode MS"/>
              <w:sz w:val="24"/>
              <w:szCs w:val="24"/>
            </w:rPr>
            <w:t xml:space="preserve"> the compulsive exercise test subscales, measured by McDonald’s omega, was good to excellent (0.80 - 0.95) in a study of female adolescents and adult inpatients to an eating disorder unit [</w:t>
          </w:r>
        </w:sdtContent>
      </w:sdt>
      <w:r>
        <w:rPr>
          <w:rFonts w:ascii="Arial" w:eastAsia="Arial" w:hAnsi="Arial" w:cs="Arial"/>
          <w:highlight w:val="white"/>
        </w:rPr>
        <w:t>18]</w:t>
      </w:r>
      <w:r>
        <w:rPr>
          <w:rFonts w:ascii="Arial" w:eastAsia="Arial" w:hAnsi="Arial" w:cs="Arial"/>
          <w:sz w:val="24"/>
          <w:szCs w:val="24"/>
        </w:rPr>
        <w:t xml:space="preserve">. This measure was completed pre- and post- completed of the NEAT group (Time 1 and Time 2) </w:t>
      </w:r>
    </w:p>
    <w:p w14:paraId="3DCF9C55" w14:textId="77777777" w:rsidR="00122EB2" w:rsidRDefault="00000000">
      <w:pPr>
        <w:rPr>
          <w:rFonts w:ascii="Arial" w:eastAsia="Arial" w:hAnsi="Arial" w:cs="Arial"/>
          <w:i/>
          <w:iCs/>
          <w:sz w:val="24"/>
          <w:szCs w:val="24"/>
        </w:rPr>
      </w:pPr>
      <w:r>
        <w:rPr>
          <w:rFonts w:ascii="Arial" w:eastAsia="Arial" w:hAnsi="Arial" w:cs="Arial"/>
          <w:i/>
          <w:iCs/>
          <w:sz w:val="24"/>
          <w:szCs w:val="24"/>
        </w:rPr>
        <w:t>Eating Disorder Examination Questionnaire (EDE-Q) [19]</w:t>
      </w:r>
    </w:p>
    <w:p w14:paraId="27E59BE6" w14:textId="77777777" w:rsidR="00D65223" w:rsidRDefault="00000000">
      <w:pPr>
        <w:rPr>
          <w:rFonts w:ascii="Arial" w:eastAsia="Arial" w:hAnsi="Arial" w:cs="Arial"/>
          <w:sz w:val="24"/>
          <w:szCs w:val="24"/>
        </w:rPr>
      </w:pPr>
      <w:r>
        <w:rPr>
          <w:rFonts w:ascii="Arial" w:eastAsia="Arial" w:hAnsi="Arial" w:cs="Arial"/>
          <w:sz w:val="24"/>
          <w:szCs w:val="24"/>
        </w:rPr>
        <w:t xml:space="preserve">The EDE-Q is twenty-eight item self-report scale measuring eating disorder symptoms. Participants rate their agreement with statements on a seven-point scale </w:t>
      </w:r>
      <w:r>
        <w:rPr>
          <w:rFonts w:ascii="Arial" w:eastAsia="Arial" w:hAnsi="Arial" w:cs="Arial"/>
          <w:sz w:val="24"/>
          <w:szCs w:val="24"/>
        </w:rPr>
        <w:lastRenderedPageBreak/>
        <w:t xml:space="preserve">ranging from “Not </w:t>
      </w:r>
      <w:proofErr w:type="gramStart"/>
      <w:r>
        <w:rPr>
          <w:rFonts w:ascii="Arial" w:eastAsia="Arial" w:hAnsi="Arial" w:cs="Arial"/>
          <w:sz w:val="24"/>
          <w:szCs w:val="24"/>
        </w:rPr>
        <w:t>At</w:t>
      </w:r>
      <w:proofErr w:type="gramEnd"/>
      <w:r>
        <w:rPr>
          <w:rFonts w:ascii="Arial" w:eastAsia="Arial" w:hAnsi="Arial" w:cs="Arial"/>
          <w:sz w:val="24"/>
          <w:szCs w:val="24"/>
        </w:rPr>
        <w:t xml:space="preserve"> All” to “Every Day” or “Markedly”. The EDE-Q measures four subscales of eating disorder psychopathology: “Dietary Restraint”, “Eating Concern”, “Shape Concern”, and “Weight Concern”. This measure was completed before and after the NEAT group (Time 1 and Time 2). Internal consistency measured by Cronbach’s alpha was excellent (0.96) in a study of adolescent females admitted to an inpatient unit for an eating disorder [20]. </w:t>
      </w:r>
    </w:p>
    <w:p w14:paraId="237DCA77" w14:textId="55E406CC" w:rsidR="00122EB2" w:rsidRPr="00D65223" w:rsidRDefault="00000000">
      <w:pPr>
        <w:rPr>
          <w:rFonts w:ascii="Arial" w:eastAsia="Arial" w:hAnsi="Arial" w:cs="Arial"/>
          <w:sz w:val="24"/>
          <w:szCs w:val="24"/>
        </w:rPr>
      </w:pPr>
      <w:r>
        <w:rPr>
          <w:rFonts w:ascii="Arial" w:eastAsia="Arial" w:hAnsi="Arial" w:cs="Arial"/>
          <w:b/>
          <w:bCs/>
          <w:sz w:val="24"/>
          <w:szCs w:val="24"/>
        </w:rPr>
        <w:t>Procedure</w:t>
      </w:r>
    </w:p>
    <w:p w14:paraId="2BCD0994" w14:textId="77777777" w:rsidR="00122EB2" w:rsidRDefault="00000000">
      <w:pPr>
        <w:rPr>
          <w:rFonts w:ascii="Arial" w:eastAsia="Arial" w:hAnsi="Arial" w:cs="Arial"/>
          <w:sz w:val="24"/>
          <w:szCs w:val="24"/>
        </w:rPr>
      </w:pPr>
      <w:sdt>
        <w:sdtPr>
          <w:tag w:val="goog_rdk_1"/>
          <w:id w:val="1601135518"/>
        </w:sdtPr>
        <w:sdtContent>
          <w:r>
            <w:rPr>
              <w:rFonts w:ascii="Arial Unicode MS" w:eastAsia="Arial Unicode MS" w:hAnsi="Arial Unicode MS" w:cs="Arial Unicode MS"/>
              <w:sz w:val="24"/>
              <w:szCs w:val="24"/>
            </w:rPr>
            <w:t>Patients with a %</w:t>
          </w:r>
          <w:proofErr w:type="spellStart"/>
          <w:r>
            <w:rPr>
              <w:rFonts w:ascii="Arial Unicode MS" w:eastAsia="Arial Unicode MS" w:hAnsi="Arial Unicode MS" w:cs="Arial Unicode MS"/>
              <w:sz w:val="24"/>
              <w:szCs w:val="24"/>
            </w:rPr>
            <w:t>mBMI</w:t>
          </w:r>
          <w:proofErr w:type="spellEnd"/>
          <w:r>
            <w:rPr>
              <w:rFonts w:ascii="Arial Unicode MS" w:eastAsia="Arial Unicode MS" w:hAnsi="Arial Unicode MS" w:cs="Arial Unicode MS"/>
              <w:sz w:val="24"/>
              <w:szCs w:val="24"/>
            </w:rPr>
            <w:t xml:space="preserve"> of at least 75%, were approached by an Assistant Psychologist to introduce the research study and seek consent for participation. For patients under the age of 16, informed parental consent and patient assent was sought, while for patients over 16 only informed patient consent was sought. Patients under 16 did not take part in the study unless both parental consent and patient assent had been received. Once consent had been obtained for ≥6 young people, randomization into either TAU + NEAT or TAU groups took place using an Excel formula. After allocation, all participants completed Time 1 measures. After completion of the 7 weekly NEAT sessions, all participants completed Time 2 measures. </w:t>
          </w:r>
        </w:sdtContent>
      </w:sdt>
    </w:p>
    <w:p w14:paraId="73F53E24" w14:textId="77777777" w:rsidR="00122EB2" w:rsidRDefault="00122EB2">
      <w:pPr>
        <w:rPr>
          <w:rFonts w:ascii="Arial" w:eastAsia="Arial" w:hAnsi="Arial" w:cs="Arial"/>
          <w:sz w:val="24"/>
          <w:szCs w:val="24"/>
        </w:rPr>
      </w:pPr>
    </w:p>
    <w:p w14:paraId="225DE0F1" w14:textId="77777777" w:rsidR="00122EB2" w:rsidRDefault="00000000">
      <w:pPr>
        <w:rPr>
          <w:rFonts w:ascii="Arial" w:eastAsia="Arial" w:hAnsi="Arial" w:cs="Arial"/>
          <w:b/>
          <w:bCs/>
          <w:sz w:val="24"/>
          <w:szCs w:val="24"/>
        </w:rPr>
      </w:pPr>
      <w:r>
        <w:rPr>
          <w:rFonts w:ascii="Arial" w:eastAsia="Arial" w:hAnsi="Arial" w:cs="Arial"/>
          <w:b/>
          <w:bCs/>
          <w:sz w:val="24"/>
          <w:szCs w:val="24"/>
        </w:rPr>
        <w:t xml:space="preserve">Statistical Analyses </w:t>
      </w:r>
    </w:p>
    <w:p w14:paraId="068B4CC1" w14:textId="77777777" w:rsidR="00122EB2" w:rsidRDefault="00000000">
      <w:pPr>
        <w:rPr>
          <w:rFonts w:ascii="Arial" w:eastAsia="Arial" w:hAnsi="Arial" w:cs="Arial"/>
          <w:sz w:val="24"/>
          <w:szCs w:val="24"/>
        </w:rPr>
      </w:pPr>
      <w:r>
        <w:rPr>
          <w:rFonts w:ascii="Arial" w:eastAsia="Arial" w:hAnsi="Arial" w:cs="Arial"/>
          <w:sz w:val="24"/>
          <w:szCs w:val="24"/>
        </w:rPr>
        <w:t xml:space="preserve">Paired t-tests were used to explore changes in compulsive exercise and eating disorder psychopathology following intervention. </w:t>
      </w:r>
    </w:p>
    <w:p w14:paraId="290C3B5E" w14:textId="77777777" w:rsidR="00122EB2" w:rsidRDefault="00000000">
      <w:pPr>
        <w:rPr>
          <w:rFonts w:ascii="Arial" w:eastAsia="Arial" w:hAnsi="Arial" w:cs="Arial"/>
          <w:strike/>
          <w:sz w:val="24"/>
          <w:szCs w:val="24"/>
        </w:rPr>
      </w:pPr>
      <w:r>
        <w:rPr>
          <w:rFonts w:ascii="Arial" w:eastAsia="Arial" w:hAnsi="Arial" w:cs="Arial"/>
          <w:sz w:val="24"/>
          <w:szCs w:val="24"/>
        </w:rPr>
        <w:t xml:space="preserve">A mixed analysis of variance test (ANOVA) was used to examine potential differences in self-reported compulsive exercise at week 1 and week 7 between the treatment groups. A secondary analysis using a mixed ANOVA explored the difference in self-reported eating disorder psychopathology between week 1 and week 7 for the two treatment groups. </w:t>
      </w:r>
    </w:p>
    <w:p w14:paraId="554E41EA" w14:textId="77777777" w:rsidR="00122EB2" w:rsidRDefault="00000000">
      <w:pPr>
        <w:rPr>
          <w:rFonts w:ascii="Arial" w:eastAsia="Arial" w:hAnsi="Arial" w:cs="Arial"/>
          <w:sz w:val="24"/>
          <w:szCs w:val="24"/>
        </w:rPr>
      </w:pPr>
      <w:r>
        <w:rPr>
          <w:rFonts w:ascii="Arial" w:eastAsia="Arial" w:hAnsi="Arial" w:cs="Arial"/>
          <w:sz w:val="24"/>
          <w:szCs w:val="24"/>
        </w:rPr>
        <w:t>The assumptions of normality were assessed using the Shapiro-Wilk test and homogeneity of variance was assessed using the Levene’s test for the equality of error variances.</w:t>
      </w:r>
    </w:p>
    <w:p w14:paraId="364393C3" w14:textId="77777777" w:rsidR="00122EB2" w:rsidRDefault="00122EB2">
      <w:pPr>
        <w:rPr>
          <w:rFonts w:ascii="Arial" w:eastAsia="Arial" w:hAnsi="Arial" w:cs="Arial"/>
          <w:sz w:val="24"/>
          <w:szCs w:val="24"/>
        </w:rPr>
      </w:pPr>
    </w:p>
    <w:p w14:paraId="59886CF1" w14:textId="77777777" w:rsidR="00122EB2" w:rsidRDefault="00000000">
      <w:pPr>
        <w:jc w:val="center"/>
        <w:rPr>
          <w:rFonts w:ascii="Arial" w:eastAsia="Arial" w:hAnsi="Arial" w:cs="Arial"/>
          <w:b/>
          <w:bCs/>
          <w:sz w:val="24"/>
          <w:szCs w:val="24"/>
          <w:u w:val="single"/>
        </w:rPr>
      </w:pPr>
      <w:r>
        <w:rPr>
          <w:rFonts w:ascii="Arial" w:eastAsia="Arial" w:hAnsi="Arial" w:cs="Arial"/>
          <w:b/>
          <w:bCs/>
          <w:sz w:val="24"/>
          <w:szCs w:val="24"/>
          <w:u w:val="single"/>
        </w:rPr>
        <w:t>Results</w:t>
      </w:r>
    </w:p>
    <w:p w14:paraId="61C82FDE" w14:textId="77777777" w:rsidR="00122EB2" w:rsidRDefault="00000000">
      <w:pPr>
        <w:rPr>
          <w:rFonts w:ascii="Arial" w:eastAsia="Arial" w:hAnsi="Arial" w:cs="Arial"/>
          <w:b/>
          <w:bCs/>
          <w:sz w:val="24"/>
          <w:szCs w:val="24"/>
        </w:rPr>
      </w:pPr>
      <w:r>
        <w:rPr>
          <w:rFonts w:ascii="Arial" w:eastAsia="Arial" w:hAnsi="Arial" w:cs="Arial"/>
          <w:b/>
          <w:bCs/>
          <w:sz w:val="24"/>
          <w:szCs w:val="24"/>
        </w:rPr>
        <w:t xml:space="preserve">Participant Characteristics </w:t>
      </w:r>
    </w:p>
    <w:p w14:paraId="57E13B14" w14:textId="0BA8B8D5" w:rsidR="00122EB2" w:rsidRDefault="00000000">
      <w:pPr>
        <w:rPr>
          <w:rFonts w:ascii="Arial" w:eastAsia="Arial" w:hAnsi="Arial" w:cs="Arial"/>
          <w:sz w:val="24"/>
          <w:szCs w:val="24"/>
        </w:rPr>
      </w:pPr>
      <w:r>
        <w:rPr>
          <w:rFonts w:ascii="Arial" w:eastAsia="Arial" w:hAnsi="Arial" w:cs="Arial"/>
          <w:sz w:val="24"/>
          <w:szCs w:val="24"/>
        </w:rPr>
        <w:t xml:space="preserve">Child and adolescent inpatients (n=91) were approached, and of these 75 (73 females, 2 males) consented to participate and were randomised to a treatment condition. The average age of the sample was 15.8 years (SD = 1.5), ranging from </w:t>
      </w:r>
      <w:r>
        <w:rPr>
          <w:rFonts w:ascii="Arial" w:eastAsia="Arial" w:hAnsi="Arial" w:cs="Arial"/>
          <w:sz w:val="24"/>
          <w:szCs w:val="24"/>
        </w:rPr>
        <w:lastRenderedPageBreak/>
        <w:t xml:space="preserve">12 to 17. Despite inclusion criteria accepting participants with any DSM-5 eating disorder diagnosis, all participants had a diagnosis of Anorexia Nervosa or Atypical Anorexia.  Five of the sample had a co-morbid diagnosis of </w:t>
      </w:r>
      <w:r w:rsidR="00D65223">
        <w:rPr>
          <w:rFonts w:ascii="Arial" w:eastAsia="Arial" w:hAnsi="Arial" w:cs="Arial"/>
          <w:sz w:val="24"/>
          <w:szCs w:val="24"/>
        </w:rPr>
        <w:t>autism spectrum disorder</w:t>
      </w:r>
      <w:r>
        <w:rPr>
          <w:rFonts w:ascii="Arial" w:eastAsia="Arial" w:hAnsi="Arial" w:cs="Arial"/>
          <w:sz w:val="24"/>
          <w:szCs w:val="24"/>
        </w:rPr>
        <w:t xml:space="preserve"> (7%) and two had co-morbid </w:t>
      </w:r>
      <w:r w:rsidR="006D70A6">
        <w:rPr>
          <w:rFonts w:ascii="Arial" w:eastAsia="Arial" w:hAnsi="Arial" w:cs="Arial"/>
          <w:sz w:val="24"/>
          <w:szCs w:val="24"/>
        </w:rPr>
        <w:t>obsessive-compulsive</w:t>
      </w:r>
      <w:r w:rsidR="00917760">
        <w:rPr>
          <w:rFonts w:ascii="Arial" w:eastAsia="Arial" w:hAnsi="Arial" w:cs="Arial"/>
          <w:sz w:val="24"/>
          <w:szCs w:val="24"/>
        </w:rPr>
        <w:t xml:space="preserve"> disorder</w:t>
      </w:r>
      <w:r>
        <w:rPr>
          <w:rFonts w:ascii="Arial" w:eastAsia="Arial" w:hAnsi="Arial" w:cs="Arial"/>
          <w:sz w:val="24"/>
          <w:szCs w:val="24"/>
        </w:rPr>
        <w:t xml:space="preserve"> (3%). As part of TAU, 32 received Psychotherapy (42%), 29 received CBT-E (38%), 10 received Art Therapy (13%), 1 underwent extended assessment and formulation work (1%), and 3 were not engaged in individual therapy (4%). 41 participants were randomised to the NEAT+TAU condition and 34 were allocated to TAU condition. Participants waited an average of 23 days between giving consent and starting the group rotation. Of this recruited sample, 24 (32%) did not complete the study. Reasons for non-completion included discharge prior to group completion (n=9), consent withdrawn from research (n=3), withdrawal from the NEAT group (n=4), withdrawal due to non-appropriateness for the group (n=1), and a group rotation being interrupted by a national lockdown due to COVID-19 (n=7). As a result, 51 participants completed the study: 27 in the NEAT+TAU condition and 24 in the TAU condition. %</w:t>
      </w:r>
      <w:proofErr w:type="spellStart"/>
      <w:r>
        <w:rPr>
          <w:rFonts w:ascii="Arial" w:eastAsia="Arial" w:hAnsi="Arial" w:cs="Arial"/>
          <w:sz w:val="24"/>
          <w:szCs w:val="24"/>
        </w:rPr>
        <w:t>mBMI</w:t>
      </w:r>
      <w:proofErr w:type="spellEnd"/>
      <w:r>
        <w:rPr>
          <w:rFonts w:ascii="Arial" w:eastAsia="Arial" w:hAnsi="Arial" w:cs="Arial"/>
          <w:sz w:val="24"/>
          <w:szCs w:val="24"/>
        </w:rPr>
        <w:t xml:space="preserve"> was collected for these participants at both time points (see Table 1).</w:t>
      </w:r>
    </w:p>
    <w:p w14:paraId="76A44986" w14:textId="77777777" w:rsidR="00122EB2" w:rsidRDefault="00122EB2">
      <w:pPr>
        <w:rPr>
          <w:rFonts w:ascii="Arial" w:eastAsia="Arial" w:hAnsi="Arial" w:cs="Arial"/>
          <w:sz w:val="24"/>
          <w:szCs w:val="24"/>
        </w:rPr>
      </w:pPr>
    </w:p>
    <w:sdt>
      <w:sdtPr>
        <w:tag w:val="goog_rdk_2"/>
        <w:id w:val="-2050506722"/>
        <w:lock w:val="contentLocked"/>
      </w:sdtPr>
      <w:sdtContent>
        <w:tbl>
          <w:tblPr>
            <w:tblStyle w:val="ac"/>
            <w:tblW w:w="6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005"/>
            <w:gridCol w:w="1005"/>
            <w:gridCol w:w="495"/>
            <w:gridCol w:w="960"/>
            <w:gridCol w:w="1560"/>
          </w:tblGrid>
          <w:tr w:rsidR="00122EB2" w14:paraId="486BF512" w14:textId="77777777">
            <w:trPr>
              <w:trHeight w:val="440"/>
            </w:trPr>
            <w:tc>
              <w:tcPr>
                <w:tcW w:w="6030" w:type="dxa"/>
                <w:gridSpan w:val="6"/>
                <w:tcMar>
                  <w:top w:w="100" w:type="dxa"/>
                  <w:left w:w="100" w:type="dxa"/>
                  <w:bottom w:w="100" w:type="dxa"/>
                  <w:right w:w="100" w:type="dxa"/>
                </w:tcMar>
              </w:tcPr>
              <w:p w14:paraId="17A5A307"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Table 1: %mBMI by experimental condition </w:t>
                </w:r>
              </w:p>
            </w:tc>
          </w:tr>
          <w:tr w:rsidR="00122EB2" w14:paraId="7100EEF4" w14:textId="77777777">
            <w:trPr>
              <w:trHeight w:val="440"/>
            </w:trPr>
            <w:tc>
              <w:tcPr>
                <w:tcW w:w="1005" w:type="dxa"/>
                <w:tcMar>
                  <w:top w:w="100" w:type="dxa"/>
                  <w:left w:w="100" w:type="dxa"/>
                  <w:bottom w:w="100" w:type="dxa"/>
                  <w:right w:w="100" w:type="dxa"/>
                </w:tcMar>
              </w:tcPr>
              <w:p w14:paraId="70A58FD9"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Time Point </w:t>
                </w:r>
              </w:p>
            </w:tc>
            <w:tc>
              <w:tcPr>
                <w:tcW w:w="2010" w:type="dxa"/>
                <w:gridSpan w:val="2"/>
                <w:tcMar>
                  <w:top w:w="100" w:type="dxa"/>
                  <w:left w:w="100" w:type="dxa"/>
                  <w:bottom w:w="100" w:type="dxa"/>
                  <w:right w:w="100" w:type="dxa"/>
                </w:tcMar>
              </w:tcPr>
              <w:p w14:paraId="1A8C6FA5"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NEAT +TAU (n=27)</w:t>
                </w:r>
              </w:p>
            </w:tc>
            <w:tc>
              <w:tcPr>
                <w:tcW w:w="495" w:type="dxa"/>
                <w:tcMar>
                  <w:top w:w="100" w:type="dxa"/>
                  <w:left w:w="100" w:type="dxa"/>
                  <w:bottom w:w="100" w:type="dxa"/>
                  <w:right w:w="100" w:type="dxa"/>
                </w:tcMar>
              </w:tcPr>
              <w:p w14:paraId="18A3D181" w14:textId="77777777" w:rsidR="00122EB2" w:rsidRDefault="00122EB2">
                <w:pPr>
                  <w:widowControl w:val="0"/>
                  <w:pBdr>
                    <w:top w:val="nil"/>
                    <w:left w:val="nil"/>
                    <w:bottom w:val="nil"/>
                    <w:right w:val="nil"/>
                    <w:between w:val="nil"/>
                  </w:pBdr>
                  <w:spacing w:after="0" w:line="240" w:lineRule="auto"/>
                  <w:rPr>
                    <w:rFonts w:ascii="Arial" w:eastAsia="Arial" w:hAnsi="Arial" w:cs="Arial"/>
                    <w:sz w:val="24"/>
                    <w:szCs w:val="24"/>
                  </w:rPr>
                </w:pPr>
              </w:p>
            </w:tc>
            <w:tc>
              <w:tcPr>
                <w:tcW w:w="2520" w:type="dxa"/>
                <w:gridSpan w:val="2"/>
                <w:tcMar>
                  <w:top w:w="100" w:type="dxa"/>
                  <w:left w:w="100" w:type="dxa"/>
                  <w:bottom w:w="100" w:type="dxa"/>
                  <w:right w:w="100" w:type="dxa"/>
                </w:tcMar>
              </w:tcPr>
              <w:p w14:paraId="5FA8FD0E" w14:textId="77777777" w:rsidR="00122EB2" w:rsidRDefault="00000000">
                <w:pPr>
                  <w:widowControl w:val="0"/>
                  <w:spacing w:after="0" w:line="240" w:lineRule="auto"/>
                  <w:rPr>
                    <w:rFonts w:ascii="Arial" w:eastAsia="Arial" w:hAnsi="Arial" w:cs="Arial"/>
                    <w:sz w:val="24"/>
                    <w:szCs w:val="24"/>
                  </w:rPr>
                </w:pPr>
                <w:r>
                  <w:rPr>
                    <w:rFonts w:ascii="Arial" w:eastAsia="Arial" w:hAnsi="Arial" w:cs="Arial"/>
                    <w:sz w:val="24"/>
                    <w:szCs w:val="24"/>
                  </w:rPr>
                  <w:t>TAU (n=24)</w:t>
                </w:r>
              </w:p>
            </w:tc>
          </w:tr>
          <w:tr w:rsidR="00122EB2" w14:paraId="47EDED51" w14:textId="77777777">
            <w:tc>
              <w:tcPr>
                <w:tcW w:w="1005" w:type="dxa"/>
                <w:tcMar>
                  <w:top w:w="100" w:type="dxa"/>
                  <w:left w:w="100" w:type="dxa"/>
                  <w:bottom w:w="100" w:type="dxa"/>
                  <w:right w:w="100" w:type="dxa"/>
                </w:tcMar>
              </w:tcPr>
              <w:p w14:paraId="4BDC03EC" w14:textId="77777777" w:rsidR="00122EB2" w:rsidRDefault="00122EB2">
                <w:pPr>
                  <w:widowControl w:val="0"/>
                  <w:pBdr>
                    <w:top w:val="nil"/>
                    <w:left w:val="nil"/>
                    <w:bottom w:val="nil"/>
                    <w:right w:val="nil"/>
                    <w:between w:val="nil"/>
                  </w:pBdr>
                  <w:spacing w:after="0" w:line="240" w:lineRule="auto"/>
                  <w:rPr>
                    <w:rFonts w:ascii="Arial" w:eastAsia="Arial" w:hAnsi="Arial" w:cs="Arial"/>
                    <w:sz w:val="24"/>
                    <w:szCs w:val="24"/>
                  </w:rPr>
                </w:pPr>
              </w:p>
            </w:tc>
            <w:tc>
              <w:tcPr>
                <w:tcW w:w="1005" w:type="dxa"/>
                <w:tcMar>
                  <w:top w:w="100" w:type="dxa"/>
                  <w:left w:w="100" w:type="dxa"/>
                  <w:bottom w:w="100" w:type="dxa"/>
                  <w:right w:w="100" w:type="dxa"/>
                </w:tcMar>
              </w:tcPr>
              <w:p w14:paraId="528F432F"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M</w:t>
                </w:r>
              </w:p>
            </w:tc>
            <w:tc>
              <w:tcPr>
                <w:tcW w:w="1005" w:type="dxa"/>
                <w:tcMar>
                  <w:top w:w="100" w:type="dxa"/>
                  <w:left w:w="100" w:type="dxa"/>
                  <w:bottom w:w="100" w:type="dxa"/>
                  <w:right w:w="100" w:type="dxa"/>
                </w:tcMar>
              </w:tcPr>
              <w:p w14:paraId="5D1142BB"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SD</w:t>
                </w:r>
              </w:p>
            </w:tc>
            <w:tc>
              <w:tcPr>
                <w:tcW w:w="495" w:type="dxa"/>
                <w:tcMar>
                  <w:top w:w="100" w:type="dxa"/>
                  <w:left w:w="100" w:type="dxa"/>
                  <w:bottom w:w="100" w:type="dxa"/>
                  <w:right w:w="100" w:type="dxa"/>
                </w:tcMar>
              </w:tcPr>
              <w:p w14:paraId="7A39E5E8" w14:textId="77777777" w:rsidR="00122EB2" w:rsidRDefault="00122EB2">
                <w:pPr>
                  <w:widowControl w:val="0"/>
                  <w:pBdr>
                    <w:top w:val="nil"/>
                    <w:left w:val="nil"/>
                    <w:bottom w:val="nil"/>
                    <w:right w:val="nil"/>
                    <w:between w:val="nil"/>
                  </w:pBdr>
                  <w:spacing w:after="0" w:line="240" w:lineRule="auto"/>
                  <w:rPr>
                    <w:rFonts w:ascii="Arial" w:eastAsia="Arial" w:hAnsi="Arial" w:cs="Arial"/>
                    <w:sz w:val="24"/>
                    <w:szCs w:val="24"/>
                  </w:rPr>
                </w:pPr>
              </w:p>
            </w:tc>
            <w:tc>
              <w:tcPr>
                <w:tcW w:w="960" w:type="dxa"/>
                <w:tcMar>
                  <w:top w:w="100" w:type="dxa"/>
                  <w:left w:w="100" w:type="dxa"/>
                  <w:bottom w:w="100" w:type="dxa"/>
                  <w:right w:w="100" w:type="dxa"/>
                </w:tcMar>
              </w:tcPr>
              <w:p w14:paraId="1A35FDA7" w14:textId="77777777" w:rsidR="00122EB2" w:rsidRDefault="00000000">
                <w:pPr>
                  <w:widowControl w:val="0"/>
                  <w:spacing w:after="0" w:line="240" w:lineRule="auto"/>
                  <w:rPr>
                    <w:rFonts w:ascii="Arial" w:eastAsia="Arial" w:hAnsi="Arial" w:cs="Arial"/>
                    <w:sz w:val="24"/>
                    <w:szCs w:val="24"/>
                  </w:rPr>
                </w:pPr>
                <w:r>
                  <w:rPr>
                    <w:rFonts w:ascii="Arial" w:eastAsia="Arial" w:hAnsi="Arial" w:cs="Arial"/>
                    <w:sz w:val="24"/>
                    <w:szCs w:val="24"/>
                  </w:rPr>
                  <w:t>M</w:t>
                </w:r>
              </w:p>
            </w:tc>
            <w:tc>
              <w:tcPr>
                <w:tcW w:w="1560" w:type="dxa"/>
                <w:tcMar>
                  <w:top w:w="100" w:type="dxa"/>
                  <w:left w:w="100" w:type="dxa"/>
                  <w:bottom w:w="100" w:type="dxa"/>
                  <w:right w:w="100" w:type="dxa"/>
                </w:tcMar>
              </w:tcPr>
              <w:p w14:paraId="2450B9A0" w14:textId="77777777" w:rsidR="00122EB2" w:rsidRDefault="00000000">
                <w:pPr>
                  <w:widowControl w:val="0"/>
                  <w:spacing w:after="0" w:line="240" w:lineRule="auto"/>
                  <w:rPr>
                    <w:rFonts w:ascii="Arial" w:eastAsia="Arial" w:hAnsi="Arial" w:cs="Arial"/>
                    <w:sz w:val="24"/>
                    <w:szCs w:val="24"/>
                  </w:rPr>
                </w:pPr>
                <w:r>
                  <w:rPr>
                    <w:rFonts w:ascii="Arial" w:eastAsia="Arial" w:hAnsi="Arial" w:cs="Arial"/>
                    <w:sz w:val="24"/>
                    <w:szCs w:val="24"/>
                  </w:rPr>
                  <w:t>SD</w:t>
                </w:r>
              </w:p>
            </w:tc>
          </w:tr>
          <w:tr w:rsidR="00122EB2" w14:paraId="0E22E20C" w14:textId="77777777">
            <w:tc>
              <w:tcPr>
                <w:tcW w:w="1005" w:type="dxa"/>
                <w:tcMar>
                  <w:top w:w="100" w:type="dxa"/>
                  <w:left w:w="100" w:type="dxa"/>
                  <w:bottom w:w="100" w:type="dxa"/>
                  <w:right w:w="100" w:type="dxa"/>
                </w:tcMar>
              </w:tcPr>
              <w:p w14:paraId="0DB60D20"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1</w:t>
                </w:r>
              </w:p>
            </w:tc>
            <w:tc>
              <w:tcPr>
                <w:tcW w:w="1005" w:type="dxa"/>
                <w:tcMar>
                  <w:top w:w="100" w:type="dxa"/>
                  <w:left w:w="100" w:type="dxa"/>
                  <w:bottom w:w="100" w:type="dxa"/>
                  <w:right w:w="100" w:type="dxa"/>
                </w:tcMar>
              </w:tcPr>
              <w:p w14:paraId="1C225028"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85.00</w:t>
                </w:r>
              </w:p>
            </w:tc>
            <w:tc>
              <w:tcPr>
                <w:tcW w:w="1005" w:type="dxa"/>
                <w:tcMar>
                  <w:top w:w="100" w:type="dxa"/>
                  <w:left w:w="100" w:type="dxa"/>
                  <w:bottom w:w="100" w:type="dxa"/>
                  <w:right w:w="100" w:type="dxa"/>
                </w:tcMar>
              </w:tcPr>
              <w:p w14:paraId="6B69C59A"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8.04</w:t>
                </w:r>
              </w:p>
            </w:tc>
            <w:tc>
              <w:tcPr>
                <w:tcW w:w="495" w:type="dxa"/>
                <w:tcMar>
                  <w:top w:w="100" w:type="dxa"/>
                  <w:left w:w="100" w:type="dxa"/>
                  <w:bottom w:w="100" w:type="dxa"/>
                  <w:right w:w="100" w:type="dxa"/>
                </w:tcMar>
              </w:tcPr>
              <w:p w14:paraId="53CE9231" w14:textId="77777777" w:rsidR="00122EB2" w:rsidRDefault="00122EB2">
                <w:pPr>
                  <w:widowControl w:val="0"/>
                  <w:pBdr>
                    <w:top w:val="nil"/>
                    <w:left w:val="nil"/>
                    <w:bottom w:val="nil"/>
                    <w:right w:val="nil"/>
                    <w:between w:val="nil"/>
                  </w:pBdr>
                  <w:spacing w:after="0" w:line="240" w:lineRule="auto"/>
                  <w:rPr>
                    <w:rFonts w:ascii="Arial" w:eastAsia="Arial" w:hAnsi="Arial" w:cs="Arial"/>
                    <w:sz w:val="24"/>
                    <w:szCs w:val="24"/>
                  </w:rPr>
                </w:pPr>
              </w:p>
            </w:tc>
            <w:tc>
              <w:tcPr>
                <w:tcW w:w="960" w:type="dxa"/>
                <w:tcMar>
                  <w:top w:w="100" w:type="dxa"/>
                  <w:left w:w="100" w:type="dxa"/>
                  <w:bottom w:w="100" w:type="dxa"/>
                  <w:right w:w="100" w:type="dxa"/>
                </w:tcMar>
              </w:tcPr>
              <w:p w14:paraId="36CB3532"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85.77</w:t>
                </w:r>
              </w:p>
            </w:tc>
            <w:tc>
              <w:tcPr>
                <w:tcW w:w="1560" w:type="dxa"/>
                <w:tcMar>
                  <w:top w:w="100" w:type="dxa"/>
                  <w:left w:w="100" w:type="dxa"/>
                  <w:bottom w:w="100" w:type="dxa"/>
                  <w:right w:w="100" w:type="dxa"/>
                </w:tcMar>
              </w:tcPr>
              <w:p w14:paraId="2CC49F60"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6.79</w:t>
                </w:r>
              </w:p>
            </w:tc>
          </w:tr>
          <w:tr w:rsidR="00122EB2" w14:paraId="649CDA1B" w14:textId="77777777">
            <w:tc>
              <w:tcPr>
                <w:tcW w:w="1005" w:type="dxa"/>
                <w:tcMar>
                  <w:top w:w="100" w:type="dxa"/>
                  <w:left w:w="100" w:type="dxa"/>
                  <w:bottom w:w="100" w:type="dxa"/>
                  <w:right w:w="100" w:type="dxa"/>
                </w:tcMar>
              </w:tcPr>
              <w:p w14:paraId="6B46945D"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2</w:t>
                </w:r>
              </w:p>
            </w:tc>
            <w:tc>
              <w:tcPr>
                <w:tcW w:w="1005" w:type="dxa"/>
                <w:tcMar>
                  <w:top w:w="100" w:type="dxa"/>
                  <w:left w:w="100" w:type="dxa"/>
                  <w:bottom w:w="100" w:type="dxa"/>
                  <w:right w:w="100" w:type="dxa"/>
                </w:tcMar>
              </w:tcPr>
              <w:p w14:paraId="0DB6A1DC"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93.23</w:t>
                </w:r>
              </w:p>
            </w:tc>
            <w:tc>
              <w:tcPr>
                <w:tcW w:w="1005" w:type="dxa"/>
                <w:tcMar>
                  <w:top w:w="100" w:type="dxa"/>
                  <w:left w:w="100" w:type="dxa"/>
                  <w:bottom w:w="100" w:type="dxa"/>
                  <w:right w:w="100" w:type="dxa"/>
                </w:tcMar>
              </w:tcPr>
              <w:p w14:paraId="326C21F4"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6.39</w:t>
                </w:r>
              </w:p>
            </w:tc>
            <w:tc>
              <w:tcPr>
                <w:tcW w:w="495" w:type="dxa"/>
                <w:tcMar>
                  <w:top w:w="100" w:type="dxa"/>
                  <w:left w:w="100" w:type="dxa"/>
                  <w:bottom w:w="100" w:type="dxa"/>
                  <w:right w:w="100" w:type="dxa"/>
                </w:tcMar>
              </w:tcPr>
              <w:p w14:paraId="795F6DD8" w14:textId="77777777" w:rsidR="00122EB2" w:rsidRDefault="00122EB2">
                <w:pPr>
                  <w:widowControl w:val="0"/>
                  <w:pBdr>
                    <w:top w:val="nil"/>
                    <w:left w:val="nil"/>
                    <w:bottom w:val="nil"/>
                    <w:right w:val="nil"/>
                    <w:between w:val="nil"/>
                  </w:pBdr>
                  <w:spacing w:after="0" w:line="240" w:lineRule="auto"/>
                  <w:rPr>
                    <w:rFonts w:ascii="Arial" w:eastAsia="Arial" w:hAnsi="Arial" w:cs="Arial"/>
                    <w:sz w:val="24"/>
                    <w:szCs w:val="24"/>
                  </w:rPr>
                </w:pPr>
              </w:p>
            </w:tc>
            <w:tc>
              <w:tcPr>
                <w:tcW w:w="960" w:type="dxa"/>
                <w:tcMar>
                  <w:top w:w="100" w:type="dxa"/>
                  <w:left w:w="100" w:type="dxa"/>
                  <w:bottom w:w="100" w:type="dxa"/>
                  <w:right w:w="100" w:type="dxa"/>
                </w:tcMar>
              </w:tcPr>
              <w:p w14:paraId="5D06005C"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93.97</w:t>
                </w:r>
              </w:p>
            </w:tc>
            <w:tc>
              <w:tcPr>
                <w:tcW w:w="1560" w:type="dxa"/>
                <w:tcMar>
                  <w:top w:w="100" w:type="dxa"/>
                  <w:left w:w="100" w:type="dxa"/>
                  <w:bottom w:w="100" w:type="dxa"/>
                  <w:right w:w="100" w:type="dxa"/>
                </w:tcMar>
              </w:tcPr>
              <w:p w14:paraId="4A48C43B" w14:textId="77777777" w:rsidR="00122EB2" w:rsidRDefault="00000000">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5.95</w:t>
                </w:r>
              </w:p>
            </w:tc>
          </w:tr>
        </w:tbl>
      </w:sdtContent>
    </w:sdt>
    <w:p w14:paraId="7068335E" w14:textId="77777777" w:rsidR="00122EB2" w:rsidRDefault="00122EB2">
      <w:pPr>
        <w:rPr>
          <w:rFonts w:ascii="Arial" w:eastAsia="Arial" w:hAnsi="Arial" w:cs="Arial"/>
          <w:sz w:val="24"/>
          <w:szCs w:val="24"/>
        </w:rPr>
      </w:pPr>
    </w:p>
    <w:p w14:paraId="68879D20" w14:textId="77777777" w:rsidR="00122EB2" w:rsidRDefault="00122EB2">
      <w:pPr>
        <w:rPr>
          <w:rFonts w:ascii="Arial" w:eastAsia="Arial" w:hAnsi="Arial" w:cs="Arial"/>
          <w:sz w:val="24"/>
          <w:szCs w:val="24"/>
        </w:rPr>
      </w:pPr>
    </w:p>
    <w:p w14:paraId="35A3B7C2" w14:textId="77777777" w:rsidR="00122EB2" w:rsidRDefault="00000000">
      <w:pPr>
        <w:rPr>
          <w:rFonts w:ascii="Arial" w:eastAsia="Arial" w:hAnsi="Arial" w:cs="Arial"/>
          <w:b/>
          <w:bCs/>
          <w:sz w:val="24"/>
          <w:szCs w:val="24"/>
        </w:rPr>
      </w:pPr>
      <w:r>
        <w:rPr>
          <w:rFonts w:ascii="Arial" w:eastAsia="Arial" w:hAnsi="Arial" w:cs="Arial"/>
          <w:b/>
          <w:bCs/>
          <w:sz w:val="24"/>
          <w:szCs w:val="24"/>
        </w:rPr>
        <w:t>Changes in self-reported compulsive exercise following intervention.</w:t>
      </w:r>
    </w:p>
    <w:p w14:paraId="64CD4CDD" w14:textId="5C5A2199" w:rsidR="00122EB2" w:rsidRDefault="00000000">
      <w:pPr>
        <w:rPr>
          <w:rFonts w:ascii="Arial" w:eastAsia="Arial" w:hAnsi="Arial" w:cs="Arial"/>
          <w:sz w:val="24"/>
          <w:szCs w:val="24"/>
        </w:rPr>
      </w:pPr>
      <w:r>
        <w:rPr>
          <w:rFonts w:ascii="Arial" w:eastAsia="Arial" w:hAnsi="Arial" w:cs="Arial"/>
          <w:sz w:val="24"/>
          <w:szCs w:val="24"/>
        </w:rPr>
        <w:t xml:space="preserve">Paired t-tests were used to explore the differences in self-reported compulsive exercise following each intervention. Participants in both the NEAT+TAU and TAU interventions saw significant decreases in total compulsive exercise. The NEAT+TAU group saw significant reductions in all subscales </w:t>
      </w:r>
      <w:r w:rsidR="00D65223">
        <w:rPr>
          <w:rFonts w:ascii="Arial" w:eastAsia="Arial" w:hAnsi="Arial" w:cs="Arial"/>
          <w:sz w:val="24"/>
          <w:szCs w:val="24"/>
        </w:rPr>
        <w:t>except for</w:t>
      </w:r>
      <w:r>
        <w:rPr>
          <w:rFonts w:ascii="Arial" w:eastAsia="Arial" w:hAnsi="Arial" w:cs="Arial"/>
          <w:sz w:val="24"/>
          <w:szCs w:val="24"/>
        </w:rPr>
        <w:t xml:space="preserve"> ‘Mood Improvement’, while the TAU group saw significant reductions in most subscales, with the ‘Mood Improvement’ and ‘Lack of Exercise Enjoyment’ subscales showing no significant change (see tables 2 and 3).</w:t>
      </w:r>
    </w:p>
    <w:p w14:paraId="330AADC0" w14:textId="77777777" w:rsidR="00122EB2" w:rsidRDefault="00122EB2">
      <w:pPr>
        <w:rPr>
          <w:rFonts w:ascii="Arial" w:eastAsia="Arial" w:hAnsi="Arial" w:cs="Arial"/>
          <w:sz w:val="24"/>
          <w:szCs w:val="24"/>
        </w:rPr>
      </w:pPr>
    </w:p>
    <w:p w14:paraId="3BB87511" w14:textId="77777777" w:rsidR="00122EB2" w:rsidRDefault="00122EB2">
      <w:pPr>
        <w:rPr>
          <w:rFonts w:ascii="Arial" w:eastAsia="Arial" w:hAnsi="Arial" w:cs="Arial"/>
          <w:sz w:val="24"/>
          <w:szCs w:val="24"/>
        </w:rPr>
      </w:pPr>
    </w:p>
    <w:p w14:paraId="2E6FF09B" w14:textId="77777777" w:rsidR="00122EB2" w:rsidRDefault="00122EB2">
      <w:pPr>
        <w:rPr>
          <w:rFonts w:ascii="Arial" w:eastAsia="Arial" w:hAnsi="Arial" w:cs="Arial"/>
          <w:sz w:val="24"/>
          <w:szCs w:val="24"/>
        </w:rPr>
      </w:pPr>
    </w:p>
    <w:p w14:paraId="176E4593" w14:textId="77777777" w:rsidR="00122EB2" w:rsidRDefault="00122EB2">
      <w:pPr>
        <w:rPr>
          <w:rFonts w:ascii="Arial" w:eastAsia="Arial" w:hAnsi="Arial" w:cs="Arial"/>
          <w:sz w:val="24"/>
          <w:szCs w:val="24"/>
        </w:rPr>
      </w:pPr>
    </w:p>
    <w:p w14:paraId="7C6FD504" w14:textId="77777777" w:rsidR="00122EB2" w:rsidRDefault="00122EB2">
      <w:pPr>
        <w:rPr>
          <w:rFonts w:ascii="Arial" w:eastAsia="Arial" w:hAnsi="Arial" w:cs="Arial"/>
          <w:sz w:val="24"/>
          <w:szCs w:val="24"/>
        </w:rPr>
      </w:pPr>
    </w:p>
    <w:p w14:paraId="694BF8A1" w14:textId="77777777" w:rsidR="00122EB2" w:rsidRDefault="00122EB2">
      <w:pPr>
        <w:rPr>
          <w:rFonts w:ascii="Arial" w:eastAsia="Arial" w:hAnsi="Arial" w:cs="Arial"/>
          <w:sz w:val="24"/>
          <w:szCs w:val="24"/>
        </w:rPr>
      </w:pPr>
    </w:p>
    <w:p w14:paraId="228E3432" w14:textId="77777777" w:rsidR="00122EB2" w:rsidRDefault="00122EB2">
      <w:pPr>
        <w:rPr>
          <w:rFonts w:ascii="Arial" w:eastAsia="Arial" w:hAnsi="Arial" w:cs="Arial"/>
          <w:sz w:val="24"/>
          <w:szCs w:val="24"/>
        </w:rPr>
      </w:pPr>
    </w:p>
    <w:p w14:paraId="40DE5843" w14:textId="77777777" w:rsidR="00122EB2" w:rsidRDefault="00122EB2">
      <w:pPr>
        <w:rPr>
          <w:rFonts w:ascii="Arial" w:eastAsia="Arial" w:hAnsi="Arial" w:cs="Arial"/>
          <w:sz w:val="24"/>
          <w:szCs w:val="24"/>
        </w:rPr>
      </w:pPr>
    </w:p>
    <w:tbl>
      <w:tblPr>
        <w:tblStyle w:val="ad"/>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945"/>
        <w:gridCol w:w="735"/>
        <w:gridCol w:w="885"/>
        <w:gridCol w:w="705"/>
        <w:gridCol w:w="1005"/>
        <w:gridCol w:w="720"/>
        <w:gridCol w:w="735"/>
        <w:gridCol w:w="1035"/>
      </w:tblGrid>
      <w:tr w:rsidR="00122EB2" w14:paraId="1814E7E0" w14:textId="77777777">
        <w:tc>
          <w:tcPr>
            <w:tcW w:w="9495" w:type="dxa"/>
            <w:gridSpan w:val="9"/>
            <w:tcBorders>
              <w:bottom w:val="single" w:sz="4" w:space="0" w:color="000000"/>
            </w:tcBorders>
          </w:tcPr>
          <w:p w14:paraId="2CECEB8A" w14:textId="77777777" w:rsidR="00122EB2" w:rsidRDefault="00000000">
            <w:pPr>
              <w:rPr>
                <w:rFonts w:ascii="Arial" w:eastAsia="Arial" w:hAnsi="Arial" w:cs="Arial"/>
                <w:sz w:val="24"/>
                <w:szCs w:val="24"/>
              </w:rPr>
            </w:pPr>
            <w:r>
              <w:rPr>
                <w:rFonts w:ascii="Arial" w:eastAsia="Arial" w:hAnsi="Arial" w:cs="Arial"/>
                <w:b/>
                <w:bCs/>
                <w:sz w:val="24"/>
                <w:szCs w:val="24"/>
              </w:rPr>
              <w:t>Table 2</w:t>
            </w:r>
            <w:r>
              <w:rPr>
                <w:rFonts w:ascii="Arial" w:eastAsia="Arial" w:hAnsi="Arial" w:cs="Arial"/>
                <w:sz w:val="24"/>
                <w:szCs w:val="24"/>
              </w:rPr>
              <w:t xml:space="preserve"> Mean, Standard Deviation and Change of total CET and CET subscales in NEAT+TAU group</w:t>
            </w:r>
          </w:p>
        </w:tc>
      </w:tr>
      <w:tr w:rsidR="00122EB2" w14:paraId="0BA4324C" w14:textId="77777777">
        <w:trPr>
          <w:trHeight w:val="389"/>
        </w:trPr>
        <w:tc>
          <w:tcPr>
            <w:tcW w:w="2730" w:type="dxa"/>
            <w:tcBorders>
              <w:bottom w:val="single" w:sz="4" w:space="0" w:color="000000"/>
              <w:right w:val="nil"/>
            </w:tcBorders>
          </w:tcPr>
          <w:p w14:paraId="75102E93" w14:textId="77777777" w:rsidR="00122EB2" w:rsidRDefault="00122EB2">
            <w:pPr>
              <w:rPr>
                <w:rFonts w:ascii="Arial" w:eastAsia="Arial" w:hAnsi="Arial" w:cs="Arial"/>
                <w:sz w:val="24"/>
                <w:szCs w:val="24"/>
              </w:rPr>
            </w:pPr>
          </w:p>
        </w:tc>
        <w:tc>
          <w:tcPr>
            <w:tcW w:w="1680" w:type="dxa"/>
            <w:gridSpan w:val="2"/>
            <w:tcBorders>
              <w:left w:val="nil"/>
              <w:bottom w:val="single" w:sz="4" w:space="0" w:color="000000"/>
              <w:right w:val="nil"/>
            </w:tcBorders>
          </w:tcPr>
          <w:p w14:paraId="08D7B212" w14:textId="77777777" w:rsidR="00122EB2" w:rsidRDefault="00000000">
            <w:pPr>
              <w:rPr>
                <w:rFonts w:ascii="Arial" w:eastAsia="Arial" w:hAnsi="Arial" w:cs="Arial"/>
                <w:sz w:val="24"/>
                <w:szCs w:val="24"/>
              </w:rPr>
            </w:pPr>
            <w:r>
              <w:rPr>
                <w:rFonts w:ascii="Arial" w:eastAsia="Arial" w:hAnsi="Arial" w:cs="Arial"/>
                <w:sz w:val="24"/>
                <w:szCs w:val="24"/>
              </w:rPr>
              <w:t>T1</w:t>
            </w:r>
          </w:p>
        </w:tc>
        <w:tc>
          <w:tcPr>
            <w:tcW w:w="1590" w:type="dxa"/>
            <w:gridSpan w:val="2"/>
            <w:tcBorders>
              <w:left w:val="nil"/>
              <w:bottom w:val="single" w:sz="4" w:space="0" w:color="000000"/>
              <w:right w:val="nil"/>
            </w:tcBorders>
          </w:tcPr>
          <w:p w14:paraId="55D708F8" w14:textId="77777777" w:rsidR="00122EB2" w:rsidRDefault="00000000">
            <w:pPr>
              <w:rPr>
                <w:rFonts w:ascii="Arial" w:eastAsia="Arial" w:hAnsi="Arial" w:cs="Arial"/>
                <w:sz w:val="24"/>
                <w:szCs w:val="24"/>
              </w:rPr>
            </w:pPr>
            <w:r>
              <w:rPr>
                <w:rFonts w:ascii="Arial" w:eastAsia="Arial" w:hAnsi="Arial" w:cs="Arial"/>
                <w:sz w:val="24"/>
                <w:szCs w:val="24"/>
              </w:rPr>
              <w:t>T2</w:t>
            </w:r>
          </w:p>
        </w:tc>
        <w:tc>
          <w:tcPr>
            <w:tcW w:w="3495" w:type="dxa"/>
            <w:gridSpan w:val="4"/>
            <w:tcBorders>
              <w:left w:val="nil"/>
              <w:bottom w:val="single" w:sz="4" w:space="0" w:color="000000"/>
            </w:tcBorders>
          </w:tcPr>
          <w:p w14:paraId="35800748" w14:textId="77777777" w:rsidR="00122EB2" w:rsidRDefault="00000000">
            <w:pPr>
              <w:rPr>
                <w:rFonts w:ascii="Arial" w:eastAsia="Arial" w:hAnsi="Arial" w:cs="Arial"/>
                <w:sz w:val="24"/>
                <w:szCs w:val="24"/>
              </w:rPr>
            </w:pPr>
            <w:r>
              <w:rPr>
                <w:rFonts w:ascii="Arial" w:eastAsia="Arial" w:hAnsi="Arial" w:cs="Arial"/>
                <w:sz w:val="24"/>
                <w:szCs w:val="24"/>
              </w:rPr>
              <w:t>Pre- to post-group</w:t>
            </w:r>
          </w:p>
        </w:tc>
      </w:tr>
      <w:tr w:rsidR="00122EB2" w14:paraId="68D1EAB2" w14:textId="77777777">
        <w:tc>
          <w:tcPr>
            <w:tcW w:w="2730" w:type="dxa"/>
            <w:tcBorders>
              <w:bottom w:val="single" w:sz="4" w:space="0" w:color="000000"/>
              <w:right w:val="nil"/>
            </w:tcBorders>
          </w:tcPr>
          <w:p w14:paraId="352A389F" w14:textId="77777777" w:rsidR="00122EB2" w:rsidRDefault="00122EB2">
            <w:pPr>
              <w:rPr>
                <w:rFonts w:ascii="Arial" w:eastAsia="Arial" w:hAnsi="Arial" w:cs="Arial"/>
                <w:sz w:val="24"/>
                <w:szCs w:val="24"/>
              </w:rPr>
            </w:pPr>
          </w:p>
        </w:tc>
        <w:tc>
          <w:tcPr>
            <w:tcW w:w="945" w:type="dxa"/>
            <w:tcBorders>
              <w:left w:val="nil"/>
              <w:bottom w:val="single" w:sz="4" w:space="0" w:color="000000"/>
              <w:right w:val="nil"/>
            </w:tcBorders>
          </w:tcPr>
          <w:p w14:paraId="2FCAE947"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35" w:type="dxa"/>
            <w:tcBorders>
              <w:left w:val="nil"/>
              <w:bottom w:val="single" w:sz="4" w:space="0" w:color="000000"/>
              <w:right w:val="nil"/>
            </w:tcBorders>
          </w:tcPr>
          <w:p w14:paraId="16642781"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885" w:type="dxa"/>
            <w:tcBorders>
              <w:left w:val="nil"/>
              <w:bottom w:val="single" w:sz="4" w:space="0" w:color="000000"/>
              <w:right w:val="nil"/>
            </w:tcBorders>
          </w:tcPr>
          <w:p w14:paraId="1B4C4A1F"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05" w:type="dxa"/>
            <w:tcBorders>
              <w:left w:val="nil"/>
              <w:bottom w:val="single" w:sz="4" w:space="0" w:color="000000"/>
              <w:right w:val="nil"/>
            </w:tcBorders>
          </w:tcPr>
          <w:p w14:paraId="58C43AF6"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1005" w:type="dxa"/>
            <w:tcBorders>
              <w:left w:val="nil"/>
              <w:bottom w:val="single" w:sz="4" w:space="0" w:color="000000"/>
              <w:right w:val="nil"/>
            </w:tcBorders>
          </w:tcPr>
          <w:p w14:paraId="7B16D5F1" w14:textId="77777777" w:rsidR="00122EB2" w:rsidRDefault="00000000">
            <w:pPr>
              <w:rPr>
                <w:rFonts w:ascii="Arial" w:eastAsia="Arial" w:hAnsi="Arial" w:cs="Arial"/>
                <w:sz w:val="24"/>
                <w:szCs w:val="24"/>
              </w:rPr>
            </w:pPr>
            <w:r>
              <w:rPr>
                <w:rFonts w:ascii="Arial" w:eastAsia="Arial" w:hAnsi="Arial" w:cs="Arial"/>
                <w:sz w:val="24"/>
                <w:szCs w:val="24"/>
              </w:rPr>
              <w:t>Mean change</w:t>
            </w:r>
          </w:p>
        </w:tc>
        <w:tc>
          <w:tcPr>
            <w:tcW w:w="720" w:type="dxa"/>
            <w:tcBorders>
              <w:left w:val="nil"/>
              <w:bottom w:val="single" w:sz="4" w:space="0" w:color="000000"/>
              <w:right w:val="nil"/>
            </w:tcBorders>
          </w:tcPr>
          <w:p w14:paraId="361A71F1"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735" w:type="dxa"/>
            <w:tcBorders>
              <w:left w:val="nil"/>
              <w:bottom w:val="single" w:sz="4" w:space="0" w:color="000000"/>
              <w:right w:val="nil"/>
            </w:tcBorders>
          </w:tcPr>
          <w:p w14:paraId="2F91F9E7" w14:textId="77777777" w:rsidR="00122EB2" w:rsidRDefault="00000000">
            <w:pPr>
              <w:rPr>
                <w:rFonts w:ascii="Arial" w:eastAsia="Arial" w:hAnsi="Arial" w:cs="Arial"/>
                <w:sz w:val="24"/>
                <w:szCs w:val="24"/>
              </w:rPr>
            </w:pPr>
            <w:r>
              <w:rPr>
                <w:rFonts w:ascii="Arial" w:eastAsia="Arial" w:hAnsi="Arial" w:cs="Arial"/>
                <w:sz w:val="24"/>
                <w:szCs w:val="24"/>
              </w:rPr>
              <w:t>t</w:t>
            </w:r>
          </w:p>
        </w:tc>
        <w:tc>
          <w:tcPr>
            <w:tcW w:w="1035" w:type="dxa"/>
            <w:tcBorders>
              <w:left w:val="nil"/>
              <w:bottom w:val="single" w:sz="4" w:space="0" w:color="000000"/>
            </w:tcBorders>
          </w:tcPr>
          <w:p w14:paraId="0E2CD41C" w14:textId="77777777" w:rsidR="00122EB2" w:rsidRDefault="00000000">
            <w:pPr>
              <w:rPr>
                <w:rFonts w:ascii="Arial" w:eastAsia="Arial" w:hAnsi="Arial" w:cs="Arial"/>
                <w:i/>
                <w:iCs/>
                <w:sz w:val="24"/>
                <w:szCs w:val="24"/>
              </w:rPr>
            </w:pPr>
            <w:r>
              <w:rPr>
                <w:rFonts w:ascii="Arial" w:eastAsia="Arial" w:hAnsi="Arial" w:cs="Arial"/>
                <w:i/>
                <w:iCs/>
                <w:sz w:val="24"/>
                <w:szCs w:val="24"/>
              </w:rPr>
              <w:t>p</w:t>
            </w:r>
          </w:p>
        </w:tc>
      </w:tr>
      <w:tr w:rsidR="00122EB2" w14:paraId="6D49D2EA" w14:textId="77777777">
        <w:trPr>
          <w:trHeight w:val="720"/>
        </w:trPr>
        <w:tc>
          <w:tcPr>
            <w:tcW w:w="2730" w:type="dxa"/>
            <w:tcBorders>
              <w:bottom w:val="nil"/>
              <w:right w:val="nil"/>
            </w:tcBorders>
          </w:tcPr>
          <w:p w14:paraId="5825952A" w14:textId="77777777" w:rsidR="00122EB2" w:rsidRDefault="00000000">
            <w:pPr>
              <w:rPr>
                <w:rFonts w:ascii="Arial" w:eastAsia="Arial" w:hAnsi="Arial" w:cs="Arial"/>
                <w:sz w:val="24"/>
                <w:szCs w:val="24"/>
              </w:rPr>
            </w:pPr>
            <w:r>
              <w:rPr>
                <w:rFonts w:ascii="Arial" w:eastAsia="Arial" w:hAnsi="Arial" w:cs="Arial"/>
                <w:sz w:val="24"/>
                <w:szCs w:val="24"/>
              </w:rPr>
              <w:t>Compulsive Exercise (Total CET)</w:t>
            </w:r>
          </w:p>
        </w:tc>
        <w:tc>
          <w:tcPr>
            <w:tcW w:w="945" w:type="dxa"/>
            <w:tcBorders>
              <w:left w:val="nil"/>
              <w:bottom w:val="nil"/>
              <w:right w:val="nil"/>
            </w:tcBorders>
          </w:tcPr>
          <w:p w14:paraId="34D858AE" w14:textId="77777777" w:rsidR="00122EB2" w:rsidRDefault="00000000">
            <w:pPr>
              <w:rPr>
                <w:rFonts w:ascii="Arial" w:eastAsia="Arial" w:hAnsi="Arial" w:cs="Arial"/>
                <w:sz w:val="24"/>
                <w:szCs w:val="24"/>
              </w:rPr>
            </w:pPr>
            <w:r>
              <w:rPr>
                <w:rFonts w:ascii="Arial" w:eastAsia="Arial" w:hAnsi="Arial" w:cs="Arial"/>
                <w:sz w:val="24"/>
                <w:szCs w:val="24"/>
              </w:rPr>
              <w:t>16.42</w:t>
            </w:r>
          </w:p>
        </w:tc>
        <w:tc>
          <w:tcPr>
            <w:tcW w:w="735" w:type="dxa"/>
            <w:tcBorders>
              <w:left w:val="nil"/>
              <w:bottom w:val="nil"/>
              <w:right w:val="nil"/>
            </w:tcBorders>
          </w:tcPr>
          <w:p w14:paraId="6ACEDEAE" w14:textId="77777777" w:rsidR="00122EB2" w:rsidRDefault="00000000">
            <w:pPr>
              <w:rPr>
                <w:rFonts w:ascii="Arial" w:eastAsia="Arial" w:hAnsi="Arial" w:cs="Arial"/>
                <w:sz w:val="24"/>
                <w:szCs w:val="24"/>
              </w:rPr>
            </w:pPr>
            <w:r>
              <w:rPr>
                <w:rFonts w:ascii="Arial" w:eastAsia="Arial" w:hAnsi="Arial" w:cs="Arial"/>
                <w:sz w:val="24"/>
                <w:szCs w:val="24"/>
              </w:rPr>
              <w:t>4.51</w:t>
            </w:r>
          </w:p>
        </w:tc>
        <w:tc>
          <w:tcPr>
            <w:tcW w:w="885" w:type="dxa"/>
            <w:tcBorders>
              <w:left w:val="nil"/>
              <w:bottom w:val="nil"/>
              <w:right w:val="nil"/>
            </w:tcBorders>
          </w:tcPr>
          <w:p w14:paraId="1D41A064" w14:textId="77777777" w:rsidR="00122EB2" w:rsidRDefault="00000000">
            <w:pPr>
              <w:rPr>
                <w:rFonts w:ascii="Arial" w:eastAsia="Arial" w:hAnsi="Arial" w:cs="Arial"/>
                <w:sz w:val="24"/>
                <w:szCs w:val="24"/>
              </w:rPr>
            </w:pPr>
            <w:r>
              <w:rPr>
                <w:rFonts w:ascii="Arial" w:eastAsia="Arial" w:hAnsi="Arial" w:cs="Arial"/>
                <w:sz w:val="24"/>
                <w:szCs w:val="24"/>
              </w:rPr>
              <w:t>12.92</w:t>
            </w:r>
          </w:p>
        </w:tc>
        <w:tc>
          <w:tcPr>
            <w:tcW w:w="705" w:type="dxa"/>
            <w:tcBorders>
              <w:left w:val="nil"/>
              <w:bottom w:val="nil"/>
              <w:right w:val="nil"/>
            </w:tcBorders>
          </w:tcPr>
          <w:p w14:paraId="79B2D472" w14:textId="77777777" w:rsidR="00122EB2" w:rsidRDefault="00000000">
            <w:pPr>
              <w:rPr>
                <w:rFonts w:ascii="Arial" w:eastAsia="Arial" w:hAnsi="Arial" w:cs="Arial"/>
                <w:sz w:val="24"/>
                <w:szCs w:val="24"/>
              </w:rPr>
            </w:pPr>
            <w:r>
              <w:rPr>
                <w:rFonts w:ascii="Arial" w:eastAsia="Arial" w:hAnsi="Arial" w:cs="Arial"/>
                <w:sz w:val="24"/>
                <w:szCs w:val="24"/>
              </w:rPr>
              <w:t>4.83</w:t>
            </w:r>
          </w:p>
        </w:tc>
        <w:tc>
          <w:tcPr>
            <w:tcW w:w="1005" w:type="dxa"/>
            <w:tcBorders>
              <w:left w:val="nil"/>
              <w:bottom w:val="nil"/>
              <w:right w:val="nil"/>
            </w:tcBorders>
          </w:tcPr>
          <w:p w14:paraId="5C8D1B7D" w14:textId="77777777" w:rsidR="00122EB2" w:rsidRDefault="00000000">
            <w:pPr>
              <w:rPr>
                <w:rFonts w:ascii="Arial" w:eastAsia="Arial" w:hAnsi="Arial" w:cs="Arial"/>
                <w:sz w:val="24"/>
                <w:szCs w:val="24"/>
              </w:rPr>
            </w:pPr>
            <w:r>
              <w:rPr>
                <w:rFonts w:ascii="Arial" w:eastAsia="Arial" w:hAnsi="Arial" w:cs="Arial"/>
                <w:sz w:val="24"/>
                <w:szCs w:val="24"/>
              </w:rPr>
              <w:t>3.50</w:t>
            </w:r>
          </w:p>
        </w:tc>
        <w:tc>
          <w:tcPr>
            <w:tcW w:w="720" w:type="dxa"/>
            <w:tcBorders>
              <w:left w:val="nil"/>
              <w:bottom w:val="nil"/>
              <w:right w:val="nil"/>
            </w:tcBorders>
          </w:tcPr>
          <w:p w14:paraId="2C6470D7" w14:textId="77777777" w:rsidR="00122EB2" w:rsidRDefault="00000000">
            <w:pPr>
              <w:rPr>
                <w:rFonts w:ascii="Arial" w:eastAsia="Arial" w:hAnsi="Arial" w:cs="Arial"/>
                <w:sz w:val="24"/>
                <w:szCs w:val="24"/>
              </w:rPr>
            </w:pPr>
            <w:r>
              <w:rPr>
                <w:rFonts w:ascii="Arial" w:eastAsia="Arial" w:hAnsi="Arial" w:cs="Arial"/>
                <w:sz w:val="24"/>
                <w:szCs w:val="24"/>
              </w:rPr>
              <w:t>4.44</w:t>
            </w:r>
          </w:p>
        </w:tc>
        <w:tc>
          <w:tcPr>
            <w:tcW w:w="735" w:type="dxa"/>
            <w:tcBorders>
              <w:left w:val="nil"/>
              <w:bottom w:val="nil"/>
              <w:right w:val="nil"/>
            </w:tcBorders>
          </w:tcPr>
          <w:p w14:paraId="2449A732" w14:textId="77777777" w:rsidR="00122EB2" w:rsidRDefault="00000000">
            <w:pPr>
              <w:rPr>
                <w:rFonts w:ascii="Arial" w:eastAsia="Arial" w:hAnsi="Arial" w:cs="Arial"/>
                <w:sz w:val="24"/>
                <w:szCs w:val="24"/>
              </w:rPr>
            </w:pPr>
            <w:r>
              <w:rPr>
                <w:rFonts w:ascii="Arial" w:eastAsia="Arial" w:hAnsi="Arial" w:cs="Arial"/>
                <w:sz w:val="24"/>
                <w:szCs w:val="24"/>
              </w:rPr>
              <w:t>4.10</w:t>
            </w:r>
          </w:p>
        </w:tc>
        <w:tc>
          <w:tcPr>
            <w:tcW w:w="1035" w:type="dxa"/>
            <w:tcBorders>
              <w:left w:val="nil"/>
              <w:bottom w:val="nil"/>
            </w:tcBorders>
          </w:tcPr>
          <w:p w14:paraId="38A000C2"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0A2266AF" w14:textId="77777777">
        <w:tc>
          <w:tcPr>
            <w:tcW w:w="2730" w:type="dxa"/>
            <w:tcBorders>
              <w:top w:val="nil"/>
              <w:bottom w:val="nil"/>
              <w:right w:val="nil"/>
            </w:tcBorders>
          </w:tcPr>
          <w:p w14:paraId="442D3CF0" w14:textId="77777777" w:rsidR="00122EB2" w:rsidRDefault="00000000">
            <w:pPr>
              <w:rPr>
                <w:rFonts w:ascii="Arial" w:eastAsia="Arial" w:hAnsi="Arial" w:cs="Arial"/>
                <w:sz w:val="24"/>
                <w:szCs w:val="24"/>
              </w:rPr>
            </w:pPr>
            <w:r>
              <w:rPr>
                <w:rFonts w:ascii="Arial" w:eastAsia="Arial" w:hAnsi="Arial" w:cs="Arial"/>
                <w:sz w:val="24"/>
                <w:szCs w:val="24"/>
              </w:rPr>
              <w:t>CET Subscales</w:t>
            </w:r>
          </w:p>
        </w:tc>
        <w:tc>
          <w:tcPr>
            <w:tcW w:w="945" w:type="dxa"/>
            <w:tcBorders>
              <w:top w:val="nil"/>
              <w:left w:val="nil"/>
              <w:bottom w:val="nil"/>
              <w:right w:val="nil"/>
            </w:tcBorders>
          </w:tcPr>
          <w:p w14:paraId="1687AC9D" w14:textId="77777777" w:rsidR="00122EB2" w:rsidRDefault="00122EB2">
            <w:pPr>
              <w:rPr>
                <w:rFonts w:ascii="Arial" w:eastAsia="Arial" w:hAnsi="Arial" w:cs="Arial"/>
                <w:sz w:val="24"/>
                <w:szCs w:val="24"/>
              </w:rPr>
            </w:pPr>
          </w:p>
        </w:tc>
        <w:tc>
          <w:tcPr>
            <w:tcW w:w="735" w:type="dxa"/>
            <w:tcBorders>
              <w:top w:val="nil"/>
              <w:left w:val="nil"/>
              <w:bottom w:val="nil"/>
              <w:right w:val="nil"/>
            </w:tcBorders>
          </w:tcPr>
          <w:p w14:paraId="6DF5CC50" w14:textId="77777777" w:rsidR="00122EB2" w:rsidRDefault="00122EB2">
            <w:pPr>
              <w:rPr>
                <w:rFonts w:ascii="Arial" w:eastAsia="Arial" w:hAnsi="Arial" w:cs="Arial"/>
                <w:sz w:val="24"/>
                <w:szCs w:val="24"/>
              </w:rPr>
            </w:pPr>
          </w:p>
        </w:tc>
        <w:tc>
          <w:tcPr>
            <w:tcW w:w="885" w:type="dxa"/>
            <w:tcBorders>
              <w:top w:val="nil"/>
              <w:left w:val="nil"/>
              <w:bottom w:val="nil"/>
              <w:right w:val="nil"/>
            </w:tcBorders>
          </w:tcPr>
          <w:p w14:paraId="09AC0BA2" w14:textId="77777777" w:rsidR="00122EB2" w:rsidRDefault="00122EB2">
            <w:pPr>
              <w:rPr>
                <w:rFonts w:ascii="Arial" w:eastAsia="Arial" w:hAnsi="Arial" w:cs="Arial"/>
                <w:sz w:val="24"/>
                <w:szCs w:val="24"/>
              </w:rPr>
            </w:pPr>
          </w:p>
        </w:tc>
        <w:tc>
          <w:tcPr>
            <w:tcW w:w="705" w:type="dxa"/>
            <w:tcBorders>
              <w:top w:val="nil"/>
              <w:left w:val="nil"/>
              <w:bottom w:val="nil"/>
              <w:right w:val="nil"/>
            </w:tcBorders>
          </w:tcPr>
          <w:p w14:paraId="2846EEFD" w14:textId="77777777" w:rsidR="00122EB2" w:rsidRDefault="00122EB2">
            <w:pPr>
              <w:rPr>
                <w:rFonts w:ascii="Arial" w:eastAsia="Arial" w:hAnsi="Arial" w:cs="Arial"/>
                <w:sz w:val="24"/>
                <w:szCs w:val="24"/>
              </w:rPr>
            </w:pPr>
          </w:p>
        </w:tc>
        <w:tc>
          <w:tcPr>
            <w:tcW w:w="1005" w:type="dxa"/>
            <w:tcBorders>
              <w:top w:val="nil"/>
              <w:left w:val="nil"/>
              <w:bottom w:val="nil"/>
              <w:right w:val="nil"/>
            </w:tcBorders>
          </w:tcPr>
          <w:p w14:paraId="444B2F09" w14:textId="77777777" w:rsidR="00122EB2" w:rsidRDefault="00122EB2">
            <w:pPr>
              <w:rPr>
                <w:rFonts w:ascii="Arial" w:eastAsia="Arial" w:hAnsi="Arial" w:cs="Arial"/>
                <w:sz w:val="24"/>
                <w:szCs w:val="24"/>
              </w:rPr>
            </w:pPr>
          </w:p>
        </w:tc>
        <w:tc>
          <w:tcPr>
            <w:tcW w:w="720" w:type="dxa"/>
            <w:tcBorders>
              <w:top w:val="nil"/>
              <w:left w:val="nil"/>
              <w:bottom w:val="nil"/>
              <w:right w:val="nil"/>
            </w:tcBorders>
          </w:tcPr>
          <w:p w14:paraId="13583EEB" w14:textId="77777777" w:rsidR="00122EB2" w:rsidRDefault="00122EB2">
            <w:pPr>
              <w:rPr>
                <w:rFonts w:ascii="Arial" w:eastAsia="Arial" w:hAnsi="Arial" w:cs="Arial"/>
                <w:sz w:val="24"/>
                <w:szCs w:val="24"/>
              </w:rPr>
            </w:pPr>
          </w:p>
        </w:tc>
        <w:tc>
          <w:tcPr>
            <w:tcW w:w="735" w:type="dxa"/>
            <w:tcBorders>
              <w:top w:val="nil"/>
              <w:left w:val="nil"/>
              <w:bottom w:val="nil"/>
              <w:right w:val="nil"/>
            </w:tcBorders>
          </w:tcPr>
          <w:p w14:paraId="3B727E42" w14:textId="77777777" w:rsidR="00122EB2" w:rsidRDefault="00122EB2">
            <w:pPr>
              <w:rPr>
                <w:rFonts w:ascii="Arial" w:eastAsia="Arial" w:hAnsi="Arial" w:cs="Arial"/>
                <w:sz w:val="24"/>
                <w:szCs w:val="24"/>
              </w:rPr>
            </w:pPr>
          </w:p>
        </w:tc>
        <w:tc>
          <w:tcPr>
            <w:tcW w:w="1035" w:type="dxa"/>
            <w:tcBorders>
              <w:top w:val="nil"/>
              <w:left w:val="nil"/>
              <w:bottom w:val="nil"/>
            </w:tcBorders>
          </w:tcPr>
          <w:p w14:paraId="32628F5B" w14:textId="77777777" w:rsidR="00122EB2" w:rsidRDefault="00122EB2">
            <w:pPr>
              <w:rPr>
                <w:rFonts w:ascii="Arial" w:eastAsia="Arial" w:hAnsi="Arial" w:cs="Arial"/>
                <w:sz w:val="24"/>
                <w:szCs w:val="24"/>
              </w:rPr>
            </w:pPr>
          </w:p>
        </w:tc>
      </w:tr>
      <w:tr w:rsidR="00122EB2" w14:paraId="2825284F" w14:textId="77777777">
        <w:trPr>
          <w:trHeight w:val="626"/>
        </w:trPr>
        <w:tc>
          <w:tcPr>
            <w:tcW w:w="2730" w:type="dxa"/>
            <w:tcBorders>
              <w:top w:val="nil"/>
              <w:bottom w:val="nil"/>
              <w:right w:val="nil"/>
            </w:tcBorders>
          </w:tcPr>
          <w:p w14:paraId="64CA0C22" w14:textId="77777777" w:rsidR="00122EB2" w:rsidRDefault="00000000">
            <w:pPr>
              <w:ind w:left="720"/>
              <w:rPr>
                <w:rFonts w:ascii="Arial" w:eastAsia="Arial" w:hAnsi="Arial" w:cs="Arial"/>
                <w:sz w:val="24"/>
                <w:szCs w:val="24"/>
              </w:rPr>
            </w:pPr>
            <w:r>
              <w:rPr>
                <w:rFonts w:ascii="Arial" w:eastAsia="Arial" w:hAnsi="Arial" w:cs="Arial"/>
                <w:sz w:val="24"/>
                <w:szCs w:val="24"/>
              </w:rPr>
              <w:t>Avoidance and Rules</w:t>
            </w:r>
          </w:p>
        </w:tc>
        <w:tc>
          <w:tcPr>
            <w:tcW w:w="945" w:type="dxa"/>
            <w:tcBorders>
              <w:top w:val="nil"/>
              <w:left w:val="nil"/>
              <w:bottom w:val="nil"/>
              <w:right w:val="nil"/>
            </w:tcBorders>
          </w:tcPr>
          <w:p w14:paraId="364055E9" w14:textId="77777777" w:rsidR="00122EB2" w:rsidRDefault="00000000">
            <w:pPr>
              <w:rPr>
                <w:rFonts w:ascii="Arial" w:eastAsia="Arial" w:hAnsi="Arial" w:cs="Arial"/>
                <w:sz w:val="24"/>
                <w:szCs w:val="24"/>
              </w:rPr>
            </w:pPr>
            <w:r>
              <w:rPr>
                <w:rFonts w:ascii="Arial" w:eastAsia="Arial" w:hAnsi="Arial" w:cs="Arial"/>
                <w:sz w:val="24"/>
                <w:szCs w:val="24"/>
              </w:rPr>
              <w:t>3.43</w:t>
            </w:r>
          </w:p>
        </w:tc>
        <w:tc>
          <w:tcPr>
            <w:tcW w:w="735" w:type="dxa"/>
            <w:tcBorders>
              <w:top w:val="nil"/>
              <w:left w:val="nil"/>
              <w:bottom w:val="nil"/>
              <w:right w:val="nil"/>
            </w:tcBorders>
          </w:tcPr>
          <w:p w14:paraId="5D2C9227" w14:textId="77777777" w:rsidR="00122EB2" w:rsidRDefault="00000000">
            <w:pPr>
              <w:rPr>
                <w:rFonts w:ascii="Arial" w:eastAsia="Arial" w:hAnsi="Arial" w:cs="Arial"/>
                <w:sz w:val="24"/>
                <w:szCs w:val="24"/>
              </w:rPr>
            </w:pPr>
            <w:r>
              <w:rPr>
                <w:rFonts w:ascii="Arial" w:eastAsia="Arial" w:hAnsi="Arial" w:cs="Arial"/>
                <w:sz w:val="24"/>
                <w:szCs w:val="24"/>
              </w:rPr>
              <w:t>1.33</w:t>
            </w:r>
          </w:p>
        </w:tc>
        <w:tc>
          <w:tcPr>
            <w:tcW w:w="885" w:type="dxa"/>
            <w:tcBorders>
              <w:top w:val="nil"/>
              <w:left w:val="nil"/>
              <w:bottom w:val="nil"/>
              <w:right w:val="nil"/>
            </w:tcBorders>
          </w:tcPr>
          <w:p w14:paraId="11EFB917" w14:textId="77777777" w:rsidR="00122EB2" w:rsidRDefault="00000000">
            <w:pPr>
              <w:rPr>
                <w:rFonts w:ascii="Arial" w:eastAsia="Arial" w:hAnsi="Arial" w:cs="Arial"/>
                <w:sz w:val="24"/>
                <w:szCs w:val="24"/>
              </w:rPr>
            </w:pPr>
            <w:r>
              <w:rPr>
                <w:rFonts w:ascii="Arial" w:eastAsia="Arial" w:hAnsi="Arial" w:cs="Arial"/>
                <w:sz w:val="24"/>
                <w:szCs w:val="24"/>
              </w:rPr>
              <w:t>2.30</w:t>
            </w:r>
          </w:p>
        </w:tc>
        <w:tc>
          <w:tcPr>
            <w:tcW w:w="705" w:type="dxa"/>
            <w:tcBorders>
              <w:top w:val="nil"/>
              <w:left w:val="nil"/>
              <w:bottom w:val="nil"/>
              <w:right w:val="nil"/>
            </w:tcBorders>
          </w:tcPr>
          <w:p w14:paraId="349C4F71" w14:textId="77777777" w:rsidR="00122EB2" w:rsidRDefault="00000000">
            <w:pPr>
              <w:rPr>
                <w:rFonts w:ascii="Arial" w:eastAsia="Arial" w:hAnsi="Arial" w:cs="Arial"/>
                <w:sz w:val="24"/>
                <w:szCs w:val="24"/>
              </w:rPr>
            </w:pPr>
            <w:r>
              <w:rPr>
                <w:rFonts w:ascii="Arial" w:eastAsia="Arial" w:hAnsi="Arial" w:cs="Arial"/>
                <w:sz w:val="24"/>
                <w:szCs w:val="24"/>
              </w:rPr>
              <w:t>1.39</w:t>
            </w:r>
          </w:p>
        </w:tc>
        <w:tc>
          <w:tcPr>
            <w:tcW w:w="1005" w:type="dxa"/>
            <w:tcBorders>
              <w:top w:val="nil"/>
              <w:left w:val="nil"/>
              <w:bottom w:val="nil"/>
              <w:right w:val="nil"/>
            </w:tcBorders>
          </w:tcPr>
          <w:p w14:paraId="6BA082B5" w14:textId="77777777" w:rsidR="00122EB2" w:rsidRDefault="00000000">
            <w:pPr>
              <w:rPr>
                <w:rFonts w:ascii="Arial" w:eastAsia="Arial" w:hAnsi="Arial" w:cs="Arial"/>
                <w:sz w:val="24"/>
                <w:szCs w:val="24"/>
              </w:rPr>
            </w:pPr>
            <w:r>
              <w:rPr>
                <w:rFonts w:ascii="Arial" w:eastAsia="Arial" w:hAnsi="Arial" w:cs="Arial"/>
                <w:sz w:val="24"/>
                <w:szCs w:val="24"/>
              </w:rPr>
              <w:t>1.15</w:t>
            </w:r>
          </w:p>
        </w:tc>
        <w:tc>
          <w:tcPr>
            <w:tcW w:w="720" w:type="dxa"/>
            <w:tcBorders>
              <w:top w:val="nil"/>
              <w:left w:val="nil"/>
              <w:bottom w:val="nil"/>
              <w:right w:val="nil"/>
            </w:tcBorders>
          </w:tcPr>
          <w:p w14:paraId="07C33FBC" w14:textId="77777777" w:rsidR="00122EB2" w:rsidRDefault="00000000">
            <w:pPr>
              <w:rPr>
                <w:rFonts w:ascii="Arial" w:eastAsia="Arial" w:hAnsi="Arial" w:cs="Arial"/>
                <w:sz w:val="24"/>
                <w:szCs w:val="24"/>
              </w:rPr>
            </w:pPr>
            <w:r>
              <w:rPr>
                <w:rFonts w:ascii="Arial" w:eastAsia="Arial" w:hAnsi="Arial" w:cs="Arial"/>
                <w:sz w:val="24"/>
                <w:szCs w:val="24"/>
              </w:rPr>
              <w:t>0.89</w:t>
            </w:r>
          </w:p>
        </w:tc>
        <w:tc>
          <w:tcPr>
            <w:tcW w:w="735" w:type="dxa"/>
            <w:tcBorders>
              <w:top w:val="nil"/>
              <w:left w:val="nil"/>
              <w:bottom w:val="nil"/>
              <w:right w:val="nil"/>
            </w:tcBorders>
          </w:tcPr>
          <w:p w14:paraId="6870CB03" w14:textId="77777777" w:rsidR="00122EB2" w:rsidRDefault="00000000">
            <w:pPr>
              <w:rPr>
                <w:rFonts w:ascii="Arial" w:eastAsia="Arial" w:hAnsi="Arial" w:cs="Arial"/>
                <w:sz w:val="24"/>
                <w:szCs w:val="24"/>
              </w:rPr>
            </w:pPr>
            <w:r>
              <w:rPr>
                <w:rFonts w:ascii="Arial" w:eastAsia="Arial" w:hAnsi="Arial" w:cs="Arial"/>
                <w:sz w:val="24"/>
                <w:szCs w:val="24"/>
              </w:rPr>
              <w:t>6.66</w:t>
            </w:r>
          </w:p>
        </w:tc>
        <w:tc>
          <w:tcPr>
            <w:tcW w:w="1035" w:type="dxa"/>
            <w:tcBorders>
              <w:top w:val="nil"/>
              <w:left w:val="nil"/>
              <w:bottom w:val="nil"/>
            </w:tcBorders>
          </w:tcPr>
          <w:p w14:paraId="4A292960"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622D6C6F" w14:textId="77777777">
        <w:trPr>
          <w:trHeight w:val="390"/>
        </w:trPr>
        <w:tc>
          <w:tcPr>
            <w:tcW w:w="2730" w:type="dxa"/>
            <w:tcBorders>
              <w:top w:val="nil"/>
              <w:bottom w:val="nil"/>
              <w:right w:val="nil"/>
            </w:tcBorders>
          </w:tcPr>
          <w:p w14:paraId="34882FC6" w14:textId="77777777" w:rsidR="00122EB2" w:rsidRDefault="00000000">
            <w:pPr>
              <w:ind w:left="720"/>
              <w:rPr>
                <w:rFonts w:ascii="Arial" w:eastAsia="Arial" w:hAnsi="Arial" w:cs="Arial"/>
                <w:sz w:val="24"/>
                <w:szCs w:val="24"/>
              </w:rPr>
            </w:pPr>
            <w:r>
              <w:rPr>
                <w:rFonts w:ascii="Arial" w:eastAsia="Arial" w:hAnsi="Arial" w:cs="Arial"/>
                <w:sz w:val="24"/>
                <w:szCs w:val="24"/>
              </w:rPr>
              <w:t>Weight Control</w:t>
            </w:r>
          </w:p>
        </w:tc>
        <w:tc>
          <w:tcPr>
            <w:tcW w:w="945" w:type="dxa"/>
            <w:tcBorders>
              <w:top w:val="nil"/>
              <w:left w:val="nil"/>
              <w:bottom w:val="nil"/>
              <w:right w:val="nil"/>
            </w:tcBorders>
          </w:tcPr>
          <w:p w14:paraId="679D86EF" w14:textId="77777777" w:rsidR="00122EB2" w:rsidRDefault="00000000">
            <w:pPr>
              <w:rPr>
                <w:rFonts w:ascii="Arial" w:eastAsia="Arial" w:hAnsi="Arial" w:cs="Arial"/>
                <w:sz w:val="24"/>
                <w:szCs w:val="24"/>
              </w:rPr>
            </w:pPr>
            <w:r>
              <w:rPr>
                <w:rFonts w:ascii="Arial" w:eastAsia="Arial" w:hAnsi="Arial" w:cs="Arial"/>
                <w:sz w:val="24"/>
                <w:szCs w:val="24"/>
              </w:rPr>
              <w:t>4.12</w:t>
            </w:r>
          </w:p>
        </w:tc>
        <w:tc>
          <w:tcPr>
            <w:tcW w:w="735" w:type="dxa"/>
            <w:tcBorders>
              <w:top w:val="nil"/>
              <w:left w:val="nil"/>
              <w:bottom w:val="nil"/>
              <w:right w:val="nil"/>
            </w:tcBorders>
          </w:tcPr>
          <w:p w14:paraId="214E6E05" w14:textId="77777777" w:rsidR="00122EB2" w:rsidRDefault="00000000">
            <w:pPr>
              <w:rPr>
                <w:rFonts w:ascii="Arial" w:eastAsia="Arial" w:hAnsi="Arial" w:cs="Arial"/>
                <w:sz w:val="24"/>
                <w:szCs w:val="24"/>
              </w:rPr>
            </w:pPr>
            <w:r>
              <w:rPr>
                <w:rFonts w:ascii="Arial" w:eastAsia="Arial" w:hAnsi="Arial" w:cs="Arial"/>
                <w:sz w:val="24"/>
                <w:szCs w:val="24"/>
              </w:rPr>
              <w:t>0.92</w:t>
            </w:r>
          </w:p>
        </w:tc>
        <w:tc>
          <w:tcPr>
            <w:tcW w:w="885" w:type="dxa"/>
            <w:tcBorders>
              <w:top w:val="nil"/>
              <w:left w:val="nil"/>
              <w:bottom w:val="nil"/>
              <w:right w:val="nil"/>
            </w:tcBorders>
          </w:tcPr>
          <w:p w14:paraId="58DF7E92" w14:textId="77777777" w:rsidR="00122EB2" w:rsidRDefault="00000000">
            <w:pPr>
              <w:rPr>
                <w:rFonts w:ascii="Arial" w:eastAsia="Arial" w:hAnsi="Arial" w:cs="Arial"/>
                <w:sz w:val="24"/>
                <w:szCs w:val="24"/>
              </w:rPr>
            </w:pPr>
            <w:r>
              <w:rPr>
                <w:rFonts w:ascii="Arial" w:eastAsia="Arial" w:hAnsi="Arial" w:cs="Arial"/>
                <w:sz w:val="24"/>
                <w:szCs w:val="24"/>
              </w:rPr>
              <w:t>3.32</w:t>
            </w:r>
          </w:p>
        </w:tc>
        <w:tc>
          <w:tcPr>
            <w:tcW w:w="705" w:type="dxa"/>
            <w:tcBorders>
              <w:top w:val="nil"/>
              <w:left w:val="nil"/>
              <w:bottom w:val="nil"/>
              <w:right w:val="nil"/>
            </w:tcBorders>
          </w:tcPr>
          <w:p w14:paraId="11078F31" w14:textId="77777777" w:rsidR="00122EB2" w:rsidRDefault="00000000">
            <w:pPr>
              <w:rPr>
                <w:rFonts w:ascii="Arial" w:eastAsia="Arial" w:hAnsi="Arial" w:cs="Arial"/>
                <w:sz w:val="24"/>
                <w:szCs w:val="24"/>
              </w:rPr>
            </w:pPr>
            <w:r>
              <w:rPr>
                <w:rFonts w:ascii="Arial" w:eastAsia="Arial" w:hAnsi="Arial" w:cs="Arial"/>
                <w:sz w:val="24"/>
                <w:szCs w:val="24"/>
              </w:rPr>
              <w:t>1.27</w:t>
            </w:r>
          </w:p>
        </w:tc>
        <w:tc>
          <w:tcPr>
            <w:tcW w:w="1005" w:type="dxa"/>
            <w:tcBorders>
              <w:top w:val="nil"/>
              <w:left w:val="nil"/>
              <w:bottom w:val="nil"/>
              <w:right w:val="nil"/>
            </w:tcBorders>
          </w:tcPr>
          <w:p w14:paraId="6A0D10B5" w14:textId="77777777" w:rsidR="00122EB2" w:rsidRDefault="00000000">
            <w:pPr>
              <w:rPr>
                <w:rFonts w:ascii="Arial" w:eastAsia="Arial" w:hAnsi="Arial" w:cs="Arial"/>
                <w:sz w:val="24"/>
                <w:szCs w:val="24"/>
              </w:rPr>
            </w:pPr>
            <w:r>
              <w:rPr>
                <w:rFonts w:ascii="Arial" w:eastAsia="Arial" w:hAnsi="Arial" w:cs="Arial"/>
                <w:sz w:val="24"/>
                <w:szCs w:val="24"/>
              </w:rPr>
              <w:t>0.80</w:t>
            </w:r>
          </w:p>
        </w:tc>
        <w:tc>
          <w:tcPr>
            <w:tcW w:w="720" w:type="dxa"/>
            <w:tcBorders>
              <w:top w:val="nil"/>
              <w:left w:val="nil"/>
              <w:bottom w:val="nil"/>
              <w:right w:val="nil"/>
            </w:tcBorders>
          </w:tcPr>
          <w:p w14:paraId="1246DBA7" w14:textId="77777777" w:rsidR="00122EB2" w:rsidRDefault="00000000">
            <w:pPr>
              <w:rPr>
                <w:rFonts w:ascii="Arial" w:eastAsia="Arial" w:hAnsi="Arial" w:cs="Arial"/>
                <w:sz w:val="24"/>
                <w:szCs w:val="24"/>
              </w:rPr>
            </w:pPr>
            <w:r>
              <w:rPr>
                <w:rFonts w:ascii="Arial" w:eastAsia="Arial" w:hAnsi="Arial" w:cs="Arial"/>
                <w:sz w:val="24"/>
                <w:szCs w:val="24"/>
              </w:rPr>
              <w:t>0.92</w:t>
            </w:r>
          </w:p>
        </w:tc>
        <w:tc>
          <w:tcPr>
            <w:tcW w:w="735" w:type="dxa"/>
            <w:tcBorders>
              <w:top w:val="nil"/>
              <w:left w:val="nil"/>
              <w:bottom w:val="nil"/>
              <w:right w:val="nil"/>
            </w:tcBorders>
          </w:tcPr>
          <w:p w14:paraId="43655EB9" w14:textId="77777777" w:rsidR="00122EB2" w:rsidRDefault="00000000">
            <w:pPr>
              <w:rPr>
                <w:rFonts w:ascii="Arial" w:eastAsia="Arial" w:hAnsi="Arial" w:cs="Arial"/>
                <w:sz w:val="24"/>
                <w:szCs w:val="24"/>
              </w:rPr>
            </w:pPr>
            <w:r>
              <w:rPr>
                <w:rFonts w:ascii="Arial" w:eastAsia="Arial" w:hAnsi="Arial" w:cs="Arial"/>
                <w:sz w:val="24"/>
                <w:szCs w:val="24"/>
              </w:rPr>
              <w:t>4.51</w:t>
            </w:r>
          </w:p>
        </w:tc>
        <w:tc>
          <w:tcPr>
            <w:tcW w:w="1035" w:type="dxa"/>
            <w:tcBorders>
              <w:top w:val="nil"/>
              <w:left w:val="nil"/>
              <w:bottom w:val="nil"/>
            </w:tcBorders>
          </w:tcPr>
          <w:p w14:paraId="22EFBCDF"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4DC7A944" w14:textId="77777777">
        <w:trPr>
          <w:trHeight w:val="671"/>
        </w:trPr>
        <w:tc>
          <w:tcPr>
            <w:tcW w:w="2730" w:type="dxa"/>
            <w:tcBorders>
              <w:top w:val="nil"/>
              <w:bottom w:val="nil"/>
              <w:right w:val="nil"/>
            </w:tcBorders>
          </w:tcPr>
          <w:p w14:paraId="03A5CBB9" w14:textId="77777777" w:rsidR="00122EB2" w:rsidRDefault="00000000">
            <w:pPr>
              <w:ind w:left="720"/>
              <w:rPr>
                <w:rFonts w:ascii="Arial" w:eastAsia="Arial" w:hAnsi="Arial" w:cs="Arial"/>
                <w:sz w:val="24"/>
                <w:szCs w:val="24"/>
              </w:rPr>
            </w:pPr>
            <w:r>
              <w:rPr>
                <w:rFonts w:ascii="Arial" w:eastAsia="Arial" w:hAnsi="Arial" w:cs="Arial"/>
                <w:sz w:val="24"/>
                <w:szCs w:val="24"/>
              </w:rPr>
              <w:t>Mood Improvement</w:t>
            </w:r>
          </w:p>
        </w:tc>
        <w:tc>
          <w:tcPr>
            <w:tcW w:w="945" w:type="dxa"/>
            <w:tcBorders>
              <w:top w:val="nil"/>
              <w:left w:val="nil"/>
              <w:bottom w:val="nil"/>
              <w:right w:val="nil"/>
            </w:tcBorders>
          </w:tcPr>
          <w:p w14:paraId="0A85332E" w14:textId="77777777" w:rsidR="00122EB2" w:rsidRDefault="00000000">
            <w:pPr>
              <w:rPr>
                <w:rFonts w:ascii="Arial" w:eastAsia="Arial" w:hAnsi="Arial" w:cs="Arial"/>
                <w:sz w:val="24"/>
                <w:szCs w:val="24"/>
              </w:rPr>
            </w:pPr>
            <w:r>
              <w:rPr>
                <w:rFonts w:ascii="Arial" w:eastAsia="Arial" w:hAnsi="Arial" w:cs="Arial"/>
                <w:sz w:val="24"/>
                <w:szCs w:val="24"/>
              </w:rPr>
              <w:t>3.24</w:t>
            </w:r>
          </w:p>
        </w:tc>
        <w:tc>
          <w:tcPr>
            <w:tcW w:w="735" w:type="dxa"/>
            <w:tcBorders>
              <w:top w:val="nil"/>
              <w:left w:val="nil"/>
              <w:bottom w:val="nil"/>
              <w:right w:val="nil"/>
            </w:tcBorders>
          </w:tcPr>
          <w:p w14:paraId="33091D51" w14:textId="77777777" w:rsidR="00122EB2" w:rsidRDefault="00000000">
            <w:pPr>
              <w:rPr>
                <w:rFonts w:ascii="Arial" w:eastAsia="Arial" w:hAnsi="Arial" w:cs="Arial"/>
                <w:sz w:val="24"/>
                <w:szCs w:val="24"/>
              </w:rPr>
            </w:pPr>
            <w:r>
              <w:rPr>
                <w:rFonts w:ascii="Arial" w:eastAsia="Arial" w:hAnsi="Arial" w:cs="Arial"/>
                <w:sz w:val="24"/>
                <w:szCs w:val="24"/>
              </w:rPr>
              <w:t>1.30</w:t>
            </w:r>
          </w:p>
        </w:tc>
        <w:tc>
          <w:tcPr>
            <w:tcW w:w="885" w:type="dxa"/>
            <w:tcBorders>
              <w:top w:val="nil"/>
              <w:left w:val="nil"/>
              <w:bottom w:val="nil"/>
              <w:right w:val="nil"/>
            </w:tcBorders>
          </w:tcPr>
          <w:p w14:paraId="7FB66957" w14:textId="77777777" w:rsidR="00122EB2" w:rsidRDefault="00000000">
            <w:pPr>
              <w:rPr>
                <w:rFonts w:ascii="Arial" w:eastAsia="Arial" w:hAnsi="Arial" w:cs="Arial"/>
                <w:sz w:val="24"/>
                <w:szCs w:val="24"/>
              </w:rPr>
            </w:pPr>
            <w:r>
              <w:rPr>
                <w:rFonts w:ascii="Arial" w:eastAsia="Arial" w:hAnsi="Arial" w:cs="Arial"/>
                <w:sz w:val="24"/>
                <w:szCs w:val="24"/>
              </w:rPr>
              <w:t>2.93</w:t>
            </w:r>
          </w:p>
        </w:tc>
        <w:tc>
          <w:tcPr>
            <w:tcW w:w="705" w:type="dxa"/>
            <w:tcBorders>
              <w:top w:val="nil"/>
              <w:left w:val="nil"/>
              <w:bottom w:val="nil"/>
              <w:right w:val="nil"/>
            </w:tcBorders>
          </w:tcPr>
          <w:p w14:paraId="13F4224C" w14:textId="77777777" w:rsidR="00122EB2" w:rsidRDefault="00000000">
            <w:pPr>
              <w:rPr>
                <w:rFonts w:ascii="Arial" w:eastAsia="Arial" w:hAnsi="Arial" w:cs="Arial"/>
                <w:sz w:val="24"/>
                <w:szCs w:val="24"/>
              </w:rPr>
            </w:pPr>
            <w:r>
              <w:rPr>
                <w:rFonts w:ascii="Arial" w:eastAsia="Arial" w:hAnsi="Arial" w:cs="Arial"/>
                <w:sz w:val="24"/>
                <w:szCs w:val="24"/>
              </w:rPr>
              <w:t>1.20</w:t>
            </w:r>
          </w:p>
        </w:tc>
        <w:tc>
          <w:tcPr>
            <w:tcW w:w="1005" w:type="dxa"/>
            <w:tcBorders>
              <w:top w:val="nil"/>
              <w:left w:val="nil"/>
              <w:bottom w:val="nil"/>
              <w:right w:val="nil"/>
            </w:tcBorders>
          </w:tcPr>
          <w:p w14:paraId="17D48279" w14:textId="77777777" w:rsidR="00122EB2" w:rsidRDefault="00000000">
            <w:pPr>
              <w:rPr>
                <w:rFonts w:ascii="Arial" w:eastAsia="Arial" w:hAnsi="Arial" w:cs="Arial"/>
                <w:sz w:val="24"/>
                <w:szCs w:val="24"/>
              </w:rPr>
            </w:pPr>
            <w:r>
              <w:rPr>
                <w:rFonts w:ascii="Arial" w:eastAsia="Arial" w:hAnsi="Arial" w:cs="Arial"/>
                <w:sz w:val="24"/>
                <w:szCs w:val="24"/>
              </w:rPr>
              <w:t>0.31</w:t>
            </w:r>
          </w:p>
        </w:tc>
        <w:tc>
          <w:tcPr>
            <w:tcW w:w="720" w:type="dxa"/>
            <w:tcBorders>
              <w:top w:val="nil"/>
              <w:left w:val="nil"/>
              <w:bottom w:val="nil"/>
              <w:right w:val="nil"/>
            </w:tcBorders>
          </w:tcPr>
          <w:p w14:paraId="4E9E0CA9" w14:textId="77777777" w:rsidR="00122EB2" w:rsidRDefault="00000000">
            <w:pPr>
              <w:rPr>
                <w:rFonts w:ascii="Arial" w:eastAsia="Arial" w:hAnsi="Arial" w:cs="Arial"/>
                <w:sz w:val="24"/>
                <w:szCs w:val="24"/>
              </w:rPr>
            </w:pPr>
            <w:r>
              <w:rPr>
                <w:rFonts w:ascii="Arial" w:eastAsia="Arial" w:hAnsi="Arial" w:cs="Arial"/>
                <w:sz w:val="24"/>
                <w:szCs w:val="24"/>
              </w:rPr>
              <w:t>1.01</w:t>
            </w:r>
          </w:p>
        </w:tc>
        <w:tc>
          <w:tcPr>
            <w:tcW w:w="735" w:type="dxa"/>
            <w:tcBorders>
              <w:top w:val="nil"/>
              <w:left w:val="nil"/>
              <w:bottom w:val="nil"/>
              <w:right w:val="nil"/>
            </w:tcBorders>
          </w:tcPr>
          <w:p w14:paraId="20588BC9" w14:textId="77777777" w:rsidR="00122EB2" w:rsidRDefault="00000000">
            <w:pPr>
              <w:rPr>
                <w:rFonts w:ascii="Arial" w:eastAsia="Arial" w:hAnsi="Arial" w:cs="Arial"/>
                <w:sz w:val="24"/>
                <w:szCs w:val="24"/>
              </w:rPr>
            </w:pPr>
            <w:r>
              <w:rPr>
                <w:rFonts w:ascii="Arial" w:eastAsia="Arial" w:hAnsi="Arial" w:cs="Arial"/>
                <w:sz w:val="24"/>
                <w:szCs w:val="24"/>
              </w:rPr>
              <w:t>1.59</w:t>
            </w:r>
          </w:p>
        </w:tc>
        <w:tc>
          <w:tcPr>
            <w:tcW w:w="1035" w:type="dxa"/>
            <w:tcBorders>
              <w:top w:val="nil"/>
              <w:left w:val="nil"/>
              <w:bottom w:val="nil"/>
            </w:tcBorders>
          </w:tcPr>
          <w:p w14:paraId="7FF75011" w14:textId="77777777" w:rsidR="00122EB2" w:rsidRDefault="00000000">
            <w:pPr>
              <w:rPr>
                <w:rFonts w:ascii="Arial" w:eastAsia="Arial" w:hAnsi="Arial" w:cs="Arial"/>
                <w:sz w:val="24"/>
                <w:szCs w:val="24"/>
              </w:rPr>
            </w:pPr>
            <w:r>
              <w:rPr>
                <w:rFonts w:ascii="Arial" w:eastAsia="Arial" w:hAnsi="Arial" w:cs="Arial"/>
                <w:sz w:val="24"/>
                <w:szCs w:val="24"/>
              </w:rPr>
              <w:t>.124</w:t>
            </w:r>
          </w:p>
        </w:tc>
      </w:tr>
      <w:tr w:rsidR="00122EB2" w14:paraId="62FDBB2D" w14:textId="77777777">
        <w:trPr>
          <w:trHeight w:val="660"/>
        </w:trPr>
        <w:tc>
          <w:tcPr>
            <w:tcW w:w="2730" w:type="dxa"/>
            <w:tcBorders>
              <w:top w:val="nil"/>
              <w:bottom w:val="nil"/>
              <w:right w:val="nil"/>
            </w:tcBorders>
          </w:tcPr>
          <w:p w14:paraId="7FB570BD" w14:textId="77777777" w:rsidR="00122EB2" w:rsidRDefault="00000000">
            <w:pPr>
              <w:ind w:left="720"/>
              <w:rPr>
                <w:rFonts w:ascii="Arial" w:eastAsia="Arial" w:hAnsi="Arial" w:cs="Arial"/>
                <w:sz w:val="24"/>
                <w:szCs w:val="24"/>
              </w:rPr>
            </w:pPr>
            <w:r>
              <w:rPr>
                <w:rFonts w:ascii="Arial" w:eastAsia="Arial" w:hAnsi="Arial" w:cs="Arial"/>
                <w:sz w:val="24"/>
                <w:szCs w:val="24"/>
              </w:rPr>
              <w:t>Lack of Exercise Enjoyment</w:t>
            </w:r>
          </w:p>
        </w:tc>
        <w:tc>
          <w:tcPr>
            <w:tcW w:w="945" w:type="dxa"/>
            <w:tcBorders>
              <w:top w:val="nil"/>
              <w:left w:val="nil"/>
              <w:bottom w:val="nil"/>
              <w:right w:val="nil"/>
            </w:tcBorders>
          </w:tcPr>
          <w:p w14:paraId="6EB2F719" w14:textId="77777777" w:rsidR="00122EB2" w:rsidRDefault="00000000">
            <w:pPr>
              <w:rPr>
                <w:rFonts w:ascii="Arial" w:eastAsia="Arial" w:hAnsi="Arial" w:cs="Arial"/>
                <w:sz w:val="24"/>
                <w:szCs w:val="24"/>
              </w:rPr>
            </w:pPr>
            <w:r>
              <w:rPr>
                <w:rFonts w:ascii="Arial" w:eastAsia="Arial" w:hAnsi="Arial" w:cs="Arial"/>
                <w:sz w:val="24"/>
                <w:szCs w:val="24"/>
              </w:rPr>
              <w:t>2.48</w:t>
            </w:r>
          </w:p>
        </w:tc>
        <w:tc>
          <w:tcPr>
            <w:tcW w:w="735" w:type="dxa"/>
            <w:tcBorders>
              <w:top w:val="nil"/>
              <w:left w:val="nil"/>
              <w:bottom w:val="nil"/>
              <w:right w:val="nil"/>
            </w:tcBorders>
          </w:tcPr>
          <w:p w14:paraId="62BE5E42" w14:textId="77777777" w:rsidR="00122EB2" w:rsidRDefault="00000000">
            <w:pPr>
              <w:rPr>
                <w:rFonts w:ascii="Arial" w:eastAsia="Arial" w:hAnsi="Arial" w:cs="Arial"/>
                <w:sz w:val="24"/>
                <w:szCs w:val="24"/>
              </w:rPr>
            </w:pPr>
            <w:r>
              <w:rPr>
                <w:rFonts w:ascii="Arial" w:eastAsia="Arial" w:hAnsi="Arial" w:cs="Arial"/>
                <w:sz w:val="24"/>
                <w:szCs w:val="24"/>
              </w:rPr>
              <w:t>1.57</w:t>
            </w:r>
          </w:p>
        </w:tc>
        <w:tc>
          <w:tcPr>
            <w:tcW w:w="885" w:type="dxa"/>
            <w:tcBorders>
              <w:top w:val="nil"/>
              <w:left w:val="nil"/>
              <w:bottom w:val="nil"/>
              <w:right w:val="nil"/>
            </w:tcBorders>
          </w:tcPr>
          <w:p w14:paraId="3C3304A2" w14:textId="77777777" w:rsidR="00122EB2" w:rsidRDefault="00000000">
            <w:pPr>
              <w:rPr>
                <w:rFonts w:ascii="Arial" w:eastAsia="Arial" w:hAnsi="Arial" w:cs="Arial"/>
                <w:sz w:val="24"/>
                <w:szCs w:val="24"/>
              </w:rPr>
            </w:pPr>
            <w:r>
              <w:rPr>
                <w:rFonts w:ascii="Arial" w:eastAsia="Arial" w:hAnsi="Arial" w:cs="Arial"/>
                <w:sz w:val="24"/>
                <w:szCs w:val="24"/>
              </w:rPr>
              <w:t>1.91</w:t>
            </w:r>
          </w:p>
        </w:tc>
        <w:tc>
          <w:tcPr>
            <w:tcW w:w="705" w:type="dxa"/>
            <w:tcBorders>
              <w:top w:val="nil"/>
              <w:left w:val="nil"/>
              <w:bottom w:val="nil"/>
              <w:right w:val="nil"/>
            </w:tcBorders>
          </w:tcPr>
          <w:p w14:paraId="0C45A1F5" w14:textId="77777777" w:rsidR="00122EB2" w:rsidRDefault="00000000">
            <w:pPr>
              <w:rPr>
                <w:rFonts w:ascii="Arial" w:eastAsia="Arial" w:hAnsi="Arial" w:cs="Arial"/>
                <w:sz w:val="24"/>
                <w:szCs w:val="24"/>
              </w:rPr>
            </w:pPr>
            <w:r>
              <w:rPr>
                <w:rFonts w:ascii="Arial" w:eastAsia="Arial" w:hAnsi="Arial" w:cs="Arial"/>
                <w:sz w:val="24"/>
                <w:szCs w:val="24"/>
              </w:rPr>
              <w:t>1.40</w:t>
            </w:r>
          </w:p>
        </w:tc>
        <w:tc>
          <w:tcPr>
            <w:tcW w:w="1005" w:type="dxa"/>
            <w:tcBorders>
              <w:top w:val="nil"/>
              <w:left w:val="nil"/>
              <w:bottom w:val="nil"/>
              <w:right w:val="nil"/>
            </w:tcBorders>
          </w:tcPr>
          <w:p w14:paraId="6662E514" w14:textId="77777777" w:rsidR="00122EB2" w:rsidRDefault="00000000">
            <w:pPr>
              <w:rPr>
                <w:rFonts w:ascii="Arial" w:eastAsia="Arial" w:hAnsi="Arial" w:cs="Arial"/>
                <w:sz w:val="24"/>
                <w:szCs w:val="24"/>
              </w:rPr>
            </w:pPr>
            <w:r>
              <w:rPr>
                <w:rFonts w:ascii="Arial" w:eastAsia="Arial" w:hAnsi="Arial" w:cs="Arial"/>
                <w:sz w:val="24"/>
                <w:szCs w:val="24"/>
              </w:rPr>
              <w:t>0.57</w:t>
            </w:r>
          </w:p>
        </w:tc>
        <w:tc>
          <w:tcPr>
            <w:tcW w:w="720" w:type="dxa"/>
            <w:tcBorders>
              <w:top w:val="nil"/>
              <w:left w:val="nil"/>
              <w:bottom w:val="nil"/>
              <w:right w:val="nil"/>
            </w:tcBorders>
          </w:tcPr>
          <w:p w14:paraId="7AFB2F7E" w14:textId="77777777" w:rsidR="00122EB2" w:rsidRDefault="00000000">
            <w:pPr>
              <w:rPr>
                <w:rFonts w:ascii="Arial" w:eastAsia="Arial" w:hAnsi="Arial" w:cs="Arial"/>
                <w:sz w:val="24"/>
                <w:szCs w:val="24"/>
              </w:rPr>
            </w:pPr>
            <w:r>
              <w:rPr>
                <w:rFonts w:ascii="Arial" w:eastAsia="Arial" w:hAnsi="Arial" w:cs="Arial"/>
                <w:sz w:val="24"/>
                <w:szCs w:val="24"/>
              </w:rPr>
              <w:t>1.13</w:t>
            </w:r>
          </w:p>
        </w:tc>
        <w:tc>
          <w:tcPr>
            <w:tcW w:w="735" w:type="dxa"/>
            <w:tcBorders>
              <w:top w:val="nil"/>
              <w:left w:val="nil"/>
              <w:bottom w:val="nil"/>
              <w:right w:val="nil"/>
            </w:tcBorders>
          </w:tcPr>
          <w:p w14:paraId="1159DEF3" w14:textId="77777777" w:rsidR="00122EB2" w:rsidRDefault="00000000">
            <w:pPr>
              <w:rPr>
                <w:rFonts w:ascii="Arial" w:eastAsia="Arial" w:hAnsi="Arial" w:cs="Arial"/>
                <w:sz w:val="24"/>
                <w:szCs w:val="24"/>
              </w:rPr>
            </w:pPr>
            <w:r>
              <w:rPr>
                <w:rFonts w:ascii="Arial" w:eastAsia="Arial" w:hAnsi="Arial" w:cs="Arial"/>
                <w:sz w:val="24"/>
                <w:szCs w:val="24"/>
              </w:rPr>
              <w:t>2.61</w:t>
            </w:r>
          </w:p>
        </w:tc>
        <w:tc>
          <w:tcPr>
            <w:tcW w:w="1035" w:type="dxa"/>
            <w:tcBorders>
              <w:top w:val="nil"/>
              <w:left w:val="nil"/>
              <w:bottom w:val="nil"/>
            </w:tcBorders>
          </w:tcPr>
          <w:p w14:paraId="3FCAD297" w14:textId="77777777" w:rsidR="00122EB2" w:rsidRDefault="00000000">
            <w:pPr>
              <w:rPr>
                <w:rFonts w:ascii="Arial" w:eastAsia="Arial" w:hAnsi="Arial" w:cs="Arial"/>
                <w:sz w:val="24"/>
                <w:szCs w:val="24"/>
              </w:rPr>
            </w:pPr>
            <w:r>
              <w:rPr>
                <w:rFonts w:ascii="Arial" w:eastAsia="Arial" w:hAnsi="Arial" w:cs="Arial"/>
                <w:sz w:val="24"/>
                <w:szCs w:val="24"/>
              </w:rPr>
              <w:t>.015*</w:t>
            </w:r>
          </w:p>
        </w:tc>
      </w:tr>
      <w:tr w:rsidR="00122EB2" w14:paraId="68B98637" w14:textId="77777777">
        <w:trPr>
          <w:trHeight w:val="435"/>
        </w:trPr>
        <w:tc>
          <w:tcPr>
            <w:tcW w:w="2730" w:type="dxa"/>
            <w:tcBorders>
              <w:top w:val="nil"/>
              <w:right w:val="nil"/>
            </w:tcBorders>
          </w:tcPr>
          <w:p w14:paraId="3B02A2C3" w14:textId="77777777" w:rsidR="00122EB2" w:rsidRDefault="00000000">
            <w:pPr>
              <w:ind w:left="720"/>
              <w:rPr>
                <w:rFonts w:ascii="Arial" w:eastAsia="Arial" w:hAnsi="Arial" w:cs="Arial"/>
                <w:sz w:val="24"/>
                <w:szCs w:val="24"/>
              </w:rPr>
            </w:pPr>
            <w:r>
              <w:rPr>
                <w:rFonts w:ascii="Arial" w:eastAsia="Arial" w:hAnsi="Arial" w:cs="Arial"/>
                <w:sz w:val="24"/>
                <w:szCs w:val="24"/>
              </w:rPr>
              <w:t>Exercise Rigidity</w:t>
            </w:r>
          </w:p>
        </w:tc>
        <w:tc>
          <w:tcPr>
            <w:tcW w:w="945" w:type="dxa"/>
            <w:tcBorders>
              <w:top w:val="nil"/>
              <w:left w:val="nil"/>
              <w:right w:val="nil"/>
            </w:tcBorders>
          </w:tcPr>
          <w:p w14:paraId="6F2ADE84" w14:textId="77777777" w:rsidR="00122EB2" w:rsidRDefault="00000000">
            <w:pPr>
              <w:rPr>
                <w:rFonts w:ascii="Arial" w:eastAsia="Arial" w:hAnsi="Arial" w:cs="Arial"/>
                <w:sz w:val="24"/>
                <w:szCs w:val="24"/>
              </w:rPr>
            </w:pPr>
            <w:r>
              <w:rPr>
                <w:rFonts w:ascii="Arial" w:eastAsia="Arial" w:hAnsi="Arial" w:cs="Arial"/>
                <w:sz w:val="24"/>
                <w:szCs w:val="24"/>
              </w:rPr>
              <w:t>3.59</w:t>
            </w:r>
          </w:p>
        </w:tc>
        <w:tc>
          <w:tcPr>
            <w:tcW w:w="735" w:type="dxa"/>
            <w:tcBorders>
              <w:top w:val="nil"/>
              <w:left w:val="nil"/>
              <w:right w:val="nil"/>
            </w:tcBorders>
          </w:tcPr>
          <w:p w14:paraId="5AA75953" w14:textId="77777777" w:rsidR="00122EB2" w:rsidRDefault="00000000">
            <w:pPr>
              <w:rPr>
                <w:rFonts w:ascii="Arial" w:eastAsia="Arial" w:hAnsi="Arial" w:cs="Arial"/>
                <w:sz w:val="24"/>
                <w:szCs w:val="24"/>
              </w:rPr>
            </w:pPr>
            <w:r>
              <w:rPr>
                <w:rFonts w:ascii="Arial" w:eastAsia="Arial" w:hAnsi="Arial" w:cs="Arial"/>
                <w:sz w:val="24"/>
                <w:szCs w:val="24"/>
              </w:rPr>
              <w:t>1.26</w:t>
            </w:r>
          </w:p>
        </w:tc>
        <w:tc>
          <w:tcPr>
            <w:tcW w:w="885" w:type="dxa"/>
            <w:tcBorders>
              <w:top w:val="nil"/>
              <w:left w:val="nil"/>
              <w:right w:val="nil"/>
            </w:tcBorders>
          </w:tcPr>
          <w:p w14:paraId="611AAA3B" w14:textId="77777777" w:rsidR="00122EB2" w:rsidRDefault="00000000">
            <w:pPr>
              <w:rPr>
                <w:rFonts w:ascii="Arial" w:eastAsia="Arial" w:hAnsi="Arial" w:cs="Arial"/>
                <w:sz w:val="24"/>
                <w:szCs w:val="24"/>
              </w:rPr>
            </w:pPr>
            <w:r>
              <w:rPr>
                <w:rFonts w:ascii="Arial" w:eastAsia="Arial" w:hAnsi="Arial" w:cs="Arial"/>
                <w:sz w:val="24"/>
                <w:szCs w:val="24"/>
              </w:rPr>
              <w:t>2.46</w:t>
            </w:r>
          </w:p>
        </w:tc>
        <w:tc>
          <w:tcPr>
            <w:tcW w:w="705" w:type="dxa"/>
            <w:tcBorders>
              <w:top w:val="nil"/>
              <w:left w:val="nil"/>
              <w:right w:val="nil"/>
            </w:tcBorders>
          </w:tcPr>
          <w:p w14:paraId="5701748C" w14:textId="77777777" w:rsidR="00122EB2" w:rsidRDefault="00000000">
            <w:pPr>
              <w:rPr>
                <w:rFonts w:ascii="Arial" w:eastAsia="Arial" w:hAnsi="Arial" w:cs="Arial"/>
                <w:sz w:val="24"/>
                <w:szCs w:val="24"/>
              </w:rPr>
            </w:pPr>
            <w:r>
              <w:rPr>
                <w:rFonts w:ascii="Arial" w:eastAsia="Arial" w:hAnsi="Arial" w:cs="Arial"/>
                <w:sz w:val="24"/>
                <w:szCs w:val="24"/>
              </w:rPr>
              <w:t>1.60</w:t>
            </w:r>
          </w:p>
        </w:tc>
        <w:tc>
          <w:tcPr>
            <w:tcW w:w="1005" w:type="dxa"/>
            <w:tcBorders>
              <w:top w:val="nil"/>
              <w:left w:val="nil"/>
              <w:right w:val="nil"/>
            </w:tcBorders>
          </w:tcPr>
          <w:p w14:paraId="6DE0F3E7" w14:textId="77777777" w:rsidR="00122EB2" w:rsidRDefault="00000000">
            <w:pPr>
              <w:rPr>
                <w:rFonts w:ascii="Arial" w:eastAsia="Arial" w:hAnsi="Arial" w:cs="Arial"/>
                <w:sz w:val="24"/>
                <w:szCs w:val="24"/>
              </w:rPr>
            </w:pPr>
            <w:r>
              <w:rPr>
                <w:rFonts w:ascii="Arial" w:eastAsia="Arial" w:hAnsi="Arial" w:cs="Arial"/>
                <w:sz w:val="24"/>
                <w:szCs w:val="24"/>
              </w:rPr>
              <w:t>1.13</w:t>
            </w:r>
          </w:p>
        </w:tc>
        <w:tc>
          <w:tcPr>
            <w:tcW w:w="720" w:type="dxa"/>
            <w:tcBorders>
              <w:top w:val="nil"/>
              <w:left w:val="nil"/>
              <w:right w:val="nil"/>
            </w:tcBorders>
          </w:tcPr>
          <w:p w14:paraId="69F9C4F9" w14:textId="77777777" w:rsidR="00122EB2" w:rsidRDefault="00000000">
            <w:pPr>
              <w:rPr>
                <w:rFonts w:ascii="Arial" w:eastAsia="Arial" w:hAnsi="Arial" w:cs="Arial"/>
                <w:sz w:val="24"/>
                <w:szCs w:val="24"/>
              </w:rPr>
            </w:pPr>
            <w:r>
              <w:rPr>
                <w:rFonts w:ascii="Arial" w:eastAsia="Arial" w:hAnsi="Arial" w:cs="Arial"/>
                <w:sz w:val="24"/>
                <w:szCs w:val="24"/>
              </w:rPr>
              <w:t>1.15</w:t>
            </w:r>
          </w:p>
        </w:tc>
        <w:tc>
          <w:tcPr>
            <w:tcW w:w="735" w:type="dxa"/>
            <w:tcBorders>
              <w:top w:val="nil"/>
              <w:left w:val="nil"/>
              <w:right w:val="nil"/>
            </w:tcBorders>
          </w:tcPr>
          <w:p w14:paraId="2E067F6A" w14:textId="77777777" w:rsidR="00122EB2" w:rsidRDefault="00000000">
            <w:pPr>
              <w:rPr>
                <w:rFonts w:ascii="Arial" w:eastAsia="Arial" w:hAnsi="Arial" w:cs="Arial"/>
                <w:sz w:val="24"/>
                <w:szCs w:val="24"/>
              </w:rPr>
            </w:pPr>
            <w:r>
              <w:rPr>
                <w:rFonts w:ascii="Arial" w:eastAsia="Arial" w:hAnsi="Arial" w:cs="Arial"/>
                <w:sz w:val="24"/>
                <w:szCs w:val="24"/>
              </w:rPr>
              <w:t>5.12</w:t>
            </w:r>
          </w:p>
        </w:tc>
        <w:tc>
          <w:tcPr>
            <w:tcW w:w="1035" w:type="dxa"/>
            <w:tcBorders>
              <w:top w:val="nil"/>
              <w:left w:val="nil"/>
            </w:tcBorders>
          </w:tcPr>
          <w:p w14:paraId="4A52E21E"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44ABB7D7" w14:textId="77777777">
        <w:tc>
          <w:tcPr>
            <w:tcW w:w="9495" w:type="dxa"/>
            <w:gridSpan w:val="9"/>
          </w:tcPr>
          <w:p w14:paraId="305EECB5" w14:textId="77777777" w:rsidR="00122EB2" w:rsidRDefault="00000000">
            <w:pPr>
              <w:rPr>
                <w:rFonts w:ascii="Arial" w:eastAsia="Arial" w:hAnsi="Arial" w:cs="Arial"/>
                <w:sz w:val="24"/>
                <w:szCs w:val="24"/>
              </w:rPr>
            </w:pPr>
            <w:r>
              <w:rPr>
                <w:rFonts w:ascii="Arial" w:eastAsia="Arial" w:hAnsi="Arial" w:cs="Arial"/>
                <w:sz w:val="24"/>
                <w:szCs w:val="24"/>
              </w:rPr>
              <w:t>Mean change of exercise compulsion was identified through two-sided paired samples t tests. *Statistical significance &lt;.05; **Highly statistically significant &lt;.01</w:t>
            </w:r>
          </w:p>
        </w:tc>
      </w:tr>
    </w:tbl>
    <w:p w14:paraId="0AB89604" w14:textId="77777777" w:rsidR="00122EB2" w:rsidRDefault="00122EB2">
      <w:pPr>
        <w:rPr>
          <w:rFonts w:ascii="Arial" w:eastAsia="Arial" w:hAnsi="Arial" w:cs="Arial"/>
          <w:sz w:val="24"/>
          <w:szCs w:val="24"/>
        </w:rPr>
      </w:pPr>
    </w:p>
    <w:tbl>
      <w:tblPr>
        <w:tblStyle w:val="ae"/>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840"/>
        <w:gridCol w:w="735"/>
        <w:gridCol w:w="915"/>
        <w:gridCol w:w="765"/>
        <w:gridCol w:w="1020"/>
        <w:gridCol w:w="690"/>
        <w:gridCol w:w="840"/>
        <w:gridCol w:w="1035"/>
      </w:tblGrid>
      <w:tr w:rsidR="00122EB2" w14:paraId="029FEDA8" w14:textId="77777777">
        <w:tc>
          <w:tcPr>
            <w:tcW w:w="9495" w:type="dxa"/>
            <w:gridSpan w:val="9"/>
            <w:tcBorders>
              <w:bottom w:val="single" w:sz="4" w:space="0" w:color="000000"/>
            </w:tcBorders>
          </w:tcPr>
          <w:p w14:paraId="665FC1EF" w14:textId="77777777" w:rsidR="00122EB2" w:rsidRDefault="00000000">
            <w:pPr>
              <w:rPr>
                <w:rFonts w:ascii="Arial" w:eastAsia="Arial" w:hAnsi="Arial" w:cs="Arial"/>
                <w:sz w:val="24"/>
                <w:szCs w:val="24"/>
              </w:rPr>
            </w:pPr>
            <w:r>
              <w:rPr>
                <w:rFonts w:ascii="Arial" w:eastAsia="Arial" w:hAnsi="Arial" w:cs="Arial"/>
                <w:b/>
                <w:bCs/>
                <w:sz w:val="24"/>
                <w:szCs w:val="24"/>
              </w:rPr>
              <w:t>Table 3</w:t>
            </w:r>
            <w:r>
              <w:rPr>
                <w:rFonts w:ascii="Arial" w:eastAsia="Arial" w:hAnsi="Arial" w:cs="Arial"/>
                <w:sz w:val="24"/>
                <w:szCs w:val="24"/>
              </w:rPr>
              <w:t xml:space="preserve"> Mean, Standard Deviation and Change of total CET and CET subscales in TAU group</w:t>
            </w:r>
          </w:p>
        </w:tc>
      </w:tr>
      <w:tr w:rsidR="00122EB2" w14:paraId="226C2363" w14:textId="77777777">
        <w:tc>
          <w:tcPr>
            <w:tcW w:w="2655" w:type="dxa"/>
            <w:tcBorders>
              <w:bottom w:val="single" w:sz="4" w:space="0" w:color="000000"/>
              <w:right w:val="nil"/>
            </w:tcBorders>
          </w:tcPr>
          <w:p w14:paraId="4C6CF4DC" w14:textId="77777777" w:rsidR="00122EB2" w:rsidRDefault="00122EB2">
            <w:pPr>
              <w:rPr>
                <w:rFonts w:ascii="Arial" w:eastAsia="Arial" w:hAnsi="Arial" w:cs="Arial"/>
                <w:sz w:val="24"/>
                <w:szCs w:val="24"/>
              </w:rPr>
            </w:pPr>
          </w:p>
        </w:tc>
        <w:tc>
          <w:tcPr>
            <w:tcW w:w="1575" w:type="dxa"/>
            <w:gridSpan w:val="2"/>
            <w:tcBorders>
              <w:left w:val="nil"/>
              <w:bottom w:val="single" w:sz="4" w:space="0" w:color="000000"/>
              <w:right w:val="nil"/>
            </w:tcBorders>
          </w:tcPr>
          <w:p w14:paraId="0AFA89EC" w14:textId="77777777" w:rsidR="00122EB2" w:rsidRDefault="00000000">
            <w:pPr>
              <w:rPr>
                <w:rFonts w:ascii="Arial" w:eastAsia="Arial" w:hAnsi="Arial" w:cs="Arial"/>
                <w:sz w:val="24"/>
                <w:szCs w:val="24"/>
              </w:rPr>
            </w:pPr>
            <w:r>
              <w:rPr>
                <w:rFonts w:ascii="Arial" w:eastAsia="Arial" w:hAnsi="Arial" w:cs="Arial"/>
                <w:sz w:val="24"/>
                <w:szCs w:val="24"/>
              </w:rPr>
              <w:t>T1</w:t>
            </w:r>
          </w:p>
        </w:tc>
        <w:tc>
          <w:tcPr>
            <w:tcW w:w="1680" w:type="dxa"/>
            <w:gridSpan w:val="2"/>
            <w:tcBorders>
              <w:left w:val="nil"/>
              <w:bottom w:val="single" w:sz="4" w:space="0" w:color="000000"/>
              <w:right w:val="nil"/>
            </w:tcBorders>
          </w:tcPr>
          <w:p w14:paraId="4889DFBA" w14:textId="77777777" w:rsidR="00122EB2" w:rsidRDefault="00000000">
            <w:pPr>
              <w:rPr>
                <w:rFonts w:ascii="Arial" w:eastAsia="Arial" w:hAnsi="Arial" w:cs="Arial"/>
                <w:sz w:val="24"/>
                <w:szCs w:val="24"/>
              </w:rPr>
            </w:pPr>
            <w:r>
              <w:rPr>
                <w:rFonts w:ascii="Arial" w:eastAsia="Arial" w:hAnsi="Arial" w:cs="Arial"/>
                <w:sz w:val="24"/>
                <w:szCs w:val="24"/>
              </w:rPr>
              <w:t>T2</w:t>
            </w:r>
          </w:p>
        </w:tc>
        <w:tc>
          <w:tcPr>
            <w:tcW w:w="3585" w:type="dxa"/>
            <w:gridSpan w:val="4"/>
            <w:tcBorders>
              <w:left w:val="nil"/>
              <w:bottom w:val="single" w:sz="4" w:space="0" w:color="000000"/>
            </w:tcBorders>
          </w:tcPr>
          <w:p w14:paraId="6C58B6DD" w14:textId="77777777" w:rsidR="00122EB2" w:rsidRDefault="00000000">
            <w:pPr>
              <w:rPr>
                <w:rFonts w:ascii="Arial" w:eastAsia="Arial" w:hAnsi="Arial" w:cs="Arial"/>
                <w:sz w:val="24"/>
                <w:szCs w:val="24"/>
              </w:rPr>
            </w:pPr>
            <w:r>
              <w:rPr>
                <w:rFonts w:ascii="Arial" w:eastAsia="Arial" w:hAnsi="Arial" w:cs="Arial"/>
                <w:sz w:val="24"/>
                <w:szCs w:val="24"/>
              </w:rPr>
              <w:t>Pre- to post-group</w:t>
            </w:r>
          </w:p>
        </w:tc>
      </w:tr>
      <w:tr w:rsidR="00122EB2" w14:paraId="1FBFB1F1" w14:textId="77777777">
        <w:tc>
          <w:tcPr>
            <w:tcW w:w="2655" w:type="dxa"/>
            <w:tcBorders>
              <w:top w:val="single" w:sz="4" w:space="0" w:color="000000"/>
              <w:bottom w:val="single" w:sz="4" w:space="0" w:color="000000"/>
              <w:right w:val="nil"/>
            </w:tcBorders>
          </w:tcPr>
          <w:p w14:paraId="29966468" w14:textId="77777777" w:rsidR="00122EB2" w:rsidRDefault="00122EB2">
            <w:pPr>
              <w:rPr>
                <w:rFonts w:ascii="Arial" w:eastAsia="Arial" w:hAnsi="Arial" w:cs="Arial"/>
                <w:sz w:val="24"/>
                <w:szCs w:val="24"/>
              </w:rPr>
            </w:pPr>
          </w:p>
        </w:tc>
        <w:tc>
          <w:tcPr>
            <w:tcW w:w="840" w:type="dxa"/>
            <w:tcBorders>
              <w:top w:val="single" w:sz="4" w:space="0" w:color="000000"/>
              <w:left w:val="nil"/>
              <w:bottom w:val="single" w:sz="4" w:space="0" w:color="000000"/>
              <w:right w:val="nil"/>
            </w:tcBorders>
          </w:tcPr>
          <w:p w14:paraId="0996C2A6"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35" w:type="dxa"/>
            <w:tcBorders>
              <w:top w:val="single" w:sz="4" w:space="0" w:color="000000"/>
              <w:left w:val="nil"/>
              <w:bottom w:val="single" w:sz="4" w:space="0" w:color="000000"/>
              <w:right w:val="nil"/>
            </w:tcBorders>
          </w:tcPr>
          <w:p w14:paraId="77B61E1D"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915" w:type="dxa"/>
            <w:tcBorders>
              <w:top w:val="single" w:sz="4" w:space="0" w:color="000000"/>
              <w:left w:val="nil"/>
              <w:bottom w:val="single" w:sz="4" w:space="0" w:color="000000"/>
              <w:right w:val="nil"/>
            </w:tcBorders>
          </w:tcPr>
          <w:p w14:paraId="20AE2723"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65" w:type="dxa"/>
            <w:tcBorders>
              <w:top w:val="single" w:sz="4" w:space="0" w:color="000000"/>
              <w:left w:val="nil"/>
              <w:bottom w:val="single" w:sz="4" w:space="0" w:color="000000"/>
              <w:right w:val="nil"/>
            </w:tcBorders>
          </w:tcPr>
          <w:p w14:paraId="54203312"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1020" w:type="dxa"/>
            <w:tcBorders>
              <w:top w:val="single" w:sz="4" w:space="0" w:color="000000"/>
              <w:left w:val="nil"/>
              <w:bottom w:val="single" w:sz="4" w:space="0" w:color="000000"/>
              <w:right w:val="nil"/>
            </w:tcBorders>
          </w:tcPr>
          <w:p w14:paraId="72540CB5" w14:textId="77777777" w:rsidR="00122EB2" w:rsidRDefault="00000000">
            <w:pPr>
              <w:rPr>
                <w:rFonts w:ascii="Arial" w:eastAsia="Arial" w:hAnsi="Arial" w:cs="Arial"/>
                <w:sz w:val="24"/>
                <w:szCs w:val="24"/>
              </w:rPr>
            </w:pPr>
            <w:r>
              <w:rPr>
                <w:rFonts w:ascii="Arial" w:eastAsia="Arial" w:hAnsi="Arial" w:cs="Arial"/>
                <w:sz w:val="24"/>
                <w:szCs w:val="24"/>
              </w:rPr>
              <w:t>Mean change</w:t>
            </w:r>
          </w:p>
        </w:tc>
        <w:tc>
          <w:tcPr>
            <w:tcW w:w="690" w:type="dxa"/>
            <w:tcBorders>
              <w:top w:val="single" w:sz="4" w:space="0" w:color="000000"/>
              <w:left w:val="nil"/>
              <w:bottom w:val="single" w:sz="4" w:space="0" w:color="000000"/>
              <w:right w:val="nil"/>
            </w:tcBorders>
          </w:tcPr>
          <w:p w14:paraId="1D786D6C"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840" w:type="dxa"/>
            <w:tcBorders>
              <w:top w:val="single" w:sz="4" w:space="0" w:color="000000"/>
              <w:left w:val="nil"/>
              <w:bottom w:val="single" w:sz="4" w:space="0" w:color="000000"/>
              <w:right w:val="nil"/>
            </w:tcBorders>
          </w:tcPr>
          <w:p w14:paraId="300A90D7" w14:textId="77777777" w:rsidR="00122EB2" w:rsidRDefault="00000000">
            <w:pPr>
              <w:rPr>
                <w:rFonts w:ascii="Arial" w:eastAsia="Arial" w:hAnsi="Arial" w:cs="Arial"/>
                <w:sz w:val="24"/>
                <w:szCs w:val="24"/>
              </w:rPr>
            </w:pPr>
            <w:r>
              <w:rPr>
                <w:rFonts w:ascii="Arial" w:eastAsia="Arial" w:hAnsi="Arial" w:cs="Arial"/>
                <w:sz w:val="24"/>
                <w:szCs w:val="24"/>
              </w:rPr>
              <w:t>t</w:t>
            </w:r>
          </w:p>
        </w:tc>
        <w:tc>
          <w:tcPr>
            <w:tcW w:w="1035" w:type="dxa"/>
            <w:tcBorders>
              <w:top w:val="single" w:sz="4" w:space="0" w:color="000000"/>
              <w:left w:val="nil"/>
              <w:bottom w:val="single" w:sz="4" w:space="0" w:color="000000"/>
            </w:tcBorders>
          </w:tcPr>
          <w:p w14:paraId="20636252" w14:textId="77777777" w:rsidR="00122EB2" w:rsidRDefault="00000000">
            <w:pPr>
              <w:rPr>
                <w:rFonts w:ascii="Arial" w:eastAsia="Arial" w:hAnsi="Arial" w:cs="Arial"/>
                <w:i/>
                <w:iCs/>
                <w:sz w:val="24"/>
                <w:szCs w:val="24"/>
              </w:rPr>
            </w:pPr>
            <w:r>
              <w:rPr>
                <w:rFonts w:ascii="Arial" w:eastAsia="Arial" w:hAnsi="Arial" w:cs="Arial"/>
                <w:i/>
                <w:iCs/>
                <w:sz w:val="24"/>
                <w:szCs w:val="24"/>
              </w:rPr>
              <w:t>p</w:t>
            </w:r>
          </w:p>
        </w:tc>
      </w:tr>
      <w:tr w:rsidR="00122EB2" w14:paraId="2E9887C9" w14:textId="77777777">
        <w:trPr>
          <w:trHeight w:val="660"/>
        </w:trPr>
        <w:tc>
          <w:tcPr>
            <w:tcW w:w="2655" w:type="dxa"/>
            <w:tcBorders>
              <w:bottom w:val="nil"/>
              <w:right w:val="nil"/>
            </w:tcBorders>
          </w:tcPr>
          <w:p w14:paraId="181A2F56" w14:textId="77777777" w:rsidR="00122EB2" w:rsidRDefault="00000000">
            <w:pPr>
              <w:rPr>
                <w:rFonts w:ascii="Arial" w:eastAsia="Arial" w:hAnsi="Arial" w:cs="Arial"/>
                <w:sz w:val="24"/>
                <w:szCs w:val="24"/>
              </w:rPr>
            </w:pPr>
            <w:r>
              <w:rPr>
                <w:rFonts w:ascii="Arial" w:eastAsia="Arial" w:hAnsi="Arial" w:cs="Arial"/>
                <w:sz w:val="24"/>
                <w:szCs w:val="24"/>
              </w:rPr>
              <w:t>Compulsive Exercise (Total CET)</w:t>
            </w:r>
          </w:p>
        </w:tc>
        <w:tc>
          <w:tcPr>
            <w:tcW w:w="840" w:type="dxa"/>
            <w:tcBorders>
              <w:left w:val="nil"/>
              <w:bottom w:val="nil"/>
              <w:right w:val="nil"/>
            </w:tcBorders>
          </w:tcPr>
          <w:p w14:paraId="3F96C657" w14:textId="77777777" w:rsidR="00122EB2" w:rsidRDefault="00000000">
            <w:pPr>
              <w:rPr>
                <w:rFonts w:ascii="Arial" w:eastAsia="Arial" w:hAnsi="Arial" w:cs="Arial"/>
                <w:sz w:val="24"/>
                <w:szCs w:val="24"/>
              </w:rPr>
            </w:pPr>
            <w:r>
              <w:rPr>
                <w:rFonts w:ascii="Arial" w:eastAsia="Arial" w:hAnsi="Arial" w:cs="Arial"/>
                <w:sz w:val="24"/>
                <w:szCs w:val="24"/>
              </w:rPr>
              <w:t>14.86</w:t>
            </w:r>
          </w:p>
        </w:tc>
        <w:tc>
          <w:tcPr>
            <w:tcW w:w="735" w:type="dxa"/>
            <w:tcBorders>
              <w:left w:val="nil"/>
              <w:bottom w:val="nil"/>
              <w:right w:val="nil"/>
            </w:tcBorders>
          </w:tcPr>
          <w:p w14:paraId="1643D81E" w14:textId="77777777" w:rsidR="00122EB2" w:rsidRDefault="00000000">
            <w:pPr>
              <w:rPr>
                <w:rFonts w:ascii="Arial" w:eastAsia="Arial" w:hAnsi="Arial" w:cs="Arial"/>
                <w:sz w:val="24"/>
                <w:szCs w:val="24"/>
              </w:rPr>
            </w:pPr>
            <w:r>
              <w:rPr>
                <w:rFonts w:ascii="Arial" w:eastAsia="Arial" w:hAnsi="Arial" w:cs="Arial"/>
                <w:sz w:val="24"/>
                <w:szCs w:val="24"/>
              </w:rPr>
              <w:t>3.95</w:t>
            </w:r>
          </w:p>
        </w:tc>
        <w:tc>
          <w:tcPr>
            <w:tcW w:w="915" w:type="dxa"/>
            <w:tcBorders>
              <w:left w:val="nil"/>
              <w:bottom w:val="nil"/>
              <w:right w:val="nil"/>
            </w:tcBorders>
          </w:tcPr>
          <w:p w14:paraId="43C6A893" w14:textId="77777777" w:rsidR="00122EB2" w:rsidRDefault="00000000">
            <w:pPr>
              <w:rPr>
                <w:rFonts w:ascii="Arial" w:eastAsia="Arial" w:hAnsi="Arial" w:cs="Arial"/>
                <w:sz w:val="24"/>
                <w:szCs w:val="24"/>
              </w:rPr>
            </w:pPr>
            <w:r>
              <w:rPr>
                <w:rFonts w:ascii="Arial" w:eastAsia="Arial" w:hAnsi="Arial" w:cs="Arial"/>
                <w:sz w:val="24"/>
                <w:szCs w:val="24"/>
              </w:rPr>
              <w:t>12.17</w:t>
            </w:r>
          </w:p>
        </w:tc>
        <w:tc>
          <w:tcPr>
            <w:tcW w:w="765" w:type="dxa"/>
            <w:tcBorders>
              <w:left w:val="nil"/>
              <w:bottom w:val="nil"/>
              <w:right w:val="nil"/>
            </w:tcBorders>
          </w:tcPr>
          <w:p w14:paraId="373DF9A7" w14:textId="77777777" w:rsidR="00122EB2" w:rsidRDefault="00000000">
            <w:pPr>
              <w:rPr>
                <w:rFonts w:ascii="Arial" w:eastAsia="Arial" w:hAnsi="Arial" w:cs="Arial"/>
                <w:sz w:val="24"/>
                <w:szCs w:val="24"/>
              </w:rPr>
            </w:pPr>
            <w:r>
              <w:rPr>
                <w:rFonts w:ascii="Arial" w:eastAsia="Arial" w:hAnsi="Arial" w:cs="Arial"/>
                <w:sz w:val="24"/>
                <w:szCs w:val="24"/>
              </w:rPr>
              <w:t>4.85</w:t>
            </w:r>
          </w:p>
        </w:tc>
        <w:tc>
          <w:tcPr>
            <w:tcW w:w="1020" w:type="dxa"/>
            <w:tcBorders>
              <w:left w:val="nil"/>
              <w:bottom w:val="nil"/>
              <w:right w:val="nil"/>
            </w:tcBorders>
          </w:tcPr>
          <w:p w14:paraId="5F9F44DF" w14:textId="77777777" w:rsidR="00122EB2" w:rsidRDefault="00000000">
            <w:pPr>
              <w:rPr>
                <w:rFonts w:ascii="Arial" w:eastAsia="Arial" w:hAnsi="Arial" w:cs="Arial"/>
                <w:sz w:val="24"/>
                <w:szCs w:val="24"/>
              </w:rPr>
            </w:pPr>
            <w:r>
              <w:rPr>
                <w:rFonts w:ascii="Arial" w:eastAsia="Arial" w:hAnsi="Arial" w:cs="Arial"/>
                <w:sz w:val="24"/>
                <w:szCs w:val="24"/>
              </w:rPr>
              <w:t>2.68</w:t>
            </w:r>
          </w:p>
        </w:tc>
        <w:tc>
          <w:tcPr>
            <w:tcW w:w="690" w:type="dxa"/>
            <w:tcBorders>
              <w:left w:val="nil"/>
              <w:bottom w:val="nil"/>
              <w:right w:val="nil"/>
            </w:tcBorders>
          </w:tcPr>
          <w:p w14:paraId="7C220A9B" w14:textId="77777777" w:rsidR="00122EB2" w:rsidRDefault="00000000">
            <w:pPr>
              <w:rPr>
                <w:rFonts w:ascii="Arial" w:eastAsia="Arial" w:hAnsi="Arial" w:cs="Arial"/>
                <w:sz w:val="24"/>
                <w:szCs w:val="24"/>
              </w:rPr>
            </w:pPr>
            <w:r>
              <w:rPr>
                <w:rFonts w:ascii="Arial" w:eastAsia="Arial" w:hAnsi="Arial" w:cs="Arial"/>
                <w:sz w:val="24"/>
                <w:szCs w:val="24"/>
              </w:rPr>
              <w:t>2.94</w:t>
            </w:r>
          </w:p>
        </w:tc>
        <w:tc>
          <w:tcPr>
            <w:tcW w:w="840" w:type="dxa"/>
            <w:tcBorders>
              <w:left w:val="nil"/>
              <w:bottom w:val="nil"/>
              <w:right w:val="nil"/>
            </w:tcBorders>
          </w:tcPr>
          <w:p w14:paraId="40FDD638" w14:textId="77777777" w:rsidR="00122EB2" w:rsidRDefault="00000000">
            <w:pPr>
              <w:rPr>
                <w:rFonts w:ascii="Arial" w:eastAsia="Arial" w:hAnsi="Arial" w:cs="Arial"/>
                <w:sz w:val="24"/>
                <w:szCs w:val="24"/>
              </w:rPr>
            </w:pPr>
            <w:r>
              <w:rPr>
                <w:rFonts w:ascii="Arial" w:eastAsia="Arial" w:hAnsi="Arial" w:cs="Arial"/>
                <w:sz w:val="24"/>
                <w:szCs w:val="24"/>
              </w:rPr>
              <w:t>4.47</w:t>
            </w:r>
          </w:p>
        </w:tc>
        <w:tc>
          <w:tcPr>
            <w:tcW w:w="1035" w:type="dxa"/>
            <w:tcBorders>
              <w:left w:val="nil"/>
              <w:bottom w:val="nil"/>
            </w:tcBorders>
          </w:tcPr>
          <w:p w14:paraId="650FEA33"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4DB4A563" w14:textId="77777777">
        <w:tc>
          <w:tcPr>
            <w:tcW w:w="2655" w:type="dxa"/>
            <w:tcBorders>
              <w:top w:val="nil"/>
              <w:bottom w:val="nil"/>
              <w:right w:val="nil"/>
            </w:tcBorders>
          </w:tcPr>
          <w:p w14:paraId="2C9DFB05" w14:textId="77777777" w:rsidR="00122EB2" w:rsidRDefault="00000000">
            <w:pPr>
              <w:rPr>
                <w:rFonts w:ascii="Arial" w:eastAsia="Arial" w:hAnsi="Arial" w:cs="Arial"/>
                <w:sz w:val="24"/>
                <w:szCs w:val="24"/>
              </w:rPr>
            </w:pPr>
            <w:r>
              <w:rPr>
                <w:rFonts w:ascii="Arial" w:eastAsia="Arial" w:hAnsi="Arial" w:cs="Arial"/>
                <w:sz w:val="24"/>
                <w:szCs w:val="24"/>
              </w:rPr>
              <w:t>CET Subscales</w:t>
            </w:r>
          </w:p>
        </w:tc>
        <w:tc>
          <w:tcPr>
            <w:tcW w:w="840" w:type="dxa"/>
            <w:tcBorders>
              <w:top w:val="nil"/>
              <w:left w:val="nil"/>
              <w:bottom w:val="nil"/>
              <w:right w:val="nil"/>
            </w:tcBorders>
          </w:tcPr>
          <w:p w14:paraId="43B3AFDB" w14:textId="77777777" w:rsidR="00122EB2" w:rsidRDefault="00122EB2">
            <w:pPr>
              <w:rPr>
                <w:rFonts w:ascii="Arial" w:eastAsia="Arial" w:hAnsi="Arial" w:cs="Arial"/>
                <w:sz w:val="24"/>
                <w:szCs w:val="24"/>
              </w:rPr>
            </w:pPr>
          </w:p>
        </w:tc>
        <w:tc>
          <w:tcPr>
            <w:tcW w:w="735" w:type="dxa"/>
            <w:tcBorders>
              <w:top w:val="nil"/>
              <w:left w:val="nil"/>
              <w:bottom w:val="nil"/>
              <w:right w:val="nil"/>
            </w:tcBorders>
          </w:tcPr>
          <w:p w14:paraId="5F6E3182" w14:textId="77777777" w:rsidR="00122EB2" w:rsidRDefault="00122EB2">
            <w:pPr>
              <w:rPr>
                <w:rFonts w:ascii="Arial" w:eastAsia="Arial" w:hAnsi="Arial" w:cs="Arial"/>
                <w:sz w:val="24"/>
                <w:szCs w:val="24"/>
              </w:rPr>
            </w:pPr>
          </w:p>
        </w:tc>
        <w:tc>
          <w:tcPr>
            <w:tcW w:w="915" w:type="dxa"/>
            <w:tcBorders>
              <w:top w:val="nil"/>
              <w:left w:val="nil"/>
              <w:bottom w:val="nil"/>
              <w:right w:val="nil"/>
            </w:tcBorders>
          </w:tcPr>
          <w:p w14:paraId="216E36F9" w14:textId="77777777" w:rsidR="00122EB2" w:rsidRDefault="00122EB2">
            <w:pPr>
              <w:rPr>
                <w:rFonts w:ascii="Arial" w:eastAsia="Arial" w:hAnsi="Arial" w:cs="Arial"/>
                <w:sz w:val="24"/>
                <w:szCs w:val="24"/>
              </w:rPr>
            </w:pPr>
          </w:p>
        </w:tc>
        <w:tc>
          <w:tcPr>
            <w:tcW w:w="765" w:type="dxa"/>
            <w:tcBorders>
              <w:top w:val="nil"/>
              <w:left w:val="nil"/>
              <w:bottom w:val="nil"/>
              <w:right w:val="nil"/>
            </w:tcBorders>
          </w:tcPr>
          <w:p w14:paraId="1C3FB3C5" w14:textId="77777777" w:rsidR="00122EB2" w:rsidRDefault="00122EB2">
            <w:pPr>
              <w:rPr>
                <w:rFonts w:ascii="Arial" w:eastAsia="Arial" w:hAnsi="Arial" w:cs="Arial"/>
                <w:sz w:val="24"/>
                <w:szCs w:val="24"/>
              </w:rPr>
            </w:pPr>
          </w:p>
        </w:tc>
        <w:tc>
          <w:tcPr>
            <w:tcW w:w="1020" w:type="dxa"/>
            <w:tcBorders>
              <w:top w:val="nil"/>
              <w:left w:val="nil"/>
              <w:bottom w:val="nil"/>
              <w:right w:val="nil"/>
            </w:tcBorders>
          </w:tcPr>
          <w:p w14:paraId="52E040B7" w14:textId="77777777" w:rsidR="00122EB2" w:rsidRDefault="00122EB2">
            <w:pPr>
              <w:rPr>
                <w:rFonts w:ascii="Arial" w:eastAsia="Arial" w:hAnsi="Arial" w:cs="Arial"/>
                <w:sz w:val="24"/>
                <w:szCs w:val="24"/>
              </w:rPr>
            </w:pPr>
          </w:p>
        </w:tc>
        <w:tc>
          <w:tcPr>
            <w:tcW w:w="690" w:type="dxa"/>
            <w:tcBorders>
              <w:top w:val="nil"/>
              <w:left w:val="nil"/>
              <w:bottom w:val="nil"/>
              <w:right w:val="nil"/>
            </w:tcBorders>
          </w:tcPr>
          <w:p w14:paraId="001F9682" w14:textId="77777777" w:rsidR="00122EB2" w:rsidRDefault="00122EB2">
            <w:pPr>
              <w:rPr>
                <w:rFonts w:ascii="Arial" w:eastAsia="Arial" w:hAnsi="Arial" w:cs="Arial"/>
                <w:sz w:val="24"/>
                <w:szCs w:val="24"/>
              </w:rPr>
            </w:pPr>
          </w:p>
        </w:tc>
        <w:tc>
          <w:tcPr>
            <w:tcW w:w="840" w:type="dxa"/>
            <w:tcBorders>
              <w:top w:val="nil"/>
              <w:left w:val="nil"/>
              <w:bottom w:val="nil"/>
              <w:right w:val="nil"/>
            </w:tcBorders>
          </w:tcPr>
          <w:p w14:paraId="56DDAD87" w14:textId="77777777" w:rsidR="00122EB2" w:rsidRDefault="00122EB2">
            <w:pPr>
              <w:rPr>
                <w:rFonts w:ascii="Arial" w:eastAsia="Arial" w:hAnsi="Arial" w:cs="Arial"/>
                <w:sz w:val="24"/>
                <w:szCs w:val="24"/>
              </w:rPr>
            </w:pPr>
          </w:p>
        </w:tc>
        <w:tc>
          <w:tcPr>
            <w:tcW w:w="1035" w:type="dxa"/>
            <w:tcBorders>
              <w:top w:val="nil"/>
              <w:left w:val="nil"/>
              <w:bottom w:val="nil"/>
            </w:tcBorders>
          </w:tcPr>
          <w:p w14:paraId="1156E5A5" w14:textId="77777777" w:rsidR="00122EB2" w:rsidRDefault="00122EB2">
            <w:pPr>
              <w:rPr>
                <w:rFonts w:ascii="Arial" w:eastAsia="Arial" w:hAnsi="Arial" w:cs="Arial"/>
                <w:sz w:val="24"/>
                <w:szCs w:val="24"/>
              </w:rPr>
            </w:pPr>
          </w:p>
        </w:tc>
      </w:tr>
      <w:tr w:rsidR="00122EB2" w14:paraId="78472B4B" w14:textId="77777777">
        <w:trPr>
          <w:trHeight w:val="660"/>
        </w:trPr>
        <w:tc>
          <w:tcPr>
            <w:tcW w:w="2655" w:type="dxa"/>
            <w:tcBorders>
              <w:top w:val="nil"/>
              <w:bottom w:val="nil"/>
              <w:right w:val="nil"/>
            </w:tcBorders>
          </w:tcPr>
          <w:p w14:paraId="26399484" w14:textId="77777777" w:rsidR="00122EB2" w:rsidRDefault="00000000">
            <w:pPr>
              <w:ind w:left="720"/>
              <w:rPr>
                <w:rFonts w:ascii="Arial" w:eastAsia="Arial" w:hAnsi="Arial" w:cs="Arial"/>
                <w:sz w:val="24"/>
                <w:szCs w:val="24"/>
              </w:rPr>
            </w:pPr>
            <w:r>
              <w:rPr>
                <w:rFonts w:ascii="Arial" w:eastAsia="Arial" w:hAnsi="Arial" w:cs="Arial"/>
                <w:sz w:val="24"/>
                <w:szCs w:val="24"/>
              </w:rPr>
              <w:t>Avoidance and Rules</w:t>
            </w:r>
          </w:p>
        </w:tc>
        <w:tc>
          <w:tcPr>
            <w:tcW w:w="840" w:type="dxa"/>
            <w:tcBorders>
              <w:top w:val="nil"/>
              <w:left w:val="nil"/>
              <w:bottom w:val="nil"/>
              <w:right w:val="nil"/>
            </w:tcBorders>
          </w:tcPr>
          <w:p w14:paraId="0A0365B9" w14:textId="77777777" w:rsidR="00122EB2" w:rsidRDefault="00000000">
            <w:pPr>
              <w:rPr>
                <w:rFonts w:ascii="Arial" w:eastAsia="Arial" w:hAnsi="Arial" w:cs="Arial"/>
                <w:sz w:val="24"/>
                <w:szCs w:val="24"/>
              </w:rPr>
            </w:pPr>
            <w:r>
              <w:rPr>
                <w:rFonts w:ascii="Arial" w:eastAsia="Arial" w:hAnsi="Arial" w:cs="Arial"/>
                <w:sz w:val="24"/>
                <w:szCs w:val="24"/>
              </w:rPr>
              <w:t>3.19</w:t>
            </w:r>
          </w:p>
        </w:tc>
        <w:tc>
          <w:tcPr>
            <w:tcW w:w="735" w:type="dxa"/>
            <w:tcBorders>
              <w:top w:val="nil"/>
              <w:left w:val="nil"/>
              <w:bottom w:val="nil"/>
              <w:right w:val="nil"/>
            </w:tcBorders>
          </w:tcPr>
          <w:p w14:paraId="3F620E8C" w14:textId="77777777" w:rsidR="00122EB2" w:rsidRDefault="00000000">
            <w:pPr>
              <w:rPr>
                <w:rFonts w:ascii="Arial" w:eastAsia="Arial" w:hAnsi="Arial" w:cs="Arial"/>
                <w:sz w:val="24"/>
                <w:szCs w:val="24"/>
              </w:rPr>
            </w:pPr>
            <w:r>
              <w:rPr>
                <w:rFonts w:ascii="Arial" w:eastAsia="Arial" w:hAnsi="Arial" w:cs="Arial"/>
                <w:sz w:val="24"/>
                <w:szCs w:val="24"/>
              </w:rPr>
              <w:t>1.28</w:t>
            </w:r>
          </w:p>
        </w:tc>
        <w:tc>
          <w:tcPr>
            <w:tcW w:w="915" w:type="dxa"/>
            <w:tcBorders>
              <w:top w:val="nil"/>
              <w:left w:val="nil"/>
              <w:bottom w:val="nil"/>
              <w:right w:val="nil"/>
            </w:tcBorders>
          </w:tcPr>
          <w:p w14:paraId="2FD4EE5F" w14:textId="77777777" w:rsidR="00122EB2" w:rsidRDefault="00000000">
            <w:pPr>
              <w:rPr>
                <w:rFonts w:ascii="Arial" w:eastAsia="Arial" w:hAnsi="Arial" w:cs="Arial"/>
                <w:sz w:val="24"/>
                <w:szCs w:val="24"/>
              </w:rPr>
            </w:pPr>
            <w:r>
              <w:rPr>
                <w:rFonts w:ascii="Arial" w:eastAsia="Arial" w:hAnsi="Arial" w:cs="Arial"/>
                <w:sz w:val="24"/>
                <w:szCs w:val="24"/>
              </w:rPr>
              <w:t>2.47</w:t>
            </w:r>
          </w:p>
        </w:tc>
        <w:tc>
          <w:tcPr>
            <w:tcW w:w="765" w:type="dxa"/>
            <w:tcBorders>
              <w:top w:val="nil"/>
              <w:left w:val="nil"/>
              <w:bottom w:val="nil"/>
              <w:right w:val="nil"/>
            </w:tcBorders>
          </w:tcPr>
          <w:p w14:paraId="16C9805D" w14:textId="77777777" w:rsidR="00122EB2" w:rsidRDefault="00000000">
            <w:pPr>
              <w:rPr>
                <w:rFonts w:ascii="Arial" w:eastAsia="Arial" w:hAnsi="Arial" w:cs="Arial"/>
                <w:sz w:val="24"/>
                <w:szCs w:val="24"/>
              </w:rPr>
            </w:pPr>
            <w:r>
              <w:rPr>
                <w:rFonts w:ascii="Arial" w:eastAsia="Arial" w:hAnsi="Arial" w:cs="Arial"/>
                <w:sz w:val="24"/>
                <w:szCs w:val="24"/>
              </w:rPr>
              <w:t>1.50</w:t>
            </w:r>
          </w:p>
        </w:tc>
        <w:tc>
          <w:tcPr>
            <w:tcW w:w="1020" w:type="dxa"/>
            <w:tcBorders>
              <w:top w:val="nil"/>
              <w:left w:val="nil"/>
              <w:bottom w:val="nil"/>
              <w:right w:val="nil"/>
            </w:tcBorders>
          </w:tcPr>
          <w:p w14:paraId="4B4E3F0F" w14:textId="77777777" w:rsidR="00122EB2" w:rsidRDefault="00000000">
            <w:pPr>
              <w:rPr>
                <w:rFonts w:ascii="Arial" w:eastAsia="Arial" w:hAnsi="Arial" w:cs="Arial"/>
                <w:sz w:val="24"/>
                <w:szCs w:val="24"/>
              </w:rPr>
            </w:pPr>
            <w:r>
              <w:rPr>
                <w:rFonts w:ascii="Arial" w:eastAsia="Arial" w:hAnsi="Arial" w:cs="Arial"/>
                <w:sz w:val="24"/>
                <w:szCs w:val="24"/>
              </w:rPr>
              <w:t>0.73</w:t>
            </w:r>
          </w:p>
        </w:tc>
        <w:tc>
          <w:tcPr>
            <w:tcW w:w="690" w:type="dxa"/>
            <w:tcBorders>
              <w:top w:val="nil"/>
              <w:left w:val="nil"/>
              <w:bottom w:val="nil"/>
              <w:right w:val="nil"/>
            </w:tcBorders>
          </w:tcPr>
          <w:p w14:paraId="13D60309" w14:textId="77777777" w:rsidR="00122EB2" w:rsidRDefault="00000000">
            <w:pPr>
              <w:rPr>
                <w:rFonts w:ascii="Arial" w:eastAsia="Arial" w:hAnsi="Arial" w:cs="Arial"/>
                <w:sz w:val="24"/>
                <w:szCs w:val="24"/>
              </w:rPr>
            </w:pPr>
            <w:r>
              <w:rPr>
                <w:rFonts w:ascii="Arial" w:eastAsia="Arial" w:hAnsi="Arial" w:cs="Arial"/>
                <w:sz w:val="24"/>
                <w:szCs w:val="24"/>
              </w:rPr>
              <w:t>1.00</w:t>
            </w:r>
          </w:p>
        </w:tc>
        <w:tc>
          <w:tcPr>
            <w:tcW w:w="840" w:type="dxa"/>
            <w:tcBorders>
              <w:top w:val="nil"/>
              <w:left w:val="nil"/>
              <w:bottom w:val="nil"/>
              <w:right w:val="nil"/>
            </w:tcBorders>
          </w:tcPr>
          <w:p w14:paraId="143F28EB" w14:textId="77777777" w:rsidR="00122EB2" w:rsidRDefault="00000000">
            <w:pPr>
              <w:rPr>
                <w:rFonts w:ascii="Arial" w:eastAsia="Arial" w:hAnsi="Arial" w:cs="Arial"/>
                <w:sz w:val="24"/>
                <w:szCs w:val="24"/>
              </w:rPr>
            </w:pPr>
            <w:r>
              <w:rPr>
                <w:rFonts w:ascii="Arial" w:eastAsia="Arial" w:hAnsi="Arial" w:cs="Arial"/>
                <w:sz w:val="24"/>
                <w:szCs w:val="24"/>
              </w:rPr>
              <w:t>3.55</w:t>
            </w:r>
          </w:p>
        </w:tc>
        <w:tc>
          <w:tcPr>
            <w:tcW w:w="1035" w:type="dxa"/>
            <w:tcBorders>
              <w:top w:val="nil"/>
              <w:left w:val="nil"/>
              <w:bottom w:val="nil"/>
            </w:tcBorders>
          </w:tcPr>
          <w:p w14:paraId="56117F22" w14:textId="77777777" w:rsidR="00122EB2" w:rsidRDefault="00000000">
            <w:pPr>
              <w:rPr>
                <w:rFonts w:ascii="Arial" w:eastAsia="Arial" w:hAnsi="Arial" w:cs="Arial"/>
                <w:sz w:val="24"/>
                <w:szCs w:val="24"/>
              </w:rPr>
            </w:pPr>
            <w:r>
              <w:rPr>
                <w:rFonts w:ascii="Arial" w:eastAsia="Arial" w:hAnsi="Arial" w:cs="Arial"/>
                <w:sz w:val="24"/>
                <w:szCs w:val="24"/>
              </w:rPr>
              <w:t>.002**</w:t>
            </w:r>
          </w:p>
        </w:tc>
      </w:tr>
      <w:tr w:rsidR="00122EB2" w14:paraId="0B88F58C" w14:textId="77777777">
        <w:trPr>
          <w:trHeight w:val="420"/>
        </w:trPr>
        <w:tc>
          <w:tcPr>
            <w:tcW w:w="2655" w:type="dxa"/>
            <w:tcBorders>
              <w:top w:val="nil"/>
              <w:bottom w:val="nil"/>
              <w:right w:val="nil"/>
            </w:tcBorders>
          </w:tcPr>
          <w:p w14:paraId="5D54C452" w14:textId="77777777" w:rsidR="00122EB2" w:rsidRDefault="00000000">
            <w:pPr>
              <w:ind w:left="720"/>
              <w:rPr>
                <w:rFonts w:ascii="Arial" w:eastAsia="Arial" w:hAnsi="Arial" w:cs="Arial"/>
                <w:sz w:val="24"/>
                <w:szCs w:val="24"/>
              </w:rPr>
            </w:pPr>
            <w:r>
              <w:rPr>
                <w:rFonts w:ascii="Arial" w:eastAsia="Arial" w:hAnsi="Arial" w:cs="Arial"/>
                <w:sz w:val="24"/>
                <w:szCs w:val="24"/>
              </w:rPr>
              <w:t>Weight Control</w:t>
            </w:r>
          </w:p>
        </w:tc>
        <w:tc>
          <w:tcPr>
            <w:tcW w:w="840" w:type="dxa"/>
            <w:tcBorders>
              <w:top w:val="nil"/>
              <w:left w:val="nil"/>
              <w:bottom w:val="nil"/>
              <w:right w:val="nil"/>
            </w:tcBorders>
          </w:tcPr>
          <w:p w14:paraId="17FC632B" w14:textId="77777777" w:rsidR="00122EB2" w:rsidRDefault="00000000">
            <w:pPr>
              <w:rPr>
                <w:rFonts w:ascii="Arial" w:eastAsia="Arial" w:hAnsi="Arial" w:cs="Arial"/>
                <w:sz w:val="24"/>
                <w:szCs w:val="24"/>
              </w:rPr>
            </w:pPr>
            <w:r>
              <w:rPr>
                <w:rFonts w:ascii="Arial" w:eastAsia="Arial" w:hAnsi="Arial" w:cs="Arial"/>
                <w:sz w:val="24"/>
                <w:szCs w:val="24"/>
              </w:rPr>
              <w:t>3.59</w:t>
            </w:r>
          </w:p>
        </w:tc>
        <w:tc>
          <w:tcPr>
            <w:tcW w:w="735" w:type="dxa"/>
            <w:tcBorders>
              <w:top w:val="nil"/>
              <w:left w:val="nil"/>
              <w:bottom w:val="nil"/>
              <w:right w:val="nil"/>
            </w:tcBorders>
          </w:tcPr>
          <w:p w14:paraId="4875393E" w14:textId="77777777" w:rsidR="00122EB2" w:rsidRDefault="00000000">
            <w:pPr>
              <w:rPr>
                <w:rFonts w:ascii="Arial" w:eastAsia="Arial" w:hAnsi="Arial" w:cs="Arial"/>
                <w:sz w:val="24"/>
                <w:szCs w:val="24"/>
              </w:rPr>
            </w:pPr>
            <w:r>
              <w:rPr>
                <w:rFonts w:ascii="Arial" w:eastAsia="Arial" w:hAnsi="Arial" w:cs="Arial"/>
                <w:sz w:val="24"/>
                <w:szCs w:val="24"/>
              </w:rPr>
              <w:t>1.36</w:t>
            </w:r>
          </w:p>
        </w:tc>
        <w:tc>
          <w:tcPr>
            <w:tcW w:w="915" w:type="dxa"/>
            <w:tcBorders>
              <w:top w:val="nil"/>
              <w:left w:val="nil"/>
              <w:bottom w:val="nil"/>
              <w:right w:val="nil"/>
            </w:tcBorders>
          </w:tcPr>
          <w:p w14:paraId="5421EA72" w14:textId="77777777" w:rsidR="00122EB2" w:rsidRDefault="00000000">
            <w:pPr>
              <w:rPr>
                <w:rFonts w:ascii="Arial" w:eastAsia="Arial" w:hAnsi="Arial" w:cs="Arial"/>
                <w:sz w:val="24"/>
                <w:szCs w:val="24"/>
              </w:rPr>
            </w:pPr>
            <w:r>
              <w:rPr>
                <w:rFonts w:ascii="Arial" w:eastAsia="Arial" w:hAnsi="Arial" w:cs="Arial"/>
                <w:sz w:val="24"/>
                <w:szCs w:val="24"/>
              </w:rPr>
              <w:t>2.87</w:t>
            </w:r>
          </w:p>
        </w:tc>
        <w:tc>
          <w:tcPr>
            <w:tcW w:w="765" w:type="dxa"/>
            <w:tcBorders>
              <w:top w:val="nil"/>
              <w:left w:val="nil"/>
              <w:bottom w:val="nil"/>
              <w:right w:val="nil"/>
            </w:tcBorders>
          </w:tcPr>
          <w:p w14:paraId="342BF8F9" w14:textId="77777777" w:rsidR="00122EB2" w:rsidRDefault="00000000">
            <w:pPr>
              <w:rPr>
                <w:rFonts w:ascii="Arial" w:eastAsia="Arial" w:hAnsi="Arial" w:cs="Arial"/>
                <w:sz w:val="24"/>
                <w:szCs w:val="24"/>
              </w:rPr>
            </w:pPr>
            <w:r>
              <w:rPr>
                <w:rFonts w:ascii="Arial" w:eastAsia="Arial" w:hAnsi="Arial" w:cs="Arial"/>
                <w:sz w:val="24"/>
                <w:szCs w:val="24"/>
              </w:rPr>
              <w:t>1.44</w:t>
            </w:r>
          </w:p>
        </w:tc>
        <w:tc>
          <w:tcPr>
            <w:tcW w:w="1020" w:type="dxa"/>
            <w:tcBorders>
              <w:top w:val="nil"/>
              <w:left w:val="nil"/>
              <w:bottom w:val="nil"/>
              <w:right w:val="nil"/>
            </w:tcBorders>
          </w:tcPr>
          <w:p w14:paraId="15FB2EF8" w14:textId="77777777" w:rsidR="00122EB2" w:rsidRDefault="00000000">
            <w:pPr>
              <w:rPr>
                <w:rFonts w:ascii="Arial" w:eastAsia="Arial" w:hAnsi="Arial" w:cs="Arial"/>
                <w:sz w:val="24"/>
                <w:szCs w:val="24"/>
              </w:rPr>
            </w:pPr>
            <w:r>
              <w:rPr>
                <w:rFonts w:ascii="Arial" w:eastAsia="Arial" w:hAnsi="Arial" w:cs="Arial"/>
                <w:sz w:val="24"/>
                <w:szCs w:val="24"/>
              </w:rPr>
              <w:t>0.71</w:t>
            </w:r>
          </w:p>
        </w:tc>
        <w:tc>
          <w:tcPr>
            <w:tcW w:w="690" w:type="dxa"/>
            <w:tcBorders>
              <w:top w:val="nil"/>
              <w:left w:val="nil"/>
              <w:bottom w:val="nil"/>
              <w:right w:val="nil"/>
            </w:tcBorders>
          </w:tcPr>
          <w:p w14:paraId="604590A5" w14:textId="77777777" w:rsidR="00122EB2" w:rsidRDefault="00000000">
            <w:pPr>
              <w:rPr>
                <w:rFonts w:ascii="Arial" w:eastAsia="Arial" w:hAnsi="Arial" w:cs="Arial"/>
                <w:sz w:val="24"/>
                <w:szCs w:val="24"/>
              </w:rPr>
            </w:pPr>
            <w:r>
              <w:rPr>
                <w:rFonts w:ascii="Arial" w:eastAsia="Arial" w:hAnsi="Arial" w:cs="Arial"/>
                <w:sz w:val="24"/>
                <w:szCs w:val="24"/>
              </w:rPr>
              <w:t>1.02</w:t>
            </w:r>
          </w:p>
        </w:tc>
        <w:tc>
          <w:tcPr>
            <w:tcW w:w="840" w:type="dxa"/>
            <w:tcBorders>
              <w:top w:val="nil"/>
              <w:left w:val="nil"/>
              <w:bottom w:val="nil"/>
              <w:right w:val="nil"/>
            </w:tcBorders>
          </w:tcPr>
          <w:p w14:paraId="67CAFEC1" w14:textId="77777777" w:rsidR="00122EB2" w:rsidRDefault="00000000">
            <w:pPr>
              <w:rPr>
                <w:rFonts w:ascii="Arial" w:eastAsia="Arial" w:hAnsi="Arial" w:cs="Arial"/>
                <w:sz w:val="24"/>
                <w:szCs w:val="24"/>
              </w:rPr>
            </w:pPr>
            <w:r>
              <w:rPr>
                <w:rFonts w:ascii="Arial" w:eastAsia="Arial" w:hAnsi="Arial" w:cs="Arial"/>
                <w:sz w:val="24"/>
                <w:szCs w:val="24"/>
              </w:rPr>
              <w:t>3.43</w:t>
            </w:r>
          </w:p>
        </w:tc>
        <w:tc>
          <w:tcPr>
            <w:tcW w:w="1035" w:type="dxa"/>
            <w:tcBorders>
              <w:top w:val="nil"/>
              <w:left w:val="nil"/>
              <w:bottom w:val="nil"/>
            </w:tcBorders>
          </w:tcPr>
          <w:p w14:paraId="719C12C5" w14:textId="77777777" w:rsidR="00122EB2" w:rsidRDefault="00000000">
            <w:pPr>
              <w:rPr>
                <w:rFonts w:ascii="Arial" w:eastAsia="Arial" w:hAnsi="Arial" w:cs="Arial"/>
                <w:sz w:val="24"/>
                <w:szCs w:val="24"/>
              </w:rPr>
            </w:pPr>
            <w:r>
              <w:rPr>
                <w:rFonts w:ascii="Arial" w:eastAsia="Arial" w:hAnsi="Arial" w:cs="Arial"/>
                <w:sz w:val="24"/>
                <w:szCs w:val="24"/>
              </w:rPr>
              <w:t>.002**</w:t>
            </w:r>
          </w:p>
        </w:tc>
      </w:tr>
      <w:tr w:rsidR="00122EB2" w14:paraId="6BD3EE51" w14:textId="77777777">
        <w:trPr>
          <w:trHeight w:val="690"/>
        </w:trPr>
        <w:tc>
          <w:tcPr>
            <w:tcW w:w="2655" w:type="dxa"/>
            <w:tcBorders>
              <w:top w:val="nil"/>
              <w:bottom w:val="nil"/>
              <w:right w:val="nil"/>
            </w:tcBorders>
          </w:tcPr>
          <w:p w14:paraId="2040B794" w14:textId="77777777" w:rsidR="00122EB2" w:rsidRDefault="00000000">
            <w:pPr>
              <w:ind w:left="720"/>
              <w:rPr>
                <w:rFonts w:ascii="Arial" w:eastAsia="Arial" w:hAnsi="Arial" w:cs="Arial"/>
                <w:sz w:val="24"/>
                <w:szCs w:val="24"/>
              </w:rPr>
            </w:pPr>
            <w:r>
              <w:rPr>
                <w:rFonts w:ascii="Arial" w:eastAsia="Arial" w:hAnsi="Arial" w:cs="Arial"/>
                <w:sz w:val="24"/>
                <w:szCs w:val="24"/>
              </w:rPr>
              <w:t>Mood Improvement</w:t>
            </w:r>
          </w:p>
        </w:tc>
        <w:tc>
          <w:tcPr>
            <w:tcW w:w="840" w:type="dxa"/>
            <w:tcBorders>
              <w:top w:val="nil"/>
              <w:left w:val="nil"/>
              <w:bottom w:val="nil"/>
              <w:right w:val="nil"/>
            </w:tcBorders>
          </w:tcPr>
          <w:p w14:paraId="6DCF79B0" w14:textId="77777777" w:rsidR="00122EB2" w:rsidRDefault="00000000">
            <w:pPr>
              <w:rPr>
                <w:rFonts w:ascii="Arial" w:eastAsia="Arial" w:hAnsi="Arial" w:cs="Arial"/>
                <w:sz w:val="24"/>
                <w:szCs w:val="24"/>
              </w:rPr>
            </w:pPr>
            <w:r>
              <w:rPr>
                <w:rFonts w:ascii="Arial" w:eastAsia="Arial" w:hAnsi="Arial" w:cs="Arial"/>
                <w:sz w:val="24"/>
                <w:szCs w:val="24"/>
              </w:rPr>
              <w:t>3.56</w:t>
            </w:r>
          </w:p>
        </w:tc>
        <w:tc>
          <w:tcPr>
            <w:tcW w:w="735" w:type="dxa"/>
            <w:tcBorders>
              <w:top w:val="nil"/>
              <w:left w:val="nil"/>
              <w:bottom w:val="nil"/>
              <w:right w:val="nil"/>
            </w:tcBorders>
          </w:tcPr>
          <w:p w14:paraId="4B7C355F" w14:textId="77777777" w:rsidR="00122EB2" w:rsidRDefault="00000000">
            <w:pPr>
              <w:rPr>
                <w:rFonts w:ascii="Arial" w:eastAsia="Arial" w:hAnsi="Arial" w:cs="Arial"/>
                <w:sz w:val="24"/>
                <w:szCs w:val="24"/>
              </w:rPr>
            </w:pPr>
            <w:r>
              <w:rPr>
                <w:rFonts w:ascii="Arial" w:eastAsia="Arial" w:hAnsi="Arial" w:cs="Arial"/>
                <w:sz w:val="24"/>
                <w:szCs w:val="24"/>
              </w:rPr>
              <w:t>0.93</w:t>
            </w:r>
          </w:p>
        </w:tc>
        <w:tc>
          <w:tcPr>
            <w:tcW w:w="915" w:type="dxa"/>
            <w:tcBorders>
              <w:top w:val="nil"/>
              <w:left w:val="nil"/>
              <w:bottom w:val="nil"/>
              <w:right w:val="nil"/>
            </w:tcBorders>
          </w:tcPr>
          <w:p w14:paraId="77184EA8" w14:textId="77777777" w:rsidR="00122EB2" w:rsidRDefault="00000000">
            <w:pPr>
              <w:rPr>
                <w:rFonts w:ascii="Arial" w:eastAsia="Arial" w:hAnsi="Arial" w:cs="Arial"/>
                <w:sz w:val="24"/>
                <w:szCs w:val="24"/>
              </w:rPr>
            </w:pPr>
            <w:r>
              <w:rPr>
                <w:rFonts w:ascii="Arial" w:eastAsia="Arial" w:hAnsi="Arial" w:cs="Arial"/>
                <w:sz w:val="24"/>
                <w:szCs w:val="24"/>
              </w:rPr>
              <w:t>3.28</w:t>
            </w:r>
          </w:p>
        </w:tc>
        <w:tc>
          <w:tcPr>
            <w:tcW w:w="765" w:type="dxa"/>
            <w:tcBorders>
              <w:top w:val="nil"/>
              <w:left w:val="nil"/>
              <w:bottom w:val="nil"/>
              <w:right w:val="nil"/>
            </w:tcBorders>
          </w:tcPr>
          <w:p w14:paraId="7A8E785E" w14:textId="77777777" w:rsidR="00122EB2" w:rsidRDefault="00000000">
            <w:pPr>
              <w:rPr>
                <w:rFonts w:ascii="Arial" w:eastAsia="Arial" w:hAnsi="Arial" w:cs="Arial"/>
                <w:sz w:val="24"/>
                <w:szCs w:val="24"/>
              </w:rPr>
            </w:pPr>
            <w:r>
              <w:rPr>
                <w:rFonts w:ascii="Arial" w:eastAsia="Arial" w:hAnsi="Arial" w:cs="Arial"/>
                <w:sz w:val="24"/>
                <w:szCs w:val="24"/>
              </w:rPr>
              <w:t>1.08</w:t>
            </w:r>
          </w:p>
        </w:tc>
        <w:tc>
          <w:tcPr>
            <w:tcW w:w="1020" w:type="dxa"/>
            <w:tcBorders>
              <w:top w:val="nil"/>
              <w:left w:val="nil"/>
              <w:bottom w:val="nil"/>
              <w:right w:val="nil"/>
            </w:tcBorders>
          </w:tcPr>
          <w:p w14:paraId="46AC9939" w14:textId="77777777" w:rsidR="00122EB2" w:rsidRDefault="00000000">
            <w:pPr>
              <w:rPr>
                <w:rFonts w:ascii="Arial" w:eastAsia="Arial" w:hAnsi="Arial" w:cs="Arial"/>
                <w:sz w:val="24"/>
                <w:szCs w:val="24"/>
              </w:rPr>
            </w:pPr>
            <w:r>
              <w:rPr>
                <w:rFonts w:ascii="Arial" w:eastAsia="Arial" w:hAnsi="Arial" w:cs="Arial"/>
                <w:sz w:val="24"/>
                <w:szCs w:val="24"/>
              </w:rPr>
              <w:t>0.28</w:t>
            </w:r>
          </w:p>
        </w:tc>
        <w:tc>
          <w:tcPr>
            <w:tcW w:w="690" w:type="dxa"/>
            <w:tcBorders>
              <w:top w:val="nil"/>
              <w:left w:val="nil"/>
              <w:bottom w:val="nil"/>
              <w:right w:val="nil"/>
            </w:tcBorders>
          </w:tcPr>
          <w:p w14:paraId="667EE8E9" w14:textId="77777777" w:rsidR="00122EB2" w:rsidRDefault="00000000">
            <w:pPr>
              <w:rPr>
                <w:rFonts w:ascii="Arial" w:eastAsia="Arial" w:hAnsi="Arial" w:cs="Arial"/>
                <w:sz w:val="24"/>
                <w:szCs w:val="24"/>
              </w:rPr>
            </w:pPr>
            <w:r>
              <w:rPr>
                <w:rFonts w:ascii="Arial" w:eastAsia="Arial" w:hAnsi="Arial" w:cs="Arial"/>
                <w:sz w:val="24"/>
                <w:szCs w:val="24"/>
              </w:rPr>
              <w:t>1.09</w:t>
            </w:r>
          </w:p>
        </w:tc>
        <w:tc>
          <w:tcPr>
            <w:tcW w:w="840" w:type="dxa"/>
            <w:tcBorders>
              <w:top w:val="nil"/>
              <w:left w:val="nil"/>
              <w:bottom w:val="nil"/>
              <w:right w:val="nil"/>
            </w:tcBorders>
          </w:tcPr>
          <w:p w14:paraId="2DBA1E3E" w14:textId="77777777" w:rsidR="00122EB2" w:rsidRDefault="00000000">
            <w:pPr>
              <w:rPr>
                <w:rFonts w:ascii="Arial" w:eastAsia="Arial" w:hAnsi="Arial" w:cs="Arial"/>
                <w:sz w:val="24"/>
                <w:szCs w:val="24"/>
              </w:rPr>
            </w:pPr>
            <w:r>
              <w:rPr>
                <w:rFonts w:ascii="Arial" w:eastAsia="Arial" w:hAnsi="Arial" w:cs="Arial"/>
                <w:sz w:val="24"/>
                <w:szCs w:val="24"/>
              </w:rPr>
              <w:t>1.27</w:t>
            </w:r>
          </w:p>
        </w:tc>
        <w:tc>
          <w:tcPr>
            <w:tcW w:w="1035" w:type="dxa"/>
            <w:tcBorders>
              <w:top w:val="nil"/>
              <w:left w:val="nil"/>
              <w:bottom w:val="nil"/>
            </w:tcBorders>
          </w:tcPr>
          <w:p w14:paraId="58270411" w14:textId="77777777" w:rsidR="00122EB2" w:rsidRDefault="00000000">
            <w:pPr>
              <w:rPr>
                <w:rFonts w:ascii="Arial" w:eastAsia="Arial" w:hAnsi="Arial" w:cs="Arial"/>
                <w:sz w:val="24"/>
                <w:szCs w:val="24"/>
              </w:rPr>
            </w:pPr>
            <w:r>
              <w:rPr>
                <w:rFonts w:ascii="Arial" w:eastAsia="Arial" w:hAnsi="Arial" w:cs="Arial"/>
                <w:sz w:val="24"/>
                <w:szCs w:val="24"/>
              </w:rPr>
              <w:t>.218</w:t>
            </w:r>
          </w:p>
        </w:tc>
      </w:tr>
      <w:tr w:rsidR="00122EB2" w14:paraId="149480D0" w14:textId="77777777">
        <w:trPr>
          <w:trHeight w:val="917"/>
        </w:trPr>
        <w:tc>
          <w:tcPr>
            <w:tcW w:w="2655" w:type="dxa"/>
            <w:tcBorders>
              <w:top w:val="nil"/>
              <w:bottom w:val="nil"/>
              <w:right w:val="nil"/>
            </w:tcBorders>
          </w:tcPr>
          <w:p w14:paraId="3C6A9A14" w14:textId="77777777" w:rsidR="00122EB2" w:rsidRDefault="00000000">
            <w:pPr>
              <w:ind w:left="720"/>
              <w:rPr>
                <w:rFonts w:ascii="Arial" w:eastAsia="Arial" w:hAnsi="Arial" w:cs="Arial"/>
                <w:sz w:val="24"/>
                <w:szCs w:val="24"/>
              </w:rPr>
            </w:pPr>
            <w:r>
              <w:rPr>
                <w:rFonts w:ascii="Arial" w:eastAsia="Arial" w:hAnsi="Arial" w:cs="Arial"/>
                <w:sz w:val="24"/>
                <w:szCs w:val="24"/>
              </w:rPr>
              <w:t>Lack of Exercise Enjoyment</w:t>
            </w:r>
          </w:p>
        </w:tc>
        <w:tc>
          <w:tcPr>
            <w:tcW w:w="840" w:type="dxa"/>
            <w:tcBorders>
              <w:top w:val="nil"/>
              <w:left w:val="nil"/>
              <w:bottom w:val="nil"/>
              <w:right w:val="nil"/>
            </w:tcBorders>
          </w:tcPr>
          <w:p w14:paraId="60A5C675" w14:textId="77777777" w:rsidR="00122EB2" w:rsidRDefault="00000000">
            <w:pPr>
              <w:rPr>
                <w:rFonts w:ascii="Arial" w:eastAsia="Arial" w:hAnsi="Arial" w:cs="Arial"/>
                <w:sz w:val="24"/>
                <w:szCs w:val="24"/>
              </w:rPr>
            </w:pPr>
            <w:r>
              <w:rPr>
                <w:rFonts w:ascii="Arial" w:eastAsia="Arial" w:hAnsi="Arial" w:cs="Arial"/>
                <w:sz w:val="24"/>
                <w:szCs w:val="24"/>
              </w:rPr>
              <w:t>1.26</w:t>
            </w:r>
          </w:p>
        </w:tc>
        <w:tc>
          <w:tcPr>
            <w:tcW w:w="735" w:type="dxa"/>
            <w:tcBorders>
              <w:top w:val="nil"/>
              <w:left w:val="nil"/>
              <w:bottom w:val="nil"/>
              <w:right w:val="nil"/>
            </w:tcBorders>
          </w:tcPr>
          <w:p w14:paraId="52BB647F" w14:textId="77777777" w:rsidR="00122EB2" w:rsidRDefault="00000000">
            <w:pPr>
              <w:rPr>
                <w:rFonts w:ascii="Arial" w:eastAsia="Arial" w:hAnsi="Arial" w:cs="Arial"/>
                <w:sz w:val="24"/>
                <w:szCs w:val="24"/>
              </w:rPr>
            </w:pPr>
            <w:r>
              <w:rPr>
                <w:rFonts w:ascii="Arial" w:eastAsia="Arial" w:hAnsi="Arial" w:cs="Arial"/>
                <w:sz w:val="24"/>
                <w:szCs w:val="24"/>
              </w:rPr>
              <w:t>1.07</w:t>
            </w:r>
          </w:p>
        </w:tc>
        <w:tc>
          <w:tcPr>
            <w:tcW w:w="915" w:type="dxa"/>
            <w:tcBorders>
              <w:top w:val="nil"/>
              <w:left w:val="nil"/>
              <w:bottom w:val="nil"/>
              <w:right w:val="nil"/>
            </w:tcBorders>
          </w:tcPr>
          <w:p w14:paraId="7A0B4ED9" w14:textId="77777777" w:rsidR="00122EB2" w:rsidRDefault="00000000">
            <w:pPr>
              <w:rPr>
                <w:rFonts w:ascii="Arial" w:eastAsia="Arial" w:hAnsi="Arial" w:cs="Arial"/>
                <w:sz w:val="24"/>
                <w:szCs w:val="24"/>
              </w:rPr>
            </w:pPr>
            <w:r>
              <w:rPr>
                <w:rFonts w:ascii="Arial" w:eastAsia="Arial" w:hAnsi="Arial" w:cs="Arial"/>
                <w:sz w:val="24"/>
                <w:szCs w:val="24"/>
              </w:rPr>
              <w:t>1.29</w:t>
            </w:r>
          </w:p>
        </w:tc>
        <w:tc>
          <w:tcPr>
            <w:tcW w:w="765" w:type="dxa"/>
            <w:tcBorders>
              <w:top w:val="nil"/>
              <w:left w:val="nil"/>
              <w:bottom w:val="nil"/>
              <w:right w:val="nil"/>
            </w:tcBorders>
          </w:tcPr>
          <w:p w14:paraId="1EDCDE8F" w14:textId="77777777" w:rsidR="00122EB2" w:rsidRDefault="00000000">
            <w:pPr>
              <w:rPr>
                <w:rFonts w:ascii="Arial" w:eastAsia="Arial" w:hAnsi="Arial" w:cs="Arial"/>
                <w:sz w:val="24"/>
                <w:szCs w:val="24"/>
              </w:rPr>
            </w:pPr>
            <w:r>
              <w:rPr>
                <w:rFonts w:ascii="Arial" w:eastAsia="Arial" w:hAnsi="Arial" w:cs="Arial"/>
                <w:sz w:val="24"/>
                <w:szCs w:val="24"/>
              </w:rPr>
              <w:t>0.97</w:t>
            </w:r>
          </w:p>
        </w:tc>
        <w:tc>
          <w:tcPr>
            <w:tcW w:w="1020" w:type="dxa"/>
            <w:tcBorders>
              <w:top w:val="nil"/>
              <w:left w:val="nil"/>
              <w:bottom w:val="nil"/>
              <w:right w:val="nil"/>
            </w:tcBorders>
          </w:tcPr>
          <w:p w14:paraId="1A52D3DE" w14:textId="77777777" w:rsidR="00122EB2" w:rsidRDefault="00000000">
            <w:pPr>
              <w:rPr>
                <w:rFonts w:ascii="Arial" w:eastAsia="Arial" w:hAnsi="Arial" w:cs="Arial"/>
                <w:sz w:val="24"/>
                <w:szCs w:val="24"/>
              </w:rPr>
            </w:pPr>
            <w:r>
              <w:rPr>
                <w:rFonts w:ascii="Arial" w:eastAsia="Arial" w:hAnsi="Arial" w:cs="Arial"/>
                <w:sz w:val="24"/>
                <w:szCs w:val="24"/>
              </w:rPr>
              <w:t>-0.03</w:t>
            </w:r>
          </w:p>
        </w:tc>
        <w:tc>
          <w:tcPr>
            <w:tcW w:w="690" w:type="dxa"/>
            <w:tcBorders>
              <w:top w:val="nil"/>
              <w:left w:val="nil"/>
              <w:bottom w:val="nil"/>
              <w:right w:val="nil"/>
            </w:tcBorders>
          </w:tcPr>
          <w:p w14:paraId="76969CCC" w14:textId="77777777" w:rsidR="00122EB2" w:rsidRDefault="00000000">
            <w:pPr>
              <w:rPr>
                <w:rFonts w:ascii="Arial" w:eastAsia="Arial" w:hAnsi="Arial" w:cs="Arial"/>
                <w:sz w:val="24"/>
                <w:szCs w:val="24"/>
              </w:rPr>
            </w:pPr>
            <w:r>
              <w:rPr>
                <w:rFonts w:ascii="Arial" w:eastAsia="Arial" w:hAnsi="Arial" w:cs="Arial"/>
                <w:sz w:val="24"/>
                <w:szCs w:val="24"/>
              </w:rPr>
              <w:t>0.81</w:t>
            </w:r>
          </w:p>
        </w:tc>
        <w:tc>
          <w:tcPr>
            <w:tcW w:w="840" w:type="dxa"/>
            <w:tcBorders>
              <w:top w:val="nil"/>
              <w:left w:val="nil"/>
              <w:bottom w:val="nil"/>
              <w:right w:val="nil"/>
            </w:tcBorders>
          </w:tcPr>
          <w:p w14:paraId="0B0A444F" w14:textId="77777777" w:rsidR="00122EB2" w:rsidRDefault="00000000">
            <w:pPr>
              <w:rPr>
                <w:rFonts w:ascii="Arial" w:eastAsia="Arial" w:hAnsi="Arial" w:cs="Arial"/>
                <w:sz w:val="24"/>
                <w:szCs w:val="24"/>
              </w:rPr>
            </w:pPr>
            <w:r>
              <w:rPr>
                <w:rFonts w:ascii="Arial" w:eastAsia="Arial" w:hAnsi="Arial" w:cs="Arial"/>
                <w:sz w:val="24"/>
                <w:szCs w:val="24"/>
              </w:rPr>
              <w:t>-0.17</w:t>
            </w:r>
          </w:p>
        </w:tc>
        <w:tc>
          <w:tcPr>
            <w:tcW w:w="1035" w:type="dxa"/>
            <w:tcBorders>
              <w:top w:val="nil"/>
              <w:left w:val="nil"/>
              <w:bottom w:val="nil"/>
            </w:tcBorders>
          </w:tcPr>
          <w:p w14:paraId="23EB4A77" w14:textId="77777777" w:rsidR="00122EB2" w:rsidRDefault="00000000">
            <w:pPr>
              <w:rPr>
                <w:rFonts w:ascii="Arial" w:eastAsia="Arial" w:hAnsi="Arial" w:cs="Arial"/>
                <w:sz w:val="24"/>
                <w:szCs w:val="24"/>
              </w:rPr>
            </w:pPr>
            <w:r>
              <w:rPr>
                <w:rFonts w:ascii="Arial" w:eastAsia="Arial" w:hAnsi="Arial" w:cs="Arial"/>
                <w:sz w:val="24"/>
                <w:szCs w:val="24"/>
              </w:rPr>
              <w:t>.868</w:t>
            </w:r>
          </w:p>
        </w:tc>
      </w:tr>
      <w:tr w:rsidR="00122EB2" w14:paraId="20114642" w14:textId="77777777">
        <w:tc>
          <w:tcPr>
            <w:tcW w:w="2655" w:type="dxa"/>
            <w:tcBorders>
              <w:top w:val="nil"/>
              <w:right w:val="nil"/>
            </w:tcBorders>
          </w:tcPr>
          <w:p w14:paraId="201E6D47" w14:textId="77777777" w:rsidR="00122EB2" w:rsidRDefault="00000000">
            <w:pPr>
              <w:ind w:left="720"/>
              <w:rPr>
                <w:rFonts w:ascii="Arial" w:eastAsia="Arial" w:hAnsi="Arial" w:cs="Arial"/>
                <w:sz w:val="24"/>
                <w:szCs w:val="24"/>
              </w:rPr>
            </w:pPr>
            <w:r>
              <w:rPr>
                <w:rFonts w:ascii="Arial" w:eastAsia="Arial" w:hAnsi="Arial" w:cs="Arial"/>
                <w:sz w:val="24"/>
                <w:szCs w:val="24"/>
              </w:rPr>
              <w:t>Exercise Rigidity</w:t>
            </w:r>
          </w:p>
        </w:tc>
        <w:tc>
          <w:tcPr>
            <w:tcW w:w="840" w:type="dxa"/>
            <w:tcBorders>
              <w:top w:val="nil"/>
              <w:left w:val="nil"/>
              <w:right w:val="nil"/>
            </w:tcBorders>
          </w:tcPr>
          <w:p w14:paraId="4A52FBBC" w14:textId="77777777" w:rsidR="00122EB2" w:rsidRDefault="00000000">
            <w:pPr>
              <w:rPr>
                <w:rFonts w:ascii="Arial" w:eastAsia="Arial" w:hAnsi="Arial" w:cs="Arial"/>
                <w:sz w:val="24"/>
                <w:szCs w:val="24"/>
              </w:rPr>
            </w:pPr>
            <w:r>
              <w:rPr>
                <w:rFonts w:ascii="Arial" w:eastAsia="Arial" w:hAnsi="Arial" w:cs="Arial"/>
                <w:sz w:val="24"/>
                <w:szCs w:val="24"/>
              </w:rPr>
              <w:t>3.24</w:t>
            </w:r>
          </w:p>
        </w:tc>
        <w:tc>
          <w:tcPr>
            <w:tcW w:w="735" w:type="dxa"/>
            <w:tcBorders>
              <w:top w:val="nil"/>
              <w:left w:val="nil"/>
              <w:right w:val="nil"/>
            </w:tcBorders>
          </w:tcPr>
          <w:p w14:paraId="6C9024F3" w14:textId="77777777" w:rsidR="00122EB2" w:rsidRDefault="00000000">
            <w:pPr>
              <w:rPr>
                <w:rFonts w:ascii="Arial" w:eastAsia="Arial" w:hAnsi="Arial" w:cs="Arial"/>
                <w:sz w:val="24"/>
                <w:szCs w:val="24"/>
              </w:rPr>
            </w:pPr>
            <w:r>
              <w:rPr>
                <w:rFonts w:ascii="Arial" w:eastAsia="Arial" w:hAnsi="Arial" w:cs="Arial"/>
                <w:sz w:val="24"/>
                <w:szCs w:val="24"/>
              </w:rPr>
              <w:t>1.06</w:t>
            </w:r>
          </w:p>
        </w:tc>
        <w:tc>
          <w:tcPr>
            <w:tcW w:w="915" w:type="dxa"/>
            <w:tcBorders>
              <w:top w:val="nil"/>
              <w:left w:val="nil"/>
              <w:right w:val="nil"/>
            </w:tcBorders>
          </w:tcPr>
          <w:p w14:paraId="70E66D52" w14:textId="77777777" w:rsidR="00122EB2" w:rsidRDefault="00000000">
            <w:pPr>
              <w:rPr>
                <w:rFonts w:ascii="Arial" w:eastAsia="Arial" w:hAnsi="Arial" w:cs="Arial"/>
                <w:sz w:val="24"/>
                <w:szCs w:val="24"/>
              </w:rPr>
            </w:pPr>
            <w:r>
              <w:rPr>
                <w:rFonts w:ascii="Arial" w:eastAsia="Arial" w:hAnsi="Arial" w:cs="Arial"/>
                <w:sz w:val="24"/>
                <w:szCs w:val="24"/>
              </w:rPr>
              <w:t>2.25</w:t>
            </w:r>
          </w:p>
        </w:tc>
        <w:tc>
          <w:tcPr>
            <w:tcW w:w="765" w:type="dxa"/>
            <w:tcBorders>
              <w:top w:val="nil"/>
              <w:left w:val="nil"/>
              <w:right w:val="nil"/>
            </w:tcBorders>
          </w:tcPr>
          <w:p w14:paraId="52FCC3F8" w14:textId="77777777" w:rsidR="00122EB2" w:rsidRDefault="00000000">
            <w:pPr>
              <w:rPr>
                <w:rFonts w:ascii="Arial" w:eastAsia="Arial" w:hAnsi="Arial" w:cs="Arial"/>
                <w:sz w:val="24"/>
                <w:szCs w:val="24"/>
              </w:rPr>
            </w:pPr>
            <w:r>
              <w:rPr>
                <w:rFonts w:ascii="Arial" w:eastAsia="Arial" w:hAnsi="Arial" w:cs="Arial"/>
                <w:sz w:val="24"/>
                <w:szCs w:val="24"/>
              </w:rPr>
              <w:t>1.39</w:t>
            </w:r>
          </w:p>
        </w:tc>
        <w:tc>
          <w:tcPr>
            <w:tcW w:w="1020" w:type="dxa"/>
            <w:tcBorders>
              <w:top w:val="nil"/>
              <w:left w:val="nil"/>
              <w:right w:val="nil"/>
            </w:tcBorders>
          </w:tcPr>
          <w:p w14:paraId="45F6F190" w14:textId="77777777" w:rsidR="00122EB2" w:rsidRDefault="00000000">
            <w:pPr>
              <w:rPr>
                <w:rFonts w:ascii="Arial" w:eastAsia="Arial" w:hAnsi="Arial" w:cs="Arial"/>
                <w:sz w:val="24"/>
                <w:szCs w:val="24"/>
              </w:rPr>
            </w:pPr>
            <w:r>
              <w:rPr>
                <w:rFonts w:ascii="Arial" w:eastAsia="Arial" w:hAnsi="Arial" w:cs="Arial"/>
                <w:sz w:val="24"/>
                <w:szCs w:val="24"/>
              </w:rPr>
              <w:t>0.99</w:t>
            </w:r>
          </w:p>
        </w:tc>
        <w:tc>
          <w:tcPr>
            <w:tcW w:w="690" w:type="dxa"/>
            <w:tcBorders>
              <w:top w:val="nil"/>
              <w:left w:val="nil"/>
              <w:right w:val="nil"/>
            </w:tcBorders>
          </w:tcPr>
          <w:p w14:paraId="2D9DED71" w14:textId="77777777" w:rsidR="00122EB2" w:rsidRDefault="00000000">
            <w:pPr>
              <w:rPr>
                <w:rFonts w:ascii="Arial" w:eastAsia="Arial" w:hAnsi="Arial" w:cs="Arial"/>
                <w:sz w:val="24"/>
                <w:szCs w:val="24"/>
              </w:rPr>
            </w:pPr>
            <w:r>
              <w:rPr>
                <w:rFonts w:ascii="Arial" w:eastAsia="Arial" w:hAnsi="Arial" w:cs="Arial"/>
                <w:sz w:val="24"/>
                <w:szCs w:val="24"/>
              </w:rPr>
              <w:t>1.03</w:t>
            </w:r>
          </w:p>
        </w:tc>
        <w:tc>
          <w:tcPr>
            <w:tcW w:w="840" w:type="dxa"/>
            <w:tcBorders>
              <w:top w:val="nil"/>
              <w:left w:val="nil"/>
              <w:right w:val="nil"/>
            </w:tcBorders>
          </w:tcPr>
          <w:p w14:paraId="1EAAD082" w14:textId="77777777" w:rsidR="00122EB2" w:rsidRDefault="00000000">
            <w:pPr>
              <w:rPr>
                <w:rFonts w:ascii="Arial" w:eastAsia="Arial" w:hAnsi="Arial" w:cs="Arial"/>
                <w:sz w:val="24"/>
                <w:szCs w:val="24"/>
              </w:rPr>
            </w:pPr>
            <w:r>
              <w:rPr>
                <w:rFonts w:ascii="Arial" w:eastAsia="Arial" w:hAnsi="Arial" w:cs="Arial"/>
                <w:sz w:val="24"/>
                <w:szCs w:val="24"/>
              </w:rPr>
              <w:t>4.70</w:t>
            </w:r>
          </w:p>
        </w:tc>
        <w:tc>
          <w:tcPr>
            <w:tcW w:w="1035" w:type="dxa"/>
            <w:tcBorders>
              <w:top w:val="nil"/>
              <w:left w:val="nil"/>
            </w:tcBorders>
          </w:tcPr>
          <w:p w14:paraId="1A0DD782"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0FBDE2CB" w14:textId="77777777">
        <w:tc>
          <w:tcPr>
            <w:tcW w:w="9495" w:type="dxa"/>
            <w:gridSpan w:val="9"/>
          </w:tcPr>
          <w:p w14:paraId="51C11603" w14:textId="77777777" w:rsidR="00122EB2" w:rsidRDefault="00000000">
            <w:pPr>
              <w:rPr>
                <w:rFonts w:ascii="Arial" w:eastAsia="Arial" w:hAnsi="Arial" w:cs="Arial"/>
                <w:sz w:val="24"/>
                <w:szCs w:val="24"/>
              </w:rPr>
            </w:pPr>
            <w:r>
              <w:rPr>
                <w:rFonts w:ascii="Arial" w:eastAsia="Arial" w:hAnsi="Arial" w:cs="Arial"/>
                <w:sz w:val="24"/>
                <w:szCs w:val="24"/>
              </w:rPr>
              <w:lastRenderedPageBreak/>
              <w:t>Mean change of exercise compulsion was identified through two-sided paired samples t tests</w:t>
            </w:r>
          </w:p>
          <w:p w14:paraId="7776483A" w14:textId="77777777" w:rsidR="00122EB2" w:rsidRDefault="00000000">
            <w:pPr>
              <w:rPr>
                <w:rFonts w:ascii="Arial" w:eastAsia="Arial" w:hAnsi="Arial" w:cs="Arial"/>
                <w:sz w:val="24"/>
                <w:szCs w:val="24"/>
              </w:rPr>
            </w:pPr>
            <w:r>
              <w:rPr>
                <w:rFonts w:ascii="Arial" w:eastAsia="Arial" w:hAnsi="Arial" w:cs="Arial"/>
                <w:sz w:val="24"/>
                <w:szCs w:val="24"/>
              </w:rPr>
              <w:t>*Statistical significance &lt;.05; **Highly statistically significant &lt;.01</w:t>
            </w:r>
          </w:p>
        </w:tc>
      </w:tr>
    </w:tbl>
    <w:p w14:paraId="02B233AE" w14:textId="77777777" w:rsidR="00122EB2" w:rsidRDefault="00122EB2">
      <w:pPr>
        <w:rPr>
          <w:rFonts w:ascii="Arial" w:eastAsia="Arial" w:hAnsi="Arial" w:cs="Arial"/>
          <w:sz w:val="24"/>
          <w:szCs w:val="24"/>
        </w:rPr>
      </w:pPr>
    </w:p>
    <w:p w14:paraId="09755AF4" w14:textId="77777777" w:rsidR="00122EB2" w:rsidRDefault="00122EB2">
      <w:pPr>
        <w:rPr>
          <w:rFonts w:ascii="Arial" w:eastAsia="Arial" w:hAnsi="Arial" w:cs="Arial"/>
          <w:b/>
          <w:bCs/>
          <w:sz w:val="24"/>
          <w:szCs w:val="24"/>
        </w:rPr>
      </w:pPr>
    </w:p>
    <w:p w14:paraId="762EF3B8" w14:textId="77777777" w:rsidR="00122EB2" w:rsidRDefault="00000000">
      <w:pPr>
        <w:rPr>
          <w:rFonts w:ascii="Arial" w:eastAsia="Arial" w:hAnsi="Arial" w:cs="Arial"/>
          <w:b/>
          <w:bCs/>
          <w:sz w:val="24"/>
          <w:szCs w:val="24"/>
        </w:rPr>
      </w:pPr>
      <w:r>
        <w:rPr>
          <w:rFonts w:ascii="Arial" w:eastAsia="Arial" w:hAnsi="Arial" w:cs="Arial"/>
          <w:b/>
          <w:bCs/>
          <w:sz w:val="24"/>
          <w:szCs w:val="24"/>
        </w:rPr>
        <w:t>Changes in compulsive exercise by treatment condition</w:t>
      </w:r>
    </w:p>
    <w:p w14:paraId="0248C9B5" w14:textId="77777777" w:rsidR="00122EB2" w:rsidRDefault="00000000">
      <w:pPr>
        <w:rPr>
          <w:rFonts w:ascii="Arial" w:eastAsia="Arial" w:hAnsi="Arial" w:cs="Arial"/>
          <w:sz w:val="24"/>
          <w:szCs w:val="24"/>
        </w:rPr>
      </w:pPr>
      <w:r>
        <w:rPr>
          <w:rFonts w:ascii="Arial" w:eastAsia="Arial" w:hAnsi="Arial" w:cs="Arial"/>
          <w:sz w:val="24"/>
          <w:szCs w:val="24"/>
        </w:rPr>
        <w:t>A Shapiro-Wilk test indicated that assumptions of normality were violated, however examination of the residuals using QQ plots found that there were no severe violations and the assumption of homogeneity of variance was met. A mixed ANOVA showed a significant difference in compulsive exercise at Week 1 (M = 15.69, SD = 4.29) and compulsive exercise at Week 7 (M=12.57, SD= 4.80), regardless of condition (</w:t>
      </w:r>
      <w:proofErr w:type="gramStart"/>
      <w:r>
        <w:rPr>
          <w:rFonts w:ascii="Arial" w:eastAsia="Arial" w:hAnsi="Arial" w:cs="Arial"/>
          <w:sz w:val="24"/>
          <w:szCs w:val="24"/>
        </w:rPr>
        <w:t>F(</w:t>
      </w:r>
      <w:proofErr w:type="gramEnd"/>
      <w:r>
        <w:rPr>
          <w:rFonts w:ascii="Arial" w:eastAsia="Arial" w:hAnsi="Arial" w:cs="Arial"/>
          <w:sz w:val="24"/>
          <w:szCs w:val="24"/>
        </w:rPr>
        <w:t>1, 49) = 33.54, p&lt; .001, ηp2 = .41). However, there was no difference between the NEAT+TAU and TAU conditions in the degree to which compulsive exercise changes from Week 1 to Week 7 of intervention (</w:t>
      </w:r>
      <w:proofErr w:type="gramStart"/>
      <w:r>
        <w:rPr>
          <w:rFonts w:ascii="Arial" w:eastAsia="Arial" w:hAnsi="Arial" w:cs="Arial"/>
          <w:sz w:val="24"/>
          <w:szCs w:val="24"/>
        </w:rPr>
        <w:t>F(</w:t>
      </w:r>
      <w:proofErr w:type="gramEnd"/>
      <w:r>
        <w:rPr>
          <w:rFonts w:ascii="Arial" w:eastAsia="Arial" w:hAnsi="Arial" w:cs="Arial"/>
          <w:sz w:val="24"/>
          <w:szCs w:val="24"/>
        </w:rPr>
        <w:t>1,49) = 0.99, p= .324, ηp2 = .02).</w:t>
      </w:r>
    </w:p>
    <w:p w14:paraId="3D6ED04A" w14:textId="77777777" w:rsidR="00122EB2" w:rsidRDefault="00122EB2">
      <w:pPr>
        <w:rPr>
          <w:rFonts w:ascii="Arial" w:eastAsia="Arial" w:hAnsi="Arial" w:cs="Arial"/>
          <w:sz w:val="24"/>
          <w:szCs w:val="24"/>
        </w:rPr>
      </w:pPr>
    </w:p>
    <w:p w14:paraId="5F396ED1" w14:textId="77777777" w:rsidR="00122EB2" w:rsidRDefault="00000000">
      <w:pPr>
        <w:rPr>
          <w:rFonts w:ascii="Arial" w:eastAsia="Arial" w:hAnsi="Arial" w:cs="Arial"/>
          <w:b/>
          <w:bCs/>
          <w:sz w:val="24"/>
          <w:szCs w:val="24"/>
        </w:rPr>
      </w:pPr>
      <w:r>
        <w:rPr>
          <w:rFonts w:ascii="Arial" w:eastAsia="Arial" w:hAnsi="Arial" w:cs="Arial"/>
          <w:b/>
          <w:bCs/>
          <w:sz w:val="24"/>
          <w:szCs w:val="24"/>
        </w:rPr>
        <w:t>Changes in self-reported eating disorder psychopathology following intervention</w:t>
      </w:r>
    </w:p>
    <w:p w14:paraId="395D20CB" w14:textId="77777777" w:rsidR="00122EB2" w:rsidRDefault="00000000">
      <w:pPr>
        <w:rPr>
          <w:rFonts w:ascii="Arial" w:eastAsia="Arial" w:hAnsi="Arial" w:cs="Arial"/>
          <w:sz w:val="24"/>
          <w:szCs w:val="24"/>
        </w:rPr>
      </w:pPr>
      <w:r>
        <w:rPr>
          <w:rFonts w:ascii="Arial" w:eastAsia="Arial" w:hAnsi="Arial" w:cs="Arial"/>
          <w:sz w:val="24"/>
          <w:szCs w:val="24"/>
        </w:rPr>
        <w:t>Paired t-tests were used to explore the differences in self-reported eating disorder psychopathology following each intervention. Participants in both the NEAT+TAU and TAU interventions saw significant decreases in total eating disorder psychopathology and all subscales of the EDE-Q (see tables 4 and 5)</w:t>
      </w:r>
    </w:p>
    <w:p w14:paraId="44BFCF8E" w14:textId="77777777" w:rsidR="00122EB2" w:rsidRDefault="00122EB2">
      <w:pPr>
        <w:rPr>
          <w:rFonts w:ascii="Arial" w:eastAsia="Arial" w:hAnsi="Arial" w:cs="Arial"/>
          <w:sz w:val="24"/>
          <w:szCs w:val="24"/>
        </w:rPr>
      </w:pPr>
    </w:p>
    <w:tbl>
      <w:tblPr>
        <w:tblStyle w:val="af"/>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885"/>
        <w:gridCol w:w="750"/>
        <w:gridCol w:w="825"/>
        <w:gridCol w:w="750"/>
        <w:gridCol w:w="1080"/>
        <w:gridCol w:w="750"/>
        <w:gridCol w:w="825"/>
        <w:gridCol w:w="1050"/>
      </w:tblGrid>
      <w:tr w:rsidR="00122EB2" w14:paraId="110BF1CC" w14:textId="77777777">
        <w:tc>
          <w:tcPr>
            <w:tcW w:w="9495" w:type="dxa"/>
            <w:gridSpan w:val="9"/>
            <w:tcBorders>
              <w:bottom w:val="single" w:sz="4" w:space="0" w:color="000000"/>
            </w:tcBorders>
          </w:tcPr>
          <w:p w14:paraId="0D8A6330" w14:textId="77777777" w:rsidR="00122EB2" w:rsidRDefault="00000000">
            <w:pPr>
              <w:rPr>
                <w:rFonts w:ascii="Arial" w:eastAsia="Arial" w:hAnsi="Arial" w:cs="Arial"/>
                <w:sz w:val="24"/>
                <w:szCs w:val="24"/>
              </w:rPr>
            </w:pPr>
            <w:r>
              <w:rPr>
                <w:rFonts w:ascii="Arial" w:eastAsia="Arial" w:hAnsi="Arial" w:cs="Arial"/>
                <w:b/>
                <w:bCs/>
                <w:sz w:val="24"/>
                <w:szCs w:val="24"/>
              </w:rPr>
              <w:t>Table 4</w:t>
            </w:r>
            <w:r>
              <w:rPr>
                <w:rFonts w:ascii="Arial" w:eastAsia="Arial" w:hAnsi="Arial" w:cs="Arial"/>
                <w:sz w:val="24"/>
                <w:szCs w:val="24"/>
              </w:rPr>
              <w:t xml:space="preserve"> Mean, Standard Deviation and Change of total EDE-Q and EDE-Q subscales in NEAT+TAU group</w:t>
            </w:r>
          </w:p>
        </w:tc>
      </w:tr>
      <w:tr w:rsidR="00122EB2" w14:paraId="5286B564" w14:textId="77777777">
        <w:tc>
          <w:tcPr>
            <w:tcW w:w="2580" w:type="dxa"/>
            <w:tcBorders>
              <w:bottom w:val="single" w:sz="4" w:space="0" w:color="000000"/>
              <w:right w:val="nil"/>
            </w:tcBorders>
          </w:tcPr>
          <w:p w14:paraId="1247CBEB" w14:textId="77777777" w:rsidR="00122EB2" w:rsidRDefault="00122EB2">
            <w:pPr>
              <w:rPr>
                <w:rFonts w:ascii="Arial" w:eastAsia="Arial" w:hAnsi="Arial" w:cs="Arial"/>
                <w:sz w:val="24"/>
                <w:szCs w:val="24"/>
              </w:rPr>
            </w:pPr>
          </w:p>
        </w:tc>
        <w:tc>
          <w:tcPr>
            <w:tcW w:w="1635" w:type="dxa"/>
            <w:gridSpan w:val="2"/>
            <w:tcBorders>
              <w:left w:val="nil"/>
              <w:bottom w:val="single" w:sz="4" w:space="0" w:color="000000"/>
              <w:right w:val="nil"/>
            </w:tcBorders>
          </w:tcPr>
          <w:p w14:paraId="6766C1AC" w14:textId="77777777" w:rsidR="00122EB2" w:rsidRDefault="00000000">
            <w:pPr>
              <w:rPr>
                <w:rFonts w:ascii="Arial" w:eastAsia="Arial" w:hAnsi="Arial" w:cs="Arial"/>
                <w:sz w:val="24"/>
                <w:szCs w:val="24"/>
              </w:rPr>
            </w:pPr>
            <w:r>
              <w:rPr>
                <w:rFonts w:ascii="Arial" w:eastAsia="Arial" w:hAnsi="Arial" w:cs="Arial"/>
                <w:sz w:val="24"/>
                <w:szCs w:val="24"/>
              </w:rPr>
              <w:t>T1</w:t>
            </w:r>
          </w:p>
        </w:tc>
        <w:tc>
          <w:tcPr>
            <w:tcW w:w="1575" w:type="dxa"/>
            <w:gridSpan w:val="2"/>
            <w:tcBorders>
              <w:left w:val="nil"/>
              <w:bottom w:val="single" w:sz="4" w:space="0" w:color="000000"/>
              <w:right w:val="nil"/>
            </w:tcBorders>
          </w:tcPr>
          <w:p w14:paraId="6C20D260" w14:textId="77777777" w:rsidR="00122EB2" w:rsidRDefault="00000000">
            <w:pPr>
              <w:rPr>
                <w:rFonts w:ascii="Arial" w:eastAsia="Arial" w:hAnsi="Arial" w:cs="Arial"/>
                <w:sz w:val="24"/>
                <w:szCs w:val="24"/>
              </w:rPr>
            </w:pPr>
            <w:r>
              <w:rPr>
                <w:rFonts w:ascii="Arial" w:eastAsia="Arial" w:hAnsi="Arial" w:cs="Arial"/>
                <w:sz w:val="24"/>
                <w:szCs w:val="24"/>
              </w:rPr>
              <w:t>T2</w:t>
            </w:r>
          </w:p>
        </w:tc>
        <w:tc>
          <w:tcPr>
            <w:tcW w:w="3705" w:type="dxa"/>
            <w:gridSpan w:val="4"/>
            <w:tcBorders>
              <w:left w:val="nil"/>
              <w:bottom w:val="single" w:sz="4" w:space="0" w:color="000000"/>
            </w:tcBorders>
          </w:tcPr>
          <w:p w14:paraId="4233A67C" w14:textId="77777777" w:rsidR="00122EB2" w:rsidRDefault="00000000">
            <w:pPr>
              <w:rPr>
                <w:rFonts w:ascii="Arial" w:eastAsia="Arial" w:hAnsi="Arial" w:cs="Arial"/>
                <w:sz w:val="24"/>
                <w:szCs w:val="24"/>
              </w:rPr>
            </w:pPr>
            <w:r>
              <w:rPr>
                <w:rFonts w:ascii="Arial" w:eastAsia="Arial" w:hAnsi="Arial" w:cs="Arial"/>
                <w:sz w:val="24"/>
                <w:szCs w:val="24"/>
              </w:rPr>
              <w:t>Pre- to post-group</w:t>
            </w:r>
          </w:p>
        </w:tc>
      </w:tr>
      <w:tr w:rsidR="00122EB2" w14:paraId="3A37C888" w14:textId="77777777">
        <w:tc>
          <w:tcPr>
            <w:tcW w:w="2580" w:type="dxa"/>
            <w:tcBorders>
              <w:top w:val="single" w:sz="4" w:space="0" w:color="000000"/>
              <w:bottom w:val="single" w:sz="4" w:space="0" w:color="000000"/>
              <w:right w:val="nil"/>
            </w:tcBorders>
          </w:tcPr>
          <w:p w14:paraId="14E9AF12" w14:textId="77777777" w:rsidR="00122EB2" w:rsidRDefault="00122EB2">
            <w:pPr>
              <w:rPr>
                <w:rFonts w:ascii="Arial" w:eastAsia="Arial" w:hAnsi="Arial" w:cs="Arial"/>
                <w:sz w:val="24"/>
                <w:szCs w:val="24"/>
              </w:rPr>
            </w:pPr>
          </w:p>
        </w:tc>
        <w:tc>
          <w:tcPr>
            <w:tcW w:w="885" w:type="dxa"/>
            <w:tcBorders>
              <w:top w:val="single" w:sz="4" w:space="0" w:color="000000"/>
              <w:left w:val="nil"/>
              <w:bottom w:val="single" w:sz="4" w:space="0" w:color="000000"/>
              <w:right w:val="nil"/>
            </w:tcBorders>
          </w:tcPr>
          <w:p w14:paraId="63EE1509"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50" w:type="dxa"/>
            <w:tcBorders>
              <w:top w:val="single" w:sz="4" w:space="0" w:color="000000"/>
              <w:left w:val="nil"/>
              <w:bottom w:val="single" w:sz="4" w:space="0" w:color="000000"/>
              <w:right w:val="nil"/>
            </w:tcBorders>
          </w:tcPr>
          <w:p w14:paraId="3FA9EFC2"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825" w:type="dxa"/>
            <w:tcBorders>
              <w:top w:val="single" w:sz="4" w:space="0" w:color="000000"/>
              <w:left w:val="nil"/>
              <w:bottom w:val="single" w:sz="4" w:space="0" w:color="000000"/>
              <w:right w:val="nil"/>
            </w:tcBorders>
          </w:tcPr>
          <w:p w14:paraId="755FB81F"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50" w:type="dxa"/>
            <w:tcBorders>
              <w:top w:val="single" w:sz="4" w:space="0" w:color="000000"/>
              <w:left w:val="nil"/>
              <w:bottom w:val="single" w:sz="4" w:space="0" w:color="000000"/>
              <w:right w:val="nil"/>
            </w:tcBorders>
          </w:tcPr>
          <w:p w14:paraId="74276483"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1080" w:type="dxa"/>
            <w:tcBorders>
              <w:top w:val="single" w:sz="4" w:space="0" w:color="000000"/>
              <w:left w:val="nil"/>
              <w:bottom w:val="single" w:sz="4" w:space="0" w:color="000000"/>
              <w:right w:val="nil"/>
            </w:tcBorders>
          </w:tcPr>
          <w:p w14:paraId="2647DAF8" w14:textId="77777777" w:rsidR="00122EB2" w:rsidRDefault="00000000">
            <w:pPr>
              <w:rPr>
                <w:rFonts w:ascii="Arial" w:eastAsia="Arial" w:hAnsi="Arial" w:cs="Arial"/>
                <w:sz w:val="24"/>
                <w:szCs w:val="24"/>
              </w:rPr>
            </w:pPr>
            <w:r>
              <w:rPr>
                <w:rFonts w:ascii="Arial" w:eastAsia="Arial" w:hAnsi="Arial" w:cs="Arial"/>
                <w:sz w:val="24"/>
                <w:szCs w:val="24"/>
              </w:rPr>
              <w:t>Mean change</w:t>
            </w:r>
          </w:p>
        </w:tc>
        <w:tc>
          <w:tcPr>
            <w:tcW w:w="750" w:type="dxa"/>
            <w:tcBorders>
              <w:top w:val="single" w:sz="4" w:space="0" w:color="000000"/>
              <w:left w:val="nil"/>
              <w:bottom w:val="single" w:sz="4" w:space="0" w:color="000000"/>
              <w:right w:val="nil"/>
            </w:tcBorders>
          </w:tcPr>
          <w:p w14:paraId="2DA82CCB"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825" w:type="dxa"/>
            <w:tcBorders>
              <w:top w:val="single" w:sz="4" w:space="0" w:color="000000"/>
              <w:left w:val="nil"/>
              <w:bottom w:val="single" w:sz="4" w:space="0" w:color="000000"/>
              <w:right w:val="nil"/>
            </w:tcBorders>
          </w:tcPr>
          <w:p w14:paraId="27CB3347" w14:textId="77777777" w:rsidR="00122EB2" w:rsidRDefault="00000000">
            <w:pPr>
              <w:rPr>
                <w:rFonts w:ascii="Arial" w:eastAsia="Arial" w:hAnsi="Arial" w:cs="Arial"/>
                <w:sz w:val="24"/>
                <w:szCs w:val="24"/>
              </w:rPr>
            </w:pPr>
            <w:r>
              <w:rPr>
                <w:rFonts w:ascii="Arial" w:eastAsia="Arial" w:hAnsi="Arial" w:cs="Arial"/>
                <w:sz w:val="24"/>
                <w:szCs w:val="24"/>
              </w:rPr>
              <w:t>t</w:t>
            </w:r>
          </w:p>
        </w:tc>
        <w:tc>
          <w:tcPr>
            <w:tcW w:w="1050" w:type="dxa"/>
            <w:tcBorders>
              <w:top w:val="single" w:sz="4" w:space="0" w:color="000000"/>
              <w:left w:val="nil"/>
              <w:bottom w:val="single" w:sz="4" w:space="0" w:color="000000"/>
            </w:tcBorders>
          </w:tcPr>
          <w:p w14:paraId="397AE1DE" w14:textId="77777777" w:rsidR="00122EB2" w:rsidRDefault="00000000">
            <w:pPr>
              <w:rPr>
                <w:rFonts w:ascii="Arial" w:eastAsia="Arial" w:hAnsi="Arial" w:cs="Arial"/>
                <w:i/>
                <w:iCs/>
                <w:sz w:val="24"/>
                <w:szCs w:val="24"/>
              </w:rPr>
            </w:pPr>
            <w:r>
              <w:rPr>
                <w:rFonts w:ascii="Arial" w:eastAsia="Arial" w:hAnsi="Arial" w:cs="Arial"/>
                <w:i/>
                <w:iCs/>
                <w:sz w:val="24"/>
                <w:szCs w:val="24"/>
              </w:rPr>
              <w:t>p</w:t>
            </w:r>
          </w:p>
        </w:tc>
      </w:tr>
      <w:tr w:rsidR="00122EB2" w14:paraId="05B006F6" w14:textId="77777777">
        <w:tc>
          <w:tcPr>
            <w:tcW w:w="2580" w:type="dxa"/>
            <w:tcBorders>
              <w:bottom w:val="nil"/>
              <w:right w:val="nil"/>
            </w:tcBorders>
          </w:tcPr>
          <w:p w14:paraId="0914DCCE" w14:textId="77777777" w:rsidR="00122EB2" w:rsidRDefault="00000000">
            <w:pPr>
              <w:rPr>
                <w:rFonts w:ascii="Arial" w:eastAsia="Arial" w:hAnsi="Arial" w:cs="Arial"/>
                <w:sz w:val="24"/>
                <w:szCs w:val="24"/>
              </w:rPr>
            </w:pPr>
            <w:r>
              <w:rPr>
                <w:rFonts w:ascii="Arial" w:eastAsia="Arial" w:hAnsi="Arial" w:cs="Arial"/>
                <w:sz w:val="24"/>
                <w:szCs w:val="24"/>
              </w:rPr>
              <w:t xml:space="preserve">Eating Disorder Psychopathology   </w:t>
            </w:r>
            <w:proofErr w:type="gramStart"/>
            <w:r>
              <w:rPr>
                <w:rFonts w:ascii="Arial" w:eastAsia="Arial" w:hAnsi="Arial" w:cs="Arial"/>
                <w:sz w:val="24"/>
                <w:szCs w:val="24"/>
              </w:rPr>
              <w:t xml:space="preserve">   (</w:t>
            </w:r>
            <w:proofErr w:type="gramEnd"/>
            <w:r>
              <w:rPr>
                <w:rFonts w:ascii="Arial" w:eastAsia="Arial" w:hAnsi="Arial" w:cs="Arial"/>
                <w:sz w:val="24"/>
                <w:szCs w:val="24"/>
              </w:rPr>
              <w:t>Total EDE-Q)</w:t>
            </w:r>
          </w:p>
        </w:tc>
        <w:tc>
          <w:tcPr>
            <w:tcW w:w="885" w:type="dxa"/>
            <w:tcBorders>
              <w:left w:val="nil"/>
              <w:bottom w:val="nil"/>
              <w:right w:val="nil"/>
            </w:tcBorders>
          </w:tcPr>
          <w:p w14:paraId="006784AF" w14:textId="77777777" w:rsidR="00122EB2" w:rsidRDefault="00000000">
            <w:pPr>
              <w:rPr>
                <w:rFonts w:ascii="Arial" w:eastAsia="Arial" w:hAnsi="Arial" w:cs="Arial"/>
                <w:sz w:val="24"/>
                <w:szCs w:val="24"/>
              </w:rPr>
            </w:pPr>
            <w:r>
              <w:rPr>
                <w:rFonts w:ascii="Arial" w:eastAsia="Arial" w:hAnsi="Arial" w:cs="Arial"/>
                <w:sz w:val="24"/>
                <w:szCs w:val="24"/>
              </w:rPr>
              <w:t>4.56</w:t>
            </w:r>
          </w:p>
        </w:tc>
        <w:tc>
          <w:tcPr>
            <w:tcW w:w="750" w:type="dxa"/>
            <w:tcBorders>
              <w:left w:val="nil"/>
              <w:bottom w:val="nil"/>
              <w:right w:val="nil"/>
            </w:tcBorders>
          </w:tcPr>
          <w:p w14:paraId="1E59E9BE" w14:textId="77777777" w:rsidR="00122EB2" w:rsidRDefault="00000000">
            <w:pPr>
              <w:rPr>
                <w:rFonts w:ascii="Arial" w:eastAsia="Arial" w:hAnsi="Arial" w:cs="Arial"/>
                <w:sz w:val="24"/>
                <w:szCs w:val="24"/>
              </w:rPr>
            </w:pPr>
            <w:r>
              <w:rPr>
                <w:rFonts w:ascii="Arial" w:eastAsia="Arial" w:hAnsi="Arial" w:cs="Arial"/>
                <w:sz w:val="24"/>
                <w:szCs w:val="24"/>
              </w:rPr>
              <w:t>1.18</w:t>
            </w:r>
          </w:p>
        </w:tc>
        <w:tc>
          <w:tcPr>
            <w:tcW w:w="825" w:type="dxa"/>
            <w:tcBorders>
              <w:left w:val="nil"/>
              <w:bottom w:val="nil"/>
              <w:right w:val="nil"/>
            </w:tcBorders>
          </w:tcPr>
          <w:p w14:paraId="7A68F264" w14:textId="77777777" w:rsidR="00122EB2" w:rsidRDefault="00000000">
            <w:pPr>
              <w:rPr>
                <w:rFonts w:ascii="Arial" w:eastAsia="Arial" w:hAnsi="Arial" w:cs="Arial"/>
                <w:sz w:val="24"/>
                <w:szCs w:val="24"/>
              </w:rPr>
            </w:pPr>
            <w:r>
              <w:rPr>
                <w:rFonts w:ascii="Arial" w:eastAsia="Arial" w:hAnsi="Arial" w:cs="Arial"/>
                <w:sz w:val="24"/>
                <w:szCs w:val="24"/>
              </w:rPr>
              <w:t>3.53</w:t>
            </w:r>
          </w:p>
        </w:tc>
        <w:tc>
          <w:tcPr>
            <w:tcW w:w="750" w:type="dxa"/>
            <w:tcBorders>
              <w:left w:val="nil"/>
              <w:bottom w:val="nil"/>
              <w:right w:val="nil"/>
            </w:tcBorders>
          </w:tcPr>
          <w:p w14:paraId="2727E2C9" w14:textId="77777777" w:rsidR="00122EB2" w:rsidRDefault="00000000">
            <w:pPr>
              <w:rPr>
                <w:rFonts w:ascii="Arial" w:eastAsia="Arial" w:hAnsi="Arial" w:cs="Arial"/>
                <w:sz w:val="24"/>
                <w:szCs w:val="24"/>
              </w:rPr>
            </w:pPr>
            <w:r>
              <w:rPr>
                <w:rFonts w:ascii="Arial" w:eastAsia="Arial" w:hAnsi="Arial" w:cs="Arial"/>
                <w:sz w:val="24"/>
                <w:szCs w:val="24"/>
              </w:rPr>
              <w:t>1.30</w:t>
            </w:r>
          </w:p>
        </w:tc>
        <w:tc>
          <w:tcPr>
            <w:tcW w:w="1080" w:type="dxa"/>
            <w:tcBorders>
              <w:left w:val="nil"/>
              <w:bottom w:val="nil"/>
              <w:right w:val="nil"/>
            </w:tcBorders>
          </w:tcPr>
          <w:p w14:paraId="4034079F" w14:textId="77777777" w:rsidR="00122EB2" w:rsidRDefault="00000000">
            <w:pPr>
              <w:rPr>
                <w:rFonts w:ascii="Arial" w:eastAsia="Arial" w:hAnsi="Arial" w:cs="Arial"/>
                <w:sz w:val="24"/>
                <w:szCs w:val="24"/>
              </w:rPr>
            </w:pPr>
            <w:r>
              <w:rPr>
                <w:rFonts w:ascii="Arial" w:eastAsia="Arial" w:hAnsi="Arial" w:cs="Arial"/>
                <w:sz w:val="24"/>
                <w:szCs w:val="24"/>
              </w:rPr>
              <w:t>1.03</w:t>
            </w:r>
          </w:p>
        </w:tc>
        <w:tc>
          <w:tcPr>
            <w:tcW w:w="750" w:type="dxa"/>
            <w:tcBorders>
              <w:left w:val="nil"/>
              <w:bottom w:val="nil"/>
              <w:right w:val="nil"/>
            </w:tcBorders>
          </w:tcPr>
          <w:p w14:paraId="271526FF" w14:textId="77777777" w:rsidR="00122EB2" w:rsidRDefault="00000000">
            <w:pPr>
              <w:rPr>
                <w:rFonts w:ascii="Arial" w:eastAsia="Arial" w:hAnsi="Arial" w:cs="Arial"/>
                <w:sz w:val="24"/>
                <w:szCs w:val="24"/>
              </w:rPr>
            </w:pPr>
            <w:r>
              <w:rPr>
                <w:rFonts w:ascii="Arial" w:eastAsia="Arial" w:hAnsi="Arial" w:cs="Arial"/>
                <w:sz w:val="24"/>
                <w:szCs w:val="24"/>
              </w:rPr>
              <w:t>1.25</w:t>
            </w:r>
          </w:p>
        </w:tc>
        <w:tc>
          <w:tcPr>
            <w:tcW w:w="825" w:type="dxa"/>
            <w:tcBorders>
              <w:left w:val="nil"/>
              <w:bottom w:val="nil"/>
              <w:right w:val="nil"/>
            </w:tcBorders>
          </w:tcPr>
          <w:p w14:paraId="7185BC02" w14:textId="77777777" w:rsidR="00122EB2" w:rsidRDefault="00000000">
            <w:pPr>
              <w:rPr>
                <w:rFonts w:ascii="Arial" w:eastAsia="Arial" w:hAnsi="Arial" w:cs="Arial"/>
                <w:sz w:val="24"/>
                <w:szCs w:val="24"/>
              </w:rPr>
            </w:pPr>
            <w:r>
              <w:rPr>
                <w:rFonts w:ascii="Arial" w:eastAsia="Arial" w:hAnsi="Arial" w:cs="Arial"/>
                <w:sz w:val="24"/>
                <w:szCs w:val="24"/>
              </w:rPr>
              <w:t>4.31</w:t>
            </w:r>
          </w:p>
        </w:tc>
        <w:tc>
          <w:tcPr>
            <w:tcW w:w="1050" w:type="dxa"/>
            <w:tcBorders>
              <w:left w:val="nil"/>
              <w:bottom w:val="nil"/>
            </w:tcBorders>
          </w:tcPr>
          <w:p w14:paraId="328A7B7C" w14:textId="77777777" w:rsidR="00122EB2" w:rsidRDefault="00000000">
            <w:pPr>
              <w:rPr>
                <w:rFonts w:ascii="Arial" w:eastAsia="Arial" w:hAnsi="Arial" w:cs="Arial"/>
                <w:sz w:val="24"/>
                <w:szCs w:val="24"/>
              </w:rPr>
            </w:pPr>
            <w:bookmarkStart w:id="0" w:name="_heading=h.gjdgxs" w:colFirst="0" w:colLast="0"/>
            <w:bookmarkEnd w:id="0"/>
            <w:r>
              <w:rPr>
                <w:rFonts w:ascii="Arial" w:eastAsia="Arial" w:hAnsi="Arial" w:cs="Arial"/>
                <w:sz w:val="24"/>
                <w:szCs w:val="24"/>
              </w:rPr>
              <w:t>&lt;.001**</w:t>
            </w:r>
          </w:p>
        </w:tc>
      </w:tr>
      <w:tr w:rsidR="00122EB2" w14:paraId="06A5A211" w14:textId="77777777">
        <w:trPr>
          <w:trHeight w:val="365"/>
        </w:trPr>
        <w:tc>
          <w:tcPr>
            <w:tcW w:w="2580" w:type="dxa"/>
            <w:tcBorders>
              <w:top w:val="nil"/>
              <w:bottom w:val="nil"/>
              <w:right w:val="nil"/>
            </w:tcBorders>
          </w:tcPr>
          <w:p w14:paraId="4D07C6B6" w14:textId="77777777" w:rsidR="00122EB2" w:rsidRDefault="00000000">
            <w:pPr>
              <w:rPr>
                <w:rFonts w:ascii="Arial" w:eastAsia="Arial" w:hAnsi="Arial" w:cs="Arial"/>
                <w:sz w:val="24"/>
                <w:szCs w:val="24"/>
              </w:rPr>
            </w:pPr>
            <w:r>
              <w:rPr>
                <w:rFonts w:ascii="Arial" w:eastAsia="Arial" w:hAnsi="Arial" w:cs="Arial"/>
                <w:sz w:val="24"/>
                <w:szCs w:val="24"/>
              </w:rPr>
              <w:t>EDE-Q Subscales</w:t>
            </w:r>
          </w:p>
        </w:tc>
        <w:tc>
          <w:tcPr>
            <w:tcW w:w="885" w:type="dxa"/>
            <w:tcBorders>
              <w:top w:val="nil"/>
              <w:left w:val="nil"/>
              <w:bottom w:val="nil"/>
              <w:right w:val="nil"/>
            </w:tcBorders>
          </w:tcPr>
          <w:p w14:paraId="3E5F0890" w14:textId="77777777" w:rsidR="00122EB2" w:rsidRDefault="00122EB2">
            <w:pPr>
              <w:rPr>
                <w:rFonts w:ascii="Arial" w:eastAsia="Arial" w:hAnsi="Arial" w:cs="Arial"/>
                <w:sz w:val="24"/>
                <w:szCs w:val="24"/>
              </w:rPr>
            </w:pPr>
          </w:p>
        </w:tc>
        <w:tc>
          <w:tcPr>
            <w:tcW w:w="750" w:type="dxa"/>
            <w:tcBorders>
              <w:top w:val="nil"/>
              <w:left w:val="nil"/>
              <w:bottom w:val="nil"/>
              <w:right w:val="nil"/>
            </w:tcBorders>
          </w:tcPr>
          <w:p w14:paraId="5ED84AFC" w14:textId="77777777" w:rsidR="00122EB2" w:rsidRDefault="00122EB2">
            <w:pPr>
              <w:rPr>
                <w:rFonts w:ascii="Arial" w:eastAsia="Arial" w:hAnsi="Arial" w:cs="Arial"/>
                <w:sz w:val="24"/>
                <w:szCs w:val="24"/>
              </w:rPr>
            </w:pPr>
          </w:p>
        </w:tc>
        <w:tc>
          <w:tcPr>
            <w:tcW w:w="825" w:type="dxa"/>
            <w:tcBorders>
              <w:top w:val="nil"/>
              <w:left w:val="nil"/>
              <w:bottom w:val="nil"/>
              <w:right w:val="nil"/>
            </w:tcBorders>
          </w:tcPr>
          <w:p w14:paraId="2AC19B1C" w14:textId="77777777" w:rsidR="00122EB2" w:rsidRDefault="00122EB2">
            <w:pPr>
              <w:rPr>
                <w:rFonts w:ascii="Arial" w:eastAsia="Arial" w:hAnsi="Arial" w:cs="Arial"/>
                <w:sz w:val="24"/>
                <w:szCs w:val="24"/>
              </w:rPr>
            </w:pPr>
          </w:p>
        </w:tc>
        <w:tc>
          <w:tcPr>
            <w:tcW w:w="750" w:type="dxa"/>
            <w:tcBorders>
              <w:top w:val="nil"/>
              <w:left w:val="nil"/>
              <w:bottom w:val="nil"/>
              <w:right w:val="nil"/>
            </w:tcBorders>
          </w:tcPr>
          <w:p w14:paraId="60685AC9" w14:textId="77777777" w:rsidR="00122EB2" w:rsidRDefault="00122EB2">
            <w:pPr>
              <w:rPr>
                <w:rFonts w:ascii="Arial" w:eastAsia="Arial" w:hAnsi="Arial" w:cs="Arial"/>
                <w:sz w:val="24"/>
                <w:szCs w:val="24"/>
              </w:rPr>
            </w:pPr>
          </w:p>
        </w:tc>
        <w:tc>
          <w:tcPr>
            <w:tcW w:w="1080" w:type="dxa"/>
            <w:tcBorders>
              <w:top w:val="nil"/>
              <w:left w:val="nil"/>
              <w:bottom w:val="nil"/>
              <w:right w:val="nil"/>
            </w:tcBorders>
          </w:tcPr>
          <w:p w14:paraId="1E6FB427" w14:textId="77777777" w:rsidR="00122EB2" w:rsidRDefault="00122EB2">
            <w:pPr>
              <w:rPr>
                <w:rFonts w:ascii="Arial" w:eastAsia="Arial" w:hAnsi="Arial" w:cs="Arial"/>
                <w:sz w:val="24"/>
                <w:szCs w:val="24"/>
              </w:rPr>
            </w:pPr>
          </w:p>
        </w:tc>
        <w:tc>
          <w:tcPr>
            <w:tcW w:w="750" w:type="dxa"/>
            <w:tcBorders>
              <w:top w:val="nil"/>
              <w:left w:val="nil"/>
              <w:bottom w:val="nil"/>
              <w:right w:val="nil"/>
            </w:tcBorders>
          </w:tcPr>
          <w:p w14:paraId="3E5EFB8F" w14:textId="77777777" w:rsidR="00122EB2" w:rsidRDefault="00122EB2">
            <w:pPr>
              <w:rPr>
                <w:rFonts w:ascii="Arial" w:eastAsia="Arial" w:hAnsi="Arial" w:cs="Arial"/>
                <w:sz w:val="24"/>
                <w:szCs w:val="24"/>
              </w:rPr>
            </w:pPr>
          </w:p>
        </w:tc>
        <w:tc>
          <w:tcPr>
            <w:tcW w:w="825" w:type="dxa"/>
            <w:tcBorders>
              <w:top w:val="nil"/>
              <w:left w:val="nil"/>
              <w:bottom w:val="nil"/>
              <w:right w:val="nil"/>
            </w:tcBorders>
          </w:tcPr>
          <w:p w14:paraId="5CE56A0D" w14:textId="77777777" w:rsidR="00122EB2" w:rsidRDefault="00122EB2">
            <w:pPr>
              <w:rPr>
                <w:rFonts w:ascii="Arial" w:eastAsia="Arial" w:hAnsi="Arial" w:cs="Arial"/>
                <w:sz w:val="24"/>
                <w:szCs w:val="24"/>
              </w:rPr>
            </w:pPr>
          </w:p>
        </w:tc>
        <w:tc>
          <w:tcPr>
            <w:tcW w:w="1050" w:type="dxa"/>
            <w:tcBorders>
              <w:top w:val="nil"/>
              <w:left w:val="nil"/>
              <w:bottom w:val="nil"/>
            </w:tcBorders>
          </w:tcPr>
          <w:p w14:paraId="68224B0A" w14:textId="77777777" w:rsidR="00122EB2" w:rsidRDefault="00122EB2">
            <w:pPr>
              <w:rPr>
                <w:rFonts w:ascii="Arial" w:eastAsia="Arial" w:hAnsi="Arial" w:cs="Arial"/>
                <w:sz w:val="24"/>
                <w:szCs w:val="24"/>
              </w:rPr>
            </w:pPr>
          </w:p>
        </w:tc>
      </w:tr>
      <w:tr w:rsidR="00122EB2" w14:paraId="66CE3040" w14:textId="77777777">
        <w:trPr>
          <w:trHeight w:val="611"/>
        </w:trPr>
        <w:tc>
          <w:tcPr>
            <w:tcW w:w="2580" w:type="dxa"/>
            <w:tcBorders>
              <w:top w:val="nil"/>
              <w:bottom w:val="nil"/>
              <w:right w:val="nil"/>
            </w:tcBorders>
          </w:tcPr>
          <w:p w14:paraId="1B471B14" w14:textId="77777777" w:rsidR="00122EB2" w:rsidRDefault="00000000">
            <w:pPr>
              <w:ind w:left="720"/>
              <w:rPr>
                <w:rFonts w:ascii="Arial" w:eastAsia="Arial" w:hAnsi="Arial" w:cs="Arial"/>
                <w:sz w:val="24"/>
                <w:szCs w:val="24"/>
              </w:rPr>
            </w:pPr>
            <w:r>
              <w:rPr>
                <w:rFonts w:ascii="Arial" w:eastAsia="Arial" w:hAnsi="Arial" w:cs="Arial"/>
                <w:sz w:val="24"/>
                <w:szCs w:val="24"/>
              </w:rPr>
              <w:t>Dietary Restriction</w:t>
            </w:r>
          </w:p>
        </w:tc>
        <w:tc>
          <w:tcPr>
            <w:tcW w:w="885" w:type="dxa"/>
            <w:tcBorders>
              <w:top w:val="nil"/>
              <w:left w:val="nil"/>
              <w:bottom w:val="nil"/>
              <w:right w:val="nil"/>
            </w:tcBorders>
          </w:tcPr>
          <w:p w14:paraId="11E68AE3" w14:textId="77777777" w:rsidR="00122EB2" w:rsidRDefault="00000000">
            <w:pPr>
              <w:rPr>
                <w:rFonts w:ascii="Arial" w:eastAsia="Arial" w:hAnsi="Arial" w:cs="Arial"/>
                <w:sz w:val="24"/>
                <w:szCs w:val="24"/>
              </w:rPr>
            </w:pPr>
            <w:r>
              <w:rPr>
                <w:rFonts w:ascii="Arial" w:eastAsia="Arial" w:hAnsi="Arial" w:cs="Arial"/>
                <w:sz w:val="24"/>
                <w:szCs w:val="24"/>
              </w:rPr>
              <w:t>4.49</w:t>
            </w:r>
          </w:p>
        </w:tc>
        <w:tc>
          <w:tcPr>
            <w:tcW w:w="750" w:type="dxa"/>
            <w:tcBorders>
              <w:top w:val="nil"/>
              <w:left w:val="nil"/>
              <w:bottom w:val="nil"/>
              <w:right w:val="nil"/>
            </w:tcBorders>
          </w:tcPr>
          <w:p w14:paraId="546AD7EB" w14:textId="77777777" w:rsidR="00122EB2" w:rsidRDefault="00000000">
            <w:pPr>
              <w:rPr>
                <w:rFonts w:ascii="Arial" w:eastAsia="Arial" w:hAnsi="Arial" w:cs="Arial"/>
                <w:sz w:val="24"/>
                <w:szCs w:val="24"/>
              </w:rPr>
            </w:pPr>
            <w:r>
              <w:rPr>
                <w:rFonts w:ascii="Arial" w:eastAsia="Arial" w:hAnsi="Arial" w:cs="Arial"/>
                <w:sz w:val="24"/>
                <w:szCs w:val="24"/>
              </w:rPr>
              <w:t>1.90</w:t>
            </w:r>
          </w:p>
        </w:tc>
        <w:tc>
          <w:tcPr>
            <w:tcW w:w="825" w:type="dxa"/>
            <w:tcBorders>
              <w:top w:val="nil"/>
              <w:left w:val="nil"/>
              <w:bottom w:val="nil"/>
              <w:right w:val="nil"/>
            </w:tcBorders>
          </w:tcPr>
          <w:p w14:paraId="21EA27B7" w14:textId="77777777" w:rsidR="00122EB2" w:rsidRDefault="00000000">
            <w:pPr>
              <w:rPr>
                <w:rFonts w:ascii="Arial" w:eastAsia="Arial" w:hAnsi="Arial" w:cs="Arial"/>
                <w:sz w:val="24"/>
                <w:szCs w:val="24"/>
              </w:rPr>
            </w:pPr>
            <w:r>
              <w:rPr>
                <w:rFonts w:ascii="Arial" w:eastAsia="Arial" w:hAnsi="Arial" w:cs="Arial"/>
                <w:sz w:val="24"/>
                <w:szCs w:val="24"/>
              </w:rPr>
              <w:t>2.28</w:t>
            </w:r>
          </w:p>
        </w:tc>
        <w:tc>
          <w:tcPr>
            <w:tcW w:w="750" w:type="dxa"/>
            <w:tcBorders>
              <w:top w:val="nil"/>
              <w:left w:val="nil"/>
              <w:bottom w:val="nil"/>
              <w:right w:val="nil"/>
            </w:tcBorders>
          </w:tcPr>
          <w:p w14:paraId="2F026D0D" w14:textId="77777777" w:rsidR="00122EB2" w:rsidRDefault="00000000">
            <w:pPr>
              <w:rPr>
                <w:rFonts w:ascii="Arial" w:eastAsia="Arial" w:hAnsi="Arial" w:cs="Arial"/>
                <w:sz w:val="24"/>
                <w:szCs w:val="24"/>
              </w:rPr>
            </w:pPr>
            <w:r>
              <w:rPr>
                <w:rFonts w:ascii="Arial" w:eastAsia="Arial" w:hAnsi="Arial" w:cs="Arial"/>
                <w:sz w:val="24"/>
                <w:szCs w:val="24"/>
              </w:rPr>
              <w:t>1.88</w:t>
            </w:r>
          </w:p>
        </w:tc>
        <w:tc>
          <w:tcPr>
            <w:tcW w:w="1080" w:type="dxa"/>
            <w:tcBorders>
              <w:top w:val="nil"/>
              <w:left w:val="nil"/>
              <w:bottom w:val="nil"/>
              <w:right w:val="nil"/>
            </w:tcBorders>
          </w:tcPr>
          <w:p w14:paraId="0B1E4FD6" w14:textId="77777777" w:rsidR="00122EB2" w:rsidRDefault="00000000">
            <w:pPr>
              <w:rPr>
                <w:rFonts w:ascii="Arial" w:eastAsia="Arial" w:hAnsi="Arial" w:cs="Arial"/>
                <w:sz w:val="24"/>
                <w:szCs w:val="24"/>
              </w:rPr>
            </w:pPr>
            <w:r>
              <w:rPr>
                <w:rFonts w:ascii="Arial" w:eastAsia="Arial" w:hAnsi="Arial" w:cs="Arial"/>
                <w:sz w:val="24"/>
                <w:szCs w:val="24"/>
              </w:rPr>
              <w:t>2.21</w:t>
            </w:r>
          </w:p>
        </w:tc>
        <w:tc>
          <w:tcPr>
            <w:tcW w:w="750" w:type="dxa"/>
            <w:tcBorders>
              <w:top w:val="nil"/>
              <w:left w:val="nil"/>
              <w:bottom w:val="nil"/>
              <w:right w:val="nil"/>
            </w:tcBorders>
          </w:tcPr>
          <w:p w14:paraId="24E97C7E" w14:textId="77777777" w:rsidR="00122EB2" w:rsidRDefault="00000000">
            <w:pPr>
              <w:rPr>
                <w:rFonts w:ascii="Arial" w:eastAsia="Arial" w:hAnsi="Arial" w:cs="Arial"/>
                <w:sz w:val="24"/>
                <w:szCs w:val="24"/>
              </w:rPr>
            </w:pPr>
            <w:r>
              <w:rPr>
                <w:rFonts w:ascii="Arial" w:eastAsia="Arial" w:hAnsi="Arial" w:cs="Arial"/>
                <w:sz w:val="24"/>
                <w:szCs w:val="24"/>
              </w:rPr>
              <w:t>2.26</w:t>
            </w:r>
          </w:p>
        </w:tc>
        <w:tc>
          <w:tcPr>
            <w:tcW w:w="825" w:type="dxa"/>
            <w:tcBorders>
              <w:top w:val="nil"/>
              <w:left w:val="nil"/>
              <w:bottom w:val="nil"/>
              <w:right w:val="nil"/>
            </w:tcBorders>
          </w:tcPr>
          <w:p w14:paraId="2C59A6A5" w14:textId="77777777" w:rsidR="00122EB2" w:rsidRDefault="00000000">
            <w:pPr>
              <w:rPr>
                <w:rFonts w:ascii="Arial" w:eastAsia="Arial" w:hAnsi="Arial" w:cs="Arial"/>
                <w:sz w:val="24"/>
                <w:szCs w:val="24"/>
              </w:rPr>
            </w:pPr>
            <w:r>
              <w:rPr>
                <w:rFonts w:ascii="Arial" w:eastAsia="Arial" w:hAnsi="Arial" w:cs="Arial"/>
                <w:sz w:val="24"/>
                <w:szCs w:val="24"/>
              </w:rPr>
              <w:t>5.08</w:t>
            </w:r>
          </w:p>
        </w:tc>
        <w:tc>
          <w:tcPr>
            <w:tcW w:w="1050" w:type="dxa"/>
            <w:tcBorders>
              <w:top w:val="nil"/>
              <w:left w:val="nil"/>
              <w:bottom w:val="nil"/>
            </w:tcBorders>
          </w:tcPr>
          <w:p w14:paraId="065ADC9D"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6900E545" w14:textId="77777777">
        <w:trPr>
          <w:trHeight w:val="596"/>
        </w:trPr>
        <w:tc>
          <w:tcPr>
            <w:tcW w:w="2580" w:type="dxa"/>
            <w:tcBorders>
              <w:top w:val="nil"/>
              <w:bottom w:val="nil"/>
              <w:right w:val="nil"/>
            </w:tcBorders>
          </w:tcPr>
          <w:p w14:paraId="0F1DF074" w14:textId="77777777" w:rsidR="00122EB2" w:rsidRDefault="00000000">
            <w:pPr>
              <w:ind w:left="720"/>
              <w:rPr>
                <w:rFonts w:ascii="Arial" w:eastAsia="Arial" w:hAnsi="Arial" w:cs="Arial"/>
                <w:sz w:val="24"/>
                <w:szCs w:val="24"/>
              </w:rPr>
            </w:pPr>
            <w:r>
              <w:rPr>
                <w:rFonts w:ascii="Arial" w:eastAsia="Arial" w:hAnsi="Arial" w:cs="Arial"/>
                <w:sz w:val="24"/>
                <w:szCs w:val="24"/>
              </w:rPr>
              <w:t>Eating Concern</w:t>
            </w:r>
          </w:p>
        </w:tc>
        <w:tc>
          <w:tcPr>
            <w:tcW w:w="885" w:type="dxa"/>
            <w:tcBorders>
              <w:top w:val="nil"/>
              <w:left w:val="nil"/>
              <w:bottom w:val="nil"/>
              <w:right w:val="nil"/>
            </w:tcBorders>
          </w:tcPr>
          <w:p w14:paraId="0A9E4685" w14:textId="77777777" w:rsidR="00122EB2" w:rsidRDefault="00000000">
            <w:pPr>
              <w:rPr>
                <w:rFonts w:ascii="Arial" w:eastAsia="Arial" w:hAnsi="Arial" w:cs="Arial"/>
                <w:sz w:val="24"/>
                <w:szCs w:val="24"/>
              </w:rPr>
            </w:pPr>
            <w:r>
              <w:rPr>
                <w:rFonts w:ascii="Arial" w:eastAsia="Arial" w:hAnsi="Arial" w:cs="Arial"/>
                <w:sz w:val="24"/>
                <w:szCs w:val="24"/>
              </w:rPr>
              <w:t>3.58</w:t>
            </w:r>
          </w:p>
        </w:tc>
        <w:tc>
          <w:tcPr>
            <w:tcW w:w="750" w:type="dxa"/>
            <w:tcBorders>
              <w:top w:val="nil"/>
              <w:left w:val="nil"/>
              <w:bottom w:val="nil"/>
              <w:right w:val="nil"/>
            </w:tcBorders>
          </w:tcPr>
          <w:p w14:paraId="75040E84" w14:textId="77777777" w:rsidR="00122EB2" w:rsidRDefault="00000000">
            <w:pPr>
              <w:rPr>
                <w:rFonts w:ascii="Arial" w:eastAsia="Arial" w:hAnsi="Arial" w:cs="Arial"/>
                <w:sz w:val="24"/>
                <w:szCs w:val="24"/>
              </w:rPr>
            </w:pPr>
            <w:r>
              <w:rPr>
                <w:rFonts w:ascii="Arial" w:eastAsia="Arial" w:hAnsi="Arial" w:cs="Arial"/>
                <w:sz w:val="24"/>
                <w:szCs w:val="24"/>
              </w:rPr>
              <w:t>1.32</w:t>
            </w:r>
          </w:p>
        </w:tc>
        <w:tc>
          <w:tcPr>
            <w:tcW w:w="825" w:type="dxa"/>
            <w:tcBorders>
              <w:top w:val="nil"/>
              <w:left w:val="nil"/>
              <w:bottom w:val="nil"/>
              <w:right w:val="nil"/>
            </w:tcBorders>
          </w:tcPr>
          <w:p w14:paraId="37ADD29E" w14:textId="77777777" w:rsidR="00122EB2" w:rsidRDefault="00000000">
            <w:pPr>
              <w:rPr>
                <w:rFonts w:ascii="Arial" w:eastAsia="Arial" w:hAnsi="Arial" w:cs="Arial"/>
                <w:sz w:val="24"/>
                <w:szCs w:val="24"/>
              </w:rPr>
            </w:pPr>
            <w:r>
              <w:rPr>
                <w:rFonts w:ascii="Arial" w:eastAsia="Arial" w:hAnsi="Arial" w:cs="Arial"/>
                <w:sz w:val="24"/>
                <w:szCs w:val="24"/>
              </w:rPr>
              <w:t>2.85</w:t>
            </w:r>
          </w:p>
        </w:tc>
        <w:tc>
          <w:tcPr>
            <w:tcW w:w="750" w:type="dxa"/>
            <w:tcBorders>
              <w:top w:val="nil"/>
              <w:left w:val="nil"/>
              <w:bottom w:val="nil"/>
              <w:right w:val="nil"/>
            </w:tcBorders>
          </w:tcPr>
          <w:p w14:paraId="2275CA32" w14:textId="77777777" w:rsidR="00122EB2" w:rsidRDefault="00000000">
            <w:pPr>
              <w:rPr>
                <w:rFonts w:ascii="Arial" w:eastAsia="Arial" w:hAnsi="Arial" w:cs="Arial"/>
                <w:sz w:val="24"/>
                <w:szCs w:val="24"/>
              </w:rPr>
            </w:pPr>
            <w:r>
              <w:rPr>
                <w:rFonts w:ascii="Arial" w:eastAsia="Arial" w:hAnsi="Arial" w:cs="Arial"/>
                <w:sz w:val="24"/>
                <w:szCs w:val="24"/>
              </w:rPr>
              <w:t>1.36</w:t>
            </w:r>
          </w:p>
        </w:tc>
        <w:tc>
          <w:tcPr>
            <w:tcW w:w="1080" w:type="dxa"/>
            <w:tcBorders>
              <w:top w:val="nil"/>
              <w:left w:val="nil"/>
              <w:bottom w:val="nil"/>
              <w:right w:val="nil"/>
            </w:tcBorders>
          </w:tcPr>
          <w:p w14:paraId="1BDAAEFE" w14:textId="77777777" w:rsidR="00122EB2" w:rsidRDefault="00000000">
            <w:pPr>
              <w:rPr>
                <w:rFonts w:ascii="Arial" w:eastAsia="Arial" w:hAnsi="Arial" w:cs="Arial"/>
                <w:sz w:val="24"/>
                <w:szCs w:val="24"/>
              </w:rPr>
            </w:pPr>
            <w:r>
              <w:rPr>
                <w:rFonts w:ascii="Arial" w:eastAsia="Arial" w:hAnsi="Arial" w:cs="Arial"/>
                <w:sz w:val="24"/>
                <w:szCs w:val="24"/>
              </w:rPr>
              <w:t>0.73</w:t>
            </w:r>
          </w:p>
        </w:tc>
        <w:tc>
          <w:tcPr>
            <w:tcW w:w="750" w:type="dxa"/>
            <w:tcBorders>
              <w:top w:val="nil"/>
              <w:left w:val="nil"/>
              <w:bottom w:val="nil"/>
              <w:right w:val="nil"/>
            </w:tcBorders>
          </w:tcPr>
          <w:p w14:paraId="2F77FD0C" w14:textId="77777777" w:rsidR="00122EB2" w:rsidRDefault="00000000">
            <w:pPr>
              <w:rPr>
                <w:rFonts w:ascii="Arial" w:eastAsia="Arial" w:hAnsi="Arial" w:cs="Arial"/>
                <w:sz w:val="24"/>
                <w:szCs w:val="24"/>
              </w:rPr>
            </w:pPr>
            <w:r>
              <w:rPr>
                <w:rFonts w:ascii="Arial" w:eastAsia="Arial" w:hAnsi="Arial" w:cs="Arial"/>
                <w:sz w:val="24"/>
                <w:szCs w:val="24"/>
              </w:rPr>
              <w:t>1.04</w:t>
            </w:r>
          </w:p>
        </w:tc>
        <w:tc>
          <w:tcPr>
            <w:tcW w:w="825" w:type="dxa"/>
            <w:tcBorders>
              <w:top w:val="nil"/>
              <w:left w:val="nil"/>
              <w:bottom w:val="nil"/>
              <w:right w:val="nil"/>
            </w:tcBorders>
          </w:tcPr>
          <w:p w14:paraId="293386BC" w14:textId="77777777" w:rsidR="00122EB2" w:rsidRDefault="00000000">
            <w:pPr>
              <w:rPr>
                <w:rFonts w:ascii="Arial" w:eastAsia="Arial" w:hAnsi="Arial" w:cs="Arial"/>
                <w:sz w:val="24"/>
                <w:szCs w:val="24"/>
              </w:rPr>
            </w:pPr>
            <w:r>
              <w:rPr>
                <w:rFonts w:ascii="Arial" w:eastAsia="Arial" w:hAnsi="Arial" w:cs="Arial"/>
                <w:sz w:val="24"/>
                <w:szCs w:val="24"/>
              </w:rPr>
              <w:t>3.65</w:t>
            </w:r>
          </w:p>
        </w:tc>
        <w:tc>
          <w:tcPr>
            <w:tcW w:w="1050" w:type="dxa"/>
            <w:tcBorders>
              <w:top w:val="nil"/>
              <w:left w:val="nil"/>
              <w:bottom w:val="nil"/>
            </w:tcBorders>
          </w:tcPr>
          <w:p w14:paraId="38C497D0" w14:textId="77777777" w:rsidR="00122EB2" w:rsidRDefault="00000000">
            <w:pPr>
              <w:rPr>
                <w:rFonts w:ascii="Arial" w:eastAsia="Arial" w:hAnsi="Arial" w:cs="Arial"/>
                <w:sz w:val="24"/>
                <w:szCs w:val="24"/>
              </w:rPr>
            </w:pPr>
            <w:r>
              <w:rPr>
                <w:rFonts w:ascii="Arial" w:eastAsia="Arial" w:hAnsi="Arial" w:cs="Arial"/>
                <w:sz w:val="24"/>
                <w:szCs w:val="24"/>
              </w:rPr>
              <w:t>.001**</w:t>
            </w:r>
          </w:p>
        </w:tc>
      </w:tr>
      <w:tr w:rsidR="00122EB2" w14:paraId="1532B37C" w14:textId="77777777">
        <w:trPr>
          <w:trHeight w:val="630"/>
        </w:trPr>
        <w:tc>
          <w:tcPr>
            <w:tcW w:w="2580" w:type="dxa"/>
            <w:tcBorders>
              <w:top w:val="nil"/>
              <w:bottom w:val="nil"/>
              <w:right w:val="nil"/>
            </w:tcBorders>
          </w:tcPr>
          <w:p w14:paraId="626878AF" w14:textId="77777777" w:rsidR="00122EB2" w:rsidRDefault="00000000">
            <w:pPr>
              <w:ind w:left="720"/>
              <w:rPr>
                <w:rFonts w:ascii="Arial" w:eastAsia="Arial" w:hAnsi="Arial" w:cs="Arial"/>
                <w:sz w:val="24"/>
                <w:szCs w:val="24"/>
              </w:rPr>
            </w:pPr>
            <w:r>
              <w:rPr>
                <w:rFonts w:ascii="Arial" w:eastAsia="Arial" w:hAnsi="Arial" w:cs="Arial"/>
                <w:sz w:val="24"/>
                <w:szCs w:val="24"/>
              </w:rPr>
              <w:t>Weight Concern</w:t>
            </w:r>
          </w:p>
        </w:tc>
        <w:tc>
          <w:tcPr>
            <w:tcW w:w="885" w:type="dxa"/>
            <w:tcBorders>
              <w:top w:val="nil"/>
              <w:left w:val="nil"/>
              <w:bottom w:val="nil"/>
              <w:right w:val="nil"/>
            </w:tcBorders>
          </w:tcPr>
          <w:p w14:paraId="5CEAABA3" w14:textId="77777777" w:rsidR="00122EB2" w:rsidRDefault="00000000">
            <w:pPr>
              <w:rPr>
                <w:rFonts w:ascii="Arial" w:eastAsia="Arial" w:hAnsi="Arial" w:cs="Arial"/>
                <w:sz w:val="24"/>
                <w:szCs w:val="24"/>
              </w:rPr>
            </w:pPr>
            <w:r>
              <w:rPr>
                <w:rFonts w:ascii="Arial" w:eastAsia="Arial" w:hAnsi="Arial" w:cs="Arial"/>
                <w:sz w:val="24"/>
                <w:szCs w:val="24"/>
              </w:rPr>
              <w:t>4.88</w:t>
            </w:r>
          </w:p>
        </w:tc>
        <w:tc>
          <w:tcPr>
            <w:tcW w:w="750" w:type="dxa"/>
            <w:tcBorders>
              <w:top w:val="nil"/>
              <w:left w:val="nil"/>
              <w:bottom w:val="nil"/>
              <w:right w:val="nil"/>
            </w:tcBorders>
          </w:tcPr>
          <w:p w14:paraId="31C772CB" w14:textId="77777777" w:rsidR="00122EB2" w:rsidRDefault="00000000">
            <w:pPr>
              <w:rPr>
                <w:rFonts w:ascii="Arial" w:eastAsia="Arial" w:hAnsi="Arial" w:cs="Arial"/>
                <w:sz w:val="24"/>
                <w:szCs w:val="24"/>
              </w:rPr>
            </w:pPr>
            <w:r>
              <w:rPr>
                <w:rFonts w:ascii="Arial" w:eastAsia="Arial" w:hAnsi="Arial" w:cs="Arial"/>
                <w:sz w:val="24"/>
                <w:szCs w:val="24"/>
              </w:rPr>
              <w:t>1.10</w:t>
            </w:r>
          </w:p>
        </w:tc>
        <w:tc>
          <w:tcPr>
            <w:tcW w:w="825" w:type="dxa"/>
            <w:tcBorders>
              <w:top w:val="nil"/>
              <w:left w:val="nil"/>
              <w:bottom w:val="nil"/>
              <w:right w:val="nil"/>
            </w:tcBorders>
          </w:tcPr>
          <w:p w14:paraId="4B8BA2C6" w14:textId="77777777" w:rsidR="00122EB2" w:rsidRDefault="00000000">
            <w:pPr>
              <w:rPr>
                <w:rFonts w:ascii="Arial" w:eastAsia="Arial" w:hAnsi="Arial" w:cs="Arial"/>
                <w:sz w:val="24"/>
                <w:szCs w:val="24"/>
              </w:rPr>
            </w:pPr>
            <w:r>
              <w:rPr>
                <w:rFonts w:ascii="Arial" w:eastAsia="Arial" w:hAnsi="Arial" w:cs="Arial"/>
                <w:sz w:val="24"/>
                <w:szCs w:val="24"/>
              </w:rPr>
              <w:t>4.19</w:t>
            </w:r>
          </w:p>
        </w:tc>
        <w:tc>
          <w:tcPr>
            <w:tcW w:w="750" w:type="dxa"/>
            <w:tcBorders>
              <w:top w:val="nil"/>
              <w:left w:val="nil"/>
              <w:bottom w:val="nil"/>
              <w:right w:val="nil"/>
            </w:tcBorders>
          </w:tcPr>
          <w:p w14:paraId="46F05547" w14:textId="77777777" w:rsidR="00122EB2" w:rsidRDefault="00000000">
            <w:pPr>
              <w:rPr>
                <w:rFonts w:ascii="Arial" w:eastAsia="Arial" w:hAnsi="Arial" w:cs="Arial"/>
                <w:sz w:val="24"/>
                <w:szCs w:val="24"/>
              </w:rPr>
            </w:pPr>
            <w:r>
              <w:rPr>
                <w:rFonts w:ascii="Arial" w:eastAsia="Arial" w:hAnsi="Arial" w:cs="Arial"/>
                <w:sz w:val="24"/>
                <w:szCs w:val="24"/>
              </w:rPr>
              <w:t>1.40</w:t>
            </w:r>
          </w:p>
        </w:tc>
        <w:tc>
          <w:tcPr>
            <w:tcW w:w="1080" w:type="dxa"/>
            <w:tcBorders>
              <w:top w:val="nil"/>
              <w:left w:val="nil"/>
              <w:bottom w:val="nil"/>
              <w:right w:val="nil"/>
            </w:tcBorders>
          </w:tcPr>
          <w:p w14:paraId="0D046C59" w14:textId="77777777" w:rsidR="00122EB2" w:rsidRDefault="00000000">
            <w:pPr>
              <w:rPr>
                <w:rFonts w:ascii="Arial" w:eastAsia="Arial" w:hAnsi="Arial" w:cs="Arial"/>
                <w:sz w:val="24"/>
                <w:szCs w:val="24"/>
              </w:rPr>
            </w:pPr>
            <w:r>
              <w:rPr>
                <w:rFonts w:ascii="Arial" w:eastAsia="Arial" w:hAnsi="Arial" w:cs="Arial"/>
                <w:sz w:val="24"/>
                <w:szCs w:val="24"/>
              </w:rPr>
              <w:t>0.70</w:t>
            </w:r>
          </w:p>
        </w:tc>
        <w:tc>
          <w:tcPr>
            <w:tcW w:w="750" w:type="dxa"/>
            <w:tcBorders>
              <w:top w:val="nil"/>
              <w:left w:val="nil"/>
              <w:bottom w:val="nil"/>
              <w:right w:val="nil"/>
            </w:tcBorders>
          </w:tcPr>
          <w:p w14:paraId="7DBD46DA" w14:textId="77777777" w:rsidR="00122EB2" w:rsidRDefault="00000000">
            <w:pPr>
              <w:rPr>
                <w:rFonts w:ascii="Arial" w:eastAsia="Arial" w:hAnsi="Arial" w:cs="Arial"/>
                <w:sz w:val="24"/>
                <w:szCs w:val="24"/>
              </w:rPr>
            </w:pPr>
            <w:r>
              <w:rPr>
                <w:rFonts w:ascii="Arial" w:eastAsia="Arial" w:hAnsi="Arial" w:cs="Arial"/>
                <w:sz w:val="24"/>
                <w:szCs w:val="24"/>
              </w:rPr>
              <w:t>1.39</w:t>
            </w:r>
          </w:p>
        </w:tc>
        <w:tc>
          <w:tcPr>
            <w:tcW w:w="825" w:type="dxa"/>
            <w:tcBorders>
              <w:top w:val="nil"/>
              <w:left w:val="nil"/>
              <w:bottom w:val="nil"/>
              <w:right w:val="nil"/>
            </w:tcBorders>
          </w:tcPr>
          <w:p w14:paraId="6154260F" w14:textId="77777777" w:rsidR="00122EB2" w:rsidRDefault="00000000">
            <w:pPr>
              <w:rPr>
                <w:rFonts w:ascii="Arial" w:eastAsia="Arial" w:hAnsi="Arial" w:cs="Arial"/>
                <w:sz w:val="24"/>
                <w:szCs w:val="24"/>
              </w:rPr>
            </w:pPr>
            <w:r>
              <w:rPr>
                <w:rFonts w:ascii="Arial" w:eastAsia="Arial" w:hAnsi="Arial" w:cs="Arial"/>
                <w:sz w:val="24"/>
                <w:szCs w:val="24"/>
              </w:rPr>
              <w:t>2.60</w:t>
            </w:r>
          </w:p>
        </w:tc>
        <w:tc>
          <w:tcPr>
            <w:tcW w:w="1050" w:type="dxa"/>
            <w:tcBorders>
              <w:top w:val="nil"/>
              <w:left w:val="nil"/>
              <w:bottom w:val="nil"/>
            </w:tcBorders>
          </w:tcPr>
          <w:p w14:paraId="7444F9DE" w14:textId="77777777" w:rsidR="00122EB2" w:rsidRDefault="00000000">
            <w:pPr>
              <w:rPr>
                <w:rFonts w:ascii="Arial" w:eastAsia="Arial" w:hAnsi="Arial" w:cs="Arial"/>
                <w:sz w:val="24"/>
                <w:szCs w:val="24"/>
              </w:rPr>
            </w:pPr>
            <w:r>
              <w:rPr>
                <w:rFonts w:ascii="Arial" w:eastAsia="Arial" w:hAnsi="Arial" w:cs="Arial"/>
                <w:sz w:val="24"/>
                <w:szCs w:val="24"/>
              </w:rPr>
              <w:t>.015*</w:t>
            </w:r>
          </w:p>
        </w:tc>
      </w:tr>
      <w:tr w:rsidR="00122EB2" w14:paraId="603EE5CD" w14:textId="77777777">
        <w:trPr>
          <w:trHeight w:val="596"/>
        </w:trPr>
        <w:tc>
          <w:tcPr>
            <w:tcW w:w="2580" w:type="dxa"/>
            <w:tcBorders>
              <w:top w:val="nil"/>
              <w:bottom w:val="nil"/>
              <w:right w:val="nil"/>
            </w:tcBorders>
          </w:tcPr>
          <w:p w14:paraId="551C5CDC" w14:textId="77777777" w:rsidR="00122EB2" w:rsidRDefault="00000000">
            <w:pPr>
              <w:ind w:left="720"/>
              <w:rPr>
                <w:rFonts w:ascii="Arial" w:eastAsia="Arial" w:hAnsi="Arial" w:cs="Arial"/>
                <w:sz w:val="24"/>
                <w:szCs w:val="24"/>
              </w:rPr>
            </w:pPr>
            <w:r>
              <w:rPr>
                <w:rFonts w:ascii="Arial" w:eastAsia="Arial" w:hAnsi="Arial" w:cs="Arial"/>
                <w:sz w:val="24"/>
                <w:szCs w:val="24"/>
              </w:rPr>
              <w:t>Shape Concern</w:t>
            </w:r>
          </w:p>
        </w:tc>
        <w:tc>
          <w:tcPr>
            <w:tcW w:w="885" w:type="dxa"/>
            <w:tcBorders>
              <w:top w:val="nil"/>
              <w:left w:val="nil"/>
              <w:bottom w:val="nil"/>
              <w:right w:val="nil"/>
            </w:tcBorders>
          </w:tcPr>
          <w:p w14:paraId="3C234255" w14:textId="77777777" w:rsidR="00122EB2" w:rsidRDefault="00000000">
            <w:pPr>
              <w:rPr>
                <w:rFonts w:ascii="Arial" w:eastAsia="Arial" w:hAnsi="Arial" w:cs="Arial"/>
                <w:sz w:val="24"/>
                <w:szCs w:val="24"/>
              </w:rPr>
            </w:pPr>
            <w:r>
              <w:rPr>
                <w:rFonts w:ascii="Arial" w:eastAsia="Arial" w:hAnsi="Arial" w:cs="Arial"/>
                <w:sz w:val="24"/>
                <w:szCs w:val="24"/>
              </w:rPr>
              <w:t>5.27</w:t>
            </w:r>
          </w:p>
        </w:tc>
        <w:tc>
          <w:tcPr>
            <w:tcW w:w="750" w:type="dxa"/>
            <w:tcBorders>
              <w:top w:val="nil"/>
              <w:left w:val="nil"/>
              <w:bottom w:val="nil"/>
              <w:right w:val="nil"/>
            </w:tcBorders>
          </w:tcPr>
          <w:p w14:paraId="2FB48BA0" w14:textId="77777777" w:rsidR="00122EB2" w:rsidRDefault="00000000">
            <w:pPr>
              <w:rPr>
                <w:rFonts w:ascii="Arial" w:eastAsia="Arial" w:hAnsi="Arial" w:cs="Arial"/>
                <w:sz w:val="24"/>
                <w:szCs w:val="24"/>
              </w:rPr>
            </w:pPr>
            <w:r>
              <w:rPr>
                <w:rFonts w:ascii="Arial" w:eastAsia="Arial" w:hAnsi="Arial" w:cs="Arial"/>
                <w:sz w:val="24"/>
                <w:szCs w:val="24"/>
              </w:rPr>
              <w:t>0.93</w:t>
            </w:r>
          </w:p>
        </w:tc>
        <w:tc>
          <w:tcPr>
            <w:tcW w:w="825" w:type="dxa"/>
            <w:tcBorders>
              <w:top w:val="nil"/>
              <w:left w:val="nil"/>
              <w:bottom w:val="nil"/>
              <w:right w:val="nil"/>
            </w:tcBorders>
          </w:tcPr>
          <w:p w14:paraId="3C5D3D4F" w14:textId="77777777" w:rsidR="00122EB2" w:rsidRDefault="00000000">
            <w:pPr>
              <w:rPr>
                <w:rFonts w:ascii="Arial" w:eastAsia="Arial" w:hAnsi="Arial" w:cs="Arial"/>
                <w:sz w:val="24"/>
                <w:szCs w:val="24"/>
              </w:rPr>
            </w:pPr>
            <w:r>
              <w:rPr>
                <w:rFonts w:ascii="Arial" w:eastAsia="Arial" w:hAnsi="Arial" w:cs="Arial"/>
                <w:sz w:val="24"/>
                <w:szCs w:val="24"/>
              </w:rPr>
              <w:t>4.82</w:t>
            </w:r>
          </w:p>
        </w:tc>
        <w:tc>
          <w:tcPr>
            <w:tcW w:w="750" w:type="dxa"/>
            <w:tcBorders>
              <w:top w:val="nil"/>
              <w:left w:val="nil"/>
              <w:bottom w:val="nil"/>
              <w:right w:val="nil"/>
            </w:tcBorders>
          </w:tcPr>
          <w:p w14:paraId="6005E4C7" w14:textId="77777777" w:rsidR="00122EB2" w:rsidRDefault="00000000">
            <w:pPr>
              <w:rPr>
                <w:rFonts w:ascii="Arial" w:eastAsia="Arial" w:hAnsi="Arial" w:cs="Arial"/>
                <w:sz w:val="24"/>
                <w:szCs w:val="24"/>
              </w:rPr>
            </w:pPr>
            <w:r>
              <w:rPr>
                <w:rFonts w:ascii="Arial" w:eastAsia="Arial" w:hAnsi="Arial" w:cs="Arial"/>
                <w:sz w:val="24"/>
                <w:szCs w:val="24"/>
              </w:rPr>
              <w:t>1.41</w:t>
            </w:r>
          </w:p>
        </w:tc>
        <w:tc>
          <w:tcPr>
            <w:tcW w:w="1080" w:type="dxa"/>
            <w:tcBorders>
              <w:top w:val="nil"/>
              <w:left w:val="nil"/>
              <w:bottom w:val="nil"/>
              <w:right w:val="nil"/>
            </w:tcBorders>
          </w:tcPr>
          <w:p w14:paraId="5D268168" w14:textId="77777777" w:rsidR="00122EB2" w:rsidRDefault="00000000">
            <w:pPr>
              <w:rPr>
                <w:rFonts w:ascii="Arial" w:eastAsia="Arial" w:hAnsi="Arial" w:cs="Arial"/>
                <w:sz w:val="24"/>
                <w:szCs w:val="24"/>
              </w:rPr>
            </w:pPr>
            <w:r>
              <w:rPr>
                <w:rFonts w:ascii="Arial" w:eastAsia="Arial" w:hAnsi="Arial" w:cs="Arial"/>
                <w:sz w:val="24"/>
                <w:szCs w:val="24"/>
              </w:rPr>
              <w:t>0.45</w:t>
            </w:r>
          </w:p>
        </w:tc>
        <w:tc>
          <w:tcPr>
            <w:tcW w:w="750" w:type="dxa"/>
            <w:tcBorders>
              <w:top w:val="nil"/>
              <w:left w:val="nil"/>
              <w:bottom w:val="nil"/>
              <w:right w:val="nil"/>
            </w:tcBorders>
          </w:tcPr>
          <w:p w14:paraId="293F47D4" w14:textId="77777777" w:rsidR="00122EB2" w:rsidRDefault="00000000">
            <w:pPr>
              <w:rPr>
                <w:rFonts w:ascii="Arial" w:eastAsia="Arial" w:hAnsi="Arial" w:cs="Arial"/>
                <w:sz w:val="24"/>
                <w:szCs w:val="24"/>
              </w:rPr>
            </w:pPr>
            <w:r>
              <w:rPr>
                <w:rFonts w:ascii="Arial" w:eastAsia="Arial" w:hAnsi="Arial" w:cs="Arial"/>
                <w:sz w:val="24"/>
                <w:szCs w:val="24"/>
              </w:rPr>
              <w:t>1.14</w:t>
            </w:r>
          </w:p>
        </w:tc>
        <w:tc>
          <w:tcPr>
            <w:tcW w:w="825" w:type="dxa"/>
            <w:tcBorders>
              <w:top w:val="nil"/>
              <w:left w:val="nil"/>
              <w:bottom w:val="nil"/>
              <w:right w:val="nil"/>
            </w:tcBorders>
          </w:tcPr>
          <w:p w14:paraId="7BB349B5" w14:textId="77777777" w:rsidR="00122EB2" w:rsidRDefault="00000000">
            <w:pPr>
              <w:rPr>
                <w:rFonts w:ascii="Arial" w:eastAsia="Arial" w:hAnsi="Arial" w:cs="Arial"/>
                <w:sz w:val="24"/>
                <w:szCs w:val="24"/>
              </w:rPr>
            </w:pPr>
            <w:r>
              <w:rPr>
                <w:rFonts w:ascii="Arial" w:eastAsia="Arial" w:hAnsi="Arial" w:cs="Arial"/>
                <w:sz w:val="24"/>
                <w:szCs w:val="24"/>
              </w:rPr>
              <w:t>2.06</w:t>
            </w:r>
          </w:p>
        </w:tc>
        <w:tc>
          <w:tcPr>
            <w:tcW w:w="1050" w:type="dxa"/>
            <w:tcBorders>
              <w:top w:val="nil"/>
              <w:left w:val="nil"/>
              <w:bottom w:val="nil"/>
            </w:tcBorders>
          </w:tcPr>
          <w:p w14:paraId="281F9FB7" w14:textId="77777777" w:rsidR="00122EB2" w:rsidRDefault="00000000">
            <w:pPr>
              <w:rPr>
                <w:rFonts w:ascii="Arial" w:eastAsia="Arial" w:hAnsi="Arial" w:cs="Arial"/>
                <w:sz w:val="24"/>
                <w:szCs w:val="24"/>
              </w:rPr>
            </w:pPr>
            <w:r>
              <w:rPr>
                <w:rFonts w:ascii="Arial" w:eastAsia="Arial" w:hAnsi="Arial" w:cs="Arial"/>
                <w:sz w:val="24"/>
                <w:szCs w:val="24"/>
              </w:rPr>
              <w:t>.049*</w:t>
            </w:r>
          </w:p>
        </w:tc>
      </w:tr>
      <w:tr w:rsidR="00122EB2" w14:paraId="61F9FA17" w14:textId="77777777">
        <w:tc>
          <w:tcPr>
            <w:tcW w:w="9495" w:type="dxa"/>
            <w:gridSpan w:val="9"/>
          </w:tcPr>
          <w:p w14:paraId="6802DDC2" w14:textId="77777777" w:rsidR="00122EB2" w:rsidRDefault="00000000">
            <w:pPr>
              <w:rPr>
                <w:rFonts w:ascii="Arial" w:eastAsia="Arial" w:hAnsi="Arial" w:cs="Arial"/>
                <w:sz w:val="24"/>
                <w:szCs w:val="24"/>
              </w:rPr>
            </w:pPr>
            <w:r>
              <w:rPr>
                <w:rFonts w:ascii="Arial" w:eastAsia="Arial" w:hAnsi="Arial" w:cs="Arial"/>
                <w:sz w:val="24"/>
                <w:szCs w:val="24"/>
              </w:rPr>
              <w:t>Mean change of eating disorder psychopathology was identified through two-sided paired samples t tests</w:t>
            </w:r>
          </w:p>
          <w:p w14:paraId="51025815" w14:textId="77777777" w:rsidR="00122EB2" w:rsidRDefault="00000000">
            <w:pPr>
              <w:rPr>
                <w:rFonts w:ascii="Arial" w:eastAsia="Arial" w:hAnsi="Arial" w:cs="Arial"/>
                <w:sz w:val="24"/>
                <w:szCs w:val="24"/>
              </w:rPr>
            </w:pPr>
            <w:r>
              <w:rPr>
                <w:rFonts w:ascii="Arial" w:eastAsia="Arial" w:hAnsi="Arial" w:cs="Arial"/>
                <w:sz w:val="24"/>
                <w:szCs w:val="24"/>
              </w:rPr>
              <w:lastRenderedPageBreak/>
              <w:t>*Statistical significance &lt;.05; **Highly statistically significant &lt;.01</w:t>
            </w:r>
          </w:p>
        </w:tc>
      </w:tr>
    </w:tbl>
    <w:p w14:paraId="4DFC23BD" w14:textId="77777777" w:rsidR="00122EB2" w:rsidRDefault="00122EB2">
      <w:pPr>
        <w:rPr>
          <w:rFonts w:ascii="Arial" w:eastAsia="Arial" w:hAnsi="Arial" w:cs="Arial"/>
          <w:b/>
          <w:bCs/>
          <w:sz w:val="24"/>
          <w:szCs w:val="24"/>
        </w:rPr>
      </w:pPr>
    </w:p>
    <w:p w14:paraId="5CF3EC44" w14:textId="77777777" w:rsidR="00122EB2" w:rsidRDefault="00122EB2">
      <w:pPr>
        <w:rPr>
          <w:rFonts w:ascii="Arial" w:eastAsia="Arial" w:hAnsi="Arial" w:cs="Arial"/>
          <w:sz w:val="24"/>
          <w:szCs w:val="24"/>
        </w:rPr>
      </w:pPr>
    </w:p>
    <w:p w14:paraId="14BBC80B" w14:textId="77777777" w:rsidR="00122EB2" w:rsidRDefault="00122EB2">
      <w:pPr>
        <w:rPr>
          <w:rFonts w:ascii="Arial" w:eastAsia="Arial" w:hAnsi="Arial" w:cs="Arial"/>
          <w:sz w:val="24"/>
          <w:szCs w:val="24"/>
        </w:rPr>
      </w:pPr>
    </w:p>
    <w:p w14:paraId="02F61196" w14:textId="77777777" w:rsidR="00122EB2" w:rsidRDefault="00122EB2">
      <w:pPr>
        <w:rPr>
          <w:rFonts w:ascii="Arial" w:eastAsia="Arial" w:hAnsi="Arial" w:cs="Arial"/>
          <w:sz w:val="24"/>
          <w:szCs w:val="24"/>
        </w:rPr>
      </w:pPr>
    </w:p>
    <w:p w14:paraId="350D54D3" w14:textId="77777777" w:rsidR="00122EB2" w:rsidRDefault="00122EB2">
      <w:pPr>
        <w:rPr>
          <w:rFonts w:ascii="Arial" w:eastAsia="Arial" w:hAnsi="Arial" w:cs="Arial"/>
          <w:sz w:val="24"/>
          <w:szCs w:val="24"/>
        </w:rPr>
      </w:pPr>
    </w:p>
    <w:p w14:paraId="5B7BF85F" w14:textId="77777777" w:rsidR="00122EB2" w:rsidRDefault="00122EB2">
      <w:pPr>
        <w:rPr>
          <w:rFonts w:ascii="Arial" w:eastAsia="Arial" w:hAnsi="Arial" w:cs="Arial"/>
          <w:sz w:val="24"/>
          <w:szCs w:val="24"/>
        </w:rPr>
      </w:pPr>
    </w:p>
    <w:p w14:paraId="3DF43D90" w14:textId="77777777" w:rsidR="00122EB2" w:rsidRDefault="00122EB2">
      <w:pPr>
        <w:rPr>
          <w:rFonts w:ascii="Arial" w:eastAsia="Arial" w:hAnsi="Arial" w:cs="Arial"/>
          <w:sz w:val="24"/>
          <w:szCs w:val="24"/>
        </w:rPr>
      </w:pPr>
    </w:p>
    <w:tbl>
      <w:tblPr>
        <w:tblStyle w:val="af0"/>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885"/>
        <w:gridCol w:w="735"/>
        <w:gridCol w:w="855"/>
        <w:gridCol w:w="810"/>
        <w:gridCol w:w="1005"/>
        <w:gridCol w:w="855"/>
        <w:gridCol w:w="750"/>
        <w:gridCol w:w="1020"/>
      </w:tblGrid>
      <w:tr w:rsidR="00122EB2" w14:paraId="09C15B59" w14:textId="77777777">
        <w:tc>
          <w:tcPr>
            <w:tcW w:w="9495" w:type="dxa"/>
            <w:gridSpan w:val="9"/>
            <w:tcBorders>
              <w:bottom w:val="single" w:sz="4" w:space="0" w:color="000000"/>
            </w:tcBorders>
          </w:tcPr>
          <w:p w14:paraId="5DEA8A1D" w14:textId="77777777" w:rsidR="00122EB2" w:rsidRDefault="00000000">
            <w:pPr>
              <w:rPr>
                <w:rFonts w:ascii="Arial" w:eastAsia="Arial" w:hAnsi="Arial" w:cs="Arial"/>
                <w:sz w:val="24"/>
                <w:szCs w:val="24"/>
              </w:rPr>
            </w:pPr>
            <w:r>
              <w:rPr>
                <w:rFonts w:ascii="Arial" w:eastAsia="Arial" w:hAnsi="Arial" w:cs="Arial"/>
                <w:b/>
                <w:bCs/>
                <w:sz w:val="24"/>
                <w:szCs w:val="24"/>
              </w:rPr>
              <w:t>Table 5</w:t>
            </w:r>
            <w:r>
              <w:rPr>
                <w:rFonts w:ascii="Arial" w:eastAsia="Arial" w:hAnsi="Arial" w:cs="Arial"/>
                <w:sz w:val="24"/>
                <w:szCs w:val="24"/>
              </w:rPr>
              <w:t xml:space="preserve"> Mean, Standard Deviation and Change of total EDE-Q and EDE-Q subscales in TAU group</w:t>
            </w:r>
          </w:p>
        </w:tc>
      </w:tr>
      <w:tr w:rsidR="00122EB2" w14:paraId="65B3E02D" w14:textId="77777777">
        <w:tc>
          <w:tcPr>
            <w:tcW w:w="2580" w:type="dxa"/>
            <w:tcBorders>
              <w:bottom w:val="single" w:sz="4" w:space="0" w:color="000000"/>
              <w:right w:val="nil"/>
            </w:tcBorders>
          </w:tcPr>
          <w:p w14:paraId="59DA0C85" w14:textId="77777777" w:rsidR="00122EB2" w:rsidRDefault="00122EB2">
            <w:pPr>
              <w:rPr>
                <w:rFonts w:ascii="Arial" w:eastAsia="Arial" w:hAnsi="Arial" w:cs="Arial"/>
                <w:sz w:val="24"/>
                <w:szCs w:val="24"/>
              </w:rPr>
            </w:pPr>
          </w:p>
        </w:tc>
        <w:tc>
          <w:tcPr>
            <w:tcW w:w="1620" w:type="dxa"/>
            <w:gridSpan w:val="2"/>
            <w:tcBorders>
              <w:left w:val="nil"/>
              <w:bottom w:val="single" w:sz="4" w:space="0" w:color="000000"/>
              <w:right w:val="nil"/>
            </w:tcBorders>
          </w:tcPr>
          <w:p w14:paraId="1D1F2415" w14:textId="77777777" w:rsidR="00122EB2" w:rsidRDefault="00000000">
            <w:pPr>
              <w:rPr>
                <w:rFonts w:ascii="Arial" w:eastAsia="Arial" w:hAnsi="Arial" w:cs="Arial"/>
                <w:sz w:val="24"/>
                <w:szCs w:val="24"/>
              </w:rPr>
            </w:pPr>
            <w:r>
              <w:rPr>
                <w:rFonts w:ascii="Arial" w:eastAsia="Arial" w:hAnsi="Arial" w:cs="Arial"/>
                <w:sz w:val="24"/>
                <w:szCs w:val="24"/>
              </w:rPr>
              <w:t>T1</w:t>
            </w:r>
          </w:p>
        </w:tc>
        <w:tc>
          <w:tcPr>
            <w:tcW w:w="1665" w:type="dxa"/>
            <w:gridSpan w:val="2"/>
            <w:tcBorders>
              <w:left w:val="nil"/>
              <w:bottom w:val="single" w:sz="4" w:space="0" w:color="000000"/>
              <w:right w:val="nil"/>
            </w:tcBorders>
          </w:tcPr>
          <w:p w14:paraId="4EB80455" w14:textId="77777777" w:rsidR="00122EB2" w:rsidRDefault="00000000">
            <w:pPr>
              <w:rPr>
                <w:rFonts w:ascii="Arial" w:eastAsia="Arial" w:hAnsi="Arial" w:cs="Arial"/>
                <w:sz w:val="24"/>
                <w:szCs w:val="24"/>
              </w:rPr>
            </w:pPr>
            <w:r>
              <w:rPr>
                <w:rFonts w:ascii="Arial" w:eastAsia="Arial" w:hAnsi="Arial" w:cs="Arial"/>
                <w:sz w:val="24"/>
                <w:szCs w:val="24"/>
              </w:rPr>
              <w:t>T2</w:t>
            </w:r>
          </w:p>
        </w:tc>
        <w:tc>
          <w:tcPr>
            <w:tcW w:w="3630" w:type="dxa"/>
            <w:gridSpan w:val="4"/>
            <w:tcBorders>
              <w:left w:val="nil"/>
              <w:bottom w:val="single" w:sz="4" w:space="0" w:color="000000"/>
            </w:tcBorders>
          </w:tcPr>
          <w:p w14:paraId="048B0E65" w14:textId="77777777" w:rsidR="00122EB2" w:rsidRDefault="00000000">
            <w:pPr>
              <w:rPr>
                <w:rFonts w:ascii="Arial" w:eastAsia="Arial" w:hAnsi="Arial" w:cs="Arial"/>
                <w:sz w:val="24"/>
                <w:szCs w:val="24"/>
              </w:rPr>
            </w:pPr>
            <w:r>
              <w:rPr>
                <w:rFonts w:ascii="Arial" w:eastAsia="Arial" w:hAnsi="Arial" w:cs="Arial"/>
                <w:sz w:val="24"/>
                <w:szCs w:val="24"/>
              </w:rPr>
              <w:t>Pre- to post-group</w:t>
            </w:r>
          </w:p>
        </w:tc>
      </w:tr>
      <w:tr w:rsidR="00122EB2" w14:paraId="1B729B66" w14:textId="77777777">
        <w:tc>
          <w:tcPr>
            <w:tcW w:w="2580" w:type="dxa"/>
            <w:tcBorders>
              <w:top w:val="single" w:sz="4" w:space="0" w:color="000000"/>
              <w:bottom w:val="single" w:sz="4" w:space="0" w:color="000000"/>
              <w:right w:val="nil"/>
            </w:tcBorders>
          </w:tcPr>
          <w:p w14:paraId="40AC13FC" w14:textId="77777777" w:rsidR="00122EB2" w:rsidRDefault="00122EB2">
            <w:pPr>
              <w:rPr>
                <w:rFonts w:ascii="Arial" w:eastAsia="Arial" w:hAnsi="Arial" w:cs="Arial"/>
                <w:sz w:val="24"/>
                <w:szCs w:val="24"/>
              </w:rPr>
            </w:pPr>
          </w:p>
        </w:tc>
        <w:tc>
          <w:tcPr>
            <w:tcW w:w="885" w:type="dxa"/>
            <w:tcBorders>
              <w:top w:val="single" w:sz="4" w:space="0" w:color="000000"/>
              <w:left w:val="nil"/>
              <w:bottom w:val="single" w:sz="4" w:space="0" w:color="000000"/>
              <w:right w:val="nil"/>
            </w:tcBorders>
          </w:tcPr>
          <w:p w14:paraId="24878B22"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735" w:type="dxa"/>
            <w:tcBorders>
              <w:top w:val="single" w:sz="4" w:space="0" w:color="000000"/>
              <w:left w:val="nil"/>
              <w:bottom w:val="single" w:sz="4" w:space="0" w:color="000000"/>
              <w:right w:val="nil"/>
            </w:tcBorders>
          </w:tcPr>
          <w:p w14:paraId="7EF14FFE"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855" w:type="dxa"/>
            <w:tcBorders>
              <w:top w:val="single" w:sz="4" w:space="0" w:color="000000"/>
              <w:left w:val="nil"/>
              <w:bottom w:val="single" w:sz="4" w:space="0" w:color="000000"/>
              <w:right w:val="nil"/>
            </w:tcBorders>
          </w:tcPr>
          <w:p w14:paraId="0A96CFC4" w14:textId="77777777" w:rsidR="00122EB2" w:rsidRDefault="00000000">
            <w:pPr>
              <w:rPr>
                <w:rFonts w:ascii="Arial" w:eastAsia="Arial" w:hAnsi="Arial" w:cs="Arial"/>
                <w:sz w:val="24"/>
                <w:szCs w:val="24"/>
              </w:rPr>
            </w:pPr>
            <w:r>
              <w:rPr>
                <w:rFonts w:ascii="Arial" w:eastAsia="Arial" w:hAnsi="Arial" w:cs="Arial"/>
                <w:sz w:val="24"/>
                <w:szCs w:val="24"/>
              </w:rPr>
              <w:t>Mean</w:t>
            </w:r>
          </w:p>
        </w:tc>
        <w:tc>
          <w:tcPr>
            <w:tcW w:w="810" w:type="dxa"/>
            <w:tcBorders>
              <w:top w:val="single" w:sz="4" w:space="0" w:color="000000"/>
              <w:left w:val="nil"/>
              <w:bottom w:val="single" w:sz="4" w:space="0" w:color="000000"/>
              <w:right w:val="nil"/>
            </w:tcBorders>
          </w:tcPr>
          <w:p w14:paraId="56AD5BDB"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1005" w:type="dxa"/>
            <w:tcBorders>
              <w:top w:val="single" w:sz="4" w:space="0" w:color="000000"/>
              <w:left w:val="nil"/>
              <w:bottom w:val="single" w:sz="4" w:space="0" w:color="000000"/>
              <w:right w:val="nil"/>
            </w:tcBorders>
          </w:tcPr>
          <w:p w14:paraId="53A9CF9A" w14:textId="77777777" w:rsidR="00122EB2" w:rsidRDefault="00000000">
            <w:pPr>
              <w:rPr>
                <w:rFonts w:ascii="Arial" w:eastAsia="Arial" w:hAnsi="Arial" w:cs="Arial"/>
                <w:sz w:val="24"/>
                <w:szCs w:val="24"/>
              </w:rPr>
            </w:pPr>
            <w:r>
              <w:rPr>
                <w:rFonts w:ascii="Arial" w:eastAsia="Arial" w:hAnsi="Arial" w:cs="Arial"/>
                <w:sz w:val="24"/>
                <w:szCs w:val="24"/>
              </w:rPr>
              <w:t>Mean change</w:t>
            </w:r>
          </w:p>
        </w:tc>
        <w:tc>
          <w:tcPr>
            <w:tcW w:w="855" w:type="dxa"/>
            <w:tcBorders>
              <w:top w:val="single" w:sz="4" w:space="0" w:color="000000"/>
              <w:left w:val="nil"/>
              <w:bottom w:val="single" w:sz="4" w:space="0" w:color="000000"/>
              <w:right w:val="nil"/>
            </w:tcBorders>
          </w:tcPr>
          <w:p w14:paraId="348E2821" w14:textId="77777777" w:rsidR="00122EB2" w:rsidRDefault="00000000">
            <w:pPr>
              <w:rPr>
                <w:rFonts w:ascii="Arial" w:eastAsia="Arial" w:hAnsi="Arial" w:cs="Arial"/>
                <w:sz w:val="24"/>
                <w:szCs w:val="24"/>
              </w:rPr>
            </w:pPr>
            <w:r>
              <w:rPr>
                <w:rFonts w:ascii="Arial" w:eastAsia="Arial" w:hAnsi="Arial" w:cs="Arial"/>
                <w:sz w:val="24"/>
                <w:szCs w:val="24"/>
              </w:rPr>
              <w:t>SD</w:t>
            </w:r>
          </w:p>
        </w:tc>
        <w:tc>
          <w:tcPr>
            <w:tcW w:w="750" w:type="dxa"/>
            <w:tcBorders>
              <w:top w:val="single" w:sz="4" w:space="0" w:color="000000"/>
              <w:left w:val="nil"/>
              <w:bottom w:val="single" w:sz="4" w:space="0" w:color="000000"/>
              <w:right w:val="nil"/>
            </w:tcBorders>
          </w:tcPr>
          <w:p w14:paraId="4CA64404" w14:textId="77777777" w:rsidR="00122EB2" w:rsidRDefault="00000000">
            <w:pPr>
              <w:rPr>
                <w:rFonts w:ascii="Arial" w:eastAsia="Arial" w:hAnsi="Arial" w:cs="Arial"/>
                <w:sz w:val="24"/>
                <w:szCs w:val="24"/>
              </w:rPr>
            </w:pPr>
            <w:r>
              <w:rPr>
                <w:rFonts w:ascii="Arial" w:eastAsia="Arial" w:hAnsi="Arial" w:cs="Arial"/>
                <w:sz w:val="24"/>
                <w:szCs w:val="24"/>
              </w:rPr>
              <w:t>t</w:t>
            </w:r>
          </w:p>
        </w:tc>
        <w:tc>
          <w:tcPr>
            <w:tcW w:w="1020" w:type="dxa"/>
            <w:tcBorders>
              <w:top w:val="single" w:sz="4" w:space="0" w:color="000000"/>
              <w:left w:val="nil"/>
              <w:bottom w:val="single" w:sz="4" w:space="0" w:color="000000"/>
            </w:tcBorders>
          </w:tcPr>
          <w:p w14:paraId="218C38FA" w14:textId="77777777" w:rsidR="00122EB2" w:rsidRDefault="00000000">
            <w:pPr>
              <w:rPr>
                <w:rFonts w:ascii="Arial" w:eastAsia="Arial" w:hAnsi="Arial" w:cs="Arial"/>
                <w:i/>
                <w:iCs/>
                <w:sz w:val="24"/>
                <w:szCs w:val="24"/>
              </w:rPr>
            </w:pPr>
            <w:r>
              <w:rPr>
                <w:rFonts w:ascii="Arial" w:eastAsia="Arial" w:hAnsi="Arial" w:cs="Arial"/>
                <w:i/>
                <w:iCs/>
                <w:sz w:val="24"/>
                <w:szCs w:val="24"/>
              </w:rPr>
              <w:t>p</w:t>
            </w:r>
          </w:p>
        </w:tc>
      </w:tr>
      <w:tr w:rsidR="00122EB2" w14:paraId="4BFB696C" w14:textId="77777777">
        <w:tc>
          <w:tcPr>
            <w:tcW w:w="2580" w:type="dxa"/>
            <w:tcBorders>
              <w:bottom w:val="nil"/>
              <w:right w:val="nil"/>
            </w:tcBorders>
          </w:tcPr>
          <w:p w14:paraId="16C063F6" w14:textId="77777777" w:rsidR="00122EB2" w:rsidRDefault="00000000">
            <w:pPr>
              <w:rPr>
                <w:rFonts w:ascii="Arial" w:eastAsia="Arial" w:hAnsi="Arial" w:cs="Arial"/>
                <w:sz w:val="24"/>
                <w:szCs w:val="24"/>
              </w:rPr>
            </w:pPr>
            <w:r>
              <w:rPr>
                <w:rFonts w:ascii="Arial" w:eastAsia="Arial" w:hAnsi="Arial" w:cs="Arial"/>
                <w:sz w:val="24"/>
                <w:szCs w:val="24"/>
              </w:rPr>
              <w:t xml:space="preserve">Eating Disorder Psychopathology   </w:t>
            </w:r>
            <w:proofErr w:type="gramStart"/>
            <w:r>
              <w:rPr>
                <w:rFonts w:ascii="Arial" w:eastAsia="Arial" w:hAnsi="Arial" w:cs="Arial"/>
                <w:sz w:val="24"/>
                <w:szCs w:val="24"/>
              </w:rPr>
              <w:t xml:space="preserve">   (</w:t>
            </w:r>
            <w:proofErr w:type="gramEnd"/>
            <w:r>
              <w:rPr>
                <w:rFonts w:ascii="Arial" w:eastAsia="Arial" w:hAnsi="Arial" w:cs="Arial"/>
                <w:sz w:val="24"/>
                <w:szCs w:val="24"/>
              </w:rPr>
              <w:t>Total EDE-Q)</w:t>
            </w:r>
          </w:p>
        </w:tc>
        <w:tc>
          <w:tcPr>
            <w:tcW w:w="885" w:type="dxa"/>
            <w:tcBorders>
              <w:left w:val="nil"/>
              <w:bottom w:val="nil"/>
              <w:right w:val="nil"/>
            </w:tcBorders>
          </w:tcPr>
          <w:p w14:paraId="6DC787EA" w14:textId="77777777" w:rsidR="00122EB2" w:rsidRDefault="00000000">
            <w:pPr>
              <w:rPr>
                <w:rFonts w:ascii="Arial" w:eastAsia="Arial" w:hAnsi="Arial" w:cs="Arial"/>
                <w:sz w:val="24"/>
                <w:szCs w:val="24"/>
              </w:rPr>
            </w:pPr>
            <w:r>
              <w:rPr>
                <w:rFonts w:ascii="Arial" w:eastAsia="Arial" w:hAnsi="Arial" w:cs="Arial"/>
                <w:sz w:val="24"/>
                <w:szCs w:val="24"/>
              </w:rPr>
              <w:t>4.17</w:t>
            </w:r>
          </w:p>
        </w:tc>
        <w:tc>
          <w:tcPr>
            <w:tcW w:w="735" w:type="dxa"/>
            <w:tcBorders>
              <w:left w:val="nil"/>
              <w:bottom w:val="nil"/>
              <w:right w:val="nil"/>
            </w:tcBorders>
          </w:tcPr>
          <w:p w14:paraId="1AB61B04" w14:textId="77777777" w:rsidR="00122EB2" w:rsidRDefault="00000000">
            <w:pPr>
              <w:rPr>
                <w:rFonts w:ascii="Arial" w:eastAsia="Arial" w:hAnsi="Arial" w:cs="Arial"/>
                <w:sz w:val="24"/>
                <w:szCs w:val="24"/>
              </w:rPr>
            </w:pPr>
            <w:r>
              <w:rPr>
                <w:rFonts w:ascii="Arial" w:eastAsia="Arial" w:hAnsi="Arial" w:cs="Arial"/>
                <w:sz w:val="24"/>
                <w:szCs w:val="24"/>
              </w:rPr>
              <w:t>1.52</w:t>
            </w:r>
          </w:p>
        </w:tc>
        <w:tc>
          <w:tcPr>
            <w:tcW w:w="855" w:type="dxa"/>
            <w:tcBorders>
              <w:left w:val="nil"/>
              <w:bottom w:val="nil"/>
              <w:right w:val="nil"/>
            </w:tcBorders>
          </w:tcPr>
          <w:p w14:paraId="5737176F" w14:textId="77777777" w:rsidR="00122EB2" w:rsidRDefault="00000000">
            <w:pPr>
              <w:rPr>
                <w:rFonts w:ascii="Arial" w:eastAsia="Arial" w:hAnsi="Arial" w:cs="Arial"/>
                <w:sz w:val="24"/>
                <w:szCs w:val="24"/>
              </w:rPr>
            </w:pPr>
            <w:r>
              <w:rPr>
                <w:rFonts w:ascii="Arial" w:eastAsia="Arial" w:hAnsi="Arial" w:cs="Arial"/>
                <w:sz w:val="24"/>
                <w:szCs w:val="24"/>
              </w:rPr>
              <w:t>3.19</w:t>
            </w:r>
          </w:p>
        </w:tc>
        <w:tc>
          <w:tcPr>
            <w:tcW w:w="810" w:type="dxa"/>
            <w:tcBorders>
              <w:left w:val="nil"/>
              <w:bottom w:val="nil"/>
              <w:right w:val="nil"/>
            </w:tcBorders>
          </w:tcPr>
          <w:p w14:paraId="778AD2E4" w14:textId="77777777" w:rsidR="00122EB2" w:rsidRDefault="00000000">
            <w:pPr>
              <w:rPr>
                <w:rFonts w:ascii="Arial" w:eastAsia="Arial" w:hAnsi="Arial" w:cs="Arial"/>
                <w:sz w:val="24"/>
                <w:szCs w:val="24"/>
              </w:rPr>
            </w:pPr>
            <w:r>
              <w:rPr>
                <w:rFonts w:ascii="Arial" w:eastAsia="Arial" w:hAnsi="Arial" w:cs="Arial"/>
                <w:sz w:val="24"/>
                <w:szCs w:val="24"/>
              </w:rPr>
              <w:t>1.59</w:t>
            </w:r>
          </w:p>
        </w:tc>
        <w:tc>
          <w:tcPr>
            <w:tcW w:w="1005" w:type="dxa"/>
            <w:tcBorders>
              <w:left w:val="nil"/>
              <w:bottom w:val="nil"/>
              <w:right w:val="nil"/>
            </w:tcBorders>
          </w:tcPr>
          <w:p w14:paraId="23C95F4E" w14:textId="77777777" w:rsidR="00122EB2" w:rsidRDefault="00000000">
            <w:pPr>
              <w:rPr>
                <w:rFonts w:ascii="Arial" w:eastAsia="Arial" w:hAnsi="Arial" w:cs="Arial"/>
                <w:sz w:val="24"/>
                <w:szCs w:val="24"/>
              </w:rPr>
            </w:pPr>
            <w:r>
              <w:rPr>
                <w:rFonts w:ascii="Arial" w:eastAsia="Arial" w:hAnsi="Arial" w:cs="Arial"/>
                <w:sz w:val="24"/>
                <w:szCs w:val="24"/>
              </w:rPr>
              <w:t>0.98</w:t>
            </w:r>
          </w:p>
        </w:tc>
        <w:tc>
          <w:tcPr>
            <w:tcW w:w="855" w:type="dxa"/>
            <w:tcBorders>
              <w:left w:val="nil"/>
              <w:bottom w:val="nil"/>
              <w:right w:val="nil"/>
            </w:tcBorders>
          </w:tcPr>
          <w:p w14:paraId="7F59EB27" w14:textId="77777777" w:rsidR="00122EB2" w:rsidRDefault="00000000">
            <w:pPr>
              <w:rPr>
                <w:rFonts w:ascii="Arial" w:eastAsia="Arial" w:hAnsi="Arial" w:cs="Arial"/>
                <w:sz w:val="24"/>
                <w:szCs w:val="24"/>
              </w:rPr>
            </w:pPr>
            <w:r>
              <w:rPr>
                <w:rFonts w:ascii="Arial" w:eastAsia="Arial" w:hAnsi="Arial" w:cs="Arial"/>
                <w:sz w:val="24"/>
                <w:szCs w:val="24"/>
              </w:rPr>
              <w:t>1.16</w:t>
            </w:r>
          </w:p>
        </w:tc>
        <w:tc>
          <w:tcPr>
            <w:tcW w:w="750" w:type="dxa"/>
            <w:tcBorders>
              <w:left w:val="nil"/>
              <w:bottom w:val="nil"/>
              <w:right w:val="nil"/>
            </w:tcBorders>
          </w:tcPr>
          <w:p w14:paraId="379F43BC" w14:textId="77777777" w:rsidR="00122EB2" w:rsidRDefault="00000000">
            <w:pPr>
              <w:rPr>
                <w:rFonts w:ascii="Arial" w:eastAsia="Arial" w:hAnsi="Arial" w:cs="Arial"/>
                <w:sz w:val="24"/>
                <w:szCs w:val="24"/>
              </w:rPr>
            </w:pPr>
            <w:r>
              <w:rPr>
                <w:rFonts w:ascii="Arial" w:eastAsia="Arial" w:hAnsi="Arial" w:cs="Arial"/>
                <w:sz w:val="24"/>
                <w:szCs w:val="24"/>
              </w:rPr>
              <w:t>4.14</w:t>
            </w:r>
          </w:p>
        </w:tc>
        <w:tc>
          <w:tcPr>
            <w:tcW w:w="1020" w:type="dxa"/>
            <w:tcBorders>
              <w:left w:val="nil"/>
              <w:bottom w:val="nil"/>
            </w:tcBorders>
          </w:tcPr>
          <w:p w14:paraId="73F653D8" w14:textId="77777777" w:rsidR="00122EB2" w:rsidRDefault="00000000">
            <w:pPr>
              <w:rPr>
                <w:rFonts w:ascii="Arial" w:eastAsia="Arial" w:hAnsi="Arial" w:cs="Arial"/>
                <w:sz w:val="24"/>
                <w:szCs w:val="24"/>
              </w:rPr>
            </w:pPr>
            <w:r>
              <w:rPr>
                <w:rFonts w:ascii="Arial" w:eastAsia="Arial" w:hAnsi="Arial" w:cs="Arial"/>
                <w:sz w:val="24"/>
                <w:szCs w:val="24"/>
              </w:rPr>
              <w:t>&lt;.001**</w:t>
            </w:r>
          </w:p>
        </w:tc>
      </w:tr>
      <w:tr w:rsidR="00122EB2" w14:paraId="5E314F11" w14:textId="77777777">
        <w:trPr>
          <w:trHeight w:val="320"/>
        </w:trPr>
        <w:tc>
          <w:tcPr>
            <w:tcW w:w="2580" w:type="dxa"/>
            <w:tcBorders>
              <w:top w:val="nil"/>
              <w:bottom w:val="nil"/>
              <w:right w:val="nil"/>
            </w:tcBorders>
          </w:tcPr>
          <w:p w14:paraId="070839EA" w14:textId="77777777" w:rsidR="00122EB2" w:rsidRDefault="00000000">
            <w:pPr>
              <w:rPr>
                <w:rFonts w:ascii="Arial" w:eastAsia="Arial" w:hAnsi="Arial" w:cs="Arial"/>
                <w:sz w:val="24"/>
                <w:szCs w:val="24"/>
              </w:rPr>
            </w:pPr>
            <w:r>
              <w:rPr>
                <w:rFonts w:ascii="Arial" w:eastAsia="Arial" w:hAnsi="Arial" w:cs="Arial"/>
                <w:sz w:val="24"/>
                <w:szCs w:val="24"/>
              </w:rPr>
              <w:t>EDE-Q Subscales</w:t>
            </w:r>
          </w:p>
        </w:tc>
        <w:tc>
          <w:tcPr>
            <w:tcW w:w="885" w:type="dxa"/>
            <w:tcBorders>
              <w:top w:val="nil"/>
              <w:left w:val="nil"/>
              <w:bottom w:val="nil"/>
              <w:right w:val="nil"/>
            </w:tcBorders>
          </w:tcPr>
          <w:p w14:paraId="61A28C24" w14:textId="77777777" w:rsidR="00122EB2" w:rsidRDefault="00122EB2">
            <w:pPr>
              <w:rPr>
                <w:rFonts w:ascii="Arial" w:eastAsia="Arial" w:hAnsi="Arial" w:cs="Arial"/>
                <w:sz w:val="24"/>
                <w:szCs w:val="24"/>
              </w:rPr>
            </w:pPr>
          </w:p>
        </w:tc>
        <w:tc>
          <w:tcPr>
            <w:tcW w:w="735" w:type="dxa"/>
            <w:tcBorders>
              <w:top w:val="nil"/>
              <w:left w:val="nil"/>
              <w:bottom w:val="nil"/>
              <w:right w:val="nil"/>
            </w:tcBorders>
          </w:tcPr>
          <w:p w14:paraId="33E71B85" w14:textId="77777777" w:rsidR="00122EB2" w:rsidRDefault="00122EB2">
            <w:pPr>
              <w:rPr>
                <w:rFonts w:ascii="Arial" w:eastAsia="Arial" w:hAnsi="Arial" w:cs="Arial"/>
                <w:sz w:val="24"/>
                <w:szCs w:val="24"/>
              </w:rPr>
            </w:pPr>
          </w:p>
        </w:tc>
        <w:tc>
          <w:tcPr>
            <w:tcW w:w="855" w:type="dxa"/>
            <w:tcBorders>
              <w:top w:val="nil"/>
              <w:left w:val="nil"/>
              <w:bottom w:val="nil"/>
              <w:right w:val="nil"/>
            </w:tcBorders>
          </w:tcPr>
          <w:p w14:paraId="44177A02" w14:textId="77777777" w:rsidR="00122EB2" w:rsidRDefault="00122EB2">
            <w:pPr>
              <w:rPr>
                <w:rFonts w:ascii="Arial" w:eastAsia="Arial" w:hAnsi="Arial" w:cs="Arial"/>
                <w:sz w:val="24"/>
                <w:szCs w:val="24"/>
              </w:rPr>
            </w:pPr>
          </w:p>
        </w:tc>
        <w:tc>
          <w:tcPr>
            <w:tcW w:w="810" w:type="dxa"/>
            <w:tcBorders>
              <w:top w:val="nil"/>
              <w:left w:val="nil"/>
              <w:bottom w:val="nil"/>
              <w:right w:val="nil"/>
            </w:tcBorders>
          </w:tcPr>
          <w:p w14:paraId="53B07D83" w14:textId="77777777" w:rsidR="00122EB2" w:rsidRDefault="00122EB2">
            <w:pPr>
              <w:rPr>
                <w:rFonts w:ascii="Arial" w:eastAsia="Arial" w:hAnsi="Arial" w:cs="Arial"/>
                <w:sz w:val="24"/>
                <w:szCs w:val="24"/>
              </w:rPr>
            </w:pPr>
          </w:p>
        </w:tc>
        <w:tc>
          <w:tcPr>
            <w:tcW w:w="1005" w:type="dxa"/>
            <w:tcBorders>
              <w:top w:val="nil"/>
              <w:left w:val="nil"/>
              <w:bottom w:val="nil"/>
              <w:right w:val="nil"/>
            </w:tcBorders>
          </w:tcPr>
          <w:p w14:paraId="34CBDBD0" w14:textId="77777777" w:rsidR="00122EB2" w:rsidRDefault="00122EB2">
            <w:pPr>
              <w:rPr>
                <w:rFonts w:ascii="Arial" w:eastAsia="Arial" w:hAnsi="Arial" w:cs="Arial"/>
                <w:sz w:val="24"/>
                <w:szCs w:val="24"/>
              </w:rPr>
            </w:pPr>
          </w:p>
        </w:tc>
        <w:tc>
          <w:tcPr>
            <w:tcW w:w="855" w:type="dxa"/>
            <w:tcBorders>
              <w:top w:val="nil"/>
              <w:left w:val="nil"/>
              <w:bottom w:val="nil"/>
              <w:right w:val="nil"/>
            </w:tcBorders>
          </w:tcPr>
          <w:p w14:paraId="0BBC9082" w14:textId="77777777" w:rsidR="00122EB2" w:rsidRDefault="00122EB2">
            <w:pPr>
              <w:rPr>
                <w:rFonts w:ascii="Arial" w:eastAsia="Arial" w:hAnsi="Arial" w:cs="Arial"/>
                <w:sz w:val="24"/>
                <w:szCs w:val="24"/>
              </w:rPr>
            </w:pPr>
          </w:p>
        </w:tc>
        <w:tc>
          <w:tcPr>
            <w:tcW w:w="750" w:type="dxa"/>
            <w:tcBorders>
              <w:top w:val="nil"/>
              <w:left w:val="nil"/>
              <w:bottom w:val="nil"/>
              <w:right w:val="nil"/>
            </w:tcBorders>
          </w:tcPr>
          <w:p w14:paraId="5C008BD0" w14:textId="77777777" w:rsidR="00122EB2" w:rsidRDefault="00122EB2">
            <w:pPr>
              <w:rPr>
                <w:rFonts w:ascii="Arial" w:eastAsia="Arial" w:hAnsi="Arial" w:cs="Arial"/>
                <w:sz w:val="24"/>
                <w:szCs w:val="24"/>
              </w:rPr>
            </w:pPr>
          </w:p>
        </w:tc>
        <w:tc>
          <w:tcPr>
            <w:tcW w:w="1020" w:type="dxa"/>
            <w:tcBorders>
              <w:top w:val="nil"/>
              <w:left w:val="nil"/>
              <w:bottom w:val="nil"/>
            </w:tcBorders>
          </w:tcPr>
          <w:p w14:paraId="1C009A6F" w14:textId="77777777" w:rsidR="00122EB2" w:rsidRDefault="00122EB2">
            <w:pPr>
              <w:rPr>
                <w:rFonts w:ascii="Arial" w:eastAsia="Arial" w:hAnsi="Arial" w:cs="Arial"/>
                <w:sz w:val="24"/>
                <w:szCs w:val="24"/>
              </w:rPr>
            </w:pPr>
          </w:p>
        </w:tc>
      </w:tr>
      <w:tr w:rsidR="00122EB2" w14:paraId="53D1C5C1" w14:textId="77777777">
        <w:trPr>
          <w:trHeight w:val="611"/>
        </w:trPr>
        <w:tc>
          <w:tcPr>
            <w:tcW w:w="2580" w:type="dxa"/>
            <w:tcBorders>
              <w:top w:val="nil"/>
              <w:bottom w:val="nil"/>
              <w:right w:val="nil"/>
            </w:tcBorders>
          </w:tcPr>
          <w:p w14:paraId="24B3289A" w14:textId="77777777" w:rsidR="00122EB2" w:rsidRDefault="00000000">
            <w:pPr>
              <w:ind w:left="720"/>
              <w:rPr>
                <w:rFonts w:ascii="Arial" w:eastAsia="Arial" w:hAnsi="Arial" w:cs="Arial"/>
                <w:sz w:val="24"/>
                <w:szCs w:val="24"/>
              </w:rPr>
            </w:pPr>
            <w:r>
              <w:rPr>
                <w:rFonts w:ascii="Arial" w:eastAsia="Arial" w:hAnsi="Arial" w:cs="Arial"/>
                <w:sz w:val="24"/>
                <w:szCs w:val="24"/>
              </w:rPr>
              <w:t>Dietary Restriction</w:t>
            </w:r>
          </w:p>
        </w:tc>
        <w:tc>
          <w:tcPr>
            <w:tcW w:w="885" w:type="dxa"/>
            <w:tcBorders>
              <w:top w:val="nil"/>
              <w:left w:val="nil"/>
              <w:bottom w:val="nil"/>
              <w:right w:val="nil"/>
            </w:tcBorders>
          </w:tcPr>
          <w:p w14:paraId="0829653B" w14:textId="77777777" w:rsidR="00122EB2" w:rsidRDefault="00000000">
            <w:pPr>
              <w:rPr>
                <w:rFonts w:ascii="Arial" w:eastAsia="Arial" w:hAnsi="Arial" w:cs="Arial"/>
                <w:sz w:val="24"/>
                <w:szCs w:val="24"/>
              </w:rPr>
            </w:pPr>
            <w:r>
              <w:rPr>
                <w:rFonts w:ascii="Arial" w:eastAsia="Arial" w:hAnsi="Arial" w:cs="Arial"/>
                <w:sz w:val="24"/>
                <w:szCs w:val="24"/>
              </w:rPr>
              <w:t>4.08</w:t>
            </w:r>
          </w:p>
        </w:tc>
        <w:tc>
          <w:tcPr>
            <w:tcW w:w="735" w:type="dxa"/>
            <w:tcBorders>
              <w:top w:val="nil"/>
              <w:left w:val="nil"/>
              <w:bottom w:val="nil"/>
              <w:right w:val="nil"/>
            </w:tcBorders>
          </w:tcPr>
          <w:p w14:paraId="371D2E46" w14:textId="77777777" w:rsidR="00122EB2" w:rsidRDefault="00000000">
            <w:pPr>
              <w:rPr>
                <w:rFonts w:ascii="Arial" w:eastAsia="Arial" w:hAnsi="Arial" w:cs="Arial"/>
                <w:sz w:val="24"/>
                <w:szCs w:val="24"/>
              </w:rPr>
            </w:pPr>
            <w:r>
              <w:rPr>
                <w:rFonts w:ascii="Arial" w:eastAsia="Arial" w:hAnsi="Arial" w:cs="Arial"/>
                <w:sz w:val="24"/>
                <w:szCs w:val="24"/>
              </w:rPr>
              <w:t>1.94</w:t>
            </w:r>
          </w:p>
        </w:tc>
        <w:tc>
          <w:tcPr>
            <w:tcW w:w="855" w:type="dxa"/>
            <w:tcBorders>
              <w:top w:val="nil"/>
              <w:left w:val="nil"/>
              <w:bottom w:val="nil"/>
              <w:right w:val="nil"/>
            </w:tcBorders>
          </w:tcPr>
          <w:p w14:paraId="758502DA" w14:textId="77777777" w:rsidR="00122EB2" w:rsidRDefault="00000000">
            <w:pPr>
              <w:rPr>
                <w:rFonts w:ascii="Arial" w:eastAsia="Arial" w:hAnsi="Arial" w:cs="Arial"/>
                <w:sz w:val="24"/>
                <w:szCs w:val="24"/>
              </w:rPr>
            </w:pPr>
            <w:r>
              <w:rPr>
                <w:rFonts w:ascii="Arial" w:eastAsia="Arial" w:hAnsi="Arial" w:cs="Arial"/>
                <w:sz w:val="24"/>
                <w:szCs w:val="24"/>
              </w:rPr>
              <w:t>2.21</w:t>
            </w:r>
          </w:p>
        </w:tc>
        <w:tc>
          <w:tcPr>
            <w:tcW w:w="810" w:type="dxa"/>
            <w:tcBorders>
              <w:top w:val="nil"/>
              <w:left w:val="nil"/>
              <w:bottom w:val="nil"/>
              <w:right w:val="nil"/>
            </w:tcBorders>
          </w:tcPr>
          <w:p w14:paraId="0ACB53B8" w14:textId="77777777" w:rsidR="00122EB2" w:rsidRDefault="00000000">
            <w:pPr>
              <w:rPr>
                <w:rFonts w:ascii="Arial" w:eastAsia="Arial" w:hAnsi="Arial" w:cs="Arial"/>
                <w:sz w:val="24"/>
                <w:szCs w:val="24"/>
              </w:rPr>
            </w:pPr>
            <w:r>
              <w:rPr>
                <w:rFonts w:ascii="Arial" w:eastAsia="Arial" w:hAnsi="Arial" w:cs="Arial"/>
                <w:sz w:val="24"/>
                <w:szCs w:val="24"/>
              </w:rPr>
              <w:t>2.11</w:t>
            </w:r>
          </w:p>
        </w:tc>
        <w:tc>
          <w:tcPr>
            <w:tcW w:w="1005" w:type="dxa"/>
            <w:tcBorders>
              <w:top w:val="nil"/>
              <w:left w:val="nil"/>
              <w:bottom w:val="nil"/>
              <w:right w:val="nil"/>
            </w:tcBorders>
          </w:tcPr>
          <w:p w14:paraId="35576A53" w14:textId="77777777" w:rsidR="00122EB2" w:rsidRDefault="00000000">
            <w:pPr>
              <w:rPr>
                <w:rFonts w:ascii="Arial" w:eastAsia="Arial" w:hAnsi="Arial" w:cs="Arial"/>
                <w:sz w:val="24"/>
                <w:szCs w:val="24"/>
              </w:rPr>
            </w:pPr>
            <w:r>
              <w:rPr>
                <w:rFonts w:ascii="Arial" w:eastAsia="Arial" w:hAnsi="Arial" w:cs="Arial"/>
                <w:sz w:val="24"/>
                <w:szCs w:val="24"/>
              </w:rPr>
              <w:t>1.88</w:t>
            </w:r>
          </w:p>
        </w:tc>
        <w:tc>
          <w:tcPr>
            <w:tcW w:w="855" w:type="dxa"/>
            <w:tcBorders>
              <w:top w:val="nil"/>
              <w:left w:val="nil"/>
              <w:bottom w:val="nil"/>
              <w:right w:val="nil"/>
            </w:tcBorders>
          </w:tcPr>
          <w:p w14:paraId="7596B9A2" w14:textId="77777777" w:rsidR="00122EB2" w:rsidRDefault="00000000">
            <w:pPr>
              <w:rPr>
                <w:rFonts w:ascii="Arial" w:eastAsia="Arial" w:hAnsi="Arial" w:cs="Arial"/>
                <w:sz w:val="24"/>
                <w:szCs w:val="24"/>
              </w:rPr>
            </w:pPr>
            <w:r>
              <w:rPr>
                <w:rFonts w:ascii="Arial" w:eastAsia="Arial" w:hAnsi="Arial" w:cs="Arial"/>
                <w:sz w:val="24"/>
                <w:szCs w:val="24"/>
              </w:rPr>
              <w:t>2.32</w:t>
            </w:r>
          </w:p>
        </w:tc>
        <w:tc>
          <w:tcPr>
            <w:tcW w:w="750" w:type="dxa"/>
            <w:tcBorders>
              <w:top w:val="nil"/>
              <w:left w:val="nil"/>
              <w:bottom w:val="nil"/>
              <w:right w:val="nil"/>
            </w:tcBorders>
          </w:tcPr>
          <w:p w14:paraId="325C60A2" w14:textId="77777777" w:rsidR="00122EB2" w:rsidRDefault="00000000">
            <w:pPr>
              <w:rPr>
                <w:rFonts w:ascii="Arial" w:eastAsia="Arial" w:hAnsi="Arial" w:cs="Arial"/>
                <w:sz w:val="24"/>
                <w:szCs w:val="24"/>
              </w:rPr>
            </w:pPr>
            <w:r>
              <w:rPr>
                <w:rFonts w:ascii="Arial" w:eastAsia="Arial" w:hAnsi="Arial" w:cs="Arial"/>
                <w:sz w:val="24"/>
                <w:szCs w:val="24"/>
              </w:rPr>
              <w:t>3.96</w:t>
            </w:r>
          </w:p>
        </w:tc>
        <w:tc>
          <w:tcPr>
            <w:tcW w:w="1020" w:type="dxa"/>
            <w:tcBorders>
              <w:top w:val="nil"/>
              <w:left w:val="nil"/>
              <w:bottom w:val="nil"/>
            </w:tcBorders>
          </w:tcPr>
          <w:p w14:paraId="1CF3E62B" w14:textId="77777777" w:rsidR="00122EB2" w:rsidRDefault="00000000">
            <w:pPr>
              <w:rPr>
                <w:rFonts w:ascii="Arial" w:eastAsia="Arial" w:hAnsi="Arial" w:cs="Arial"/>
                <w:sz w:val="24"/>
                <w:szCs w:val="24"/>
              </w:rPr>
            </w:pPr>
            <w:r>
              <w:rPr>
                <w:rFonts w:ascii="Arial" w:eastAsia="Arial" w:hAnsi="Arial" w:cs="Arial"/>
                <w:sz w:val="24"/>
                <w:szCs w:val="24"/>
              </w:rPr>
              <w:t>.001**</w:t>
            </w:r>
          </w:p>
        </w:tc>
      </w:tr>
      <w:tr w:rsidR="00122EB2" w14:paraId="0FB685E2" w14:textId="77777777">
        <w:trPr>
          <w:trHeight w:val="671"/>
        </w:trPr>
        <w:tc>
          <w:tcPr>
            <w:tcW w:w="2580" w:type="dxa"/>
            <w:tcBorders>
              <w:top w:val="nil"/>
              <w:bottom w:val="nil"/>
              <w:right w:val="nil"/>
            </w:tcBorders>
          </w:tcPr>
          <w:p w14:paraId="319C578E" w14:textId="77777777" w:rsidR="00122EB2" w:rsidRDefault="00000000">
            <w:pPr>
              <w:ind w:left="720"/>
              <w:rPr>
                <w:rFonts w:ascii="Arial" w:eastAsia="Arial" w:hAnsi="Arial" w:cs="Arial"/>
                <w:sz w:val="24"/>
                <w:szCs w:val="24"/>
              </w:rPr>
            </w:pPr>
            <w:r>
              <w:rPr>
                <w:rFonts w:ascii="Arial" w:eastAsia="Arial" w:hAnsi="Arial" w:cs="Arial"/>
                <w:sz w:val="24"/>
                <w:szCs w:val="24"/>
              </w:rPr>
              <w:t>Eating Concern</w:t>
            </w:r>
          </w:p>
        </w:tc>
        <w:tc>
          <w:tcPr>
            <w:tcW w:w="885" w:type="dxa"/>
            <w:tcBorders>
              <w:top w:val="nil"/>
              <w:left w:val="nil"/>
              <w:bottom w:val="nil"/>
              <w:right w:val="nil"/>
            </w:tcBorders>
          </w:tcPr>
          <w:p w14:paraId="55D79F47" w14:textId="77777777" w:rsidR="00122EB2" w:rsidRDefault="00000000">
            <w:pPr>
              <w:rPr>
                <w:rFonts w:ascii="Arial" w:eastAsia="Arial" w:hAnsi="Arial" w:cs="Arial"/>
                <w:sz w:val="24"/>
                <w:szCs w:val="24"/>
              </w:rPr>
            </w:pPr>
            <w:r>
              <w:rPr>
                <w:rFonts w:ascii="Arial" w:eastAsia="Arial" w:hAnsi="Arial" w:cs="Arial"/>
                <w:sz w:val="24"/>
                <w:szCs w:val="24"/>
              </w:rPr>
              <w:t>3.25</w:t>
            </w:r>
          </w:p>
        </w:tc>
        <w:tc>
          <w:tcPr>
            <w:tcW w:w="735" w:type="dxa"/>
            <w:tcBorders>
              <w:top w:val="nil"/>
              <w:left w:val="nil"/>
              <w:bottom w:val="nil"/>
              <w:right w:val="nil"/>
            </w:tcBorders>
          </w:tcPr>
          <w:p w14:paraId="4C064594" w14:textId="77777777" w:rsidR="00122EB2" w:rsidRDefault="00000000">
            <w:pPr>
              <w:rPr>
                <w:rFonts w:ascii="Arial" w:eastAsia="Arial" w:hAnsi="Arial" w:cs="Arial"/>
                <w:sz w:val="24"/>
                <w:szCs w:val="24"/>
              </w:rPr>
            </w:pPr>
            <w:r>
              <w:rPr>
                <w:rFonts w:ascii="Arial" w:eastAsia="Arial" w:hAnsi="Arial" w:cs="Arial"/>
                <w:sz w:val="24"/>
                <w:szCs w:val="24"/>
              </w:rPr>
              <w:t>1.48</w:t>
            </w:r>
          </w:p>
        </w:tc>
        <w:tc>
          <w:tcPr>
            <w:tcW w:w="855" w:type="dxa"/>
            <w:tcBorders>
              <w:top w:val="nil"/>
              <w:left w:val="nil"/>
              <w:bottom w:val="nil"/>
              <w:right w:val="nil"/>
            </w:tcBorders>
          </w:tcPr>
          <w:p w14:paraId="27A80FFD" w14:textId="77777777" w:rsidR="00122EB2" w:rsidRDefault="00000000">
            <w:pPr>
              <w:rPr>
                <w:rFonts w:ascii="Arial" w:eastAsia="Arial" w:hAnsi="Arial" w:cs="Arial"/>
                <w:sz w:val="24"/>
                <w:szCs w:val="24"/>
              </w:rPr>
            </w:pPr>
            <w:r>
              <w:rPr>
                <w:rFonts w:ascii="Arial" w:eastAsia="Arial" w:hAnsi="Arial" w:cs="Arial"/>
                <w:sz w:val="24"/>
                <w:szCs w:val="24"/>
              </w:rPr>
              <w:t>2.42</w:t>
            </w:r>
          </w:p>
        </w:tc>
        <w:tc>
          <w:tcPr>
            <w:tcW w:w="810" w:type="dxa"/>
            <w:tcBorders>
              <w:top w:val="nil"/>
              <w:left w:val="nil"/>
              <w:bottom w:val="nil"/>
              <w:right w:val="nil"/>
            </w:tcBorders>
          </w:tcPr>
          <w:p w14:paraId="757A32DA" w14:textId="77777777" w:rsidR="00122EB2" w:rsidRDefault="00000000">
            <w:pPr>
              <w:rPr>
                <w:rFonts w:ascii="Arial" w:eastAsia="Arial" w:hAnsi="Arial" w:cs="Arial"/>
                <w:sz w:val="24"/>
                <w:szCs w:val="24"/>
              </w:rPr>
            </w:pPr>
            <w:r>
              <w:rPr>
                <w:rFonts w:ascii="Arial" w:eastAsia="Arial" w:hAnsi="Arial" w:cs="Arial"/>
                <w:sz w:val="24"/>
                <w:szCs w:val="24"/>
              </w:rPr>
              <w:t>1.53</w:t>
            </w:r>
          </w:p>
        </w:tc>
        <w:tc>
          <w:tcPr>
            <w:tcW w:w="1005" w:type="dxa"/>
            <w:tcBorders>
              <w:top w:val="nil"/>
              <w:left w:val="nil"/>
              <w:bottom w:val="nil"/>
              <w:right w:val="nil"/>
            </w:tcBorders>
          </w:tcPr>
          <w:p w14:paraId="6BFDBC25" w14:textId="77777777" w:rsidR="00122EB2" w:rsidRDefault="00000000">
            <w:pPr>
              <w:rPr>
                <w:rFonts w:ascii="Arial" w:eastAsia="Arial" w:hAnsi="Arial" w:cs="Arial"/>
                <w:sz w:val="24"/>
                <w:szCs w:val="24"/>
              </w:rPr>
            </w:pPr>
            <w:r>
              <w:rPr>
                <w:rFonts w:ascii="Arial" w:eastAsia="Arial" w:hAnsi="Arial" w:cs="Arial"/>
                <w:sz w:val="24"/>
                <w:szCs w:val="24"/>
              </w:rPr>
              <w:t>0.83</w:t>
            </w:r>
          </w:p>
        </w:tc>
        <w:tc>
          <w:tcPr>
            <w:tcW w:w="855" w:type="dxa"/>
            <w:tcBorders>
              <w:top w:val="nil"/>
              <w:left w:val="nil"/>
              <w:bottom w:val="nil"/>
              <w:right w:val="nil"/>
            </w:tcBorders>
          </w:tcPr>
          <w:p w14:paraId="0027C750" w14:textId="77777777" w:rsidR="00122EB2" w:rsidRDefault="00000000">
            <w:pPr>
              <w:rPr>
                <w:rFonts w:ascii="Arial" w:eastAsia="Arial" w:hAnsi="Arial" w:cs="Arial"/>
                <w:sz w:val="24"/>
                <w:szCs w:val="24"/>
              </w:rPr>
            </w:pPr>
            <w:r>
              <w:rPr>
                <w:rFonts w:ascii="Arial" w:eastAsia="Arial" w:hAnsi="Arial" w:cs="Arial"/>
                <w:sz w:val="24"/>
                <w:szCs w:val="24"/>
              </w:rPr>
              <w:t>1.16</w:t>
            </w:r>
          </w:p>
        </w:tc>
        <w:tc>
          <w:tcPr>
            <w:tcW w:w="750" w:type="dxa"/>
            <w:tcBorders>
              <w:top w:val="nil"/>
              <w:left w:val="nil"/>
              <w:bottom w:val="nil"/>
              <w:right w:val="nil"/>
            </w:tcBorders>
          </w:tcPr>
          <w:p w14:paraId="111602E2" w14:textId="77777777" w:rsidR="00122EB2" w:rsidRDefault="00000000">
            <w:pPr>
              <w:rPr>
                <w:rFonts w:ascii="Arial" w:eastAsia="Arial" w:hAnsi="Arial" w:cs="Arial"/>
                <w:sz w:val="24"/>
                <w:szCs w:val="24"/>
              </w:rPr>
            </w:pPr>
            <w:r>
              <w:rPr>
                <w:rFonts w:ascii="Arial" w:eastAsia="Arial" w:hAnsi="Arial" w:cs="Arial"/>
                <w:sz w:val="24"/>
                <w:szCs w:val="24"/>
              </w:rPr>
              <w:t>3.51</w:t>
            </w:r>
          </w:p>
        </w:tc>
        <w:tc>
          <w:tcPr>
            <w:tcW w:w="1020" w:type="dxa"/>
            <w:tcBorders>
              <w:top w:val="nil"/>
              <w:left w:val="nil"/>
              <w:bottom w:val="nil"/>
            </w:tcBorders>
          </w:tcPr>
          <w:p w14:paraId="14796223" w14:textId="77777777" w:rsidR="00122EB2" w:rsidRDefault="00000000">
            <w:pPr>
              <w:rPr>
                <w:rFonts w:ascii="Arial" w:eastAsia="Arial" w:hAnsi="Arial" w:cs="Arial"/>
                <w:sz w:val="24"/>
                <w:szCs w:val="24"/>
              </w:rPr>
            </w:pPr>
            <w:r>
              <w:rPr>
                <w:rFonts w:ascii="Arial" w:eastAsia="Arial" w:hAnsi="Arial" w:cs="Arial"/>
                <w:sz w:val="24"/>
                <w:szCs w:val="24"/>
              </w:rPr>
              <w:t>.002**</w:t>
            </w:r>
          </w:p>
        </w:tc>
      </w:tr>
      <w:tr w:rsidR="00122EB2" w14:paraId="25CB2E66" w14:textId="77777777">
        <w:trPr>
          <w:trHeight w:val="596"/>
        </w:trPr>
        <w:tc>
          <w:tcPr>
            <w:tcW w:w="2580" w:type="dxa"/>
            <w:tcBorders>
              <w:top w:val="nil"/>
              <w:bottom w:val="nil"/>
              <w:right w:val="nil"/>
            </w:tcBorders>
          </w:tcPr>
          <w:p w14:paraId="683AD85E" w14:textId="77777777" w:rsidR="00122EB2" w:rsidRDefault="00000000">
            <w:pPr>
              <w:ind w:left="720"/>
              <w:rPr>
                <w:rFonts w:ascii="Arial" w:eastAsia="Arial" w:hAnsi="Arial" w:cs="Arial"/>
                <w:sz w:val="24"/>
                <w:szCs w:val="24"/>
              </w:rPr>
            </w:pPr>
            <w:r>
              <w:rPr>
                <w:rFonts w:ascii="Arial" w:eastAsia="Arial" w:hAnsi="Arial" w:cs="Arial"/>
                <w:sz w:val="24"/>
                <w:szCs w:val="24"/>
              </w:rPr>
              <w:t>Weight Concern</w:t>
            </w:r>
          </w:p>
        </w:tc>
        <w:tc>
          <w:tcPr>
            <w:tcW w:w="885" w:type="dxa"/>
            <w:tcBorders>
              <w:top w:val="nil"/>
              <w:left w:val="nil"/>
              <w:bottom w:val="nil"/>
              <w:right w:val="nil"/>
            </w:tcBorders>
          </w:tcPr>
          <w:p w14:paraId="348B730F" w14:textId="77777777" w:rsidR="00122EB2" w:rsidRDefault="00000000">
            <w:pPr>
              <w:rPr>
                <w:rFonts w:ascii="Arial" w:eastAsia="Arial" w:hAnsi="Arial" w:cs="Arial"/>
                <w:sz w:val="24"/>
                <w:szCs w:val="24"/>
              </w:rPr>
            </w:pPr>
            <w:r>
              <w:rPr>
                <w:rFonts w:ascii="Arial" w:eastAsia="Arial" w:hAnsi="Arial" w:cs="Arial"/>
                <w:sz w:val="24"/>
                <w:szCs w:val="24"/>
              </w:rPr>
              <w:t>4.45</w:t>
            </w:r>
          </w:p>
        </w:tc>
        <w:tc>
          <w:tcPr>
            <w:tcW w:w="735" w:type="dxa"/>
            <w:tcBorders>
              <w:top w:val="nil"/>
              <w:left w:val="nil"/>
              <w:bottom w:val="nil"/>
              <w:right w:val="nil"/>
            </w:tcBorders>
          </w:tcPr>
          <w:p w14:paraId="64C9DB7E" w14:textId="77777777" w:rsidR="00122EB2" w:rsidRDefault="00000000">
            <w:pPr>
              <w:rPr>
                <w:rFonts w:ascii="Arial" w:eastAsia="Arial" w:hAnsi="Arial" w:cs="Arial"/>
                <w:sz w:val="24"/>
                <w:szCs w:val="24"/>
              </w:rPr>
            </w:pPr>
            <w:r>
              <w:rPr>
                <w:rFonts w:ascii="Arial" w:eastAsia="Arial" w:hAnsi="Arial" w:cs="Arial"/>
                <w:sz w:val="24"/>
                <w:szCs w:val="24"/>
              </w:rPr>
              <w:t>1.63</w:t>
            </w:r>
          </w:p>
        </w:tc>
        <w:tc>
          <w:tcPr>
            <w:tcW w:w="855" w:type="dxa"/>
            <w:tcBorders>
              <w:top w:val="nil"/>
              <w:left w:val="nil"/>
              <w:bottom w:val="nil"/>
              <w:right w:val="nil"/>
            </w:tcBorders>
          </w:tcPr>
          <w:p w14:paraId="2EF650D5" w14:textId="77777777" w:rsidR="00122EB2" w:rsidRDefault="00000000">
            <w:pPr>
              <w:rPr>
                <w:rFonts w:ascii="Arial" w:eastAsia="Arial" w:hAnsi="Arial" w:cs="Arial"/>
                <w:sz w:val="24"/>
                <w:szCs w:val="24"/>
              </w:rPr>
            </w:pPr>
            <w:r>
              <w:rPr>
                <w:rFonts w:ascii="Arial" w:eastAsia="Arial" w:hAnsi="Arial" w:cs="Arial"/>
                <w:sz w:val="24"/>
                <w:szCs w:val="24"/>
              </w:rPr>
              <w:t>3.75</w:t>
            </w:r>
          </w:p>
        </w:tc>
        <w:tc>
          <w:tcPr>
            <w:tcW w:w="810" w:type="dxa"/>
            <w:tcBorders>
              <w:top w:val="nil"/>
              <w:left w:val="nil"/>
              <w:bottom w:val="nil"/>
              <w:right w:val="nil"/>
            </w:tcBorders>
          </w:tcPr>
          <w:p w14:paraId="3A87CFF9" w14:textId="77777777" w:rsidR="00122EB2" w:rsidRDefault="00000000">
            <w:pPr>
              <w:rPr>
                <w:rFonts w:ascii="Arial" w:eastAsia="Arial" w:hAnsi="Arial" w:cs="Arial"/>
                <w:sz w:val="24"/>
                <w:szCs w:val="24"/>
              </w:rPr>
            </w:pPr>
            <w:r>
              <w:rPr>
                <w:rFonts w:ascii="Arial" w:eastAsia="Arial" w:hAnsi="Arial" w:cs="Arial"/>
                <w:sz w:val="24"/>
                <w:szCs w:val="24"/>
              </w:rPr>
              <w:t>1.82</w:t>
            </w:r>
          </w:p>
        </w:tc>
        <w:tc>
          <w:tcPr>
            <w:tcW w:w="1005" w:type="dxa"/>
            <w:tcBorders>
              <w:top w:val="nil"/>
              <w:left w:val="nil"/>
              <w:bottom w:val="nil"/>
              <w:right w:val="nil"/>
            </w:tcBorders>
          </w:tcPr>
          <w:p w14:paraId="07426012" w14:textId="77777777" w:rsidR="00122EB2" w:rsidRDefault="00000000">
            <w:pPr>
              <w:rPr>
                <w:rFonts w:ascii="Arial" w:eastAsia="Arial" w:hAnsi="Arial" w:cs="Arial"/>
                <w:sz w:val="24"/>
                <w:szCs w:val="24"/>
              </w:rPr>
            </w:pPr>
            <w:r>
              <w:rPr>
                <w:rFonts w:ascii="Arial" w:eastAsia="Arial" w:hAnsi="Arial" w:cs="Arial"/>
                <w:sz w:val="24"/>
                <w:szCs w:val="24"/>
              </w:rPr>
              <w:t>0.70</w:t>
            </w:r>
          </w:p>
        </w:tc>
        <w:tc>
          <w:tcPr>
            <w:tcW w:w="855" w:type="dxa"/>
            <w:tcBorders>
              <w:top w:val="nil"/>
              <w:left w:val="nil"/>
              <w:bottom w:val="nil"/>
              <w:right w:val="nil"/>
            </w:tcBorders>
          </w:tcPr>
          <w:p w14:paraId="186C5980" w14:textId="77777777" w:rsidR="00122EB2" w:rsidRDefault="00000000">
            <w:pPr>
              <w:rPr>
                <w:rFonts w:ascii="Arial" w:eastAsia="Arial" w:hAnsi="Arial" w:cs="Arial"/>
                <w:sz w:val="24"/>
                <w:szCs w:val="24"/>
              </w:rPr>
            </w:pPr>
            <w:r>
              <w:rPr>
                <w:rFonts w:ascii="Arial" w:eastAsia="Arial" w:hAnsi="Arial" w:cs="Arial"/>
                <w:sz w:val="24"/>
                <w:szCs w:val="24"/>
              </w:rPr>
              <w:t>1.17</w:t>
            </w:r>
          </w:p>
        </w:tc>
        <w:tc>
          <w:tcPr>
            <w:tcW w:w="750" w:type="dxa"/>
            <w:tcBorders>
              <w:top w:val="nil"/>
              <w:left w:val="nil"/>
              <w:bottom w:val="nil"/>
              <w:right w:val="nil"/>
            </w:tcBorders>
          </w:tcPr>
          <w:p w14:paraId="0FB23781" w14:textId="77777777" w:rsidR="00122EB2" w:rsidRDefault="00000000">
            <w:pPr>
              <w:rPr>
                <w:rFonts w:ascii="Arial" w:eastAsia="Arial" w:hAnsi="Arial" w:cs="Arial"/>
                <w:sz w:val="24"/>
                <w:szCs w:val="24"/>
              </w:rPr>
            </w:pPr>
            <w:r>
              <w:rPr>
                <w:rFonts w:ascii="Arial" w:eastAsia="Arial" w:hAnsi="Arial" w:cs="Arial"/>
                <w:sz w:val="24"/>
                <w:szCs w:val="24"/>
              </w:rPr>
              <w:t>2.93</w:t>
            </w:r>
          </w:p>
        </w:tc>
        <w:tc>
          <w:tcPr>
            <w:tcW w:w="1020" w:type="dxa"/>
            <w:tcBorders>
              <w:top w:val="nil"/>
              <w:left w:val="nil"/>
              <w:bottom w:val="nil"/>
            </w:tcBorders>
          </w:tcPr>
          <w:p w14:paraId="43080596" w14:textId="77777777" w:rsidR="00122EB2" w:rsidRDefault="00000000">
            <w:pPr>
              <w:rPr>
                <w:rFonts w:ascii="Arial" w:eastAsia="Arial" w:hAnsi="Arial" w:cs="Arial"/>
                <w:sz w:val="24"/>
                <w:szCs w:val="24"/>
              </w:rPr>
            </w:pPr>
            <w:r>
              <w:rPr>
                <w:rFonts w:ascii="Arial" w:eastAsia="Arial" w:hAnsi="Arial" w:cs="Arial"/>
                <w:sz w:val="24"/>
                <w:szCs w:val="24"/>
              </w:rPr>
              <w:t>.008**</w:t>
            </w:r>
          </w:p>
        </w:tc>
      </w:tr>
      <w:tr w:rsidR="00122EB2" w14:paraId="26225B72" w14:textId="77777777">
        <w:trPr>
          <w:trHeight w:val="566"/>
        </w:trPr>
        <w:tc>
          <w:tcPr>
            <w:tcW w:w="2580" w:type="dxa"/>
            <w:tcBorders>
              <w:top w:val="nil"/>
              <w:bottom w:val="nil"/>
              <w:right w:val="nil"/>
            </w:tcBorders>
          </w:tcPr>
          <w:p w14:paraId="7EBFCFE6" w14:textId="77777777" w:rsidR="00122EB2" w:rsidRDefault="00000000">
            <w:pPr>
              <w:ind w:left="720"/>
              <w:rPr>
                <w:rFonts w:ascii="Arial" w:eastAsia="Arial" w:hAnsi="Arial" w:cs="Arial"/>
                <w:sz w:val="24"/>
                <w:szCs w:val="24"/>
              </w:rPr>
            </w:pPr>
            <w:r>
              <w:rPr>
                <w:rFonts w:ascii="Arial" w:eastAsia="Arial" w:hAnsi="Arial" w:cs="Arial"/>
                <w:sz w:val="24"/>
                <w:szCs w:val="24"/>
              </w:rPr>
              <w:t>Shape Concern</w:t>
            </w:r>
          </w:p>
        </w:tc>
        <w:tc>
          <w:tcPr>
            <w:tcW w:w="885" w:type="dxa"/>
            <w:tcBorders>
              <w:top w:val="nil"/>
              <w:left w:val="nil"/>
              <w:bottom w:val="nil"/>
              <w:right w:val="nil"/>
            </w:tcBorders>
          </w:tcPr>
          <w:p w14:paraId="1F97AA62" w14:textId="77777777" w:rsidR="00122EB2" w:rsidRDefault="00000000">
            <w:pPr>
              <w:rPr>
                <w:rFonts w:ascii="Arial" w:eastAsia="Arial" w:hAnsi="Arial" w:cs="Arial"/>
                <w:sz w:val="24"/>
                <w:szCs w:val="24"/>
              </w:rPr>
            </w:pPr>
            <w:r>
              <w:rPr>
                <w:rFonts w:ascii="Arial" w:eastAsia="Arial" w:hAnsi="Arial" w:cs="Arial"/>
                <w:sz w:val="24"/>
                <w:szCs w:val="24"/>
              </w:rPr>
              <w:t>4.89</w:t>
            </w:r>
          </w:p>
        </w:tc>
        <w:tc>
          <w:tcPr>
            <w:tcW w:w="735" w:type="dxa"/>
            <w:tcBorders>
              <w:top w:val="nil"/>
              <w:left w:val="nil"/>
              <w:bottom w:val="nil"/>
              <w:right w:val="nil"/>
            </w:tcBorders>
          </w:tcPr>
          <w:p w14:paraId="187046CC" w14:textId="77777777" w:rsidR="00122EB2" w:rsidRDefault="00000000">
            <w:pPr>
              <w:rPr>
                <w:rFonts w:ascii="Arial" w:eastAsia="Arial" w:hAnsi="Arial" w:cs="Arial"/>
                <w:sz w:val="24"/>
                <w:szCs w:val="24"/>
              </w:rPr>
            </w:pPr>
            <w:r>
              <w:rPr>
                <w:rFonts w:ascii="Arial" w:eastAsia="Arial" w:hAnsi="Arial" w:cs="Arial"/>
                <w:sz w:val="24"/>
                <w:szCs w:val="24"/>
              </w:rPr>
              <w:t>1.55</w:t>
            </w:r>
          </w:p>
        </w:tc>
        <w:tc>
          <w:tcPr>
            <w:tcW w:w="855" w:type="dxa"/>
            <w:tcBorders>
              <w:top w:val="nil"/>
              <w:left w:val="nil"/>
              <w:bottom w:val="nil"/>
              <w:right w:val="nil"/>
            </w:tcBorders>
          </w:tcPr>
          <w:p w14:paraId="2658C7BE" w14:textId="77777777" w:rsidR="00122EB2" w:rsidRDefault="00000000">
            <w:pPr>
              <w:rPr>
                <w:rFonts w:ascii="Arial" w:eastAsia="Arial" w:hAnsi="Arial" w:cs="Arial"/>
                <w:sz w:val="24"/>
                <w:szCs w:val="24"/>
              </w:rPr>
            </w:pPr>
            <w:r>
              <w:rPr>
                <w:rFonts w:ascii="Arial" w:eastAsia="Arial" w:hAnsi="Arial" w:cs="Arial"/>
                <w:sz w:val="24"/>
                <w:szCs w:val="24"/>
              </w:rPr>
              <w:t>4.38</w:t>
            </w:r>
          </w:p>
        </w:tc>
        <w:tc>
          <w:tcPr>
            <w:tcW w:w="810" w:type="dxa"/>
            <w:tcBorders>
              <w:top w:val="nil"/>
              <w:left w:val="nil"/>
              <w:bottom w:val="nil"/>
              <w:right w:val="nil"/>
            </w:tcBorders>
          </w:tcPr>
          <w:p w14:paraId="36F39060" w14:textId="77777777" w:rsidR="00122EB2" w:rsidRDefault="00000000">
            <w:pPr>
              <w:rPr>
                <w:rFonts w:ascii="Arial" w:eastAsia="Arial" w:hAnsi="Arial" w:cs="Arial"/>
                <w:sz w:val="24"/>
                <w:szCs w:val="24"/>
              </w:rPr>
            </w:pPr>
            <w:r>
              <w:rPr>
                <w:rFonts w:ascii="Arial" w:eastAsia="Arial" w:hAnsi="Arial" w:cs="Arial"/>
                <w:sz w:val="24"/>
                <w:szCs w:val="24"/>
              </w:rPr>
              <w:t>1.63</w:t>
            </w:r>
          </w:p>
        </w:tc>
        <w:tc>
          <w:tcPr>
            <w:tcW w:w="1005" w:type="dxa"/>
            <w:tcBorders>
              <w:top w:val="nil"/>
              <w:left w:val="nil"/>
              <w:bottom w:val="nil"/>
              <w:right w:val="nil"/>
            </w:tcBorders>
          </w:tcPr>
          <w:p w14:paraId="38F6903D" w14:textId="77777777" w:rsidR="00122EB2" w:rsidRDefault="00000000">
            <w:pPr>
              <w:rPr>
                <w:rFonts w:ascii="Arial" w:eastAsia="Arial" w:hAnsi="Arial" w:cs="Arial"/>
                <w:sz w:val="24"/>
                <w:szCs w:val="24"/>
              </w:rPr>
            </w:pPr>
            <w:r>
              <w:rPr>
                <w:rFonts w:ascii="Arial" w:eastAsia="Arial" w:hAnsi="Arial" w:cs="Arial"/>
                <w:sz w:val="24"/>
                <w:szCs w:val="24"/>
              </w:rPr>
              <w:t>0.51</w:t>
            </w:r>
          </w:p>
        </w:tc>
        <w:tc>
          <w:tcPr>
            <w:tcW w:w="855" w:type="dxa"/>
            <w:tcBorders>
              <w:top w:val="nil"/>
              <w:left w:val="nil"/>
              <w:bottom w:val="nil"/>
              <w:right w:val="nil"/>
            </w:tcBorders>
          </w:tcPr>
          <w:p w14:paraId="66083412" w14:textId="77777777" w:rsidR="00122EB2" w:rsidRDefault="00000000">
            <w:pPr>
              <w:rPr>
                <w:rFonts w:ascii="Arial" w:eastAsia="Arial" w:hAnsi="Arial" w:cs="Arial"/>
                <w:sz w:val="24"/>
                <w:szCs w:val="24"/>
              </w:rPr>
            </w:pPr>
            <w:r>
              <w:rPr>
                <w:rFonts w:ascii="Arial" w:eastAsia="Arial" w:hAnsi="Arial" w:cs="Arial"/>
                <w:sz w:val="24"/>
                <w:szCs w:val="24"/>
              </w:rPr>
              <w:t>0.99</w:t>
            </w:r>
          </w:p>
        </w:tc>
        <w:tc>
          <w:tcPr>
            <w:tcW w:w="750" w:type="dxa"/>
            <w:tcBorders>
              <w:top w:val="nil"/>
              <w:left w:val="nil"/>
              <w:bottom w:val="nil"/>
              <w:right w:val="nil"/>
            </w:tcBorders>
          </w:tcPr>
          <w:p w14:paraId="63C2946B" w14:textId="77777777" w:rsidR="00122EB2" w:rsidRDefault="00000000">
            <w:pPr>
              <w:rPr>
                <w:rFonts w:ascii="Arial" w:eastAsia="Arial" w:hAnsi="Arial" w:cs="Arial"/>
                <w:sz w:val="24"/>
                <w:szCs w:val="24"/>
              </w:rPr>
            </w:pPr>
            <w:r>
              <w:rPr>
                <w:rFonts w:ascii="Arial" w:eastAsia="Arial" w:hAnsi="Arial" w:cs="Arial"/>
                <w:sz w:val="24"/>
                <w:szCs w:val="24"/>
              </w:rPr>
              <w:t>2.51</w:t>
            </w:r>
          </w:p>
        </w:tc>
        <w:tc>
          <w:tcPr>
            <w:tcW w:w="1020" w:type="dxa"/>
            <w:tcBorders>
              <w:top w:val="nil"/>
              <w:left w:val="nil"/>
              <w:bottom w:val="nil"/>
            </w:tcBorders>
          </w:tcPr>
          <w:p w14:paraId="3AC4ACB4" w14:textId="77777777" w:rsidR="00122EB2" w:rsidRDefault="00000000">
            <w:pPr>
              <w:rPr>
                <w:rFonts w:ascii="Arial" w:eastAsia="Arial" w:hAnsi="Arial" w:cs="Arial"/>
                <w:sz w:val="24"/>
                <w:szCs w:val="24"/>
              </w:rPr>
            </w:pPr>
            <w:r>
              <w:rPr>
                <w:rFonts w:ascii="Arial" w:eastAsia="Arial" w:hAnsi="Arial" w:cs="Arial"/>
                <w:sz w:val="24"/>
                <w:szCs w:val="24"/>
              </w:rPr>
              <w:t>.019*</w:t>
            </w:r>
          </w:p>
        </w:tc>
      </w:tr>
      <w:tr w:rsidR="00122EB2" w14:paraId="0DF6F0CF" w14:textId="77777777">
        <w:tc>
          <w:tcPr>
            <w:tcW w:w="9495" w:type="dxa"/>
            <w:gridSpan w:val="9"/>
          </w:tcPr>
          <w:p w14:paraId="0F1AE707" w14:textId="77777777" w:rsidR="00122EB2" w:rsidRDefault="00000000">
            <w:pPr>
              <w:rPr>
                <w:rFonts w:ascii="Arial" w:eastAsia="Arial" w:hAnsi="Arial" w:cs="Arial"/>
                <w:sz w:val="24"/>
                <w:szCs w:val="24"/>
              </w:rPr>
            </w:pPr>
            <w:r>
              <w:rPr>
                <w:rFonts w:ascii="Arial" w:eastAsia="Arial" w:hAnsi="Arial" w:cs="Arial"/>
                <w:sz w:val="24"/>
                <w:szCs w:val="24"/>
              </w:rPr>
              <w:t>Mean change of eating disorder psychopathology was identified through two-sided paired samples t tests</w:t>
            </w:r>
          </w:p>
          <w:p w14:paraId="161DBD61" w14:textId="77777777" w:rsidR="00122EB2" w:rsidRDefault="00000000">
            <w:pPr>
              <w:rPr>
                <w:rFonts w:ascii="Arial" w:eastAsia="Arial" w:hAnsi="Arial" w:cs="Arial"/>
                <w:sz w:val="24"/>
                <w:szCs w:val="24"/>
              </w:rPr>
            </w:pPr>
            <w:r>
              <w:rPr>
                <w:rFonts w:ascii="Arial" w:eastAsia="Arial" w:hAnsi="Arial" w:cs="Arial"/>
                <w:sz w:val="24"/>
                <w:szCs w:val="24"/>
              </w:rPr>
              <w:t>*Statistical significance &lt;.05; **Highly statistically significant &lt;.01</w:t>
            </w:r>
          </w:p>
        </w:tc>
      </w:tr>
    </w:tbl>
    <w:p w14:paraId="5580DC03" w14:textId="77777777" w:rsidR="00122EB2" w:rsidRDefault="00122EB2">
      <w:pPr>
        <w:rPr>
          <w:rFonts w:ascii="Arial" w:eastAsia="Arial" w:hAnsi="Arial" w:cs="Arial"/>
          <w:b/>
          <w:bCs/>
          <w:sz w:val="24"/>
          <w:szCs w:val="24"/>
        </w:rPr>
      </w:pPr>
    </w:p>
    <w:p w14:paraId="4B853C60" w14:textId="77777777" w:rsidR="00122EB2" w:rsidRDefault="00000000">
      <w:pPr>
        <w:rPr>
          <w:rFonts w:ascii="Arial" w:eastAsia="Arial" w:hAnsi="Arial" w:cs="Arial"/>
          <w:b/>
          <w:bCs/>
          <w:sz w:val="24"/>
          <w:szCs w:val="24"/>
          <w:u w:val="single"/>
        </w:rPr>
      </w:pPr>
      <w:r>
        <w:rPr>
          <w:rFonts w:ascii="Arial" w:eastAsia="Arial" w:hAnsi="Arial" w:cs="Arial"/>
          <w:b/>
          <w:bCs/>
          <w:sz w:val="24"/>
          <w:szCs w:val="24"/>
        </w:rPr>
        <w:t>Changes in eating disorder psychopathology by treatment condition</w:t>
      </w:r>
    </w:p>
    <w:p w14:paraId="516A0E2F" w14:textId="77777777" w:rsidR="00122EB2" w:rsidRDefault="00000000">
      <w:pPr>
        <w:rPr>
          <w:rFonts w:ascii="Arial" w:eastAsia="Arial" w:hAnsi="Arial" w:cs="Arial"/>
          <w:b/>
          <w:bCs/>
          <w:sz w:val="24"/>
          <w:szCs w:val="24"/>
          <w:u w:val="single"/>
        </w:rPr>
      </w:pPr>
      <w:r>
        <w:rPr>
          <w:rFonts w:ascii="Arial" w:eastAsia="Arial" w:hAnsi="Arial" w:cs="Arial"/>
          <w:sz w:val="24"/>
          <w:szCs w:val="24"/>
        </w:rPr>
        <w:t xml:space="preserve">A Shapiro-Wilk test indicated that eating disorder psychopathology was skewed, however examination of the residuals using QQ plots found that there were no severe violations and the assumption of homogeneity of variance was </w:t>
      </w:r>
      <w:proofErr w:type="spellStart"/>
      <w:r>
        <w:rPr>
          <w:rFonts w:ascii="Arial" w:eastAsia="Arial" w:hAnsi="Arial" w:cs="Arial"/>
          <w:sz w:val="24"/>
          <w:szCs w:val="24"/>
        </w:rPr>
        <w:t>met.A</w:t>
      </w:r>
      <w:proofErr w:type="spellEnd"/>
      <w:r>
        <w:rPr>
          <w:rFonts w:ascii="Arial" w:eastAsia="Arial" w:hAnsi="Arial" w:cs="Arial"/>
          <w:sz w:val="24"/>
          <w:szCs w:val="24"/>
        </w:rPr>
        <w:t xml:space="preserve"> Mixed ANOVA showed a significant difference in eating disorder psychopathology at Week 1 (M = 4.38 , SD = 1.35 ) and compulsive exercise at Week 7 (M= 3.37, SD=1.44 ), regardless of condition (F(1, 49) = 35.33, p&lt; .001, ηp2 = .42). However, there was no difference between the NEAT+TAU and TAU conditions in the degree to which eating disorder psychopathology changed between Week 1 and Week 7 of intervention (</w:t>
      </w:r>
      <w:proofErr w:type="gramStart"/>
      <w:r>
        <w:rPr>
          <w:rFonts w:ascii="Arial" w:eastAsia="Arial" w:hAnsi="Arial" w:cs="Arial"/>
          <w:sz w:val="24"/>
          <w:szCs w:val="24"/>
        </w:rPr>
        <w:t>F(</w:t>
      </w:r>
      <w:proofErr w:type="gramEnd"/>
      <w:r>
        <w:rPr>
          <w:rFonts w:ascii="Arial" w:eastAsia="Arial" w:hAnsi="Arial" w:cs="Arial"/>
          <w:sz w:val="24"/>
          <w:szCs w:val="24"/>
        </w:rPr>
        <w:t>1,49) = 1.08, p = .304, ηp2 = .02).</w:t>
      </w:r>
    </w:p>
    <w:p w14:paraId="23777E98" w14:textId="77777777" w:rsidR="00122EB2" w:rsidRDefault="00122EB2" w:rsidP="00505E96">
      <w:pPr>
        <w:rPr>
          <w:rFonts w:ascii="Arial" w:eastAsia="Arial" w:hAnsi="Arial" w:cs="Arial"/>
          <w:b/>
          <w:bCs/>
          <w:sz w:val="24"/>
          <w:szCs w:val="24"/>
          <w:u w:val="single"/>
        </w:rPr>
      </w:pPr>
    </w:p>
    <w:p w14:paraId="7A3694D2" w14:textId="77777777" w:rsidR="00D65223" w:rsidRDefault="00D65223">
      <w:pPr>
        <w:jc w:val="center"/>
        <w:rPr>
          <w:rFonts w:ascii="Arial" w:eastAsia="Arial" w:hAnsi="Arial" w:cs="Arial"/>
          <w:b/>
          <w:bCs/>
          <w:sz w:val="24"/>
          <w:szCs w:val="24"/>
          <w:u w:val="single"/>
        </w:rPr>
      </w:pPr>
    </w:p>
    <w:p w14:paraId="3A405D65" w14:textId="2E9A8D97" w:rsidR="00122EB2" w:rsidRDefault="00000000">
      <w:pPr>
        <w:jc w:val="center"/>
        <w:rPr>
          <w:rFonts w:ascii="Arial" w:eastAsia="Arial" w:hAnsi="Arial" w:cs="Arial"/>
          <w:b/>
          <w:bCs/>
          <w:sz w:val="24"/>
          <w:szCs w:val="24"/>
          <w:u w:val="single"/>
        </w:rPr>
      </w:pPr>
      <w:r>
        <w:rPr>
          <w:rFonts w:ascii="Arial" w:eastAsia="Arial" w:hAnsi="Arial" w:cs="Arial"/>
          <w:b/>
          <w:bCs/>
          <w:sz w:val="24"/>
          <w:szCs w:val="24"/>
          <w:u w:val="single"/>
        </w:rPr>
        <w:lastRenderedPageBreak/>
        <w:t xml:space="preserve">Discussion </w:t>
      </w:r>
    </w:p>
    <w:p w14:paraId="524BACCE" w14:textId="77777777" w:rsidR="00122EB2" w:rsidRDefault="00122EB2">
      <w:pPr>
        <w:jc w:val="center"/>
        <w:rPr>
          <w:rFonts w:ascii="Arial" w:eastAsia="Arial" w:hAnsi="Arial" w:cs="Arial"/>
          <w:b/>
          <w:bCs/>
          <w:sz w:val="24"/>
          <w:szCs w:val="24"/>
          <w:u w:val="single"/>
        </w:rPr>
      </w:pPr>
    </w:p>
    <w:p w14:paraId="3C312EC2" w14:textId="77777777" w:rsidR="00122EB2" w:rsidRDefault="00000000">
      <w:pPr>
        <w:rPr>
          <w:rFonts w:ascii="Arial" w:eastAsia="Arial" w:hAnsi="Arial" w:cs="Arial"/>
          <w:sz w:val="24"/>
          <w:szCs w:val="24"/>
        </w:rPr>
      </w:pPr>
      <w:r>
        <w:rPr>
          <w:rFonts w:ascii="Arial" w:eastAsia="Arial" w:hAnsi="Arial" w:cs="Arial"/>
          <w:sz w:val="24"/>
          <w:szCs w:val="24"/>
        </w:rPr>
        <w:t xml:space="preserve">To our knowledge, this is the first RCT to test a group intervention for compulsive exercise in eating disorders designed for a child and adolescent population. This study builds upon a previous evaluation of the efficacy and acceptability of NEAT [15], by comparing the intervention to treatment as usual in a specialised eating disorder inpatient hospital. </w:t>
      </w:r>
    </w:p>
    <w:p w14:paraId="45DB8CBC" w14:textId="77777777" w:rsidR="00122EB2" w:rsidRDefault="00000000">
      <w:pPr>
        <w:rPr>
          <w:rFonts w:ascii="Arial" w:eastAsia="Arial" w:hAnsi="Arial" w:cs="Arial"/>
          <w:sz w:val="24"/>
          <w:szCs w:val="24"/>
        </w:rPr>
      </w:pPr>
      <w:r>
        <w:rPr>
          <w:rFonts w:ascii="Arial" w:eastAsia="Arial" w:hAnsi="Arial" w:cs="Arial"/>
          <w:sz w:val="24"/>
          <w:szCs w:val="24"/>
        </w:rPr>
        <w:t xml:space="preserve">The literature suggests that LEAP based interventions are effective in reducing compulsive exercise in anorexic populations [13, 15]. However, the present study found no differences between the NEAT intervention and TAU in reducing compulsive exercise, mirroring findings of studies of LEAP in inpatient [21] and outpatient [13] settings when comparing the intervention to standard treatment.   However, new examinations of the data from Hay’s 2018 study [13], have shown some advantages of LEAP in reducing compulsive exercise compared to standard treatment [14]. </w:t>
      </w:r>
    </w:p>
    <w:p w14:paraId="12B2F459" w14:textId="611CD6FF" w:rsidR="00122EB2" w:rsidRDefault="00000000">
      <w:pPr>
        <w:rPr>
          <w:rFonts w:ascii="Arial" w:eastAsia="Arial" w:hAnsi="Arial" w:cs="Arial"/>
          <w:sz w:val="24"/>
          <w:szCs w:val="24"/>
        </w:rPr>
      </w:pPr>
      <w:r>
        <w:rPr>
          <w:rFonts w:ascii="Arial" w:eastAsia="Arial" w:hAnsi="Arial" w:cs="Arial"/>
          <w:sz w:val="24"/>
          <w:szCs w:val="24"/>
        </w:rPr>
        <w:t>The similar effects of a targeted compulsive exercise intervention and TAU in the present study, may reflect the efficacy of the ‘Outstanding’ treatment</w:t>
      </w:r>
      <w:r>
        <w:rPr>
          <w:rFonts w:ascii="Arial" w:eastAsia="Arial" w:hAnsi="Arial" w:cs="Arial"/>
          <w:color w:val="FF0000"/>
          <w:sz w:val="24"/>
          <w:szCs w:val="24"/>
        </w:rPr>
        <w:t xml:space="preserve"> </w:t>
      </w:r>
      <w:r>
        <w:rPr>
          <w:rFonts w:ascii="Arial" w:eastAsia="Arial" w:hAnsi="Arial" w:cs="Arial"/>
          <w:sz w:val="24"/>
          <w:szCs w:val="24"/>
        </w:rPr>
        <w:t>[22] provided at Schoen Clinic Newbridge</w:t>
      </w:r>
      <w:r w:rsidR="00917760">
        <w:rPr>
          <w:rFonts w:ascii="Arial" w:eastAsia="Arial" w:hAnsi="Arial" w:cs="Arial"/>
          <w:sz w:val="24"/>
          <w:szCs w:val="24"/>
        </w:rPr>
        <w:t>, as rated by the Care Quality Commission (CQC),</w:t>
      </w:r>
      <w:r>
        <w:rPr>
          <w:rFonts w:ascii="Arial" w:eastAsia="Arial" w:hAnsi="Arial" w:cs="Arial"/>
          <w:sz w:val="24"/>
          <w:szCs w:val="24"/>
        </w:rPr>
        <w:t xml:space="preserve"> in which compulsive exercise were addressed with a multidisciplinary approach and interventions delivered by Psychiatrists, Psychotherapists, Occupational Therapists, Dieticians, and nursing staff.</w:t>
      </w:r>
      <w:r w:rsidR="00917760">
        <w:rPr>
          <w:rFonts w:ascii="Arial" w:eastAsia="Arial" w:hAnsi="Arial" w:cs="Arial"/>
          <w:sz w:val="24"/>
          <w:szCs w:val="24"/>
        </w:rPr>
        <w:t xml:space="preserve"> The CQC is a UK government body which monitors, inspects and rates all British hospitals. ‘Outstanding’ is the highest rating. It was given because the clinic was committed to research and audit of all its therapies; its therapy innovation was praised, </w:t>
      </w:r>
      <w:r w:rsidR="00505E96">
        <w:rPr>
          <w:rFonts w:ascii="Arial" w:eastAsia="Arial" w:hAnsi="Arial" w:cs="Arial"/>
          <w:sz w:val="24"/>
          <w:szCs w:val="24"/>
        </w:rPr>
        <w:t>as was</w:t>
      </w:r>
      <w:r w:rsidR="00917760">
        <w:rPr>
          <w:rFonts w:ascii="Arial" w:eastAsia="Arial" w:hAnsi="Arial" w:cs="Arial"/>
          <w:sz w:val="24"/>
          <w:szCs w:val="24"/>
        </w:rPr>
        <w:t xml:space="preserve"> the coordination of clinical management resulting in high-quality care. It mentioned the staff were skilled and supported by training. </w:t>
      </w:r>
      <w:r w:rsidR="00505E96">
        <w:rPr>
          <w:rFonts w:ascii="Arial" w:eastAsia="Arial" w:hAnsi="Arial" w:cs="Arial"/>
          <w:sz w:val="24"/>
          <w:szCs w:val="24"/>
        </w:rPr>
        <w:t>It noted particularly that different professionals worked together effectively to assess and plan for a patient’s needs. The</w:t>
      </w:r>
      <w:r w:rsidR="00917760">
        <w:rPr>
          <w:rFonts w:ascii="Arial" w:eastAsia="Arial" w:hAnsi="Arial" w:cs="Arial"/>
          <w:sz w:val="24"/>
          <w:szCs w:val="24"/>
        </w:rPr>
        <w:t xml:space="preserve"> CQC also highlighted the clinic’s focus on safety</w:t>
      </w:r>
      <w:r w:rsidR="003F27A8">
        <w:rPr>
          <w:rFonts w:ascii="Arial" w:eastAsia="Arial" w:hAnsi="Arial" w:cs="Arial"/>
          <w:sz w:val="24"/>
          <w:szCs w:val="24"/>
        </w:rPr>
        <w:t xml:space="preserve"> and</w:t>
      </w:r>
      <w:r w:rsidR="00917760">
        <w:rPr>
          <w:rFonts w:ascii="Arial" w:eastAsia="Arial" w:hAnsi="Arial" w:cs="Arial"/>
          <w:sz w:val="24"/>
          <w:szCs w:val="24"/>
        </w:rPr>
        <w:t xml:space="preserve"> the well-maintained environment.</w:t>
      </w:r>
      <w:r w:rsidR="00505E96">
        <w:rPr>
          <w:rFonts w:ascii="Arial" w:eastAsia="Arial" w:hAnsi="Arial" w:cs="Arial"/>
          <w:sz w:val="24"/>
          <w:szCs w:val="24"/>
        </w:rPr>
        <w:t xml:space="preserve"> This of course does raise the bar for any comparison.</w:t>
      </w:r>
    </w:p>
    <w:p w14:paraId="7654AAF5" w14:textId="09A38F7B" w:rsidR="00122EB2" w:rsidRDefault="00000000">
      <w:pPr>
        <w:rPr>
          <w:rFonts w:ascii="Arial" w:eastAsia="Arial" w:hAnsi="Arial" w:cs="Arial"/>
          <w:sz w:val="24"/>
          <w:szCs w:val="24"/>
        </w:rPr>
      </w:pPr>
      <w:r>
        <w:rPr>
          <w:rFonts w:ascii="Arial" w:eastAsia="Arial" w:hAnsi="Arial" w:cs="Arial"/>
          <w:sz w:val="24"/>
          <w:szCs w:val="24"/>
        </w:rPr>
        <w:t xml:space="preserve">The NEAT group was designed to be one component of a therapeutically dense inpatient environment. NEAT builds upon consensus that </w:t>
      </w:r>
      <w:r w:rsidR="00D65223">
        <w:rPr>
          <w:rFonts w:ascii="Arial" w:eastAsia="Arial" w:hAnsi="Arial" w:cs="Arial"/>
          <w:sz w:val="24"/>
          <w:szCs w:val="24"/>
        </w:rPr>
        <w:t>psychoeducation</w:t>
      </w:r>
      <w:r>
        <w:rPr>
          <w:rFonts w:ascii="Arial" w:eastAsia="Arial" w:hAnsi="Arial" w:cs="Arial"/>
          <w:sz w:val="24"/>
          <w:szCs w:val="24"/>
        </w:rPr>
        <w:t xml:space="preserve"> is an appropriate tool with which to address compulsive exercise [12</w:t>
      </w:r>
      <w:proofErr w:type="gramStart"/>
      <w:r>
        <w:rPr>
          <w:rFonts w:ascii="Arial" w:eastAsia="Arial" w:hAnsi="Arial" w:cs="Arial"/>
          <w:sz w:val="24"/>
          <w:szCs w:val="24"/>
        </w:rPr>
        <w:t>]</w:t>
      </w:r>
      <w:proofErr w:type="gramEnd"/>
      <w:r>
        <w:rPr>
          <w:rFonts w:ascii="Arial" w:eastAsia="Arial" w:hAnsi="Arial" w:cs="Arial"/>
          <w:sz w:val="24"/>
          <w:szCs w:val="24"/>
        </w:rPr>
        <w:t xml:space="preserve"> and it has been demonstrated that all aspects of the intervention (group sessions and therapeutic homework) were accepted by child and adolescent patients [15]. Acceptability of the intervention is further supported in the present study, as only a small proportion of attrition was due to withdrawal from the NEAT intervention. In outpatient settings which do not provide such a dense range of multidisciplinary interventions, we would argue NEAT could be used as a targeted intervention for children and adolescents for whom compulsive exercise is a primary concern. Anecdotal views of staff were that </w:t>
      </w:r>
      <w:r w:rsidR="00D65223">
        <w:rPr>
          <w:rFonts w:ascii="Arial" w:eastAsia="Arial" w:hAnsi="Arial" w:cs="Arial"/>
          <w:sz w:val="24"/>
          <w:szCs w:val="24"/>
        </w:rPr>
        <w:t>patients</w:t>
      </w:r>
      <w:r>
        <w:rPr>
          <w:rFonts w:ascii="Arial" w:eastAsia="Arial" w:hAnsi="Arial" w:cs="Arial"/>
          <w:sz w:val="24"/>
          <w:szCs w:val="24"/>
        </w:rPr>
        <w:t>, usually those with severe issues with over-</w:t>
      </w:r>
      <w:r w:rsidR="00D65223">
        <w:rPr>
          <w:rFonts w:ascii="Arial" w:eastAsia="Arial" w:hAnsi="Arial" w:cs="Arial"/>
          <w:sz w:val="24"/>
          <w:szCs w:val="24"/>
        </w:rPr>
        <w:t>exercising</w:t>
      </w:r>
      <w:r>
        <w:rPr>
          <w:rFonts w:ascii="Arial" w:eastAsia="Arial" w:hAnsi="Arial" w:cs="Arial"/>
          <w:sz w:val="24"/>
          <w:szCs w:val="24"/>
        </w:rPr>
        <w:t xml:space="preserve">, benefited more than others and we recommend that future research explores this further.  </w:t>
      </w:r>
    </w:p>
    <w:p w14:paraId="45E770F0" w14:textId="653F6AE0" w:rsidR="00122EB2" w:rsidRPr="00D354EA" w:rsidRDefault="00000000">
      <w:pPr>
        <w:rPr>
          <w:rFonts w:ascii="Arial" w:eastAsia="Arial" w:hAnsi="Arial" w:cs="Arial"/>
          <w:sz w:val="24"/>
          <w:szCs w:val="24"/>
        </w:rPr>
      </w:pPr>
      <w:r>
        <w:rPr>
          <w:rFonts w:ascii="Arial" w:eastAsia="Arial" w:hAnsi="Arial" w:cs="Arial"/>
          <w:sz w:val="24"/>
          <w:szCs w:val="24"/>
        </w:rPr>
        <w:t xml:space="preserve">Our further aim was to examine the effects of intervention and TAU on eating disorder psychopathology. In line with the literature, [13, 15, 21] completing this </w:t>
      </w:r>
      <w:r>
        <w:rPr>
          <w:rFonts w:ascii="Arial" w:eastAsia="Arial" w:hAnsi="Arial" w:cs="Arial"/>
          <w:sz w:val="24"/>
          <w:szCs w:val="24"/>
        </w:rPr>
        <w:lastRenderedPageBreak/>
        <w:t xml:space="preserve">specific compulsive exercise intervention saw reductions in psychopathology, but the effect was not significantly </w:t>
      </w:r>
      <w:r w:rsidR="00D65223">
        <w:rPr>
          <w:rFonts w:ascii="Arial" w:eastAsia="Arial" w:hAnsi="Arial" w:cs="Arial"/>
          <w:sz w:val="24"/>
          <w:szCs w:val="24"/>
        </w:rPr>
        <w:t>different to</w:t>
      </w:r>
      <w:r>
        <w:rPr>
          <w:rFonts w:ascii="Arial" w:eastAsia="Arial" w:hAnsi="Arial" w:cs="Arial"/>
          <w:sz w:val="24"/>
          <w:szCs w:val="24"/>
        </w:rPr>
        <w:t xml:space="preserve"> treatment as usual. It is therefore likely that the change in eating disorder psychopathology is explained by the multidisciplinary treatment provided at Schoen Clinic Newbridge. </w:t>
      </w:r>
    </w:p>
    <w:p w14:paraId="5AE485AC" w14:textId="77777777" w:rsidR="00122EB2" w:rsidRDefault="00122EB2">
      <w:pPr>
        <w:rPr>
          <w:rFonts w:ascii="Arial" w:eastAsia="Arial" w:hAnsi="Arial" w:cs="Arial"/>
          <w:b/>
          <w:bCs/>
          <w:sz w:val="24"/>
          <w:szCs w:val="24"/>
        </w:rPr>
      </w:pPr>
    </w:p>
    <w:p w14:paraId="0BE8F333" w14:textId="77777777" w:rsidR="00122EB2" w:rsidRDefault="00000000">
      <w:pPr>
        <w:rPr>
          <w:rFonts w:ascii="Arial" w:eastAsia="Arial" w:hAnsi="Arial" w:cs="Arial"/>
          <w:b/>
          <w:bCs/>
          <w:sz w:val="24"/>
          <w:szCs w:val="24"/>
        </w:rPr>
      </w:pPr>
      <w:r>
        <w:rPr>
          <w:rFonts w:ascii="Arial" w:eastAsia="Arial" w:hAnsi="Arial" w:cs="Arial"/>
          <w:b/>
          <w:bCs/>
          <w:sz w:val="24"/>
          <w:szCs w:val="24"/>
        </w:rPr>
        <w:t>Limitations</w:t>
      </w:r>
    </w:p>
    <w:p w14:paraId="02C6AB98" w14:textId="04D940D5" w:rsidR="00122EB2" w:rsidRDefault="00000000">
      <w:pPr>
        <w:rPr>
          <w:rFonts w:ascii="Arial" w:eastAsia="Arial" w:hAnsi="Arial" w:cs="Arial"/>
          <w:sz w:val="24"/>
          <w:szCs w:val="24"/>
        </w:rPr>
      </w:pPr>
      <w:r>
        <w:rPr>
          <w:rFonts w:ascii="Arial" w:eastAsia="Arial" w:hAnsi="Arial" w:cs="Arial"/>
          <w:sz w:val="24"/>
          <w:szCs w:val="24"/>
        </w:rPr>
        <w:t>A key limitation of the present study was the underpowered sample size. Our study suffered 32% attrition, a common difficulty in studies of treatment for anorexia nervosa in which patients may attempt to retain symptoms, such as compulsive exercise [23]</w:t>
      </w:r>
      <w:r>
        <w:rPr>
          <w:rFonts w:ascii="Arial" w:eastAsia="Arial" w:hAnsi="Arial" w:cs="Arial"/>
          <w:color w:val="38761D"/>
          <w:sz w:val="24"/>
          <w:szCs w:val="24"/>
        </w:rPr>
        <w:t>.</w:t>
      </w:r>
      <w:r>
        <w:rPr>
          <w:rFonts w:ascii="Arial" w:eastAsia="Arial" w:hAnsi="Arial" w:cs="Arial"/>
          <w:sz w:val="24"/>
          <w:szCs w:val="24"/>
        </w:rPr>
        <w:t xml:space="preserve"> It is important to note that </w:t>
      </w:r>
      <w:r w:rsidR="00D65223">
        <w:rPr>
          <w:rFonts w:ascii="Arial" w:eastAsia="Arial" w:hAnsi="Arial" w:cs="Arial"/>
          <w:sz w:val="24"/>
          <w:szCs w:val="24"/>
        </w:rPr>
        <w:t>most of the</w:t>
      </w:r>
      <w:r>
        <w:rPr>
          <w:rFonts w:ascii="Arial" w:eastAsia="Arial" w:hAnsi="Arial" w:cs="Arial"/>
          <w:sz w:val="24"/>
          <w:szCs w:val="24"/>
        </w:rPr>
        <w:t xml:space="preserve"> attrition was due to reasons external to the present study, such as patients’ being discharged from hospital or the disruption caused by the COVID–19 pandemic, and only a small number was due to disengagement with the NEAT intervention or the research process. The existing studies comparing LEAP to standard treatment have had similarly underpowered samples and have similarly found no differences between treatments. This indicates the need for larger scale testing of LEAP and NEAT to determine whether it is advantageous to TAU in treating compulsive exercise.  </w:t>
      </w:r>
    </w:p>
    <w:p w14:paraId="1AB1A550" w14:textId="77777777" w:rsidR="00122EB2" w:rsidRDefault="00000000">
      <w:pPr>
        <w:rPr>
          <w:rFonts w:ascii="Arial" w:eastAsia="Arial" w:hAnsi="Arial" w:cs="Arial"/>
          <w:sz w:val="24"/>
          <w:szCs w:val="24"/>
        </w:rPr>
      </w:pPr>
      <w:r>
        <w:rPr>
          <w:rFonts w:ascii="Arial" w:eastAsia="Arial" w:hAnsi="Arial" w:cs="Arial"/>
          <w:sz w:val="24"/>
          <w:szCs w:val="24"/>
        </w:rPr>
        <w:t>A limitation of the present study is that reintroduction to “healthy” exercise was uncontrolled. In an RCT [23], a group ‘Healthy Exercise Behaviour’ intervention which combined CBT and psycho-education elements with built-in exercise sessions showed greater reductions of compulsive exercise than TAU. During the present RCT, some participants were participating in 1-3 hours per week of activities (yoga, tai-chi, team sports) aimed to promote exercising for enjoyment, while others could not participate due to low weight or physical health risks. We cannot be sure whether NEAT with adjunctive exercise sessions could replicate the findings of Bulik’s study [23].</w:t>
      </w:r>
    </w:p>
    <w:p w14:paraId="2C1F9F4B" w14:textId="77777777" w:rsidR="00122EB2" w:rsidRDefault="00122EB2">
      <w:pPr>
        <w:rPr>
          <w:rFonts w:ascii="Arial" w:eastAsia="Arial" w:hAnsi="Arial" w:cs="Arial"/>
          <w:color w:val="6AA84F"/>
          <w:sz w:val="24"/>
          <w:szCs w:val="24"/>
        </w:rPr>
      </w:pPr>
    </w:p>
    <w:p w14:paraId="542ED7B0" w14:textId="77777777" w:rsidR="00122EB2" w:rsidRDefault="00000000">
      <w:pPr>
        <w:rPr>
          <w:rFonts w:ascii="Arial" w:eastAsia="Arial" w:hAnsi="Arial" w:cs="Arial"/>
          <w:b/>
          <w:bCs/>
          <w:sz w:val="24"/>
          <w:szCs w:val="24"/>
        </w:rPr>
      </w:pPr>
      <w:r>
        <w:rPr>
          <w:rFonts w:ascii="Arial" w:eastAsia="Arial" w:hAnsi="Arial" w:cs="Arial"/>
          <w:b/>
          <w:bCs/>
          <w:sz w:val="24"/>
          <w:szCs w:val="24"/>
        </w:rPr>
        <w:t>What is already known on this subject?</w:t>
      </w:r>
    </w:p>
    <w:p w14:paraId="241553CE" w14:textId="77777777" w:rsidR="00122EB2" w:rsidRDefault="00000000">
      <w:pPr>
        <w:rPr>
          <w:rFonts w:ascii="Arial" w:eastAsia="Arial" w:hAnsi="Arial" w:cs="Arial"/>
          <w:sz w:val="24"/>
          <w:szCs w:val="24"/>
        </w:rPr>
      </w:pPr>
      <w:r>
        <w:rPr>
          <w:rFonts w:ascii="Arial" w:eastAsia="Arial" w:hAnsi="Arial" w:cs="Arial"/>
          <w:sz w:val="24"/>
          <w:szCs w:val="24"/>
        </w:rPr>
        <w:t xml:space="preserve">Compulsive exercise is a weight control behaviour that is linked to a more severe and longer course of illness in eating disorders. There is agreement as to the factors that would make up effective treatment (psychoeducation, cognitive behavioural framework), however the NICE recommendation for treatment of compulsive exercise is limited and there is no widely endorsed group intervention. LEAP has shown promise as a group intervention for compulsive exercise in adults, while NEAT (previously </w:t>
      </w:r>
      <w:proofErr w:type="spellStart"/>
      <w:r>
        <w:rPr>
          <w:rFonts w:ascii="Arial" w:eastAsia="Arial" w:hAnsi="Arial" w:cs="Arial"/>
          <w:sz w:val="24"/>
          <w:szCs w:val="24"/>
        </w:rPr>
        <w:t>JuniorLEAP</w:t>
      </w:r>
      <w:proofErr w:type="spellEnd"/>
      <w:r>
        <w:rPr>
          <w:rFonts w:ascii="Arial" w:eastAsia="Arial" w:hAnsi="Arial" w:cs="Arial"/>
          <w:sz w:val="24"/>
          <w:szCs w:val="24"/>
        </w:rPr>
        <w:t xml:space="preserve">) has shown promise in addressing compulsive exercise in children and adolescents with eating disorders. </w:t>
      </w:r>
    </w:p>
    <w:p w14:paraId="613CC9A5" w14:textId="77777777" w:rsidR="00122EB2" w:rsidRDefault="00122EB2">
      <w:pPr>
        <w:rPr>
          <w:rFonts w:ascii="Arial" w:eastAsia="Arial" w:hAnsi="Arial" w:cs="Arial"/>
          <w:b/>
          <w:bCs/>
          <w:sz w:val="24"/>
          <w:szCs w:val="24"/>
        </w:rPr>
      </w:pPr>
    </w:p>
    <w:p w14:paraId="7410A78A" w14:textId="77777777" w:rsidR="00122EB2" w:rsidRDefault="00000000">
      <w:pPr>
        <w:rPr>
          <w:rFonts w:ascii="Arial" w:eastAsia="Arial" w:hAnsi="Arial" w:cs="Arial"/>
          <w:b/>
          <w:bCs/>
          <w:sz w:val="24"/>
          <w:szCs w:val="24"/>
        </w:rPr>
      </w:pPr>
      <w:r>
        <w:rPr>
          <w:rFonts w:ascii="Arial" w:eastAsia="Arial" w:hAnsi="Arial" w:cs="Arial"/>
          <w:b/>
          <w:bCs/>
          <w:sz w:val="24"/>
          <w:szCs w:val="24"/>
        </w:rPr>
        <w:t>What does this study add?</w:t>
      </w:r>
    </w:p>
    <w:p w14:paraId="3DF848DA" w14:textId="77777777" w:rsidR="00122EB2" w:rsidRDefault="00000000">
      <w:pPr>
        <w:rPr>
          <w:rFonts w:ascii="Arial" w:eastAsia="Arial" w:hAnsi="Arial" w:cs="Arial"/>
          <w:sz w:val="24"/>
          <w:szCs w:val="24"/>
        </w:rPr>
      </w:pPr>
      <w:r>
        <w:rPr>
          <w:rFonts w:ascii="Arial" w:eastAsia="Arial" w:hAnsi="Arial" w:cs="Arial"/>
          <w:sz w:val="24"/>
          <w:szCs w:val="24"/>
        </w:rPr>
        <w:t xml:space="preserve">Engagement with a group intervention adapted from LEAP to suit an inpatient child and adolescent population was related to reduced compulsive exercise and eating </w:t>
      </w:r>
      <w:r>
        <w:rPr>
          <w:rFonts w:ascii="Arial" w:eastAsia="Arial" w:hAnsi="Arial" w:cs="Arial"/>
          <w:sz w:val="24"/>
          <w:szCs w:val="24"/>
        </w:rPr>
        <w:lastRenderedPageBreak/>
        <w:t xml:space="preserve">disorder symptoms, but to no greater effect than a specialised inpatient treatment for eating disorders delivered by a full MDT. </w:t>
      </w:r>
    </w:p>
    <w:p w14:paraId="5465A790" w14:textId="77777777" w:rsidR="00122EB2" w:rsidRDefault="00122EB2">
      <w:pPr>
        <w:rPr>
          <w:rFonts w:ascii="Arial" w:eastAsia="Arial" w:hAnsi="Arial" w:cs="Arial"/>
          <w:b/>
          <w:bCs/>
          <w:sz w:val="24"/>
          <w:szCs w:val="24"/>
        </w:rPr>
      </w:pPr>
    </w:p>
    <w:p w14:paraId="5ADA12EE" w14:textId="77777777" w:rsidR="00122EB2" w:rsidRDefault="00000000">
      <w:pPr>
        <w:rPr>
          <w:rFonts w:ascii="Arial" w:eastAsia="Arial" w:hAnsi="Arial" w:cs="Arial"/>
          <w:b/>
          <w:bCs/>
          <w:sz w:val="24"/>
          <w:szCs w:val="24"/>
        </w:rPr>
      </w:pPr>
      <w:r>
        <w:rPr>
          <w:rFonts w:ascii="Arial" w:eastAsia="Arial" w:hAnsi="Arial" w:cs="Arial"/>
          <w:b/>
          <w:bCs/>
          <w:sz w:val="24"/>
          <w:szCs w:val="24"/>
        </w:rPr>
        <w:t>Conclusion</w:t>
      </w:r>
    </w:p>
    <w:p w14:paraId="7B152992" w14:textId="1A21A1E9" w:rsidR="00122EB2" w:rsidRDefault="00000000">
      <w:pPr>
        <w:rPr>
          <w:rFonts w:ascii="Arial" w:eastAsia="Arial" w:hAnsi="Arial" w:cs="Arial"/>
          <w:sz w:val="24"/>
          <w:szCs w:val="24"/>
        </w:rPr>
      </w:pPr>
      <w:r>
        <w:rPr>
          <w:rFonts w:ascii="Arial" w:eastAsia="Arial" w:hAnsi="Arial" w:cs="Arial"/>
          <w:sz w:val="24"/>
          <w:szCs w:val="24"/>
        </w:rPr>
        <w:t xml:space="preserve">Our findings show that while the NEAT group does not add value to TAU in a specialised inpatient setting, clinical researchers must always be mindful of the core Hippocratic principle of ‘do no harm’. No patient reported distress and no member of a large multi-disciplinary staff reported concerns with the therapy. It is the authors’ clinical belief that it may be an advantageous intervention for adolescents for whom compulsive exercise is a primary difficulty and therefore may be at greater risk of a severe course of illness. As such, further testing is required in larger populations, high compulsive exercise populations, and in outpatient </w:t>
      </w:r>
      <w:r w:rsidR="00977839">
        <w:rPr>
          <w:rFonts w:ascii="Arial" w:eastAsia="Arial" w:hAnsi="Arial" w:cs="Arial"/>
          <w:sz w:val="24"/>
          <w:szCs w:val="24"/>
        </w:rPr>
        <w:t>settings. To</w:t>
      </w:r>
      <w:r>
        <w:rPr>
          <w:rFonts w:ascii="Arial" w:eastAsia="Arial" w:hAnsi="Arial" w:cs="Arial"/>
          <w:sz w:val="24"/>
          <w:szCs w:val="24"/>
        </w:rPr>
        <w:t xml:space="preserve"> facilitate this, the NEAT manual is available</w:t>
      </w:r>
      <w:r w:rsidR="00977839">
        <w:rPr>
          <w:rFonts w:ascii="Arial" w:eastAsia="Arial" w:hAnsi="Arial" w:cs="Arial"/>
          <w:sz w:val="24"/>
          <w:szCs w:val="24"/>
        </w:rPr>
        <w:t>,</w:t>
      </w:r>
      <w:r>
        <w:rPr>
          <w:rFonts w:ascii="Arial" w:eastAsia="Arial" w:hAnsi="Arial" w:cs="Arial"/>
          <w:sz w:val="24"/>
          <w:szCs w:val="24"/>
        </w:rPr>
        <w:t xml:space="preserve"> here. </w:t>
      </w:r>
    </w:p>
    <w:p w14:paraId="75E8C291" w14:textId="77777777" w:rsidR="00122EB2" w:rsidRDefault="00122EB2">
      <w:pPr>
        <w:rPr>
          <w:rFonts w:ascii="Arial" w:eastAsia="Arial" w:hAnsi="Arial" w:cs="Arial"/>
          <w:sz w:val="24"/>
          <w:szCs w:val="24"/>
        </w:rPr>
      </w:pPr>
    </w:p>
    <w:p w14:paraId="7D7D3087" w14:textId="77777777" w:rsidR="00122EB2" w:rsidRDefault="00000000">
      <w:pPr>
        <w:rPr>
          <w:rFonts w:ascii="Arial" w:eastAsia="Arial" w:hAnsi="Arial" w:cs="Arial"/>
          <w:b/>
          <w:bCs/>
          <w:sz w:val="20"/>
          <w:szCs w:val="20"/>
        </w:rPr>
      </w:pPr>
      <w:r>
        <w:rPr>
          <w:rFonts w:ascii="Arial" w:eastAsia="Arial" w:hAnsi="Arial" w:cs="Arial"/>
          <w:b/>
          <w:bCs/>
          <w:sz w:val="20"/>
          <w:szCs w:val="20"/>
        </w:rPr>
        <w:t xml:space="preserve">Funding: Funding was provided by Schoen-UK in the form of time by the authors. </w:t>
      </w:r>
    </w:p>
    <w:p w14:paraId="46BBB4FC" w14:textId="77777777" w:rsidR="00122EB2" w:rsidRDefault="00000000">
      <w:pPr>
        <w:spacing w:line="303" w:lineRule="auto"/>
        <w:rPr>
          <w:rFonts w:ascii="Arial" w:eastAsia="Arial" w:hAnsi="Arial" w:cs="Arial"/>
          <w:b/>
          <w:bCs/>
          <w:sz w:val="20"/>
          <w:szCs w:val="20"/>
        </w:rPr>
      </w:pPr>
      <w:r>
        <w:rPr>
          <w:rFonts w:ascii="Arial" w:eastAsia="Arial" w:hAnsi="Arial" w:cs="Arial"/>
          <w:b/>
          <w:bCs/>
          <w:sz w:val="28"/>
          <w:szCs w:val="28"/>
        </w:rPr>
        <w:t>Compliance with Ethical Standards</w:t>
      </w:r>
    </w:p>
    <w:p w14:paraId="2A1B10D3" w14:textId="77777777" w:rsidR="00122EB2" w:rsidRDefault="00000000">
      <w:pPr>
        <w:rPr>
          <w:rFonts w:ascii="Arial" w:eastAsia="Arial" w:hAnsi="Arial" w:cs="Arial"/>
          <w:b/>
          <w:bCs/>
          <w:sz w:val="20"/>
          <w:szCs w:val="20"/>
        </w:rPr>
      </w:pPr>
      <w:r>
        <w:rPr>
          <w:rFonts w:ascii="Arial" w:eastAsia="Arial" w:hAnsi="Arial" w:cs="Arial"/>
          <w:b/>
          <w:bCs/>
          <w:sz w:val="20"/>
          <w:szCs w:val="20"/>
        </w:rPr>
        <w:t xml:space="preserve">Competing Interest: </w:t>
      </w:r>
      <w:r>
        <w:rPr>
          <w:rFonts w:ascii="Arial" w:eastAsia="Arial" w:hAnsi="Arial" w:cs="Arial"/>
          <w:b/>
          <w:bCs/>
          <w:sz w:val="24"/>
          <w:szCs w:val="24"/>
        </w:rPr>
        <w:t>The authors declare there are no conflicts of interest</w:t>
      </w:r>
      <w:r>
        <w:rPr>
          <w:rFonts w:ascii="Arial" w:eastAsia="Arial" w:hAnsi="Arial" w:cs="Arial"/>
          <w:b/>
          <w:bCs/>
          <w:sz w:val="20"/>
          <w:szCs w:val="20"/>
        </w:rPr>
        <w:t>s</w:t>
      </w:r>
    </w:p>
    <w:p w14:paraId="6B6129FE" w14:textId="77777777" w:rsidR="00122EB2" w:rsidRDefault="00122EB2">
      <w:pPr>
        <w:rPr>
          <w:rFonts w:ascii="Arial" w:eastAsia="Arial" w:hAnsi="Arial" w:cs="Arial"/>
          <w:b/>
          <w:bCs/>
          <w:sz w:val="20"/>
          <w:szCs w:val="20"/>
        </w:rPr>
      </w:pPr>
    </w:p>
    <w:p w14:paraId="0994F016" w14:textId="0E8773C4" w:rsidR="00122EB2" w:rsidRDefault="00000000">
      <w:pPr>
        <w:spacing w:line="256" w:lineRule="auto"/>
        <w:rPr>
          <w:rFonts w:ascii="Arial" w:eastAsia="Arial" w:hAnsi="Arial" w:cs="Arial"/>
          <w:b/>
          <w:bCs/>
          <w:sz w:val="20"/>
          <w:szCs w:val="20"/>
          <w:highlight w:val="white"/>
        </w:rPr>
      </w:pPr>
      <w:r>
        <w:rPr>
          <w:rFonts w:ascii="Arial" w:eastAsia="Arial" w:hAnsi="Arial" w:cs="Arial"/>
          <w:b/>
          <w:bCs/>
          <w:sz w:val="20"/>
          <w:szCs w:val="20"/>
          <w:highlight w:val="white"/>
        </w:rPr>
        <w:t xml:space="preserve">Author </w:t>
      </w:r>
      <w:r w:rsidR="00D65223">
        <w:rPr>
          <w:rFonts w:ascii="Arial" w:eastAsia="Arial" w:hAnsi="Arial" w:cs="Arial"/>
          <w:b/>
          <w:bCs/>
          <w:sz w:val="20"/>
          <w:szCs w:val="20"/>
          <w:highlight w:val="white"/>
        </w:rPr>
        <w:t>Contributions:</w:t>
      </w:r>
      <w:r>
        <w:rPr>
          <w:rFonts w:ascii="Arial" w:eastAsia="Arial" w:hAnsi="Arial" w:cs="Arial"/>
          <w:b/>
          <w:bCs/>
          <w:sz w:val="20"/>
          <w:szCs w:val="20"/>
          <w:highlight w:val="white"/>
        </w:rPr>
        <w:t xml:space="preserve"> GA, AG, PS and JHL contributed to the study design and conception.  The material preparation was done by EH, </w:t>
      </w:r>
      <w:proofErr w:type="spellStart"/>
      <w:r>
        <w:rPr>
          <w:rFonts w:ascii="Arial" w:eastAsia="Arial" w:hAnsi="Arial" w:cs="Arial"/>
          <w:b/>
          <w:bCs/>
          <w:sz w:val="20"/>
          <w:szCs w:val="20"/>
          <w:highlight w:val="white"/>
        </w:rPr>
        <w:t>JeG</w:t>
      </w:r>
      <w:proofErr w:type="spellEnd"/>
      <w:r>
        <w:rPr>
          <w:rFonts w:ascii="Arial" w:eastAsia="Arial" w:hAnsi="Arial" w:cs="Arial"/>
          <w:b/>
          <w:bCs/>
          <w:sz w:val="20"/>
          <w:szCs w:val="20"/>
          <w:highlight w:val="white"/>
        </w:rPr>
        <w:t xml:space="preserve">, GA and JHL. Data collection was done by EH, </w:t>
      </w:r>
      <w:proofErr w:type="spellStart"/>
      <w:r>
        <w:rPr>
          <w:rFonts w:ascii="Arial" w:eastAsia="Arial" w:hAnsi="Arial" w:cs="Arial"/>
          <w:b/>
          <w:bCs/>
          <w:sz w:val="20"/>
          <w:szCs w:val="20"/>
          <w:highlight w:val="white"/>
        </w:rPr>
        <w:t>JeG</w:t>
      </w:r>
      <w:proofErr w:type="spellEnd"/>
      <w:r>
        <w:rPr>
          <w:rFonts w:ascii="Arial" w:eastAsia="Arial" w:hAnsi="Arial" w:cs="Arial"/>
          <w:b/>
          <w:bCs/>
          <w:sz w:val="20"/>
          <w:szCs w:val="20"/>
          <w:highlight w:val="white"/>
        </w:rPr>
        <w:t xml:space="preserve">, AG, PS, GA, NC and </w:t>
      </w:r>
      <w:proofErr w:type="spellStart"/>
      <w:r>
        <w:rPr>
          <w:rFonts w:ascii="Arial" w:eastAsia="Arial" w:hAnsi="Arial" w:cs="Arial"/>
          <w:b/>
          <w:bCs/>
          <w:sz w:val="20"/>
          <w:szCs w:val="20"/>
          <w:highlight w:val="white"/>
        </w:rPr>
        <w:t>JoG</w:t>
      </w:r>
      <w:proofErr w:type="spellEnd"/>
      <w:r>
        <w:rPr>
          <w:rFonts w:ascii="Arial" w:eastAsia="Arial" w:hAnsi="Arial" w:cs="Arial"/>
          <w:b/>
          <w:bCs/>
          <w:sz w:val="20"/>
          <w:szCs w:val="20"/>
          <w:highlight w:val="white"/>
        </w:rPr>
        <w:t xml:space="preserve">. Data analysis by NC. The first draft was written by EH with contributions from JHL. All authors commented on previous versions of the manuscript. All authors read and approved the final manuscript. The manual was developed by GA, AG, PS and JHL. </w:t>
      </w:r>
    </w:p>
    <w:p w14:paraId="31CB2461" w14:textId="6E41AF89" w:rsidR="00122EB2" w:rsidRDefault="00000000">
      <w:pPr>
        <w:rPr>
          <w:rFonts w:ascii="Arial" w:eastAsia="Arial" w:hAnsi="Arial" w:cs="Arial"/>
          <w:b/>
          <w:bCs/>
          <w:sz w:val="20"/>
          <w:szCs w:val="20"/>
        </w:rPr>
      </w:pPr>
      <w:r>
        <w:rPr>
          <w:rFonts w:ascii="Arial" w:eastAsia="Arial" w:hAnsi="Arial" w:cs="Arial"/>
          <w:b/>
          <w:bCs/>
          <w:sz w:val="20"/>
          <w:szCs w:val="20"/>
        </w:rPr>
        <w:t xml:space="preserve">Data Availability: The Therapist Manual is attached to the electronic version of this paper. Reasonable access to raw data is </w:t>
      </w:r>
      <w:r w:rsidR="00D65223">
        <w:rPr>
          <w:rFonts w:ascii="Arial" w:eastAsia="Arial" w:hAnsi="Arial" w:cs="Arial"/>
          <w:b/>
          <w:bCs/>
          <w:sz w:val="20"/>
          <w:szCs w:val="20"/>
        </w:rPr>
        <w:t>available.</w:t>
      </w:r>
    </w:p>
    <w:p w14:paraId="593F7368" w14:textId="77777777" w:rsidR="00122EB2" w:rsidRDefault="00000000">
      <w:pPr>
        <w:rPr>
          <w:rFonts w:ascii="Arial" w:eastAsia="Arial" w:hAnsi="Arial" w:cs="Arial"/>
          <w:b/>
          <w:bCs/>
          <w:sz w:val="20"/>
          <w:szCs w:val="20"/>
        </w:rPr>
      </w:pPr>
      <w:r>
        <w:rPr>
          <w:rFonts w:ascii="Arial" w:eastAsia="Arial" w:hAnsi="Arial" w:cs="Arial"/>
          <w:b/>
          <w:bCs/>
          <w:sz w:val="20"/>
          <w:szCs w:val="20"/>
        </w:rPr>
        <w:t>Ethics Approval:  The West Midlands-Black Country NHS Ethics Committee granted ethical approval. All procedures in this study were in accordance with the ethical standards of Schoen Newbridge House Research &amp; Ethics Committee which monitored the project. and have been performed with the ethical standards as laid down by the 1964 Declaration of Helsinki.</w:t>
      </w:r>
    </w:p>
    <w:p w14:paraId="60113524" w14:textId="77777777" w:rsidR="00D65223" w:rsidRDefault="00000000" w:rsidP="00D65223">
      <w:pPr>
        <w:rPr>
          <w:rFonts w:ascii="Arial" w:eastAsia="Arial" w:hAnsi="Arial" w:cs="Arial"/>
          <w:b/>
          <w:bCs/>
          <w:sz w:val="20"/>
          <w:szCs w:val="20"/>
        </w:rPr>
      </w:pPr>
      <w:r>
        <w:rPr>
          <w:rFonts w:ascii="Arial" w:eastAsia="Arial" w:hAnsi="Arial" w:cs="Arial"/>
          <w:b/>
          <w:bCs/>
          <w:sz w:val="20"/>
          <w:szCs w:val="20"/>
        </w:rPr>
        <w:t>Consent to participate: Informed written consent was gained from all patients and their parents.</w:t>
      </w:r>
    </w:p>
    <w:p w14:paraId="3FEDA2AE" w14:textId="77777777" w:rsidR="00D65223" w:rsidRDefault="00D65223" w:rsidP="00D65223">
      <w:pPr>
        <w:rPr>
          <w:rFonts w:ascii="Arial" w:eastAsia="Arial" w:hAnsi="Arial" w:cs="Arial"/>
          <w:b/>
          <w:bCs/>
          <w:sz w:val="24"/>
          <w:szCs w:val="24"/>
          <w:u w:val="single"/>
        </w:rPr>
      </w:pPr>
    </w:p>
    <w:p w14:paraId="3DAF04FE" w14:textId="77777777" w:rsidR="00D65223" w:rsidRDefault="00D65223" w:rsidP="00D65223">
      <w:pPr>
        <w:rPr>
          <w:rFonts w:ascii="Arial" w:eastAsia="Arial" w:hAnsi="Arial" w:cs="Arial"/>
          <w:b/>
          <w:bCs/>
          <w:sz w:val="24"/>
          <w:szCs w:val="24"/>
          <w:u w:val="single"/>
        </w:rPr>
      </w:pPr>
    </w:p>
    <w:p w14:paraId="2B3FF4FE" w14:textId="77777777" w:rsidR="00D65223" w:rsidRDefault="00D65223" w:rsidP="00D65223">
      <w:pPr>
        <w:rPr>
          <w:rFonts w:ascii="Arial" w:eastAsia="Arial" w:hAnsi="Arial" w:cs="Arial"/>
          <w:b/>
          <w:bCs/>
          <w:sz w:val="24"/>
          <w:szCs w:val="24"/>
          <w:u w:val="single"/>
        </w:rPr>
      </w:pPr>
    </w:p>
    <w:p w14:paraId="43730289" w14:textId="77777777" w:rsidR="00D65223" w:rsidRDefault="00D65223" w:rsidP="00D65223">
      <w:pPr>
        <w:rPr>
          <w:rFonts w:ascii="Arial" w:eastAsia="Arial" w:hAnsi="Arial" w:cs="Arial"/>
          <w:b/>
          <w:bCs/>
          <w:sz w:val="24"/>
          <w:szCs w:val="24"/>
          <w:u w:val="single"/>
        </w:rPr>
      </w:pPr>
    </w:p>
    <w:p w14:paraId="45FE0684" w14:textId="77777777" w:rsidR="00D65223" w:rsidRDefault="00D65223" w:rsidP="00D65223">
      <w:pPr>
        <w:rPr>
          <w:rFonts w:ascii="Arial" w:eastAsia="Arial" w:hAnsi="Arial" w:cs="Arial"/>
          <w:b/>
          <w:bCs/>
          <w:sz w:val="24"/>
          <w:szCs w:val="24"/>
          <w:u w:val="single"/>
        </w:rPr>
      </w:pPr>
    </w:p>
    <w:p w14:paraId="48701D89" w14:textId="77777777" w:rsidR="00D65223" w:rsidRDefault="00D65223" w:rsidP="00D65223">
      <w:pPr>
        <w:rPr>
          <w:rFonts w:ascii="Arial" w:eastAsia="Arial" w:hAnsi="Arial" w:cs="Arial"/>
          <w:b/>
          <w:bCs/>
          <w:sz w:val="24"/>
          <w:szCs w:val="24"/>
          <w:u w:val="single"/>
        </w:rPr>
      </w:pPr>
    </w:p>
    <w:p w14:paraId="34DAA02B" w14:textId="77777777" w:rsidR="00D65223" w:rsidRDefault="00D65223" w:rsidP="00D65223">
      <w:pPr>
        <w:rPr>
          <w:rFonts w:ascii="Arial" w:eastAsia="Arial" w:hAnsi="Arial" w:cs="Arial"/>
          <w:b/>
          <w:bCs/>
          <w:sz w:val="24"/>
          <w:szCs w:val="24"/>
          <w:u w:val="single"/>
        </w:rPr>
      </w:pPr>
    </w:p>
    <w:p w14:paraId="175D9048" w14:textId="77777777" w:rsidR="00D65223" w:rsidRDefault="00D65223" w:rsidP="00D65223">
      <w:pPr>
        <w:rPr>
          <w:rFonts w:ascii="Arial" w:eastAsia="Arial" w:hAnsi="Arial" w:cs="Arial"/>
          <w:b/>
          <w:bCs/>
          <w:sz w:val="24"/>
          <w:szCs w:val="24"/>
          <w:u w:val="single"/>
        </w:rPr>
      </w:pPr>
    </w:p>
    <w:p w14:paraId="4CCD7CD5" w14:textId="77777777" w:rsidR="00D65223" w:rsidRDefault="00D65223" w:rsidP="00D65223">
      <w:pPr>
        <w:rPr>
          <w:rFonts w:ascii="Arial" w:eastAsia="Arial" w:hAnsi="Arial" w:cs="Arial"/>
          <w:b/>
          <w:bCs/>
          <w:sz w:val="24"/>
          <w:szCs w:val="24"/>
          <w:u w:val="single"/>
        </w:rPr>
      </w:pPr>
    </w:p>
    <w:p w14:paraId="218B74B3" w14:textId="7B74D99E" w:rsidR="00122EB2" w:rsidRPr="00D65223" w:rsidRDefault="00000000" w:rsidP="00D65223">
      <w:pPr>
        <w:rPr>
          <w:rFonts w:ascii="Arial" w:eastAsia="Arial" w:hAnsi="Arial" w:cs="Arial"/>
          <w:b/>
          <w:bCs/>
          <w:sz w:val="20"/>
          <w:szCs w:val="20"/>
        </w:rPr>
      </w:pPr>
      <w:r>
        <w:rPr>
          <w:rFonts w:ascii="Arial" w:eastAsia="Arial" w:hAnsi="Arial" w:cs="Arial"/>
          <w:b/>
          <w:bCs/>
          <w:sz w:val="24"/>
          <w:szCs w:val="24"/>
          <w:u w:val="single"/>
        </w:rPr>
        <w:t>References</w:t>
      </w:r>
    </w:p>
    <w:p w14:paraId="7E08A8ED"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 Dittmer, N., Jacobi, C., &amp; </w:t>
      </w:r>
      <w:proofErr w:type="spellStart"/>
      <w:r>
        <w:rPr>
          <w:rFonts w:ascii="Arial" w:eastAsia="Arial" w:hAnsi="Arial" w:cs="Arial"/>
          <w:sz w:val="20"/>
          <w:szCs w:val="20"/>
          <w:highlight w:val="white"/>
        </w:rPr>
        <w:t>Voderholzer</w:t>
      </w:r>
      <w:proofErr w:type="spellEnd"/>
      <w:r>
        <w:rPr>
          <w:rFonts w:ascii="Arial" w:eastAsia="Arial" w:hAnsi="Arial" w:cs="Arial"/>
          <w:sz w:val="20"/>
          <w:szCs w:val="20"/>
          <w:highlight w:val="white"/>
        </w:rPr>
        <w:t xml:space="preserve">, U. (2018). Compulsive exercise in eating disorders: proposal for a definition and a clinical assessment. </w:t>
      </w:r>
      <w:r>
        <w:rPr>
          <w:rFonts w:ascii="Arial" w:eastAsia="Arial" w:hAnsi="Arial" w:cs="Arial"/>
          <w:i/>
          <w:iCs/>
          <w:sz w:val="20"/>
          <w:szCs w:val="20"/>
          <w:highlight w:val="white"/>
        </w:rPr>
        <w:t>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6</w:t>
      </w:r>
      <w:r>
        <w:rPr>
          <w:rFonts w:ascii="Arial" w:eastAsia="Arial" w:hAnsi="Arial" w:cs="Arial"/>
          <w:sz w:val="20"/>
          <w:szCs w:val="20"/>
          <w:highlight w:val="white"/>
        </w:rPr>
        <w:t xml:space="preserve">(1), </w:t>
      </w:r>
      <w:proofErr w:type="gramStart"/>
      <w:r>
        <w:rPr>
          <w:rFonts w:ascii="Arial" w:eastAsia="Arial" w:hAnsi="Arial" w:cs="Arial"/>
          <w:sz w:val="20"/>
          <w:szCs w:val="20"/>
          <w:highlight w:val="white"/>
        </w:rPr>
        <w:t>42..</w:t>
      </w:r>
      <w:proofErr w:type="gramEnd"/>
      <w:r>
        <w:fldChar w:fldCharType="begin"/>
      </w:r>
      <w:r>
        <w:instrText>HYPERLINK "https://doi.org/10.1186/s40337-018-0219-x" \h</w:instrText>
      </w:r>
      <w:r>
        <w:fldChar w:fldCharType="separate"/>
      </w:r>
      <w:r>
        <w:rPr>
          <w:rFonts w:ascii="Arial" w:eastAsia="Arial" w:hAnsi="Arial" w:cs="Arial"/>
          <w:sz w:val="20"/>
          <w:szCs w:val="20"/>
          <w:highlight w:val="white"/>
          <w:u w:val="single"/>
        </w:rPr>
        <w:t xml:space="preserve">https://doi.org/10.1186/s40337-018-0219-x </w:t>
      </w:r>
      <w:r>
        <w:fldChar w:fldCharType="end"/>
      </w:r>
    </w:p>
    <w:p w14:paraId="2D458B41"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w:t>
      </w:r>
      <w:proofErr w:type="gramStart"/>
      <w:r>
        <w:rPr>
          <w:rFonts w:ascii="Arial" w:eastAsia="Arial" w:hAnsi="Arial" w:cs="Arial"/>
          <w:sz w:val="20"/>
          <w:szCs w:val="20"/>
          <w:highlight w:val="white"/>
        </w:rPr>
        <w:t>2]Mond</w:t>
      </w:r>
      <w:proofErr w:type="gramEnd"/>
      <w:r>
        <w:rPr>
          <w:rFonts w:ascii="Arial" w:eastAsia="Arial" w:hAnsi="Arial" w:cs="Arial"/>
          <w:sz w:val="20"/>
          <w:szCs w:val="20"/>
          <w:highlight w:val="white"/>
        </w:rPr>
        <w:t xml:space="preserve">, J. M., Hay, P. J., Rodgers, B., &amp; Owen, C. (2006). An update on the definition of “excessive exercise” in eating disorders research.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39</w:t>
      </w:r>
      <w:r>
        <w:rPr>
          <w:rFonts w:ascii="Arial" w:eastAsia="Arial" w:hAnsi="Arial" w:cs="Arial"/>
          <w:sz w:val="20"/>
          <w:szCs w:val="20"/>
          <w:highlight w:val="white"/>
        </w:rPr>
        <w:t>(2), 147-153.</w:t>
      </w:r>
      <w:r>
        <w:rPr>
          <w:rFonts w:ascii="Arial" w:eastAsia="Arial" w:hAnsi="Arial" w:cs="Arial"/>
          <w:sz w:val="20"/>
          <w:szCs w:val="20"/>
        </w:rPr>
        <w:t xml:space="preserve"> </w:t>
      </w:r>
      <w:hyperlink r:id="rId7">
        <w:r w:rsidR="00122EB2">
          <w:rPr>
            <w:rFonts w:ascii="Arial" w:eastAsia="Arial" w:hAnsi="Arial" w:cs="Arial"/>
            <w:sz w:val="20"/>
            <w:szCs w:val="20"/>
            <w:highlight w:val="white"/>
            <w:u w:val="single"/>
          </w:rPr>
          <w:t xml:space="preserve">https://doi.org/10.1002/eat.20214 </w:t>
        </w:r>
      </w:hyperlink>
    </w:p>
    <w:p w14:paraId="5FFBF987"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[3] Dalle Grave, R., </w:t>
      </w:r>
      <w:proofErr w:type="spellStart"/>
      <w:r>
        <w:rPr>
          <w:rFonts w:ascii="Arial" w:eastAsia="Arial" w:hAnsi="Arial" w:cs="Arial"/>
          <w:sz w:val="20"/>
          <w:szCs w:val="20"/>
          <w:highlight w:val="white"/>
        </w:rPr>
        <w:t>Calugi</w:t>
      </w:r>
      <w:proofErr w:type="spellEnd"/>
      <w:r>
        <w:rPr>
          <w:rFonts w:ascii="Arial" w:eastAsia="Arial" w:hAnsi="Arial" w:cs="Arial"/>
          <w:sz w:val="20"/>
          <w:szCs w:val="20"/>
          <w:highlight w:val="white"/>
        </w:rPr>
        <w:t xml:space="preserve">, S., &amp; Marchesini, G. (2008). Compulsive exercise to control shape or weight in eating disorders: prevalence, associated features, and treatment outcome. </w:t>
      </w:r>
      <w:r>
        <w:rPr>
          <w:rFonts w:ascii="Arial" w:eastAsia="Arial" w:hAnsi="Arial" w:cs="Arial"/>
          <w:i/>
          <w:iCs/>
          <w:sz w:val="20"/>
          <w:szCs w:val="20"/>
          <w:highlight w:val="white"/>
        </w:rPr>
        <w:t>Comprehensive psychiatry</w:t>
      </w:r>
      <w:r>
        <w:rPr>
          <w:rFonts w:ascii="Arial" w:eastAsia="Arial" w:hAnsi="Arial" w:cs="Arial"/>
          <w:sz w:val="20"/>
          <w:szCs w:val="20"/>
          <w:highlight w:val="white"/>
        </w:rPr>
        <w:t xml:space="preserve">, </w:t>
      </w:r>
      <w:r>
        <w:rPr>
          <w:rFonts w:ascii="Arial" w:eastAsia="Arial" w:hAnsi="Arial" w:cs="Arial"/>
          <w:i/>
          <w:iCs/>
          <w:sz w:val="20"/>
          <w:szCs w:val="20"/>
          <w:highlight w:val="white"/>
        </w:rPr>
        <w:t>49</w:t>
      </w:r>
      <w:r>
        <w:rPr>
          <w:rFonts w:ascii="Arial" w:eastAsia="Arial" w:hAnsi="Arial" w:cs="Arial"/>
          <w:sz w:val="20"/>
          <w:szCs w:val="20"/>
          <w:highlight w:val="white"/>
        </w:rPr>
        <w:t xml:space="preserve">(4), 346-352. </w:t>
      </w:r>
      <w:hyperlink r:id="rId8">
        <w:r w:rsidR="00122EB2">
          <w:rPr>
            <w:rFonts w:ascii="Arial" w:eastAsia="Arial" w:hAnsi="Arial" w:cs="Arial"/>
            <w:sz w:val="20"/>
            <w:szCs w:val="20"/>
            <w:highlight w:val="white"/>
            <w:u w:val="single"/>
          </w:rPr>
          <w:t xml:space="preserve">https://doi.org/10.1016/j.comppsych.2007.12.007 </w:t>
        </w:r>
      </w:hyperlink>
      <w:r>
        <w:rPr>
          <w:rFonts w:ascii="Arial" w:eastAsia="Arial" w:hAnsi="Arial" w:cs="Arial"/>
          <w:sz w:val="20"/>
          <w:szCs w:val="20"/>
          <w:highlight w:val="white"/>
        </w:rPr>
        <w:t xml:space="preserve"> </w:t>
      </w:r>
    </w:p>
    <w:p w14:paraId="60A0A3BB"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[4] Brewerton, T. D., </w:t>
      </w:r>
      <w:proofErr w:type="spellStart"/>
      <w:r>
        <w:rPr>
          <w:rFonts w:ascii="Arial" w:eastAsia="Arial" w:hAnsi="Arial" w:cs="Arial"/>
          <w:sz w:val="20"/>
          <w:szCs w:val="20"/>
          <w:highlight w:val="white"/>
        </w:rPr>
        <w:t>Stellefson</w:t>
      </w:r>
      <w:proofErr w:type="spellEnd"/>
      <w:r>
        <w:rPr>
          <w:rFonts w:ascii="Arial" w:eastAsia="Arial" w:hAnsi="Arial" w:cs="Arial"/>
          <w:sz w:val="20"/>
          <w:szCs w:val="20"/>
          <w:highlight w:val="white"/>
        </w:rPr>
        <w:t xml:space="preserve">, E. J., Hibbs, N., Hodges, E. L., &amp; Cochrane, C. E. (1995). Comparison of eating disorder patients with and without compulsive exercising.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17</w:t>
      </w:r>
      <w:r>
        <w:rPr>
          <w:rFonts w:ascii="Arial" w:eastAsia="Arial" w:hAnsi="Arial" w:cs="Arial"/>
          <w:sz w:val="20"/>
          <w:szCs w:val="20"/>
          <w:highlight w:val="white"/>
        </w:rPr>
        <w:t>(4), 413-416.</w:t>
      </w:r>
      <w:r>
        <w:rPr>
          <w:rFonts w:ascii="Arial" w:eastAsia="Arial" w:hAnsi="Arial" w:cs="Arial"/>
          <w:sz w:val="20"/>
          <w:szCs w:val="20"/>
        </w:rPr>
        <w:t xml:space="preserve"> </w:t>
      </w:r>
      <w:hyperlink r:id="rId9">
        <w:r w:rsidR="00122EB2">
          <w:rPr>
            <w:rFonts w:ascii="Arial" w:eastAsia="Arial" w:hAnsi="Arial" w:cs="Arial"/>
            <w:sz w:val="20"/>
            <w:szCs w:val="20"/>
            <w:highlight w:val="white"/>
            <w:u w:val="single"/>
          </w:rPr>
          <w:t xml:space="preserve">https://doi.org/10.1002/1098-108x(199505)17:4&lt;413::aid-eat2260170414&gt;3.0.co;2-0 </w:t>
        </w:r>
      </w:hyperlink>
    </w:p>
    <w:p w14:paraId="0DB62829"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[5] </w:t>
      </w:r>
      <w:r>
        <w:rPr>
          <w:rFonts w:ascii="Arial" w:eastAsia="Arial" w:hAnsi="Arial" w:cs="Arial"/>
          <w:sz w:val="20"/>
          <w:szCs w:val="20"/>
        </w:rPr>
        <w:t xml:space="preserve">Davis, C., Katzman, D.K., Kaptein, S., Kirsh, C., Brewer, H., &amp; Kalmbach, K., Olmstead, M.P., Woodside, D.B., &amp; Kaplan, A.S. (1997) The prevalence of high-level exercise in the eating disorders: Etiological implications. </w:t>
      </w:r>
      <w:r>
        <w:rPr>
          <w:rFonts w:ascii="Arial" w:eastAsia="Arial" w:hAnsi="Arial" w:cs="Arial"/>
          <w:i/>
          <w:iCs/>
          <w:sz w:val="20"/>
          <w:szCs w:val="20"/>
          <w:highlight w:val="white"/>
        </w:rPr>
        <w:t>Comprehensive psychiatry</w:t>
      </w:r>
      <w:r>
        <w:rPr>
          <w:rFonts w:ascii="Arial" w:eastAsia="Arial" w:hAnsi="Arial" w:cs="Arial"/>
          <w:sz w:val="20"/>
          <w:szCs w:val="20"/>
          <w:highlight w:val="white"/>
        </w:rPr>
        <w:t xml:space="preserve">, </w:t>
      </w:r>
      <w:r>
        <w:rPr>
          <w:rFonts w:ascii="Arial" w:eastAsia="Arial" w:hAnsi="Arial" w:cs="Arial"/>
          <w:i/>
          <w:iCs/>
          <w:sz w:val="20"/>
          <w:szCs w:val="20"/>
          <w:highlight w:val="white"/>
        </w:rPr>
        <w:t>38</w:t>
      </w:r>
      <w:r>
        <w:rPr>
          <w:rFonts w:ascii="Arial" w:eastAsia="Arial" w:hAnsi="Arial" w:cs="Arial"/>
          <w:sz w:val="20"/>
          <w:szCs w:val="20"/>
          <w:highlight w:val="white"/>
        </w:rPr>
        <w:t>(6), 321-326</w:t>
      </w:r>
      <w:r>
        <w:rPr>
          <w:rFonts w:ascii="Arial" w:eastAsia="Arial" w:hAnsi="Arial" w:cs="Arial"/>
          <w:sz w:val="20"/>
          <w:szCs w:val="20"/>
        </w:rPr>
        <w:t xml:space="preserve">. </w:t>
      </w:r>
      <w:hyperlink r:id="rId10">
        <w:r w:rsidR="00122EB2">
          <w:rPr>
            <w:rFonts w:ascii="Arial" w:eastAsia="Arial" w:hAnsi="Arial" w:cs="Arial"/>
            <w:sz w:val="20"/>
            <w:szCs w:val="20"/>
            <w:highlight w:val="white"/>
            <w:u w:val="single"/>
          </w:rPr>
          <w:t xml:space="preserve">https://doi.org/10.1016/s0010-440x(97)90927-5 </w:t>
        </w:r>
      </w:hyperlink>
      <w:r>
        <w:rPr>
          <w:rFonts w:ascii="Arial" w:eastAsia="Arial" w:hAnsi="Arial" w:cs="Arial"/>
          <w:sz w:val="20"/>
          <w:szCs w:val="20"/>
          <w:highlight w:val="white"/>
        </w:rPr>
        <w:t xml:space="preserve"> </w:t>
      </w:r>
    </w:p>
    <w:p w14:paraId="202F5D9A" w14:textId="77777777" w:rsidR="00122EB2" w:rsidRDefault="00000000">
      <w:pPr>
        <w:rPr>
          <w:rFonts w:ascii="Arial" w:eastAsia="Arial" w:hAnsi="Arial" w:cs="Arial"/>
          <w:sz w:val="20"/>
          <w:szCs w:val="20"/>
        </w:rPr>
      </w:pPr>
      <w:r>
        <w:rPr>
          <w:rFonts w:ascii="Arial" w:eastAsia="Arial" w:hAnsi="Arial" w:cs="Arial"/>
          <w:sz w:val="20"/>
          <w:szCs w:val="20"/>
          <w:highlight w:val="white"/>
        </w:rPr>
        <w:t xml:space="preserve">[6] Hechler, T., </w:t>
      </w:r>
      <w:proofErr w:type="spellStart"/>
      <w:r>
        <w:rPr>
          <w:rFonts w:ascii="Arial" w:eastAsia="Arial" w:hAnsi="Arial" w:cs="Arial"/>
          <w:sz w:val="20"/>
          <w:szCs w:val="20"/>
          <w:highlight w:val="white"/>
        </w:rPr>
        <w:t>Beumont</w:t>
      </w:r>
      <w:proofErr w:type="spellEnd"/>
      <w:r>
        <w:rPr>
          <w:rFonts w:ascii="Arial" w:eastAsia="Arial" w:hAnsi="Arial" w:cs="Arial"/>
          <w:sz w:val="20"/>
          <w:szCs w:val="20"/>
          <w:highlight w:val="white"/>
        </w:rPr>
        <w:t xml:space="preserve">, P., Marks, P., &amp; </w:t>
      </w:r>
      <w:proofErr w:type="spellStart"/>
      <w:r>
        <w:rPr>
          <w:rFonts w:ascii="Arial" w:eastAsia="Arial" w:hAnsi="Arial" w:cs="Arial"/>
          <w:sz w:val="20"/>
          <w:szCs w:val="20"/>
          <w:highlight w:val="white"/>
        </w:rPr>
        <w:t>Touyz</w:t>
      </w:r>
      <w:proofErr w:type="spellEnd"/>
      <w:r>
        <w:rPr>
          <w:rFonts w:ascii="Arial" w:eastAsia="Arial" w:hAnsi="Arial" w:cs="Arial"/>
          <w:sz w:val="20"/>
          <w:szCs w:val="20"/>
          <w:highlight w:val="white"/>
        </w:rPr>
        <w:t xml:space="preserve">, S. (2005). How do clinical specialists understand the role of physical activity in eating </w:t>
      </w:r>
      <w:proofErr w:type="gramStart"/>
      <w:r>
        <w:rPr>
          <w:rFonts w:ascii="Arial" w:eastAsia="Arial" w:hAnsi="Arial" w:cs="Arial"/>
          <w:sz w:val="20"/>
          <w:szCs w:val="20"/>
          <w:highlight w:val="white"/>
        </w:rPr>
        <w:t>disorders?.</w:t>
      </w:r>
      <w:proofErr w:type="gramEnd"/>
      <w:r>
        <w:rPr>
          <w:rFonts w:ascii="Arial" w:eastAsia="Arial" w:hAnsi="Arial" w:cs="Arial"/>
          <w:sz w:val="20"/>
          <w:szCs w:val="20"/>
          <w:highlight w:val="white"/>
        </w:rPr>
        <w:t xml:space="preserve"> </w:t>
      </w:r>
      <w:r>
        <w:rPr>
          <w:rFonts w:ascii="Arial" w:eastAsia="Arial" w:hAnsi="Arial" w:cs="Arial"/>
          <w:i/>
          <w:iCs/>
          <w:sz w:val="20"/>
          <w:szCs w:val="20"/>
          <w:highlight w:val="white"/>
        </w:rPr>
        <w:t>European Eating Disorders Review: The Professional Journal of the Eating Disorders Association</w:t>
      </w:r>
      <w:r>
        <w:rPr>
          <w:rFonts w:ascii="Arial" w:eastAsia="Arial" w:hAnsi="Arial" w:cs="Arial"/>
          <w:sz w:val="20"/>
          <w:szCs w:val="20"/>
          <w:highlight w:val="white"/>
        </w:rPr>
        <w:t xml:space="preserve">, </w:t>
      </w:r>
      <w:r>
        <w:rPr>
          <w:rFonts w:ascii="Arial" w:eastAsia="Arial" w:hAnsi="Arial" w:cs="Arial"/>
          <w:i/>
          <w:iCs/>
          <w:sz w:val="20"/>
          <w:szCs w:val="20"/>
          <w:highlight w:val="white"/>
        </w:rPr>
        <w:t>13</w:t>
      </w:r>
      <w:r>
        <w:rPr>
          <w:rFonts w:ascii="Arial" w:eastAsia="Arial" w:hAnsi="Arial" w:cs="Arial"/>
          <w:sz w:val="20"/>
          <w:szCs w:val="20"/>
          <w:highlight w:val="white"/>
        </w:rPr>
        <w:t>(2), 125-132.</w:t>
      </w:r>
      <w:r>
        <w:rPr>
          <w:rFonts w:ascii="Arial" w:eastAsia="Arial" w:hAnsi="Arial" w:cs="Arial"/>
          <w:sz w:val="20"/>
          <w:szCs w:val="20"/>
        </w:rPr>
        <w:t xml:space="preserve"> </w:t>
      </w:r>
      <w:hyperlink r:id="rId11">
        <w:r w:rsidR="00122EB2">
          <w:rPr>
            <w:rFonts w:ascii="Arial" w:eastAsia="Arial" w:hAnsi="Arial" w:cs="Arial"/>
            <w:sz w:val="20"/>
            <w:szCs w:val="20"/>
            <w:highlight w:val="white"/>
            <w:u w:val="single"/>
          </w:rPr>
          <w:t xml:space="preserve">https://doi.org/10.1002/erv.630 </w:t>
        </w:r>
      </w:hyperlink>
    </w:p>
    <w:p w14:paraId="542692F8" w14:textId="77777777" w:rsidR="00122EB2" w:rsidRDefault="00000000">
      <w:pPr>
        <w:rPr>
          <w:rFonts w:ascii="Arial" w:eastAsia="Arial" w:hAnsi="Arial" w:cs="Arial"/>
          <w:sz w:val="20"/>
          <w:szCs w:val="20"/>
          <w:highlight w:val="white"/>
        </w:rPr>
      </w:pPr>
      <w:r>
        <w:rPr>
          <w:rFonts w:ascii="Arial" w:eastAsia="Arial" w:hAnsi="Arial" w:cs="Arial"/>
          <w:sz w:val="20"/>
          <w:szCs w:val="20"/>
        </w:rPr>
        <w:t xml:space="preserve">[7] </w:t>
      </w:r>
      <w:r>
        <w:rPr>
          <w:rFonts w:ascii="Arial" w:eastAsia="Arial" w:hAnsi="Arial" w:cs="Arial"/>
          <w:sz w:val="20"/>
          <w:szCs w:val="20"/>
          <w:highlight w:val="white"/>
        </w:rPr>
        <w:t xml:space="preserve">Colleen Stiles‐Shields, E., Labuschagne, Z., Goldschmidt, A. B., Doyle, A. C., &amp; Grange, D. L. (2012). The use of multiple methods of compensatory </w:t>
      </w:r>
      <w:proofErr w:type="spellStart"/>
      <w:r>
        <w:rPr>
          <w:rFonts w:ascii="Arial" w:eastAsia="Arial" w:hAnsi="Arial" w:cs="Arial"/>
          <w:sz w:val="20"/>
          <w:szCs w:val="20"/>
          <w:highlight w:val="white"/>
        </w:rPr>
        <w:t>behaviors</w:t>
      </w:r>
      <w:proofErr w:type="spellEnd"/>
      <w:r>
        <w:rPr>
          <w:rFonts w:ascii="Arial" w:eastAsia="Arial" w:hAnsi="Arial" w:cs="Arial"/>
          <w:sz w:val="20"/>
          <w:szCs w:val="20"/>
          <w:highlight w:val="white"/>
        </w:rPr>
        <w:t xml:space="preserve"> as an indicator of eating disorder severity in treatment‐seeking youth.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45</w:t>
      </w:r>
      <w:r>
        <w:rPr>
          <w:rFonts w:ascii="Arial" w:eastAsia="Arial" w:hAnsi="Arial" w:cs="Arial"/>
          <w:sz w:val="20"/>
          <w:szCs w:val="20"/>
          <w:highlight w:val="white"/>
        </w:rPr>
        <w:t>(5), 704-710.</w:t>
      </w:r>
      <w:hyperlink r:id="rId12">
        <w:r w:rsidR="00122EB2">
          <w:rPr>
            <w:rFonts w:ascii="Arial" w:eastAsia="Arial" w:hAnsi="Arial" w:cs="Arial"/>
            <w:sz w:val="20"/>
            <w:szCs w:val="20"/>
            <w:highlight w:val="white"/>
            <w:u w:val="single"/>
          </w:rPr>
          <w:t xml:space="preserve">https://doi.org/10.1002/eat.22004 </w:t>
        </w:r>
      </w:hyperlink>
    </w:p>
    <w:p w14:paraId="66E10C82"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[8] Solenberger, S. E. (2001). Exercise and eating disorders: A 3-year inpatient hospital record analysis. </w:t>
      </w:r>
      <w:r>
        <w:rPr>
          <w:rFonts w:ascii="Arial" w:eastAsia="Arial" w:hAnsi="Arial" w:cs="Arial"/>
          <w:i/>
          <w:iCs/>
          <w:sz w:val="20"/>
          <w:szCs w:val="20"/>
          <w:highlight w:val="white"/>
        </w:rPr>
        <w:t xml:space="preserve">Eating </w:t>
      </w:r>
      <w:proofErr w:type="spellStart"/>
      <w:r>
        <w:rPr>
          <w:rFonts w:ascii="Arial" w:eastAsia="Arial" w:hAnsi="Arial" w:cs="Arial"/>
          <w:i/>
          <w:iCs/>
          <w:sz w:val="20"/>
          <w:szCs w:val="20"/>
          <w:highlight w:val="white"/>
        </w:rPr>
        <w:t>behaviors</w:t>
      </w:r>
      <w:proofErr w:type="spellEnd"/>
      <w:r>
        <w:rPr>
          <w:rFonts w:ascii="Arial" w:eastAsia="Arial" w:hAnsi="Arial" w:cs="Arial"/>
          <w:sz w:val="20"/>
          <w:szCs w:val="20"/>
          <w:highlight w:val="white"/>
        </w:rPr>
        <w:t xml:space="preserve">, </w:t>
      </w:r>
      <w:r>
        <w:rPr>
          <w:rFonts w:ascii="Arial" w:eastAsia="Arial" w:hAnsi="Arial" w:cs="Arial"/>
          <w:i/>
          <w:iCs/>
          <w:sz w:val="20"/>
          <w:szCs w:val="20"/>
          <w:highlight w:val="white"/>
        </w:rPr>
        <w:t>2</w:t>
      </w:r>
      <w:r>
        <w:rPr>
          <w:rFonts w:ascii="Arial" w:eastAsia="Arial" w:hAnsi="Arial" w:cs="Arial"/>
          <w:sz w:val="20"/>
          <w:szCs w:val="20"/>
          <w:highlight w:val="white"/>
        </w:rPr>
        <w:t xml:space="preserve">(2), 151-168. </w:t>
      </w:r>
      <w:hyperlink r:id="rId13">
        <w:r w:rsidR="00122EB2">
          <w:rPr>
            <w:rFonts w:ascii="Arial" w:eastAsia="Arial" w:hAnsi="Arial" w:cs="Arial"/>
            <w:sz w:val="20"/>
            <w:szCs w:val="20"/>
            <w:highlight w:val="white"/>
            <w:u w:val="single"/>
          </w:rPr>
          <w:t xml:space="preserve">https://doi.org/10.1016/s1471-0153(01)00026-5 </w:t>
        </w:r>
      </w:hyperlink>
    </w:p>
    <w:p w14:paraId="62A9BDF4"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[9] Carter, J. C., Blackmore, E., </w:t>
      </w:r>
      <w:proofErr w:type="spellStart"/>
      <w:r>
        <w:rPr>
          <w:rFonts w:ascii="Arial" w:eastAsia="Arial" w:hAnsi="Arial" w:cs="Arial"/>
          <w:sz w:val="20"/>
          <w:szCs w:val="20"/>
          <w:highlight w:val="white"/>
        </w:rPr>
        <w:t>Sutandar</w:t>
      </w:r>
      <w:proofErr w:type="spellEnd"/>
      <w:r>
        <w:rPr>
          <w:rFonts w:ascii="Arial" w:eastAsia="Arial" w:hAnsi="Arial" w:cs="Arial"/>
          <w:sz w:val="20"/>
          <w:szCs w:val="20"/>
          <w:highlight w:val="white"/>
        </w:rPr>
        <w:t xml:space="preserve">-Pinnock, K., &amp; Woodside, D. B. (2004). Relapse in anorexia nervosa: a survival analysis. </w:t>
      </w:r>
      <w:r>
        <w:rPr>
          <w:rFonts w:ascii="Arial" w:eastAsia="Arial" w:hAnsi="Arial" w:cs="Arial"/>
          <w:i/>
          <w:iCs/>
          <w:sz w:val="20"/>
          <w:szCs w:val="20"/>
          <w:highlight w:val="white"/>
        </w:rPr>
        <w:t>Psychological medicine</w:t>
      </w:r>
      <w:r>
        <w:rPr>
          <w:rFonts w:ascii="Arial" w:eastAsia="Arial" w:hAnsi="Arial" w:cs="Arial"/>
          <w:sz w:val="20"/>
          <w:szCs w:val="20"/>
          <w:highlight w:val="white"/>
        </w:rPr>
        <w:t xml:space="preserve">, </w:t>
      </w:r>
      <w:r>
        <w:rPr>
          <w:rFonts w:ascii="Arial" w:eastAsia="Arial" w:hAnsi="Arial" w:cs="Arial"/>
          <w:i/>
          <w:iCs/>
          <w:sz w:val="20"/>
          <w:szCs w:val="20"/>
          <w:highlight w:val="white"/>
        </w:rPr>
        <w:t>34</w:t>
      </w:r>
      <w:r>
        <w:rPr>
          <w:rFonts w:ascii="Arial" w:eastAsia="Arial" w:hAnsi="Arial" w:cs="Arial"/>
          <w:sz w:val="20"/>
          <w:szCs w:val="20"/>
          <w:highlight w:val="white"/>
        </w:rPr>
        <w:t>(4), 671-679.</w:t>
      </w:r>
      <w:r>
        <w:rPr>
          <w:rFonts w:ascii="Arial" w:eastAsia="Arial" w:hAnsi="Arial" w:cs="Arial"/>
          <w:sz w:val="20"/>
          <w:szCs w:val="20"/>
        </w:rPr>
        <w:t xml:space="preserve"> </w:t>
      </w:r>
      <w:hyperlink r:id="rId14">
        <w:r w:rsidR="00122EB2">
          <w:rPr>
            <w:rFonts w:ascii="Arial" w:eastAsia="Arial" w:hAnsi="Arial" w:cs="Arial"/>
            <w:sz w:val="20"/>
            <w:szCs w:val="20"/>
            <w:highlight w:val="white"/>
            <w:u w:val="single"/>
          </w:rPr>
          <w:t xml:space="preserve">https://doi.org/10.1017/s0033291703001168 </w:t>
        </w:r>
      </w:hyperlink>
    </w:p>
    <w:p w14:paraId="24E9149B"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[10] </w:t>
      </w:r>
      <w:proofErr w:type="spellStart"/>
      <w:r>
        <w:rPr>
          <w:rFonts w:ascii="Arial" w:eastAsia="Arial" w:hAnsi="Arial" w:cs="Arial"/>
          <w:sz w:val="20"/>
          <w:szCs w:val="20"/>
          <w:highlight w:val="white"/>
        </w:rPr>
        <w:t>Touyz</w:t>
      </w:r>
      <w:proofErr w:type="spellEnd"/>
      <w:r>
        <w:rPr>
          <w:rFonts w:ascii="Arial" w:eastAsia="Arial" w:hAnsi="Arial" w:cs="Arial"/>
          <w:sz w:val="20"/>
          <w:szCs w:val="20"/>
          <w:highlight w:val="white"/>
        </w:rPr>
        <w:t xml:space="preserve">, S., Hay, P., &amp; </w:t>
      </w:r>
      <w:proofErr w:type="spellStart"/>
      <w:r>
        <w:rPr>
          <w:rFonts w:ascii="Arial" w:eastAsia="Arial" w:hAnsi="Arial" w:cs="Arial"/>
          <w:sz w:val="20"/>
          <w:szCs w:val="20"/>
          <w:highlight w:val="white"/>
        </w:rPr>
        <w:t>Noetel</w:t>
      </w:r>
      <w:proofErr w:type="spellEnd"/>
      <w:r>
        <w:rPr>
          <w:rFonts w:ascii="Arial" w:eastAsia="Arial" w:hAnsi="Arial" w:cs="Arial"/>
          <w:sz w:val="20"/>
          <w:szCs w:val="20"/>
          <w:highlight w:val="white"/>
        </w:rPr>
        <w:t xml:space="preserve">, M. (2017). Is the neglect of exercise in anorexia nervosa research a case of “running out” of ideas or do we need to take a “LEAP” of faith into the </w:t>
      </w:r>
      <w:proofErr w:type="gramStart"/>
      <w:r>
        <w:rPr>
          <w:rFonts w:ascii="Arial" w:eastAsia="Arial" w:hAnsi="Arial" w:cs="Arial"/>
          <w:sz w:val="20"/>
          <w:szCs w:val="20"/>
          <w:highlight w:val="white"/>
        </w:rPr>
        <w:t>future?.</w:t>
      </w:r>
      <w:proofErr w:type="gramEnd"/>
      <w:r>
        <w:rPr>
          <w:rFonts w:ascii="Arial" w:eastAsia="Arial" w:hAnsi="Arial" w:cs="Arial"/>
          <w:sz w:val="20"/>
          <w:szCs w:val="20"/>
          <w:highlight w:val="white"/>
        </w:rPr>
        <w:t xml:space="preserve"> </w:t>
      </w:r>
      <w:r>
        <w:rPr>
          <w:rFonts w:ascii="Arial" w:eastAsia="Arial" w:hAnsi="Arial" w:cs="Arial"/>
          <w:i/>
          <w:iCs/>
          <w:sz w:val="20"/>
          <w:szCs w:val="20"/>
          <w:highlight w:val="white"/>
        </w:rPr>
        <w:t>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5</w:t>
      </w:r>
      <w:r>
        <w:rPr>
          <w:rFonts w:ascii="Arial" w:eastAsia="Arial" w:hAnsi="Arial" w:cs="Arial"/>
          <w:sz w:val="20"/>
          <w:szCs w:val="20"/>
          <w:highlight w:val="white"/>
        </w:rPr>
        <w:t>(1), 35.</w:t>
      </w:r>
      <w:r>
        <w:rPr>
          <w:rFonts w:ascii="Arial" w:eastAsia="Arial" w:hAnsi="Arial" w:cs="Arial"/>
          <w:sz w:val="20"/>
          <w:szCs w:val="20"/>
        </w:rPr>
        <w:t xml:space="preserve">, </w:t>
      </w:r>
      <w:hyperlink r:id="rId15">
        <w:r w:rsidR="00122EB2">
          <w:rPr>
            <w:rFonts w:ascii="Arial" w:eastAsia="Arial" w:hAnsi="Arial" w:cs="Arial"/>
            <w:sz w:val="20"/>
            <w:szCs w:val="20"/>
            <w:highlight w:val="white"/>
            <w:u w:val="single"/>
          </w:rPr>
          <w:t xml:space="preserve">https://doi.org/10.1186/s40337-017-0157-z </w:t>
        </w:r>
      </w:hyperlink>
    </w:p>
    <w:p w14:paraId="1CC8456B"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[11]</w:t>
      </w:r>
      <w:r>
        <w:rPr>
          <w:rFonts w:ascii="Arial" w:eastAsia="Arial" w:hAnsi="Arial" w:cs="Arial"/>
          <w:sz w:val="20"/>
          <w:szCs w:val="20"/>
        </w:rPr>
        <w:t xml:space="preserve"> National Institute for Health and Care Excellence. (2020, December 16). </w:t>
      </w:r>
      <w:r>
        <w:rPr>
          <w:rFonts w:ascii="Arial" w:eastAsia="Arial" w:hAnsi="Arial" w:cs="Arial"/>
          <w:sz w:val="20"/>
          <w:szCs w:val="20"/>
          <w:highlight w:val="white"/>
        </w:rPr>
        <w:t xml:space="preserve">Guideline No. 1.10.8, </w:t>
      </w:r>
      <w:r>
        <w:rPr>
          <w:rFonts w:ascii="Arial" w:eastAsia="Arial" w:hAnsi="Arial" w:cs="Arial"/>
          <w:i/>
          <w:iCs/>
          <w:sz w:val="20"/>
          <w:szCs w:val="20"/>
        </w:rPr>
        <w:t xml:space="preserve">Recommendations, Eating disorders: recognition and treatment, </w:t>
      </w:r>
      <w:proofErr w:type="gramStart"/>
      <w:r>
        <w:rPr>
          <w:rFonts w:ascii="Arial" w:eastAsia="Arial" w:hAnsi="Arial" w:cs="Arial"/>
          <w:i/>
          <w:iCs/>
          <w:sz w:val="20"/>
          <w:szCs w:val="20"/>
        </w:rPr>
        <w:t>Guidance,  NICE</w:t>
      </w:r>
      <w:proofErr w:type="gramEnd"/>
      <w:r>
        <w:rPr>
          <w:rFonts w:ascii="Arial" w:eastAsia="Arial" w:hAnsi="Arial" w:cs="Arial"/>
          <w:sz w:val="20"/>
          <w:szCs w:val="20"/>
        </w:rPr>
        <w:t xml:space="preserve">. Nice.org.uk; NICE. </w:t>
      </w:r>
      <w:hyperlink r:id="rId16">
        <w:r w:rsidR="00122EB2">
          <w:rPr>
            <w:rFonts w:ascii="Arial" w:eastAsia="Arial" w:hAnsi="Arial" w:cs="Arial"/>
            <w:sz w:val="20"/>
            <w:szCs w:val="20"/>
            <w:u w:val="single"/>
          </w:rPr>
          <w:t>https://www.nice.org.uk/guidance/ng69/chapter/Recommendations</w:t>
        </w:r>
      </w:hyperlink>
      <w:r>
        <w:rPr>
          <w:rFonts w:ascii="Arial" w:eastAsia="Arial" w:hAnsi="Arial" w:cs="Arial"/>
          <w:sz w:val="20"/>
          <w:szCs w:val="20"/>
        </w:rPr>
        <w:t xml:space="preserve"> </w:t>
      </w:r>
      <w:r>
        <w:rPr>
          <w:rFonts w:ascii="Arial" w:eastAsia="Arial" w:hAnsi="Arial" w:cs="Arial"/>
          <w:i/>
          <w:iCs/>
          <w:sz w:val="20"/>
          <w:szCs w:val="20"/>
          <w:highlight w:val="white"/>
        </w:rPr>
        <w:t xml:space="preserve"> </w:t>
      </w:r>
    </w:p>
    <w:p w14:paraId="4A1BDBCF"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[12] </w:t>
      </w:r>
      <w:proofErr w:type="spellStart"/>
      <w:r>
        <w:rPr>
          <w:rFonts w:ascii="Arial" w:eastAsia="Arial" w:hAnsi="Arial" w:cs="Arial"/>
          <w:sz w:val="20"/>
          <w:szCs w:val="20"/>
          <w:highlight w:val="white"/>
        </w:rPr>
        <w:t>Noetel</w:t>
      </w:r>
      <w:proofErr w:type="spellEnd"/>
      <w:r>
        <w:rPr>
          <w:rFonts w:ascii="Arial" w:eastAsia="Arial" w:hAnsi="Arial" w:cs="Arial"/>
          <w:sz w:val="20"/>
          <w:szCs w:val="20"/>
          <w:highlight w:val="white"/>
        </w:rPr>
        <w:t xml:space="preserve">, M., Dawson, L., Hay, P., &amp; </w:t>
      </w:r>
      <w:proofErr w:type="spellStart"/>
      <w:r>
        <w:rPr>
          <w:rFonts w:ascii="Arial" w:eastAsia="Arial" w:hAnsi="Arial" w:cs="Arial"/>
          <w:sz w:val="20"/>
          <w:szCs w:val="20"/>
          <w:highlight w:val="white"/>
        </w:rPr>
        <w:t>Touyz</w:t>
      </w:r>
      <w:proofErr w:type="spellEnd"/>
      <w:r>
        <w:rPr>
          <w:rFonts w:ascii="Arial" w:eastAsia="Arial" w:hAnsi="Arial" w:cs="Arial"/>
          <w:sz w:val="20"/>
          <w:szCs w:val="20"/>
          <w:highlight w:val="white"/>
        </w:rPr>
        <w:t xml:space="preserve">, S. (2017). The assessment and treatment of unhealthy exercise in adolescents with anorexia nervosa: a Delphi study to synthesize clinical knowledge.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50</w:t>
      </w:r>
      <w:r>
        <w:rPr>
          <w:rFonts w:ascii="Arial" w:eastAsia="Arial" w:hAnsi="Arial" w:cs="Arial"/>
          <w:sz w:val="20"/>
          <w:szCs w:val="20"/>
          <w:highlight w:val="white"/>
        </w:rPr>
        <w:t xml:space="preserve">(4), 378-388 </w:t>
      </w:r>
      <w:hyperlink r:id="rId17">
        <w:r w:rsidR="00122EB2">
          <w:rPr>
            <w:rFonts w:ascii="Arial" w:eastAsia="Arial" w:hAnsi="Arial" w:cs="Arial"/>
            <w:sz w:val="20"/>
            <w:szCs w:val="20"/>
            <w:highlight w:val="white"/>
          </w:rPr>
          <w:t>https://doi.org/10.1002/eat.22657</w:t>
        </w:r>
      </w:hyperlink>
      <w:r>
        <w:rPr>
          <w:rFonts w:ascii="Arial" w:eastAsia="Arial" w:hAnsi="Arial" w:cs="Arial"/>
          <w:sz w:val="20"/>
          <w:szCs w:val="20"/>
          <w:highlight w:val="white"/>
        </w:rPr>
        <w:t xml:space="preserve"> </w:t>
      </w:r>
    </w:p>
    <w:p w14:paraId="29CC680C"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[13] Hay, P., </w:t>
      </w:r>
      <w:proofErr w:type="spellStart"/>
      <w:r>
        <w:rPr>
          <w:rFonts w:ascii="Arial" w:eastAsia="Arial" w:hAnsi="Arial" w:cs="Arial"/>
          <w:sz w:val="20"/>
          <w:szCs w:val="20"/>
          <w:highlight w:val="white"/>
        </w:rPr>
        <w:t>Touyz</w:t>
      </w:r>
      <w:proofErr w:type="spellEnd"/>
      <w:r>
        <w:rPr>
          <w:rFonts w:ascii="Arial" w:eastAsia="Arial" w:hAnsi="Arial" w:cs="Arial"/>
          <w:sz w:val="20"/>
          <w:szCs w:val="20"/>
          <w:highlight w:val="white"/>
        </w:rPr>
        <w:t xml:space="preserve">, S., </w:t>
      </w:r>
      <w:proofErr w:type="spellStart"/>
      <w:r>
        <w:rPr>
          <w:rFonts w:ascii="Arial" w:eastAsia="Arial" w:hAnsi="Arial" w:cs="Arial"/>
          <w:sz w:val="20"/>
          <w:szCs w:val="20"/>
          <w:highlight w:val="white"/>
        </w:rPr>
        <w:t>Arcelus</w:t>
      </w:r>
      <w:proofErr w:type="spellEnd"/>
      <w:r>
        <w:rPr>
          <w:rFonts w:ascii="Arial" w:eastAsia="Arial" w:hAnsi="Arial" w:cs="Arial"/>
          <w:sz w:val="20"/>
          <w:szCs w:val="20"/>
          <w:highlight w:val="white"/>
        </w:rPr>
        <w:t xml:space="preserve">, J., Pike, K., Attia, E., Crosby, R. D., ... &amp; Young, S. (2018). A randomized controlled trial of the </w:t>
      </w:r>
      <w:proofErr w:type="spellStart"/>
      <w:r>
        <w:rPr>
          <w:rFonts w:ascii="Arial" w:eastAsia="Arial" w:hAnsi="Arial" w:cs="Arial"/>
          <w:sz w:val="20"/>
          <w:szCs w:val="20"/>
          <w:highlight w:val="white"/>
        </w:rPr>
        <w:t>compuLsive</w:t>
      </w:r>
      <w:proofErr w:type="spellEnd"/>
      <w:r>
        <w:rPr>
          <w:rFonts w:ascii="Arial" w:eastAsia="Arial" w:hAnsi="Arial" w:cs="Arial"/>
          <w:sz w:val="20"/>
          <w:szCs w:val="20"/>
          <w:highlight w:val="white"/>
        </w:rPr>
        <w:t xml:space="preserve"> Exercise Activity </w:t>
      </w:r>
      <w:proofErr w:type="spellStart"/>
      <w:r>
        <w:rPr>
          <w:rFonts w:ascii="Arial" w:eastAsia="Arial" w:hAnsi="Arial" w:cs="Arial"/>
          <w:sz w:val="20"/>
          <w:szCs w:val="20"/>
          <w:highlight w:val="white"/>
        </w:rPr>
        <w:t>TheraPy</w:t>
      </w:r>
      <w:proofErr w:type="spellEnd"/>
      <w:r>
        <w:rPr>
          <w:rFonts w:ascii="Arial" w:eastAsia="Arial" w:hAnsi="Arial" w:cs="Arial"/>
          <w:sz w:val="20"/>
          <w:szCs w:val="20"/>
          <w:highlight w:val="white"/>
        </w:rPr>
        <w:t xml:space="preserve"> (LEAP): A new approach to compulsive exercise in anorexia nervosa.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w:t>
      </w:r>
      <w:r>
        <w:rPr>
          <w:rFonts w:ascii="Arial" w:eastAsia="Arial" w:hAnsi="Arial" w:cs="Arial"/>
          <w:i/>
          <w:iCs/>
          <w:sz w:val="20"/>
          <w:szCs w:val="20"/>
          <w:highlight w:val="white"/>
        </w:rPr>
        <w:t>51</w:t>
      </w:r>
      <w:r>
        <w:rPr>
          <w:rFonts w:ascii="Arial" w:eastAsia="Arial" w:hAnsi="Arial" w:cs="Arial"/>
          <w:sz w:val="20"/>
          <w:szCs w:val="20"/>
          <w:highlight w:val="white"/>
        </w:rPr>
        <w:t>(8), 999-1004.</w:t>
      </w:r>
      <w:r>
        <w:rPr>
          <w:rFonts w:ascii="Arial" w:eastAsia="Arial" w:hAnsi="Arial" w:cs="Arial"/>
          <w:sz w:val="20"/>
          <w:szCs w:val="20"/>
          <w:highlight w:val="white"/>
          <w:u w:val="single"/>
        </w:rPr>
        <w:t xml:space="preserve"> </w:t>
      </w:r>
      <w:hyperlink r:id="rId18">
        <w:r w:rsidR="00122EB2">
          <w:rPr>
            <w:rFonts w:ascii="Arial" w:eastAsia="Arial" w:hAnsi="Arial" w:cs="Arial"/>
            <w:sz w:val="20"/>
            <w:szCs w:val="20"/>
            <w:highlight w:val="white"/>
            <w:u w:val="single"/>
          </w:rPr>
          <w:t>https://doi.org</w:t>
        </w:r>
      </w:hyperlink>
      <w:r>
        <w:rPr>
          <w:rFonts w:ascii="Arial" w:eastAsia="Arial" w:hAnsi="Arial" w:cs="Arial"/>
          <w:sz w:val="20"/>
          <w:szCs w:val="20"/>
          <w:highlight w:val="white"/>
          <w:u w:val="single"/>
        </w:rPr>
        <w:t>/</w:t>
      </w:r>
      <w:r>
        <w:rPr>
          <w:rFonts w:ascii="Arial" w:eastAsia="Arial" w:hAnsi="Arial" w:cs="Arial"/>
          <w:sz w:val="20"/>
          <w:szCs w:val="20"/>
          <w:highlight w:val="white"/>
        </w:rPr>
        <w:t>1</w:t>
      </w:r>
      <w:hyperlink r:id="rId19">
        <w:r w:rsidR="00122EB2">
          <w:rPr>
            <w:rFonts w:ascii="Arial" w:eastAsia="Arial" w:hAnsi="Arial" w:cs="Arial"/>
            <w:sz w:val="20"/>
            <w:szCs w:val="20"/>
            <w:highlight w:val="white"/>
            <w:u w:val="single"/>
          </w:rPr>
          <w:t>0.1002/eat.22920</w:t>
        </w:r>
      </w:hyperlink>
      <w:r>
        <w:rPr>
          <w:rFonts w:ascii="Arial" w:eastAsia="Arial" w:hAnsi="Arial" w:cs="Arial"/>
          <w:sz w:val="20"/>
          <w:szCs w:val="20"/>
          <w:highlight w:val="white"/>
        </w:rPr>
        <w:t xml:space="preserve"> </w:t>
      </w:r>
    </w:p>
    <w:p w14:paraId="21C051A7"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lastRenderedPageBreak/>
        <w:t xml:space="preserve">[14] Harris, A., Mannan, H., Hay, P., Aouad, P., </w:t>
      </w:r>
      <w:proofErr w:type="spellStart"/>
      <w:r>
        <w:rPr>
          <w:rFonts w:ascii="Arial" w:eastAsia="Arial" w:hAnsi="Arial" w:cs="Arial"/>
          <w:sz w:val="20"/>
          <w:szCs w:val="20"/>
          <w:highlight w:val="white"/>
        </w:rPr>
        <w:t>Arcelus</w:t>
      </w:r>
      <w:proofErr w:type="spellEnd"/>
      <w:r>
        <w:rPr>
          <w:rFonts w:ascii="Arial" w:eastAsia="Arial" w:hAnsi="Arial" w:cs="Arial"/>
          <w:sz w:val="20"/>
          <w:szCs w:val="20"/>
          <w:highlight w:val="white"/>
        </w:rPr>
        <w:t xml:space="preserve">, J., Attia, E., Crosby, R., Madden, S., Meyer, </w:t>
      </w:r>
      <w:proofErr w:type="gramStart"/>
      <w:r>
        <w:rPr>
          <w:rFonts w:ascii="Arial" w:eastAsia="Arial" w:hAnsi="Arial" w:cs="Arial"/>
          <w:sz w:val="20"/>
          <w:szCs w:val="20"/>
          <w:highlight w:val="white"/>
        </w:rPr>
        <w:t>C..</w:t>
      </w:r>
      <w:proofErr w:type="gramEnd"/>
      <w:r>
        <w:rPr>
          <w:rFonts w:ascii="Arial" w:eastAsia="Arial" w:hAnsi="Arial" w:cs="Arial"/>
          <w:sz w:val="20"/>
          <w:szCs w:val="20"/>
          <w:highlight w:val="white"/>
        </w:rPr>
        <w:t xml:space="preserve"> &amp; </w:t>
      </w:r>
      <w:proofErr w:type="spellStart"/>
      <w:r>
        <w:rPr>
          <w:rFonts w:ascii="Arial" w:eastAsia="Arial" w:hAnsi="Arial" w:cs="Arial"/>
          <w:sz w:val="20"/>
          <w:szCs w:val="20"/>
          <w:highlight w:val="white"/>
        </w:rPr>
        <w:t>Touyz</w:t>
      </w:r>
      <w:proofErr w:type="spellEnd"/>
      <w:r>
        <w:rPr>
          <w:rFonts w:ascii="Arial" w:eastAsia="Arial" w:hAnsi="Arial" w:cs="Arial"/>
          <w:sz w:val="20"/>
          <w:szCs w:val="20"/>
          <w:highlight w:val="white"/>
        </w:rPr>
        <w:t xml:space="preserve">, S. (2024). Assessment and treatment of compulsive exercise in anorexia nervosa–a combined investigation of compulsive exercise activity therapy (LEAP) and compulsive exercise test subscales. </w:t>
      </w:r>
      <w:r>
        <w:rPr>
          <w:rFonts w:ascii="Arial" w:eastAsia="Arial" w:hAnsi="Arial" w:cs="Arial"/>
          <w:i/>
          <w:iCs/>
          <w:sz w:val="20"/>
          <w:szCs w:val="20"/>
          <w:highlight w:val="white"/>
        </w:rPr>
        <w:t xml:space="preserve">Eating </w:t>
      </w:r>
      <w:proofErr w:type="spellStart"/>
      <w:r>
        <w:rPr>
          <w:rFonts w:ascii="Arial" w:eastAsia="Arial" w:hAnsi="Arial" w:cs="Arial"/>
          <w:i/>
          <w:iCs/>
          <w:sz w:val="20"/>
          <w:szCs w:val="20"/>
          <w:highlight w:val="white"/>
        </w:rPr>
        <w:t>Behaviors</w:t>
      </w:r>
      <w:proofErr w:type="spellEnd"/>
      <w:r>
        <w:rPr>
          <w:rFonts w:ascii="Arial" w:eastAsia="Arial" w:hAnsi="Arial" w:cs="Arial"/>
          <w:sz w:val="20"/>
          <w:szCs w:val="20"/>
          <w:highlight w:val="white"/>
        </w:rPr>
        <w:t xml:space="preserve">, </w:t>
      </w:r>
      <w:r>
        <w:rPr>
          <w:rFonts w:ascii="Arial" w:eastAsia="Arial" w:hAnsi="Arial" w:cs="Arial"/>
          <w:i/>
          <w:iCs/>
          <w:sz w:val="20"/>
          <w:szCs w:val="20"/>
          <w:highlight w:val="white"/>
        </w:rPr>
        <w:t>52</w:t>
      </w:r>
      <w:r>
        <w:rPr>
          <w:rFonts w:ascii="Arial" w:eastAsia="Arial" w:hAnsi="Arial" w:cs="Arial"/>
          <w:sz w:val="20"/>
          <w:szCs w:val="20"/>
          <w:highlight w:val="white"/>
        </w:rPr>
        <w:t xml:space="preserve">, 101825. </w:t>
      </w:r>
      <w:hyperlink r:id="rId20">
        <w:r w:rsidR="00122EB2">
          <w:rPr>
            <w:rFonts w:ascii="Arial" w:eastAsia="Arial" w:hAnsi="Arial" w:cs="Arial"/>
            <w:sz w:val="20"/>
            <w:szCs w:val="20"/>
            <w:highlight w:val="white"/>
            <w:u w:val="single"/>
          </w:rPr>
          <w:t xml:space="preserve">https://doi.org/10.1016/j.eatbeh.2023.101825 </w:t>
        </w:r>
      </w:hyperlink>
    </w:p>
    <w:p w14:paraId="6A093D78"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[15] Mang, L., </w:t>
      </w:r>
      <w:proofErr w:type="spellStart"/>
      <w:r>
        <w:rPr>
          <w:rFonts w:ascii="Arial" w:eastAsia="Arial" w:hAnsi="Arial" w:cs="Arial"/>
          <w:sz w:val="20"/>
          <w:szCs w:val="20"/>
          <w:highlight w:val="white"/>
        </w:rPr>
        <w:t>Garghan</w:t>
      </w:r>
      <w:proofErr w:type="spellEnd"/>
      <w:r>
        <w:rPr>
          <w:rFonts w:ascii="Arial" w:eastAsia="Arial" w:hAnsi="Arial" w:cs="Arial"/>
          <w:sz w:val="20"/>
          <w:szCs w:val="20"/>
          <w:highlight w:val="white"/>
        </w:rPr>
        <w:t xml:space="preserve">, A., Grant, J., Lacey, H., &amp; Matthews, R. (2021). An evaluation of efficacy and acceptability of a novel manualised </w:t>
      </w:r>
      <w:proofErr w:type="spellStart"/>
      <w:r>
        <w:rPr>
          <w:rFonts w:ascii="Arial" w:eastAsia="Arial" w:hAnsi="Arial" w:cs="Arial"/>
          <w:sz w:val="20"/>
          <w:szCs w:val="20"/>
          <w:highlight w:val="white"/>
        </w:rPr>
        <w:t>JuniorLEAP</w:t>
      </w:r>
      <w:proofErr w:type="spellEnd"/>
      <w:r>
        <w:rPr>
          <w:rFonts w:ascii="Arial" w:eastAsia="Arial" w:hAnsi="Arial" w:cs="Arial"/>
          <w:sz w:val="20"/>
          <w:szCs w:val="20"/>
          <w:highlight w:val="white"/>
        </w:rPr>
        <w:t xml:space="preserve"> group programme for compulsive exercise, for children and adolescents with anorexia nervosa, within an inpatient setting. </w:t>
      </w:r>
      <w:r>
        <w:rPr>
          <w:rFonts w:ascii="Arial" w:eastAsia="Arial" w:hAnsi="Arial" w:cs="Arial"/>
          <w:i/>
          <w:iCs/>
          <w:sz w:val="20"/>
          <w:szCs w:val="20"/>
          <w:highlight w:val="white"/>
        </w:rPr>
        <w:t>Eating and Weight Disorders-Studies on Anorexia, Bulimia and Obesity</w:t>
      </w:r>
      <w:r>
        <w:rPr>
          <w:rFonts w:ascii="Arial" w:eastAsia="Arial" w:hAnsi="Arial" w:cs="Arial"/>
          <w:sz w:val="20"/>
          <w:szCs w:val="20"/>
          <w:highlight w:val="white"/>
        </w:rPr>
        <w:t xml:space="preserve">, </w:t>
      </w:r>
      <w:r>
        <w:rPr>
          <w:rFonts w:ascii="Arial" w:eastAsia="Arial" w:hAnsi="Arial" w:cs="Arial"/>
          <w:i/>
          <w:iCs/>
          <w:sz w:val="20"/>
          <w:szCs w:val="20"/>
          <w:highlight w:val="white"/>
        </w:rPr>
        <w:t>26</w:t>
      </w:r>
      <w:r>
        <w:rPr>
          <w:rFonts w:ascii="Arial" w:eastAsia="Arial" w:hAnsi="Arial" w:cs="Arial"/>
          <w:sz w:val="20"/>
          <w:szCs w:val="20"/>
          <w:highlight w:val="white"/>
        </w:rPr>
        <w:t>(2),591-</w:t>
      </w:r>
      <w:proofErr w:type="gramStart"/>
      <w:r>
        <w:rPr>
          <w:rFonts w:ascii="Arial" w:eastAsia="Arial" w:hAnsi="Arial" w:cs="Arial"/>
          <w:sz w:val="20"/>
          <w:szCs w:val="20"/>
          <w:highlight w:val="white"/>
        </w:rPr>
        <w:t>597 .</w:t>
      </w:r>
      <w:proofErr w:type="gramEnd"/>
      <w:r>
        <w:fldChar w:fldCharType="begin"/>
      </w:r>
      <w:r>
        <w:instrText>HYPERLINK "https://doi.org/10.1007/s40519-020-00884-w" \h</w:instrText>
      </w:r>
      <w:r>
        <w:fldChar w:fldCharType="separate"/>
      </w:r>
      <w:r>
        <w:rPr>
          <w:rFonts w:ascii="Arial" w:eastAsia="Arial" w:hAnsi="Arial" w:cs="Arial"/>
          <w:sz w:val="20"/>
          <w:szCs w:val="20"/>
          <w:u w:val="single"/>
          <w:shd w:val="clear" w:color="auto" w:fill="FCFCFC"/>
        </w:rPr>
        <w:t>https://doi.org/10.1007/s40519-020-00884-w</w:t>
      </w:r>
      <w:r>
        <w:fldChar w:fldCharType="end"/>
      </w:r>
      <w:r>
        <w:rPr>
          <w:rFonts w:ascii="Arial" w:eastAsia="Arial" w:hAnsi="Arial" w:cs="Arial"/>
          <w:sz w:val="20"/>
          <w:szCs w:val="20"/>
          <w:shd w:val="clear" w:color="auto" w:fill="FCFCFC"/>
        </w:rPr>
        <w:t xml:space="preserve"> </w:t>
      </w:r>
    </w:p>
    <w:p w14:paraId="7F882192"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[16] Taranis, L., </w:t>
      </w:r>
      <w:proofErr w:type="spellStart"/>
      <w:r>
        <w:rPr>
          <w:rFonts w:ascii="Arial" w:eastAsia="Arial" w:hAnsi="Arial" w:cs="Arial"/>
          <w:sz w:val="20"/>
          <w:szCs w:val="20"/>
          <w:highlight w:val="white"/>
        </w:rPr>
        <w:t>Touyz</w:t>
      </w:r>
      <w:proofErr w:type="spellEnd"/>
      <w:r>
        <w:rPr>
          <w:rFonts w:ascii="Arial" w:eastAsia="Arial" w:hAnsi="Arial" w:cs="Arial"/>
          <w:sz w:val="20"/>
          <w:szCs w:val="20"/>
          <w:highlight w:val="white"/>
        </w:rPr>
        <w:t>, S., &amp; Meyer, C. (2011). Disordered eating and exercise: development and preliminary validation of the compulsive exercise test (CET). </w:t>
      </w:r>
      <w:r>
        <w:rPr>
          <w:rFonts w:ascii="Arial" w:eastAsia="Arial" w:hAnsi="Arial" w:cs="Arial"/>
          <w:i/>
          <w:iCs/>
          <w:sz w:val="20"/>
          <w:szCs w:val="20"/>
          <w:highlight w:val="white"/>
        </w:rPr>
        <w:t>European Eating Disorders Review, 19</w:t>
      </w:r>
      <w:r>
        <w:rPr>
          <w:rFonts w:ascii="Arial" w:eastAsia="Arial" w:hAnsi="Arial" w:cs="Arial"/>
          <w:sz w:val="20"/>
          <w:szCs w:val="20"/>
          <w:highlight w:val="white"/>
        </w:rPr>
        <w:t xml:space="preserve">(3), 256-268. </w:t>
      </w:r>
      <w:r>
        <w:rPr>
          <w:rFonts w:ascii="Arial" w:eastAsia="Arial" w:hAnsi="Arial" w:cs="Arial"/>
          <w:sz w:val="20"/>
          <w:szCs w:val="20"/>
          <w:highlight w:val="white"/>
          <w:u w:val="single"/>
        </w:rPr>
        <w:t xml:space="preserve"> </w:t>
      </w:r>
      <w:hyperlink r:id="rId21">
        <w:r w:rsidR="00122EB2">
          <w:rPr>
            <w:rFonts w:ascii="Arial" w:eastAsia="Arial" w:hAnsi="Arial" w:cs="Arial"/>
            <w:sz w:val="20"/>
            <w:szCs w:val="20"/>
            <w:highlight w:val="white"/>
            <w:u w:val="single"/>
          </w:rPr>
          <w:t>https://doi.org</w:t>
        </w:r>
      </w:hyperlink>
      <w:r>
        <w:rPr>
          <w:rFonts w:ascii="Arial" w:eastAsia="Arial" w:hAnsi="Arial" w:cs="Arial"/>
          <w:sz w:val="20"/>
          <w:szCs w:val="20"/>
          <w:highlight w:val="white"/>
          <w:u w:val="single"/>
        </w:rPr>
        <w:t>/</w:t>
      </w:r>
      <w:hyperlink r:id="rId22">
        <w:r w:rsidR="00122EB2">
          <w:rPr>
            <w:rFonts w:ascii="Arial" w:eastAsia="Arial" w:hAnsi="Arial" w:cs="Arial"/>
            <w:sz w:val="20"/>
            <w:szCs w:val="20"/>
            <w:highlight w:val="white"/>
            <w:u w:val="single"/>
          </w:rPr>
          <w:t>10.1002/erv.1108</w:t>
        </w:r>
      </w:hyperlink>
      <w:r>
        <w:rPr>
          <w:rFonts w:ascii="Arial" w:eastAsia="Arial" w:hAnsi="Arial" w:cs="Arial"/>
          <w:sz w:val="20"/>
          <w:szCs w:val="20"/>
          <w:highlight w:val="white"/>
        </w:rPr>
        <w:t xml:space="preserve"> </w:t>
      </w:r>
    </w:p>
    <w:p w14:paraId="247CDD58"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[17] Meyer, C., Plateau, C. R., Taranis, L., Brewin, N., Wales, J., &amp; </w:t>
      </w:r>
      <w:proofErr w:type="spellStart"/>
      <w:r>
        <w:rPr>
          <w:rFonts w:ascii="Arial" w:eastAsia="Arial" w:hAnsi="Arial" w:cs="Arial"/>
          <w:sz w:val="20"/>
          <w:szCs w:val="20"/>
          <w:highlight w:val="white"/>
        </w:rPr>
        <w:t>Arcelus</w:t>
      </w:r>
      <w:proofErr w:type="spellEnd"/>
      <w:r>
        <w:rPr>
          <w:rFonts w:ascii="Arial" w:eastAsia="Arial" w:hAnsi="Arial" w:cs="Arial"/>
          <w:sz w:val="20"/>
          <w:szCs w:val="20"/>
          <w:highlight w:val="white"/>
        </w:rPr>
        <w:t xml:space="preserve">, J. (2016). The compulsive exercise test: confirmatory factor analysis and links with eating psychopathology among women with clinical eating disorders. </w:t>
      </w:r>
      <w:r>
        <w:rPr>
          <w:rFonts w:ascii="Arial" w:eastAsia="Arial" w:hAnsi="Arial" w:cs="Arial"/>
          <w:i/>
          <w:iCs/>
          <w:sz w:val="20"/>
          <w:szCs w:val="20"/>
          <w:highlight w:val="white"/>
        </w:rPr>
        <w:t>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4</w:t>
      </w:r>
      <w:r>
        <w:rPr>
          <w:rFonts w:ascii="Arial" w:eastAsia="Arial" w:hAnsi="Arial" w:cs="Arial"/>
          <w:sz w:val="20"/>
          <w:szCs w:val="20"/>
          <w:highlight w:val="white"/>
        </w:rPr>
        <w:t xml:space="preserve">(1), </w:t>
      </w:r>
      <w:proofErr w:type="gramStart"/>
      <w:r>
        <w:rPr>
          <w:rFonts w:ascii="Arial" w:eastAsia="Arial" w:hAnsi="Arial" w:cs="Arial"/>
          <w:sz w:val="20"/>
          <w:szCs w:val="20"/>
          <w:highlight w:val="white"/>
        </w:rPr>
        <w:t>22 .</w:t>
      </w:r>
      <w:proofErr w:type="gramEnd"/>
      <w:r>
        <w:fldChar w:fldCharType="begin"/>
      </w:r>
      <w:r>
        <w:instrText>HYPERLINK "https://doi.org/10.1186/s40337-016-0113-3" \h</w:instrText>
      </w:r>
      <w:r>
        <w:fldChar w:fldCharType="separate"/>
      </w:r>
      <w:r>
        <w:rPr>
          <w:rFonts w:ascii="Arial" w:eastAsia="Arial" w:hAnsi="Arial" w:cs="Arial"/>
          <w:sz w:val="20"/>
          <w:szCs w:val="20"/>
          <w:highlight w:val="white"/>
          <w:u w:val="single"/>
        </w:rPr>
        <w:t xml:space="preserve">https://doi.org/10.1186/s40337-016-0113-3 </w:t>
      </w:r>
      <w:r>
        <w:fldChar w:fldCharType="end"/>
      </w:r>
    </w:p>
    <w:p w14:paraId="654443D2"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[18] </w:t>
      </w:r>
      <w:proofErr w:type="spellStart"/>
      <w:r>
        <w:rPr>
          <w:rFonts w:ascii="Arial" w:eastAsia="Arial" w:hAnsi="Arial" w:cs="Arial"/>
          <w:sz w:val="20"/>
          <w:szCs w:val="20"/>
          <w:highlight w:val="white"/>
        </w:rPr>
        <w:t>Schlegl</w:t>
      </w:r>
      <w:proofErr w:type="spellEnd"/>
      <w:r>
        <w:rPr>
          <w:rFonts w:ascii="Arial" w:eastAsia="Arial" w:hAnsi="Arial" w:cs="Arial"/>
          <w:sz w:val="20"/>
          <w:szCs w:val="20"/>
          <w:highlight w:val="white"/>
        </w:rPr>
        <w:t xml:space="preserve">, S., </w:t>
      </w:r>
      <w:proofErr w:type="spellStart"/>
      <w:r>
        <w:rPr>
          <w:rFonts w:ascii="Arial" w:eastAsia="Arial" w:hAnsi="Arial" w:cs="Arial"/>
          <w:sz w:val="20"/>
          <w:szCs w:val="20"/>
          <w:highlight w:val="white"/>
        </w:rPr>
        <w:t>Vierl</w:t>
      </w:r>
      <w:proofErr w:type="spellEnd"/>
      <w:r>
        <w:rPr>
          <w:rFonts w:ascii="Arial" w:eastAsia="Arial" w:hAnsi="Arial" w:cs="Arial"/>
          <w:sz w:val="20"/>
          <w:szCs w:val="20"/>
          <w:highlight w:val="white"/>
        </w:rPr>
        <w:t xml:space="preserve">, L., Kolar, D. R., Dittmer, N., &amp; </w:t>
      </w:r>
      <w:proofErr w:type="spellStart"/>
      <w:r>
        <w:rPr>
          <w:rFonts w:ascii="Arial" w:eastAsia="Arial" w:hAnsi="Arial" w:cs="Arial"/>
          <w:sz w:val="20"/>
          <w:szCs w:val="20"/>
          <w:highlight w:val="white"/>
        </w:rPr>
        <w:t>Voderholzer</w:t>
      </w:r>
      <w:proofErr w:type="spellEnd"/>
      <w:r>
        <w:rPr>
          <w:rFonts w:ascii="Arial" w:eastAsia="Arial" w:hAnsi="Arial" w:cs="Arial"/>
          <w:sz w:val="20"/>
          <w:szCs w:val="20"/>
          <w:highlight w:val="white"/>
        </w:rPr>
        <w:t xml:space="preserve">, U. (2022). Psychometric properties of the Compulsive Exercise Test in a large sample of female adolescent and adult inpatients with anorexia nervosa and bulimia nervosa.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55</w:t>
      </w:r>
      <w:r>
        <w:rPr>
          <w:rFonts w:ascii="Arial" w:eastAsia="Arial" w:hAnsi="Arial" w:cs="Arial"/>
          <w:sz w:val="20"/>
          <w:szCs w:val="20"/>
          <w:highlight w:val="white"/>
        </w:rPr>
        <w:t>(4), 494-504.</w:t>
      </w:r>
      <w:hyperlink r:id="rId23">
        <w:r w:rsidR="00122EB2">
          <w:rPr>
            <w:rFonts w:ascii="Arial" w:eastAsia="Arial" w:hAnsi="Arial" w:cs="Arial"/>
            <w:sz w:val="20"/>
            <w:szCs w:val="20"/>
            <w:highlight w:val="white"/>
            <w:u w:val="single"/>
          </w:rPr>
          <w:t xml:space="preserve">https://doi.org/10.1002/eat.23694 </w:t>
        </w:r>
      </w:hyperlink>
    </w:p>
    <w:p w14:paraId="06EABABD"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[19] Fairburn, C. G., &amp; Beglin, S. J. (1994). Assessment of eating disorders: Interview or self‐report </w:t>
      </w:r>
      <w:proofErr w:type="gramStart"/>
      <w:r>
        <w:rPr>
          <w:rFonts w:ascii="Arial" w:eastAsia="Arial" w:hAnsi="Arial" w:cs="Arial"/>
          <w:sz w:val="20"/>
          <w:szCs w:val="20"/>
          <w:highlight w:val="white"/>
        </w:rPr>
        <w:t>questionnaire?.</w:t>
      </w:r>
      <w:proofErr w:type="gramEnd"/>
      <w:r>
        <w:rPr>
          <w:rFonts w:ascii="Arial" w:eastAsia="Arial" w:hAnsi="Arial" w:cs="Arial"/>
          <w:sz w:val="20"/>
          <w:szCs w:val="20"/>
          <w:highlight w:val="white"/>
        </w:rPr>
        <w:t xml:space="preserve"> </w:t>
      </w:r>
      <w:r>
        <w:rPr>
          <w:rFonts w:ascii="Arial" w:eastAsia="Arial" w:hAnsi="Arial" w:cs="Arial"/>
          <w:i/>
          <w:iCs/>
          <w:sz w:val="20"/>
          <w:szCs w:val="20"/>
          <w:highlight w:val="white"/>
        </w:rPr>
        <w:t>International journal of eating disorders</w:t>
      </w:r>
      <w:r>
        <w:rPr>
          <w:rFonts w:ascii="Arial" w:eastAsia="Arial" w:hAnsi="Arial" w:cs="Arial"/>
          <w:sz w:val="20"/>
          <w:szCs w:val="20"/>
          <w:highlight w:val="white"/>
        </w:rPr>
        <w:t xml:space="preserve">, </w:t>
      </w:r>
      <w:r>
        <w:rPr>
          <w:rFonts w:ascii="Arial" w:eastAsia="Arial" w:hAnsi="Arial" w:cs="Arial"/>
          <w:i/>
          <w:iCs/>
          <w:sz w:val="20"/>
          <w:szCs w:val="20"/>
          <w:highlight w:val="white"/>
        </w:rPr>
        <w:t>16</w:t>
      </w:r>
      <w:r>
        <w:rPr>
          <w:rFonts w:ascii="Arial" w:eastAsia="Arial" w:hAnsi="Arial" w:cs="Arial"/>
          <w:sz w:val="20"/>
          <w:szCs w:val="20"/>
          <w:highlight w:val="white"/>
        </w:rPr>
        <w:t>(4), 363-370.</w:t>
      </w:r>
      <w:hyperlink r:id="rId24">
        <w:r w:rsidR="00122EB2">
          <w:rPr>
            <w:rFonts w:ascii="Arial" w:eastAsia="Arial" w:hAnsi="Arial" w:cs="Arial"/>
            <w:sz w:val="20"/>
            <w:szCs w:val="20"/>
            <w:highlight w:val="white"/>
            <w:u w:val="single"/>
          </w:rPr>
          <w:t xml:space="preserve"> https://doi.org/10.1002/1098-108x(199412)16:4&lt;363::aid-eat2260160405&gt;3.0.co;2-# </w:t>
        </w:r>
      </w:hyperlink>
    </w:p>
    <w:p w14:paraId="760AAA44"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[20] Jennings, K. M., &amp; Phillips, K. E. (2017). Eating Disorder Examination-Questionnaire (EDE-Q): Norms for Clinical Sample of Female Adolescents with Anorexia Nervosa. </w:t>
      </w:r>
      <w:r>
        <w:rPr>
          <w:rFonts w:ascii="Arial" w:eastAsia="Arial" w:hAnsi="Arial" w:cs="Arial"/>
          <w:i/>
          <w:iCs/>
          <w:sz w:val="20"/>
          <w:szCs w:val="20"/>
          <w:highlight w:val="white"/>
        </w:rPr>
        <w:t>Archives of psychiatric nursing</w:t>
      </w:r>
      <w:r>
        <w:rPr>
          <w:rFonts w:ascii="Arial" w:eastAsia="Arial" w:hAnsi="Arial" w:cs="Arial"/>
          <w:sz w:val="20"/>
          <w:szCs w:val="20"/>
          <w:highlight w:val="white"/>
        </w:rPr>
        <w:t>, </w:t>
      </w:r>
      <w:r>
        <w:rPr>
          <w:rFonts w:ascii="Arial" w:eastAsia="Arial" w:hAnsi="Arial" w:cs="Arial"/>
          <w:i/>
          <w:iCs/>
          <w:sz w:val="20"/>
          <w:szCs w:val="20"/>
          <w:highlight w:val="white"/>
        </w:rPr>
        <w:t>31</w:t>
      </w:r>
      <w:r>
        <w:rPr>
          <w:rFonts w:ascii="Arial" w:eastAsia="Arial" w:hAnsi="Arial" w:cs="Arial"/>
          <w:sz w:val="20"/>
          <w:szCs w:val="20"/>
          <w:highlight w:val="white"/>
        </w:rPr>
        <w:t xml:space="preserve">(6), 578–581. </w:t>
      </w:r>
      <w:hyperlink r:id="rId25">
        <w:r w:rsidR="00122EB2">
          <w:rPr>
            <w:rFonts w:ascii="Arial" w:eastAsia="Arial" w:hAnsi="Arial" w:cs="Arial"/>
            <w:sz w:val="20"/>
            <w:szCs w:val="20"/>
            <w:highlight w:val="white"/>
            <w:u w:val="single"/>
          </w:rPr>
          <w:t>https://doi.org/10.1016/j.apnu.2017.08.002</w:t>
        </w:r>
      </w:hyperlink>
      <w:r>
        <w:rPr>
          <w:rFonts w:ascii="Arial" w:eastAsia="Arial" w:hAnsi="Arial" w:cs="Arial"/>
          <w:sz w:val="20"/>
          <w:szCs w:val="20"/>
          <w:highlight w:val="white"/>
        </w:rPr>
        <w:t xml:space="preserve"> </w:t>
      </w:r>
    </w:p>
    <w:p w14:paraId="1232E918" w14:textId="77777777" w:rsidR="00122EB2" w:rsidRDefault="00000000">
      <w:pPr>
        <w:rPr>
          <w:rFonts w:ascii="Arial" w:eastAsia="Arial" w:hAnsi="Arial" w:cs="Arial"/>
          <w:sz w:val="20"/>
          <w:szCs w:val="20"/>
        </w:rPr>
      </w:pPr>
      <w:r>
        <w:rPr>
          <w:rFonts w:ascii="Arial" w:eastAsia="Arial" w:hAnsi="Arial" w:cs="Arial"/>
          <w:sz w:val="20"/>
          <w:szCs w:val="20"/>
          <w:highlight w:val="white"/>
        </w:rPr>
        <w:t xml:space="preserve">[21] Donelli, V., </w:t>
      </w:r>
      <w:proofErr w:type="spellStart"/>
      <w:r>
        <w:rPr>
          <w:rFonts w:ascii="Arial" w:eastAsia="Arial" w:hAnsi="Arial" w:cs="Arial"/>
          <w:sz w:val="20"/>
          <w:szCs w:val="20"/>
          <w:highlight w:val="white"/>
        </w:rPr>
        <w:t>Artoni</w:t>
      </w:r>
      <w:proofErr w:type="spellEnd"/>
      <w:r>
        <w:rPr>
          <w:rFonts w:ascii="Arial" w:eastAsia="Arial" w:hAnsi="Arial" w:cs="Arial"/>
          <w:sz w:val="20"/>
          <w:szCs w:val="20"/>
          <w:highlight w:val="white"/>
        </w:rPr>
        <w:t xml:space="preserve">, P., </w:t>
      </w:r>
      <w:proofErr w:type="spellStart"/>
      <w:r>
        <w:rPr>
          <w:rFonts w:ascii="Arial" w:eastAsia="Arial" w:hAnsi="Arial" w:cs="Arial"/>
          <w:sz w:val="20"/>
          <w:szCs w:val="20"/>
          <w:highlight w:val="white"/>
        </w:rPr>
        <w:t>Artoni</w:t>
      </w:r>
      <w:proofErr w:type="spellEnd"/>
      <w:r>
        <w:rPr>
          <w:rFonts w:ascii="Arial" w:eastAsia="Arial" w:hAnsi="Arial" w:cs="Arial"/>
          <w:sz w:val="20"/>
          <w:szCs w:val="20"/>
          <w:highlight w:val="white"/>
        </w:rPr>
        <w:t xml:space="preserve">, G., Minneci, D., &amp; </w:t>
      </w:r>
      <w:proofErr w:type="spellStart"/>
      <w:r>
        <w:rPr>
          <w:rFonts w:ascii="Arial" w:eastAsia="Arial" w:hAnsi="Arial" w:cs="Arial"/>
          <w:sz w:val="20"/>
          <w:szCs w:val="20"/>
          <w:highlight w:val="white"/>
        </w:rPr>
        <w:t>Scita</w:t>
      </w:r>
      <w:proofErr w:type="spellEnd"/>
      <w:r>
        <w:rPr>
          <w:rFonts w:ascii="Arial" w:eastAsia="Arial" w:hAnsi="Arial" w:cs="Arial"/>
          <w:sz w:val="20"/>
          <w:szCs w:val="20"/>
          <w:highlight w:val="white"/>
        </w:rPr>
        <w:t xml:space="preserve">, F. (2019). The compulsive exercise activity therapy (LEAP) in anorexic inpatient patients: a preliminary case-control efficacy study. In </w:t>
      </w:r>
      <w:r>
        <w:rPr>
          <w:rFonts w:ascii="Arial" w:eastAsia="Arial" w:hAnsi="Arial" w:cs="Arial"/>
          <w:i/>
          <w:iCs/>
          <w:sz w:val="20"/>
          <w:szCs w:val="20"/>
          <w:highlight w:val="white"/>
        </w:rPr>
        <w:t xml:space="preserve">Atti del </w:t>
      </w:r>
      <w:proofErr w:type="spellStart"/>
      <w:r>
        <w:rPr>
          <w:rFonts w:ascii="Arial" w:eastAsia="Arial" w:hAnsi="Arial" w:cs="Arial"/>
          <w:i/>
          <w:iCs/>
          <w:sz w:val="20"/>
          <w:szCs w:val="20"/>
          <w:highlight w:val="white"/>
        </w:rPr>
        <w:t>Congresso</w:t>
      </w:r>
      <w:proofErr w:type="spellEnd"/>
      <w:r>
        <w:rPr>
          <w:rFonts w:ascii="Arial" w:eastAsia="Arial" w:hAnsi="Arial" w:cs="Arial"/>
          <w:i/>
          <w:iCs/>
          <w:sz w:val="20"/>
          <w:szCs w:val="20"/>
          <w:highlight w:val="white"/>
        </w:rPr>
        <w:t>. SISDCA</w:t>
      </w:r>
      <w:r>
        <w:rPr>
          <w:rFonts w:ascii="Arial" w:eastAsia="Arial" w:hAnsi="Arial" w:cs="Arial"/>
          <w:sz w:val="20"/>
          <w:szCs w:val="20"/>
          <w:highlight w:val="white"/>
        </w:rPr>
        <w:t>.</w:t>
      </w:r>
      <w:r>
        <w:rPr>
          <w:rFonts w:ascii="Arial" w:eastAsia="Arial" w:hAnsi="Arial" w:cs="Arial"/>
          <w:sz w:val="20"/>
          <w:szCs w:val="20"/>
          <w:highlight w:val="white"/>
          <w:u w:val="single"/>
        </w:rPr>
        <w:t xml:space="preserve"> https://doi.org/</w:t>
      </w:r>
      <w:hyperlink r:id="rId26">
        <w:r w:rsidR="00122EB2">
          <w:rPr>
            <w:rFonts w:ascii="Arial" w:eastAsia="Arial" w:hAnsi="Arial" w:cs="Arial"/>
            <w:sz w:val="20"/>
            <w:szCs w:val="20"/>
            <w:highlight w:val="white"/>
            <w:u w:val="single"/>
          </w:rPr>
          <w:t>10.13140/RG.2.2.21178.31689</w:t>
        </w:r>
      </w:hyperlink>
      <w:r>
        <w:rPr>
          <w:rFonts w:ascii="Arial" w:eastAsia="Arial" w:hAnsi="Arial" w:cs="Arial"/>
          <w:sz w:val="20"/>
          <w:szCs w:val="20"/>
        </w:rPr>
        <w:t xml:space="preserve">  </w:t>
      </w:r>
    </w:p>
    <w:p w14:paraId="4624F0E5" w14:textId="77777777" w:rsidR="00122EB2" w:rsidRDefault="00000000">
      <w:pPr>
        <w:rPr>
          <w:rFonts w:ascii="Arial" w:eastAsia="Arial" w:hAnsi="Arial" w:cs="Arial"/>
          <w:sz w:val="20"/>
          <w:szCs w:val="20"/>
        </w:rPr>
      </w:pPr>
      <w:r>
        <w:rPr>
          <w:rFonts w:ascii="Arial" w:eastAsia="Arial" w:hAnsi="Arial" w:cs="Arial"/>
          <w:sz w:val="20"/>
          <w:szCs w:val="20"/>
        </w:rPr>
        <w:t xml:space="preserve">[22] CQC. (2018). Newbridge House Quality Report. </w:t>
      </w:r>
      <w:hyperlink r:id="rId27">
        <w:r w:rsidR="00122EB2">
          <w:rPr>
            <w:rFonts w:ascii="Arial" w:eastAsia="Arial" w:hAnsi="Arial" w:cs="Arial"/>
            <w:sz w:val="20"/>
            <w:szCs w:val="20"/>
            <w:u w:val="single"/>
          </w:rPr>
          <w:t>https://api.cqc.org.uk/public/v1/reports/cf2f702b-0d79-4bf2-a7e0-61a58b4ad88e?20210117152820</w:t>
        </w:r>
      </w:hyperlink>
      <w:r>
        <w:rPr>
          <w:rFonts w:ascii="Arial" w:eastAsia="Arial" w:hAnsi="Arial" w:cs="Arial"/>
          <w:sz w:val="20"/>
          <w:szCs w:val="20"/>
        </w:rPr>
        <w:t xml:space="preserve"> </w:t>
      </w:r>
    </w:p>
    <w:p w14:paraId="123A5D5B" w14:textId="77777777" w:rsidR="00122EB2" w:rsidRDefault="00000000">
      <w:pPr>
        <w:rPr>
          <w:rFonts w:ascii="Arial" w:eastAsia="Arial" w:hAnsi="Arial" w:cs="Arial"/>
          <w:sz w:val="20"/>
          <w:szCs w:val="20"/>
          <w:highlight w:val="white"/>
        </w:rPr>
      </w:pPr>
      <w:r>
        <w:rPr>
          <w:rFonts w:ascii="Arial" w:eastAsia="Arial" w:hAnsi="Arial" w:cs="Arial"/>
          <w:sz w:val="20"/>
          <w:szCs w:val="20"/>
          <w:highlight w:val="white"/>
        </w:rPr>
        <w:t xml:space="preserve">[23] Bulik, C. M. (2014). The challenges of treating anorexia nervosa. </w:t>
      </w:r>
      <w:r>
        <w:rPr>
          <w:rFonts w:ascii="Arial" w:eastAsia="Arial" w:hAnsi="Arial" w:cs="Arial"/>
          <w:i/>
          <w:iCs/>
          <w:sz w:val="20"/>
          <w:szCs w:val="20"/>
          <w:highlight w:val="white"/>
        </w:rPr>
        <w:t>The Lancet</w:t>
      </w:r>
      <w:r>
        <w:rPr>
          <w:rFonts w:ascii="Arial" w:eastAsia="Arial" w:hAnsi="Arial" w:cs="Arial"/>
          <w:sz w:val="20"/>
          <w:szCs w:val="20"/>
          <w:highlight w:val="white"/>
        </w:rPr>
        <w:t xml:space="preserve">, </w:t>
      </w:r>
      <w:r>
        <w:rPr>
          <w:rFonts w:ascii="Arial" w:eastAsia="Arial" w:hAnsi="Arial" w:cs="Arial"/>
          <w:i/>
          <w:iCs/>
          <w:sz w:val="20"/>
          <w:szCs w:val="20"/>
          <w:highlight w:val="white"/>
        </w:rPr>
        <w:t>383</w:t>
      </w:r>
      <w:r>
        <w:rPr>
          <w:rFonts w:ascii="Arial" w:eastAsia="Arial" w:hAnsi="Arial" w:cs="Arial"/>
          <w:sz w:val="20"/>
          <w:szCs w:val="20"/>
          <w:highlight w:val="white"/>
        </w:rPr>
        <w:t xml:space="preserve">(9912), 105-106. </w:t>
      </w:r>
      <w:hyperlink r:id="rId28">
        <w:r w:rsidR="00122EB2">
          <w:rPr>
            <w:rFonts w:ascii="Arial" w:eastAsia="Arial" w:hAnsi="Arial" w:cs="Arial"/>
            <w:sz w:val="20"/>
            <w:szCs w:val="20"/>
            <w:highlight w:val="white"/>
            <w:u w:val="single"/>
          </w:rPr>
          <w:t>https://doi.org/10.1016/s0140-6736(13)61940-</w:t>
        </w:r>
      </w:hyperlink>
      <w:hyperlink r:id="rId29">
        <w:r w:rsidR="00122EB2">
          <w:rPr>
            <w:rFonts w:ascii="Arial" w:eastAsia="Arial" w:hAnsi="Arial" w:cs="Arial"/>
            <w:sz w:val="20"/>
            <w:szCs w:val="20"/>
            <w:highlight w:val="white"/>
          </w:rPr>
          <w:t xml:space="preserve">6  </w:t>
        </w:r>
      </w:hyperlink>
      <w:r>
        <w:rPr>
          <w:rFonts w:ascii="Arial" w:eastAsia="Arial" w:hAnsi="Arial" w:cs="Arial"/>
          <w:sz w:val="20"/>
          <w:szCs w:val="20"/>
          <w:highlight w:val="white"/>
        </w:rPr>
        <w:t xml:space="preserve"> </w:t>
      </w:r>
    </w:p>
    <w:p w14:paraId="641C2F91" w14:textId="77777777" w:rsidR="00122EB2" w:rsidRDefault="00000000">
      <w:pPr>
        <w:rPr>
          <w:rFonts w:ascii="Arial" w:eastAsia="Arial" w:hAnsi="Arial" w:cs="Arial"/>
          <w:color w:val="FF0000"/>
          <w:sz w:val="20"/>
          <w:szCs w:val="20"/>
        </w:rPr>
      </w:pPr>
      <w:r>
        <w:rPr>
          <w:rFonts w:ascii="Arial" w:eastAsia="Arial" w:hAnsi="Arial" w:cs="Arial"/>
          <w:sz w:val="20"/>
          <w:szCs w:val="20"/>
        </w:rPr>
        <w:t xml:space="preserve">[24] Dittmer, N., </w:t>
      </w:r>
      <w:proofErr w:type="spellStart"/>
      <w:r>
        <w:rPr>
          <w:rFonts w:ascii="Arial" w:eastAsia="Arial" w:hAnsi="Arial" w:cs="Arial"/>
          <w:sz w:val="20"/>
          <w:szCs w:val="20"/>
        </w:rPr>
        <w:t>Voderholzer</w:t>
      </w:r>
      <w:proofErr w:type="spellEnd"/>
      <w:r>
        <w:rPr>
          <w:rFonts w:ascii="Arial" w:eastAsia="Arial" w:hAnsi="Arial" w:cs="Arial"/>
          <w:sz w:val="20"/>
          <w:szCs w:val="20"/>
        </w:rPr>
        <w:t xml:space="preserve">, U., </w:t>
      </w:r>
      <w:proofErr w:type="spellStart"/>
      <w:r>
        <w:rPr>
          <w:rFonts w:ascii="Arial" w:eastAsia="Arial" w:hAnsi="Arial" w:cs="Arial"/>
          <w:sz w:val="20"/>
          <w:szCs w:val="20"/>
        </w:rPr>
        <w:t>Mönch</w:t>
      </w:r>
      <w:proofErr w:type="spellEnd"/>
      <w:r>
        <w:rPr>
          <w:rFonts w:ascii="Arial" w:eastAsia="Arial" w:hAnsi="Arial" w:cs="Arial"/>
          <w:sz w:val="20"/>
          <w:szCs w:val="20"/>
        </w:rPr>
        <w:t xml:space="preserve">, C., </w:t>
      </w:r>
      <w:proofErr w:type="spellStart"/>
      <w:r>
        <w:rPr>
          <w:rFonts w:ascii="Arial" w:eastAsia="Arial" w:hAnsi="Arial" w:cs="Arial"/>
          <w:sz w:val="20"/>
          <w:szCs w:val="20"/>
        </w:rPr>
        <w:t>Cuntz</w:t>
      </w:r>
      <w:proofErr w:type="spellEnd"/>
      <w:r>
        <w:rPr>
          <w:rFonts w:ascii="Arial" w:eastAsia="Arial" w:hAnsi="Arial" w:cs="Arial"/>
          <w:sz w:val="20"/>
          <w:szCs w:val="20"/>
        </w:rPr>
        <w:t xml:space="preserve">, U., Jacobi, C., &amp; </w:t>
      </w:r>
      <w:proofErr w:type="spellStart"/>
      <w:r>
        <w:rPr>
          <w:rFonts w:ascii="Arial" w:eastAsia="Arial" w:hAnsi="Arial" w:cs="Arial"/>
          <w:sz w:val="20"/>
          <w:szCs w:val="20"/>
        </w:rPr>
        <w:t>Schlegl</w:t>
      </w:r>
      <w:proofErr w:type="spellEnd"/>
      <w:r>
        <w:rPr>
          <w:rFonts w:ascii="Arial" w:eastAsia="Arial" w:hAnsi="Arial" w:cs="Arial"/>
          <w:sz w:val="20"/>
          <w:szCs w:val="20"/>
        </w:rPr>
        <w:t xml:space="preserve">, S. (2020). Efficacy of a specialized group intervention for compulsive exercise in inpatients with anorexia nervosa: a randomized controlled trial. </w:t>
      </w:r>
      <w:r>
        <w:rPr>
          <w:rFonts w:ascii="Arial" w:eastAsia="Arial" w:hAnsi="Arial" w:cs="Arial"/>
          <w:i/>
          <w:iCs/>
          <w:sz w:val="20"/>
          <w:szCs w:val="20"/>
        </w:rPr>
        <w:t>Psychotherapy and Psychosomatics</w:t>
      </w:r>
      <w:r>
        <w:rPr>
          <w:rFonts w:ascii="Arial" w:eastAsia="Arial" w:hAnsi="Arial" w:cs="Arial"/>
          <w:sz w:val="20"/>
          <w:szCs w:val="20"/>
        </w:rPr>
        <w:t xml:space="preserve">, </w:t>
      </w:r>
      <w:r>
        <w:rPr>
          <w:rFonts w:ascii="Arial" w:eastAsia="Arial" w:hAnsi="Arial" w:cs="Arial"/>
          <w:i/>
          <w:iCs/>
          <w:sz w:val="20"/>
          <w:szCs w:val="20"/>
        </w:rPr>
        <w:t>89</w:t>
      </w:r>
      <w:r>
        <w:rPr>
          <w:rFonts w:ascii="Arial" w:eastAsia="Arial" w:hAnsi="Arial" w:cs="Arial"/>
          <w:sz w:val="20"/>
          <w:szCs w:val="20"/>
        </w:rPr>
        <w:t xml:space="preserve">(3), 161-173. </w:t>
      </w:r>
      <w:hyperlink r:id="rId30">
        <w:r w:rsidR="00122EB2">
          <w:rPr>
            <w:rFonts w:ascii="Arial" w:eastAsia="Arial" w:hAnsi="Arial" w:cs="Arial"/>
            <w:sz w:val="20"/>
            <w:szCs w:val="20"/>
            <w:highlight w:val="white"/>
            <w:u w:val="single"/>
          </w:rPr>
          <w:t>https://doi.org/10.1159/000504583</w:t>
        </w:r>
      </w:hyperlink>
      <w:hyperlink r:id="rId31">
        <w:r w:rsidR="00122EB2">
          <w:rPr>
            <w:rFonts w:ascii="Arial" w:eastAsia="Arial" w:hAnsi="Arial" w:cs="Arial"/>
            <w:color w:val="067499"/>
            <w:sz w:val="20"/>
            <w:szCs w:val="20"/>
            <w:highlight w:val="white"/>
            <w:u w:val="single"/>
          </w:rPr>
          <w:t xml:space="preserve"> </w:t>
        </w:r>
      </w:hyperlink>
    </w:p>
    <w:p w14:paraId="2859C0C4" w14:textId="77777777" w:rsidR="00122EB2" w:rsidRDefault="00122EB2">
      <w:pPr>
        <w:rPr>
          <w:rFonts w:ascii="Arial" w:eastAsia="Arial" w:hAnsi="Arial" w:cs="Arial"/>
          <w:color w:val="38761D"/>
          <w:sz w:val="20"/>
          <w:szCs w:val="20"/>
          <w:highlight w:val="white"/>
        </w:rPr>
      </w:pPr>
    </w:p>
    <w:p w14:paraId="1644F90C" w14:textId="77777777" w:rsidR="00122EB2" w:rsidRDefault="00122EB2">
      <w:pPr>
        <w:rPr>
          <w:rFonts w:ascii="Arial" w:eastAsia="Arial" w:hAnsi="Arial" w:cs="Arial"/>
          <w:color w:val="38761D"/>
          <w:sz w:val="20"/>
          <w:szCs w:val="20"/>
          <w:highlight w:val="white"/>
        </w:rPr>
      </w:pPr>
    </w:p>
    <w:p w14:paraId="6F12ECAA" w14:textId="77777777" w:rsidR="00122EB2" w:rsidRDefault="00122EB2">
      <w:pPr>
        <w:rPr>
          <w:rFonts w:ascii="Arial" w:eastAsia="Arial" w:hAnsi="Arial" w:cs="Arial"/>
          <w:color w:val="38761D"/>
          <w:sz w:val="24"/>
          <w:szCs w:val="24"/>
        </w:rPr>
      </w:pPr>
    </w:p>
    <w:p w14:paraId="440E3583" w14:textId="77777777" w:rsidR="00122EB2" w:rsidRDefault="00122EB2">
      <w:pPr>
        <w:pBdr>
          <w:top w:val="nil"/>
          <w:left w:val="nil"/>
          <w:bottom w:val="nil"/>
          <w:right w:val="nil"/>
          <w:between w:val="nil"/>
        </w:pBdr>
        <w:spacing w:after="0" w:line="256" w:lineRule="auto"/>
        <w:rPr>
          <w:rFonts w:ascii="Arial" w:eastAsia="Arial" w:hAnsi="Arial" w:cs="Arial"/>
          <w:color w:val="6AA84F"/>
          <w:sz w:val="20"/>
          <w:szCs w:val="20"/>
          <w:shd w:val="clear" w:color="auto" w:fill="6AA84F"/>
        </w:rPr>
      </w:pPr>
    </w:p>
    <w:p w14:paraId="7027B0E3" w14:textId="77777777" w:rsidR="00122EB2" w:rsidRDefault="00122EB2">
      <w:pPr>
        <w:pBdr>
          <w:top w:val="nil"/>
          <w:left w:val="nil"/>
          <w:bottom w:val="nil"/>
          <w:right w:val="nil"/>
          <w:between w:val="nil"/>
        </w:pBdr>
        <w:spacing w:line="256" w:lineRule="auto"/>
        <w:jc w:val="both"/>
        <w:rPr>
          <w:rFonts w:ascii="Arial" w:eastAsia="Arial" w:hAnsi="Arial" w:cs="Arial"/>
          <w:color w:val="000000"/>
          <w:sz w:val="24"/>
          <w:szCs w:val="24"/>
        </w:rPr>
      </w:pPr>
    </w:p>
    <w:p w14:paraId="3DB9ED8D" w14:textId="77777777" w:rsidR="00122EB2" w:rsidRDefault="00122EB2">
      <w:pPr>
        <w:rPr>
          <w:rFonts w:ascii="Arial" w:eastAsia="Arial" w:hAnsi="Arial" w:cs="Arial"/>
          <w:sz w:val="20"/>
          <w:szCs w:val="20"/>
        </w:rPr>
      </w:pPr>
    </w:p>
    <w:p w14:paraId="20DB0215" w14:textId="77777777" w:rsidR="00122EB2" w:rsidRDefault="00122EB2">
      <w:pPr>
        <w:rPr>
          <w:rFonts w:ascii="Arial" w:eastAsia="Arial" w:hAnsi="Arial" w:cs="Arial"/>
        </w:rPr>
      </w:pPr>
    </w:p>
    <w:p w14:paraId="0CEB9A87" w14:textId="77777777" w:rsidR="00122EB2" w:rsidRDefault="00122EB2">
      <w:pPr>
        <w:rPr>
          <w:rFonts w:ascii="Arial" w:eastAsia="Arial" w:hAnsi="Arial" w:cs="Arial"/>
          <w:sz w:val="24"/>
          <w:szCs w:val="24"/>
          <w:highlight w:val="white"/>
        </w:rPr>
      </w:pPr>
    </w:p>
    <w:p w14:paraId="4593D7AD" w14:textId="77777777" w:rsidR="00122EB2" w:rsidRDefault="00122EB2">
      <w:pPr>
        <w:rPr>
          <w:rFonts w:ascii="Arial" w:eastAsia="Arial" w:hAnsi="Arial" w:cs="Arial"/>
          <w:b/>
          <w:bCs/>
          <w:sz w:val="20"/>
          <w:szCs w:val="20"/>
        </w:rPr>
      </w:pPr>
    </w:p>
    <w:p w14:paraId="53C5EF3F" w14:textId="77777777" w:rsidR="00122EB2" w:rsidRDefault="00122EB2">
      <w:pPr>
        <w:rPr>
          <w:rFonts w:ascii="Arial" w:eastAsia="Arial" w:hAnsi="Arial" w:cs="Arial"/>
          <w:sz w:val="20"/>
          <w:szCs w:val="20"/>
        </w:rPr>
      </w:pPr>
    </w:p>
    <w:sectPr w:rsidR="00122EB2">
      <w:headerReference w:type="default" r:id="rId3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6BBB9" w14:textId="77777777" w:rsidR="008B7AEF" w:rsidRDefault="008B7AEF">
      <w:pPr>
        <w:spacing w:after="0" w:line="240" w:lineRule="auto"/>
      </w:pPr>
      <w:r>
        <w:separator/>
      </w:r>
    </w:p>
  </w:endnote>
  <w:endnote w:type="continuationSeparator" w:id="0">
    <w:p w14:paraId="4DC1C97D" w14:textId="77777777" w:rsidR="008B7AEF" w:rsidRDefault="008B7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08A882E-415A-3D4C-A307-1BD07778A2B0}"/>
    <w:embedBold r:id="rId2" w:fontKey="{DC6297C8-3236-1847-945D-4B48374DBD96}"/>
  </w:font>
  <w:font w:name="Times New Roman">
    <w:panose1 w:val="02020603050405020304"/>
    <w:charset w:val="00"/>
    <w:family w:val="roman"/>
    <w:pitch w:val="variable"/>
    <w:sig w:usb0="E0002EFF" w:usb1="C000785B" w:usb2="00000009" w:usb3="00000000" w:csb0="000001FF" w:csb1="00000000"/>
    <w:embedRegular r:id="rId3" w:fontKey="{07FED9B6-12B1-0C4B-A4DE-8F1E3029B034}"/>
    <w:embedBold r:id="rId4" w:fontKey="{F91712A3-F5A8-054D-9278-F223420B94AA}"/>
    <w:embedItalic r:id="rId5" w:fontKey="{9EEDC873-7C94-3440-8489-9E89D139D4A2}"/>
  </w:font>
  <w:font w:name="Georgia">
    <w:panose1 w:val="02040502050405020303"/>
    <w:charset w:val="00"/>
    <w:family w:val="roman"/>
    <w:pitch w:val="variable"/>
    <w:sig w:usb0="00000287" w:usb1="00000000" w:usb2="00000000" w:usb3="00000000" w:csb0="0000009F" w:csb1="00000000"/>
    <w:embedItalic r:id="rId6" w:fontKey="{C7F280F1-1FEA-AC41-B1CE-928FCC79F296}"/>
  </w:font>
  <w:font w:name="Arial">
    <w:panose1 w:val="020B0604020202020204"/>
    <w:charset w:val="00"/>
    <w:family w:val="swiss"/>
    <w:pitch w:val="variable"/>
    <w:sig w:usb0="E0002AFF" w:usb1="C0007843" w:usb2="00000009" w:usb3="00000000" w:csb0="000001FF" w:csb1="00000000"/>
    <w:embedRegular r:id="rId7" w:fontKey="{BCA45643-032C-B24B-8F6A-495000CE1D01}"/>
    <w:embedBold r:id="rId8" w:fontKey="{AD30B5C9-6839-4449-A164-FC5F83988DF2}"/>
    <w:embedItalic r:id="rId9" w:fontKey="{2934CEB6-9D7B-3A49-89AD-C23914E37DC9}"/>
  </w:font>
  <w:font w:name="Arial Unicode MS">
    <w:panose1 w:val="020B0604020202020204"/>
    <w:charset w:val="80"/>
    <w:family w:val="swiss"/>
    <w:pitch w:val="variable"/>
    <w:sig w:usb0="F7FFAFFF" w:usb1="E9DFFFFF" w:usb2="0000003F" w:usb3="00000000" w:csb0="003F01FF" w:csb1="00000000"/>
    <w:embedRegular r:id="rId10" w:subsetted="1" w:fontKey="{4F1CA8D0-36CC-894B-AEC0-A02073511BA5}"/>
  </w:font>
  <w:font w:name="Calibri Light">
    <w:panose1 w:val="020F0302020204030204"/>
    <w:charset w:val="00"/>
    <w:family w:val="swiss"/>
    <w:pitch w:val="variable"/>
    <w:sig w:usb0="E0002AFF" w:usb1="C000247B" w:usb2="00000009" w:usb3="00000000" w:csb0="000001FF" w:csb1="00000000"/>
    <w:embedRegular r:id="rId11" w:fontKey="{CCA74DAE-3BB3-F743-B57E-576D7AF965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72624" w14:textId="77777777" w:rsidR="008B7AEF" w:rsidRDefault="008B7AEF">
      <w:pPr>
        <w:spacing w:after="0" w:line="240" w:lineRule="auto"/>
      </w:pPr>
      <w:r>
        <w:separator/>
      </w:r>
    </w:p>
  </w:footnote>
  <w:footnote w:type="continuationSeparator" w:id="0">
    <w:p w14:paraId="5B093DCD" w14:textId="77777777" w:rsidR="008B7AEF" w:rsidRDefault="008B7A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96B9" w14:textId="77777777" w:rsidR="00122EB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65223">
      <w:rPr>
        <w:noProof/>
        <w:color w:val="000000"/>
      </w:rPr>
      <w:t>1</w:t>
    </w:r>
    <w:r>
      <w:rPr>
        <w:color w:val="000000"/>
      </w:rPr>
      <w:fldChar w:fldCharType="end"/>
    </w:r>
  </w:p>
  <w:p w14:paraId="61551B62" w14:textId="77777777" w:rsidR="00122EB2" w:rsidRDefault="00122EB2">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EB2"/>
    <w:rsid w:val="00122EB2"/>
    <w:rsid w:val="0013406E"/>
    <w:rsid w:val="001B4A67"/>
    <w:rsid w:val="003F27A8"/>
    <w:rsid w:val="00505E96"/>
    <w:rsid w:val="0060772C"/>
    <w:rsid w:val="006D70A6"/>
    <w:rsid w:val="008B7AEF"/>
    <w:rsid w:val="00917760"/>
    <w:rsid w:val="00977839"/>
    <w:rsid w:val="009F3E11"/>
    <w:rsid w:val="00A70335"/>
    <w:rsid w:val="00B07F97"/>
    <w:rsid w:val="00D354EA"/>
    <w:rsid w:val="00D65223"/>
    <w:rsid w:val="00E54DF9"/>
    <w:rsid w:val="00EE5C6A"/>
    <w:rsid w:val="00FD0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D7266B"/>
  <w15:docId w15:val="{79D7EA79-DB43-454F-ABE0-41DA955A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Strong">
    <w:name w:val="Strong"/>
    <w:basedOn w:val="DefaultParagraphFont"/>
    <w:uiPriority w:val="22"/>
    <w:qFormat/>
    <w:rsid w:val="009A0075"/>
    <w:rPr>
      <w:b/>
      <w:bCs/>
    </w:rPr>
  </w:style>
  <w:style w:type="paragraph" w:styleId="NormalWeb">
    <w:name w:val="Normal (Web)"/>
    <w:basedOn w:val="Normal"/>
    <w:uiPriority w:val="99"/>
    <w:semiHidden/>
    <w:unhideWhenUsed/>
    <w:rsid w:val="009A007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0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075"/>
  </w:style>
  <w:style w:type="paragraph" w:styleId="Footer">
    <w:name w:val="footer"/>
    <w:basedOn w:val="Normal"/>
    <w:link w:val="FooterChar"/>
    <w:uiPriority w:val="99"/>
    <w:unhideWhenUsed/>
    <w:rsid w:val="009A0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075"/>
  </w:style>
  <w:style w:type="character" w:styleId="Hyperlink">
    <w:name w:val="Hyperlink"/>
    <w:basedOn w:val="DefaultParagraphFont"/>
    <w:uiPriority w:val="99"/>
    <w:unhideWhenUsed/>
    <w:rsid w:val="00E5461C"/>
    <w:rPr>
      <w:color w:val="0563C1" w:themeColor="hyperlink"/>
      <w:u w:val="single"/>
    </w:rPr>
  </w:style>
  <w:style w:type="character" w:customStyle="1" w:styleId="UnresolvedMention1">
    <w:name w:val="Unresolved Mention1"/>
    <w:basedOn w:val="DefaultParagraphFont"/>
    <w:uiPriority w:val="99"/>
    <w:semiHidden/>
    <w:unhideWhenUsed/>
    <w:rsid w:val="00E5461C"/>
    <w:rPr>
      <w:color w:val="605E5C"/>
      <w:shd w:val="clear" w:color="auto" w:fill="E1DFDD"/>
    </w:rPr>
  </w:style>
  <w:style w:type="paragraph" w:styleId="ListParagraph">
    <w:name w:val="List Paragraph"/>
    <w:basedOn w:val="Normal"/>
    <w:uiPriority w:val="34"/>
    <w:qFormat/>
    <w:rsid w:val="00E5461C"/>
    <w:pPr>
      <w:spacing w:line="256" w:lineRule="auto"/>
      <w:ind w:left="720"/>
      <w:contextualSpacing/>
    </w:pPr>
  </w:style>
  <w:style w:type="character" w:styleId="FollowedHyperlink">
    <w:name w:val="FollowedHyperlink"/>
    <w:basedOn w:val="DefaultParagraphFont"/>
    <w:uiPriority w:val="99"/>
    <w:semiHidden/>
    <w:unhideWhenUsed/>
    <w:rsid w:val="00D937F5"/>
    <w:rPr>
      <w:color w:val="954F72" w:themeColor="followedHyperlink"/>
      <w:u w:val="single"/>
    </w:rPr>
  </w:style>
  <w:style w:type="character" w:styleId="Emphasis">
    <w:name w:val="Emphasis"/>
    <w:basedOn w:val="DefaultParagraphFont"/>
    <w:uiPriority w:val="20"/>
    <w:qFormat/>
    <w:rsid w:val="007F4CEF"/>
    <w:rPr>
      <w:i/>
      <w:iCs/>
    </w:rPr>
  </w:style>
  <w:style w:type="table" w:customStyle="1" w:styleId="ListTable1Light-Accent51">
    <w:name w:val="List Table 1 Light - Accent 51"/>
    <w:basedOn w:val="TableNormal"/>
    <w:uiPriority w:val="46"/>
    <w:rsid w:val="003E2DA2"/>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style>
  <w:style w:type="table" w:styleId="TableGrid">
    <w:name w:val="Table Grid"/>
    <w:basedOn w:val="TableNormal"/>
    <w:uiPriority w:val="39"/>
    <w:rsid w:val="00630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style>
  <w:style w:type="table" w:customStyle="1" w:styleId="a6">
    <w:basedOn w:val="TableNormal"/>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pPr>
      <w:spacing w:after="0" w:line="240" w:lineRule="auto"/>
    </w:pPr>
    <w:tblPr>
      <w:tblStyleRowBandSize w:val="1"/>
      <w:tblStyleColBandSize w:val="1"/>
    </w:tblPr>
    <w:tblStylePr w:type="firstRow">
      <w:rPr>
        <w:b/>
        <w:bCs/>
      </w:rPr>
      <w:tblPr/>
      <w:tcPr>
        <w:tcBorders>
          <w:bottom w:val="single" w:sz="4" w:space="0" w:color="9CC3E5"/>
        </w:tcBorders>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style>
  <w:style w:type="table" w:customStyle="1" w:styleId="ac">
    <w:basedOn w:val="TableNormal"/>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s1471-0153(01)00026-5" TargetMode="External"/><Relationship Id="rId18" Type="http://schemas.openxmlformats.org/officeDocument/2006/relationships/hyperlink" Target="https://doi.org/10.1002/eat.22657" TargetMode="External"/><Relationship Id="rId26" Type="http://schemas.openxmlformats.org/officeDocument/2006/relationships/hyperlink" Target="http://dx.doi.org/10.13140/RG.2.2.21178.31689" TargetMode="External"/><Relationship Id="rId3" Type="http://schemas.openxmlformats.org/officeDocument/2006/relationships/settings" Target="settings.xml"/><Relationship Id="rId21" Type="http://schemas.openxmlformats.org/officeDocument/2006/relationships/hyperlink" Target="https://doi.org/10.1002/eat.22657" TargetMode="External"/><Relationship Id="rId34" Type="http://schemas.openxmlformats.org/officeDocument/2006/relationships/theme" Target="theme/theme1.xml"/><Relationship Id="rId7" Type="http://schemas.openxmlformats.org/officeDocument/2006/relationships/hyperlink" Target="https://doi.org/10.1002/eat.20214" TargetMode="External"/><Relationship Id="rId12" Type="http://schemas.openxmlformats.org/officeDocument/2006/relationships/hyperlink" Target="https://doi.org/10.1002/eat.22004" TargetMode="External"/><Relationship Id="rId17" Type="http://schemas.openxmlformats.org/officeDocument/2006/relationships/hyperlink" Target="https://doi.org/10.1002/eat.22657" TargetMode="External"/><Relationship Id="rId25" Type="http://schemas.openxmlformats.org/officeDocument/2006/relationships/hyperlink" Target="https://doi.org/10.1016/j.apnu.2017.08.00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ice.org.uk/guidance/ng69/chapter/Recommendations" TargetMode="External"/><Relationship Id="rId20" Type="http://schemas.openxmlformats.org/officeDocument/2006/relationships/hyperlink" Target="https://doi.org/10.1016/j.eatbeh.2023.101825" TargetMode="External"/><Relationship Id="rId29" Type="http://schemas.openxmlformats.org/officeDocument/2006/relationships/hyperlink" Target="https://doi.org/10.1016/s0140-6736(13)61940-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02/erv.630" TargetMode="External"/><Relationship Id="rId24" Type="http://schemas.openxmlformats.org/officeDocument/2006/relationships/hyperlink" Target="https://doi.org/10.1002/1098-108x(199412)16:4%3C363::aid-eat2260160405%3E3.0.co;2-"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186/s40337-017-0157-z" TargetMode="External"/><Relationship Id="rId23" Type="http://schemas.openxmlformats.org/officeDocument/2006/relationships/hyperlink" Target="https://doi.org/10.1002/eat.23694" TargetMode="External"/><Relationship Id="rId28" Type="http://schemas.openxmlformats.org/officeDocument/2006/relationships/hyperlink" Target="https://doi.org/10.1016/s0140-6736(13)61940-6" TargetMode="External"/><Relationship Id="rId10" Type="http://schemas.openxmlformats.org/officeDocument/2006/relationships/hyperlink" Target="https://doi.org/10.1016/s0010-440x(97)90927-5" TargetMode="External"/><Relationship Id="rId19" Type="http://schemas.openxmlformats.org/officeDocument/2006/relationships/hyperlink" Target="https://doi.org/10.1002/eat.22920" TargetMode="External"/><Relationship Id="rId31" Type="http://schemas.openxmlformats.org/officeDocument/2006/relationships/hyperlink" Target="https://doi.org/10.1159/000504583" TargetMode="External"/><Relationship Id="rId4" Type="http://schemas.openxmlformats.org/officeDocument/2006/relationships/webSettings" Target="webSettings.xml"/><Relationship Id="rId9" Type="http://schemas.openxmlformats.org/officeDocument/2006/relationships/hyperlink" Target="https://doi.org/10.1002/1098-108x(199505)17:4%3C413::aid-eat2260170414%3E3.0.co;2-0" TargetMode="External"/><Relationship Id="rId14" Type="http://schemas.openxmlformats.org/officeDocument/2006/relationships/hyperlink" Target="https://doi.org/10.1017/s0033291703001168" TargetMode="External"/><Relationship Id="rId22" Type="http://schemas.openxmlformats.org/officeDocument/2006/relationships/hyperlink" Target="https://doi.org/10.1002/erv.1108" TargetMode="External"/><Relationship Id="rId27" Type="http://schemas.openxmlformats.org/officeDocument/2006/relationships/hyperlink" Target="https://api.cqc.org.uk/public/v1/reports/cf2f702b-0d79-4bf2-a7e0-61a58b4ad88e?20210117152820" TargetMode="External"/><Relationship Id="rId30" Type="http://schemas.openxmlformats.org/officeDocument/2006/relationships/hyperlink" Target="https://doi.org/10.1159/000504583" TargetMode="External"/><Relationship Id="rId8" Type="http://schemas.openxmlformats.org/officeDocument/2006/relationships/hyperlink" Target="https://doi.org/10.1016/j.comppsych.2007.12.00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7Y1pC7hHuLANEjfpnXryKsxxxA==">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5592</Words>
  <Characters>31876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Herrmann</dc:creator>
  <cp:lastModifiedBy>prof john hubert lacey</cp:lastModifiedBy>
  <cp:revision>2</cp:revision>
  <dcterms:created xsi:type="dcterms:W3CDTF">2025-12-02T13:49:00Z</dcterms:created>
  <dcterms:modified xsi:type="dcterms:W3CDTF">2025-12-02T13:49:00Z</dcterms:modified>
</cp:coreProperties>
</file>