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979368487"/>
        <w:docPartObj>
          <w:docPartGallery w:val="Table of Contents"/>
          <w:docPartUnique/>
        </w:docPartObj>
      </w:sdtPr>
      <w:sdtEndPr>
        <w:rPr>
          <w:rFonts w:eastAsiaTheme="minorEastAsia" w:cs="Times New Roman"/>
          <w:b/>
          <w:noProof/>
          <w:sz w:val="24"/>
          <w:szCs w:val="22"/>
          <w:lang w:val="en-GB" w:eastAsia="zh-CN"/>
        </w:rPr>
      </w:sdtEndPr>
      <w:sdtContent>
        <w:p w14:paraId="4BC2DA9A" w14:textId="6D613389" w:rsidR="00F75912" w:rsidRPr="00A27FE7" w:rsidRDefault="00F75912">
          <w:pPr>
            <w:pStyle w:val="TOCHeading"/>
            <w:rPr>
              <w:b/>
              <w:bCs w:val="0"/>
            </w:rPr>
          </w:pPr>
          <w:r w:rsidRPr="00A27FE7">
            <w:rPr>
              <w:b/>
              <w:bCs w:val="0"/>
            </w:rPr>
            <w:t>Table of Contents</w:t>
          </w:r>
        </w:p>
        <w:p w14:paraId="76A6B949" w14:textId="5E6A5D72" w:rsidR="00F75912" w:rsidRPr="00F75912" w:rsidRDefault="00F75912" w:rsidP="00A27FE7">
          <w:pPr>
            <w:pStyle w:val="TOC1"/>
            <w:rPr>
              <w:caps/>
            </w:rPr>
          </w:pPr>
          <w:r w:rsidRPr="00F75912">
            <w:rPr>
              <w:noProof w:val="0"/>
            </w:rPr>
            <w:fldChar w:fldCharType="begin"/>
          </w:r>
          <w:r w:rsidRPr="00F75912">
            <w:instrText xml:space="preserve"> TOC \o "1-3" \h \z \u </w:instrText>
          </w:r>
          <w:r w:rsidRPr="00F75912">
            <w:rPr>
              <w:noProof w:val="0"/>
            </w:rPr>
            <w:fldChar w:fldCharType="separate"/>
          </w:r>
          <w:hyperlink w:anchor="_Toc108613994" w:history="1">
            <w:r w:rsidRPr="00F75912">
              <w:rPr>
                <w:rStyle w:val="Hyperlink"/>
              </w:rPr>
              <w:t>Appendix A. Supplementary data</w:t>
            </w:r>
            <w:r w:rsidRPr="00F75912">
              <w:rPr>
                <w:webHidden/>
              </w:rPr>
              <w:tab/>
            </w:r>
            <w:r w:rsidRPr="00F75912">
              <w:rPr>
                <w:webHidden/>
              </w:rPr>
              <w:fldChar w:fldCharType="begin"/>
            </w:r>
            <w:r w:rsidRPr="00F75912">
              <w:rPr>
                <w:webHidden/>
              </w:rPr>
              <w:instrText xml:space="preserve"> PAGEREF _Toc108613994 \h </w:instrText>
            </w:r>
            <w:r w:rsidRPr="00F75912">
              <w:rPr>
                <w:webHidden/>
              </w:rPr>
            </w:r>
            <w:r w:rsidRPr="00F75912">
              <w:rPr>
                <w:webHidden/>
              </w:rPr>
              <w:fldChar w:fldCharType="separate"/>
            </w:r>
            <w:r w:rsidR="00A27FE7">
              <w:rPr>
                <w:webHidden/>
              </w:rPr>
              <w:t>3</w:t>
            </w:r>
            <w:r w:rsidRPr="00F75912">
              <w:rPr>
                <w:webHidden/>
              </w:rPr>
              <w:fldChar w:fldCharType="end"/>
            </w:r>
          </w:hyperlink>
        </w:p>
        <w:p w14:paraId="751F1F93" w14:textId="74B003D9" w:rsidR="00F75912" w:rsidRPr="00F75912" w:rsidRDefault="00F75912">
          <w:pPr>
            <w:pStyle w:val="TOC2"/>
            <w:tabs>
              <w:tab w:val="right" w:leader="dot" w:pos="12950"/>
            </w:tabs>
            <w:rPr>
              <w:rFonts w:ascii="Arial" w:hAnsi="Arial" w:cs="Arial"/>
              <w:b w:val="0"/>
              <w:bCs w:val="0"/>
              <w:smallCaps/>
              <w:noProof/>
              <w:sz w:val="24"/>
              <w:szCs w:val="24"/>
            </w:rPr>
          </w:pPr>
          <w:hyperlink w:anchor="_Toc108613995" w:history="1">
            <w:r w:rsidRPr="00F75912">
              <w:rPr>
                <w:rStyle w:val="Hyperlink"/>
                <w:rFonts w:ascii="Arial" w:hAnsi="Arial" w:cs="Arial"/>
                <w:b w:val="0"/>
                <w:bCs w:val="0"/>
                <w:noProof/>
              </w:rPr>
              <w:t>Table A.1 Brief descriptions of the spatial variables.</w:t>
            </w:r>
            <w:r w:rsidRPr="00F75912">
              <w:rPr>
                <w:rFonts w:ascii="Arial" w:hAnsi="Arial" w:cs="Arial"/>
                <w:b w:val="0"/>
                <w:bCs w:val="0"/>
                <w:noProof/>
                <w:webHidden/>
              </w:rPr>
              <w:tab/>
            </w:r>
            <w:r w:rsidRPr="00F75912">
              <w:rPr>
                <w:rFonts w:ascii="Arial" w:hAnsi="Arial" w:cs="Arial"/>
                <w:b w:val="0"/>
                <w:bCs w:val="0"/>
                <w:noProof/>
                <w:webHidden/>
              </w:rPr>
              <w:fldChar w:fldCharType="begin"/>
            </w:r>
            <w:r w:rsidRPr="00F75912">
              <w:rPr>
                <w:rFonts w:ascii="Arial" w:hAnsi="Arial" w:cs="Arial"/>
                <w:b w:val="0"/>
                <w:bCs w:val="0"/>
                <w:noProof/>
                <w:webHidden/>
              </w:rPr>
              <w:instrText xml:space="preserve"> PAGEREF _Toc108613995 \h </w:instrText>
            </w:r>
            <w:r w:rsidRPr="00F75912">
              <w:rPr>
                <w:rFonts w:ascii="Arial" w:hAnsi="Arial" w:cs="Arial"/>
                <w:b w:val="0"/>
                <w:bCs w:val="0"/>
                <w:noProof/>
                <w:webHidden/>
              </w:rPr>
            </w:r>
            <w:r w:rsidRPr="00F75912">
              <w:rPr>
                <w:rFonts w:ascii="Arial" w:hAnsi="Arial" w:cs="Arial"/>
                <w:b w:val="0"/>
                <w:bCs w:val="0"/>
                <w:noProof/>
                <w:webHidden/>
              </w:rPr>
              <w:fldChar w:fldCharType="separate"/>
            </w:r>
            <w:r w:rsidR="00A27FE7">
              <w:rPr>
                <w:rFonts w:ascii="Arial" w:hAnsi="Arial" w:cs="Arial"/>
                <w:b w:val="0"/>
                <w:bCs w:val="0"/>
                <w:noProof/>
                <w:webHidden/>
              </w:rPr>
              <w:t>3</w:t>
            </w:r>
            <w:r w:rsidRPr="00F75912">
              <w:rPr>
                <w:rFonts w:ascii="Arial" w:hAnsi="Arial" w:cs="Arial"/>
                <w:b w:val="0"/>
                <w:bCs w:val="0"/>
                <w:noProof/>
                <w:webHidden/>
              </w:rPr>
              <w:fldChar w:fldCharType="end"/>
            </w:r>
          </w:hyperlink>
        </w:p>
        <w:p w14:paraId="460B468F" w14:textId="072F7482" w:rsidR="00F75912" w:rsidRPr="00F75912" w:rsidRDefault="00F75912">
          <w:pPr>
            <w:pStyle w:val="TOC2"/>
            <w:tabs>
              <w:tab w:val="right" w:leader="dot" w:pos="12950"/>
            </w:tabs>
            <w:rPr>
              <w:rFonts w:ascii="Arial" w:hAnsi="Arial" w:cs="Arial"/>
              <w:b w:val="0"/>
              <w:bCs w:val="0"/>
              <w:smallCaps/>
              <w:noProof/>
              <w:sz w:val="24"/>
              <w:szCs w:val="24"/>
            </w:rPr>
          </w:pPr>
          <w:hyperlink w:anchor="_Toc108613996" w:history="1">
            <w:r w:rsidRPr="00F75912">
              <w:rPr>
                <w:rStyle w:val="Hyperlink"/>
                <w:rFonts w:ascii="Arial" w:hAnsi="Arial" w:cs="Arial"/>
                <w:b w:val="0"/>
                <w:bCs w:val="0"/>
                <w:noProof/>
              </w:rPr>
              <w:t>Table A.2 GIS-derived land use potential predictors with pre-defined variable names, units, buffer sizes and direction of effect.</w:t>
            </w:r>
            <w:r w:rsidRPr="00F75912">
              <w:rPr>
                <w:rFonts w:ascii="Arial" w:hAnsi="Arial" w:cs="Arial"/>
                <w:b w:val="0"/>
                <w:bCs w:val="0"/>
                <w:noProof/>
                <w:webHidden/>
              </w:rPr>
              <w:tab/>
            </w:r>
            <w:r w:rsidRPr="00F75912">
              <w:rPr>
                <w:rFonts w:ascii="Arial" w:hAnsi="Arial" w:cs="Arial"/>
                <w:b w:val="0"/>
                <w:bCs w:val="0"/>
                <w:noProof/>
                <w:webHidden/>
              </w:rPr>
              <w:fldChar w:fldCharType="begin"/>
            </w:r>
            <w:r w:rsidRPr="00F75912">
              <w:rPr>
                <w:rFonts w:ascii="Arial" w:hAnsi="Arial" w:cs="Arial"/>
                <w:b w:val="0"/>
                <w:bCs w:val="0"/>
                <w:noProof/>
                <w:webHidden/>
              </w:rPr>
              <w:instrText xml:space="preserve"> PAGEREF _Toc108613996 \h </w:instrText>
            </w:r>
            <w:r w:rsidRPr="00F75912">
              <w:rPr>
                <w:rFonts w:ascii="Arial" w:hAnsi="Arial" w:cs="Arial"/>
                <w:b w:val="0"/>
                <w:bCs w:val="0"/>
                <w:noProof/>
                <w:webHidden/>
              </w:rPr>
            </w:r>
            <w:r w:rsidRPr="00F75912">
              <w:rPr>
                <w:rFonts w:ascii="Arial" w:hAnsi="Arial" w:cs="Arial"/>
                <w:b w:val="0"/>
                <w:bCs w:val="0"/>
                <w:noProof/>
                <w:webHidden/>
              </w:rPr>
              <w:fldChar w:fldCharType="separate"/>
            </w:r>
            <w:r w:rsidR="00A27FE7">
              <w:rPr>
                <w:rFonts w:ascii="Arial" w:hAnsi="Arial" w:cs="Arial"/>
                <w:b w:val="0"/>
                <w:bCs w:val="0"/>
                <w:noProof/>
                <w:webHidden/>
              </w:rPr>
              <w:t>5</w:t>
            </w:r>
            <w:r w:rsidRPr="00F75912">
              <w:rPr>
                <w:rFonts w:ascii="Arial" w:hAnsi="Arial" w:cs="Arial"/>
                <w:b w:val="0"/>
                <w:bCs w:val="0"/>
                <w:noProof/>
                <w:webHidden/>
              </w:rPr>
              <w:fldChar w:fldCharType="end"/>
            </w:r>
          </w:hyperlink>
        </w:p>
        <w:p w14:paraId="399EB50A" w14:textId="73A14B6F" w:rsidR="00F75912" w:rsidRPr="00F75912" w:rsidRDefault="00F75912">
          <w:pPr>
            <w:pStyle w:val="TOC2"/>
            <w:tabs>
              <w:tab w:val="right" w:leader="dot" w:pos="12950"/>
            </w:tabs>
            <w:rPr>
              <w:rFonts w:ascii="Arial" w:hAnsi="Arial" w:cs="Arial"/>
              <w:b w:val="0"/>
              <w:bCs w:val="0"/>
              <w:smallCaps/>
              <w:noProof/>
              <w:sz w:val="24"/>
              <w:szCs w:val="24"/>
            </w:rPr>
          </w:pPr>
          <w:hyperlink w:anchor="_Toc108613997" w:history="1">
            <w:r w:rsidRPr="00F75912">
              <w:rPr>
                <w:rStyle w:val="Hyperlink"/>
                <w:rFonts w:ascii="Arial" w:hAnsi="Arial" w:cs="Arial"/>
                <w:b w:val="0"/>
                <w:bCs w:val="0"/>
                <w:noProof/>
              </w:rPr>
              <w:t>Table A.3 Selected variables in the annual LUR (</w:t>
            </w:r>
            <w:r w:rsidR="00A27FE7">
              <w:rPr>
                <w:rStyle w:val="Hyperlink"/>
                <w:rFonts w:ascii="Arial" w:hAnsi="Arial" w:cs="Arial"/>
                <w:b w:val="0"/>
                <w:bCs w:val="0"/>
                <w:noProof/>
              </w:rPr>
              <w:t>CTM-incorporated</w:t>
            </w:r>
            <w:r w:rsidRPr="00F75912">
              <w:rPr>
                <w:rStyle w:val="Hyperlink"/>
                <w:rFonts w:ascii="Arial" w:hAnsi="Arial" w:cs="Arial"/>
                <w:b w:val="0"/>
                <w:bCs w:val="0"/>
                <w:noProof/>
              </w:rPr>
              <w:t>) models.</w:t>
            </w:r>
            <w:r w:rsidRPr="00F75912">
              <w:rPr>
                <w:rFonts w:ascii="Arial" w:hAnsi="Arial" w:cs="Arial"/>
                <w:b w:val="0"/>
                <w:bCs w:val="0"/>
                <w:noProof/>
                <w:webHidden/>
              </w:rPr>
              <w:tab/>
            </w:r>
            <w:r w:rsidRPr="00F75912">
              <w:rPr>
                <w:rFonts w:ascii="Arial" w:hAnsi="Arial" w:cs="Arial"/>
                <w:b w:val="0"/>
                <w:bCs w:val="0"/>
                <w:noProof/>
                <w:webHidden/>
              </w:rPr>
              <w:fldChar w:fldCharType="begin"/>
            </w:r>
            <w:r w:rsidRPr="00F75912">
              <w:rPr>
                <w:rFonts w:ascii="Arial" w:hAnsi="Arial" w:cs="Arial"/>
                <w:b w:val="0"/>
                <w:bCs w:val="0"/>
                <w:noProof/>
                <w:webHidden/>
              </w:rPr>
              <w:instrText xml:space="preserve"> PAGEREF _Toc108613997 \h </w:instrText>
            </w:r>
            <w:r w:rsidRPr="00F75912">
              <w:rPr>
                <w:rFonts w:ascii="Arial" w:hAnsi="Arial" w:cs="Arial"/>
                <w:b w:val="0"/>
                <w:bCs w:val="0"/>
                <w:noProof/>
                <w:webHidden/>
              </w:rPr>
            </w:r>
            <w:r w:rsidRPr="00F75912">
              <w:rPr>
                <w:rFonts w:ascii="Arial" w:hAnsi="Arial" w:cs="Arial"/>
                <w:b w:val="0"/>
                <w:bCs w:val="0"/>
                <w:noProof/>
                <w:webHidden/>
              </w:rPr>
              <w:fldChar w:fldCharType="separate"/>
            </w:r>
            <w:r w:rsidR="00A27FE7">
              <w:rPr>
                <w:rFonts w:ascii="Arial" w:hAnsi="Arial" w:cs="Arial"/>
                <w:b w:val="0"/>
                <w:bCs w:val="0"/>
                <w:noProof/>
                <w:webHidden/>
              </w:rPr>
              <w:t>7</w:t>
            </w:r>
            <w:r w:rsidRPr="00F75912">
              <w:rPr>
                <w:rFonts w:ascii="Arial" w:hAnsi="Arial" w:cs="Arial"/>
                <w:b w:val="0"/>
                <w:bCs w:val="0"/>
                <w:noProof/>
                <w:webHidden/>
              </w:rPr>
              <w:fldChar w:fldCharType="end"/>
            </w:r>
          </w:hyperlink>
        </w:p>
        <w:p w14:paraId="1894195A" w14:textId="2B7E460A" w:rsidR="00F75912" w:rsidRPr="00F75912" w:rsidRDefault="00F75912">
          <w:pPr>
            <w:pStyle w:val="TOC2"/>
            <w:tabs>
              <w:tab w:val="right" w:leader="dot" w:pos="12950"/>
            </w:tabs>
            <w:rPr>
              <w:rFonts w:ascii="Arial" w:hAnsi="Arial" w:cs="Arial"/>
              <w:b w:val="0"/>
              <w:bCs w:val="0"/>
              <w:smallCaps/>
              <w:noProof/>
              <w:sz w:val="24"/>
              <w:szCs w:val="24"/>
            </w:rPr>
          </w:pPr>
          <w:hyperlink w:anchor="_Toc108613998" w:history="1">
            <w:r w:rsidRPr="00F75912">
              <w:rPr>
                <w:rStyle w:val="Hyperlink"/>
                <w:rFonts w:ascii="Arial" w:hAnsi="Arial" w:cs="Arial"/>
                <w:b w:val="0"/>
                <w:bCs w:val="0"/>
                <w:noProof/>
              </w:rPr>
              <w:t>Table A.4 Selected variables in the daily ST-LUR models.</w:t>
            </w:r>
            <w:r w:rsidRPr="00F75912">
              <w:rPr>
                <w:rFonts w:ascii="Arial" w:hAnsi="Arial" w:cs="Arial"/>
                <w:b w:val="0"/>
                <w:bCs w:val="0"/>
                <w:noProof/>
                <w:webHidden/>
              </w:rPr>
              <w:tab/>
            </w:r>
            <w:r w:rsidRPr="00F75912">
              <w:rPr>
                <w:rFonts w:ascii="Arial" w:hAnsi="Arial" w:cs="Arial"/>
                <w:b w:val="0"/>
                <w:bCs w:val="0"/>
                <w:noProof/>
                <w:webHidden/>
              </w:rPr>
              <w:fldChar w:fldCharType="begin"/>
            </w:r>
            <w:r w:rsidRPr="00F75912">
              <w:rPr>
                <w:rFonts w:ascii="Arial" w:hAnsi="Arial" w:cs="Arial"/>
                <w:b w:val="0"/>
                <w:bCs w:val="0"/>
                <w:noProof/>
                <w:webHidden/>
              </w:rPr>
              <w:instrText xml:space="preserve"> PAGEREF _Toc108613998 \h </w:instrText>
            </w:r>
            <w:r w:rsidRPr="00F75912">
              <w:rPr>
                <w:rFonts w:ascii="Arial" w:hAnsi="Arial" w:cs="Arial"/>
                <w:b w:val="0"/>
                <w:bCs w:val="0"/>
                <w:noProof/>
                <w:webHidden/>
              </w:rPr>
            </w:r>
            <w:r w:rsidRPr="00F75912">
              <w:rPr>
                <w:rFonts w:ascii="Arial" w:hAnsi="Arial" w:cs="Arial"/>
                <w:b w:val="0"/>
                <w:bCs w:val="0"/>
                <w:noProof/>
                <w:webHidden/>
              </w:rPr>
              <w:fldChar w:fldCharType="separate"/>
            </w:r>
            <w:r w:rsidR="00A27FE7">
              <w:rPr>
                <w:rFonts w:ascii="Arial" w:hAnsi="Arial" w:cs="Arial"/>
                <w:b w:val="0"/>
                <w:bCs w:val="0"/>
                <w:noProof/>
                <w:webHidden/>
              </w:rPr>
              <w:t>7</w:t>
            </w:r>
            <w:r w:rsidRPr="00F75912">
              <w:rPr>
                <w:rFonts w:ascii="Arial" w:hAnsi="Arial" w:cs="Arial"/>
                <w:b w:val="0"/>
                <w:bCs w:val="0"/>
                <w:noProof/>
                <w:webHidden/>
              </w:rPr>
              <w:fldChar w:fldCharType="end"/>
            </w:r>
          </w:hyperlink>
        </w:p>
        <w:p w14:paraId="049D4793" w14:textId="27927ED5" w:rsidR="00F75912" w:rsidRPr="00F75912" w:rsidRDefault="00F75912">
          <w:pPr>
            <w:pStyle w:val="TOC2"/>
            <w:tabs>
              <w:tab w:val="right" w:leader="dot" w:pos="12950"/>
            </w:tabs>
            <w:rPr>
              <w:rFonts w:ascii="Arial" w:hAnsi="Arial" w:cs="Arial"/>
              <w:b w:val="0"/>
              <w:bCs w:val="0"/>
              <w:smallCaps/>
              <w:noProof/>
              <w:sz w:val="24"/>
              <w:szCs w:val="24"/>
            </w:rPr>
          </w:pPr>
          <w:hyperlink w:anchor="_Toc108613999" w:history="1">
            <w:r w:rsidRPr="00F75912">
              <w:rPr>
                <w:rStyle w:val="Hyperlink"/>
                <w:rFonts w:ascii="Arial" w:hAnsi="Arial" w:cs="Arial"/>
                <w:b w:val="0"/>
                <w:bCs w:val="0"/>
                <w:noProof/>
              </w:rPr>
              <w:t>Table A.5 Model performance of the annual LUR (</w:t>
            </w:r>
            <w:r w:rsidR="00A27FE7">
              <w:rPr>
                <w:rStyle w:val="Hyperlink"/>
                <w:rFonts w:ascii="Arial" w:hAnsi="Arial" w:cs="Arial"/>
                <w:b w:val="0"/>
                <w:bCs w:val="0"/>
                <w:noProof/>
              </w:rPr>
              <w:t>CTM-incorporated</w:t>
            </w:r>
            <w:r w:rsidRPr="00F75912">
              <w:rPr>
                <w:rStyle w:val="Hyperlink"/>
                <w:rFonts w:ascii="Arial" w:hAnsi="Arial" w:cs="Arial"/>
                <w:b w:val="0"/>
                <w:bCs w:val="0"/>
                <w:noProof/>
              </w:rPr>
              <w:t>) model and the differences with long-term ST-LUR models.</w:t>
            </w:r>
            <w:r w:rsidRPr="00F75912">
              <w:rPr>
                <w:rFonts w:ascii="Arial" w:hAnsi="Arial" w:cs="Arial"/>
                <w:b w:val="0"/>
                <w:bCs w:val="0"/>
                <w:noProof/>
                <w:webHidden/>
              </w:rPr>
              <w:tab/>
            </w:r>
            <w:r w:rsidRPr="00F75912">
              <w:rPr>
                <w:rFonts w:ascii="Arial" w:hAnsi="Arial" w:cs="Arial"/>
                <w:b w:val="0"/>
                <w:bCs w:val="0"/>
                <w:noProof/>
                <w:webHidden/>
              </w:rPr>
              <w:fldChar w:fldCharType="begin"/>
            </w:r>
            <w:r w:rsidRPr="00F75912">
              <w:rPr>
                <w:rFonts w:ascii="Arial" w:hAnsi="Arial" w:cs="Arial"/>
                <w:b w:val="0"/>
                <w:bCs w:val="0"/>
                <w:noProof/>
                <w:webHidden/>
              </w:rPr>
              <w:instrText xml:space="preserve"> PAGEREF _Toc108613999 \h </w:instrText>
            </w:r>
            <w:r w:rsidRPr="00F75912">
              <w:rPr>
                <w:rFonts w:ascii="Arial" w:hAnsi="Arial" w:cs="Arial"/>
                <w:b w:val="0"/>
                <w:bCs w:val="0"/>
                <w:noProof/>
                <w:webHidden/>
              </w:rPr>
            </w:r>
            <w:r w:rsidRPr="00F75912">
              <w:rPr>
                <w:rFonts w:ascii="Arial" w:hAnsi="Arial" w:cs="Arial"/>
                <w:b w:val="0"/>
                <w:bCs w:val="0"/>
                <w:noProof/>
                <w:webHidden/>
              </w:rPr>
              <w:fldChar w:fldCharType="separate"/>
            </w:r>
            <w:r w:rsidR="00A27FE7">
              <w:rPr>
                <w:rFonts w:ascii="Arial" w:hAnsi="Arial" w:cs="Arial"/>
                <w:b w:val="0"/>
                <w:bCs w:val="0"/>
                <w:noProof/>
                <w:webHidden/>
              </w:rPr>
              <w:t>8</w:t>
            </w:r>
            <w:r w:rsidRPr="00F75912">
              <w:rPr>
                <w:rFonts w:ascii="Arial" w:hAnsi="Arial" w:cs="Arial"/>
                <w:b w:val="0"/>
                <w:bCs w:val="0"/>
                <w:noProof/>
                <w:webHidden/>
              </w:rPr>
              <w:fldChar w:fldCharType="end"/>
            </w:r>
          </w:hyperlink>
        </w:p>
        <w:p w14:paraId="20CF7685" w14:textId="591DA679" w:rsidR="00F75912" w:rsidRPr="00F75912" w:rsidRDefault="00F75912">
          <w:pPr>
            <w:pStyle w:val="TOC2"/>
            <w:tabs>
              <w:tab w:val="right" w:leader="dot" w:pos="12950"/>
            </w:tabs>
            <w:rPr>
              <w:rFonts w:ascii="Arial" w:hAnsi="Arial" w:cs="Arial"/>
              <w:b w:val="0"/>
              <w:bCs w:val="0"/>
              <w:smallCaps/>
              <w:noProof/>
              <w:sz w:val="24"/>
              <w:szCs w:val="24"/>
            </w:rPr>
          </w:pPr>
          <w:hyperlink w:anchor="_Toc108614000" w:history="1">
            <w:r w:rsidRPr="00F75912">
              <w:rPr>
                <w:rStyle w:val="Hyperlink"/>
                <w:rFonts w:ascii="Arial" w:hAnsi="Arial" w:cs="Arial"/>
                <w:b w:val="0"/>
                <w:bCs w:val="0"/>
                <w:noProof/>
              </w:rPr>
              <w:t>Figure A.1 Spatial distribution of monitoring sites by site type for NO</w:t>
            </w:r>
            <w:r w:rsidRPr="00F75912">
              <w:rPr>
                <w:rStyle w:val="Hyperlink"/>
                <w:rFonts w:ascii="Arial" w:hAnsi="Arial" w:cs="Arial"/>
                <w:b w:val="0"/>
                <w:bCs w:val="0"/>
                <w:noProof/>
                <w:vertAlign w:val="subscript"/>
              </w:rPr>
              <w:t>2</w:t>
            </w:r>
            <w:r w:rsidRPr="00F75912">
              <w:rPr>
                <w:rStyle w:val="Hyperlink"/>
                <w:rFonts w:ascii="Arial" w:hAnsi="Arial" w:cs="Arial"/>
                <w:b w:val="0"/>
                <w:bCs w:val="0"/>
                <w:noProof/>
              </w:rPr>
              <w:t>, PM</w:t>
            </w:r>
            <w:r w:rsidRPr="00F75912">
              <w:rPr>
                <w:rStyle w:val="Hyperlink"/>
                <w:rFonts w:ascii="Arial" w:hAnsi="Arial" w:cs="Arial"/>
                <w:b w:val="0"/>
                <w:bCs w:val="0"/>
                <w:noProof/>
                <w:vertAlign w:val="subscript"/>
              </w:rPr>
              <w:t>2.5</w:t>
            </w:r>
            <w:r w:rsidRPr="00F75912">
              <w:rPr>
                <w:rStyle w:val="Hyperlink"/>
                <w:rFonts w:ascii="Arial" w:hAnsi="Arial" w:cs="Arial"/>
                <w:b w:val="0"/>
                <w:bCs w:val="0"/>
                <w:noProof/>
              </w:rPr>
              <w:t>, PM</w:t>
            </w:r>
            <w:r w:rsidRPr="00F75912">
              <w:rPr>
                <w:rStyle w:val="Hyperlink"/>
                <w:rFonts w:ascii="Arial" w:hAnsi="Arial" w:cs="Arial"/>
                <w:b w:val="0"/>
                <w:bCs w:val="0"/>
                <w:noProof/>
                <w:vertAlign w:val="subscript"/>
              </w:rPr>
              <w:t>10</w:t>
            </w:r>
            <w:r w:rsidRPr="00F75912">
              <w:rPr>
                <w:rStyle w:val="Hyperlink"/>
                <w:rFonts w:ascii="Arial" w:hAnsi="Arial" w:cs="Arial"/>
                <w:b w:val="0"/>
                <w:bCs w:val="0"/>
                <w:noProof/>
              </w:rPr>
              <w:t xml:space="preserve"> and O</w:t>
            </w:r>
            <w:r w:rsidRPr="00F75912">
              <w:rPr>
                <w:rStyle w:val="Hyperlink"/>
                <w:rFonts w:ascii="Arial" w:hAnsi="Arial" w:cs="Arial"/>
                <w:b w:val="0"/>
                <w:bCs w:val="0"/>
                <w:noProof/>
                <w:vertAlign w:val="subscript"/>
              </w:rPr>
              <w:t>3</w:t>
            </w:r>
            <w:r w:rsidRPr="00F75912">
              <w:rPr>
                <w:rStyle w:val="Hyperlink"/>
                <w:rFonts w:ascii="Arial" w:hAnsi="Arial" w:cs="Arial"/>
                <w:b w:val="0"/>
                <w:bCs w:val="0"/>
                <w:noProof/>
              </w:rPr>
              <w:t xml:space="preserve"> in Great Britain across all study years</w:t>
            </w:r>
            <w:r w:rsidRPr="00F75912">
              <w:rPr>
                <w:rFonts w:ascii="Arial" w:hAnsi="Arial" w:cs="Arial"/>
                <w:b w:val="0"/>
                <w:bCs w:val="0"/>
                <w:noProof/>
                <w:webHidden/>
              </w:rPr>
              <w:tab/>
            </w:r>
            <w:r w:rsidRPr="00F75912">
              <w:rPr>
                <w:rFonts w:ascii="Arial" w:hAnsi="Arial" w:cs="Arial"/>
                <w:b w:val="0"/>
                <w:bCs w:val="0"/>
                <w:noProof/>
                <w:webHidden/>
              </w:rPr>
              <w:fldChar w:fldCharType="begin"/>
            </w:r>
            <w:r w:rsidRPr="00F75912">
              <w:rPr>
                <w:rFonts w:ascii="Arial" w:hAnsi="Arial" w:cs="Arial"/>
                <w:b w:val="0"/>
                <w:bCs w:val="0"/>
                <w:noProof/>
                <w:webHidden/>
              </w:rPr>
              <w:instrText xml:space="preserve"> PAGEREF _Toc108614000 \h </w:instrText>
            </w:r>
            <w:r w:rsidRPr="00F75912">
              <w:rPr>
                <w:rFonts w:ascii="Arial" w:hAnsi="Arial" w:cs="Arial"/>
                <w:b w:val="0"/>
                <w:bCs w:val="0"/>
                <w:noProof/>
                <w:webHidden/>
              </w:rPr>
            </w:r>
            <w:r w:rsidRPr="00F75912">
              <w:rPr>
                <w:rFonts w:ascii="Arial" w:hAnsi="Arial" w:cs="Arial"/>
                <w:b w:val="0"/>
                <w:bCs w:val="0"/>
                <w:noProof/>
                <w:webHidden/>
              </w:rPr>
              <w:fldChar w:fldCharType="separate"/>
            </w:r>
            <w:r w:rsidR="00A27FE7">
              <w:rPr>
                <w:rFonts w:ascii="Arial" w:hAnsi="Arial" w:cs="Arial"/>
                <w:b w:val="0"/>
                <w:bCs w:val="0"/>
                <w:noProof/>
                <w:webHidden/>
              </w:rPr>
              <w:t>9</w:t>
            </w:r>
            <w:r w:rsidRPr="00F75912">
              <w:rPr>
                <w:rFonts w:ascii="Arial" w:hAnsi="Arial" w:cs="Arial"/>
                <w:b w:val="0"/>
                <w:bCs w:val="0"/>
                <w:noProof/>
                <w:webHidden/>
              </w:rPr>
              <w:fldChar w:fldCharType="end"/>
            </w:r>
          </w:hyperlink>
        </w:p>
        <w:p w14:paraId="520294EC" w14:textId="47556852" w:rsidR="00F75912" w:rsidRPr="00F75912" w:rsidRDefault="00F75912">
          <w:pPr>
            <w:pStyle w:val="TOC2"/>
            <w:tabs>
              <w:tab w:val="right" w:leader="dot" w:pos="12950"/>
            </w:tabs>
            <w:rPr>
              <w:rFonts w:ascii="Arial" w:hAnsi="Arial" w:cs="Arial"/>
              <w:b w:val="0"/>
              <w:bCs w:val="0"/>
              <w:smallCaps/>
              <w:noProof/>
              <w:sz w:val="24"/>
              <w:szCs w:val="24"/>
            </w:rPr>
          </w:pPr>
          <w:hyperlink w:anchor="_Toc108614001" w:history="1">
            <w:r w:rsidRPr="00F75912">
              <w:rPr>
                <w:rStyle w:val="Hyperlink"/>
                <w:rFonts w:ascii="Arial" w:hAnsi="Arial" w:cs="Arial"/>
                <w:b w:val="0"/>
                <w:bCs w:val="0"/>
                <w:noProof/>
              </w:rPr>
              <w:t>Figure A.2 Daily predicted vs daily measured concentrations of NO</w:t>
            </w:r>
            <w:r w:rsidRPr="00F75912">
              <w:rPr>
                <w:rStyle w:val="Hyperlink"/>
                <w:rFonts w:ascii="Arial" w:hAnsi="Arial" w:cs="Arial"/>
                <w:b w:val="0"/>
                <w:bCs w:val="0"/>
                <w:noProof/>
                <w:vertAlign w:val="subscript"/>
              </w:rPr>
              <w:t>2</w:t>
            </w:r>
            <w:r w:rsidRPr="00F75912">
              <w:rPr>
                <w:rFonts w:ascii="Arial" w:hAnsi="Arial" w:cs="Arial"/>
                <w:b w:val="0"/>
                <w:bCs w:val="0"/>
                <w:noProof/>
                <w:webHidden/>
              </w:rPr>
              <w:tab/>
            </w:r>
            <w:r w:rsidRPr="00F75912">
              <w:rPr>
                <w:rFonts w:ascii="Arial" w:hAnsi="Arial" w:cs="Arial"/>
                <w:b w:val="0"/>
                <w:bCs w:val="0"/>
                <w:noProof/>
                <w:webHidden/>
              </w:rPr>
              <w:fldChar w:fldCharType="begin"/>
            </w:r>
            <w:r w:rsidRPr="00F75912">
              <w:rPr>
                <w:rFonts w:ascii="Arial" w:hAnsi="Arial" w:cs="Arial"/>
                <w:b w:val="0"/>
                <w:bCs w:val="0"/>
                <w:noProof/>
                <w:webHidden/>
              </w:rPr>
              <w:instrText xml:space="preserve"> PAGEREF _Toc108614001 \h </w:instrText>
            </w:r>
            <w:r w:rsidRPr="00F75912">
              <w:rPr>
                <w:rFonts w:ascii="Arial" w:hAnsi="Arial" w:cs="Arial"/>
                <w:b w:val="0"/>
                <w:bCs w:val="0"/>
                <w:noProof/>
                <w:webHidden/>
              </w:rPr>
            </w:r>
            <w:r w:rsidRPr="00F75912">
              <w:rPr>
                <w:rFonts w:ascii="Arial" w:hAnsi="Arial" w:cs="Arial"/>
                <w:b w:val="0"/>
                <w:bCs w:val="0"/>
                <w:noProof/>
                <w:webHidden/>
              </w:rPr>
              <w:fldChar w:fldCharType="separate"/>
            </w:r>
            <w:r w:rsidR="00A27FE7">
              <w:rPr>
                <w:rFonts w:ascii="Arial" w:hAnsi="Arial" w:cs="Arial"/>
                <w:b w:val="0"/>
                <w:bCs w:val="0"/>
                <w:noProof/>
                <w:webHidden/>
              </w:rPr>
              <w:t>10</w:t>
            </w:r>
            <w:r w:rsidRPr="00F75912">
              <w:rPr>
                <w:rFonts w:ascii="Arial" w:hAnsi="Arial" w:cs="Arial"/>
                <w:b w:val="0"/>
                <w:bCs w:val="0"/>
                <w:noProof/>
                <w:webHidden/>
              </w:rPr>
              <w:fldChar w:fldCharType="end"/>
            </w:r>
          </w:hyperlink>
        </w:p>
        <w:p w14:paraId="4817FBF3" w14:textId="5674AF7A" w:rsidR="00F75912" w:rsidRPr="00F75912" w:rsidRDefault="00F75912">
          <w:pPr>
            <w:pStyle w:val="TOC2"/>
            <w:tabs>
              <w:tab w:val="right" w:leader="dot" w:pos="12950"/>
            </w:tabs>
            <w:rPr>
              <w:rFonts w:ascii="Arial" w:hAnsi="Arial" w:cs="Arial"/>
              <w:b w:val="0"/>
              <w:bCs w:val="0"/>
              <w:smallCaps/>
              <w:noProof/>
              <w:sz w:val="24"/>
              <w:szCs w:val="24"/>
            </w:rPr>
          </w:pPr>
          <w:hyperlink w:anchor="_Toc108614002" w:history="1">
            <w:r w:rsidRPr="00F75912">
              <w:rPr>
                <w:rStyle w:val="Hyperlink"/>
                <w:rFonts w:ascii="Arial" w:hAnsi="Arial" w:cs="Arial"/>
                <w:b w:val="0"/>
                <w:bCs w:val="0"/>
                <w:noProof/>
              </w:rPr>
              <w:t>Figure A.3 Daily predicted vs daily measured concentrations of PM</w:t>
            </w:r>
            <w:r w:rsidRPr="00F75912">
              <w:rPr>
                <w:rStyle w:val="Hyperlink"/>
                <w:rFonts w:ascii="Arial" w:hAnsi="Arial" w:cs="Arial"/>
                <w:b w:val="0"/>
                <w:bCs w:val="0"/>
                <w:noProof/>
                <w:vertAlign w:val="subscript"/>
              </w:rPr>
              <w:t>2.5</w:t>
            </w:r>
            <w:r w:rsidRPr="00F75912">
              <w:rPr>
                <w:rFonts w:ascii="Arial" w:hAnsi="Arial" w:cs="Arial"/>
                <w:b w:val="0"/>
                <w:bCs w:val="0"/>
                <w:noProof/>
                <w:webHidden/>
              </w:rPr>
              <w:tab/>
            </w:r>
            <w:r w:rsidRPr="00F75912">
              <w:rPr>
                <w:rFonts w:ascii="Arial" w:hAnsi="Arial" w:cs="Arial"/>
                <w:b w:val="0"/>
                <w:bCs w:val="0"/>
                <w:noProof/>
                <w:webHidden/>
              </w:rPr>
              <w:fldChar w:fldCharType="begin"/>
            </w:r>
            <w:r w:rsidRPr="00F75912">
              <w:rPr>
                <w:rFonts w:ascii="Arial" w:hAnsi="Arial" w:cs="Arial"/>
                <w:b w:val="0"/>
                <w:bCs w:val="0"/>
                <w:noProof/>
                <w:webHidden/>
              </w:rPr>
              <w:instrText xml:space="preserve"> PAGEREF _Toc108614002 \h </w:instrText>
            </w:r>
            <w:r w:rsidRPr="00F75912">
              <w:rPr>
                <w:rFonts w:ascii="Arial" w:hAnsi="Arial" w:cs="Arial"/>
                <w:b w:val="0"/>
                <w:bCs w:val="0"/>
                <w:noProof/>
                <w:webHidden/>
              </w:rPr>
            </w:r>
            <w:r w:rsidRPr="00F75912">
              <w:rPr>
                <w:rFonts w:ascii="Arial" w:hAnsi="Arial" w:cs="Arial"/>
                <w:b w:val="0"/>
                <w:bCs w:val="0"/>
                <w:noProof/>
                <w:webHidden/>
              </w:rPr>
              <w:fldChar w:fldCharType="separate"/>
            </w:r>
            <w:r w:rsidR="00A27FE7">
              <w:rPr>
                <w:rFonts w:ascii="Arial" w:hAnsi="Arial" w:cs="Arial"/>
                <w:b w:val="0"/>
                <w:bCs w:val="0"/>
                <w:noProof/>
                <w:webHidden/>
              </w:rPr>
              <w:t>11</w:t>
            </w:r>
            <w:r w:rsidRPr="00F75912">
              <w:rPr>
                <w:rFonts w:ascii="Arial" w:hAnsi="Arial" w:cs="Arial"/>
                <w:b w:val="0"/>
                <w:bCs w:val="0"/>
                <w:noProof/>
                <w:webHidden/>
              </w:rPr>
              <w:fldChar w:fldCharType="end"/>
            </w:r>
          </w:hyperlink>
        </w:p>
        <w:p w14:paraId="5B29676D" w14:textId="2FA5B062" w:rsidR="00F75912" w:rsidRPr="00F75912" w:rsidRDefault="00F75912">
          <w:pPr>
            <w:pStyle w:val="TOC2"/>
            <w:tabs>
              <w:tab w:val="right" w:leader="dot" w:pos="12950"/>
            </w:tabs>
            <w:rPr>
              <w:rFonts w:ascii="Arial" w:hAnsi="Arial" w:cs="Arial"/>
              <w:b w:val="0"/>
              <w:bCs w:val="0"/>
              <w:smallCaps/>
              <w:noProof/>
              <w:sz w:val="24"/>
              <w:szCs w:val="24"/>
            </w:rPr>
          </w:pPr>
          <w:hyperlink w:anchor="_Toc108614003" w:history="1">
            <w:r w:rsidRPr="00F75912">
              <w:rPr>
                <w:rStyle w:val="Hyperlink"/>
                <w:rFonts w:ascii="Arial" w:hAnsi="Arial" w:cs="Arial"/>
                <w:b w:val="0"/>
                <w:bCs w:val="0"/>
                <w:noProof/>
              </w:rPr>
              <w:t>Figure A.4 Daily predicted vs daily measured concentrations of PM</w:t>
            </w:r>
            <w:r w:rsidRPr="00F75912">
              <w:rPr>
                <w:rStyle w:val="Hyperlink"/>
                <w:rFonts w:ascii="Arial" w:hAnsi="Arial" w:cs="Arial"/>
                <w:b w:val="0"/>
                <w:bCs w:val="0"/>
                <w:noProof/>
                <w:vertAlign w:val="subscript"/>
              </w:rPr>
              <w:t>10</w:t>
            </w:r>
            <w:r w:rsidRPr="00F75912">
              <w:rPr>
                <w:rFonts w:ascii="Arial" w:hAnsi="Arial" w:cs="Arial"/>
                <w:b w:val="0"/>
                <w:bCs w:val="0"/>
                <w:noProof/>
                <w:webHidden/>
              </w:rPr>
              <w:tab/>
            </w:r>
            <w:r w:rsidRPr="00F75912">
              <w:rPr>
                <w:rFonts w:ascii="Arial" w:hAnsi="Arial" w:cs="Arial"/>
                <w:b w:val="0"/>
                <w:bCs w:val="0"/>
                <w:noProof/>
                <w:webHidden/>
              </w:rPr>
              <w:fldChar w:fldCharType="begin"/>
            </w:r>
            <w:r w:rsidRPr="00F75912">
              <w:rPr>
                <w:rFonts w:ascii="Arial" w:hAnsi="Arial" w:cs="Arial"/>
                <w:b w:val="0"/>
                <w:bCs w:val="0"/>
                <w:noProof/>
                <w:webHidden/>
              </w:rPr>
              <w:instrText xml:space="preserve"> PAGEREF _Toc108614003 \h </w:instrText>
            </w:r>
            <w:r w:rsidRPr="00F75912">
              <w:rPr>
                <w:rFonts w:ascii="Arial" w:hAnsi="Arial" w:cs="Arial"/>
                <w:b w:val="0"/>
                <w:bCs w:val="0"/>
                <w:noProof/>
                <w:webHidden/>
              </w:rPr>
            </w:r>
            <w:r w:rsidRPr="00F75912">
              <w:rPr>
                <w:rFonts w:ascii="Arial" w:hAnsi="Arial" w:cs="Arial"/>
                <w:b w:val="0"/>
                <w:bCs w:val="0"/>
                <w:noProof/>
                <w:webHidden/>
              </w:rPr>
              <w:fldChar w:fldCharType="separate"/>
            </w:r>
            <w:r w:rsidR="00A27FE7">
              <w:rPr>
                <w:rFonts w:ascii="Arial" w:hAnsi="Arial" w:cs="Arial"/>
                <w:b w:val="0"/>
                <w:bCs w:val="0"/>
                <w:noProof/>
                <w:webHidden/>
              </w:rPr>
              <w:t>12</w:t>
            </w:r>
            <w:r w:rsidRPr="00F75912">
              <w:rPr>
                <w:rFonts w:ascii="Arial" w:hAnsi="Arial" w:cs="Arial"/>
                <w:b w:val="0"/>
                <w:bCs w:val="0"/>
                <w:noProof/>
                <w:webHidden/>
              </w:rPr>
              <w:fldChar w:fldCharType="end"/>
            </w:r>
          </w:hyperlink>
        </w:p>
        <w:p w14:paraId="5E71ABBE" w14:textId="1342BAD8" w:rsidR="00F75912" w:rsidRPr="00F75912" w:rsidRDefault="00F75912">
          <w:pPr>
            <w:pStyle w:val="TOC2"/>
            <w:tabs>
              <w:tab w:val="right" w:leader="dot" w:pos="12950"/>
            </w:tabs>
            <w:rPr>
              <w:rFonts w:ascii="Arial" w:hAnsi="Arial" w:cs="Arial"/>
              <w:b w:val="0"/>
              <w:bCs w:val="0"/>
              <w:smallCaps/>
              <w:noProof/>
              <w:sz w:val="24"/>
              <w:szCs w:val="24"/>
            </w:rPr>
          </w:pPr>
          <w:hyperlink w:anchor="_Toc108614004" w:history="1">
            <w:r w:rsidRPr="00F75912">
              <w:rPr>
                <w:rStyle w:val="Hyperlink"/>
                <w:rFonts w:ascii="Arial" w:hAnsi="Arial" w:cs="Arial"/>
                <w:b w:val="0"/>
                <w:bCs w:val="0"/>
                <w:noProof/>
              </w:rPr>
              <w:t>Figure A.5 Daily predicted vs daily measured concentrations of O</w:t>
            </w:r>
            <w:r w:rsidRPr="00F75912">
              <w:rPr>
                <w:rStyle w:val="Hyperlink"/>
                <w:rFonts w:ascii="Arial" w:hAnsi="Arial" w:cs="Arial"/>
                <w:b w:val="0"/>
                <w:bCs w:val="0"/>
                <w:noProof/>
                <w:vertAlign w:val="subscript"/>
              </w:rPr>
              <w:t>3</w:t>
            </w:r>
            <w:r w:rsidRPr="00F75912">
              <w:rPr>
                <w:rFonts w:ascii="Arial" w:hAnsi="Arial" w:cs="Arial"/>
                <w:b w:val="0"/>
                <w:bCs w:val="0"/>
                <w:noProof/>
                <w:webHidden/>
              </w:rPr>
              <w:tab/>
            </w:r>
            <w:r w:rsidRPr="00F75912">
              <w:rPr>
                <w:rFonts w:ascii="Arial" w:hAnsi="Arial" w:cs="Arial"/>
                <w:b w:val="0"/>
                <w:bCs w:val="0"/>
                <w:noProof/>
                <w:webHidden/>
              </w:rPr>
              <w:fldChar w:fldCharType="begin"/>
            </w:r>
            <w:r w:rsidRPr="00F75912">
              <w:rPr>
                <w:rFonts w:ascii="Arial" w:hAnsi="Arial" w:cs="Arial"/>
                <w:b w:val="0"/>
                <w:bCs w:val="0"/>
                <w:noProof/>
                <w:webHidden/>
              </w:rPr>
              <w:instrText xml:space="preserve"> PAGEREF _Toc108614004 \h </w:instrText>
            </w:r>
            <w:r w:rsidRPr="00F75912">
              <w:rPr>
                <w:rFonts w:ascii="Arial" w:hAnsi="Arial" w:cs="Arial"/>
                <w:b w:val="0"/>
                <w:bCs w:val="0"/>
                <w:noProof/>
                <w:webHidden/>
              </w:rPr>
            </w:r>
            <w:r w:rsidRPr="00F75912">
              <w:rPr>
                <w:rFonts w:ascii="Arial" w:hAnsi="Arial" w:cs="Arial"/>
                <w:b w:val="0"/>
                <w:bCs w:val="0"/>
                <w:noProof/>
                <w:webHidden/>
              </w:rPr>
              <w:fldChar w:fldCharType="separate"/>
            </w:r>
            <w:r w:rsidR="00A27FE7">
              <w:rPr>
                <w:rFonts w:ascii="Arial" w:hAnsi="Arial" w:cs="Arial"/>
                <w:b w:val="0"/>
                <w:bCs w:val="0"/>
                <w:noProof/>
                <w:webHidden/>
              </w:rPr>
              <w:t>13</w:t>
            </w:r>
            <w:r w:rsidRPr="00F75912">
              <w:rPr>
                <w:rFonts w:ascii="Arial" w:hAnsi="Arial" w:cs="Arial"/>
                <w:b w:val="0"/>
                <w:bCs w:val="0"/>
                <w:noProof/>
                <w:webHidden/>
              </w:rPr>
              <w:fldChar w:fldCharType="end"/>
            </w:r>
          </w:hyperlink>
        </w:p>
        <w:p w14:paraId="49D68E7C" w14:textId="52C10F9E" w:rsidR="00F75912" w:rsidRPr="00A27FE7" w:rsidRDefault="00F75912" w:rsidP="00A27FE7">
          <w:pPr>
            <w:pStyle w:val="TOC1"/>
            <w:rPr>
              <w:caps/>
            </w:rPr>
          </w:pPr>
          <w:hyperlink w:anchor="_Toc108614005" w:history="1">
            <w:r w:rsidRPr="00A27FE7">
              <w:rPr>
                <w:rStyle w:val="Hyperlink"/>
              </w:rPr>
              <w:t>Appendix B. Annual air pollution surfaces</w:t>
            </w:r>
            <w:r w:rsidRPr="00A27FE7">
              <w:rPr>
                <w:webHidden/>
              </w:rPr>
              <w:tab/>
            </w:r>
            <w:r w:rsidRPr="00A27FE7">
              <w:rPr>
                <w:webHidden/>
              </w:rPr>
              <w:fldChar w:fldCharType="begin"/>
            </w:r>
            <w:r w:rsidRPr="00A27FE7">
              <w:rPr>
                <w:webHidden/>
              </w:rPr>
              <w:instrText xml:space="preserve"> PAGEREF _Toc108614005 \h </w:instrText>
            </w:r>
            <w:r w:rsidRPr="00A27FE7">
              <w:rPr>
                <w:webHidden/>
              </w:rPr>
            </w:r>
            <w:r w:rsidRPr="00A27FE7">
              <w:rPr>
                <w:webHidden/>
              </w:rPr>
              <w:fldChar w:fldCharType="separate"/>
            </w:r>
            <w:r w:rsidR="00A27FE7">
              <w:rPr>
                <w:webHidden/>
              </w:rPr>
              <w:t>14</w:t>
            </w:r>
            <w:r w:rsidRPr="00A27FE7">
              <w:rPr>
                <w:webHidden/>
              </w:rPr>
              <w:fldChar w:fldCharType="end"/>
            </w:r>
          </w:hyperlink>
        </w:p>
        <w:p w14:paraId="47250B8E" w14:textId="14916FE9" w:rsidR="00F75912" w:rsidRPr="00F75912" w:rsidRDefault="00F75912">
          <w:pPr>
            <w:pStyle w:val="TOC2"/>
            <w:tabs>
              <w:tab w:val="right" w:leader="dot" w:pos="12950"/>
            </w:tabs>
            <w:rPr>
              <w:rFonts w:ascii="Arial" w:hAnsi="Arial" w:cs="Arial"/>
              <w:b w:val="0"/>
              <w:bCs w:val="0"/>
              <w:smallCaps/>
              <w:noProof/>
              <w:sz w:val="24"/>
              <w:szCs w:val="24"/>
            </w:rPr>
          </w:pPr>
          <w:hyperlink w:anchor="_Toc108614006" w:history="1">
            <w:r w:rsidRPr="00F75912">
              <w:rPr>
                <w:rStyle w:val="Hyperlink"/>
                <w:rFonts w:ascii="Arial" w:hAnsi="Arial" w:cs="Arial"/>
                <w:b w:val="0"/>
                <w:bCs w:val="0"/>
                <w:noProof/>
              </w:rPr>
              <w:t>Figure B.1 Estimated annual average NO</w:t>
            </w:r>
            <w:r w:rsidRPr="00F75912">
              <w:rPr>
                <w:rStyle w:val="Hyperlink"/>
                <w:rFonts w:ascii="Arial" w:hAnsi="Arial" w:cs="Arial"/>
                <w:b w:val="0"/>
                <w:bCs w:val="0"/>
                <w:noProof/>
                <w:vertAlign w:val="subscript"/>
              </w:rPr>
              <w:t>2</w:t>
            </w:r>
            <w:r w:rsidRPr="00F75912">
              <w:rPr>
                <w:rStyle w:val="Hyperlink"/>
                <w:rFonts w:ascii="Arial" w:hAnsi="Arial" w:cs="Arial"/>
                <w:b w:val="0"/>
                <w:bCs w:val="0"/>
                <w:noProof/>
              </w:rPr>
              <w:t xml:space="preserve"> concentrations mapped at 25 x 25</w:t>
            </w:r>
            <w:r w:rsidRPr="00F75912">
              <w:rPr>
                <w:rStyle w:val="Hyperlink"/>
                <w:rFonts w:ascii="Arial" w:hAnsi="Arial" w:cs="Arial"/>
                <w:b w:val="0"/>
                <w:bCs w:val="0"/>
                <w:noProof/>
              </w:rPr>
              <w:t>m</w:t>
            </w:r>
            <w:r w:rsidRPr="00F75912">
              <w:rPr>
                <w:rStyle w:val="Hyperlink"/>
                <w:rFonts w:ascii="Arial" w:hAnsi="Arial" w:cs="Arial"/>
                <w:b w:val="0"/>
                <w:bCs w:val="0"/>
                <w:noProof/>
              </w:rPr>
              <w:t xml:space="preserve"> resolution in Great Britain for 2015 using the annual LUR (CTM-incorporated) model.</w:t>
            </w:r>
            <w:r w:rsidRPr="00F75912">
              <w:rPr>
                <w:rFonts w:ascii="Arial" w:hAnsi="Arial" w:cs="Arial"/>
                <w:b w:val="0"/>
                <w:bCs w:val="0"/>
                <w:noProof/>
                <w:webHidden/>
              </w:rPr>
              <w:tab/>
            </w:r>
            <w:r w:rsidRPr="00F75912">
              <w:rPr>
                <w:rFonts w:ascii="Arial" w:hAnsi="Arial" w:cs="Arial"/>
                <w:b w:val="0"/>
                <w:bCs w:val="0"/>
                <w:noProof/>
                <w:webHidden/>
              </w:rPr>
              <w:fldChar w:fldCharType="begin"/>
            </w:r>
            <w:r w:rsidRPr="00F75912">
              <w:rPr>
                <w:rFonts w:ascii="Arial" w:hAnsi="Arial" w:cs="Arial"/>
                <w:b w:val="0"/>
                <w:bCs w:val="0"/>
                <w:noProof/>
                <w:webHidden/>
              </w:rPr>
              <w:instrText xml:space="preserve"> PAGEREF _Toc108614006 \h </w:instrText>
            </w:r>
            <w:r w:rsidRPr="00F75912">
              <w:rPr>
                <w:rFonts w:ascii="Arial" w:hAnsi="Arial" w:cs="Arial"/>
                <w:b w:val="0"/>
                <w:bCs w:val="0"/>
                <w:noProof/>
                <w:webHidden/>
              </w:rPr>
            </w:r>
            <w:r w:rsidRPr="00F75912">
              <w:rPr>
                <w:rFonts w:ascii="Arial" w:hAnsi="Arial" w:cs="Arial"/>
                <w:b w:val="0"/>
                <w:bCs w:val="0"/>
                <w:noProof/>
                <w:webHidden/>
              </w:rPr>
              <w:fldChar w:fldCharType="separate"/>
            </w:r>
            <w:r w:rsidR="00A27FE7">
              <w:rPr>
                <w:rFonts w:ascii="Arial" w:hAnsi="Arial" w:cs="Arial"/>
                <w:b w:val="0"/>
                <w:bCs w:val="0"/>
                <w:noProof/>
                <w:webHidden/>
              </w:rPr>
              <w:t>15</w:t>
            </w:r>
            <w:r w:rsidRPr="00F75912">
              <w:rPr>
                <w:rFonts w:ascii="Arial" w:hAnsi="Arial" w:cs="Arial"/>
                <w:b w:val="0"/>
                <w:bCs w:val="0"/>
                <w:noProof/>
                <w:webHidden/>
              </w:rPr>
              <w:fldChar w:fldCharType="end"/>
            </w:r>
          </w:hyperlink>
        </w:p>
        <w:p w14:paraId="73391EA0" w14:textId="62906875" w:rsidR="00F75912" w:rsidRPr="00F75912" w:rsidRDefault="00F75912">
          <w:pPr>
            <w:pStyle w:val="TOC2"/>
            <w:tabs>
              <w:tab w:val="right" w:leader="dot" w:pos="12950"/>
            </w:tabs>
            <w:rPr>
              <w:rFonts w:ascii="Arial" w:hAnsi="Arial" w:cs="Arial"/>
              <w:b w:val="0"/>
              <w:bCs w:val="0"/>
              <w:smallCaps/>
              <w:noProof/>
              <w:sz w:val="24"/>
              <w:szCs w:val="24"/>
            </w:rPr>
          </w:pPr>
          <w:hyperlink w:anchor="_Toc108614007" w:history="1">
            <w:r w:rsidRPr="00F75912">
              <w:rPr>
                <w:rStyle w:val="Hyperlink"/>
                <w:rFonts w:ascii="Arial" w:hAnsi="Arial" w:cs="Arial"/>
                <w:b w:val="0"/>
                <w:bCs w:val="0"/>
                <w:noProof/>
              </w:rPr>
              <w:t>Figure B.2 Estimated annual average PM</w:t>
            </w:r>
            <w:r w:rsidRPr="00F75912">
              <w:rPr>
                <w:rStyle w:val="Hyperlink"/>
                <w:rFonts w:ascii="Arial" w:hAnsi="Arial" w:cs="Arial"/>
                <w:b w:val="0"/>
                <w:bCs w:val="0"/>
                <w:noProof/>
                <w:vertAlign w:val="subscript"/>
              </w:rPr>
              <w:t>2.5</w:t>
            </w:r>
            <w:r w:rsidRPr="00F75912">
              <w:rPr>
                <w:rStyle w:val="Hyperlink"/>
                <w:rFonts w:ascii="Arial" w:hAnsi="Arial" w:cs="Arial"/>
                <w:b w:val="0"/>
                <w:bCs w:val="0"/>
                <w:noProof/>
              </w:rPr>
              <w:t xml:space="preserve"> concentrations mapped at 25 x 25m resolution in Great Britain for 2015 using the annual LUR (CTM-incorporated) model.</w:t>
            </w:r>
            <w:r w:rsidRPr="00F75912">
              <w:rPr>
                <w:rFonts w:ascii="Arial" w:hAnsi="Arial" w:cs="Arial"/>
                <w:b w:val="0"/>
                <w:bCs w:val="0"/>
                <w:noProof/>
                <w:webHidden/>
              </w:rPr>
              <w:tab/>
            </w:r>
            <w:r w:rsidRPr="00F75912">
              <w:rPr>
                <w:rFonts w:ascii="Arial" w:hAnsi="Arial" w:cs="Arial"/>
                <w:b w:val="0"/>
                <w:bCs w:val="0"/>
                <w:noProof/>
                <w:webHidden/>
              </w:rPr>
              <w:fldChar w:fldCharType="begin"/>
            </w:r>
            <w:r w:rsidRPr="00F75912">
              <w:rPr>
                <w:rFonts w:ascii="Arial" w:hAnsi="Arial" w:cs="Arial"/>
                <w:b w:val="0"/>
                <w:bCs w:val="0"/>
                <w:noProof/>
                <w:webHidden/>
              </w:rPr>
              <w:instrText xml:space="preserve"> PAGEREF _Toc108614007 \h </w:instrText>
            </w:r>
            <w:r w:rsidRPr="00F75912">
              <w:rPr>
                <w:rFonts w:ascii="Arial" w:hAnsi="Arial" w:cs="Arial"/>
                <w:b w:val="0"/>
                <w:bCs w:val="0"/>
                <w:noProof/>
                <w:webHidden/>
              </w:rPr>
            </w:r>
            <w:r w:rsidRPr="00F75912">
              <w:rPr>
                <w:rFonts w:ascii="Arial" w:hAnsi="Arial" w:cs="Arial"/>
                <w:b w:val="0"/>
                <w:bCs w:val="0"/>
                <w:noProof/>
                <w:webHidden/>
              </w:rPr>
              <w:fldChar w:fldCharType="separate"/>
            </w:r>
            <w:r w:rsidR="00A27FE7">
              <w:rPr>
                <w:rFonts w:ascii="Arial" w:hAnsi="Arial" w:cs="Arial"/>
                <w:b w:val="0"/>
                <w:bCs w:val="0"/>
                <w:noProof/>
                <w:webHidden/>
              </w:rPr>
              <w:t>16</w:t>
            </w:r>
            <w:r w:rsidRPr="00F75912">
              <w:rPr>
                <w:rFonts w:ascii="Arial" w:hAnsi="Arial" w:cs="Arial"/>
                <w:b w:val="0"/>
                <w:bCs w:val="0"/>
                <w:noProof/>
                <w:webHidden/>
              </w:rPr>
              <w:fldChar w:fldCharType="end"/>
            </w:r>
          </w:hyperlink>
        </w:p>
        <w:p w14:paraId="7158CA5F" w14:textId="1426321D" w:rsidR="00F75912" w:rsidRPr="00F75912" w:rsidRDefault="00F75912">
          <w:pPr>
            <w:pStyle w:val="TOC2"/>
            <w:tabs>
              <w:tab w:val="right" w:leader="dot" w:pos="12950"/>
            </w:tabs>
            <w:rPr>
              <w:rFonts w:ascii="Arial" w:hAnsi="Arial" w:cs="Arial"/>
              <w:b w:val="0"/>
              <w:bCs w:val="0"/>
              <w:smallCaps/>
              <w:noProof/>
              <w:sz w:val="24"/>
              <w:szCs w:val="24"/>
            </w:rPr>
          </w:pPr>
          <w:hyperlink w:anchor="_Toc108614008" w:history="1">
            <w:r w:rsidRPr="00F75912">
              <w:rPr>
                <w:rStyle w:val="Hyperlink"/>
                <w:rFonts w:ascii="Arial" w:hAnsi="Arial" w:cs="Arial"/>
                <w:b w:val="0"/>
                <w:bCs w:val="0"/>
                <w:noProof/>
              </w:rPr>
              <w:t>Figure B.3 Estimated annual average PM</w:t>
            </w:r>
            <w:r w:rsidRPr="00F75912">
              <w:rPr>
                <w:rStyle w:val="Hyperlink"/>
                <w:rFonts w:ascii="Arial" w:hAnsi="Arial" w:cs="Arial"/>
                <w:b w:val="0"/>
                <w:bCs w:val="0"/>
                <w:noProof/>
                <w:vertAlign w:val="subscript"/>
              </w:rPr>
              <w:t>10</w:t>
            </w:r>
            <w:r w:rsidRPr="00F75912">
              <w:rPr>
                <w:rStyle w:val="Hyperlink"/>
                <w:rFonts w:ascii="Arial" w:hAnsi="Arial" w:cs="Arial"/>
                <w:b w:val="0"/>
                <w:bCs w:val="0"/>
                <w:noProof/>
              </w:rPr>
              <w:t xml:space="preserve"> concentrations mapped at 25 x 25m resolution in Great Britain for 2015 using the annual LUR (CTM-incorporated) model.</w:t>
            </w:r>
            <w:r w:rsidRPr="00F75912">
              <w:rPr>
                <w:rFonts w:ascii="Arial" w:hAnsi="Arial" w:cs="Arial"/>
                <w:b w:val="0"/>
                <w:bCs w:val="0"/>
                <w:noProof/>
                <w:webHidden/>
              </w:rPr>
              <w:tab/>
            </w:r>
            <w:r w:rsidRPr="00F75912">
              <w:rPr>
                <w:rFonts w:ascii="Arial" w:hAnsi="Arial" w:cs="Arial"/>
                <w:b w:val="0"/>
                <w:bCs w:val="0"/>
                <w:noProof/>
                <w:webHidden/>
              </w:rPr>
              <w:fldChar w:fldCharType="begin"/>
            </w:r>
            <w:r w:rsidRPr="00F75912">
              <w:rPr>
                <w:rFonts w:ascii="Arial" w:hAnsi="Arial" w:cs="Arial"/>
                <w:b w:val="0"/>
                <w:bCs w:val="0"/>
                <w:noProof/>
                <w:webHidden/>
              </w:rPr>
              <w:instrText xml:space="preserve"> PAGEREF _Toc108614008 \h </w:instrText>
            </w:r>
            <w:r w:rsidRPr="00F75912">
              <w:rPr>
                <w:rFonts w:ascii="Arial" w:hAnsi="Arial" w:cs="Arial"/>
                <w:b w:val="0"/>
                <w:bCs w:val="0"/>
                <w:noProof/>
                <w:webHidden/>
              </w:rPr>
            </w:r>
            <w:r w:rsidRPr="00F75912">
              <w:rPr>
                <w:rFonts w:ascii="Arial" w:hAnsi="Arial" w:cs="Arial"/>
                <w:b w:val="0"/>
                <w:bCs w:val="0"/>
                <w:noProof/>
                <w:webHidden/>
              </w:rPr>
              <w:fldChar w:fldCharType="separate"/>
            </w:r>
            <w:r w:rsidR="00A27FE7">
              <w:rPr>
                <w:rFonts w:ascii="Arial" w:hAnsi="Arial" w:cs="Arial"/>
                <w:b w:val="0"/>
                <w:bCs w:val="0"/>
                <w:noProof/>
                <w:webHidden/>
              </w:rPr>
              <w:t>17</w:t>
            </w:r>
            <w:r w:rsidRPr="00F75912">
              <w:rPr>
                <w:rFonts w:ascii="Arial" w:hAnsi="Arial" w:cs="Arial"/>
                <w:b w:val="0"/>
                <w:bCs w:val="0"/>
                <w:noProof/>
                <w:webHidden/>
              </w:rPr>
              <w:fldChar w:fldCharType="end"/>
            </w:r>
          </w:hyperlink>
        </w:p>
        <w:p w14:paraId="76588E3A" w14:textId="4A0ACCFA" w:rsidR="00F75912" w:rsidRPr="00F75912" w:rsidRDefault="00F75912">
          <w:pPr>
            <w:pStyle w:val="TOC2"/>
            <w:tabs>
              <w:tab w:val="right" w:leader="dot" w:pos="12950"/>
            </w:tabs>
            <w:rPr>
              <w:rFonts w:ascii="Arial" w:hAnsi="Arial" w:cs="Arial"/>
              <w:b w:val="0"/>
              <w:bCs w:val="0"/>
              <w:smallCaps/>
              <w:noProof/>
              <w:sz w:val="24"/>
              <w:szCs w:val="24"/>
            </w:rPr>
          </w:pPr>
          <w:hyperlink w:anchor="_Toc108614009" w:history="1">
            <w:r w:rsidRPr="00F75912">
              <w:rPr>
                <w:rStyle w:val="Hyperlink"/>
                <w:rFonts w:ascii="Arial" w:hAnsi="Arial" w:cs="Arial"/>
                <w:b w:val="0"/>
                <w:bCs w:val="0"/>
                <w:noProof/>
              </w:rPr>
              <w:t>Figure B.4 Estimated annual average O</w:t>
            </w:r>
            <w:r w:rsidRPr="00F75912">
              <w:rPr>
                <w:rStyle w:val="Hyperlink"/>
                <w:rFonts w:ascii="Arial" w:hAnsi="Arial" w:cs="Arial"/>
                <w:b w:val="0"/>
                <w:bCs w:val="0"/>
                <w:noProof/>
                <w:vertAlign w:val="subscript"/>
              </w:rPr>
              <w:t>3</w:t>
            </w:r>
            <w:r w:rsidRPr="00F75912">
              <w:rPr>
                <w:rStyle w:val="Hyperlink"/>
                <w:rFonts w:ascii="Arial" w:hAnsi="Arial" w:cs="Arial"/>
                <w:b w:val="0"/>
                <w:bCs w:val="0"/>
                <w:noProof/>
              </w:rPr>
              <w:t xml:space="preserve"> concentrations mapped at 25 x 25m resolution in Great Britain for 2015 using the annual LUR (CTM-incorporated) model.</w:t>
            </w:r>
            <w:r w:rsidRPr="00F75912">
              <w:rPr>
                <w:rFonts w:ascii="Arial" w:hAnsi="Arial" w:cs="Arial"/>
                <w:b w:val="0"/>
                <w:bCs w:val="0"/>
                <w:noProof/>
                <w:webHidden/>
              </w:rPr>
              <w:tab/>
            </w:r>
            <w:r w:rsidRPr="00F75912">
              <w:rPr>
                <w:rFonts w:ascii="Arial" w:hAnsi="Arial" w:cs="Arial"/>
                <w:b w:val="0"/>
                <w:bCs w:val="0"/>
                <w:noProof/>
                <w:webHidden/>
              </w:rPr>
              <w:fldChar w:fldCharType="begin"/>
            </w:r>
            <w:r w:rsidRPr="00F75912">
              <w:rPr>
                <w:rFonts w:ascii="Arial" w:hAnsi="Arial" w:cs="Arial"/>
                <w:b w:val="0"/>
                <w:bCs w:val="0"/>
                <w:noProof/>
                <w:webHidden/>
              </w:rPr>
              <w:instrText xml:space="preserve"> PAGEREF _Toc108614009 \h </w:instrText>
            </w:r>
            <w:r w:rsidRPr="00F75912">
              <w:rPr>
                <w:rFonts w:ascii="Arial" w:hAnsi="Arial" w:cs="Arial"/>
                <w:b w:val="0"/>
                <w:bCs w:val="0"/>
                <w:noProof/>
                <w:webHidden/>
              </w:rPr>
            </w:r>
            <w:r w:rsidRPr="00F75912">
              <w:rPr>
                <w:rFonts w:ascii="Arial" w:hAnsi="Arial" w:cs="Arial"/>
                <w:b w:val="0"/>
                <w:bCs w:val="0"/>
                <w:noProof/>
                <w:webHidden/>
              </w:rPr>
              <w:fldChar w:fldCharType="separate"/>
            </w:r>
            <w:r w:rsidR="00A27FE7">
              <w:rPr>
                <w:rFonts w:ascii="Arial" w:hAnsi="Arial" w:cs="Arial"/>
                <w:b w:val="0"/>
                <w:bCs w:val="0"/>
                <w:noProof/>
                <w:webHidden/>
              </w:rPr>
              <w:t>18</w:t>
            </w:r>
            <w:r w:rsidRPr="00F75912">
              <w:rPr>
                <w:rFonts w:ascii="Arial" w:hAnsi="Arial" w:cs="Arial"/>
                <w:b w:val="0"/>
                <w:bCs w:val="0"/>
                <w:noProof/>
                <w:webHidden/>
              </w:rPr>
              <w:fldChar w:fldCharType="end"/>
            </w:r>
          </w:hyperlink>
        </w:p>
        <w:p w14:paraId="3E5540AE" w14:textId="461DE1A4" w:rsidR="00F75912" w:rsidRPr="00F75912" w:rsidRDefault="00F75912">
          <w:pPr>
            <w:pStyle w:val="TOC2"/>
            <w:tabs>
              <w:tab w:val="right" w:leader="dot" w:pos="12950"/>
            </w:tabs>
            <w:rPr>
              <w:rFonts w:ascii="Arial" w:hAnsi="Arial" w:cs="Arial"/>
              <w:b w:val="0"/>
              <w:bCs w:val="0"/>
              <w:smallCaps/>
              <w:noProof/>
              <w:sz w:val="24"/>
              <w:szCs w:val="24"/>
            </w:rPr>
          </w:pPr>
          <w:hyperlink w:anchor="_Toc108614010" w:history="1">
            <w:r w:rsidRPr="00F75912">
              <w:rPr>
                <w:rStyle w:val="Hyperlink"/>
                <w:rFonts w:ascii="Arial" w:hAnsi="Arial" w:cs="Arial"/>
                <w:b w:val="0"/>
                <w:bCs w:val="0"/>
                <w:noProof/>
              </w:rPr>
              <w:t>Figure B.5 Estimated annual average concentrations mapped at 25 x 25m resolution in London for 2015 for NO</w:t>
            </w:r>
            <w:r w:rsidRPr="00F75912">
              <w:rPr>
                <w:rStyle w:val="Hyperlink"/>
                <w:rFonts w:ascii="Arial" w:hAnsi="Arial" w:cs="Arial"/>
                <w:b w:val="0"/>
                <w:bCs w:val="0"/>
                <w:noProof/>
                <w:vertAlign w:val="subscript"/>
              </w:rPr>
              <w:t>2</w:t>
            </w:r>
            <w:r w:rsidRPr="00F75912">
              <w:rPr>
                <w:rStyle w:val="Hyperlink"/>
                <w:rFonts w:ascii="Arial" w:hAnsi="Arial" w:cs="Arial"/>
                <w:b w:val="0"/>
                <w:bCs w:val="0"/>
                <w:noProof/>
              </w:rPr>
              <w:t>, O</w:t>
            </w:r>
            <w:r w:rsidRPr="00F75912">
              <w:rPr>
                <w:rStyle w:val="Hyperlink"/>
                <w:rFonts w:ascii="Arial" w:hAnsi="Arial" w:cs="Arial"/>
                <w:b w:val="0"/>
                <w:bCs w:val="0"/>
                <w:noProof/>
                <w:vertAlign w:val="subscript"/>
              </w:rPr>
              <w:t>3</w:t>
            </w:r>
            <w:r w:rsidRPr="00F75912">
              <w:rPr>
                <w:rStyle w:val="Hyperlink"/>
                <w:rFonts w:ascii="Arial" w:hAnsi="Arial" w:cs="Arial"/>
                <w:b w:val="0"/>
                <w:bCs w:val="0"/>
                <w:noProof/>
              </w:rPr>
              <w:t>, PM</w:t>
            </w:r>
            <w:r w:rsidRPr="00F75912">
              <w:rPr>
                <w:rStyle w:val="Hyperlink"/>
                <w:rFonts w:ascii="Arial" w:hAnsi="Arial" w:cs="Arial"/>
                <w:b w:val="0"/>
                <w:bCs w:val="0"/>
                <w:noProof/>
                <w:vertAlign w:val="subscript"/>
              </w:rPr>
              <w:t>2.5</w:t>
            </w:r>
            <w:r w:rsidRPr="00F75912">
              <w:rPr>
                <w:rStyle w:val="Hyperlink"/>
                <w:rFonts w:ascii="Arial" w:hAnsi="Arial" w:cs="Arial"/>
                <w:b w:val="0"/>
                <w:bCs w:val="0"/>
                <w:noProof/>
              </w:rPr>
              <w:t xml:space="preserve"> and PM</w:t>
            </w:r>
            <w:r w:rsidRPr="00F75912">
              <w:rPr>
                <w:rStyle w:val="Hyperlink"/>
                <w:rFonts w:ascii="Arial" w:hAnsi="Arial" w:cs="Arial"/>
                <w:b w:val="0"/>
                <w:bCs w:val="0"/>
                <w:noProof/>
                <w:vertAlign w:val="subscript"/>
              </w:rPr>
              <w:t>10</w:t>
            </w:r>
            <w:r w:rsidRPr="00F75912">
              <w:rPr>
                <w:rStyle w:val="Hyperlink"/>
                <w:rFonts w:ascii="Arial" w:hAnsi="Arial" w:cs="Arial"/>
                <w:b w:val="0"/>
                <w:bCs w:val="0"/>
                <w:noProof/>
              </w:rPr>
              <w:t xml:space="preserve"> using the annual LUR (CTM-incorporated) models.</w:t>
            </w:r>
            <w:r w:rsidRPr="00F75912">
              <w:rPr>
                <w:rFonts w:ascii="Arial" w:hAnsi="Arial" w:cs="Arial"/>
                <w:b w:val="0"/>
                <w:bCs w:val="0"/>
                <w:noProof/>
                <w:webHidden/>
              </w:rPr>
              <w:tab/>
            </w:r>
            <w:r w:rsidRPr="00F75912">
              <w:rPr>
                <w:rFonts w:ascii="Arial" w:hAnsi="Arial" w:cs="Arial"/>
                <w:b w:val="0"/>
                <w:bCs w:val="0"/>
                <w:noProof/>
                <w:webHidden/>
              </w:rPr>
              <w:fldChar w:fldCharType="begin"/>
            </w:r>
            <w:r w:rsidRPr="00F75912">
              <w:rPr>
                <w:rFonts w:ascii="Arial" w:hAnsi="Arial" w:cs="Arial"/>
                <w:b w:val="0"/>
                <w:bCs w:val="0"/>
                <w:noProof/>
                <w:webHidden/>
              </w:rPr>
              <w:instrText xml:space="preserve"> PAGEREF _Toc108614010 \h </w:instrText>
            </w:r>
            <w:r w:rsidRPr="00F75912">
              <w:rPr>
                <w:rFonts w:ascii="Arial" w:hAnsi="Arial" w:cs="Arial"/>
                <w:b w:val="0"/>
                <w:bCs w:val="0"/>
                <w:noProof/>
                <w:webHidden/>
              </w:rPr>
            </w:r>
            <w:r w:rsidRPr="00F75912">
              <w:rPr>
                <w:rFonts w:ascii="Arial" w:hAnsi="Arial" w:cs="Arial"/>
                <w:b w:val="0"/>
                <w:bCs w:val="0"/>
                <w:noProof/>
                <w:webHidden/>
              </w:rPr>
              <w:fldChar w:fldCharType="separate"/>
            </w:r>
            <w:r w:rsidR="00A27FE7">
              <w:rPr>
                <w:rFonts w:ascii="Arial" w:hAnsi="Arial" w:cs="Arial"/>
                <w:b w:val="0"/>
                <w:bCs w:val="0"/>
                <w:noProof/>
                <w:webHidden/>
              </w:rPr>
              <w:t>19</w:t>
            </w:r>
            <w:r w:rsidRPr="00F75912">
              <w:rPr>
                <w:rFonts w:ascii="Arial" w:hAnsi="Arial" w:cs="Arial"/>
                <w:b w:val="0"/>
                <w:bCs w:val="0"/>
                <w:noProof/>
                <w:webHidden/>
              </w:rPr>
              <w:fldChar w:fldCharType="end"/>
            </w:r>
          </w:hyperlink>
        </w:p>
        <w:p w14:paraId="0D493451" w14:textId="25E2158B" w:rsidR="00F75912" w:rsidRDefault="00F75912">
          <w:r w:rsidRPr="00F75912">
            <w:rPr>
              <w:rFonts w:cs="Arial"/>
              <w:noProof/>
            </w:rPr>
            <w:fldChar w:fldCharType="end"/>
          </w:r>
        </w:p>
      </w:sdtContent>
    </w:sdt>
    <w:p w14:paraId="30D12E69" w14:textId="77777777" w:rsidR="00F75912" w:rsidRDefault="00F75912" w:rsidP="00CE3A6A">
      <w:pPr>
        <w:pStyle w:val="Heading1"/>
        <w:numPr>
          <w:ilvl w:val="0"/>
          <w:numId w:val="0"/>
        </w:numPr>
      </w:pPr>
    </w:p>
    <w:p w14:paraId="1FD8F3AA" w14:textId="77777777" w:rsidR="00A27FE7" w:rsidRDefault="00A27FE7">
      <w:pPr>
        <w:spacing w:line="259" w:lineRule="auto"/>
        <w:jc w:val="left"/>
        <w:rPr>
          <w:rFonts w:eastAsiaTheme="majorEastAsia"/>
          <w:b/>
          <w:szCs w:val="32"/>
        </w:rPr>
      </w:pPr>
      <w:bookmarkStart w:id="0" w:name="_Toc108613994"/>
      <w:r>
        <w:br w:type="page"/>
      </w:r>
    </w:p>
    <w:p w14:paraId="0C459D06" w14:textId="71BAA1AA" w:rsidR="00EF4EF5" w:rsidRPr="005309DC" w:rsidRDefault="003F229E" w:rsidP="00CE3A6A">
      <w:pPr>
        <w:pStyle w:val="Heading1"/>
        <w:numPr>
          <w:ilvl w:val="0"/>
          <w:numId w:val="0"/>
        </w:numPr>
      </w:pPr>
      <w:r>
        <w:t xml:space="preserve">Appendix </w:t>
      </w:r>
      <w:r w:rsidR="00EF4EF5">
        <w:t>A. Supplementary data</w:t>
      </w:r>
      <w:bookmarkEnd w:id="0"/>
    </w:p>
    <w:p w14:paraId="65A5A2A7" w14:textId="77777777" w:rsidR="00EF4EF5" w:rsidRDefault="00EF4EF5" w:rsidP="005309DC">
      <w:pPr>
        <w:rPr>
          <w:i/>
        </w:rPr>
      </w:pPr>
      <w:r w:rsidRPr="005309DC">
        <w:t xml:space="preserve">The following is the </w:t>
      </w:r>
      <w:r>
        <w:t>s</w:t>
      </w:r>
      <w:r w:rsidRPr="005309DC">
        <w:t xml:space="preserve">upplementary data to this article: </w:t>
      </w:r>
    </w:p>
    <w:p w14:paraId="1E5DD8B5" w14:textId="01528C70" w:rsidR="00EF4EF5" w:rsidRDefault="00EF4EF5" w:rsidP="000D1DD2">
      <w:pPr>
        <w:pStyle w:val="Heading2"/>
        <w:numPr>
          <w:ilvl w:val="0"/>
          <w:numId w:val="0"/>
        </w:numPr>
        <w:rPr>
          <w:rFonts w:cs="Arial"/>
        </w:rPr>
      </w:pPr>
      <w:bookmarkStart w:id="1" w:name="_Toc108613995"/>
      <w:r>
        <w:t>Table A.</w:t>
      </w:r>
      <w:fldSimple w:instr=" SEQ Table_A. \* ARABIC ">
        <w:r w:rsidR="00356DDD">
          <w:rPr>
            <w:noProof/>
          </w:rPr>
          <w:t>1</w:t>
        </w:r>
      </w:fldSimple>
      <w:r>
        <w:t xml:space="preserve"> </w:t>
      </w:r>
      <w:bookmarkStart w:id="2" w:name="_Toc45760033"/>
      <w:r>
        <w:t>Brief descriptions</w:t>
      </w:r>
      <w:r w:rsidRPr="007672C8">
        <w:t xml:space="preserve"> of the </w:t>
      </w:r>
      <w:r>
        <w:t>spatial variables</w:t>
      </w:r>
      <w:r w:rsidRPr="007672C8">
        <w:t>.</w:t>
      </w:r>
      <w:bookmarkEnd w:id="2"/>
      <w:bookmarkEnd w:id="1"/>
    </w:p>
    <w:tbl>
      <w:tblPr>
        <w:tblW w:w="46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91"/>
        <w:gridCol w:w="759"/>
        <w:gridCol w:w="1763"/>
        <w:gridCol w:w="1122"/>
        <w:gridCol w:w="1275"/>
        <w:gridCol w:w="1170"/>
        <w:gridCol w:w="4494"/>
      </w:tblGrid>
      <w:tr w:rsidR="00EF4EF5" w:rsidRPr="007672C8" w14:paraId="72B879BE" w14:textId="77777777" w:rsidTr="00512E79">
        <w:trPr>
          <w:trHeight w:val="759"/>
        </w:trPr>
        <w:tc>
          <w:tcPr>
            <w:tcW w:w="546" w:type="pct"/>
            <w:tcBorders>
              <w:top w:val="single" w:sz="4" w:space="0" w:color="auto"/>
            </w:tcBorders>
            <w:shd w:val="clear" w:color="auto" w:fill="D9D9D9" w:themeFill="background1" w:themeFillShade="D9"/>
            <w:vAlign w:val="center"/>
          </w:tcPr>
          <w:p w14:paraId="114F4AC9"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Data name</w:t>
            </w:r>
          </w:p>
        </w:tc>
        <w:tc>
          <w:tcPr>
            <w:tcW w:w="325" w:type="pct"/>
            <w:tcBorders>
              <w:top w:val="single" w:sz="4" w:space="0" w:color="auto"/>
            </w:tcBorders>
            <w:shd w:val="clear" w:color="auto" w:fill="D9D9D9" w:themeFill="background1" w:themeFillShade="D9"/>
            <w:vAlign w:val="center"/>
          </w:tcPr>
          <w:p w14:paraId="29F4A8E2" w14:textId="16C21B1A" w:rsidR="00EF4EF5" w:rsidRPr="007672C8" w:rsidRDefault="00EF4EF5" w:rsidP="00440871">
            <w:pPr>
              <w:autoSpaceDE w:val="0"/>
              <w:autoSpaceDN w:val="0"/>
              <w:adjustRightInd w:val="0"/>
              <w:spacing w:after="0" w:line="240" w:lineRule="auto"/>
              <w:jc w:val="center"/>
              <w:rPr>
                <w:rFonts w:cs="Arial"/>
                <w:sz w:val="22"/>
              </w:rPr>
            </w:pPr>
            <w:proofErr w:type="spellStart"/>
            <w:r w:rsidRPr="007672C8">
              <w:rPr>
                <w:rFonts w:cs="Arial"/>
                <w:sz w:val="22"/>
              </w:rPr>
              <w:t>Year</w:t>
            </w:r>
            <w:r w:rsidR="0013537F" w:rsidRPr="00D70F51">
              <w:rPr>
                <w:rFonts w:cs="Arial"/>
                <w:sz w:val="22"/>
                <w:vertAlign w:val="superscript"/>
              </w:rPr>
              <w:t>a</w:t>
            </w:r>
            <w:proofErr w:type="spellEnd"/>
          </w:p>
        </w:tc>
        <w:tc>
          <w:tcPr>
            <w:tcW w:w="756" w:type="pct"/>
            <w:tcBorders>
              <w:top w:val="single" w:sz="4" w:space="0" w:color="auto"/>
            </w:tcBorders>
            <w:shd w:val="clear" w:color="auto" w:fill="D9D9D9" w:themeFill="background1" w:themeFillShade="D9"/>
            <w:vAlign w:val="center"/>
          </w:tcPr>
          <w:p w14:paraId="29FFB1DB"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Data source</w:t>
            </w:r>
          </w:p>
        </w:tc>
        <w:tc>
          <w:tcPr>
            <w:tcW w:w="435" w:type="pct"/>
            <w:tcBorders>
              <w:top w:val="single" w:sz="4" w:space="0" w:color="auto"/>
            </w:tcBorders>
            <w:shd w:val="clear" w:color="auto" w:fill="D9D9D9" w:themeFill="background1" w:themeFillShade="D9"/>
            <w:vAlign w:val="center"/>
          </w:tcPr>
          <w:p w14:paraId="5156EA89"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Spatial coverage</w:t>
            </w:r>
          </w:p>
        </w:tc>
        <w:tc>
          <w:tcPr>
            <w:tcW w:w="546" w:type="pct"/>
            <w:tcBorders>
              <w:top w:val="single" w:sz="4" w:space="0" w:color="auto"/>
            </w:tcBorders>
            <w:shd w:val="clear" w:color="auto" w:fill="D9D9D9" w:themeFill="background1" w:themeFillShade="D9"/>
            <w:vAlign w:val="center"/>
          </w:tcPr>
          <w:p w14:paraId="0E706AA8"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Spatial resolution / geography</w:t>
            </w:r>
          </w:p>
        </w:tc>
        <w:tc>
          <w:tcPr>
            <w:tcW w:w="489" w:type="pct"/>
            <w:tcBorders>
              <w:top w:val="single" w:sz="4" w:space="0" w:color="auto"/>
            </w:tcBorders>
            <w:shd w:val="clear" w:color="auto" w:fill="D9D9D9" w:themeFill="background1" w:themeFillShade="D9"/>
            <w:vAlign w:val="center"/>
          </w:tcPr>
          <w:p w14:paraId="09B85D31"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Temporal</w:t>
            </w:r>
          </w:p>
          <w:p w14:paraId="00DBD016"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resolution</w:t>
            </w:r>
          </w:p>
        </w:tc>
        <w:tc>
          <w:tcPr>
            <w:tcW w:w="1903" w:type="pct"/>
            <w:tcBorders>
              <w:top w:val="single" w:sz="4" w:space="0" w:color="auto"/>
            </w:tcBorders>
            <w:shd w:val="clear" w:color="auto" w:fill="D9D9D9" w:themeFill="background1" w:themeFillShade="D9"/>
            <w:vAlign w:val="center"/>
          </w:tcPr>
          <w:p w14:paraId="0BCA80B6"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Description</w:t>
            </w:r>
          </w:p>
        </w:tc>
      </w:tr>
      <w:tr w:rsidR="00EF4EF5" w:rsidRPr="007672C8" w14:paraId="18A9D88A" w14:textId="77777777" w:rsidTr="00512E79">
        <w:trPr>
          <w:trHeight w:val="2580"/>
        </w:trPr>
        <w:tc>
          <w:tcPr>
            <w:tcW w:w="546" w:type="pct"/>
            <w:vAlign w:val="center"/>
          </w:tcPr>
          <w:p w14:paraId="2A235923"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Land cover</w:t>
            </w:r>
          </w:p>
        </w:tc>
        <w:tc>
          <w:tcPr>
            <w:tcW w:w="325" w:type="pct"/>
            <w:vAlign w:val="center"/>
          </w:tcPr>
          <w:p w14:paraId="291F4D30"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2014</w:t>
            </w:r>
          </w:p>
        </w:tc>
        <w:tc>
          <w:tcPr>
            <w:tcW w:w="756" w:type="pct"/>
            <w:vAlign w:val="center"/>
          </w:tcPr>
          <w:p w14:paraId="30E0EA21"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Fecht, Beale and Briggs (2014)</w:t>
            </w:r>
          </w:p>
        </w:tc>
        <w:tc>
          <w:tcPr>
            <w:tcW w:w="435" w:type="pct"/>
            <w:vAlign w:val="center"/>
          </w:tcPr>
          <w:p w14:paraId="3F82B69A"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GB</w:t>
            </w:r>
          </w:p>
        </w:tc>
        <w:tc>
          <w:tcPr>
            <w:tcW w:w="546" w:type="pct"/>
            <w:vAlign w:val="center"/>
          </w:tcPr>
          <w:p w14:paraId="14A3F7C8"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25 m</w:t>
            </w:r>
          </w:p>
        </w:tc>
        <w:tc>
          <w:tcPr>
            <w:tcW w:w="489" w:type="pct"/>
            <w:vAlign w:val="center"/>
          </w:tcPr>
          <w:p w14:paraId="71657238"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1903" w:type="pct"/>
            <w:vAlign w:val="center"/>
          </w:tcPr>
          <w:p w14:paraId="5BDBC1E2"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CORINE-enhanced LCM2007 (combining CORINE Land Cover 2012 and two urban classes from Land Cover Map 2007). The available 31 land classes were aggregated into 9 main groups: high density urban, low density urban, other built-up, ports, industrial, natural areas, green space, agriculture, and watercourses.</w:t>
            </w:r>
          </w:p>
        </w:tc>
      </w:tr>
      <w:tr w:rsidR="00EF4EF5" w:rsidRPr="007672C8" w14:paraId="080B2E3C" w14:textId="77777777" w:rsidTr="00512E79">
        <w:trPr>
          <w:trHeight w:val="640"/>
        </w:trPr>
        <w:tc>
          <w:tcPr>
            <w:tcW w:w="546" w:type="pct"/>
            <w:vAlign w:val="center"/>
          </w:tcPr>
          <w:p w14:paraId="46E4ED04"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Road network</w:t>
            </w:r>
          </w:p>
        </w:tc>
        <w:tc>
          <w:tcPr>
            <w:tcW w:w="325" w:type="pct"/>
            <w:vAlign w:val="center"/>
          </w:tcPr>
          <w:p w14:paraId="576585D9"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2016</w:t>
            </w:r>
          </w:p>
        </w:tc>
        <w:tc>
          <w:tcPr>
            <w:tcW w:w="756" w:type="pct"/>
            <w:vAlign w:val="center"/>
          </w:tcPr>
          <w:p w14:paraId="6CCCB60A"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Ordnance Survey Meridian 2</w:t>
            </w:r>
          </w:p>
        </w:tc>
        <w:tc>
          <w:tcPr>
            <w:tcW w:w="435" w:type="pct"/>
            <w:vAlign w:val="center"/>
          </w:tcPr>
          <w:p w14:paraId="0470802B"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GB</w:t>
            </w:r>
          </w:p>
        </w:tc>
        <w:tc>
          <w:tcPr>
            <w:tcW w:w="546" w:type="pct"/>
            <w:vAlign w:val="center"/>
          </w:tcPr>
          <w:p w14:paraId="6AF19FB3" w14:textId="77777777" w:rsidR="00EF4EF5" w:rsidRPr="00766ECB" w:rsidRDefault="00EF4EF5" w:rsidP="009314A3">
            <w:pPr>
              <w:autoSpaceDE w:val="0"/>
              <w:autoSpaceDN w:val="0"/>
              <w:adjustRightInd w:val="0"/>
              <w:spacing w:after="0" w:line="240" w:lineRule="auto"/>
              <w:jc w:val="center"/>
              <w:rPr>
                <w:rFonts w:cs="Arial"/>
                <w:sz w:val="22"/>
              </w:rPr>
            </w:pPr>
            <w:r w:rsidRPr="007672C8">
              <w:rPr>
                <w:rFonts w:cs="Arial"/>
                <w:sz w:val="22"/>
              </w:rPr>
              <w:t>line</w:t>
            </w:r>
          </w:p>
        </w:tc>
        <w:tc>
          <w:tcPr>
            <w:tcW w:w="489" w:type="pct"/>
            <w:vAlign w:val="center"/>
          </w:tcPr>
          <w:p w14:paraId="52888B11"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1903" w:type="pct"/>
            <w:vAlign w:val="center"/>
          </w:tcPr>
          <w:p w14:paraId="5B4BDA86"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Information on road network including motorway, A-road, B-road, and minor road</w:t>
            </w:r>
          </w:p>
        </w:tc>
      </w:tr>
      <w:tr w:rsidR="00EF4EF5" w:rsidRPr="007672C8" w14:paraId="341FB513" w14:textId="77777777" w:rsidTr="00512E79">
        <w:trPr>
          <w:trHeight w:val="1260"/>
        </w:trPr>
        <w:tc>
          <w:tcPr>
            <w:tcW w:w="546" w:type="pct"/>
            <w:vAlign w:val="center"/>
          </w:tcPr>
          <w:p w14:paraId="2FF96853"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Traffic</w:t>
            </w:r>
          </w:p>
        </w:tc>
        <w:tc>
          <w:tcPr>
            <w:tcW w:w="325" w:type="pct"/>
            <w:vAlign w:val="center"/>
          </w:tcPr>
          <w:p w14:paraId="0E23F84B"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2016</w:t>
            </w:r>
          </w:p>
        </w:tc>
        <w:tc>
          <w:tcPr>
            <w:tcW w:w="756" w:type="pct"/>
            <w:vAlign w:val="center"/>
          </w:tcPr>
          <w:p w14:paraId="14F91B4F"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Morley and Gulliver (2016)</w:t>
            </w:r>
          </w:p>
        </w:tc>
        <w:tc>
          <w:tcPr>
            <w:tcW w:w="435" w:type="pct"/>
            <w:vAlign w:val="center"/>
          </w:tcPr>
          <w:p w14:paraId="339952CF"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UK</w:t>
            </w:r>
          </w:p>
        </w:tc>
        <w:tc>
          <w:tcPr>
            <w:tcW w:w="546" w:type="pct"/>
            <w:vAlign w:val="center"/>
          </w:tcPr>
          <w:p w14:paraId="1C0A9004"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line</w:t>
            </w:r>
          </w:p>
        </w:tc>
        <w:tc>
          <w:tcPr>
            <w:tcW w:w="489" w:type="pct"/>
            <w:vAlign w:val="center"/>
          </w:tcPr>
          <w:p w14:paraId="5C43A180"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1903" w:type="pct"/>
            <w:vAlign w:val="center"/>
          </w:tcPr>
          <w:p w14:paraId="2997803F"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Improved annual average daily traffic (AADT) (counts) of all roads</w:t>
            </w:r>
            <w:r>
              <w:rPr>
                <w:rFonts w:cs="Arial"/>
                <w:sz w:val="22"/>
              </w:rPr>
              <w:t>,</w:t>
            </w:r>
            <w:r w:rsidRPr="007672C8">
              <w:rPr>
                <w:rFonts w:cs="Arial"/>
                <w:sz w:val="22"/>
              </w:rPr>
              <w:t xml:space="preserve"> including improved AADT on minor </w:t>
            </w:r>
            <w:r>
              <w:rPr>
                <w:rFonts w:cs="Arial"/>
                <w:sz w:val="22"/>
              </w:rPr>
              <w:t>roads</w:t>
            </w:r>
            <w:r w:rsidRPr="007672C8">
              <w:rPr>
                <w:rFonts w:cs="Arial"/>
                <w:sz w:val="22"/>
              </w:rPr>
              <w:t xml:space="preserve"> using a routing algorithm</w:t>
            </w:r>
          </w:p>
        </w:tc>
      </w:tr>
      <w:tr w:rsidR="00EF4EF5" w:rsidRPr="007672C8" w14:paraId="325EEC1B" w14:textId="77777777" w:rsidTr="00512E79">
        <w:trPr>
          <w:trHeight w:val="640"/>
        </w:trPr>
        <w:tc>
          <w:tcPr>
            <w:tcW w:w="546" w:type="pct"/>
            <w:vAlign w:val="center"/>
          </w:tcPr>
          <w:p w14:paraId="3F72589E"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Topography</w:t>
            </w:r>
          </w:p>
        </w:tc>
        <w:tc>
          <w:tcPr>
            <w:tcW w:w="325" w:type="pct"/>
            <w:vAlign w:val="center"/>
          </w:tcPr>
          <w:p w14:paraId="20BE8083"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2016</w:t>
            </w:r>
          </w:p>
        </w:tc>
        <w:tc>
          <w:tcPr>
            <w:tcW w:w="756" w:type="pct"/>
            <w:vAlign w:val="center"/>
          </w:tcPr>
          <w:p w14:paraId="4754F6A2"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 xml:space="preserve">Ordnance Survey </w:t>
            </w:r>
          </w:p>
          <w:p w14:paraId="218684E9"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Terrain 50</w:t>
            </w:r>
          </w:p>
        </w:tc>
        <w:tc>
          <w:tcPr>
            <w:tcW w:w="435" w:type="pct"/>
            <w:vAlign w:val="center"/>
          </w:tcPr>
          <w:p w14:paraId="40A5B33D"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GB</w:t>
            </w:r>
          </w:p>
        </w:tc>
        <w:tc>
          <w:tcPr>
            <w:tcW w:w="546" w:type="pct"/>
            <w:vAlign w:val="center"/>
          </w:tcPr>
          <w:p w14:paraId="2FDA07C6"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50 m</w:t>
            </w:r>
          </w:p>
        </w:tc>
        <w:tc>
          <w:tcPr>
            <w:tcW w:w="489" w:type="pct"/>
            <w:vAlign w:val="center"/>
          </w:tcPr>
          <w:p w14:paraId="5A68FDE3"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1903" w:type="pct"/>
            <w:vAlign w:val="center"/>
          </w:tcPr>
          <w:p w14:paraId="08E0C7D5"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Altitude</w:t>
            </w:r>
          </w:p>
        </w:tc>
      </w:tr>
      <w:tr w:rsidR="00EF4EF5" w:rsidRPr="007672C8" w14:paraId="2678CFFF" w14:textId="77777777" w:rsidTr="00512E79">
        <w:trPr>
          <w:trHeight w:val="940"/>
        </w:trPr>
        <w:tc>
          <w:tcPr>
            <w:tcW w:w="546" w:type="pct"/>
            <w:vAlign w:val="center"/>
          </w:tcPr>
          <w:p w14:paraId="7E948459"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lastRenderedPageBreak/>
              <w:t xml:space="preserve">Building </w:t>
            </w:r>
          </w:p>
        </w:tc>
        <w:tc>
          <w:tcPr>
            <w:tcW w:w="325" w:type="pct"/>
            <w:vAlign w:val="center"/>
          </w:tcPr>
          <w:p w14:paraId="22A6418C"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201</w:t>
            </w:r>
            <w:r>
              <w:rPr>
                <w:rFonts w:cs="Arial"/>
                <w:sz w:val="22"/>
              </w:rPr>
              <w:t>9</w:t>
            </w:r>
          </w:p>
        </w:tc>
        <w:tc>
          <w:tcPr>
            <w:tcW w:w="756" w:type="pct"/>
            <w:vAlign w:val="center"/>
          </w:tcPr>
          <w:p w14:paraId="5F2D4B09" w14:textId="77777777" w:rsidR="00EF4EF5" w:rsidRPr="007672C8" w:rsidRDefault="00EF4EF5" w:rsidP="00440871">
            <w:pPr>
              <w:autoSpaceDE w:val="0"/>
              <w:autoSpaceDN w:val="0"/>
              <w:adjustRightInd w:val="0"/>
              <w:spacing w:after="0" w:line="240" w:lineRule="auto"/>
              <w:jc w:val="center"/>
              <w:rPr>
                <w:rFonts w:cs="Arial"/>
                <w:sz w:val="22"/>
              </w:rPr>
            </w:pPr>
            <w:r>
              <w:rPr>
                <w:rFonts w:cs="Arial"/>
                <w:sz w:val="22"/>
              </w:rPr>
              <w:t xml:space="preserve">OS </w:t>
            </w:r>
            <w:proofErr w:type="spellStart"/>
            <w:r>
              <w:rPr>
                <w:rFonts w:cs="Arial"/>
                <w:sz w:val="22"/>
              </w:rPr>
              <w:t>MasterMap</w:t>
            </w:r>
            <w:proofErr w:type="spellEnd"/>
            <w:r>
              <w:rPr>
                <w:rFonts w:cs="Arial"/>
                <w:sz w:val="22"/>
              </w:rPr>
              <w:t xml:space="preserve"> Building Height Attribute</w:t>
            </w:r>
          </w:p>
        </w:tc>
        <w:tc>
          <w:tcPr>
            <w:tcW w:w="435" w:type="pct"/>
            <w:vAlign w:val="center"/>
          </w:tcPr>
          <w:p w14:paraId="67A4746E" w14:textId="77777777" w:rsidR="00EF4EF5" w:rsidRPr="007672C8" w:rsidRDefault="00EF4EF5" w:rsidP="00440871">
            <w:pPr>
              <w:autoSpaceDE w:val="0"/>
              <w:autoSpaceDN w:val="0"/>
              <w:adjustRightInd w:val="0"/>
              <w:spacing w:after="0" w:line="240" w:lineRule="auto"/>
              <w:jc w:val="center"/>
              <w:rPr>
                <w:rFonts w:cs="Arial"/>
                <w:sz w:val="22"/>
              </w:rPr>
            </w:pPr>
            <w:r>
              <w:rPr>
                <w:rFonts w:cs="Arial"/>
                <w:sz w:val="22"/>
              </w:rPr>
              <w:t>GB</w:t>
            </w:r>
          </w:p>
        </w:tc>
        <w:tc>
          <w:tcPr>
            <w:tcW w:w="546" w:type="pct"/>
            <w:vAlign w:val="center"/>
          </w:tcPr>
          <w:p w14:paraId="2B1389D6"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polygon</w:t>
            </w:r>
          </w:p>
        </w:tc>
        <w:tc>
          <w:tcPr>
            <w:tcW w:w="489" w:type="pct"/>
            <w:vAlign w:val="center"/>
          </w:tcPr>
          <w:p w14:paraId="279BA378"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1903" w:type="pct"/>
            <w:vAlign w:val="center"/>
          </w:tcPr>
          <w:p w14:paraId="18DB0C6F"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 xml:space="preserve">Building footprint (area) and building height for all </w:t>
            </w:r>
            <w:r>
              <w:rPr>
                <w:rFonts w:cs="Arial"/>
                <w:sz w:val="22"/>
              </w:rPr>
              <w:t>buildings</w:t>
            </w:r>
            <w:r w:rsidRPr="007672C8">
              <w:rPr>
                <w:rFonts w:cs="Arial"/>
                <w:sz w:val="22"/>
              </w:rPr>
              <w:t>.</w:t>
            </w:r>
          </w:p>
        </w:tc>
      </w:tr>
      <w:tr w:rsidR="00EF4EF5" w:rsidRPr="007672C8" w14:paraId="737A4EF2" w14:textId="77777777" w:rsidTr="00512E79">
        <w:trPr>
          <w:trHeight w:val="940"/>
        </w:trPr>
        <w:tc>
          <w:tcPr>
            <w:tcW w:w="546" w:type="pct"/>
            <w:tcBorders>
              <w:bottom w:val="single" w:sz="4" w:space="0" w:color="auto"/>
            </w:tcBorders>
            <w:vAlign w:val="center"/>
          </w:tcPr>
          <w:p w14:paraId="03D04308"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Population and household</w:t>
            </w:r>
          </w:p>
        </w:tc>
        <w:tc>
          <w:tcPr>
            <w:tcW w:w="325" w:type="pct"/>
            <w:tcBorders>
              <w:bottom w:val="single" w:sz="4" w:space="0" w:color="auto"/>
            </w:tcBorders>
            <w:vAlign w:val="center"/>
          </w:tcPr>
          <w:p w14:paraId="67A831C4"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2013</w:t>
            </w:r>
          </w:p>
        </w:tc>
        <w:tc>
          <w:tcPr>
            <w:tcW w:w="756" w:type="pct"/>
            <w:tcBorders>
              <w:bottom w:val="single" w:sz="4" w:space="0" w:color="auto"/>
            </w:tcBorders>
            <w:vAlign w:val="center"/>
          </w:tcPr>
          <w:p w14:paraId="3A8A1E52"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Office for National Statistics (ONS)</w:t>
            </w:r>
          </w:p>
        </w:tc>
        <w:tc>
          <w:tcPr>
            <w:tcW w:w="435" w:type="pct"/>
            <w:tcBorders>
              <w:bottom w:val="single" w:sz="4" w:space="0" w:color="auto"/>
            </w:tcBorders>
            <w:vAlign w:val="center"/>
          </w:tcPr>
          <w:p w14:paraId="5FB9FBC4"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UK</w:t>
            </w:r>
          </w:p>
        </w:tc>
        <w:tc>
          <w:tcPr>
            <w:tcW w:w="546" w:type="pct"/>
            <w:tcBorders>
              <w:bottom w:val="single" w:sz="4" w:space="0" w:color="auto"/>
            </w:tcBorders>
            <w:vAlign w:val="center"/>
          </w:tcPr>
          <w:p w14:paraId="7CFC6F15"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point</w:t>
            </w:r>
          </w:p>
        </w:tc>
        <w:tc>
          <w:tcPr>
            <w:tcW w:w="489" w:type="pct"/>
            <w:tcBorders>
              <w:bottom w:val="single" w:sz="4" w:space="0" w:color="auto"/>
            </w:tcBorders>
            <w:vAlign w:val="center"/>
          </w:tcPr>
          <w:p w14:paraId="7B3E7382"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1903" w:type="pct"/>
            <w:tcBorders>
              <w:bottom w:val="single" w:sz="4" w:space="0" w:color="auto"/>
            </w:tcBorders>
            <w:vAlign w:val="center"/>
          </w:tcPr>
          <w:p w14:paraId="25E23E3C"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2011 UK census. Containing population headcount and household count per postcode</w:t>
            </w:r>
          </w:p>
        </w:tc>
      </w:tr>
    </w:tbl>
    <w:p w14:paraId="3633A13C" w14:textId="2F967BA1" w:rsidR="00EF4EF5" w:rsidRPr="00766ECB" w:rsidRDefault="0013537F" w:rsidP="009C0197">
      <w:pPr>
        <w:pStyle w:val="Caption"/>
      </w:pPr>
      <w:r>
        <w:rPr>
          <w:vertAlign w:val="superscript"/>
        </w:rPr>
        <w:t xml:space="preserve">a </w:t>
      </w:r>
      <w:r w:rsidR="00EF4EF5">
        <w:t>Year/version of data when it was released</w:t>
      </w:r>
    </w:p>
    <w:p w14:paraId="75BD566E" w14:textId="77777777" w:rsidR="00EF4EF5" w:rsidRDefault="00EF4EF5">
      <w:pPr>
        <w:spacing w:line="259" w:lineRule="auto"/>
        <w:jc w:val="left"/>
        <w:rPr>
          <w:rFonts w:eastAsiaTheme="majorEastAsia"/>
          <w:szCs w:val="26"/>
        </w:rPr>
      </w:pPr>
      <w:r>
        <w:br w:type="page"/>
      </w:r>
    </w:p>
    <w:p w14:paraId="7BA9BFC8" w14:textId="7BD72822" w:rsidR="00EF4EF5" w:rsidRPr="007672C8" w:rsidRDefault="00EF4EF5" w:rsidP="000D1DD2">
      <w:pPr>
        <w:pStyle w:val="Heading2"/>
        <w:numPr>
          <w:ilvl w:val="0"/>
          <w:numId w:val="0"/>
        </w:numPr>
      </w:pPr>
      <w:bookmarkStart w:id="3" w:name="_Toc108613996"/>
      <w:r>
        <w:lastRenderedPageBreak/>
        <w:t>Table A.</w:t>
      </w:r>
      <w:fldSimple w:instr=" SEQ Table_A. \* ARABIC ">
        <w:r w:rsidR="00356DDD">
          <w:rPr>
            <w:noProof/>
          </w:rPr>
          <w:t>2</w:t>
        </w:r>
      </w:fldSimple>
      <w:r>
        <w:t xml:space="preserve"> </w:t>
      </w:r>
      <w:r w:rsidRPr="007672C8">
        <w:t>GIS-derived land use potential predictors with pre-defined variable names, units, buffer sizes and direction of effect.</w:t>
      </w:r>
      <w:bookmarkEnd w:id="3"/>
      <w:r w:rsidRPr="007672C8">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91"/>
        <w:gridCol w:w="4943"/>
        <w:gridCol w:w="2942"/>
        <w:gridCol w:w="1309"/>
        <w:gridCol w:w="1063"/>
        <w:gridCol w:w="791"/>
        <w:gridCol w:w="511"/>
      </w:tblGrid>
      <w:tr w:rsidR="00EF4EF5" w:rsidRPr="007672C8" w14:paraId="6A76D55F" w14:textId="77777777" w:rsidTr="00694BFC">
        <w:trPr>
          <w:trHeight w:val="57"/>
        </w:trPr>
        <w:tc>
          <w:tcPr>
            <w:tcW w:w="508" w:type="pct"/>
            <w:vMerge w:val="restart"/>
            <w:shd w:val="solid" w:color="C0C0C0" w:fill="auto"/>
            <w:vAlign w:val="center"/>
          </w:tcPr>
          <w:p w14:paraId="3A2F4561" w14:textId="77777777" w:rsidR="00EF4EF5" w:rsidRPr="007672C8" w:rsidRDefault="00EF4EF5" w:rsidP="00440871">
            <w:pPr>
              <w:autoSpaceDE w:val="0"/>
              <w:autoSpaceDN w:val="0"/>
              <w:adjustRightInd w:val="0"/>
              <w:spacing w:after="0" w:line="240" w:lineRule="auto"/>
              <w:jc w:val="left"/>
              <w:rPr>
                <w:rFonts w:cs="Arial"/>
                <w:b/>
                <w:bCs/>
                <w:sz w:val="22"/>
              </w:rPr>
            </w:pPr>
            <w:r w:rsidRPr="007672C8">
              <w:rPr>
                <w:rFonts w:cs="Arial"/>
                <w:b/>
                <w:bCs/>
                <w:sz w:val="22"/>
              </w:rPr>
              <w:t>Dataset</w:t>
            </w:r>
          </w:p>
        </w:tc>
        <w:tc>
          <w:tcPr>
            <w:tcW w:w="1945" w:type="pct"/>
            <w:vMerge w:val="restart"/>
            <w:shd w:val="solid" w:color="C0C0C0" w:fill="auto"/>
            <w:vAlign w:val="center"/>
          </w:tcPr>
          <w:p w14:paraId="42857F77" w14:textId="77777777" w:rsidR="00EF4EF5" w:rsidRPr="007672C8" w:rsidRDefault="00EF4EF5" w:rsidP="00440871">
            <w:pPr>
              <w:autoSpaceDE w:val="0"/>
              <w:autoSpaceDN w:val="0"/>
              <w:adjustRightInd w:val="0"/>
              <w:spacing w:after="0" w:line="240" w:lineRule="auto"/>
              <w:jc w:val="center"/>
              <w:rPr>
                <w:rFonts w:cs="Arial"/>
                <w:b/>
                <w:bCs/>
                <w:sz w:val="22"/>
              </w:rPr>
            </w:pPr>
            <w:r w:rsidRPr="007672C8">
              <w:rPr>
                <w:rFonts w:cs="Arial"/>
                <w:b/>
                <w:bCs/>
                <w:sz w:val="22"/>
              </w:rPr>
              <w:t>Predictor Variables</w:t>
            </w:r>
          </w:p>
        </w:tc>
        <w:tc>
          <w:tcPr>
            <w:tcW w:w="1055" w:type="pct"/>
            <w:vMerge w:val="restart"/>
            <w:shd w:val="solid" w:color="C0C0C0" w:fill="auto"/>
            <w:vAlign w:val="center"/>
          </w:tcPr>
          <w:p w14:paraId="1677E148" w14:textId="77777777" w:rsidR="00EF4EF5" w:rsidRPr="007672C8" w:rsidRDefault="00EF4EF5" w:rsidP="00440871">
            <w:pPr>
              <w:autoSpaceDE w:val="0"/>
              <w:autoSpaceDN w:val="0"/>
              <w:adjustRightInd w:val="0"/>
              <w:spacing w:after="0" w:line="240" w:lineRule="auto"/>
              <w:jc w:val="center"/>
              <w:rPr>
                <w:rFonts w:cs="Arial"/>
                <w:b/>
                <w:bCs/>
                <w:sz w:val="22"/>
              </w:rPr>
            </w:pPr>
            <w:r w:rsidRPr="007672C8">
              <w:rPr>
                <w:rFonts w:cs="Arial"/>
                <w:b/>
                <w:bCs/>
                <w:sz w:val="22"/>
              </w:rPr>
              <w:t>Variables Name</w:t>
            </w:r>
          </w:p>
        </w:tc>
        <w:tc>
          <w:tcPr>
            <w:tcW w:w="469" w:type="pct"/>
            <w:vMerge w:val="restart"/>
            <w:shd w:val="solid" w:color="C0C0C0" w:fill="auto"/>
            <w:vAlign w:val="center"/>
          </w:tcPr>
          <w:p w14:paraId="100A53F6" w14:textId="77777777" w:rsidR="00EF4EF5" w:rsidRPr="007672C8" w:rsidRDefault="00EF4EF5" w:rsidP="00440871">
            <w:pPr>
              <w:autoSpaceDE w:val="0"/>
              <w:autoSpaceDN w:val="0"/>
              <w:adjustRightInd w:val="0"/>
              <w:spacing w:after="0" w:line="240" w:lineRule="auto"/>
              <w:jc w:val="center"/>
              <w:rPr>
                <w:rFonts w:cs="Arial"/>
                <w:b/>
                <w:bCs/>
                <w:sz w:val="22"/>
              </w:rPr>
            </w:pPr>
            <w:r w:rsidRPr="007672C8">
              <w:rPr>
                <w:rFonts w:cs="Arial"/>
                <w:b/>
                <w:bCs/>
                <w:sz w:val="22"/>
              </w:rPr>
              <w:t>Unit</w:t>
            </w:r>
          </w:p>
        </w:tc>
        <w:tc>
          <w:tcPr>
            <w:tcW w:w="447" w:type="pct"/>
            <w:vMerge w:val="restart"/>
            <w:shd w:val="solid" w:color="C0C0C0" w:fill="auto"/>
            <w:vAlign w:val="center"/>
          </w:tcPr>
          <w:p w14:paraId="7743BECF" w14:textId="77777777" w:rsidR="00EF4EF5" w:rsidRPr="007672C8" w:rsidRDefault="00EF4EF5" w:rsidP="00440871">
            <w:pPr>
              <w:autoSpaceDE w:val="0"/>
              <w:autoSpaceDN w:val="0"/>
              <w:adjustRightInd w:val="0"/>
              <w:spacing w:after="0" w:line="240" w:lineRule="auto"/>
              <w:jc w:val="center"/>
              <w:rPr>
                <w:rFonts w:cs="Arial"/>
                <w:b/>
                <w:bCs/>
                <w:sz w:val="22"/>
              </w:rPr>
            </w:pPr>
            <w:r w:rsidRPr="007672C8">
              <w:rPr>
                <w:rFonts w:cs="Arial"/>
                <w:b/>
                <w:bCs/>
                <w:sz w:val="22"/>
              </w:rPr>
              <w:t>Buffer Size (m)</w:t>
            </w:r>
          </w:p>
        </w:tc>
        <w:tc>
          <w:tcPr>
            <w:tcW w:w="576" w:type="pct"/>
            <w:gridSpan w:val="2"/>
            <w:shd w:val="solid" w:color="C0C0C0" w:fill="auto"/>
            <w:vAlign w:val="center"/>
          </w:tcPr>
          <w:p w14:paraId="7CFBFF1C" w14:textId="77777777" w:rsidR="00EF4EF5" w:rsidRPr="007672C8" w:rsidRDefault="00EF4EF5" w:rsidP="00440871">
            <w:pPr>
              <w:autoSpaceDE w:val="0"/>
              <w:autoSpaceDN w:val="0"/>
              <w:adjustRightInd w:val="0"/>
              <w:spacing w:after="0" w:line="240" w:lineRule="auto"/>
              <w:jc w:val="center"/>
              <w:rPr>
                <w:rFonts w:cs="Arial"/>
                <w:b/>
                <w:bCs/>
                <w:sz w:val="22"/>
              </w:rPr>
            </w:pPr>
            <w:r w:rsidRPr="007672C8">
              <w:rPr>
                <w:rFonts w:cs="Arial"/>
                <w:b/>
                <w:bCs/>
                <w:sz w:val="22"/>
              </w:rPr>
              <w:t>Direction of Effect</w:t>
            </w:r>
          </w:p>
        </w:tc>
      </w:tr>
      <w:tr w:rsidR="00EF4EF5" w:rsidRPr="007672C8" w14:paraId="5EE61588" w14:textId="77777777" w:rsidTr="00694BFC">
        <w:trPr>
          <w:trHeight w:val="57"/>
        </w:trPr>
        <w:tc>
          <w:tcPr>
            <w:tcW w:w="508" w:type="pct"/>
            <w:vMerge/>
            <w:shd w:val="solid" w:color="C0C0C0" w:fill="auto"/>
            <w:vAlign w:val="center"/>
          </w:tcPr>
          <w:p w14:paraId="6BE4959F" w14:textId="77777777" w:rsidR="00EF4EF5" w:rsidRPr="007672C8" w:rsidRDefault="00EF4EF5" w:rsidP="00440871">
            <w:pPr>
              <w:autoSpaceDE w:val="0"/>
              <w:autoSpaceDN w:val="0"/>
              <w:adjustRightInd w:val="0"/>
              <w:spacing w:after="0" w:line="240" w:lineRule="auto"/>
              <w:jc w:val="left"/>
              <w:rPr>
                <w:rFonts w:cs="Arial"/>
                <w:b/>
                <w:bCs/>
                <w:sz w:val="22"/>
              </w:rPr>
            </w:pPr>
          </w:p>
        </w:tc>
        <w:tc>
          <w:tcPr>
            <w:tcW w:w="1945" w:type="pct"/>
            <w:vMerge/>
            <w:shd w:val="solid" w:color="C0C0C0" w:fill="auto"/>
            <w:vAlign w:val="center"/>
          </w:tcPr>
          <w:p w14:paraId="3B4CD51F" w14:textId="77777777" w:rsidR="00EF4EF5" w:rsidRPr="007672C8" w:rsidRDefault="00EF4EF5" w:rsidP="00440871">
            <w:pPr>
              <w:autoSpaceDE w:val="0"/>
              <w:autoSpaceDN w:val="0"/>
              <w:adjustRightInd w:val="0"/>
              <w:spacing w:after="0" w:line="240" w:lineRule="auto"/>
              <w:jc w:val="center"/>
              <w:rPr>
                <w:rFonts w:cs="Arial"/>
                <w:b/>
                <w:bCs/>
                <w:sz w:val="22"/>
              </w:rPr>
            </w:pPr>
          </w:p>
        </w:tc>
        <w:tc>
          <w:tcPr>
            <w:tcW w:w="1055" w:type="pct"/>
            <w:vMerge/>
            <w:shd w:val="solid" w:color="C0C0C0" w:fill="auto"/>
            <w:vAlign w:val="center"/>
          </w:tcPr>
          <w:p w14:paraId="0D98D085" w14:textId="77777777" w:rsidR="00EF4EF5" w:rsidRPr="007672C8" w:rsidRDefault="00EF4EF5" w:rsidP="00440871">
            <w:pPr>
              <w:autoSpaceDE w:val="0"/>
              <w:autoSpaceDN w:val="0"/>
              <w:adjustRightInd w:val="0"/>
              <w:spacing w:after="0" w:line="240" w:lineRule="auto"/>
              <w:jc w:val="center"/>
              <w:rPr>
                <w:rFonts w:cs="Arial"/>
                <w:b/>
                <w:bCs/>
                <w:sz w:val="22"/>
              </w:rPr>
            </w:pPr>
          </w:p>
        </w:tc>
        <w:tc>
          <w:tcPr>
            <w:tcW w:w="469" w:type="pct"/>
            <w:vMerge/>
            <w:shd w:val="solid" w:color="C0C0C0" w:fill="auto"/>
            <w:vAlign w:val="center"/>
          </w:tcPr>
          <w:p w14:paraId="3A843205" w14:textId="77777777" w:rsidR="00EF4EF5" w:rsidRPr="007672C8" w:rsidRDefault="00EF4EF5" w:rsidP="00440871">
            <w:pPr>
              <w:autoSpaceDE w:val="0"/>
              <w:autoSpaceDN w:val="0"/>
              <w:adjustRightInd w:val="0"/>
              <w:spacing w:after="0" w:line="240" w:lineRule="auto"/>
              <w:jc w:val="center"/>
              <w:rPr>
                <w:rFonts w:cs="Arial"/>
                <w:b/>
                <w:bCs/>
                <w:sz w:val="22"/>
              </w:rPr>
            </w:pPr>
          </w:p>
        </w:tc>
        <w:tc>
          <w:tcPr>
            <w:tcW w:w="447" w:type="pct"/>
            <w:vMerge/>
            <w:shd w:val="solid" w:color="C0C0C0" w:fill="auto"/>
            <w:vAlign w:val="center"/>
          </w:tcPr>
          <w:p w14:paraId="7C7FAA07" w14:textId="77777777" w:rsidR="00EF4EF5" w:rsidRPr="007672C8" w:rsidRDefault="00EF4EF5" w:rsidP="00440871">
            <w:pPr>
              <w:autoSpaceDE w:val="0"/>
              <w:autoSpaceDN w:val="0"/>
              <w:adjustRightInd w:val="0"/>
              <w:spacing w:after="0" w:line="240" w:lineRule="auto"/>
              <w:jc w:val="center"/>
              <w:rPr>
                <w:rFonts w:cs="Arial"/>
                <w:b/>
                <w:bCs/>
                <w:sz w:val="22"/>
              </w:rPr>
            </w:pPr>
          </w:p>
        </w:tc>
        <w:tc>
          <w:tcPr>
            <w:tcW w:w="342" w:type="pct"/>
            <w:shd w:val="solid" w:color="C0C0C0" w:fill="auto"/>
            <w:vAlign w:val="center"/>
          </w:tcPr>
          <w:p w14:paraId="48AAC1EF" w14:textId="77777777" w:rsidR="00EF4EF5" w:rsidRPr="007672C8" w:rsidRDefault="00EF4EF5" w:rsidP="00440871">
            <w:pPr>
              <w:autoSpaceDE w:val="0"/>
              <w:autoSpaceDN w:val="0"/>
              <w:adjustRightInd w:val="0"/>
              <w:spacing w:after="0" w:line="240" w:lineRule="auto"/>
              <w:jc w:val="center"/>
              <w:rPr>
                <w:rFonts w:cs="Arial"/>
                <w:b/>
                <w:bCs/>
                <w:sz w:val="22"/>
                <w:vertAlign w:val="subscript"/>
              </w:rPr>
            </w:pPr>
            <w:r w:rsidRPr="007672C8">
              <w:rPr>
                <w:rFonts w:cs="Arial"/>
                <w:b/>
                <w:bCs/>
                <w:sz w:val="22"/>
              </w:rPr>
              <w:t>NO</w:t>
            </w:r>
            <w:r w:rsidRPr="007672C8">
              <w:rPr>
                <w:rFonts w:cs="Arial"/>
                <w:b/>
                <w:bCs/>
                <w:sz w:val="22"/>
                <w:vertAlign w:val="subscript"/>
              </w:rPr>
              <w:t>2</w:t>
            </w:r>
          </w:p>
          <w:p w14:paraId="59DEBD2C" w14:textId="77777777" w:rsidR="00EF4EF5" w:rsidRPr="007672C8" w:rsidRDefault="00EF4EF5" w:rsidP="00440871">
            <w:pPr>
              <w:autoSpaceDE w:val="0"/>
              <w:autoSpaceDN w:val="0"/>
              <w:adjustRightInd w:val="0"/>
              <w:spacing w:after="0" w:line="240" w:lineRule="auto"/>
              <w:jc w:val="center"/>
              <w:rPr>
                <w:rFonts w:cs="Arial"/>
                <w:b/>
                <w:bCs/>
                <w:sz w:val="22"/>
                <w:vertAlign w:val="subscript"/>
              </w:rPr>
            </w:pPr>
            <w:r w:rsidRPr="007672C8">
              <w:rPr>
                <w:rFonts w:cs="Arial"/>
                <w:b/>
                <w:bCs/>
                <w:sz w:val="22"/>
              </w:rPr>
              <w:t>PM</w:t>
            </w:r>
            <w:r w:rsidRPr="007672C8">
              <w:rPr>
                <w:rFonts w:cs="Arial"/>
                <w:b/>
                <w:bCs/>
                <w:sz w:val="22"/>
                <w:vertAlign w:val="subscript"/>
              </w:rPr>
              <w:t>2.5</w:t>
            </w:r>
          </w:p>
          <w:p w14:paraId="510C2889" w14:textId="77777777" w:rsidR="00EF4EF5" w:rsidRPr="007672C8" w:rsidRDefault="00EF4EF5" w:rsidP="00440871">
            <w:pPr>
              <w:autoSpaceDE w:val="0"/>
              <w:autoSpaceDN w:val="0"/>
              <w:adjustRightInd w:val="0"/>
              <w:spacing w:after="0" w:line="240" w:lineRule="auto"/>
              <w:jc w:val="center"/>
              <w:rPr>
                <w:rFonts w:cs="Arial"/>
                <w:b/>
                <w:bCs/>
                <w:sz w:val="22"/>
                <w:vertAlign w:val="subscript"/>
              </w:rPr>
            </w:pPr>
            <w:r w:rsidRPr="007672C8">
              <w:rPr>
                <w:rFonts w:cs="Arial"/>
                <w:b/>
                <w:bCs/>
                <w:sz w:val="22"/>
              </w:rPr>
              <w:t>PM</w:t>
            </w:r>
            <w:r w:rsidRPr="007672C8">
              <w:rPr>
                <w:rFonts w:cs="Arial"/>
                <w:b/>
                <w:bCs/>
                <w:sz w:val="22"/>
                <w:vertAlign w:val="subscript"/>
              </w:rPr>
              <w:t>10</w:t>
            </w:r>
          </w:p>
        </w:tc>
        <w:tc>
          <w:tcPr>
            <w:tcW w:w="234" w:type="pct"/>
            <w:shd w:val="solid" w:color="C0C0C0" w:fill="auto"/>
            <w:vAlign w:val="center"/>
          </w:tcPr>
          <w:p w14:paraId="5A7BEAA8" w14:textId="77777777" w:rsidR="00EF4EF5" w:rsidRPr="007672C8" w:rsidRDefault="00EF4EF5" w:rsidP="00440871">
            <w:pPr>
              <w:autoSpaceDE w:val="0"/>
              <w:autoSpaceDN w:val="0"/>
              <w:adjustRightInd w:val="0"/>
              <w:spacing w:after="0" w:line="240" w:lineRule="auto"/>
              <w:jc w:val="center"/>
              <w:rPr>
                <w:rFonts w:cs="Arial"/>
                <w:b/>
                <w:bCs/>
                <w:sz w:val="22"/>
              </w:rPr>
            </w:pPr>
            <w:r w:rsidRPr="007672C8">
              <w:rPr>
                <w:rFonts w:cs="Arial"/>
                <w:b/>
                <w:bCs/>
                <w:sz w:val="22"/>
              </w:rPr>
              <w:t>O</w:t>
            </w:r>
            <w:r w:rsidRPr="007672C8">
              <w:rPr>
                <w:rFonts w:cs="Arial"/>
                <w:b/>
                <w:bCs/>
                <w:sz w:val="22"/>
                <w:vertAlign w:val="subscript"/>
              </w:rPr>
              <w:t>3</w:t>
            </w:r>
          </w:p>
        </w:tc>
      </w:tr>
      <w:tr w:rsidR="00EF4EF5" w:rsidRPr="007672C8" w14:paraId="2C4FDFFD" w14:textId="77777777" w:rsidTr="00694BFC">
        <w:trPr>
          <w:trHeight w:val="57"/>
        </w:trPr>
        <w:tc>
          <w:tcPr>
            <w:tcW w:w="508" w:type="pct"/>
            <w:vMerge w:val="restart"/>
            <w:vAlign w:val="center"/>
          </w:tcPr>
          <w:p w14:paraId="3BD4EED4"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Land</w:t>
            </w:r>
          </w:p>
          <w:p w14:paraId="72DB0E7C"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cover</w:t>
            </w:r>
          </w:p>
        </w:tc>
        <w:tc>
          <w:tcPr>
            <w:tcW w:w="1945" w:type="pct"/>
            <w:vAlign w:val="center"/>
          </w:tcPr>
          <w:p w14:paraId="58C79239"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high density residential and commercial</w:t>
            </w:r>
          </w:p>
        </w:tc>
        <w:tc>
          <w:tcPr>
            <w:tcW w:w="1055" w:type="pct"/>
            <w:vAlign w:val="center"/>
          </w:tcPr>
          <w:p w14:paraId="7B417330"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HDURBAN</w:t>
            </w:r>
          </w:p>
        </w:tc>
        <w:tc>
          <w:tcPr>
            <w:tcW w:w="469" w:type="pct"/>
            <w:vAlign w:val="center"/>
          </w:tcPr>
          <w:p w14:paraId="18ECFA84" w14:textId="77777777" w:rsidR="00EF4EF5" w:rsidRPr="007672C8" w:rsidRDefault="00EF4EF5" w:rsidP="00440871">
            <w:pPr>
              <w:autoSpaceDE w:val="0"/>
              <w:autoSpaceDN w:val="0"/>
              <w:adjustRightInd w:val="0"/>
              <w:spacing w:after="0" w:line="240" w:lineRule="auto"/>
              <w:jc w:val="center"/>
              <w:rPr>
                <w:rFonts w:cs="Arial"/>
                <w:sz w:val="22"/>
                <w:vertAlign w:val="superscript"/>
              </w:rPr>
            </w:pPr>
            <w:r w:rsidRPr="007672C8">
              <w:rPr>
                <w:rFonts w:cs="Arial"/>
                <w:sz w:val="22"/>
              </w:rPr>
              <w:t>m</w:t>
            </w:r>
            <w:r w:rsidRPr="007672C8">
              <w:rPr>
                <w:rFonts w:cs="Arial"/>
                <w:sz w:val="22"/>
                <w:vertAlign w:val="superscript"/>
              </w:rPr>
              <w:t>2</w:t>
            </w:r>
          </w:p>
        </w:tc>
        <w:tc>
          <w:tcPr>
            <w:tcW w:w="447" w:type="pct"/>
            <w:vMerge w:val="restart"/>
            <w:vAlign w:val="center"/>
          </w:tcPr>
          <w:p w14:paraId="56535A04"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100</w:t>
            </w:r>
          </w:p>
          <w:p w14:paraId="56B130E8"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200</w:t>
            </w:r>
          </w:p>
          <w:p w14:paraId="66AE0BDF"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300</w:t>
            </w:r>
          </w:p>
          <w:p w14:paraId="3E0A50D0"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400</w:t>
            </w:r>
          </w:p>
          <w:p w14:paraId="2CCB1D7F"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500</w:t>
            </w:r>
          </w:p>
          <w:p w14:paraId="07375420" w14:textId="7960C0A9"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1</w:t>
            </w:r>
            <w:r w:rsidR="00D1398B">
              <w:rPr>
                <w:rFonts w:cs="Arial"/>
                <w:sz w:val="22"/>
              </w:rPr>
              <w:t>,</w:t>
            </w:r>
            <w:r w:rsidRPr="007672C8">
              <w:rPr>
                <w:rFonts w:cs="Arial"/>
                <w:sz w:val="22"/>
              </w:rPr>
              <w:t>000</w:t>
            </w:r>
          </w:p>
          <w:p w14:paraId="70A311EF" w14:textId="0FCC12DA"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3</w:t>
            </w:r>
            <w:r w:rsidR="00D1398B">
              <w:rPr>
                <w:rFonts w:cs="Arial"/>
                <w:sz w:val="22"/>
              </w:rPr>
              <w:t>,</w:t>
            </w:r>
            <w:r w:rsidRPr="007672C8">
              <w:rPr>
                <w:rFonts w:cs="Arial"/>
                <w:sz w:val="22"/>
              </w:rPr>
              <w:t>000</w:t>
            </w:r>
          </w:p>
          <w:p w14:paraId="3AF3F483" w14:textId="22FBE7A0"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5</w:t>
            </w:r>
            <w:r w:rsidR="00D1398B">
              <w:rPr>
                <w:rFonts w:cs="Arial"/>
                <w:sz w:val="22"/>
              </w:rPr>
              <w:t>,</w:t>
            </w:r>
            <w:r w:rsidRPr="007672C8">
              <w:rPr>
                <w:rFonts w:cs="Arial"/>
                <w:sz w:val="22"/>
              </w:rPr>
              <w:t>000</w:t>
            </w:r>
          </w:p>
        </w:tc>
        <w:tc>
          <w:tcPr>
            <w:tcW w:w="342" w:type="pct"/>
            <w:vAlign w:val="center"/>
          </w:tcPr>
          <w:p w14:paraId="3BF814A4"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373CA342"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39AE67F1" w14:textId="77777777" w:rsidTr="00694BFC">
        <w:trPr>
          <w:trHeight w:val="57"/>
        </w:trPr>
        <w:tc>
          <w:tcPr>
            <w:tcW w:w="508" w:type="pct"/>
            <w:vMerge/>
            <w:vAlign w:val="center"/>
          </w:tcPr>
          <w:p w14:paraId="0F50AB8E"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24D2145E"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low density residential and commercial</w:t>
            </w:r>
          </w:p>
        </w:tc>
        <w:tc>
          <w:tcPr>
            <w:tcW w:w="1055" w:type="pct"/>
            <w:vAlign w:val="center"/>
          </w:tcPr>
          <w:p w14:paraId="2A643351"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LDURBAN</w:t>
            </w:r>
          </w:p>
        </w:tc>
        <w:tc>
          <w:tcPr>
            <w:tcW w:w="469" w:type="pct"/>
            <w:vAlign w:val="center"/>
          </w:tcPr>
          <w:p w14:paraId="611163BF" w14:textId="77777777" w:rsidR="00EF4EF5" w:rsidRPr="007672C8" w:rsidRDefault="00EF4EF5" w:rsidP="00440871">
            <w:pPr>
              <w:autoSpaceDE w:val="0"/>
              <w:autoSpaceDN w:val="0"/>
              <w:adjustRightInd w:val="0"/>
              <w:spacing w:after="0" w:line="240" w:lineRule="auto"/>
              <w:jc w:val="center"/>
              <w:rPr>
                <w:rFonts w:cs="Arial"/>
                <w:sz w:val="22"/>
                <w:vertAlign w:val="superscript"/>
              </w:rPr>
            </w:pPr>
            <w:r w:rsidRPr="007672C8">
              <w:rPr>
                <w:rFonts w:cs="Arial"/>
                <w:sz w:val="22"/>
              </w:rPr>
              <w:t>m</w:t>
            </w:r>
            <w:r w:rsidRPr="007672C8">
              <w:rPr>
                <w:rFonts w:cs="Arial"/>
                <w:sz w:val="22"/>
                <w:vertAlign w:val="superscript"/>
              </w:rPr>
              <w:t>2</w:t>
            </w:r>
          </w:p>
        </w:tc>
        <w:tc>
          <w:tcPr>
            <w:tcW w:w="447" w:type="pct"/>
            <w:vMerge/>
            <w:vAlign w:val="center"/>
          </w:tcPr>
          <w:p w14:paraId="732C6E80"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0A9815B8"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0785F902"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08C5E1CE" w14:textId="77777777" w:rsidTr="00694BFC">
        <w:trPr>
          <w:trHeight w:val="57"/>
        </w:trPr>
        <w:tc>
          <w:tcPr>
            <w:tcW w:w="508" w:type="pct"/>
            <w:vMerge/>
            <w:vAlign w:val="center"/>
          </w:tcPr>
          <w:p w14:paraId="72D65473"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2372C00F"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other built-up</w:t>
            </w:r>
          </w:p>
        </w:tc>
        <w:tc>
          <w:tcPr>
            <w:tcW w:w="1055" w:type="pct"/>
            <w:vAlign w:val="center"/>
          </w:tcPr>
          <w:p w14:paraId="043EB1BB"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OTHERBUILT</w:t>
            </w:r>
          </w:p>
        </w:tc>
        <w:tc>
          <w:tcPr>
            <w:tcW w:w="469" w:type="pct"/>
            <w:vAlign w:val="center"/>
          </w:tcPr>
          <w:p w14:paraId="743501D6" w14:textId="77777777" w:rsidR="00EF4EF5" w:rsidRPr="007672C8" w:rsidRDefault="00EF4EF5" w:rsidP="00440871">
            <w:pPr>
              <w:autoSpaceDE w:val="0"/>
              <w:autoSpaceDN w:val="0"/>
              <w:adjustRightInd w:val="0"/>
              <w:spacing w:after="0" w:line="240" w:lineRule="auto"/>
              <w:jc w:val="center"/>
              <w:rPr>
                <w:rFonts w:cs="Arial"/>
                <w:sz w:val="22"/>
                <w:vertAlign w:val="superscript"/>
              </w:rPr>
            </w:pPr>
            <w:r w:rsidRPr="007672C8">
              <w:rPr>
                <w:rFonts w:cs="Arial"/>
                <w:sz w:val="22"/>
              </w:rPr>
              <w:t>m</w:t>
            </w:r>
            <w:r w:rsidRPr="007672C8">
              <w:rPr>
                <w:rFonts w:cs="Arial"/>
                <w:sz w:val="22"/>
                <w:vertAlign w:val="superscript"/>
              </w:rPr>
              <w:t>2</w:t>
            </w:r>
          </w:p>
        </w:tc>
        <w:tc>
          <w:tcPr>
            <w:tcW w:w="447" w:type="pct"/>
            <w:vMerge/>
            <w:vAlign w:val="center"/>
          </w:tcPr>
          <w:p w14:paraId="309463B5"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47C1DF0F"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73972726"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5AEF92AA" w14:textId="77777777" w:rsidTr="00694BFC">
        <w:trPr>
          <w:trHeight w:val="57"/>
        </w:trPr>
        <w:tc>
          <w:tcPr>
            <w:tcW w:w="508" w:type="pct"/>
            <w:vMerge/>
            <w:vAlign w:val="center"/>
          </w:tcPr>
          <w:p w14:paraId="2A745F33"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4D74E651"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ports</w:t>
            </w:r>
          </w:p>
        </w:tc>
        <w:tc>
          <w:tcPr>
            <w:tcW w:w="1055" w:type="pct"/>
            <w:vAlign w:val="center"/>
          </w:tcPr>
          <w:p w14:paraId="18B49382"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PORTS</w:t>
            </w:r>
          </w:p>
        </w:tc>
        <w:tc>
          <w:tcPr>
            <w:tcW w:w="469" w:type="pct"/>
            <w:vAlign w:val="center"/>
          </w:tcPr>
          <w:p w14:paraId="628BB326" w14:textId="77777777" w:rsidR="00EF4EF5" w:rsidRPr="007672C8" w:rsidRDefault="00EF4EF5" w:rsidP="00440871">
            <w:pPr>
              <w:autoSpaceDE w:val="0"/>
              <w:autoSpaceDN w:val="0"/>
              <w:adjustRightInd w:val="0"/>
              <w:spacing w:after="0" w:line="240" w:lineRule="auto"/>
              <w:jc w:val="center"/>
              <w:rPr>
                <w:rFonts w:cs="Arial"/>
                <w:sz w:val="22"/>
                <w:vertAlign w:val="superscript"/>
              </w:rPr>
            </w:pPr>
            <w:r w:rsidRPr="007672C8">
              <w:rPr>
                <w:rFonts w:cs="Arial"/>
                <w:sz w:val="22"/>
              </w:rPr>
              <w:t>m</w:t>
            </w:r>
            <w:r w:rsidRPr="007672C8">
              <w:rPr>
                <w:rFonts w:cs="Arial"/>
                <w:sz w:val="22"/>
                <w:vertAlign w:val="superscript"/>
              </w:rPr>
              <w:t>2</w:t>
            </w:r>
          </w:p>
        </w:tc>
        <w:tc>
          <w:tcPr>
            <w:tcW w:w="447" w:type="pct"/>
            <w:vMerge/>
            <w:vAlign w:val="center"/>
          </w:tcPr>
          <w:p w14:paraId="2464993D"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42578A3C"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335EE7CE"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7EE66900" w14:textId="77777777" w:rsidTr="00694BFC">
        <w:trPr>
          <w:trHeight w:val="57"/>
        </w:trPr>
        <w:tc>
          <w:tcPr>
            <w:tcW w:w="508" w:type="pct"/>
            <w:vMerge/>
            <w:vAlign w:val="center"/>
          </w:tcPr>
          <w:p w14:paraId="33DA72E1"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5E75E386"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industrial</w:t>
            </w:r>
          </w:p>
        </w:tc>
        <w:tc>
          <w:tcPr>
            <w:tcW w:w="1055" w:type="pct"/>
            <w:vAlign w:val="center"/>
          </w:tcPr>
          <w:p w14:paraId="6BA677F3"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INDUSTRY</w:t>
            </w:r>
          </w:p>
        </w:tc>
        <w:tc>
          <w:tcPr>
            <w:tcW w:w="469" w:type="pct"/>
            <w:vAlign w:val="center"/>
          </w:tcPr>
          <w:p w14:paraId="6C54912C" w14:textId="77777777" w:rsidR="00EF4EF5" w:rsidRPr="007672C8" w:rsidRDefault="00EF4EF5" w:rsidP="00440871">
            <w:pPr>
              <w:autoSpaceDE w:val="0"/>
              <w:autoSpaceDN w:val="0"/>
              <w:adjustRightInd w:val="0"/>
              <w:spacing w:after="0" w:line="240" w:lineRule="auto"/>
              <w:jc w:val="center"/>
              <w:rPr>
                <w:rFonts w:cs="Arial"/>
                <w:sz w:val="22"/>
                <w:vertAlign w:val="superscript"/>
              </w:rPr>
            </w:pPr>
            <w:r w:rsidRPr="007672C8">
              <w:rPr>
                <w:rFonts w:cs="Arial"/>
                <w:sz w:val="22"/>
              </w:rPr>
              <w:t>m</w:t>
            </w:r>
            <w:r w:rsidRPr="007672C8">
              <w:rPr>
                <w:rFonts w:cs="Arial"/>
                <w:sz w:val="22"/>
                <w:vertAlign w:val="superscript"/>
              </w:rPr>
              <w:t>2</w:t>
            </w:r>
          </w:p>
        </w:tc>
        <w:tc>
          <w:tcPr>
            <w:tcW w:w="447" w:type="pct"/>
            <w:vMerge/>
            <w:vAlign w:val="center"/>
          </w:tcPr>
          <w:p w14:paraId="03523468"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03B13128"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3FB787ED"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426F1A7B" w14:textId="77777777" w:rsidTr="00694BFC">
        <w:trPr>
          <w:trHeight w:val="57"/>
        </w:trPr>
        <w:tc>
          <w:tcPr>
            <w:tcW w:w="508" w:type="pct"/>
            <w:vMerge/>
            <w:vAlign w:val="center"/>
          </w:tcPr>
          <w:p w14:paraId="685714B7"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6FC2AA16"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natural, semi-natural or forested areas</w:t>
            </w:r>
          </w:p>
        </w:tc>
        <w:tc>
          <w:tcPr>
            <w:tcW w:w="1055" w:type="pct"/>
            <w:vAlign w:val="center"/>
          </w:tcPr>
          <w:p w14:paraId="1A0406A1"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NATURAL</w:t>
            </w:r>
          </w:p>
        </w:tc>
        <w:tc>
          <w:tcPr>
            <w:tcW w:w="469" w:type="pct"/>
            <w:vAlign w:val="center"/>
          </w:tcPr>
          <w:p w14:paraId="277F130D" w14:textId="77777777" w:rsidR="00EF4EF5" w:rsidRPr="007672C8" w:rsidRDefault="00EF4EF5" w:rsidP="00440871">
            <w:pPr>
              <w:autoSpaceDE w:val="0"/>
              <w:autoSpaceDN w:val="0"/>
              <w:adjustRightInd w:val="0"/>
              <w:spacing w:after="0" w:line="240" w:lineRule="auto"/>
              <w:jc w:val="center"/>
              <w:rPr>
                <w:rFonts w:cs="Arial"/>
                <w:sz w:val="22"/>
                <w:vertAlign w:val="superscript"/>
              </w:rPr>
            </w:pPr>
            <w:r w:rsidRPr="007672C8">
              <w:rPr>
                <w:rFonts w:cs="Arial"/>
                <w:sz w:val="22"/>
              </w:rPr>
              <w:t>m</w:t>
            </w:r>
            <w:r w:rsidRPr="007672C8">
              <w:rPr>
                <w:rFonts w:cs="Arial"/>
                <w:sz w:val="22"/>
                <w:vertAlign w:val="superscript"/>
              </w:rPr>
              <w:t>2</w:t>
            </w:r>
          </w:p>
        </w:tc>
        <w:tc>
          <w:tcPr>
            <w:tcW w:w="447" w:type="pct"/>
            <w:vMerge/>
            <w:vAlign w:val="center"/>
          </w:tcPr>
          <w:p w14:paraId="510A94EA"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1DFFC1E2"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77BDABA7"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7D53F952" w14:textId="77777777" w:rsidTr="00694BFC">
        <w:trPr>
          <w:trHeight w:val="57"/>
        </w:trPr>
        <w:tc>
          <w:tcPr>
            <w:tcW w:w="508" w:type="pct"/>
            <w:vMerge/>
            <w:vAlign w:val="center"/>
          </w:tcPr>
          <w:p w14:paraId="3B57C16B"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30A3EC74"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green space</w:t>
            </w:r>
          </w:p>
        </w:tc>
        <w:tc>
          <w:tcPr>
            <w:tcW w:w="1055" w:type="pct"/>
            <w:vAlign w:val="center"/>
          </w:tcPr>
          <w:p w14:paraId="1BB2FC07"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GRESPACE</w:t>
            </w:r>
          </w:p>
        </w:tc>
        <w:tc>
          <w:tcPr>
            <w:tcW w:w="469" w:type="pct"/>
            <w:vAlign w:val="center"/>
          </w:tcPr>
          <w:p w14:paraId="3C7B62DF" w14:textId="77777777" w:rsidR="00EF4EF5" w:rsidRPr="007672C8" w:rsidRDefault="00EF4EF5" w:rsidP="00440871">
            <w:pPr>
              <w:autoSpaceDE w:val="0"/>
              <w:autoSpaceDN w:val="0"/>
              <w:adjustRightInd w:val="0"/>
              <w:spacing w:after="0" w:line="240" w:lineRule="auto"/>
              <w:jc w:val="center"/>
              <w:rPr>
                <w:rFonts w:cs="Arial"/>
                <w:sz w:val="22"/>
                <w:vertAlign w:val="superscript"/>
              </w:rPr>
            </w:pPr>
            <w:r w:rsidRPr="007672C8">
              <w:rPr>
                <w:rFonts w:cs="Arial"/>
                <w:sz w:val="22"/>
              </w:rPr>
              <w:t>m</w:t>
            </w:r>
            <w:r w:rsidRPr="007672C8">
              <w:rPr>
                <w:rFonts w:cs="Arial"/>
                <w:sz w:val="22"/>
                <w:vertAlign w:val="superscript"/>
              </w:rPr>
              <w:t>2</w:t>
            </w:r>
          </w:p>
        </w:tc>
        <w:tc>
          <w:tcPr>
            <w:tcW w:w="447" w:type="pct"/>
            <w:vMerge/>
            <w:vAlign w:val="center"/>
          </w:tcPr>
          <w:p w14:paraId="648CE60B"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0C621675"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2A042D8B"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4C32D578" w14:textId="77777777" w:rsidTr="00694BFC">
        <w:trPr>
          <w:trHeight w:val="57"/>
        </w:trPr>
        <w:tc>
          <w:tcPr>
            <w:tcW w:w="508" w:type="pct"/>
            <w:vMerge/>
            <w:vAlign w:val="center"/>
          </w:tcPr>
          <w:p w14:paraId="1990B81A"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5FF373EB"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agriculture</w:t>
            </w:r>
          </w:p>
        </w:tc>
        <w:tc>
          <w:tcPr>
            <w:tcW w:w="1055" w:type="pct"/>
            <w:vAlign w:val="center"/>
          </w:tcPr>
          <w:p w14:paraId="19B2DA3C"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AGRICULTURE</w:t>
            </w:r>
          </w:p>
        </w:tc>
        <w:tc>
          <w:tcPr>
            <w:tcW w:w="469" w:type="pct"/>
            <w:vAlign w:val="center"/>
          </w:tcPr>
          <w:p w14:paraId="7D6AFDCB" w14:textId="77777777" w:rsidR="00EF4EF5" w:rsidRPr="007672C8" w:rsidRDefault="00EF4EF5" w:rsidP="00440871">
            <w:pPr>
              <w:autoSpaceDE w:val="0"/>
              <w:autoSpaceDN w:val="0"/>
              <w:adjustRightInd w:val="0"/>
              <w:spacing w:after="0" w:line="240" w:lineRule="auto"/>
              <w:jc w:val="center"/>
              <w:rPr>
                <w:rFonts w:cs="Arial"/>
                <w:sz w:val="22"/>
                <w:vertAlign w:val="superscript"/>
              </w:rPr>
            </w:pPr>
            <w:r w:rsidRPr="007672C8">
              <w:rPr>
                <w:rFonts w:cs="Arial"/>
                <w:sz w:val="22"/>
              </w:rPr>
              <w:t>m</w:t>
            </w:r>
            <w:r w:rsidRPr="007672C8">
              <w:rPr>
                <w:rFonts w:cs="Arial"/>
                <w:sz w:val="22"/>
                <w:vertAlign w:val="superscript"/>
              </w:rPr>
              <w:t>2</w:t>
            </w:r>
          </w:p>
        </w:tc>
        <w:tc>
          <w:tcPr>
            <w:tcW w:w="447" w:type="pct"/>
            <w:vMerge/>
            <w:vAlign w:val="center"/>
          </w:tcPr>
          <w:p w14:paraId="0C975853"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25241A22"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750B43BE"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18512BAD" w14:textId="77777777" w:rsidTr="00694BFC">
        <w:trPr>
          <w:trHeight w:val="57"/>
        </w:trPr>
        <w:tc>
          <w:tcPr>
            <w:tcW w:w="508" w:type="pct"/>
            <w:vMerge/>
            <w:vAlign w:val="center"/>
          </w:tcPr>
          <w:p w14:paraId="553449C3"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51FEB0A1"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watercourses</w:t>
            </w:r>
          </w:p>
        </w:tc>
        <w:tc>
          <w:tcPr>
            <w:tcW w:w="1055" w:type="pct"/>
            <w:vAlign w:val="center"/>
          </w:tcPr>
          <w:p w14:paraId="32CAF4D2"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WATER</w:t>
            </w:r>
          </w:p>
        </w:tc>
        <w:tc>
          <w:tcPr>
            <w:tcW w:w="469" w:type="pct"/>
            <w:vAlign w:val="center"/>
          </w:tcPr>
          <w:p w14:paraId="2F1ED815" w14:textId="77777777" w:rsidR="00EF4EF5" w:rsidRPr="007672C8" w:rsidRDefault="00EF4EF5" w:rsidP="00440871">
            <w:pPr>
              <w:autoSpaceDE w:val="0"/>
              <w:autoSpaceDN w:val="0"/>
              <w:adjustRightInd w:val="0"/>
              <w:spacing w:after="0" w:line="240" w:lineRule="auto"/>
              <w:jc w:val="center"/>
              <w:rPr>
                <w:rFonts w:cs="Arial"/>
                <w:sz w:val="22"/>
                <w:vertAlign w:val="superscript"/>
              </w:rPr>
            </w:pPr>
            <w:r w:rsidRPr="007672C8">
              <w:rPr>
                <w:rFonts w:cs="Arial"/>
                <w:sz w:val="22"/>
              </w:rPr>
              <w:t>m</w:t>
            </w:r>
            <w:r w:rsidRPr="007672C8">
              <w:rPr>
                <w:rFonts w:cs="Arial"/>
                <w:sz w:val="22"/>
                <w:vertAlign w:val="superscript"/>
              </w:rPr>
              <w:t>2</w:t>
            </w:r>
          </w:p>
        </w:tc>
        <w:tc>
          <w:tcPr>
            <w:tcW w:w="447" w:type="pct"/>
            <w:vMerge/>
            <w:vAlign w:val="center"/>
          </w:tcPr>
          <w:p w14:paraId="4D547585"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3C2D4BA1"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30BB30F0"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004199C2" w14:textId="77777777" w:rsidTr="00694BFC">
        <w:trPr>
          <w:trHeight w:val="261"/>
        </w:trPr>
        <w:tc>
          <w:tcPr>
            <w:tcW w:w="508" w:type="pct"/>
            <w:vMerge w:val="restart"/>
            <w:vAlign w:val="center"/>
          </w:tcPr>
          <w:p w14:paraId="7D054012"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Population/</w:t>
            </w:r>
          </w:p>
          <w:p w14:paraId="4D77E388"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Household</w:t>
            </w:r>
          </w:p>
        </w:tc>
        <w:tc>
          <w:tcPr>
            <w:tcW w:w="1945" w:type="pct"/>
            <w:vAlign w:val="center"/>
          </w:tcPr>
          <w:p w14:paraId="0B60AEF4"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number of inhabitants in a buffer</w:t>
            </w:r>
          </w:p>
        </w:tc>
        <w:tc>
          <w:tcPr>
            <w:tcW w:w="1055" w:type="pct"/>
            <w:vAlign w:val="center"/>
          </w:tcPr>
          <w:p w14:paraId="17247240"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POP</w:t>
            </w:r>
          </w:p>
        </w:tc>
        <w:tc>
          <w:tcPr>
            <w:tcW w:w="469" w:type="pct"/>
            <w:vAlign w:val="center"/>
          </w:tcPr>
          <w:p w14:paraId="6C3FD026"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N</w:t>
            </w:r>
          </w:p>
        </w:tc>
        <w:tc>
          <w:tcPr>
            <w:tcW w:w="447" w:type="pct"/>
            <w:vMerge/>
            <w:vAlign w:val="center"/>
          </w:tcPr>
          <w:p w14:paraId="672125E8"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7DB828E4"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1D05BD73"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420FD5C2" w14:textId="77777777" w:rsidTr="00694BFC">
        <w:trPr>
          <w:trHeight w:val="57"/>
        </w:trPr>
        <w:tc>
          <w:tcPr>
            <w:tcW w:w="508" w:type="pct"/>
            <w:vMerge/>
            <w:vAlign w:val="center"/>
          </w:tcPr>
          <w:p w14:paraId="6FB444B2"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71BC5AB9"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number of households in a buffer</w:t>
            </w:r>
          </w:p>
        </w:tc>
        <w:tc>
          <w:tcPr>
            <w:tcW w:w="1055" w:type="pct"/>
            <w:vAlign w:val="center"/>
          </w:tcPr>
          <w:p w14:paraId="61F14F62"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HHOLD</w:t>
            </w:r>
          </w:p>
        </w:tc>
        <w:tc>
          <w:tcPr>
            <w:tcW w:w="469" w:type="pct"/>
            <w:vAlign w:val="center"/>
          </w:tcPr>
          <w:p w14:paraId="017F5D43"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N</w:t>
            </w:r>
          </w:p>
        </w:tc>
        <w:tc>
          <w:tcPr>
            <w:tcW w:w="447" w:type="pct"/>
            <w:vMerge/>
            <w:vAlign w:val="center"/>
          </w:tcPr>
          <w:p w14:paraId="0E299415"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6C229AB5"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0695F620"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29353238" w14:textId="77777777" w:rsidTr="00694BFC">
        <w:trPr>
          <w:trHeight w:val="57"/>
        </w:trPr>
        <w:tc>
          <w:tcPr>
            <w:tcW w:w="508" w:type="pct"/>
            <w:vMerge w:val="restart"/>
            <w:vAlign w:val="center"/>
          </w:tcPr>
          <w:p w14:paraId="74884CCA"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Road</w:t>
            </w:r>
          </w:p>
          <w:p w14:paraId="2BF6CF01"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Network</w:t>
            </w:r>
          </w:p>
        </w:tc>
        <w:tc>
          <w:tcPr>
            <w:tcW w:w="1945" w:type="pct"/>
            <w:vAlign w:val="center"/>
          </w:tcPr>
          <w:p w14:paraId="36702950"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road length of all roads</w:t>
            </w:r>
          </w:p>
        </w:tc>
        <w:tc>
          <w:tcPr>
            <w:tcW w:w="1055" w:type="pct"/>
            <w:vAlign w:val="center"/>
          </w:tcPr>
          <w:p w14:paraId="07EDB4A3"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ROADLEN</w:t>
            </w:r>
          </w:p>
        </w:tc>
        <w:tc>
          <w:tcPr>
            <w:tcW w:w="469" w:type="pct"/>
            <w:vAlign w:val="center"/>
          </w:tcPr>
          <w:p w14:paraId="45378B22"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m</w:t>
            </w:r>
          </w:p>
        </w:tc>
        <w:tc>
          <w:tcPr>
            <w:tcW w:w="447" w:type="pct"/>
            <w:vMerge w:val="restart"/>
            <w:vAlign w:val="center"/>
          </w:tcPr>
          <w:p w14:paraId="7EE180D9"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25</w:t>
            </w:r>
          </w:p>
          <w:p w14:paraId="2C18FB72"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50</w:t>
            </w:r>
          </w:p>
          <w:p w14:paraId="55730C92"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100</w:t>
            </w:r>
          </w:p>
          <w:p w14:paraId="39B613CF"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150</w:t>
            </w:r>
          </w:p>
          <w:p w14:paraId="1922ACB7"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200</w:t>
            </w:r>
          </w:p>
          <w:p w14:paraId="6248AB04"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300</w:t>
            </w:r>
          </w:p>
          <w:p w14:paraId="18D59DAF"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400</w:t>
            </w:r>
          </w:p>
          <w:p w14:paraId="560F0542"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500</w:t>
            </w:r>
          </w:p>
          <w:p w14:paraId="1949A825" w14:textId="34F1A1F8"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1</w:t>
            </w:r>
            <w:r w:rsidR="00D1398B">
              <w:rPr>
                <w:rFonts w:cs="Arial"/>
                <w:sz w:val="22"/>
              </w:rPr>
              <w:t>,</w:t>
            </w:r>
            <w:r w:rsidRPr="007672C8">
              <w:rPr>
                <w:rFonts w:cs="Arial"/>
                <w:sz w:val="22"/>
              </w:rPr>
              <w:t>000</w:t>
            </w:r>
          </w:p>
        </w:tc>
        <w:tc>
          <w:tcPr>
            <w:tcW w:w="342" w:type="pct"/>
            <w:vAlign w:val="center"/>
          </w:tcPr>
          <w:p w14:paraId="39C44DE3"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3AECCB04"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33A4C7CC" w14:textId="77777777" w:rsidTr="00694BFC">
        <w:trPr>
          <w:trHeight w:val="57"/>
        </w:trPr>
        <w:tc>
          <w:tcPr>
            <w:tcW w:w="508" w:type="pct"/>
            <w:vMerge/>
            <w:vAlign w:val="center"/>
          </w:tcPr>
          <w:p w14:paraId="78D4590B"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0568FEE0"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road length of A-roads</w:t>
            </w:r>
          </w:p>
        </w:tc>
        <w:tc>
          <w:tcPr>
            <w:tcW w:w="1055" w:type="pct"/>
            <w:vAlign w:val="center"/>
          </w:tcPr>
          <w:p w14:paraId="28067EDD"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ROADLENA</w:t>
            </w:r>
          </w:p>
        </w:tc>
        <w:tc>
          <w:tcPr>
            <w:tcW w:w="469" w:type="pct"/>
            <w:vAlign w:val="center"/>
          </w:tcPr>
          <w:p w14:paraId="1C3DB390"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m</w:t>
            </w:r>
          </w:p>
        </w:tc>
        <w:tc>
          <w:tcPr>
            <w:tcW w:w="447" w:type="pct"/>
            <w:vMerge/>
            <w:vAlign w:val="center"/>
          </w:tcPr>
          <w:p w14:paraId="061E5589"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54C4216A"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0342C5A4"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41041A85" w14:textId="77777777" w:rsidTr="00694BFC">
        <w:trPr>
          <w:trHeight w:val="57"/>
        </w:trPr>
        <w:tc>
          <w:tcPr>
            <w:tcW w:w="508" w:type="pct"/>
            <w:vMerge/>
            <w:vAlign w:val="center"/>
          </w:tcPr>
          <w:p w14:paraId="53919ED3"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1486DA99"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road length of B-roads</w:t>
            </w:r>
          </w:p>
        </w:tc>
        <w:tc>
          <w:tcPr>
            <w:tcW w:w="1055" w:type="pct"/>
            <w:vAlign w:val="center"/>
          </w:tcPr>
          <w:p w14:paraId="147CE02C"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ROADLENB</w:t>
            </w:r>
          </w:p>
        </w:tc>
        <w:tc>
          <w:tcPr>
            <w:tcW w:w="469" w:type="pct"/>
            <w:vAlign w:val="center"/>
          </w:tcPr>
          <w:p w14:paraId="15B0C17E"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m</w:t>
            </w:r>
          </w:p>
        </w:tc>
        <w:tc>
          <w:tcPr>
            <w:tcW w:w="447" w:type="pct"/>
            <w:vMerge/>
            <w:vAlign w:val="center"/>
          </w:tcPr>
          <w:p w14:paraId="38FBB985"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2C08E661"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6C7AE084"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1A76134D" w14:textId="77777777" w:rsidTr="00694BFC">
        <w:trPr>
          <w:trHeight w:val="57"/>
        </w:trPr>
        <w:tc>
          <w:tcPr>
            <w:tcW w:w="508" w:type="pct"/>
            <w:vMerge/>
            <w:vAlign w:val="center"/>
          </w:tcPr>
          <w:p w14:paraId="557A2FD0"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4B89340D"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road length of minor roads</w:t>
            </w:r>
          </w:p>
        </w:tc>
        <w:tc>
          <w:tcPr>
            <w:tcW w:w="1055" w:type="pct"/>
            <w:vAlign w:val="center"/>
          </w:tcPr>
          <w:p w14:paraId="699EA95E"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ROADLENMIN</w:t>
            </w:r>
          </w:p>
        </w:tc>
        <w:tc>
          <w:tcPr>
            <w:tcW w:w="469" w:type="pct"/>
            <w:vAlign w:val="center"/>
          </w:tcPr>
          <w:p w14:paraId="06D46267"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m</w:t>
            </w:r>
          </w:p>
        </w:tc>
        <w:tc>
          <w:tcPr>
            <w:tcW w:w="447" w:type="pct"/>
            <w:vMerge/>
            <w:vAlign w:val="center"/>
          </w:tcPr>
          <w:p w14:paraId="1CCFC86F"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6A491AF2"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119BA0D7"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11D3DACB" w14:textId="77777777" w:rsidTr="00694BFC">
        <w:trPr>
          <w:trHeight w:val="57"/>
        </w:trPr>
        <w:tc>
          <w:tcPr>
            <w:tcW w:w="508" w:type="pct"/>
            <w:vMerge/>
            <w:vAlign w:val="center"/>
          </w:tcPr>
          <w:p w14:paraId="3ECF377B"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2E90409A"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road length of motorway</w:t>
            </w:r>
          </w:p>
        </w:tc>
        <w:tc>
          <w:tcPr>
            <w:tcW w:w="1055" w:type="pct"/>
            <w:vAlign w:val="center"/>
          </w:tcPr>
          <w:p w14:paraId="6F0B2265"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ROADLENMOT</w:t>
            </w:r>
          </w:p>
        </w:tc>
        <w:tc>
          <w:tcPr>
            <w:tcW w:w="469" w:type="pct"/>
            <w:vAlign w:val="center"/>
          </w:tcPr>
          <w:p w14:paraId="19335D5A"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m</w:t>
            </w:r>
          </w:p>
        </w:tc>
        <w:tc>
          <w:tcPr>
            <w:tcW w:w="447" w:type="pct"/>
            <w:vMerge/>
            <w:vAlign w:val="center"/>
          </w:tcPr>
          <w:p w14:paraId="62910575"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708B4972"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2A8D827E"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4F14C15F" w14:textId="77777777" w:rsidTr="00694BFC">
        <w:trPr>
          <w:trHeight w:val="57"/>
        </w:trPr>
        <w:tc>
          <w:tcPr>
            <w:tcW w:w="508" w:type="pct"/>
            <w:vMerge/>
            <w:vAlign w:val="center"/>
          </w:tcPr>
          <w:p w14:paraId="077D4802"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6C403949"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road length of major roads (motorway and A-roads)</w:t>
            </w:r>
          </w:p>
        </w:tc>
        <w:tc>
          <w:tcPr>
            <w:tcW w:w="1055" w:type="pct"/>
            <w:vAlign w:val="center"/>
          </w:tcPr>
          <w:p w14:paraId="76E28713"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ROADLENMAJ</w:t>
            </w:r>
          </w:p>
        </w:tc>
        <w:tc>
          <w:tcPr>
            <w:tcW w:w="469" w:type="pct"/>
            <w:vAlign w:val="center"/>
          </w:tcPr>
          <w:p w14:paraId="6B64D0EC"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m</w:t>
            </w:r>
          </w:p>
        </w:tc>
        <w:tc>
          <w:tcPr>
            <w:tcW w:w="447" w:type="pct"/>
            <w:vMerge/>
            <w:vAlign w:val="center"/>
          </w:tcPr>
          <w:p w14:paraId="15AFD2AA"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15319103"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2994DDFB"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5EBDA081" w14:textId="77777777" w:rsidTr="00694BFC">
        <w:trPr>
          <w:trHeight w:val="57"/>
        </w:trPr>
        <w:tc>
          <w:tcPr>
            <w:tcW w:w="508" w:type="pct"/>
            <w:vMerge w:val="restart"/>
            <w:vAlign w:val="center"/>
          </w:tcPr>
          <w:p w14:paraId="6A4B3585"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Traffic</w:t>
            </w:r>
          </w:p>
        </w:tc>
        <w:tc>
          <w:tcPr>
            <w:tcW w:w="1945" w:type="pct"/>
            <w:vAlign w:val="center"/>
          </w:tcPr>
          <w:p w14:paraId="6251319D"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total traffic load on all roads (ALL MV)</w:t>
            </w:r>
          </w:p>
        </w:tc>
        <w:tc>
          <w:tcPr>
            <w:tcW w:w="1055" w:type="pct"/>
            <w:vAlign w:val="center"/>
          </w:tcPr>
          <w:p w14:paraId="5FE94F5E"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TRAFLOAD</w:t>
            </w:r>
          </w:p>
        </w:tc>
        <w:tc>
          <w:tcPr>
            <w:tcW w:w="469" w:type="pct"/>
            <w:vAlign w:val="center"/>
          </w:tcPr>
          <w:p w14:paraId="1496A23E"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veh/day*m</w:t>
            </w:r>
          </w:p>
        </w:tc>
        <w:tc>
          <w:tcPr>
            <w:tcW w:w="447" w:type="pct"/>
            <w:vMerge/>
            <w:vAlign w:val="center"/>
          </w:tcPr>
          <w:p w14:paraId="71DAD6DF"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73722B9C"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7DFFF096"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5191BE28" w14:textId="77777777" w:rsidTr="00694BFC">
        <w:trPr>
          <w:trHeight w:val="57"/>
        </w:trPr>
        <w:tc>
          <w:tcPr>
            <w:tcW w:w="508" w:type="pct"/>
            <w:vMerge/>
            <w:vAlign w:val="center"/>
          </w:tcPr>
          <w:p w14:paraId="2BC35200"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7F2D9B5E"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total traffic load on minor roads (ALLMV&lt;10000)</w:t>
            </w:r>
          </w:p>
        </w:tc>
        <w:tc>
          <w:tcPr>
            <w:tcW w:w="1055" w:type="pct"/>
            <w:vAlign w:val="center"/>
          </w:tcPr>
          <w:p w14:paraId="13AE6F65"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TRAFLOADMIN</w:t>
            </w:r>
          </w:p>
        </w:tc>
        <w:tc>
          <w:tcPr>
            <w:tcW w:w="469" w:type="pct"/>
            <w:vAlign w:val="center"/>
          </w:tcPr>
          <w:p w14:paraId="25F42E1D"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veh/day*m</w:t>
            </w:r>
          </w:p>
        </w:tc>
        <w:tc>
          <w:tcPr>
            <w:tcW w:w="447" w:type="pct"/>
            <w:vMerge/>
            <w:vAlign w:val="center"/>
          </w:tcPr>
          <w:p w14:paraId="2399DFC2"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6129EB6B"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20394ED3"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0DAA41E5" w14:textId="77777777" w:rsidTr="00694BFC">
        <w:trPr>
          <w:trHeight w:val="57"/>
        </w:trPr>
        <w:tc>
          <w:tcPr>
            <w:tcW w:w="508" w:type="pct"/>
            <w:vMerge/>
            <w:vAlign w:val="center"/>
          </w:tcPr>
          <w:p w14:paraId="5F38E5A3"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24CE87A4"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total traffic load on major traffic roads (ALLMV&gt;=10000)</w:t>
            </w:r>
          </w:p>
        </w:tc>
        <w:tc>
          <w:tcPr>
            <w:tcW w:w="1055" w:type="pct"/>
            <w:vAlign w:val="center"/>
          </w:tcPr>
          <w:p w14:paraId="223667DC"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TRAFLOADMAJ</w:t>
            </w:r>
          </w:p>
        </w:tc>
        <w:tc>
          <w:tcPr>
            <w:tcW w:w="469" w:type="pct"/>
            <w:vAlign w:val="center"/>
          </w:tcPr>
          <w:p w14:paraId="1C3B2F20"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veh/day*m</w:t>
            </w:r>
          </w:p>
        </w:tc>
        <w:tc>
          <w:tcPr>
            <w:tcW w:w="447" w:type="pct"/>
            <w:vMerge/>
            <w:vAlign w:val="center"/>
          </w:tcPr>
          <w:p w14:paraId="258BAE0D"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7AA0F0E0"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0B45BE82"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00FFC60D" w14:textId="77777777" w:rsidTr="00694BFC">
        <w:trPr>
          <w:trHeight w:val="57"/>
        </w:trPr>
        <w:tc>
          <w:tcPr>
            <w:tcW w:w="508" w:type="pct"/>
            <w:vMerge/>
            <w:vAlign w:val="center"/>
          </w:tcPr>
          <w:p w14:paraId="57AE984D"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60159EF5"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total heavy-duty traffic load on all roads (ALL C3)</w:t>
            </w:r>
          </w:p>
        </w:tc>
        <w:tc>
          <w:tcPr>
            <w:tcW w:w="1055" w:type="pct"/>
            <w:vAlign w:val="center"/>
          </w:tcPr>
          <w:p w14:paraId="388006CE"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HEAVYTRAFLOAD</w:t>
            </w:r>
          </w:p>
        </w:tc>
        <w:tc>
          <w:tcPr>
            <w:tcW w:w="469" w:type="pct"/>
            <w:vAlign w:val="center"/>
          </w:tcPr>
          <w:p w14:paraId="2291D299"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veh/day*m</w:t>
            </w:r>
          </w:p>
        </w:tc>
        <w:tc>
          <w:tcPr>
            <w:tcW w:w="447" w:type="pct"/>
            <w:vMerge/>
            <w:vAlign w:val="center"/>
          </w:tcPr>
          <w:p w14:paraId="4F48EF2E"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3C0C8902"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47F0EEA3"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66E65F9D" w14:textId="77777777" w:rsidTr="00694BFC">
        <w:trPr>
          <w:trHeight w:val="57"/>
        </w:trPr>
        <w:tc>
          <w:tcPr>
            <w:tcW w:w="508" w:type="pct"/>
            <w:vMerge/>
            <w:vAlign w:val="center"/>
          </w:tcPr>
          <w:p w14:paraId="6F5D843C"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71A6F5BE"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total heavy-duty traffic load on minor traffic roads (C3&lt;275)</w:t>
            </w:r>
          </w:p>
        </w:tc>
        <w:tc>
          <w:tcPr>
            <w:tcW w:w="1055" w:type="pct"/>
            <w:vAlign w:val="center"/>
          </w:tcPr>
          <w:p w14:paraId="2D2E80D2"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HEAVYTRAFLOADMIN</w:t>
            </w:r>
          </w:p>
        </w:tc>
        <w:tc>
          <w:tcPr>
            <w:tcW w:w="469" w:type="pct"/>
            <w:vAlign w:val="center"/>
          </w:tcPr>
          <w:p w14:paraId="6C10C96F"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veh/day*m</w:t>
            </w:r>
          </w:p>
        </w:tc>
        <w:tc>
          <w:tcPr>
            <w:tcW w:w="447" w:type="pct"/>
            <w:vMerge/>
            <w:vAlign w:val="center"/>
          </w:tcPr>
          <w:p w14:paraId="5B0C9CA9"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0DE2EA9F"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554F8677"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490B0205" w14:textId="77777777" w:rsidTr="00694BFC">
        <w:trPr>
          <w:trHeight w:val="57"/>
        </w:trPr>
        <w:tc>
          <w:tcPr>
            <w:tcW w:w="508" w:type="pct"/>
            <w:vMerge/>
            <w:vAlign w:val="center"/>
          </w:tcPr>
          <w:p w14:paraId="2EEF08D1"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2331FA4B"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total heavy-duty traffic load on major traffic roads (C3&gt;=275)</w:t>
            </w:r>
          </w:p>
        </w:tc>
        <w:tc>
          <w:tcPr>
            <w:tcW w:w="1055" w:type="pct"/>
            <w:vAlign w:val="center"/>
          </w:tcPr>
          <w:p w14:paraId="4F5BC3D8"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HEAVYTRAFLOADMAJ</w:t>
            </w:r>
          </w:p>
        </w:tc>
        <w:tc>
          <w:tcPr>
            <w:tcW w:w="469" w:type="pct"/>
            <w:vAlign w:val="center"/>
          </w:tcPr>
          <w:p w14:paraId="0E7522F1"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veh/day*m</w:t>
            </w:r>
          </w:p>
        </w:tc>
        <w:tc>
          <w:tcPr>
            <w:tcW w:w="447" w:type="pct"/>
            <w:vMerge/>
            <w:vAlign w:val="center"/>
          </w:tcPr>
          <w:p w14:paraId="3ECA397D"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6F0C4441"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44A35545"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59D67A31" w14:textId="77777777" w:rsidTr="00694BFC">
        <w:trPr>
          <w:trHeight w:val="57"/>
        </w:trPr>
        <w:tc>
          <w:tcPr>
            <w:tcW w:w="508" w:type="pct"/>
            <w:vMerge/>
            <w:vAlign w:val="center"/>
          </w:tcPr>
          <w:p w14:paraId="46595E5F"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6D863335"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traffic intensity on nearest road</w:t>
            </w:r>
          </w:p>
        </w:tc>
        <w:tc>
          <w:tcPr>
            <w:tcW w:w="1055" w:type="pct"/>
            <w:vAlign w:val="center"/>
          </w:tcPr>
          <w:p w14:paraId="50676A25"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TRAFNEAR</w:t>
            </w:r>
          </w:p>
        </w:tc>
        <w:tc>
          <w:tcPr>
            <w:tcW w:w="469" w:type="pct"/>
            <w:vAlign w:val="center"/>
          </w:tcPr>
          <w:p w14:paraId="2A5FEAE1"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veh/day</w:t>
            </w:r>
          </w:p>
        </w:tc>
        <w:tc>
          <w:tcPr>
            <w:tcW w:w="447" w:type="pct"/>
            <w:vMerge w:val="restart"/>
            <w:vAlign w:val="center"/>
          </w:tcPr>
          <w:p w14:paraId="3CC2809F"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N/A</w:t>
            </w:r>
          </w:p>
        </w:tc>
        <w:tc>
          <w:tcPr>
            <w:tcW w:w="342" w:type="pct"/>
            <w:vAlign w:val="center"/>
          </w:tcPr>
          <w:p w14:paraId="0CCD2729"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356409BD"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5D47266B" w14:textId="77777777" w:rsidTr="00694BFC">
        <w:trPr>
          <w:trHeight w:val="57"/>
        </w:trPr>
        <w:tc>
          <w:tcPr>
            <w:tcW w:w="508" w:type="pct"/>
            <w:vMerge/>
            <w:vAlign w:val="center"/>
          </w:tcPr>
          <w:p w14:paraId="141A7E2C"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576725B1"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traffic intensity on nearest major road</w:t>
            </w:r>
          </w:p>
        </w:tc>
        <w:tc>
          <w:tcPr>
            <w:tcW w:w="1055" w:type="pct"/>
            <w:vAlign w:val="center"/>
          </w:tcPr>
          <w:p w14:paraId="2B1DCA9F"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TRAFNEARMAJ</w:t>
            </w:r>
          </w:p>
        </w:tc>
        <w:tc>
          <w:tcPr>
            <w:tcW w:w="469" w:type="pct"/>
            <w:vAlign w:val="center"/>
          </w:tcPr>
          <w:p w14:paraId="30F30F01"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veh/day</w:t>
            </w:r>
          </w:p>
        </w:tc>
        <w:tc>
          <w:tcPr>
            <w:tcW w:w="447" w:type="pct"/>
            <w:vMerge/>
            <w:vAlign w:val="center"/>
          </w:tcPr>
          <w:p w14:paraId="779359A6"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6AE32FA9"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28A85810"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5D6236F3" w14:textId="77777777" w:rsidTr="00694BFC">
        <w:trPr>
          <w:trHeight w:val="57"/>
        </w:trPr>
        <w:tc>
          <w:tcPr>
            <w:tcW w:w="508" w:type="pct"/>
            <w:vMerge/>
            <w:vAlign w:val="center"/>
          </w:tcPr>
          <w:p w14:paraId="0D99B117"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5C2B6724"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heavy-duty traffic intensity on nearest road</w:t>
            </w:r>
          </w:p>
        </w:tc>
        <w:tc>
          <w:tcPr>
            <w:tcW w:w="1055" w:type="pct"/>
            <w:vAlign w:val="center"/>
          </w:tcPr>
          <w:p w14:paraId="0820BB3B"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HEAVYTRAFNEAR</w:t>
            </w:r>
          </w:p>
        </w:tc>
        <w:tc>
          <w:tcPr>
            <w:tcW w:w="469" w:type="pct"/>
            <w:vAlign w:val="center"/>
          </w:tcPr>
          <w:p w14:paraId="6ABB702B"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veh/day</w:t>
            </w:r>
          </w:p>
        </w:tc>
        <w:tc>
          <w:tcPr>
            <w:tcW w:w="447" w:type="pct"/>
            <w:vMerge/>
            <w:vAlign w:val="center"/>
          </w:tcPr>
          <w:p w14:paraId="33CB0221"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0E1D8408"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1D5EEACB"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6BA8751B" w14:textId="77777777" w:rsidTr="00694BFC">
        <w:trPr>
          <w:trHeight w:val="57"/>
        </w:trPr>
        <w:tc>
          <w:tcPr>
            <w:tcW w:w="508" w:type="pct"/>
            <w:vMerge/>
            <w:vAlign w:val="center"/>
          </w:tcPr>
          <w:p w14:paraId="1BE2F3E0"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6CB2ABEB"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heavy duty traffic intensity on nearest major road</w:t>
            </w:r>
          </w:p>
        </w:tc>
        <w:tc>
          <w:tcPr>
            <w:tcW w:w="1055" w:type="pct"/>
            <w:vAlign w:val="center"/>
          </w:tcPr>
          <w:p w14:paraId="1D7A4485"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HEAVYTRAFNEARMAJ</w:t>
            </w:r>
          </w:p>
        </w:tc>
        <w:tc>
          <w:tcPr>
            <w:tcW w:w="469" w:type="pct"/>
            <w:vAlign w:val="center"/>
          </w:tcPr>
          <w:p w14:paraId="76A35663"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veh/day</w:t>
            </w:r>
          </w:p>
        </w:tc>
        <w:tc>
          <w:tcPr>
            <w:tcW w:w="447" w:type="pct"/>
            <w:vMerge/>
            <w:vAlign w:val="center"/>
          </w:tcPr>
          <w:p w14:paraId="73361D61"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7E121788"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171DC202"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0FABF530" w14:textId="77777777" w:rsidTr="00694BFC">
        <w:trPr>
          <w:trHeight w:val="57"/>
        </w:trPr>
        <w:tc>
          <w:tcPr>
            <w:tcW w:w="508" w:type="pct"/>
            <w:vMerge/>
            <w:vAlign w:val="center"/>
          </w:tcPr>
          <w:p w14:paraId="38A1775B"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256CC34A"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inverse distance to nearest road</w:t>
            </w:r>
          </w:p>
        </w:tc>
        <w:tc>
          <w:tcPr>
            <w:tcW w:w="1055" w:type="pct"/>
            <w:vAlign w:val="center"/>
          </w:tcPr>
          <w:p w14:paraId="588CB091"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INVDIST</w:t>
            </w:r>
          </w:p>
        </w:tc>
        <w:tc>
          <w:tcPr>
            <w:tcW w:w="469" w:type="pct"/>
            <w:vAlign w:val="center"/>
          </w:tcPr>
          <w:p w14:paraId="285E9DD8" w14:textId="77777777" w:rsidR="00EF4EF5" w:rsidRPr="007672C8" w:rsidRDefault="00EF4EF5" w:rsidP="00440871">
            <w:pPr>
              <w:autoSpaceDE w:val="0"/>
              <w:autoSpaceDN w:val="0"/>
              <w:adjustRightInd w:val="0"/>
              <w:spacing w:after="0" w:line="240" w:lineRule="auto"/>
              <w:jc w:val="center"/>
              <w:rPr>
                <w:rFonts w:cs="Arial"/>
                <w:sz w:val="22"/>
                <w:vertAlign w:val="superscript"/>
              </w:rPr>
            </w:pPr>
            <w:r w:rsidRPr="007672C8">
              <w:rPr>
                <w:rFonts w:cs="Arial"/>
                <w:sz w:val="22"/>
              </w:rPr>
              <w:t>m</w:t>
            </w:r>
            <w:r w:rsidRPr="007672C8">
              <w:rPr>
                <w:rFonts w:cs="Arial"/>
                <w:sz w:val="22"/>
                <w:vertAlign w:val="superscript"/>
              </w:rPr>
              <w:t>-1</w:t>
            </w:r>
          </w:p>
        </w:tc>
        <w:tc>
          <w:tcPr>
            <w:tcW w:w="447" w:type="pct"/>
            <w:vMerge/>
            <w:vAlign w:val="center"/>
          </w:tcPr>
          <w:p w14:paraId="50DA21EA"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5B53DB8F"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3B1AD6B7"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2F550793" w14:textId="77777777" w:rsidTr="00694BFC">
        <w:trPr>
          <w:trHeight w:val="57"/>
        </w:trPr>
        <w:tc>
          <w:tcPr>
            <w:tcW w:w="508" w:type="pct"/>
            <w:vMerge/>
            <w:vAlign w:val="center"/>
          </w:tcPr>
          <w:p w14:paraId="52E9E995"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72B2ED57"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inverse distance to nearest road squared</w:t>
            </w:r>
          </w:p>
        </w:tc>
        <w:tc>
          <w:tcPr>
            <w:tcW w:w="1055" w:type="pct"/>
            <w:vAlign w:val="center"/>
          </w:tcPr>
          <w:p w14:paraId="5548183E"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INVDISTSQ</w:t>
            </w:r>
          </w:p>
        </w:tc>
        <w:tc>
          <w:tcPr>
            <w:tcW w:w="469" w:type="pct"/>
            <w:vAlign w:val="center"/>
          </w:tcPr>
          <w:p w14:paraId="49D6E341" w14:textId="77777777" w:rsidR="00EF4EF5" w:rsidRPr="007672C8" w:rsidRDefault="00EF4EF5" w:rsidP="00440871">
            <w:pPr>
              <w:autoSpaceDE w:val="0"/>
              <w:autoSpaceDN w:val="0"/>
              <w:adjustRightInd w:val="0"/>
              <w:spacing w:after="0" w:line="240" w:lineRule="auto"/>
              <w:jc w:val="center"/>
              <w:rPr>
                <w:rFonts w:cs="Arial"/>
                <w:sz w:val="22"/>
                <w:vertAlign w:val="superscript"/>
              </w:rPr>
            </w:pPr>
            <w:r w:rsidRPr="007672C8">
              <w:rPr>
                <w:rFonts w:cs="Arial"/>
                <w:sz w:val="22"/>
              </w:rPr>
              <w:t>m</w:t>
            </w:r>
            <w:r w:rsidRPr="007672C8">
              <w:rPr>
                <w:rFonts w:cs="Arial"/>
                <w:sz w:val="22"/>
                <w:vertAlign w:val="superscript"/>
              </w:rPr>
              <w:t>-2</w:t>
            </w:r>
          </w:p>
        </w:tc>
        <w:tc>
          <w:tcPr>
            <w:tcW w:w="447" w:type="pct"/>
            <w:vMerge/>
            <w:vAlign w:val="center"/>
          </w:tcPr>
          <w:p w14:paraId="53D9218F"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4BE948D5"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4F9C0412"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36C748ED" w14:textId="77777777" w:rsidTr="00694BFC">
        <w:trPr>
          <w:trHeight w:val="57"/>
        </w:trPr>
        <w:tc>
          <w:tcPr>
            <w:tcW w:w="508" w:type="pct"/>
            <w:vMerge/>
            <w:vAlign w:val="center"/>
          </w:tcPr>
          <w:p w14:paraId="6C104E7E"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48A02B8A"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inverse distance to nearest major road</w:t>
            </w:r>
          </w:p>
        </w:tc>
        <w:tc>
          <w:tcPr>
            <w:tcW w:w="1055" w:type="pct"/>
            <w:vAlign w:val="center"/>
          </w:tcPr>
          <w:p w14:paraId="43B31909"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INVDISTMAJ</w:t>
            </w:r>
          </w:p>
        </w:tc>
        <w:tc>
          <w:tcPr>
            <w:tcW w:w="469" w:type="pct"/>
            <w:vAlign w:val="center"/>
          </w:tcPr>
          <w:p w14:paraId="48D4482F" w14:textId="77777777" w:rsidR="00EF4EF5" w:rsidRPr="007672C8" w:rsidRDefault="00EF4EF5" w:rsidP="00440871">
            <w:pPr>
              <w:autoSpaceDE w:val="0"/>
              <w:autoSpaceDN w:val="0"/>
              <w:adjustRightInd w:val="0"/>
              <w:spacing w:after="0" w:line="240" w:lineRule="auto"/>
              <w:jc w:val="center"/>
              <w:rPr>
                <w:rFonts w:cs="Arial"/>
                <w:sz w:val="22"/>
                <w:vertAlign w:val="superscript"/>
              </w:rPr>
            </w:pPr>
            <w:r w:rsidRPr="007672C8">
              <w:rPr>
                <w:rFonts w:cs="Arial"/>
                <w:sz w:val="22"/>
              </w:rPr>
              <w:t>m</w:t>
            </w:r>
            <w:r w:rsidRPr="007672C8">
              <w:rPr>
                <w:rFonts w:cs="Arial"/>
                <w:sz w:val="22"/>
                <w:vertAlign w:val="superscript"/>
              </w:rPr>
              <w:t>-1</w:t>
            </w:r>
          </w:p>
        </w:tc>
        <w:tc>
          <w:tcPr>
            <w:tcW w:w="447" w:type="pct"/>
            <w:vMerge/>
            <w:vAlign w:val="center"/>
          </w:tcPr>
          <w:p w14:paraId="12E20BB8"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04E840C1"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5D08D459"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49285A18" w14:textId="77777777" w:rsidTr="00694BFC">
        <w:trPr>
          <w:trHeight w:val="57"/>
        </w:trPr>
        <w:tc>
          <w:tcPr>
            <w:tcW w:w="508" w:type="pct"/>
            <w:vMerge/>
            <w:vAlign w:val="center"/>
          </w:tcPr>
          <w:p w14:paraId="164589D6"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04C59323"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inverse distance to nearest major road squared</w:t>
            </w:r>
          </w:p>
        </w:tc>
        <w:tc>
          <w:tcPr>
            <w:tcW w:w="1055" w:type="pct"/>
            <w:vAlign w:val="center"/>
          </w:tcPr>
          <w:p w14:paraId="2AAA68A1"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INVDISTMAJSQ</w:t>
            </w:r>
          </w:p>
        </w:tc>
        <w:tc>
          <w:tcPr>
            <w:tcW w:w="469" w:type="pct"/>
            <w:vAlign w:val="center"/>
          </w:tcPr>
          <w:p w14:paraId="667CA3D4" w14:textId="77777777" w:rsidR="00EF4EF5" w:rsidRPr="007672C8" w:rsidRDefault="00EF4EF5" w:rsidP="00440871">
            <w:pPr>
              <w:autoSpaceDE w:val="0"/>
              <w:autoSpaceDN w:val="0"/>
              <w:adjustRightInd w:val="0"/>
              <w:spacing w:after="0" w:line="240" w:lineRule="auto"/>
              <w:jc w:val="center"/>
              <w:rPr>
                <w:rFonts w:cs="Arial"/>
                <w:sz w:val="22"/>
                <w:vertAlign w:val="superscript"/>
              </w:rPr>
            </w:pPr>
            <w:r w:rsidRPr="007672C8">
              <w:rPr>
                <w:rFonts w:cs="Arial"/>
                <w:sz w:val="22"/>
              </w:rPr>
              <w:t>m</w:t>
            </w:r>
            <w:r w:rsidRPr="007672C8">
              <w:rPr>
                <w:rFonts w:cs="Arial"/>
                <w:sz w:val="22"/>
                <w:vertAlign w:val="superscript"/>
              </w:rPr>
              <w:t>-2</w:t>
            </w:r>
          </w:p>
        </w:tc>
        <w:tc>
          <w:tcPr>
            <w:tcW w:w="447" w:type="pct"/>
            <w:vMerge/>
            <w:vAlign w:val="center"/>
          </w:tcPr>
          <w:p w14:paraId="56A5F6D2"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37FACB54"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2B5724B7"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080C10AE" w14:textId="77777777" w:rsidTr="00694BFC">
        <w:trPr>
          <w:trHeight w:val="57"/>
        </w:trPr>
        <w:tc>
          <w:tcPr>
            <w:tcW w:w="508" w:type="pct"/>
            <w:vMerge/>
            <w:vAlign w:val="center"/>
          </w:tcPr>
          <w:p w14:paraId="2C152DDA"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438CC396"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traffic intensity on nearest road x inverse distance to the nearest road</w:t>
            </w:r>
          </w:p>
        </w:tc>
        <w:tc>
          <w:tcPr>
            <w:tcW w:w="1055" w:type="pct"/>
            <w:vAlign w:val="center"/>
          </w:tcPr>
          <w:p w14:paraId="0A381E99"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INTINVDIST</w:t>
            </w:r>
          </w:p>
        </w:tc>
        <w:tc>
          <w:tcPr>
            <w:tcW w:w="469" w:type="pct"/>
            <w:vAlign w:val="center"/>
          </w:tcPr>
          <w:p w14:paraId="25FA838A"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veh/day/m</w:t>
            </w:r>
          </w:p>
        </w:tc>
        <w:tc>
          <w:tcPr>
            <w:tcW w:w="447" w:type="pct"/>
            <w:vMerge/>
            <w:vAlign w:val="center"/>
          </w:tcPr>
          <w:p w14:paraId="16950234"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6D8239CA"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37EFDD5D"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10D67496" w14:textId="77777777" w:rsidTr="00694BFC">
        <w:trPr>
          <w:trHeight w:val="57"/>
        </w:trPr>
        <w:tc>
          <w:tcPr>
            <w:tcW w:w="508" w:type="pct"/>
            <w:vMerge/>
            <w:vAlign w:val="center"/>
          </w:tcPr>
          <w:p w14:paraId="51E89929"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63488B57"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traffic intensity on nearest road x inverse distance to the nearest road squared</w:t>
            </w:r>
          </w:p>
        </w:tc>
        <w:tc>
          <w:tcPr>
            <w:tcW w:w="1055" w:type="pct"/>
            <w:vAlign w:val="center"/>
          </w:tcPr>
          <w:p w14:paraId="71167373"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INTINVDISTSQ</w:t>
            </w:r>
          </w:p>
        </w:tc>
        <w:tc>
          <w:tcPr>
            <w:tcW w:w="469" w:type="pct"/>
            <w:vAlign w:val="center"/>
          </w:tcPr>
          <w:p w14:paraId="055803BC" w14:textId="77777777" w:rsidR="00EF4EF5" w:rsidRPr="007672C8" w:rsidRDefault="00EF4EF5" w:rsidP="00440871">
            <w:pPr>
              <w:autoSpaceDE w:val="0"/>
              <w:autoSpaceDN w:val="0"/>
              <w:adjustRightInd w:val="0"/>
              <w:spacing w:after="0" w:line="240" w:lineRule="auto"/>
              <w:jc w:val="center"/>
              <w:rPr>
                <w:rFonts w:cs="Arial"/>
                <w:sz w:val="22"/>
                <w:vertAlign w:val="superscript"/>
              </w:rPr>
            </w:pPr>
            <w:r w:rsidRPr="007672C8">
              <w:rPr>
                <w:rFonts w:cs="Arial"/>
                <w:sz w:val="22"/>
              </w:rPr>
              <w:t>veh/day/m</w:t>
            </w:r>
            <w:r w:rsidRPr="007672C8">
              <w:rPr>
                <w:rFonts w:cs="Arial"/>
                <w:sz w:val="22"/>
                <w:vertAlign w:val="superscript"/>
              </w:rPr>
              <w:t>2</w:t>
            </w:r>
          </w:p>
        </w:tc>
        <w:tc>
          <w:tcPr>
            <w:tcW w:w="447" w:type="pct"/>
            <w:vMerge/>
            <w:vAlign w:val="center"/>
          </w:tcPr>
          <w:p w14:paraId="1C93E7A4"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712A35B9"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7B5BEE6B"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7305B899" w14:textId="77777777" w:rsidTr="00694BFC">
        <w:trPr>
          <w:trHeight w:val="57"/>
        </w:trPr>
        <w:tc>
          <w:tcPr>
            <w:tcW w:w="508" w:type="pct"/>
            <w:vMerge/>
            <w:vAlign w:val="center"/>
          </w:tcPr>
          <w:p w14:paraId="0E435FC2"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49BD50F8"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traffic intensity on nearest major road x inverse distance to the nearest major road</w:t>
            </w:r>
          </w:p>
        </w:tc>
        <w:tc>
          <w:tcPr>
            <w:tcW w:w="1055" w:type="pct"/>
            <w:vAlign w:val="center"/>
          </w:tcPr>
          <w:p w14:paraId="7ED81C79"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INTINVDISTMAJ</w:t>
            </w:r>
          </w:p>
        </w:tc>
        <w:tc>
          <w:tcPr>
            <w:tcW w:w="469" w:type="pct"/>
            <w:vAlign w:val="center"/>
          </w:tcPr>
          <w:p w14:paraId="43C93AC1"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veh/day/m</w:t>
            </w:r>
          </w:p>
        </w:tc>
        <w:tc>
          <w:tcPr>
            <w:tcW w:w="447" w:type="pct"/>
            <w:vMerge/>
            <w:vAlign w:val="center"/>
          </w:tcPr>
          <w:p w14:paraId="19DFCE10"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39F10E62"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6FC1A5E2"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54DAB7E4" w14:textId="77777777" w:rsidTr="00694BFC">
        <w:trPr>
          <w:trHeight w:val="57"/>
        </w:trPr>
        <w:tc>
          <w:tcPr>
            <w:tcW w:w="508" w:type="pct"/>
            <w:vMerge/>
            <w:vAlign w:val="center"/>
          </w:tcPr>
          <w:p w14:paraId="3D87BC32"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1B4B9253"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traffic intensity on nearest major road x inverse distance to the nearest major road squared</w:t>
            </w:r>
          </w:p>
        </w:tc>
        <w:tc>
          <w:tcPr>
            <w:tcW w:w="1055" w:type="pct"/>
            <w:vAlign w:val="center"/>
          </w:tcPr>
          <w:p w14:paraId="3D392A8E"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INTINVDISTMAJSQ</w:t>
            </w:r>
          </w:p>
        </w:tc>
        <w:tc>
          <w:tcPr>
            <w:tcW w:w="469" w:type="pct"/>
            <w:vAlign w:val="center"/>
          </w:tcPr>
          <w:p w14:paraId="55227076" w14:textId="77777777" w:rsidR="00EF4EF5" w:rsidRPr="007672C8" w:rsidRDefault="00EF4EF5" w:rsidP="00440871">
            <w:pPr>
              <w:autoSpaceDE w:val="0"/>
              <w:autoSpaceDN w:val="0"/>
              <w:adjustRightInd w:val="0"/>
              <w:spacing w:after="0" w:line="240" w:lineRule="auto"/>
              <w:jc w:val="center"/>
              <w:rPr>
                <w:rFonts w:cs="Arial"/>
                <w:sz w:val="22"/>
                <w:vertAlign w:val="superscript"/>
              </w:rPr>
            </w:pPr>
            <w:r w:rsidRPr="007672C8">
              <w:rPr>
                <w:rFonts w:cs="Arial"/>
                <w:sz w:val="22"/>
              </w:rPr>
              <w:t>veh/day/m</w:t>
            </w:r>
            <w:r w:rsidRPr="007672C8">
              <w:rPr>
                <w:rFonts w:cs="Arial"/>
                <w:sz w:val="22"/>
                <w:vertAlign w:val="superscript"/>
              </w:rPr>
              <w:t>2</w:t>
            </w:r>
          </w:p>
        </w:tc>
        <w:tc>
          <w:tcPr>
            <w:tcW w:w="447" w:type="pct"/>
            <w:vMerge/>
            <w:vAlign w:val="center"/>
          </w:tcPr>
          <w:p w14:paraId="254147C5"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546B0F6E"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2A3BD803"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1B633D49" w14:textId="77777777" w:rsidTr="00694BFC">
        <w:trPr>
          <w:trHeight w:val="57"/>
        </w:trPr>
        <w:tc>
          <w:tcPr>
            <w:tcW w:w="508" w:type="pct"/>
            <w:vMerge/>
            <w:vAlign w:val="center"/>
          </w:tcPr>
          <w:p w14:paraId="65CD86A2"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18B2E8C5"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heavy-duty traffic intensity on nearest road x inverse distance to the nearest road</w:t>
            </w:r>
          </w:p>
        </w:tc>
        <w:tc>
          <w:tcPr>
            <w:tcW w:w="1055" w:type="pct"/>
            <w:vAlign w:val="center"/>
          </w:tcPr>
          <w:p w14:paraId="229880F8"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HEAVYINTINVDIST</w:t>
            </w:r>
          </w:p>
        </w:tc>
        <w:tc>
          <w:tcPr>
            <w:tcW w:w="469" w:type="pct"/>
            <w:vAlign w:val="center"/>
          </w:tcPr>
          <w:p w14:paraId="4F9874CC"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veh/day/m</w:t>
            </w:r>
          </w:p>
        </w:tc>
        <w:tc>
          <w:tcPr>
            <w:tcW w:w="447" w:type="pct"/>
            <w:vMerge/>
            <w:vAlign w:val="center"/>
          </w:tcPr>
          <w:p w14:paraId="26C5939F"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04BD089E"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63003E4F"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1D639B39" w14:textId="77777777" w:rsidTr="00694BFC">
        <w:trPr>
          <w:trHeight w:val="57"/>
        </w:trPr>
        <w:tc>
          <w:tcPr>
            <w:tcW w:w="508" w:type="pct"/>
            <w:vMerge/>
            <w:vAlign w:val="center"/>
          </w:tcPr>
          <w:p w14:paraId="4932D22A"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3DB57B63"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heavy-duty traffic intensity on nearest road x inverse distance to the nearest road squared</w:t>
            </w:r>
          </w:p>
        </w:tc>
        <w:tc>
          <w:tcPr>
            <w:tcW w:w="1055" w:type="pct"/>
            <w:vAlign w:val="center"/>
          </w:tcPr>
          <w:p w14:paraId="764B4E8B"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HEAVYINTINVDISTSQ</w:t>
            </w:r>
          </w:p>
        </w:tc>
        <w:tc>
          <w:tcPr>
            <w:tcW w:w="469" w:type="pct"/>
            <w:vAlign w:val="center"/>
          </w:tcPr>
          <w:p w14:paraId="42111292" w14:textId="77777777" w:rsidR="00EF4EF5" w:rsidRPr="007672C8" w:rsidRDefault="00EF4EF5" w:rsidP="00440871">
            <w:pPr>
              <w:autoSpaceDE w:val="0"/>
              <w:autoSpaceDN w:val="0"/>
              <w:adjustRightInd w:val="0"/>
              <w:spacing w:after="0" w:line="240" w:lineRule="auto"/>
              <w:jc w:val="center"/>
              <w:rPr>
                <w:rFonts w:cs="Arial"/>
                <w:sz w:val="22"/>
                <w:vertAlign w:val="superscript"/>
              </w:rPr>
            </w:pPr>
            <w:r w:rsidRPr="007672C8">
              <w:rPr>
                <w:rFonts w:cs="Arial"/>
                <w:sz w:val="22"/>
              </w:rPr>
              <w:t>veh/day/m</w:t>
            </w:r>
            <w:r w:rsidRPr="007672C8">
              <w:rPr>
                <w:rFonts w:cs="Arial"/>
                <w:sz w:val="22"/>
                <w:vertAlign w:val="superscript"/>
              </w:rPr>
              <w:t>2</w:t>
            </w:r>
          </w:p>
        </w:tc>
        <w:tc>
          <w:tcPr>
            <w:tcW w:w="447" w:type="pct"/>
            <w:vMerge/>
            <w:vAlign w:val="center"/>
          </w:tcPr>
          <w:p w14:paraId="2402506B"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07D3E97F"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67B171B2"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2258D5BB" w14:textId="77777777" w:rsidTr="00694BFC">
        <w:trPr>
          <w:trHeight w:val="57"/>
        </w:trPr>
        <w:tc>
          <w:tcPr>
            <w:tcW w:w="508" w:type="pct"/>
            <w:vMerge/>
            <w:vAlign w:val="center"/>
          </w:tcPr>
          <w:p w14:paraId="1146A038"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5D7D34E5"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heavy-duty traffic intensity on nearest major road x inverse distance to the nearest major road</w:t>
            </w:r>
          </w:p>
        </w:tc>
        <w:tc>
          <w:tcPr>
            <w:tcW w:w="1055" w:type="pct"/>
            <w:vAlign w:val="center"/>
          </w:tcPr>
          <w:p w14:paraId="27632A02"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HEAVYINTINVDISTMAJ</w:t>
            </w:r>
          </w:p>
        </w:tc>
        <w:tc>
          <w:tcPr>
            <w:tcW w:w="469" w:type="pct"/>
            <w:vAlign w:val="center"/>
          </w:tcPr>
          <w:p w14:paraId="224F4906"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veh/day/m</w:t>
            </w:r>
          </w:p>
        </w:tc>
        <w:tc>
          <w:tcPr>
            <w:tcW w:w="447" w:type="pct"/>
            <w:vMerge/>
            <w:vAlign w:val="center"/>
          </w:tcPr>
          <w:p w14:paraId="56B12ACB"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65C38FC0"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1A6EA912"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18121E0E" w14:textId="77777777" w:rsidTr="00694BFC">
        <w:trPr>
          <w:trHeight w:val="57"/>
        </w:trPr>
        <w:tc>
          <w:tcPr>
            <w:tcW w:w="508" w:type="pct"/>
            <w:vMerge/>
            <w:vAlign w:val="center"/>
          </w:tcPr>
          <w:p w14:paraId="450C37A2" w14:textId="77777777" w:rsidR="00EF4EF5" w:rsidRPr="007672C8" w:rsidRDefault="00EF4EF5" w:rsidP="00440871">
            <w:pPr>
              <w:autoSpaceDE w:val="0"/>
              <w:autoSpaceDN w:val="0"/>
              <w:adjustRightInd w:val="0"/>
              <w:spacing w:after="0" w:line="240" w:lineRule="auto"/>
              <w:jc w:val="left"/>
              <w:rPr>
                <w:rFonts w:cs="Arial"/>
                <w:sz w:val="22"/>
              </w:rPr>
            </w:pPr>
          </w:p>
        </w:tc>
        <w:tc>
          <w:tcPr>
            <w:tcW w:w="1945" w:type="pct"/>
            <w:vAlign w:val="center"/>
          </w:tcPr>
          <w:p w14:paraId="00BF0D62"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heavy-duty traffic intensity on nearest major road x inverse distance to the nearest major road squared</w:t>
            </w:r>
          </w:p>
        </w:tc>
        <w:tc>
          <w:tcPr>
            <w:tcW w:w="1055" w:type="pct"/>
            <w:vAlign w:val="center"/>
          </w:tcPr>
          <w:p w14:paraId="3C711FAD"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HEAVYINTINVDISTMAJSQ</w:t>
            </w:r>
          </w:p>
        </w:tc>
        <w:tc>
          <w:tcPr>
            <w:tcW w:w="469" w:type="pct"/>
            <w:vAlign w:val="center"/>
          </w:tcPr>
          <w:p w14:paraId="5AD8F6BB" w14:textId="77777777" w:rsidR="00EF4EF5" w:rsidRPr="007672C8" w:rsidRDefault="00EF4EF5" w:rsidP="00440871">
            <w:pPr>
              <w:autoSpaceDE w:val="0"/>
              <w:autoSpaceDN w:val="0"/>
              <w:adjustRightInd w:val="0"/>
              <w:spacing w:after="0" w:line="240" w:lineRule="auto"/>
              <w:jc w:val="center"/>
              <w:rPr>
                <w:rFonts w:cs="Arial"/>
                <w:sz w:val="22"/>
                <w:vertAlign w:val="superscript"/>
              </w:rPr>
            </w:pPr>
            <w:r w:rsidRPr="007672C8">
              <w:rPr>
                <w:rFonts w:cs="Arial"/>
                <w:sz w:val="22"/>
              </w:rPr>
              <w:t>veh/day/m</w:t>
            </w:r>
            <w:r w:rsidRPr="007672C8">
              <w:rPr>
                <w:rFonts w:cs="Arial"/>
                <w:sz w:val="22"/>
                <w:vertAlign w:val="superscript"/>
              </w:rPr>
              <w:t>2</w:t>
            </w:r>
          </w:p>
        </w:tc>
        <w:tc>
          <w:tcPr>
            <w:tcW w:w="447" w:type="pct"/>
            <w:vMerge/>
            <w:vAlign w:val="center"/>
          </w:tcPr>
          <w:p w14:paraId="507E42CB"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16D53DF1"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0DB5F203"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421C1B3A" w14:textId="77777777" w:rsidTr="00694BFC">
        <w:trPr>
          <w:trHeight w:val="57"/>
        </w:trPr>
        <w:tc>
          <w:tcPr>
            <w:tcW w:w="508" w:type="pct"/>
            <w:vAlign w:val="center"/>
          </w:tcPr>
          <w:p w14:paraId="0A17C513"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Topography</w:t>
            </w:r>
          </w:p>
        </w:tc>
        <w:tc>
          <w:tcPr>
            <w:tcW w:w="1945" w:type="pct"/>
            <w:vAlign w:val="center"/>
          </w:tcPr>
          <w:p w14:paraId="4CF0100A"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altitude</w:t>
            </w:r>
          </w:p>
        </w:tc>
        <w:tc>
          <w:tcPr>
            <w:tcW w:w="1055" w:type="pct"/>
            <w:vAlign w:val="center"/>
          </w:tcPr>
          <w:p w14:paraId="30A43AEE"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ALTITUDE</w:t>
            </w:r>
          </w:p>
        </w:tc>
        <w:tc>
          <w:tcPr>
            <w:tcW w:w="469" w:type="pct"/>
            <w:vAlign w:val="center"/>
          </w:tcPr>
          <w:p w14:paraId="27759A7F"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m</w:t>
            </w:r>
          </w:p>
        </w:tc>
        <w:tc>
          <w:tcPr>
            <w:tcW w:w="447" w:type="pct"/>
            <w:vMerge/>
            <w:vAlign w:val="center"/>
          </w:tcPr>
          <w:p w14:paraId="65B4D266" w14:textId="77777777" w:rsidR="00EF4EF5" w:rsidRPr="007672C8" w:rsidRDefault="00EF4EF5" w:rsidP="00440871">
            <w:pPr>
              <w:autoSpaceDE w:val="0"/>
              <w:autoSpaceDN w:val="0"/>
              <w:adjustRightInd w:val="0"/>
              <w:spacing w:after="0" w:line="240" w:lineRule="auto"/>
              <w:jc w:val="center"/>
              <w:rPr>
                <w:rFonts w:cs="Arial"/>
                <w:sz w:val="22"/>
              </w:rPr>
            </w:pPr>
          </w:p>
        </w:tc>
        <w:tc>
          <w:tcPr>
            <w:tcW w:w="342" w:type="pct"/>
            <w:vAlign w:val="center"/>
          </w:tcPr>
          <w:p w14:paraId="64F89235"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2F0DDE76"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r w:rsidR="00EF4EF5" w:rsidRPr="007672C8" w14:paraId="0B2E5958" w14:textId="77777777" w:rsidTr="00694BFC">
        <w:trPr>
          <w:trHeight w:val="57"/>
        </w:trPr>
        <w:tc>
          <w:tcPr>
            <w:tcW w:w="508" w:type="pct"/>
            <w:vAlign w:val="center"/>
          </w:tcPr>
          <w:p w14:paraId="4B4D490D"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Building</w:t>
            </w:r>
          </w:p>
        </w:tc>
        <w:tc>
          <w:tcPr>
            <w:tcW w:w="1945" w:type="pct"/>
            <w:vAlign w:val="center"/>
          </w:tcPr>
          <w:p w14:paraId="6EF84E6A"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building volume</w:t>
            </w:r>
            <w:r>
              <w:rPr>
                <w:rFonts w:cs="Arial"/>
                <w:sz w:val="22"/>
              </w:rPr>
              <w:t xml:space="preserve"> within 50m of major road</w:t>
            </w:r>
            <w:r w:rsidRPr="007672C8">
              <w:rPr>
                <w:rFonts w:cs="Arial"/>
                <w:sz w:val="22"/>
              </w:rPr>
              <w:t xml:space="preserve"> (sum of building area x height) in a circular buffer</w:t>
            </w:r>
          </w:p>
        </w:tc>
        <w:tc>
          <w:tcPr>
            <w:tcW w:w="1055" w:type="pct"/>
            <w:vAlign w:val="center"/>
          </w:tcPr>
          <w:p w14:paraId="46E5186A" w14:textId="77777777" w:rsidR="00EF4EF5" w:rsidRPr="007672C8" w:rsidRDefault="00EF4EF5" w:rsidP="00440871">
            <w:pPr>
              <w:autoSpaceDE w:val="0"/>
              <w:autoSpaceDN w:val="0"/>
              <w:adjustRightInd w:val="0"/>
              <w:spacing w:after="0" w:line="240" w:lineRule="auto"/>
              <w:jc w:val="left"/>
              <w:rPr>
                <w:rFonts w:cs="Arial"/>
                <w:sz w:val="22"/>
              </w:rPr>
            </w:pPr>
            <w:r w:rsidRPr="007672C8">
              <w:rPr>
                <w:rFonts w:cs="Arial"/>
                <w:sz w:val="22"/>
              </w:rPr>
              <w:t>BUILDINGVOL</w:t>
            </w:r>
          </w:p>
        </w:tc>
        <w:tc>
          <w:tcPr>
            <w:tcW w:w="469" w:type="pct"/>
            <w:vAlign w:val="center"/>
          </w:tcPr>
          <w:p w14:paraId="5DE68787" w14:textId="77777777" w:rsidR="00EF4EF5" w:rsidRPr="007672C8" w:rsidRDefault="00EF4EF5" w:rsidP="00440871">
            <w:pPr>
              <w:autoSpaceDE w:val="0"/>
              <w:autoSpaceDN w:val="0"/>
              <w:adjustRightInd w:val="0"/>
              <w:spacing w:after="0" w:line="240" w:lineRule="auto"/>
              <w:jc w:val="center"/>
              <w:rPr>
                <w:rFonts w:cs="Arial"/>
                <w:sz w:val="22"/>
                <w:vertAlign w:val="superscript"/>
              </w:rPr>
            </w:pPr>
            <w:r w:rsidRPr="007672C8">
              <w:rPr>
                <w:rFonts w:cs="Arial"/>
                <w:sz w:val="22"/>
              </w:rPr>
              <w:t>m</w:t>
            </w:r>
            <w:r w:rsidRPr="007672C8">
              <w:rPr>
                <w:rFonts w:cs="Arial"/>
                <w:sz w:val="22"/>
                <w:vertAlign w:val="superscript"/>
              </w:rPr>
              <w:t>3</w:t>
            </w:r>
          </w:p>
        </w:tc>
        <w:tc>
          <w:tcPr>
            <w:tcW w:w="447" w:type="pct"/>
            <w:vAlign w:val="center"/>
          </w:tcPr>
          <w:p w14:paraId="6FEA2AE5"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50</w:t>
            </w:r>
          </w:p>
          <w:p w14:paraId="057C7FC4"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100</w:t>
            </w:r>
          </w:p>
        </w:tc>
        <w:tc>
          <w:tcPr>
            <w:tcW w:w="342" w:type="pct"/>
            <w:vAlign w:val="center"/>
          </w:tcPr>
          <w:p w14:paraId="143E3D53"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c>
          <w:tcPr>
            <w:tcW w:w="234" w:type="pct"/>
            <w:vAlign w:val="center"/>
          </w:tcPr>
          <w:p w14:paraId="32C358B1" w14:textId="77777777" w:rsidR="00EF4EF5" w:rsidRPr="007672C8" w:rsidRDefault="00EF4EF5" w:rsidP="00440871">
            <w:pPr>
              <w:autoSpaceDE w:val="0"/>
              <w:autoSpaceDN w:val="0"/>
              <w:adjustRightInd w:val="0"/>
              <w:spacing w:after="0" w:line="240" w:lineRule="auto"/>
              <w:jc w:val="center"/>
              <w:rPr>
                <w:rFonts w:cs="Arial"/>
                <w:sz w:val="22"/>
              </w:rPr>
            </w:pPr>
            <w:r w:rsidRPr="007672C8">
              <w:rPr>
                <w:rFonts w:cs="Arial"/>
                <w:sz w:val="22"/>
              </w:rPr>
              <w:t>-</w:t>
            </w:r>
          </w:p>
        </w:tc>
      </w:tr>
    </w:tbl>
    <w:p w14:paraId="0C262CAF" w14:textId="77777777" w:rsidR="00EF4EF5" w:rsidRDefault="00EF4EF5" w:rsidP="007D2672">
      <w:pPr>
        <w:sectPr w:rsidR="00EF4EF5" w:rsidSect="00F75912">
          <w:headerReference w:type="default" r:id="rId8"/>
          <w:footerReference w:type="default" r:id="rId9"/>
          <w:pgSz w:w="15840" w:h="12240" w:orient="landscape"/>
          <w:pgMar w:top="1440" w:right="1440" w:bottom="1440" w:left="1440" w:header="720" w:footer="720" w:gutter="0"/>
          <w:cols w:space="720"/>
          <w:docGrid w:linePitch="360"/>
        </w:sectPr>
      </w:pPr>
    </w:p>
    <w:p w14:paraId="2F8CF364" w14:textId="21F5A786" w:rsidR="00EF4EF5" w:rsidRPr="00205CDD" w:rsidRDefault="00EF4EF5" w:rsidP="000D1DD2">
      <w:pPr>
        <w:pStyle w:val="Heading2"/>
        <w:numPr>
          <w:ilvl w:val="0"/>
          <w:numId w:val="0"/>
        </w:numPr>
      </w:pPr>
      <w:bookmarkStart w:id="4" w:name="_Toc108613997"/>
      <w:r>
        <w:lastRenderedPageBreak/>
        <w:t>Table A.</w:t>
      </w:r>
      <w:fldSimple w:instr=" SEQ Table_A. \* ARABIC ">
        <w:r w:rsidR="00356DDD">
          <w:rPr>
            <w:noProof/>
          </w:rPr>
          <w:t>3</w:t>
        </w:r>
      </w:fldSimple>
      <w:r>
        <w:t xml:space="preserve"> </w:t>
      </w:r>
      <w:r w:rsidRPr="000D1DD2">
        <w:t>Selected</w:t>
      </w:r>
      <w:r>
        <w:t xml:space="preserve"> variables in the annual LUR (</w:t>
      </w:r>
      <w:r w:rsidR="00A27FE7">
        <w:t>CTM-incorporated</w:t>
      </w:r>
      <w:r>
        <w:t>) models.</w:t>
      </w:r>
      <w:bookmarkEnd w:id="4"/>
      <w:r>
        <w:t xml:space="preserve"> </w:t>
      </w:r>
    </w:p>
    <w:tbl>
      <w:tblPr>
        <w:tblW w:w="9198" w:type="dxa"/>
        <w:tblLook w:val="04A0" w:firstRow="1" w:lastRow="0" w:firstColumn="1" w:lastColumn="0" w:noHBand="0" w:noVBand="1"/>
      </w:tblPr>
      <w:tblGrid>
        <w:gridCol w:w="697"/>
        <w:gridCol w:w="883"/>
        <w:gridCol w:w="1660"/>
        <w:gridCol w:w="1840"/>
        <w:gridCol w:w="2818"/>
        <w:gridCol w:w="1300"/>
      </w:tblGrid>
      <w:tr w:rsidR="00EF4EF5" w:rsidRPr="00205CDD" w14:paraId="6B0C3304" w14:textId="77777777" w:rsidTr="00D70F51">
        <w:trPr>
          <w:trHeight w:val="300"/>
        </w:trPr>
        <w:tc>
          <w:tcPr>
            <w:tcW w:w="697" w:type="dxa"/>
            <w:tcBorders>
              <w:top w:val="single" w:sz="8" w:space="0" w:color="auto"/>
              <w:left w:val="nil"/>
              <w:bottom w:val="single" w:sz="8" w:space="0" w:color="auto"/>
              <w:right w:val="nil"/>
            </w:tcBorders>
            <w:shd w:val="clear" w:color="auto" w:fill="auto"/>
            <w:vAlign w:val="center"/>
            <w:hideMark/>
          </w:tcPr>
          <w:p w14:paraId="16F6E63C" w14:textId="77777777" w:rsidR="00EF4EF5" w:rsidRPr="00205CDD" w:rsidRDefault="00EF4EF5" w:rsidP="0084110D">
            <w:pPr>
              <w:spacing w:after="0" w:line="240" w:lineRule="auto"/>
              <w:jc w:val="left"/>
              <w:rPr>
                <w:rFonts w:eastAsia="Times New Roman" w:cs="Arial"/>
                <w:b/>
                <w:bCs/>
                <w:color w:val="000000"/>
                <w:sz w:val="20"/>
                <w:szCs w:val="20"/>
                <w:lang w:val="en-US"/>
              </w:rPr>
            </w:pPr>
          </w:p>
        </w:tc>
        <w:tc>
          <w:tcPr>
            <w:tcW w:w="883" w:type="dxa"/>
            <w:tcBorders>
              <w:top w:val="single" w:sz="8" w:space="0" w:color="auto"/>
              <w:left w:val="nil"/>
              <w:bottom w:val="single" w:sz="8" w:space="0" w:color="auto"/>
              <w:right w:val="nil"/>
            </w:tcBorders>
            <w:shd w:val="clear" w:color="auto" w:fill="auto"/>
            <w:vAlign w:val="center"/>
            <w:hideMark/>
          </w:tcPr>
          <w:p w14:paraId="18EB5322" w14:textId="77777777" w:rsidR="00EF4EF5" w:rsidRPr="00205CDD" w:rsidRDefault="00EF4EF5" w:rsidP="0084110D">
            <w:pPr>
              <w:spacing w:after="0" w:line="240" w:lineRule="auto"/>
              <w:jc w:val="center"/>
              <w:rPr>
                <w:rFonts w:eastAsia="Times New Roman" w:cs="Arial"/>
                <w:color w:val="000000"/>
                <w:sz w:val="20"/>
                <w:szCs w:val="20"/>
                <w:lang w:val="en-US"/>
              </w:rPr>
            </w:pPr>
            <w:r w:rsidRPr="00205CDD">
              <w:rPr>
                <w:rFonts w:eastAsia="Times New Roman" w:cs="Arial"/>
                <w:color w:val="000000"/>
                <w:sz w:val="20"/>
                <w:szCs w:val="20"/>
                <w:lang w:val="en-US"/>
              </w:rPr>
              <w:t>1</w:t>
            </w:r>
          </w:p>
        </w:tc>
        <w:tc>
          <w:tcPr>
            <w:tcW w:w="1660" w:type="dxa"/>
            <w:tcBorders>
              <w:top w:val="single" w:sz="8" w:space="0" w:color="auto"/>
              <w:left w:val="nil"/>
              <w:bottom w:val="single" w:sz="8" w:space="0" w:color="auto"/>
              <w:right w:val="nil"/>
            </w:tcBorders>
            <w:shd w:val="clear" w:color="auto" w:fill="auto"/>
            <w:vAlign w:val="center"/>
            <w:hideMark/>
          </w:tcPr>
          <w:p w14:paraId="16E0EFD5" w14:textId="77777777" w:rsidR="00EF4EF5" w:rsidRPr="00205CDD" w:rsidRDefault="00EF4EF5" w:rsidP="0084110D">
            <w:pPr>
              <w:spacing w:after="0" w:line="240" w:lineRule="auto"/>
              <w:jc w:val="center"/>
              <w:rPr>
                <w:rFonts w:eastAsia="Times New Roman" w:cs="Arial"/>
                <w:color w:val="000000"/>
                <w:sz w:val="20"/>
                <w:szCs w:val="20"/>
                <w:lang w:val="en-US"/>
              </w:rPr>
            </w:pPr>
            <w:r w:rsidRPr="00205CDD">
              <w:rPr>
                <w:rFonts w:eastAsia="Times New Roman" w:cs="Arial"/>
                <w:color w:val="000000"/>
                <w:sz w:val="20"/>
                <w:szCs w:val="20"/>
                <w:lang w:val="en-US"/>
              </w:rPr>
              <w:t>2</w:t>
            </w:r>
          </w:p>
        </w:tc>
        <w:tc>
          <w:tcPr>
            <w:tcW w:w="1840" w:type="dxa"/>
            <w:tcBorders>
              <w:top w:val="single" w:sz="8" w:space="0" w:color="auto"/>
              <w:left w:val="nil"/>
              <w:bottom w:val="single" w:sz="8" w:space="0" w:color="auto"/>
              <w:right w:val="nil"/>
            </w:tcBorders>
            <w:shd w:val="clear" w:color="auto" w:fill="auto"/>
            <w:vAlign w:val="center"/>
            <w:hideMark/>
          </w:tcPr>
          <w:p w14:paraId="4E5D85DC" w14:textId="77777777" w:rsidR="00EF4EF5" w:rsidRPr="00205CDD" w:rsidRDefault="00EF4EF5" w:rsidP="0084110D">
            <w:pPr>
              <w:spacing w:after="0" w:line="240" w:lineRule="auto"/>
              <w:jc w:val="center"/>
              <w:rPr>
                <w:rFonts w:eastAsia="Times New Roman" w:cs="Arial"/>
                <w:color w:val="000000"/>
                <w:sz w:val="20"/>
                <w:szCs w:val="20"/>
                <w:lang w:val="en-US"/>
              </w:rPr>
            </w:pPr>
            <w:r w:rsidRPr="00205CDD">
              <w:rPr>
                <w:rFonts w:eastAsia="Times New Roman" w:cs="Arial"/>
                <w:color w:val="000000"/>
                <w:sz w:val="20"/>
                <w:szCs w:val="20"/>
                <w:lang w:val="en-US"/>
              </w:rPr>
              <w:t>3</w:t>
            </w:r>
          </w:p>
        </w:tc>
        <w:tc>
          <w:tcPr>
            <w:tcW w:w="2818" w:type="dxa"/>
            <w:tcBorders>
              <w:top w:val="single" w:sz="8" w:space="0" w:color="auto"/>
              <w:left w:val="nil"/>
              <w:bottom w:val="single" w:sz="8" w:space="0" w:color="auto"/>
              <w:right w:val="nil"/>
            </w:tcBorders>
            <w:shd w:val="clear" w:color="auto" w:fill="auto"/>
            <w:vAlign w:val="center"/>
            <w:hideMark/>
          </w:tcPr>
          <w:p w14:paraId="74E52DB3" w14:textId="77777777" w:rsidR="00EF4EF5" w:rsidRPr="00205CDD" w:rsidRDefault="00EF4EF5" w:rsidP="0084110D">
            <w:pPr>
              <w:spacing w:after="0" w:line="240" w:lineRule="auto"/>
              <w:jc w:val="center"/>
              <w:rPr>
                <w:rFonts w:eastAsia="Times New Roman" w:cs="Arial"/>
                <w:color w:val="000000"/>
                <w:sz w:val="20"/>
                <w:szCs w:val="20"/>
                <w:lang w:val="en-US"/>
              </w:rPr>
            </w:pPr>
            <w:r w:rsidRPr="00205CDD">
              <w:rPr>
                <w:rFonts w:eastAsia="Times New Roman" w:cs="Arial"/>
                <w:color w:val="000000"/>
                <w:sz w:val="20"/>
                <w:szCs w:val="20"/>
                <w:lang w:val="en-US"/>
              </w:rPr>
              <w:t>4</w:t>
            </w:r>
          </w:p>
        </w:tc>
        <w:tc>
          <w:tcPr>
            <w:tcW w:w="1300" w:type="dxa"/>
            <w:tcBorders>
              <w:top w:val="single" w:sz="8" w:space="0" w:color="auto"/>
              <w:left w:val="nil"/>
              <w:bottom w:val="single" w:sz="8" w:space="0" w:color="auto"/>
              <w:right w:val="nil"/>
            </w:tcBorders>
            <w:shd w:val="clear" w:color="auto" w:fill="auto"/>
            <w:noWrap/>
            <w:vAlign w:val="bottom"/>
            <w:hideMark/>
          </w:tcPr>
          <w:p w14:paraId="171711A2" w14:textId="77777777" w:rsidR="00EF4EF5" w:rsidRPr="00205CDD" w:rsidRDefault="00EF4EF5" w:rsidP="0084110D">
            <w:pPr>
              <w:spacing w:after="0" w:line="240" w:lineRule="auto"/>
              <w:jc w:val="center"/>
              <w:rPr>
                <w:rFonts w:eastAsia="Times New Roman" w:cs="Arial"/>
                <w:color w:val="000000"/>
                <w:sz w:val="20"/>
                <w:szCs w:val="20"/>
                <w:lang w:val="en-US"/>
              </w:rPr>
            </w:pPr>
            <w:r w:rsidRPr="00205CDD">
              <w:rPr>
                <w:rFonts w:eastAsia="Times New Roman" w:cs="Arial"/>
                <w:color w:val="000000"/>
                <w:sz w:val="20"/>
                <w:szCs w:val="20"/>
                <w:lang w:val="en-US"/>
              </w:rPr>
              <w:t>5</w:t>
            </w:r>
          </w:p>
        </w:tc>
      </w:tr>
      <w:tr w:rsidR="00EF4EF5" w:rsidRPr="00205CDD" w14:paraId="4E6C391D" w14:textId="77777777" w:rsidTr="00D70F51">
        <w:trPr>
          <w:trHeight w:val="330"/>
        </w:trPr>
        <w:tc>
          <w:tcPr>
            <w:tcW w:w="697" w:type="dxa"/>
            <w:tcBorders>
              <w:top w:val="single" w:sz="8" w:space="0" w:color="auto"/>
              <w:left w:val="nil"/>
              <w:right w:val="nil"/>
            </w:tcBorders>
            <w:shd w:val="clear" w:color="auto" w:fill="auto"/>
            <w:noWrap/>
            <w:vAlign w:val="center"/>
            <w:hideMark/>
          </w:tcPr>
          <w:p w14:paraId="4E0DFF03" w14:textId="77777777" w:rsidR="00EF4EF5" w:rsidRPr="00205CDD" w:rsidRDefault="00EF4EF5" w:rsidP="006E2C59">
            <w:pPr>
              <w:spacing w:after="0" w:line="240" w:lineRule="auto"/>
              <w:jc w:val="left"/>
              <w:rPr>
                <w:rFonts w:eastAsia="Times New Roman" w:cs="Arial"/>
                <w:b/>
                <w:bCs/>
                <w:color w:val="000000"/>
                <w:sz w:val="20"/>
                <w:szCs w:val="20"/>
                <w:lang w:val="en-US"/>
              </w:rPr>
            </w:pPr>
            <w:r w:rsidRPr="00205CDD">
              <w:rPr>
                <w:rFonts w:eastAsia="Times New Roman" w:cs="Arial"/>
                <w:b/>
                <w:bCs/>
                <w:color w:val="000000"/>
                <w:sz w:val="20"/>
                <w:szCs w:val="20"/>
                <w:lang w:val="en-US"/>
              </w:rPr>
              <w:t>NO</w:t>
            </w:r>
            <w:r w:rsidRPr="00205CDD">
              <w:rPr>
                <w:rFonts w:eastAsia="Times New Roman" w:cs="Arial"/>
                <w:b/>
                <w:bCs/>
                <w:color w:val="000000"/>
                <w:sz w:val="20"/>
                <w:szCs w:val="20"/>
                <w:vertAlign w:val="subscript"/>
                <w:lang w:val="en-US"/>
              </w:rPr>
              <w:t>2</w:t>
            </w:r>
          </w:p>
        </w:tc>
        <w:tc>
          <w:tcPr>
            <w:tcW w:w="883" w:type="dxa"/>
            <w:tcBorders>
              <w:top w:val="single" w:sz="8" w:space="0" w:color="auto"/>
              <w:left w:val="nil"/>
              <w:right w:val="nil"/>
            </w:tcBorders>
            <w:shd w:val="clear" w:color="000000" w:fill="DDEBF7"/>
            <w:noWrap/>
            <w:vAlign w:val="center"/>
            <w:hideMark/>
          </w:tcPr>
          <w:p w14:paraId="09FCF8ED" w14:textId="448D1A5A" w:rsidR="00EF4EF5" w:rsidRPr="00205CDD" w:rsidRDefault="00EF4EF5" w:rsidP="00D70F51">
            <w:pPr>
              <w:spacing w:after="0" w:line="240" w:lineRule="auto"/>
              <w:jc w:val="center"/>
              <w:rPr>
                <w:rFonts w:eastAsia="Times New Roman" w:cs="Arial"/>
                <w:sz w:val="20"/>
                <w:szCs w:val="20"/>
                <w:lang w:val="en-US"/>
              </w:rPr>
            </w:pPr>
            <w:proofErr w:type="spellStart"/>
            <w:r w:rsidRPr="00205CDD">
              <w:rPr>
                <w:rFonts w:eastAsia="Times New Roman" w:cs="Arial"/>
                <w:sz w:val="20"/>
                <w:szCs w:val="20"/>
                <w:lang w:val="en-US"/>
              </w:rPr>
              <w:t>MACC</w:t>
            </w:r>
            <w:r w:rsidR="0013537F">
              <w:rPr>
                <w:rFonts w:eastAsia="Times New Roman" w:cs="Arial"/>
                <w:sz w:val="20"/>
                <w:szCs w:val="20"/>
                <w:vertAlign w:val="superscript"/>
                <w:lang w:val="en-US"/>
              </w:rPr>
              <w:t>a</w:t>
            </w:r>
            <w:proofErr w:type="spellEnd"/>
          </w:p>
        </w:tc>
        <w:tc>
          <w:tcPr>
            <w:tcW w:w="1660" w:type="dxa"/>
            <w:tcBorders>
              <w:top w:val="single" w:sz="8" w:space="0" w:color="auto"/>
              <w:left w:val="nil"/>
              <w:right w:val="nil"/>
            </w:tcBorders>
            <w:shd w:val="clear" w:color="000000" w:fill="C65911"/>
            <w:noWrap/>
            <w:vAlign w:val="center"/>
            <w:hideMark/>
          </w:tcPr>
          <w:p w14:paraId="48E63F9D" w14:textId="77777777" w:rsidR="00EF4EF5" w:rsidRPr="00205CDD" w:rsidRDefault="00EF4EF5" w:rsidP="00D70F51">
            <w:pPr>
              <w:spacing w:after="0" w:line="240" w:lineRule="auto"/>
              <w:jc w:val="center"/>
              <w:rPr>
                <w:rFonts w:eastAsia="Times New Roman" w:cs="Arial"/>
                <w:sz w:val="20"/>
                <w:szCs w:val="20"/>
                <w:lang w:val="en-US"/>
              </w:rPr>
            </w:pPr>
            <w:r w:rsidRPr="00205CDD">
              <w:rPr>
                <w:rFonts w:eastAsia="Times New Roman" w:cs="Arial"/>
                <w:sz w:val="20"/>
                <w:szCs w:val="20"/>
                <w:lang w:val="en-US"/>
              </w:rPr>
              <w:t>TRAFLOAD_50</w:t>
            </w:r>
          </w:p>
        </w:tc>
        <w:tc>
          <w:tcPr>
            <w:tcW w:w="1840" w:type="dxa"/>
            <w:tcBorders>
              <w:top w:val="single" w:sz="8" w:space="0" w:color="auto"/>
              <w:left w:val="nil"/>
              <w:right w:val="nil"/>
            </w:tcBorders>
            <w:shd w:val="clear" w:color="000000" w:fill="FFE699"/>
            <w:noWrap/>
            <w:vAlign w:val="center"/>
            <w:hideMark/>
          </w:tcPr>
          <w:p w14:paraId="4423479F" w14:textId="77777777" w:rsidR="00EF4EF5" w:rsidRPr="00205CDD" w:rsidRDefault="00EF4EF5" w:rsidP="00D70F51">
            <w:pPr>
              <w:spacing w:after="0" w:line="240" w:lineRule="auto"/>
              <w:jc w:val="center"/>
              <w:rPr>
                <w:rFonts w:eastAsia="Times New Roman" w:cs="Arial"/>
                <w:sz w:val="20"/>
                <w:szCs w:val="20"/>
                <w:lang w:val="en-US"/>
              </w:rPr>
            </w:pPr>
            <w:r w:rsidRPr="00205CDD">
              <w:rPr>
                <w:rFonts w:eastAsia="Times New Roman" w:cs="Arial"/>
                <w:sz w:val="20"/>
                <w:szCs w:val="20"/>
                <w:lang w:val="en-US"/>
              </w:rPr>
              <w:t>ROADLEN_1000</w:t>
            </w:r>
          </w:p>
        </w:tc>
        <w:tc>
          <w:tcPr>
            <w:tcW w:w="2818" w:type="dxa"/>
            <w:tcBorders>
              <w:top w:val="single" w:sz="8" w:space="0" w:color="auto"/>
              <w:left w:val="nil"/>
              <w:right w:val="nil"/>
            </w:tcBorders>
            <w:shd w:val="clear" w:color="000000" w:fill="2F75B5"/>
            <w:noWrap/>
            <w:vAlign w:val="center"/>
            <w:hideMark/>
          </w:tcPr>
          <w:p w14:paraId="187F7395" w14:textId="28CEADFE" w:rsidR="00EF4EF5" w:rsidRPr="00205CDD" w:rsidRDefault="007C3AF3" w:rsidP="00D70F51">
            <w:pPr>
              <w:spacing w:after="0" w:line="240" w:lineRule="auto"/>
              <w:jc w:val="center"/>
              <w:rPr>
                <w:rFonts w:eastAsia="Times New Roman" w:cs="Arial"/>
                <w:sz w:val="20"/>
                <w:szCs w:val="20"/>
                <w:lang w:val="en-US"/>
              </w:rPr>
            </w:pPr>
            <w:r>
              <w:rPr>
                <w:rFonts w:eastAsia="Times New Roman" w:cs="Arial"/>
                <w:sz w:val="20"/>
                <w:szCs w:val="20"/>
                <w:lang w:val="en-US"/>
              </w:rPr>
              <w:t>BUILDINGVOL</w:t>
            </w:r>
            <w:r w:rsidR="00EF4EF5" w:rsidRPr="00205CDD">
              <w:rPr>
                <w:rFonts w:eastAsia="Times New Roman" w:cs="Arial"/>
                <w:sz w:val="20"/>
                <w:szCs w:val="20"/>
                <w:lang w:val="en-US"/>
              </w:rPr>
              <w:t>_50</w:t>
            </w:r>
          </w:p>
        </w:tc>
        <w:tc>
          <w:tcPr>
            <w:tcW w:w="1300" w:type="dxa"/>
            <w:tcBorders>
              <w:top w:val="single" w:sz="8" w:space="0" w:color="auto"/>
              <w:left w:val="nil"/>
              <w:right w:val="nil"/>
            </w:tcBorders>
            <w:shd w:val="clear" w:color="000000" w:fill="CC99FF"/>
            <w:noWrap/>
            <w:vAlign w:val="center"/>
            <w:hideMark/>
          </w:tcPr>
          <w:p w14:paraId="6C81E648" w14:textId="77777777" w:rsidR="00EF4EF5" w:rsidRPr="00205CDD" w:rsidRDefault="00EF4EF5" w:rsidP="00D70F51">
            <w:pPr>
              <w:spacing w:after="0" w:line="240" w:lineRule="auto"/>
              <w:jc w:val="center"/>
              <w:rPr>
                <w:rFonts w:eastAsia="Times New Roman" w:cs="Arial"/>
                <w:color w:val="000000"/>
                <w:sz w:val="20"/>
                <w:szCs w:val="20"/>
                <w:lang w:val="en-US"/>
              </w:rPr>
            </w:pPr>
            <w:r w:rsidRPr="00205CDD">
              <w:rPr>
                <w:rFonts w:eastAsia="Times New Roman" w:cs="Arial"/>
                <w:color w:val="000000"/>
                <w:sz w:val="20"/>
                <w:szCs w:val="20"/>
                <w:lang w:val="en-US"/>
              </w:rPr>
              <w:t>INVDISTSQ</w:t>
            </w:r>
          </w:p>
        </w:tc>
      </w:tr>
      <w:tr w:rsidR="00EF4EF5" w:rsidRPr="00205CDD" w14:paraId="5704F487" w14:textId="77777777" w:rsidTr="00D70F51">
        <w:trPr>
          <w:trHeight w:val="330"/>
        </w:trPr>
        <w:tc>
          <w:tcPr>
            <w:tcW w:w="697" w:type="dxa"/>
            <w:tcBorders>
              <w:top w:val="nil"/>
              <w:left w:val="nil"/>
              <w:bottom w:val="nil"/>
              <w:right w:val="nil"/>
            </w:tcBorders>
            <w:shd w:val="clear" w:color="auto" w:fill="auto"/>
            <w:noWrap/>
            <w:vAlign w:val="center"/>
            <w:hideMark/>
          </w:tcPr>
          <w:p w14:paraId="28D7E92D" w14:textId="77777777" w:rsidR="00EF4EF5" w:rsidRPr="00205CDD" w:rsidRDefault="00EF4EF5" w:rsidP="006E2C59">
            <w:pPr>
              <w:spacing w:after="0" w:line="240" w:lineRule="auto"/>
              <w:jc w:val="left"/>
              <w:rPr>
                <w:rFonts w:eastAsia="Times New Roman" w:cs="Arial"/>
                <w:b/>
                <w:bCs/>
                <w:sz w:val="20"/>
                <w:szCs w:val="20"/>
                <w:lang w:val="en-US"/>
              </w:rPr>
            </w:pPr>
            <w:r w:rsidRPr="00205CDD">
              <w:rPr>
                <w:rFonts w:eastAsia="Times New Roman" w:cs="Arial"/>
                <w:b/>
                <w:bCs/>
                <w:sz w:val="20"/>
                <w:szCs w:val="20"/>
                <w:lang w:val="en-US"/>
              </w:rPr>
              <w:t>PM</w:t>
            </w:r>
            <w:r w:rsidRPr="00205CDD">
              <w:rPr>
                <w:rFonts w:eastAsia="Times New Roman" w:cs="Arial"/>
                <w:b/>
                <w:bCs/>
                <w:sz w:val="20"/>
                <w:szCs w:val="20"/>
                <w:vertAlign w:val="subscript"/>
                <w:lang w:val="en-US"/>
              </w:rPr>
              <w:t>2.5</w:t>
            </w:r>
          </w:p>
        </w:tc>
        <w:tc>
          <w:tcPr>
            <w:tcW w:w="883" w:type="dxa"/>
            <w:tcBorders>
              <w:top w:val="nil"/>
              <w:left w:val="nil"/>
              <w:bottom w:val="nil"/>
              <w:right w:val="nil"/>
            </w:tcBorders>
            <w:shd w:val="clear" w:color="000000" w:fill="DDEBF7"/>
            <w:noWrap/>
            <w:vAlign w:val="center"/>
            <w:hideMark/>
          </w:tcPr>
          <w:p w14:paraId="7E191C71" w14:textId="42EB3E22" w:rsidR="00EF4EF5" w:rsidRPr="00205CDD" w:rsidRDefault="00EF4EF5" w:rsidP="00D70F51">
            <w:pPr>
              <w:spacing w:after="0" w:line="240" w:lineRule="auto"/>
              <w:jc w:val="center"/>
              <w:rPr>
                <w:rFonts w:eastAsia="Times New Roman" w:cs="Arial"/>
                <w:sz w:val="20"/>
                <w:szCs w:val="20"/>
                <w:lang w:val="en-US"/>
              </w:rPr>
            </w:pPr>
            <w:proofErr w:type="spellStart"/>
            <w:r w:rsidRPr="00205CDD">
              <w:rPr>
                <w:rFonts w:eastAsia="Times New Roman" w:cs="Arial"/>
                <w:sz w:val="20"/>
                <w:szCs w:val="20"/>
                <w:lang w:val="en-US"/>
              </w:rPr>
              <w:t>MACC</w:t>
            </w:r>
            <w:r w:rsidR="0013537F">
              <w:rPr>
                <w:rFonts w:eastAsia="Times New Roman" w:cs="Arial"/>
                <w:sz w:val="20"/>
                <w:szCs w:val="20"/>
                <w:vertAlign w:val="superscript"/>
                <w:lang w:val="en-US"/>
              </w:rPr>
              <w:t>a</w:t>
            </w:r>
            <w:proofErr w:type="spellEnd"/>
          </w:p>
        </w:tc>
        <w:tc>
          <w:tcPr>
            <w:tcW w:w="1660" w:type="dxa"/>
            <w:tcBorders>
              <w:top w:val="nil"/>
              <w:left w:val="nil"/>
              <w:bottom w:val="nil"/>
              <w:right w:val="nil"/>
            </w:tcBorders>
            <w:shd w:val="clear" w:color="000000" w:fill="C65911"/>
            <w:noWrap/>
            <w:vAlign w:val="center"/>
            <w:hideMark/>
          </w:tcPr>
          <w:p w14:paraId="246504A0" w14:textId="77777777" w:rsidR="00EF4EF5" w:rsidRPr="00205CDD" w:rsidRDefault="00EF4EF5" w:rsidP="00D70F51">
            <w:pPr>
              <w:spacing w:after="0" w:line="240" w:lineRule="auto"/>
              <w:jc w:val="center"/>
              <w:rPr>
                <w:rFonts w:eastAsia="Times New Roman" w:cs="Arial"/>
                <w:sz w:val="20"/>
                <w:szCs w:val="20"/>
                <w:lang w:val="en-US"/>
              </w:rPr>
            </w:pPr>
            <w:r w:rsidRPr="00205CDD">
              <w:rPr>
                <w:rFonts w:eastAsia="Times New Roman" w:cs="Arial"/>
                <w:sz w:val="20"/>
                <w:szCs w:val="20"/>
                <w:lang w:val="en-US"/>
              </w:rPr>
              <w:t>TRAFLOAD_50</w:t>
            </w:r>
          </w:p>
        </w:tc>
        <w:tc>
          <w:tcPr>
            <w:tcW w:w="1840" w:type="dxa"/>
            <w:tcBorders>
              <w:top w:val="nil"/>
              <w:left w:val="nil"/>
              <w:bottom w:val="nil"/>
              <w:right w:val="nil"/>
            </w:tcBorders>
            <w:shd w:val="clear" w:color="000000" w:fill="A9D08E"/>
            <w:noWrap/>
            <w:vAlign w:val="center"/>
            <w:hideMark/>
          </w:tcPr>
          <w:p w14:paraId="526F456A" w14:textId="77777777" w:rsidR="00EF4EF5" w:rsidRPr="00205CDD" w:rsidRDefault="00EF4EF5" w:rsidP="00D70F51">
            <w:pPr>
              <w:spacing w:after="0" w:line="240" w:lineRule="auto"/>
              <w:jc w:val="center"/>
              <w:rPr>
                <w:rFonts w:eastAsia="Times New Roman" w:cs="Arial"/>
                <w:sz w:val="20"/>
                <w:szCs w:val="20"/>
                <w:lang w:val="en-US"/>
              </w:rPr>
            </w:pPr>
            <w:r w:rsidRPr="00205CDD">
              <w:rPr>
                <w:rFonts w:eastAsia="Times New Roman" w:cs="Arial"/>
                <w:sz w:val="20"/>
                <w:szCs w:val="20"/>
                <w:lang w:val="en-US"/>
              </w:rPr>
              <w:t>NATURAL_500</w:t>
            </w:r>
          </w:p>
        </w:tc>
        <w:tc>
          <w:tcPr>
            <w:tcW w:w="2818" w:type="dxa"/>
            <w:tcBorders>
              <w:top w:val="nil"/>
              <w:left w:val="nil"/>
              <w:bottom w:val="nil"/>
              <w:right w:val="nil"/>
            </w:tcBorders>
            <w:shd w:val="clear" w:color="000000" w:fill="2F75B5"/>
            <w:noWrap/>
            <w:vAlign w:val="center"/>
            <w:hideMark/>
          </w:tcPr>
          <w:p w14:paraId="11C6E4CD" w14:textId="1BF5A0CC" w:rsidR="00EF4EF5" w:rsidRPr="00205CDD" w:rsidRDefault="007C3AF3" w:rsidP="00D70F51">
            <w:pPr>
              <w:spacing w:after="0" w:line="240" w:lineRule="auto"/>
              <w:jc w:val="center"/>
              <w:rPr>
                <w:rFonts w:eastAsia="Times New Roman" w:cs="Arial"/>
                <w:sz w:val="20"/>
                <w:szCs w:val="20"/>
                <w:lang w:val="en-US"/>
              </w:rPr>
            </w:pPr>
            <w:r>
              <w:rPr>
                <w:rFonts w:eastAsia="Times New Roman" w:cs="Arial"/>
                <w:sz w:val="20"/>
                <w:szCs w:val="20"/>
                <w:lang w:val="en-US"/>
              </w:rPr>
              <w:t>BUILDINGVOL</w:t>
            </w:r>
            <w:r w:rsidR="00EF4EF5" w:rsidRPr="00205CDD">
              <w:rPr>
                <w:rFonts w:eastAsia="Times New Roman" w:cs="Arial"/>
                <w:sz w:val="20"/>
                <w:szCs w:val="20"/>
                <w:lang w:val="en-US"/>
              </w:rPr>
              <w:t>_50</w:t>
            </w:r>
          </w:p>
        </w:tc>
        <w:tc>
          <w:tcPr>
            <w:tcW w:w="1300" w:type="dxa"/>
            <w:tcBorders>
              <w:top w:val="nil"/>
              <w:left w:val="nil"/>
              <w:bottom w:val="nil"/>
              <w:right w:val="nil"/>
            </w:tcBorders>
            <w:shd w:val="clear" w:color="auto" w:fill="auto"/>
            <w:noWrap/>
            <w:vAlign w:val="center"/>
            <w:hideMark/>
          </w:tcPr>
          <w:p w14:paraId="16445887" w14:textId="77777777" w:rsidR="00EF4EF5" w:rsidRPr="00205CDD" w:rsidRDefault="00EF4EF5" w:rsidP="00D70F51">
            <w:pPr>
              <w:spacing w:after="0" w:line="240" w:lineRule="auto"/>
              <w:jc w:val="center"/>
              <w:rPr>
                <w:rFonts w:eastAsia="Times New Roman" w:cs="Arial"/>
                <w:sz w:val="20"/>
                <w:szCs w:val="20"/>
                <w:lang w:val="en-US"/>
              </w:rPr>
            </w:pPr>
          </w:p>
        </w:tc>
      </w:tr>
      <w:tr w:rsidR="00EF4EF5" w:rsidRPr="00205CDD" w14:paraId="67DF8E38" w14:textId="77777777" w:rsidTr="00D70F51">
        <w:trPr>
          <w:trHeight w:val="330"/>
        </w:trPr>
        <w:tc>
          <w:tcPr>
            <w:tcW w:w="697" w:type="dxa"/>
            <w:tcBorders>
              <w:top w:val="nil"/>
              <w:left w:val="nil"/>
              <w:bottom w:val="nil"/>
              <w:right w:val="nil"/>
            </w:tcBorders>
            <w:shd w:val="clear" w:color="auto" w:fill="auto"/>
            <w:noWrap/>
            <w:vAlign w:val="center"/>
            <w:hideMark/>
          </w:tcPr>
          <w:p w14:paraId="7425D5CD" w14:textId="77777777" w:rsidR="00EF4EF5" w:rsidRPr="00205CDD" w:rsidRDefault="00EF4EF5" w:rsidP="006E2C59">
            <w:pPr>
              <w:spacing w:after="0" w:line="240" w:lineRule="auto"/>
              <w:jc w:val="left"/>
              <w:rPr>
                <w:rFonts w:eastAsia="Times New Roman" w:cs="Arial"/>
                <w:b/>
                <w:bCs/>
                <w:color w:val="000000"/>
                <w:sz w:val="20"/>
                <w:szCs w:val="20"/>
                <w:lang w:val="en-US"/>
              </w:rPr>
            </w:pPr>
            <w:r w:rsidRPr="00205CDD">
              <w:rPr>
                <w:rFonts w:eastAsia="Times New Roman" w:cs="Arial"/>
                <w:b/>
                <w:bCs/>
                <w:color w:val="000000"/>
                <w:sz w:val="20"/>
                <w:szCs w:val="20"/>
                <w:lang w:val="en-US"/>
              </w:rPr>
              <w:t>PM</w:t>
            </w:r>
            <w:r w:rsidRPr="00205CDD">
              <w:rPr>
                <w:rFonts w:eastAsia="Times New Roman" w:cs="Arial"/>
                <w:b/>
                <w:bCs/>
                <w:color w:val="000000"/>
                <w:sz w:val="20"/>
                <w:szCs w:val="20"/>
                <w:vertAlign w:val="subscript"/>
                <w:lang w:val="en-US"/>
              </w:rPr>
              <w:t>10</w:t>
            </w:r>
          </w:p>
        </w:tc>
        <w:tc>
          <w:tcPr>
            <w:tcW w:w="883" w:type="dxa"/>
            <w:tcBorders>
              <w:top w:val="nil"/>
              <w:left w:val="nil"/>
              <w:bottom w:val="nil"/>
              <w:right w:val="nil"/>
            </w:tcBorders>
            <w:shd w:val="clear" w:color="000000" w:fill="DDEBF7"/>
            <w:noWrap/>
            <w:vAlign w:val="center"/>
            <w:hideMark/>
          </w:tcPr>
          <w:p w14:paraId="6A8815DA" w14:textId="135AE8D9" w:rsidR="00EF4EF5" w:rsidRPr="00205CDD" w:rsidRDefault="00EF4EF5" w:rsidP="00D70F51">
            <w:pPr>
              <w:spacing w:after="0" w:line="240" w:lineRule="auto"/>
              <w:jc w:val="center"/>
              <w:rPr>
                <w:rFonts w:eastAsia="Times New Roman" w:cs="Arial"/>
                <w:sz w:val="20"/>
                <w:szCs w:val="20"/>
                <w:lang w:val="en-US"/>
              </w:rPr>
            </w:pPr>
            <w:proofErr w:type="spellStart"/>
            <w:r w:rsidRPr="00205CDD">
              <w:rPr>
                <w:rFonts w:eastAsia="Times New Roman" w:cs="Arial"/>
                <w:sz w:val="20"/>
                <w:szCs w:val="20"/>
                <w:lang w:val="en-US"/>
              </w:rPr>
              <w:t>MACC</w:t>
            </w:r>
            <w:r w:rsidR="0013537F">
              <w:rPr>
                <w:rFonts w:eastAsia="Times New Roman" w:cs="Arial"/>
                <w:sz w:val="20"/>
                <w:szCs w:val="20"/>
                <w:vertAlign w:val="superscript"/>
                <w:lang w:val="en-US"/>
              </w:rPr>
              <w:t>a</w:t>
            </w:r>
            <w:proofErr w:type="spellEnd"/>
          </w:p>
        </w:tc>
        <w:tc>
          <w:tcPr>
            <w:tcW w:w="1660" w:type="dxa"/>
            <w:tcBorders>
              <w:top w:val="nil"/>
              <w:left w:val="nil"/>
              <w:bottom w:val="nil"/>
              <w:right w:val="nil"/>
            </w:tcBorders>
            <w:shd w:val="clear" w:color="000000" w:fill="C65911"/>
            <w:noWrap/>
            <w:vAlign w:val="center"/>
            <w:hideMark/>
          </w:tcPr>
          <w:p w14:paraId="01BB3A1F" w14:textId="77777777" w:rsidR="00EF4EF5" w:rsidRPr="00205CDD" w:rsidRDefault="00EF4EF5" w:rsidP="00D70F51">
            <w:pPr>
              <w:spacing w:after="0" w:line="240" w:lineRule="auto"/>
              <w:jc w:val="center"/>
              <w:rPr>
                <w:rFonts w:eastAsia="Times New Roman" w:cs="Arial"/>
                <w:sz w:val="20"/>
                <w:szCs w:val="20"/>
                <w:lang w:val="en-US"/>
              </w:rPr>
            </w:pPr>
            <w:r w:rsidRPr="00205CDD">
              <w:rPr>
                <w:rFonts w:eastAsia="Times New Roman" w:cs="Arial"/>
                <w:sz w:val="20"/>
                <w:szCs w:val="20"/>
                <w:lang w:val="en-US"/>
              </w:rPr>
              <w:t>TRAFLOAD_50</w:t>
            </w:r>
          </w:p>
        </w:tc>
        <w:tc>
          <w:tcPr>
            <w:tcW w:w="1840" w:type="dxa"/>
            <w:tcBorders>
              <w:top w:val="nil"/>
              <w:left w:val="nil"/>
              <w:bottom w:val="nil"/>
              <w:right w:val="nil"/>
            </w:tcBorders>
            <w:shd w:val="clear" w:color="000000" w:fill="A9D08E"/>
            <w:noWrap/>
            <w:vAlign w:val="center"/>
            <w:hideMark/>
          </w:tcPr>
          <w:p w14:paraId="06B15649" w14:textId="77777777" w:rsidR="00EF4EF5" w:rsidRPr="00205CDD" w:rsidRDefault="00EF4EF5" w:rsidP="00D70F51">
            <w:pPr>
              <w:spacing w:after="0" w:line="240" w:lineRule="auto"/>
              <w:jc w:val="center"/>
              <w:rPr>
                <w:rFonts w:eastAsia="Times New Roman" w:cs="Arial"/>
                <w:sz w:val="20"/>
                <w:szCs w:val="20"/>
                <w:lang w:val="en-US"/>
              </w:rPr>
            </w:pPr>
            <w:r w:rsidRPr="00205CDD">
              <w:rPr>
                <w:rFonts w:eastAsia="Times New Roman" w:cs="Arial"/>
                <w:sz w:val="20"/>
                <w:szCs w:val="20"/>
                <w:lang w:val="en-US"/>
              </w:rPr>
              <w:t>NATURAL_1000</w:t>
            </w:r>
          </w:p>
        </w:tc>
        <w:tc>
          <w:tcPr>
            <w:tcW w:w="2818" w:type="dxa"/>
            <w:tcBorders>
              <w:top w:val="nil"/>
              <w:left w:val="nil"/>
              <w:bottom w:val="nil"/>
              <w:right w:val="nil"/>
            </w:tcBorders>
            <w:shd w:val="clear" w:color="000000" w:fill="2F75B5"/>
            <w:noWrap/>
            <w:vAlign w:val="center"/>
            <w:hideMark/>
          </w:tcPr>
          <w:p w14:paraId="5C47E9A4" w14:textId="39267C70" w:rsidR="00EF4EF5" w:rsidRPr="00205CDD" w:rsidRDefault="007C3AF3" w:rsidP="00D70F51">
            <w:pPr>
              <w:spacing w:after="0" w:line="240" w:lineRule="auto"/>
              <w:jc w:val="center"/>
              <w:rPr>
                <w:rFonts w:eastAsia="Times New Roman" w:cs="Arial"/>
                <w:sz w:val="20"/>
                <w:szCs w:val="20"/>
                <w:lang w:val="en-US"/>
              </w:rPr>
            </w:pPr>
            <w:r>
              <w:rPr>
                <w:rFonts w:eastAsia="Times New Roman" w:cs="Arial"/>
                <w:sz w:val="20"/>
                <w:szCs w:val="20"/>
                <w:lang w:val="en-US"/>
              </w:rPr>
              <w:t>BUILDINGVOL</w:t>
            </w:r>
            <w:r w:rsidR="00EF4EF5" w:rsidRPr="00205CDD">
              <w:rPr>
                <w:rFonts w:eastAsia="Times New Roman" w:cs="Arial"/>
                <w:sz w:val="20"/>
                <w:szCs w:val="20"/>
                <w:lang w:val="en-US"/>
              </w:rPr>
              <w:t>_50</w:t>
            </w:r>
          </w:p>
        </w:tc>
        <w:tc>
          <w:tcPr>
            <w:tcW w:w="1300" w:type="dxa"/>
            <w:tcBorders>
              <w:top w:val="nil"/>
              <w:left w:val="nil"/>
              <w:bottom w:val="nil"/>
              <w:right w:val="nil"/>
            </w:tcBorders>
            <w:shd w:val="clear" w:color="auto" w:fill="auto"/>
            <w:noWrap/>
            <w:vAlign w:val="center"/>
            <w:hideMark/>
          </w:tcPr>
          <w:p w14:paraId="4DDB0F1C" w14:textId="77777777" w:rsidR="00EF4EF5" w:rsidRPr="00205CDD" w:rsidRDefault="00EF4EF5" w:rsidP="00D70F51">
            <w:pPr>
              <w:spacing w:after="0" w:line="240" w:lineRule="auto"/>
              <w:jc w:val="center"/>
              <w:rPr>
                <w:rFonts w:eastAsia="Times New Roman" w:cs="Arial"/>
                <w:sz w:val="20"/>
                <w:szCs w:val="20"/>
                <w:lang w:val="en-US"/>
              </w:rPr>
            </w:pPr>
          </w:p>
        </w:tc>
      </w:tr>
      <w:tr w:rsidR="00EF4EF5" w:rsidRPr="00205CDD" w14:paraId="5965A50A" w14:textId="77777777" w:rsidTr="00D70F51">
        <w:trPr>
          <w:trHeight w:val="330"/>
        </w:trPr>
        <w:tc>
          <w:tcPr>
            <w:tcW w:w="697" w:type="dxa"/>
            <w:tcBorders>
              <w:top w:val="nil"/>
              <w:left w:val="nil"/>
              <w:bottom w:val="single" w:sz="8" w:space="0" w:color="auto"/>
              <w:right w:val="nil"/>
            </w:tcBorders>
            <w:shd w:val="clear" w:color="auto" w:fill="auto"/>
            <w:noWrap/>
            <w:vAlign w:val="center"/>
            <w:hideMark/>
          </w:tcPr>
          <w:p w14:paraId="065FED83" w14:textId="77777777" w:rsidR="00EF4EF5" w:rsidRPr="00205CDD" w:rsidRDefault="00EF4EF5" w:rsidP="006E2C59">
            <w:pPr>
              <w:spacing w:after="0" w:line="240" w:lineRule="auto"/>
              <w:jc w:val="left"/>
              <w:rPr>
                <w:rFonts w:eastAsia="Times New Roman" w:cs="Arial"/>
                <w:b/>
                <w:bCs/>
                <w:color w:val="000000"/>
                <w:sz w:val="20"/>
                <w:szCs w:val="20"/>
                <w:lang w:val="en-US"/>
              </w:rPr>
            </w:pPr>
            <w:r w:rsidRPr="00205CDD">
              <w:rPr>
                <w:rFonts w:eastAsia="Times New Roman" w:cs="Arial"/>
                <w:b/>
                <w:bCs/>
                <w:color w:val="000000"/>
                <w:sz w:val="20"/>
                <w:szCs w:val="20"/>
                <w:lang w:val="en-US"/>
              </w:rPr>
              <w:t>O</w:t>
            </w:r>
            <w:r w:rsidRPr="00205CDD">
              <w:rPr>
                <w:rFonts w:eastAsia="Times New Roman" w:cs="Arial"/>
                <w:b/>
                <w:bCs/>
                <w:color w:val="000000"/>
                <w:sz w:val="20"/>
                <w:szCs w:val="20"/>
                <w:vertAlign w:val="subscript"/>
                <w:lang w:val="en-US"/>
              </w:rPr>
              <w:t>3</w:t>
            </w:r>
          </w:p>
        </w:tc>
        <w:tc>
          <w:tcPr>
            <w:tcW w:w="883" w:type="dxa"/>
            <w:tcBorders>
              <w:top w:val="nil"/>
              <w:left w:val="nil"/>
              <w:bottom w:val="single" w:sz="8" w:space="0" w:color="auto"/>
              <w:right w:val="nil"/>
            </w:tcBorders>
            <w:shd w:val="clear" w:color="000000" w:fill="DDEBF7"/>
            <w:noWrap/>
            <w:vAlign w:val="center"/>
            <w:hideMark/>
          </w:tcPr>
          <w:p w14:paraId="29277509" w14:textId="19220101" w:rsidR="00EF4EF5" w:rsidRPr="00205CDD" w:rsidRDefault="00EF4EF5" w:rsidP="00D70F51">
            <w:pPr>
              <w:spacing w:after="0" w:line="240" w:lineRule="auto"/>
              <w:jc w:val="center"/>
              <w:rPr>
                <w:rFonts w:eastAsia="Times New Roman" w:cs="Arial"/>
                <w:sz w:val="20"/>
                <w:szCs w:val="20"/>
                <w:lang w:val="en-US"/>
              </w:rPr>
            </w:pPr>
            <w:proofErr w:type="spellStart"/>
            <w:r w:rsidRPr="00205CDD">
              <w:rPr>
                <w:rFonts w:eastAsia="Times New Roman" w:cs="Arial"/>
                <w:sz w:val="20"/>
                <w:szCs w:val="20"/>
                <w:lang w:val="en-US"/>
              </w:rPr>
              <w:t>MACC</w:t>
            </w:r>
            <w:r w:rsidR="0013537F">
              <w:rPr>
                <w:rFonts w:eastAsia="Times New Roman" w:cs="Arial"/>
                <w:sz w:val="20"/>
                <w:szCs w:val="20"/>
                <w:vertAlign w:val="superscript"/>
                <w:lang w:val="en-US"/>
              </w:rPr>
              <w:t>a</w:t>
            </w:r>
            <w:proofErr w:type="spellEnd"/>
          </w:p>
        </w:tc>
        <w:tc>
          <w:tcPr>
            <w:tcW w:w="1660" w:type="dxa"/>
            <w:tcBorders>
              <w:top w:val="nil"/>
              <w:left w:val="nil"/>
              <w:bottom w:val="single" w:sz="8" w:space="0" w:color="auto"/>
              <w:right w:val="nil"/>
            </w:tcBorders>
            <w:shd w:val="clear" w:color="000000" w:fill="C65911"/>
            <w:noWrap/>
            <w:vAlign w:val="center"/>
            <w:hideMark/>
          </w:tcPr>
          <w:p w14:paraId="69C1A7D1" w14:textId="77777777" w:rsidR="00EF4EF5" w:rsidRPr="00205CDD" w:rsidRDefault="00EF4EF5" w:rsidP="00D70F51">
            <w:pPr>
              <w:spacing w:after="0" w:line="240" w:lineRule="auto"/>
              <w:jc w:val="center"/>
              <w:rPr>
                <w:rFonts w:eastAsia="Times New Roman" w:cs="Arial"/>
                <w:sz w:val="20"/>
                <w:szCs w:val="20"/>
                <w:lang w:val="en-US"/>
              </w:rPr>
            </w:pPr>
            <w:r w:rsidRPr="00205CDD">
              <w:rPr>
                <w:rFonts w:eastAsia="Times New Roman" w:cs="Arial"/>
                <w:sz w:val="20"/>
                <w:szCs w:val="20"/>
                <w:lang w:val="en-US"/>
              </w:rPr>
              <w:t>TRAFLOAD_50</w:t>
            </w:r>
          </w:p>
        </w:tc>
        <w:tc>
          <w:tcPr>
            <w:tcW w:w="1840" w:type="dxa"/>
            <w:tcBorders>
              <w:top w:val="nil"/>
              <w:left w:val="nil"/>
              <w:bottom w:val="single" w:sz="8" w:space="0" w:color="auto"/>
              <w:right w:val="nil"/>
            </w:tcBorders>
            <w:shd w:val="clear" w:color="000000" w:fill="70AD47"/>
            <w:noWrap/>
            <w:vAlign w:val="center"/>
            <w:hideMark/>
          </w:tcPr>
          <w:p w14:paraId="454FFD0E" w14:textId="77777777" w:rsidR="00EF4EF5" w:rsidRPr="00205CDD" w:rsidRDefault="00EF4EF5" w:rsidP="00D70F51">
            <w:pPr>
              <w:spacing w:after="0" w:line="240" w:lineRule="auto"/>
              <w:jc w:val="center"/>
              <w:rPr>
                <w:rFonts w:eastAsia="Times New Roman" w:cs="Arial"/>
                <w:sz w:val="20"/>
                <w:szCs w:val="20"/>
                <w:lang w:val="en-US"/>
              </w:rPr>
            </w:pPr>
            <w:r w:rsidRPr="00205CDD">
              <w:rPr>
                <w:rFonts w:eastAsia="Times New Roman" w:cs="Arial"/>
                <w:sz w:val="20"/>
                <w:szCs w:val="20"/>
                <w:lang w:val="en-US"/>
              </w:rPr>
              <w:t>GRESPACE_300</w:t>
            </w:r>
          </w:p>
        </w:tc>
        <w:tc>
          <w:tcPr>
            <w:tcW w:w="2818" w:type="dxa"/>
            <w:tcBorders>
              <w:top w:val="nil"/>
              <w:left w:val="nil"/>
              <w:bottom w:val="single" w:sz="8" w:space="0" w:color="auto"/>
              <w:right w:val="nil"/>
            </w:tcBorders>
            <w:shd w:val="clear" w:color="000000" w:fill="FFE699"/>
            <w:noWrap/>
            <w:vAlign w:val="center"/>
            <w:hideMark/>
          </w:tcPr>
          <w:p w14:paraId="28ABCCCB" w14:textId="77777777" w:rsidR="00EF4EF5" w:rsidRPr="00205CDD" w:rsidRDefault="00EF4EF5" w:rsidP="00D70F51">
            <w:pPr>
              <w:spacing w:after="0" w:line="240" w:lineRule="auto"/>
              <w:jc w:val="center"/>
              <w:rPr>
                <w:rFonts w:eastAsia="Times New Roman" w:cs="Arial"/>
                <w:sz w:val="20"/>
                <w:szCs w:val="20"/>
                <w:lang w:val="en-US"/>
              </w:rPr>
            </w:pPr>
            <w:r w:rsidRPr="00205CDD">
              <w:rPr>
                <w:rFonts w:eastAsia="Times New Roman" w:cs="Arial"/>
                <w:sz w:val="20"/>
                <w:szCs w:val="20"/>
                <w:lang w:val="en-US"/>
              </w:rPr>
              <w:t>ROADLENMAJ_1000</w:t>
            </w:r>
          </w:p>
        </w:tc>
        <w:tc>
          <w:tcPr>
            <w:tcW w:w="1300" w:type="dxa"/>
            <w:tcBorders>
              <w:top w:val="nil"/>
              <w:left w:val="nil"/>
              <w:bottom w:val="single" w:sz="8" w:space="0" w:color="auto"/>
              <w:right w:val="nil"/>
            </w:tcBorders>
            <w:shd w:val="clear" w:color="auto" w:fill="auto"/>
            <w:noWrap/>
            <w:vAlign w:val="center"/>
            <w:hideMark/>
          </w:tcPr>
          <w:p w14:paraId="61DC3EE4" w14:textId="3B98F4FD" w:rsidR="00EF4EF5" w:rsidRPr="00205CDD" w:rsidRDefault="00EF4EF5" w:rsidP="00D70F51">
            <w:pPr>
              <w:spacing w:after="0" w:line="240" w:lineRule="auto"/>
              <w:jc w:val="center"/>
              <w:rPr>
                <w:rFonts w:eastAsia="Times New Roman" w:cs="Arial"/>
                <w:color w:val="000000"/>
                <w:sz w:val="20"/>
                <w:szCs w:val="20"/>
                <w:lang w:val="en-US"/>
              </w:rPr>
            </w:pPr>
          </w:p>
        </w:tc>
      </w:tr>
    </w:tbl>
    <w:p w14:paraId="2B796646" w14:textId="47C1E129" w:rsidR="00EF4EF5" w:rsidRPr="00D70F51" w:rsidRDefault="0013537F" w:rsidP="007F36AC">
      <w:pPr>
        <w:rPr>
          <w:sz w:val="20"/>
          <w:szCs w:val="20"/>
        </w:rPr>
      </w:pPr>
      <w:proofErr w:type="spellStart"/>
      <w:proofErr w:type="gramStart"/>
      <w:r>
        <w:rPr>
          <w:sz w:val="20"/>
          <w:szCs w:val="20"/>
          <w:vertAlign w:val="superscript"/>
        </w:rPr>
        <w:t>a</w:t>
      </w:r>
      <w:proofErr w:type="spellEnd"/>
      <w:proofErr w:type="gramEnd"/>
      <w:r>
        <w:rPr>
          <w:sz w:val="20"/>
          <w:szCs w:val="20"/>
          <w:vertAlign w:val="superscript"/>
        </w:rPr>
        <w:t xml:space="preserve"> </w:t>
      </w:r>
      <w:r w:rsidR="00F77EC6" w:rsidRPr="00D70F51">
        <w:rPr>
          <w:sz w:val="20"/>
          <w:szCs w:val="20"/>
        </w:rPr>
        <w:t>Annual average</w:t>
      </w:r>
    </w:p>
    <w:p w14:paraId="5E599AEA" w14:textId="77777777" w:rsidR="00EF4EF5" w:rsidRDefault="00EF4EF5">
      <w:pPr>
        <w:spacing w:line="259" w:lineRule="auto"/>
        <w:jc w:val="left"/>
      </w:pPr>
    </w:p>
    <w:p w14:paraId="34EB5BF0" w14:textId="69139DAA" w:rsidR="00D825E5" w:rsidRDefault="0068438E" w:rsidP="00D70F51">
      <w:pPr>
        <w:pStyle w:val="Heading2"/>
        <w:numPr>
          <w:ilvl w:val="0"/>
          <w:numId w:val="0"/>
        </w:numPr>
        <w:ind w:left="454" w:hanging="454"/>
      </w:pPr>
      <w:bookmarkStart w:id="5" w:name="_Hlk106723559"/>
      <w:bookmarkStart w:id="6" w:name="_Toc108613998"/>
      <w:r>
        <w:t>Table A.</w:t>
      </w:r>
      <w:fldSimple w:instr=" SEQ Table_A. \* ARABIC ">
        <w:r w:rsidR="00356DDD">
          <w:rPr>
            <w:noProof/>
          </w:rPr>
          <w:t>4</w:t>
        </w:r>
      </w:fldSimple>
      <w:r>
        <w:t xml:space="preserve"> </w:t>
      </w:r>
      <w:bookmarkStart w:id="7" w:name="_Hlk106723821"/>
      <w:r w:rsidR="00356DDD" w:rsidRPr="00356DDD">
        <w:t xml:space="preserve">Selected variables in the </w:t>
      </w:r>
      <w:r w:rsidR="004E03A4">
        <w:t xml:space="preserve">daily </w:t>
      </w:r>
      <w:r w:rsidR="00356DDD" w:rsidRPr="00356DDD">
        <w:t>ST-LUR models</w:t>
      </w:r>
      <w:r w:rsidR="00356DDD">
        <w:t>.</w:t>
      </w:r>
      <w:bookmarkEnd w:id="7"/>
      <w:bookmarkEnd w:id="6"/>
    </w:p>
    <w:tbl>
      <w:tblPr>
        <w:tblW w:w="5000" w:type="pct"/>
        <w:tblLook w:val="04A0" w:firstRow="1" w:lastRow="0" w:firstColumn="1" w:lastColumn="0" w:noHBand="0" w:noVBand="1"/>
      </w:tblPr>
      <w:tblGrid>
        <w:gridCol w:w="741"/>
        <w:gridCol w:w="1430"/>
        <w:gridCol w:w="878"/>
        <w:gridCol w:w="277"/>
        <w:gridCol w:w="1761"/>
        <w:gridCol w:w="1934"/>
        <w:gridCol w:w="2339"/>
      </w:tblGrid>
      <w:tr w:rsidR="00D825E5" w:rsidRPr="00D825E5" w14:paraId="0FF8A836" w14:textId="77777777" w:rsidTr="00D70F51">
        <w:trPr>
          <w:trHeight w:val="292"/>
        </w:trPr>
        <w:tc>
          <w:tcPr>
            <w:tcW w:w="397" w:type="pct"/>
            <w:vMerge w:val="restart"/>
            <w:tcBorders>
              <w:top w:val="single" w:sz="8" w:space="0" w:color="auto"/>
              <w:left w:val="nil"/>
              <w:bottom w:val="single" w:sz="8" w:space="0" w:color="000000"/>
              <w:right w:val="nil"/>
            </w:tcBorders>
            <w:shd w:val="clear" w:color="auto" w:fill="auto"/>
            <w:vAlign w:val="center"/>
            <w:hideMark/>
          </w:tcPr>
          <w:p w14:paraId="7F611D4B" w14:textId="77777777" w:rsidR="00D825E5" w:rsidRPr="00D70F51" w:rsidRDefault="00D825E5" w:rsidP="00D825E5">
            <w:pPr>
              <w:spacing w:after="0" w:line="240" w:lineRule="auto"/>
              <w:jc w:val="center"/>
              <w:rPr>
                <w:rFonts w:eastAsia="Times New Roman" w:cs="Arial"/>
                <w:b/>
                <w:bCs/>
                <w:color w:val="000000"/>
                <w:sz w:val="20"/>
                <w:szCs w:val="20"/>
                <w:lang w:val="en-US"/>
              </w:rPr>
            </w:pPr>
            <w:bookmarkStart w:id="8" w:name="_Hlk106723807"/>
          </w:p>
        </w:tc>
        <w:tc>
          <w:tcPr>
            <w:tcW w:w="1228" w:type="pct"/>
            <w:gridSpan w:val="2"/>
            <w:tcBorders>
              <w:top w:val="single" w:sz="8" w:space="0" w:color="auto"/>
              <w:left w:val="nil"/>
              <w:bottom w:val="single" w:sz="4" w:space="0" w:color="auto"/>
              <w:right w:val="nil"/>
            </w:tcBorders>
            <w:shd w:val="clear" w:color="auto" w:fill="auto"/>
            <w:vAlign w:val="center"/>
            <w:hideMark/>
          </w:tcPr>
          <w:p w14:paraId="4BADB2AB" w14:textId="77777777" w:rsidR="00D825E5" w:rsidRPr="00D70F51" w:rsidRDefault="00D825E5" w:rsidP="00D825E5">
            <w:pPr>
              <w:spacing w:after="0" w:line="240" w:lineRule="auto"/>
              <w:jc w:val="center"/>
              <w:rPr>
                <w:rFonts w:eastAsia="Times New Roman" w:cs="Arial"/>
                <w:b/>
                <w:bCs/>
                <w:color w:val="000000"/>
                <w:sz w:val="20"/>
                <w:szCs w:val="20"/>
                <w:lang w:val="en-US"/>
              </w:rPr>
            </w:pPr>
            <w:r w:rsidRPr="00D70F51">
              <w:rPr>
                <w:rFonts w:eastAsia="Times New Roman" w:cs="Arial"/>
                <w:b/>
                <w:bCs/>
                <w:color w:val="000000"/>
                <w:sz w:val="20"/>
                <w:szCs w:val="20"/>
                <w:lang w:val="en-US"/>
              </w:rPr>
              <w:t>Time-varying</w:t>
            </w:r>
          </w:p>
        </w:tc>
        <w:tc>
          <w:tcPr>
            <w:tcW w:w="149" w:type="pct"/>
            <w:tcBorders>
              <w:top w:val="single" w:sz="8" w:space="0" w:color="auto"/>
              <w:left w:val="nil"/>
              <w:bottom w:val="nil"/>
              <w:right w:val="nil"/>
            </w:tcBorders>
            <w:shd w:val="clear" w:color="auto" w:fill="auto"/>
            <w:vAlign w:val="center"/>
            <w:hideMark/>
          </w:tcPr>
          <w:p w14:paraId="61AC1DAA" w14:textId="77777777" w:rsidR="00D825E5" w:rsidRPr="00D70F51" w:rsidRDefault="00D825E5" w:rsidP="00D825E5">
            <w:pPr>
              <w:spacing w:after="0" w:line="240" w:lineRule="auto"/>
              <w:jc w:val="center"/>
              <w:rPr>
                <w:rFonts w:eastAsia="Times New Roman" w:cs="Arial"/>
                <w:b/>
                <w:bCs/>
                <w:color w:val="000000"/>
                <w:sz w:val="20"/>
                <w:szCs w:val="20"/>
                <w:lang w:val="en-US"/>
              </w:rPr>
            </w:pPr>
          </w:p>
        </w:tc>
        <w:tc>
          <w:tcPr>
            <w:tcW w:w="3225" w:type="pct"/>
            <w:gridSpan w:val="3"/>
            <w:tcBorders>
              <w:top w:val="single" w:sz="8" w:space="0" w:color="auto"/>
              <w:left w:val="nil"/>
              <w:bottom w:val="single" w:sz="4" w:space="0" w:color="auto"/>
              <w:right w:val="nil"/>
            </w:tcBorders>
            <w:shd w:val="clear" w:color="auto" w:fill="auto"/>
            <w:noWrap/>
            <w:vAlign w:val="center"/>
            <w:hideMark/>
          </w:tcPr>
          <w:p w14:paraId="22FAF0E8" w14:textId="77777777" w:rsidR="00D825E5" w:rsidRPr="00D70F51" w:rsidRDefault="00D825E5" w:rsidP="00D825E5">
            <w:pPr>
              <w:spacing w:after="0" w:line="240" w:lineRule="auto"/>
              <w:jc w:val="center"/>
              <w:rPr>
                <w:rFonts w:eastAsia="Times New Roman" w:cs="Arial"/>
                <w:b/>
                <w:bCs/>
                <w:color w:val="000000"/>
                <w:sz w:val="20"/>
                <w:szCs w:val="20"/>
                <w:lang w:val="en-US"/>
              </w:rPr>
            </w:pPr>
            <w:r w:rsidRPr="00D70F51">
              <w:rPr>
                <w:rFonts w:eastAsia="Times New Roman" w:cs="Arial"/>
                <w:b/>
                <w:bCs/>
                <w:color w:val="000000"/>
                <w:sz w:val="20"/>
                <w:szCs w:val="20"/>
                <w:lang w:val="en-US"/>
              </w:rPr>
              <w:t>Time-invariant</w:t>
            </w:r>
          </w:p>
        </w:tc>
      </w:tr>
      <w:tr w:rsidR="00D825E5" w:rsidRPr="00D825E5" w14:paraId="36D906F5" w14:textId="77777777" w:rsidTr="00D70F51">
        <w:trPr>
          <w:trHeight w:val="300"/>
        </w:trPr>
        <w:tc>
          <w:tcPr>
            <w:tcW w:w="397" w:type="pct"/>
            <w:vMerge/>
            <w:tcBorders>
              <w:top w:val="nil"/>
              <w:left w:val="nil"/>
              <w:bottom w:val="single" w:sz="8" w:space="0" w:color="000000"/>
              <w:right w:val="nil"/>
            </w:tcBorders>
            <w:vAlign w:val="center"/>
            <w:hideMark/>
          </w:tcPr>
          <w:p w14:paraId="5159CE5F" w14:textId="77777777" w:rsidR="00D825E5" w:rsidRPr="00D70F51" w:rsidRDefault="00D825E5" w:rsidP="00D825E5">
            <w:pPr>
              <w:spacing w:after="0" w:line="240" w:lineRule="auto"/>
              <w:jc w:val="left"/>
              <w:rPr>
                <w:rFonts w:eastAsia="Times New Roman" w:cs="Arial"/>
                <w:b/>
                <w:bCs/>
                <w:color w:val="000000"/>
                <w:sz w:val="20"/>
                <w:szCs w:val="20"/>
                <w:lang w:val="en-US"/>
              </w:rPr>
            </w:pPr>
          </w:p>
        </w:tc>
        <w:tc>
          <w:tcPr>
            <w:tcW w:w="765" w:type="pct"/>
            <w:tcBorders>
              <w:top w:val="nil"/>
              <w:left w:val="nil"/>
              <w:bottom w:val="single" w:sz="8" w:space="0" w:color="auto"/>
              <w:right w:val="nil"/>
            </w:tcBorders>
            <w:shd w:val="clear" w:color="auto" w:fill="auto"/>
            <w:vAlign w:val="center"/>
            <w:hideMark/>
          </w:tcPr>
          <w:p w14:paraId="7D4EF989" w14:textId="77777777" w:rsidR="00D825E5" w:rsidRPr="00D70F51" w:rsidRDefault="00D825E5" w:rsidP="006E2C59">
            <w:pPr>
              <w:spacing w:after="0" w:line="240" w:lineRule="auto"/>
              <w:jc w:val="center"/>
              <w:rPr>
                <w:rFonts w:eastAsia="Times New Roman" w:cs="Arial"/>
                <w:color w:val="000000"/>
                <w:sz w:val="20"/>
                <w:szCs w:val="20"/>
                <w:lang w:val="en-US"/>
              </w:rPr>
            </w:pPr>
            <w:r w:rsidRPr="00D70F51">
              <w:rPr>
                <w:rFonts w:eastAsia="Times New Roman" w:cs="Arial"/>
                <w:color w:val="000000"/>
                <w:sz w:val="20"/>
                <w:szCs w:val="20"/>
                <w:lang w:val="en-US"/>
              </w:rPr>
              <w:t>1</w:t>
            </w:r>
          </w:p>
        </w:tc>
        <w:tc>
          <w:tcPr>
            <w:tcW w:w="463" w:type="pct"/>
            <w:tcBorders>
              <w:top w:val="nil"/>
              <w:left w:val="nil"/>
              <w:bottom w:val="single" w:sz="8" w:space="0" w:color="auto"/>
              <w:right w:val="nil"/>
            </w:tcBorders>
            <w:shd w:val="clear" w:color="auto" w:fill="auto"/>
            <w:vAlign w:val="center"/>
            <w:hideMark/>
          </w:tcPr>
          <w:p w14:paraId="59C7F39B" w14:textId="77777777" w:rsidR="00D825E5" w:rsidRPr="00D70F51" w:rsidRDefault="00D825E5" w:rsidP="009C0190">
            <w:pPr>
              <w:spacing w:after="0" w:line="240" w:lineRule="auto"/>
              <w:jc w:val="center"/>
              <w:rPr>
                <w:rFonts w:eastAsia="Times New Roman" w:cs="Arial"/>
                <w:color w:val="000000"/>
                <w:sz w:val="20"/>
                <w:szCs w:val="20"/>
                <w:lang w:val="en-US"/>
              </w:rPr>
            </w:pPr>
            <w:r w:rsidRPr="00D70F51">
              <w:rPr>
                <w:rFonts w:eastAsia="Times New Roman" w:cs="Arial"/>
                <w:color w:val="000000"/>
                <w:sz w:val="20"/>
                <w:szCs w:val="20"/>
                <w:lang w:val="en-US"/>
              </w:rPr>
              <w:t>2</w:t>
            </w:r>
          </w:p>
        </w:tc>
        <w:tc>
          <w:tcPr>
            <w:tcW w:w="149" w:type="pct"/>
            <w:tcBorders>
              <w:top w:val="nil"/>
              <w:left w:val="nil"/>
              <w:bottom w:val="single" w:sz="8" w:space="0" w:color="auto"/>
              <w:right w:val="nil"/>
            </w:tcBorders>
            <w:shd w:val="clear" w:color="auto" w:fill="auto"/>
            <w:vAlign w:val="center"/>
            <w:hideMark/>
          </w:tcPr>
          <w:p w14:paraId="66D95E71" w14:textId="2A8D1081" w:rsidR="00D825E5" w:rsidRPr="00D70F51" w:rsidRDefault="00D825E5">
            <w:pPr>
              <w:spacing w:after="0" w:line="240" w:lineRule="auto"/>
              <w:jc w:val="center"/>
              <w:rPr>
                <w:rFonts w:eastAsia="Times New Roman" w:cs="Arial"/>
                <w:color w:val="000000"/>
                <w:sz w:val="20"/>
                <w:szCs w:val="20"/>
                <w:lang w:val="en-US"/>
              </w:rPr>
            </w:pPr>
          </w:p>
        </w:tc>
        <w:tc>
          <w:tcPr>
            <w:tcW w:w="942" w:type="pct"/>
            <w:tcBorders>
              <w:top w:val="nil"/>
              <w:left w:val="nil"/>
              <w:bottom w:val="single" w:sz="8" w:space="0" w:color="auto"/>
              <w:right w:val="nil"/>
            </w:tcBorders>
            <w:shd w:val="clear" w:color="auto" w:fill="auto"/>
            <w:vAlign w:val="center"/>
            <w:hideMark/>
          </w:tcPr>
          <w:p w14:paraId="3C090CC9" w14:textId="77777777" w:rsidR="00D825E5" w:rsidRPr="00D70F51" w:rsidRDefault="00D825E5">
            <w:pPr>
              <w:spacing w:after="0" w:line="240" w:lineRule="auto"/>
              <w:jc w:val="center"/>
              <w:rPr>
                <w:rFonts w:eastAsia="Times New Roman" w:cs="Arial"/>
                <w:color w:val="000000"/>
                <w:sz w:val="20"/>
                <w:szCs w:val="20"/>
                <w:lang w:val="en-US"/>
              </w:rPr>
            </w:pPr>
            <w:r w:rsidRPr="00D70F51">
              <w:rPr>
                <w:rFonts w:eastAsia="Times New Roman" w:cs="Arial"/>
                <w:color w:val="000000"/>
                <w:sz w:val="20"/>
                <w:szCs w:val="20"/>
                <w:lang w:val="en-US"/>
              </w:rPr>
              <w:t>1</w:t>
            </w:r>
          </w:p>
        </w:tc>
        <w:tc>
          <w:tcPr>
            <w:tcW w:w="1034" w:type="pct"/>
            <w:tcBorders>
              <w:top w:val="nil"/>
              <w:left w:val="nil"/>
              <w:bottom w:val="single" w:sz="8" w:space="0" w:color="auto"/>
              <w:right w:val="nil"/>
            </w:tcBorders>
            <w:shd w:val="clear" w:color="auto" w:fill="auto"/>
            <w:vAlign w:val="center"/>
            <w:hideMark/>
          </w:tcPr>
          <w:p w14:paraId="423C5EE6" w14:textId="77777777" w:rsidR="00D825E5" w:rsidRPr="00D70F51" w:rsidRDefault="00D825E5">
            <w:pPr>
              <w:spacing w:after="0" w:line="240" w:lineRule="auto"/>
              <w:jc w:val="center"/>
              <w:rPr>
                <w:rFonts w:eastAsia="Times New Roman" w:cs="Arial"/>
                <w:color w:val="000000"/>
                <w:sz w:val="20"/>
                <w:szCs w:val="20"/>
                <w:lang w:val="en-US"/>
              </w:rPr>
            </w:pPr>
            <w:r w:rsidRPr="00D70F51">
              <w:rPr>
                <w:rFonts w:eastAsia="Times New Roman" w:cs="Arial"/>
                <w:color w:val="000000"/>
                <w:sz w:val="20"/>
                <w:szCs w:val="20"/>
                <w:lang w:val="en-US"/>
              </w:rPr>
              <w:t>2</w:t>
            </w:r>
          </w:p>
        </w:tc>
        <w:tc>
          <w:tcPr>
            <w:tcW w:w="1250" w:type="pct"/>
            <w:tcBorders>
              <w:top w:val="nil"/>
              <w:left w:val="nil"/>
              <w:bottom w:val="single" w:sz="8" w:space="0" w:color="auto"/>
              <w:right w:val="nil"/>
            </w:tcBorders>
            <w:shd w:val="clear" w:color="auto" w:fill="auto"/>
            <w:vAlign w:val="center"/>
            <w:hideMark/>
          </w:tcPr>
          <w:p w14:paraId="21117C44" w14:textId="77777777" w:rsidR="00D825E5" w:rsidRPr="00D70F51" w:rsidRDefault="00D825E5">
            <w:pPr>
              <w:spacing w:after="0" w:line="240" w:lineRule="auto"/>
              <w:jc w:val="center"/>
              <w:rPr>
                <w:rFonts w:eastAsia="Times New Roman" w:cs="Arial"/>
                <w:color w:val="000000"/>
                <w:sz w:val="20"/>
                <w:szCs w:val="20"/>
                <w:lang w:val="en-US"/>
              </w:rPr>
            </w:pPr>
            <w:r w:rsidRPr="00D70F51">
              <w:rPr>
                <w:rFonts w:eastAsia="Times New Roman" w:cs="Arial"/>
                <w:color w:val="000000"/>
                <w:sz w:val="20"/>
                <w:szCs w:val="20"/>
                <w:lang w:val="en-US"/>
              </w:rPr>
              <w:t>3</w:t>
            </w:r>
          </w:p>
        </w:tc>
      </w:tr>
      <w:tr w:rsidR="00D825E5" w:rsidRPr="00D825E5" w14:paraId="69023DFC" w14:textId="77777777" w:rsidTr="00D70F51">
        <w:trPr>
          <w:trHeight w:val="335"/>
        </w:trPr>
        <w:tc>
          <w:tcPr>
            <w:tcW w:w="397" w:type="pct"/>
            <w:tcBorders>
              <w:top w:val="nil"/>
              <w:left w:val="nil"/>
              <w:bottom w:val="nil"/>
              <w:right w:val="nil"/>
            </w:tcBorders>
            <w:shd w:val="clear" w:color="auto" w:fill="auto"/>
            <w:vAlign w:val="center"/>
            <w:hideMark/>
          </w:tcPr>
          <w:p w14:paraId="3EECBF11" w14:textId="77777777" w:rsidR="00D825E5" w:rsidRPr="00D70F51" w:rsidRDefault="00D825E5" w:rsidP="006E2C59">
            <w:pPr>
              <w:spacing w:after="0" w:line="240" w:lineRule="auto"/>
              <w:jc w:val="left"/>
              <w:rPr>
                <w:rFonts w:eastAsia="Times New Roman" w:cs="Arial"/>
                <w:b/>
                <w:bCs/>
                <w:color w:val="000000"/>
                <w:sz w:val="20"/>
                <w:szCs w:val="20"/>
                <w:lang w:val="en-US"/>
              </w:rPr>
            </w:pPr>
            <w:r w:rsidRPr="00D70F51">
              <w:rPr>
                <w:rFonts w:eastAsia="Times New Roman" w:cs="Arial"/>
                <w:b/>
                <w:bCs/>
                <w:color w:val="000000"/>
                <w:sz w:val="20"/>
                <w:szCs w:val="20"/>
                <w:lang w:val="en-US"/>
              </w:rPr>
              <w:t>NO</w:t>
            </w:r>
            <w:r w:rsidRPr="00D70F51">
              <w:rPr>
                <w:rFonts w:eastAsia="Times New Roman" w:cs="Arial"/>
                <w:b/>
                <w:bCs/>
                <w:color w:val="000000"/>
                <w:sz w:val="20"/>
                <w:szCs w:val="20"/>
                <w:vertAlign w:val="subscript"/>
                <w:lang w:val="en-US"/>
              </w:rPr>
              <w:t>2</w:t>
            </w:r>
          </w:p>
        </w:tc>
        <w:tc>
          <w:tcPr>
            <w:tcW w:w="765" w:type="pct"/>
            <w:tcBorders>
              <w:top w:val="nil"/>
              <w:left w:val="nil"/>
              <w:bottom w:val="nil"/>
              <w:right w:val="nil"/>
            </w:tcBorders>
            <w:shd w:val="clear" w:color="000000" w:fill="9BC2E6"/>
            <w:vAlign w:val="center"/>
            <w:hideMark/>
          </w:tcPr>
          <w:p w14:paraId="1B6AD5C1" w14:textId="55105665" w:rsidR="00D825E5" w:rsidRPr="00D70F51" w:rsidRDefault="00D825E5" w:rsidP="00D70F51">
            <w:pPr>
              <w:spacing w:after="0" w:line="240" w:lineRule="auto"/>
              <w:jc w:val="center"/>
              <w:rPr>
                <w:rFonts w:eastAsia="Times New Roman" w:cs="Arial"/>
                <w:color w:val="000000"/>
                <w:sz w:val="20"/>
                <w:szCs w:val="20"/>
                <w:vertAlign w:val="superscript"/>
                <w:lang w:val="en-US"/>
              </w:rPr>
            </w:pPr>
            <w:proofErr w:type="spellStart"/>
            <w:r w:rsidRPr="00D70F51">
              <w:rPr>
                <w:rFonts w:eastAsia="Times New Roman" w:cs="Arial"/>
                <w:color w:val="000000"/>
                <w:sz w:val="20"/>
                <w:szCs w:val="20"/>
                <w:lang w:val="en-US"/>
              </w:rPr>
              <w:t>Meteorology</w:t>
            </w:r>
            <w:r w:rsidR="008311F3">
              <w:rPr>
                <w:rFonts w:eastAsia="Times New Roman" w:cs="Arial"/>
                <w:color w:val="000000"/>
                <w:sz w:val="20"/>
                <w:szCs w:val="20"/>
                <w:vertAlign w:val="superscript"/>
                <w:lang w:val="en-US"/>
              </w:rPr>
              <w:t>a</w:t>
            </w:r>
            <w:proofErr w:type="spellEnd"/>
          </w:p>
        </w:tc>
        <w:tc>
          <w:tcPr>
            <w:tcW w:w="463" w:type="pct"/>
            <w:tcBorders>
              <w:top w:val="nil"/>
              <w:left w:val="nil"/>
              <w:bottom w:val="nil"/>
              <w:right w:val="nil"/>
            </w:tcBorders>
            <w:shd w:val="clear" w:color="000000" w:fill="DDEBF7"/>
            <w:vAlign w:val="center"/>
            <w:hideMark/>
          </w:tcPr>
          <w:p w14:paraId="6C971A23" w14:textId="6E7ACCC2" w:rsidR="00D825E5" w:rsidRPr="00D70F51" w:rsidRDefault="00D825E5" w:rsidP="00D70F51">
            <w:pPr>
              <w:spacing w:after="0" w:line="240" w:lineRule="auto"/>
              <w:jc w:val="center"/>
              <w:rPr>
                <w:rFonts w:eastAsia="Times New Roman" w:cs="Arial"/>
                <w:sz w:val="20"/>
                <w:szCs w:val="20"/>
                <w:vertAlign w:val="superscript"/>
                <w:lang w:val="en-US"/>
              </w:rPr>
            </w:pPr>
            <w:proofErr w:type="spellStart"/>
            <w:r w:rsidRPr="00D70F51">
              <w:rPr>
                <w:rFonts w:eastAsia="Times New Roman" w:cs="Arial"/>
                <w:sz w:val="20"/>
                <w:szCs w:val="20"/>
                <w:lang w:val="en-US"/>
              </w:rPr>
              <w:t>MACC</w:t>
            </w:r>
            <w:r w:rsidR="008311F3">
              <w:rPr>
                <w:rFonts w:eastAsia="Times New Roman" w:cs="Arial"/>
                <w:sz w:val="20"/>
                <w:szCs w:val="20"/>
                <w:vertAlign w:val="superscript"/>
                <w:lang w:val="en-US"/>
              </w:rPr>
              <w:t>b</w:t>
            </w:r>
            <w:proofErr w:type="spellEnd"/>
          </w:p>
        </w:tc>
        <w:tc>
          <w:tcPr>
            <w:tcW w:w="149" w:type="pct"/>
            <w:tcBorders>
              <w:top w:val="nil"/>
              <w:left w:val="nil"/>
              <w:bottom w:val="nil"/>
              <w:right w:val="nil"/>
            </w:tcBorders>
            <w:shd w:val="clear" w:color="auto" w:fill="auto"/>
            <w:vAlign w:val="center"/>
            <w:hideMark/>
          </w:tcPr>
          <w:p w14:paraId="7BD2A66D" w14:textId="08B6DC4C" w:rsidR="00D825E5" w:rsidRPr="00D70F51" w:rsidRDefault="00D825E5" w:rsidP="00D70F51">
            <w:pPr>
              <w:spacing w:after="0" w:line="240" w:lineRule="auto"/>
              <w:jc w:val="center"/>
              <w:rPr>
                <w:rFonts w:eastAsia="Times New Roman" w:cs="Arial"/>
                <w:sz w:val="20"/>
                <w:szCs w:val="20"/>
                <w:lang w:val="en-US"/>
              </w:rPr>
            </w:pPr>
          </w:p>
        </w:tc>
        <w:tc>
          <w:tcPr>
            <w:tcW w:w="942" w:type="pct"/>
            <w:tcBorders>
              <w:top w:val="nil"/>
              <w:left w:val="nil"/>
              <w:bottom w:val="nil"/>
              <w:right w:val="nil"/>
            </w:tcBorders>
            <w:shd w:val="clear" w:color="000000" w:fill="C65911"/>
            <w:vAlign w:val="center"/>
            <w:hideMark/>
          </w:tcPr>
          <w:p w14:paraId="5B478B39" w14:textId="77777777" w:rsidR="00D825E5" w:rsidRPr="00D70F51" w:rsidRDefault="00D825E5" w:rsidP="00D70F51">
            <w:pPr>
              <w:spacing w:after="0" w:line="240" w:lineRule="auto"/>
              <w:jc w:val="center"/>
              <w:rPr>
                <w:rFonts w:eastAsia="Times New Roman" w:cs="Arial"/>
                <w:sz w:val="20"/>
                <w:szCs w:val="20"/>
                <w:lang w:val="en-US"/>
              </w:rPr>
            </w:pPr>
            <w:r w:rsidRPr="00D70F51">
              <w:rPr>
                <w:rFonts w:eastAsia="Times New Roman" w:cs="Arial"/>
                <w:sz w:val="20"/>
                <w:szCs w:val="20"/>
                <w:lang w:val="en-US"/>
              </w:rPr>
              <w:t>TRAFLOAD_50</w:t>
            </w:r>
          </w:p>
        </w:tc>
        <w:tc>
          <w:tcPr>
            <w:tcW w:w="1034" w:type="pct"/>
            <w:tcBorders>
              <w:top w:val="nil"/>
              <w:left w:val="nil"/>
              <w:bottom w:val="nil"/>
              <w:right w:val="nil"/>
            </w:tcBorders>
            <w:shd w:val="clear" w:color="000000" w:fill="FFE699"/>
            <w:vAlign w:val="center"/>
            <w:hideMark/>
          </w:tcPr>
          <w:p w14:paraId="62B4EBA3" w14:textId="77777777" w:rsidR="00D825E5" w:rsidRPr="00D70F51" w:rsidRDefault="00D825E5" w:rsidP="00D70F51">
            <w:pPr>
              <w:spacing w:after="0" w:line="240" w:lineRule="auto"/>
              <w:jc w:val="center"/>
              <w:rPr>
                <w:rFonts w:eastAsia="Times New Roman" w:cs="Arial"/>
                <w:sz w:val="20"/>
                <w:szCs w:val="20"/>
                <w:lang w:val="en-US"/>
              </w:rPr>
            </w:pPr>
            <w:r w:rsidRPr="00D70F51">
              <w:rPr>
                <w:rFonts w:eastAsia="Times New Roman" w:cs="Arial"/>
                <w:sz w:val="20"/>
                <w:szCs w:val="20"/>
                <w:lang w:val="en-US"/>
              </w:rPr>
              <w:t>ROADLEN_1000</w:t>
            </w:r>
          </w:p>
        </w:tc>
        <w:tc>
          <w:tcPr>
            <w:tcW w:w="1250" w:type="pct"/>
            <w:tcBorders>
              <w:top w:val="nil"/>
              <w:left w:val="nil"/>
              <w:bottom w:val="nil"/>
              <w:right w:val="nil"/>
            </w:tcBorders>
            <w:shd w:val="clear" w:color="000000" w:fill="2F75B5"/>
            <w:vAlign w:val="center"/>
            <w:hideMark/>
          </w:tcPr>
          <w:p w14:paraId="51C0B590" w14:textId="121B5D32" w:rsidR="00D825E5" w:rsidRPr="00D70F51" w:rsidRDefault="008311F3" w:rsidP="00D70F51">
            <w:pPr>
              <w:spacing w:after="0" w:line="240" w:lineRule="auto"/>
              <w:jc w:val="center"/>
              <w:rPr>
                <w:rFonts w:eastAsia="Times New Roman" w:cs="Arial"/>
                <w:sz w:val="20"/>
                <w:szCs w:val="20"/>
                <w:lang w:val="en-US"/>
              </w:rPr>
            </w:pPr>
            <w:r w:rsidRPr="008311F3">
              <w:rPr>
                <w:rFonts w:eastAsia="Times New Roman" w:cs="Arial"/>
                <w:sz w:val="20"/>
                <w:szCs w:val="20"/>
                <w:lang w:val="en-US"/>
              </w:rPr>
              <w:t>BUILDINGVOL_50</w:t>
            </w:r>
          </w:p>
        </w:tc>
      </w:tr>
      <w:tr w:rsidR="00D825E5" w:rsidRPr="00D825E5" w14:paraId="459C1012" w14:textId="77777777" w:rsidTr="00D70F51">
        <w:trPr>
          <w:trHeight w:val="335"/>
        </w:trPr>
        <w:tc>
          <w:tcPr>
            <w:tcW w:w="397" w:type="pct"/>
            <w:tcBorders>
              <w:top w:val="nil"/>
              <w:left w:val="nil"/>
              <w:bottom w:val="nil"/>
              <w:right w:val="nil"/>
            </w:tcBorders>
            <w:shd w:val="clear" w:color="auto" w:fill="auto"/>
            <w:vAlign w:val="center"/>
            <w:hideMark/>
          </w:tcPr>
          <w:p w14:paraId="1610E33C" w14:textId="77777777" w:rsidR="00D825E5" w:rsidRPr="00D70F51" w:rsidRDefault="00D825E5" w:rsidP="006E2C59">
            <w:pPr>
              <w:spacing w:after="0" w:line="240" w:lineRule="auto"/>
              <w:jc w:val="left"/>
              <w:rPr>
                <w:rFonts w:eastAsia="Times New Roman" w:cs="Arial"/>
                <w:b/>
                <w:bCs/>
                <w:sz w:val="20"/>
                <w:szCs w:val="20"/>
                <w:lang w:val="en-US"/>
              </w:rPr>
            </w:pPr>
            <w:r w:rsidRPr="00D70F51">
              <w:rPr>
                <w:rFonts w:eastAsia="Times New Roman" w:cs="Arial"/>
                <w:b/>
                <w:bCs/>
                <w:sz w:val="20"/>
                <w:szCs w:val="20"/>
                <w:lang w:val="en-US"/>
              </w:rPr>
              <w:t>PM</w:t>
            </w:r>
            <w:r w:rsidRPr="00D70F51">
              <w:rPr>
                <w:rFonts w:eastAsia="Times New Roman" w:cs="Arial"/>
                <w:b/>
                <w:bCs/>
                <w:sz w:val="20"/>
                <w:szCs w:val="20"/>
                <w:vertAlign w:val="subscript"/>
                <w:lang w:val="en-US"/>
              </w:rPr>
              <w:t>2.5</w:t>
            </w:r>
          </w:p>
        </w:tc>
        <w:tc>
          <w:tcPr>
            <w:tcW w:w="765" w:type="pct"/>
            <w:tcBorders>
              <w:top w:val="nil"/>
              <w:left w:val="nil"/>
              <w:bottom w:val="nil"/>
              <w:right w:val="nil"/>
            </w:tcBorders>
            <w:shd w:val="clear" w:color="000000" w:fill="9BC2E6"/>
            <w:vAlign w:val="center"/>
            <w:hideMark/>
          </w:tcPr>
          <w:p w14:paraId="20EA43D9" w14:textId="6A2DFB24" w:rsidR="00D825E5" w:rsidRPr="00D70F51" w:rsidRDefault="00D825E5" w:rsidP="00D70F51">
            <w:pPr>
              <w:spacing w:after="0" w:line="240" w:lineRule="auto"/>
              <w:jc w:val="center"/>
              <w:rPr>
                <w:rFonts w:eastAsia="Times New Roman" w:cs="Arial"/>
                <w:color w:val="000000"/>
                <w:sz w:val="20"/>
                <w:szCs w:val="20"/>
                <w:lang w:val="en-US"/>
              </w:rPr>
            </w:pPr>
            <w:proofErr w:type="spellStart"/>
            <w:r w:rsidRPr="00D70F51">
              <w:rPr>
                <w:rFonts w:eastAsia="Times New Roman" w:cs="Arial"/>
                <w:color w:val="000000"/>
                <w:sz w:val="20"/>
                <w:szCs w:val="20"/>
                <w:lang w:val="en-US"/>
              </w:rPr>
              <w:t>Meteorology</w:t>
            </w:r>
            <w:r w:rsidR="008311F3">
              <w:rPr>
                <w:rFonts w:eastAsia="Times New Roman" w:cs="Arial"/>
                <w:color w:val="000000"/>
                <w:sz w:val="20"/>
                <w:szCs w:val="20"/>
                <w:vertAlign w:val="superscript"/>
                <w:lang w:val="en-US"/>
              </w:rPr>
              <w:t>a</w:t>
            </w:r>
            <w:proofErr w:type="spellEnd"/>
          </w:p>
        </w:tc>
        <w:tc>
          <w:tcPr>
            <w:tcW w:w="463" w:type="pct"/>
            <w:tcBorders>
              <w:top w:val="nil"/>
              <w:left w:val="nil"/>
              <w:bottom w:val="nil"/>
              <w:right w:val="nil"/>
            </w:tcBorders>
            <w:shd w:val="clear" w:color="000000" w:fill="DDEBF7"/>
            <w:vAlign w:val="center"/>
            <w:hideMark/>
          </w:tcPr>
          <w:p w14:paraId="5639A782" w14:textId="52B73FD1" w:rsidR="00D825E5" w:rsidRPr="00D70F51" w:rsidRDefault="00D825E5" w:rsidP="00D70F51">
            <w:pPr>
              <w:spacing w:after="0" w:line="240" w:lineRule="auto"/>
              <w:jc w:val="center"/>
              <w:rPr>
                <w:rFonts w:eastAsia="Times New Roman" w:cs="Arial"/>
                <w:sz w:val="20"/>
                <w:szCs w:val="20"/>
                <w:vertAlign w:val="superscript"/>
                <w:lang w:val="en-US"/>
              </w:rPr>
            </w:pPr>
            <w:proofErr w:type="spellStart"/>
            <w:r w:rsidRPr="00D70F51">
              <w:rPr>
                <w:rFonts w:eastAsia="Times New Roman" w:cs="Arial"/>
                <w:sz w:val="20"/>
                <w:szCs w:val="20"/>
                <w:lang w:val="en-US"/>
              </w:rPr>
              <w:t>MACC</w:t>
            </w:r>
            <w:r w:rsidR="008311F3">
              <w:rPr>
                <w:rFonts w:eastAsia="Times New Roman" w:cs="Arial"/>
                <w:sz w:val="20"/>
                <w:szCs w:val="20"/>
                <w:vertAlign w:val="superscript"/>
                <w:lang w:val="en-US"/>
              </w:rPr>
              <w:t>b</w:t>
            </w:r>
            <w:proofErr w:type="spellEnd"/>
          </w:p>
        </w:tc>
        <w:tc>
          <w:tcPr>
            <w:tcW w:w="149" w:type="pct"/>
            <w:tcBorders>
              <w:top w:val="nil"/>
              <w:left w:val="nil"/>
              <w:bottom w:val="nil"/>
              <w:right w:val="nil"/>
            </w:tcBorders>
            <w:shd w:val="clear" w:color="auto" w:fill="auto"/>
            <w:vAlign w:val="center"/>
            <w:hideMark/>
          </w:tcPr>
          <w:p w14:paraId="7CDC1198" w14:textId="77777777" w:rsidR="00D825E5" w:rsidRPr="00D70F51" w:rsidRDefault="00D825E5" w:rsidP="00D70F51">
            <w:pPr>
              <w:spacing w:after="0" w:line="240" w:lineRule="auto"/>
              <w:jc w:val="center"/>
              <w:rPr>
                <w:rFonts w:eastAsia="Times New Roman" w:cs="Arial"/>
                <w:sz w:val="20"/>
                <w:szCs w:val="20"/>
                <w:lang w:val="en-US"/>
              </w:rPr>
            </w:pPr>
          </w:p>
        </w:tc>
        <w:tc>
          <w:tcPr>
            <w:tcW w:w="942" w:type="pct"/>
            <w:tcBorders>
              <w:top w:val="nil"/>
              <w:left w:val="nil"/>
              <w:bottom w:val="nil"/>
              <w:right w:val="nil"/>
            </w:tcBorders>
            <w:shd w:val="clear" w:color="000000" w:fill="C65911"/>
            <w:vAlign w:val="center"/>
            <w:hideMark/>
          </w:tcPr>
          <w:p w14:paraId="219BFF96" w14:textId="77777777" w:rsidR="00D825E5" w:rsidRPr="00D70F51" w:rsidRDefault="00D825E5" w:rsidP="00D70F51">
            <w:pPr>
              <w:spacing w:after="0" w:line="240" w:lineRule="auto"/>
              <w:jc w:val="center"/>
              <w:rPr>
                <w:rFonts w:eastAsia="Times New Roman" w:cs="Arial"/>
                <w:sz w:val="20"/>
                <w:szCs w:val="20"/>
                <w:lang w:val="en-US"/>
              </w:rPr>
            </w:pPr>
            <w:r w:rsidRPr="00D70F51">
              <w:rPr>
                <w:rFonts w:eastAsia="Times New Roman" w:cs="Arial"/>
                <w:sz w:val="20"/>
                <w:szCs w:val="20"/>
                <w:lang w:val="en-US"/>
              </w:rPr>
              <w:t>TRAFLOAD_50</w:t>
            </w:r>
          </w:p>
        </w:tc>
        <w:tc>
          <w:tcPr>
            <w:tcW w:w="1034" w:type="pct"/>
            <w:tcBorders>
              <w:top w:val="nil"/>
              <w:left w:val="nil"/>
              <w:bottom w:val="nil"/>
              <w:right w:val="nil"/>
            </w:tcBorders>
            <w:shd w:val="clear" w:color="000000" w:fill="A9D08E"/>
            <w:noWrap/>
            <w:vAlign w:val="center"/>
            <w:hideMark/>
          </w:tcPr>
          <w:p w14:paraId="78A8F1A2" w14:textId="77777777" w:rsidR="00D825E5" w:rsidRPr="00D70F51" w:rsidRDefault="00D825E5" w:rsidP="00D70F51">
            <w:pPr>
              <w:spacing w:after="0" w:line="240" w:lineRule="auto"/>
              <w:jc w:val="center"/>
              <w:rPr>
                <w:rFonts w:eastAsia="Times New Roman" w:cs="Arial"/>
                <w:sz w:val="20"/>
                <w:szCs w:val="20"/>
                <w:lang w:val="en-US"/>
              </w:rPr>
            </w:pPr>
            <w:r w:rsidRPr="00D70F51">
              <w:rPr>
                <w:rFonts w:eastAsia="Times New Roman" w:cs="Arial"/>
                <w:sz w:val="20"/>
                <w:szCs w:val="20"/>
                <w:lang w:val="en-US"/>
              </w:rPr>
              <w:t>NATURAL_1000</w:t>
            </w:r>
          </w:p>
        </w:tc>
        <w:tc>
          <w:tcPr>
            <w:tcW w:w="1250" w:type="pct"/>
            <w:tcBorders>
              <w:top w:val="nil"/>
              <w:left w:val="nil"/>
              <w:bottom w:val="nil"/>
              <w:right w:val="nil"/>
            </w:tcBorders>
            <w:shd w:val="clear" w:color="000000" w:fill="2F75B5"/>
            <w:vAlign w:val="center"/>
            <w:hideMark/>
          </w:tcPr>
          <w:p w14:paraId="044AD362" w14:textId="556347AC" w:rsidR="00D825E5" w:rsidRPr="00D70F51" w:rsidRDefault="008311F3" w:rsidP="00D70F51">
            <w:pPr>
              <w:spacing w:after="0" w:line="240" w:lineRule="auto"/>
              <w:jc w:val="center"/>
              <w:rPr>
                <w:rFonts w:eastAsia="Times New Roman" w:cs="Arial"/>
                <w:sz w:val="20"/>
                <w:szCs w:val="20"/>
                <w:lang w:val="en-US"/>
              </w:rPr>
            </w:pPr>
            <w:r w:rsidRPr="008311F3">
              <w:rPr>
                <w:rFonts w:eastAsia="Times New Roman" w:cs="Arial"/>
                <w:sz w:val="20"/>
                <w:szCs w:val="20"/>
                <w:lang w:val="en-US"/>
              </w:rPr>
              <w:t>BUILDINGVOL_50</w:t>
            </w:r>
          </w:p>
        </w:tc>
      </w:tr>
      <w:tr w:rsidR="00D825E5" w:rsidRPr="00D825E5" w14:paraId="44397E7B" w14:textId="77777777" w:rsidTr="00D70F51">
        <w:trPr>
          <w:trHeight w:val="335"/>
        </w:trPr>
        <w:tc>
          <w:tcPr>
            <w:tcW w:w="397" w:type="pct"/>
            <w:tcBorders>
              <w:top w:val="nil"/>
              <w:left w:val="nil"/>
              <w:bottom w:val="nil"/>
              <w:right w:val="nil"/>
            </w:tcBorders>
            <w:shd w:val="clear" w:color="auto" w:fill="auto"/>
            <w:vAlign w:val="center"/>
            <w:hideMark/>
          </w:tcPr>
          <w:p w14:paraId="0F216898" w14:textId="77777777" w:rsidR="00D825E5" w:rsidRPr="00D70F51" w:rsidRDefault="00D825E5" w:rsidP="006E2C59">
            <w:pPr>
              <w:spacing w:after="0" w:line="240" w:lineRule="auto"/>
              <w:jc w:val="left"/>
              <w:rPr>
                <w:rFonts w:eastAsia="Times New Roman" w:cs="Arial"/>
                <w:b/>
                <w:bCs/>
                <w:color w:val="000000"/>
                <w:sz w:val="20"/>
                <w:szCs w:val="20"/>
                <w:lang w:val="en-US"/>
              </w:rPr>
            </w:pPr>
            <w:r w:rsidRPr="00D70F51">
              <w:rPr>
                <w:rFonts w:eastAsia="Times New Roman" w:cs="Arial"/>
                <w:b/>
                <w:bCs/>
                <w:color w:val="000000"/>
                <w:sz w:val="20"/>
                <w:szCs w:val="20"/>
                <w:lang w:val="en-US"/>
              </w:rPr>
              <w:t>PM</w:t>
            </w:r>
            <w:r w:rsidRPr="00D70F51">
              <w:rPr>
                <w:rFonts w:eastAsia="Times New Roman" w:cs="Arial"/>
                <w:b/>
                <w:bCs/>
                <w:color w:val="000000"/>
                <w:sz w:val="20"/>
                <w:szCs w:val="20"/>
                <w:vertAlign w:val="subscript"/>
                <w:lang w:val="en-US"/>
              </w:rPr>
              <w:t>10</w:t>
            </w:r>
          </w:p>
        </w:tc>
        <w:tc>
          <w:tcPr>
            <w:tcW w:w="765" w:type="pct"/>
            <w:tcBorders>
              <w:top w:val="nil"/>
              <w:left w:val="nil"/>
              <w:bottom w:val="nil"/>
              <w:right w:val="nil"/>
            </w:tcBorders>
            <w:shd w:val="clear" w:color="000000" w:fill="9BC2E6"/>
            <w:vAlign w:val="center"/>
            <w:hideMark/>
          </w:tcPr>
          <w:p w14:paraId="0FB651D5" w14:textId="01088260" w:rsidR="00D825E5" w:rsidRPr="00D70F51" w:rsidRDefault="00D825E5" w:rsidP="00D70F51">
            <w:pPr>
              <w:spacing w:after="0" w:line="240" w:lineRule="auto"/>
              <w:jc w:val="center"/>
              <w:rPr>
                <w:rFonts w:eastAsia="Times New Roman" w:cs="Arial"/>
                <w:color w:val="000000"/>
                <w:sz w:val="20"/>
                <w:szCs w:val="20"/>
                <w:lang w:val="en-US"/>
              </w:rPr>
            </w:pPr>
            <w:proofErr w:type="spellStart"/>
            <w:r w:rsidRPr="00D70F51">
              <w:rPr>
                <w:rFonts w:eastAsia="Times New Roman" w:cs="Arial"/>
                <w:color w:val="000000"/>
                <w:sz w:val="20"/>
                <w:szCs w:val="20"/>
                <w:lang w:val="en-US"/>
              </w:rPr>
              <w:t>Meteorology</w:t>
            </w:r>
            <w:r w:rsidR="008311F3">
              <w:rPr>
                <w:rFonts w:eastAsia="Times New Roman" w:cs="Arial"/>
                <w:color w:val="000000"/>
                <w:sz w:val="20"/>
                <w:szCs w:val="20"/>
                <w:vertAlign w:val="superscript"/>
                <w:lang w:val="en-US"/>
              </w:rPr>
              <w:t>a</w:t>
            </w:r>
            <w:proofErr w:type="spellEnd"/>
          </w:p>
        </w:tc>
        <w:tc>
          <w:tcPr>
            <w:tcW w:w="463" w:type="pct"/>
            <w:tcBorders>
              <w:top w:val="nil"/>
              <w:left w:val="nil"/>
              <w:bottom w:val="nil"/>
              <w:right w:val="nil"/>
            </w:tcBorders>
            <w:shd w:val="clear" w:color="000000" w:fill="DDEBF7"/>
            <w:vAlign w:val="center"/>
            <w:hideMark/>
          </w:tcPr>
          <w:p w14:paraId="606E1E36" w14:textId="5B181B5A" w:rsidR="00D825E5" w:rsidRPr="00D70F51" w:rsidRDefault="00D825E5" w:rsidP="00D70F51">
            <w:pPr>
              <w:spacing w:after="0" w:line="240" w:lineRule="auto"/>
              <w:jc w:val="center"/>
              <w:rPr>
                <w:rFonts w:eastAsia="Times New Roman" w:cs="Arial"/>
                <w:sz w:val="20"/>
                <w:szCs w:val="20"/>
                <w:vertAlign w:val="superscript"/>
                <w:lang w:val="en-US"/>
              </w:rPr>
            </w:pPr>
            <w:proofErr w:type="spellStart"/>
            <w:r w:rsidRPr="00D70F51">
              <w:rPr>
                <w:rFonts w:eastAsia="Times New Roman" w:cs="Arial"/>
                <w:sz w:val="20"/>
                <w:szCs w:val="20"/>
                <w:lang w:val="en-US"/>
              </w:rPr>
              <w:t>MACC</w:t>
            </w:r>
            <w:r w:rsidR="008311F3">
              <w:rPr>
                <w:rFonts w:eastAsia="Times New Roman" w:cs="Arial"/>
                <w:sz w:val="20"/>
                <w:szCs w:val="20"/>
                <w:vertAlign w:val="superscript"/>
                <w:lang w:val="en-US"/>
              </w:rPr>
              <w:t>b</w:t>
            </w:r>
            <w:proofErr w:type="spellEnd"/>
          </w:p>
        </w:tc>
        <w:tc>
          <w:tcPr>
            <w:tcW w:w="149" w:type="pct"/>
            <w:tcBorders>
              <w:top w:val="nil"/>
              <w:left w:val="nil"/>
              <w:bottom w:val="nil"/>
              <w:right w:val="nil"/>
            </w:tcBorders>
            <w:shd w:val="clear" w:color="auto" w:fill="auto"/>
            <w:vAlign w:val="center"/>
            <w:hideMark/>
          </w:tcPr>
          <w:p w14:paraId="7B89E28B" w14:textId="77777777" w:rsidR="00D825E5" w:rsidRPr="00D70F51" w:rsidRDefault="00D825E5" w:rsidP="00D70F51">
            <w:pPr>
              <w:spacing w:after="0" w:line="240" w:lineRule="auto"/>
              <w:jc w:val="center"/>
              <w:rPr>
                <w:rFonts w:eastAsia="Times New Roman" w:cs="Arial"/>
                <w:sz w:val="20"/>
                <w:szCs w:val="20"/>
                <w:lang w:val="en-US"/>
              </w:rPr>
            </w:pPr>
          </w:p>
        </w:tc>
        <w:tc>
          <w:tcPr>
            <w:tcW w:w="942" w:type="pct"/>
            <w:tcBorders>
              <w:top w:val="nil"/>
              <w:left w:val="nil"/>
              <w:bottom w:val="nil"/>
              <w:right w:val="nil"/>
            </w:tcBorders>
            <w:shd w:val="clear" w:color="000000" w:fill="C65911"/>
            <w:vAlign w:val="center"/>
            <w:hideMark/>
          </w:tcPr>
          <w:p w14:paraId="73C4E208" w14:textId="77777777" w:rsidR="00D825E5" w:rsidRPr="00D70F51" w:rsidRDefault="00D825E5" w:rsidP="00D70F51">
            <w:pPr>
              <w:spacing w:after="0" w:line="240" w:lineRule="auto"/>
              <w:jc w:val="center"/>
              <w:rPr>
                <w:rFonts w:eastAsia="Times New Roman" w:cs="Arial"/>
                <w:sz w:val="20"/>
                <w:szCs w:val="20"/>
                <w:lang w:val="en-US"/>
              </w:rPr>
            </w:pPr>
            <w:r w:rsidRPr="00D70F51">
              <w:rPr>
                <w:rFonts w:eastAsia="Times New Roman" w:cs="Arial"/>
                <w:sz w:val="20"/>
                <w:szCs w:val="20"/>
                <w:lang w:val="en-US"/>
              </w:rPr>
              <w:t>TRAFLOAD_50</w:t>
            </w:r>
          </w:p>
        </w:tc>
        <w:tc>
          <w:tcPr>
            <w:tcW w:w="1034" w:type="pct"/>
            <w:tcBorders>
              <w:top w:val="nil"/>
              <w:left w:val="nil"/>
              <w:bottom w:val="nil"/>
              <w:right w:val="nil"/>
            </w:tcBorders>
            <w:shd w:val="clear" w:color="000000" w:fill="A9D08E"/>
            <w:noWrap/>
            <w:vAlign w:val="center"/>
            <w:hideMark/>
          </w:tcPr>
          <w:p w14:paraId="632050B4" w14:textId="77777777" w:rsidR="00D825E5" w:rsidRPr="00D70F51" w:rsidRDefault="00D825E5" w:rsidP="00D70F51">
            <w:pPr>
              <w:spacing w:after="0" w:line="240" w:lineRule="auto"/>
              <w:jc w:val="center"/>
              <w:rPr>
                <w:rFonts w:eastAsia="Times New Roman" w:cs="Arial"/>
                <w:sz w:val="20"/>
                <w:szCs w:val="20"/>
                <w:lang w:val="en-US"/>
              </w:rPr>
            </w:pPr>
            <w:r w:rsidRPr="00D70F51">
              <w:rPr>
                <w:rFonts w:eastAsia="Times New Roman" w:cs="Arial"/>
                <w:sz w:val="20"/>
                <w:szCs w:val="20"/>
                <w:lang w:val="en-US"/>
              </w:rPr>
              <w:t>NATURAL_1000</w:t>
            </w:r>
          </w:p>
        </w:tc>
        <w:tc>
          <w:tcPr>
            <w:tcW w:w="1250" w:type="pct"/>
            <w:tcBorders>
              <w:top w:val="nil"/>
              <w:left w:val="nil"/>
              <w:bottom w:val="nil"/>
              <w:right w:val="nil"/>
            </w:tcBorders>
            <w:shd w:val="clear" w:color="000000" w:fill="2F75B5"/>
            <w:vAlign w:val="center"/>
            <w:hideMark/>
          </w:tcPr>
          <w:p w14:paraId="69C4F6B5" w14:textId="1B5C5CC5" w:rsidR="00D825E5" w:rsidRPr="00D70F51" w:rsidRDefault="008311F3" w:rsidP="00D70F51">
            <w:pPr>
              <w:spacing w:after="0" w:line="240" w:lineRule="auto"/>
              <w:jc w:val="center"/>
              <w:rPr>
                <w:rFonts w:eastAsia="Times New Roman" w:cs="Arial"/>
                <w:sz w:val="20"/>
                <w:szCs w:val="20"/>
                <w:lang w:val="en-US"/>
              </w:rPr>
            </w:pPr>
            <w:r w:rsidRPr="008311F3">
              <w:rPr>
                <w:rFonts w:eastAsia="Times New Roman" w:cs="Arial"/>
                <w:sz w:val="20"/>
                <w:szCs w:val="20"/>
                <w:lang w:val="en-US"/>
              </w:rPr>
              <w:t>BUILDINGVOL_</w:t>
            </w:r>
            <w:r>
              <w:rPr>
                <w:rFonts w:eastAsia="Times New Roman" w:cs="Arial"/>
                <w:sz w:val="20"/>
                <w:szCs w:val="20"/>
                <w:lang w:val="en-US"/>
              </w:rPr>
              <w:t>10</w:t>
            </w:r>
            <w:r w:rsidRPr="008311F3">
              <w:rPr>
                <w:rFonts w:eastAsia="Times New Roman" w:cs="Arial"/>
                <w:sz w:val="20"/>
                <w:szCs w:val="20"/>
                <w:lang w:val="en-US"/>
              </w:rPr>
              <w:t>0</w:t>
            </w:r>
          </w:p>
        </w:tc>
      </w:tr>
      <w:tr w:rsidR="00D825E5" w:rsidRPr="00D825E5" w14:paraId="7EC99C7E" w14:textId="77777777" w:rsidTr="00D70F51">
        <w:trPr>
          <w:trHeight w:val="343"/>
        </w:trPr>
        <w:tc>
          <w:tcPr>
            <w:tcW w:w="397" w:type="pct"/>
            <w:tcBorders>
              <w:top w:val="nil"/>
              <w:left w:val="nil"/>
              <w:bottom w:val="single" w:sz="8" w:space="0" w:color="auto"/>
              <w:right w:val="nil"/>
            </w:tcBorders>
            <w:shd w:val="clear" w:color="auto" w:fill="auto"/>
            <w:vAlign w:val="center"/>
            <w:hideMark/>
          </w:tcPr>
          <w:p w14:paraId="6CB610C5" w14:textId="77777777" w:rsidR="00D825E5" w:rsidRPr="00D70F51" w:rsidRDefault="00D825E5" w:rsidP="006E2C59">
            <w:pPr>
              <w:spacing w:after="0" w:line="240" w:lineRule="auto"/>
              <w:jc w:val="left"/>
              <w:rPr>
                <w:rFonts w:eastAsia="Times New Roman" w:cs="Arial"/>
                <w:b/>
                <w:bCs/>
                <w:color w:val="000000"/>
                <w:sz w:val="20"/>
                <w:szCs w:val="20"/>
                <w:lang w:val="en-US"/>
              </w:rPr>
            </w:pPr>
            <w:r w:rsidRPr="00D70F51">
              <w:rPr>
                <w:rFonts w:eastAsia="Times New Roman" w:cs="Arial"/>
                <w:b/>
                <w:bCs/>
                <w:color w:val="000000"/>
                <w:sz w:val="20"/>
                <w:szCs w:val="20"/>
                <w:lang w:val="en-US"/>
              </w:rPr>
              <w:t>O</w:t>
            </w:r>
            <w:r w:rsidRPr="00D70F51">
              <w:rPr>
                <w:rFonts w:eastAsia="Times New Roman" w:cs="Arial"/>
                <w:b/>
                <w:bCs/>
                <w:color w:val="000000"/>
                <w:sz w:val="20"/>
                <w:szCs w:val="20"/>
                <w:vertAlign w:val="subscript"/>
                <w:lang w:val="en-US"/>
              </w:rPr>
              <w:t>3</w:t>
            </w:r>
          </w:p>
        </w:tc>
        <w:tc>
          <w:tcPr>
            <w:tcW w:w="765" w:type="pct"/>
            <w:tcBorders>
              <w:top w:val="nil"/>
              <w:left w:val="nil"/>
              <w:bottom w:val="single" w:sz="8" w:space="0" w:color="auto"/>
              <w:right w:val="nil"/>
            </w:tcBorders>
            <w:shd w:val="clear" w:color="000000" w:fill="9BC2E6"/>
            <w:vAlign w:val="center"/>
            <w:hideMark/>
          </w:tcPr>
          <w:p w14:paraId="1FAE3879" w14:textId="3E7E5EBD" w:rsidR="00D825E5" w:rsidRPr="00D70F51" w:rsidRDefault="00D825E5" w:rsidP="00D70F51">
            <w:pPr>
              <w:spacing w:after="0" w:line="240" w:lineRule="auto"/>
              <w:jc w:val="center"/>
              <w:rPr>
                <w:rFonts w:eastAsia="Times New Roman" w:cs="Arial"/>
                <w:color w:val="000000"/>
                <w:sz w:val="20"/>
                <w:szCs w:val="20"/>
                <w:lang w:val="en-US"/>
              </w:rPr>
            </w:pPr>
            <w:proofErr w:type="spellStart"/>
            <w:r w:rsidRPr="00D70F51">
              <w:rPr>
                <w:rFonts w:eastAsia="Times New Roman" w:cs="Arial"/>
                <w:color w:val="000000"/>
                <w:sz w:val="20"/>
                <w:szCs w:val="20"/>
                <w:lang w:val="en-US"/>
              </w:rPr>
              <w:t>Meteorology</w:t>
            </w:r>
            <w:r w:rsidR="008311F3">
              <w:rPr>
                <w:rFonts w:eastAsia="Times New Roman" w:cs="Arial"/>
                <w:color w:val="000000"/>
                <w:sz w:val="20"/>
                <w:szCs w:val="20"/>
                <w:vertAlign w:val="superscript"/>
                <w:lang w:val="en-US"/>
              </w:rPr>
              <w:t>a</w:t>
            </w:r>
            <w:proofErr w:type="spellEnd"/>
          </w:p>
        </w:tc>
        <w:tc>
          <w:tcPr>
            <w:tcW w:w="463" w:type="pct"/>
            <w:tcBorders>
              <w:top w:val="nil"/>
              <w:left w:val="nil"/>
              <w:bottom w:val="single" w:sz="8" w:space="0" w:color="auto"/>
              <w:right w:val="nil"/>
            </w:tcBorders>
            <w:shd w:val="clear" w:color="000000" w:fill="DDEBF7"/>
            <w:vAlign w:val="center"/>
            <w:hideMark/>
          </w:tcPr>
          <w:p w14:paraId="79B94ACD" w14:textId="46DE3126" w:rsidR="00D825E5" w:rsidRPr="00D70F51" w:rsidRDefault="00D825E5" w:rsidP="00D70F51">
            <w:pPr>
              <w:spacing w:after="0" w:line="240" w:lineRule="auto"/>
              <w:jc w:val="center"/>
              <w:rPr>
                <w:rFonts w:eastAsia="Times New Roman" w:cs="Arial"/>
                <w:sz w:val="20"/>
                <w:szCs w:val="20"/>
                <w:vertAlign w:val="superscript"/>
                <w:lang w:val="en-US"/>
              </w:rPr>
            </w:pPr>
            <w:proofErr w:type="spellStart"/>
            <w:r w:rsidRPr="00D70F51">
              <w:rPr>
                <w:rFonts w:eastAsia="Times New Roman" w:cs="Arial"/>
                <w:sz w:val="20"/>
                <w:szCs w:val="20"/>
                <w:lang w:val="en-US"/>
              </w:rPr>
              <w:t>MACC</w:t>
            </w:r>
            <w:r w:rsidR="008311F3">
              <w:rPr>
                <w:rFonts w:eastAsia="Times New Roman" w:cs="Arial"/>
                <w:sz w:val="20"/>
                <w:szCs w:val="20"/>
                <w:vertAlign w:val="superscript"/>
                <w:lang w:val="en-US"/>
              </w:rPr>
              <w:t>b</w:t>
            </w:r>
            <w:proofErr w:type="spellEnd"/>
          </w:p>
        </w:tc>
        <w:tc>
          <w:tcPr>
            <w:tcW w:w="149" w:type="pct"/>
            <w:tcBorders>
              <w:top w:val="nil"/>
              <w:left w:val="nil"/>
              <w:bottom w:val="single" w:sz="8" w:space="0" w:color="auto"/>
              <w:right w:val="nil"/>
            </w:tcBorders>
            <w:shd w:val="clear" w:color="auto" w:fill="auto"/>
            <w:vAlign w:val="center"/>
            <w:hideMark/>
          </w:tcPr>
          <w:p w14:paraId="54779A4D" w14:textId="1105458A" w:rsidR="00D825E5" w:rsidRPr="00D70F51" w:rsidRDefault="00D825E5" w:rsidP="00D70F51">
            <w:pPr>
              <w:spacing w:after="0" w:line="240" w:lineRule="auto"/>
              <w:jc w:val="center"/>
              <w:rPr>
                <w:rFonts w:eastAsia="Times New Roman" w:cs="Arial"/>
                <w:sz w:val="20"/>
                <w:szCs w:val="20"/>
                <w:lang w:val="en-US"/>
              </w:rPr>
            </w:pPr>
          </w:p>
        </w:tc>
        <w:tc>
          <w:tcPr>
            <w:tcW w:w="942" w:type="pct"/>
            <w:tcBorders>
              <w:top w:val="nil"/>
              <w:left w:val="nil"/>
              <w:bottom w:val="single" w:sz="8" w:space="0" w:color="auto"/>
              <w:right w:val="nil"/>
            </w:tcBorders>
            <w:shd w:val="clear" w:color="000000" w:fill="C65911"/>
            <w:vAlign w:val="center"/>
            <w:hideMark/>
          </w:tcPr>
          <w:p w14:paraId="0B675152" w14:textId="77777777" w:rsidR="00D825E5" w:rsidRPr="00D70F51" w:rsidRDefault="00D825E5" w:rsidP="00D70F51">
            <w:pPr>
              <w:spacing w:after="0" w:line="240" w:lineRule="auto"/>
              <w:jc w:val="center"/>
              <w:rPr>
                <w:rFonts w:eastAsia="Times New Roman" w:cs="Arial"/>
                <w:sz w:val="20"/>
                <w:szCs w:val="20"/>
                <w:lang w:val="en-US"/>
              </w:rPr>
            </w:pPr>
            <w:r w:rsidRPr="00D70F51">
              <w:rPr>
                <w:rFonts w:eastAsia="Times New Roman" w:cs="Arial"/>
                <w:sz w:val="20"/>
                <w:szCs w:val="20"/>
                <w:lang w:val="en-US"/>
              </w:rPr>
              <w:t>TRAFLOAD_50</w:t>
            </w:r>
          </w:p>
        </w:tc>
        <w:tc>
          <w:tcPr>
            <w:tcW w:w="1034" w:type="pct"/>
            <w:tcBorders>
              <w:top w:val="nil"/>
              <w:left w:val="nil"/>
              <w:bottom w:val="single" w:sz="8" w:space="0" w:color="auto"/>
              <w:right w:val="nil"/>
            </w:tcBorders>
            <w:shd w:val="clear" w:color="000000" w:fill="70AD47"/>
            <w:vAlign w:val="center"/>
            <w:hideMark/>
          </w:tcPr>
          <w:p w14:paraId="15A765FF" w14:textId="77777777" w:rsidR="00D825E5" w:rsidRPr="00D70F51" w:rsidRDefault="00D825E5" w:rsidP="00D70F51">
            <w:pPr>
              <w:spacing w:after="0" w:line="240" w:lineRule="auto"/>
              <w:jc w:val="center"/>
              <w:rPr>
                <w:rFonts w:eastAsia="Times New Roman" w:cs="Arial"/>
                <w:sz w:val="20"/>
                <w:szCs w:val="20"/>
                <w:lang w:val="en-US"/>
              </w:rPr>
            </w:pPr>
            <w:r w:rsidRPr="00D70F51">
              <w:rPr>
                <w:rFonts w:eastAsia="Times New Roman" w:cs="Arial"/>
                <w:sz w:val="20"/>
                <w:szCs w:val="20"/>
                <w:lang w:val="en-US"/>
              </w:rPr>
              <w:t>GRESPACE_300</w:t>
            </w:r>
          </w:p>
        </w:tc>
        <w:tc>
          <w:tcPr>
            <w:tcW w:w="1250" w:type="pct"/>
            <w:tcBorders>
              <w:top w:val="nil"/>
              <w:left w:val="nil"/>
              <w:bottom w:val="single" w:sz="8" w:space="0" w:color="auto"/>
              <w:right w:val="nil"/>
            </w:tcBorders>
            <w:shd w:val="clear" w:color="000000" w:fill="FFE699"/>
            <w:vAlign w:val="center"/>
            <w:hideMark/>
          </w:tcPr>
          <w:p w14:paraId="5200ABBF" w14:textId="77777777" w:rsidR="00D825E5" w:rsidRPr="00D70F51" w:rsidRDefault="00D825E5" w:rsidP="00D70F51">
            <w:pPr>
              <w:spacing w:after="0" w:line="240" w:lineRule="auto"/>
              <w:jc w:val="center"/>
              <w:rPr>
                <w:rFonts w:eastAsia="Times New Roman" w:cs="Arial"/>
                <w:sz w:val="20"/>
                <w:szCs w:val="20"/>
                <w:lang w:val="en-US"/>
              </w:rPr>
            </w:pPr>
            <w:r w:rsidRPr="00D70F51">
              <w:rPr>
                <w:rFonts w:eastAsia="Times New Roman" w:cs="Arial"/>
                <w:sz w:val="20"/>
                <w:szCs w:val="20"/>
                <w:lang w:val="en-US"/>
              </w:rPr>
              <w:t>ROADLENMAJ_1000</w:t>
            </w:r>
          </w:p>
        </w:tc>
      </w:tr>
      <w:tr w:rsidR="00D825E5" w:rsidRPr="00D825E5" w14:paraId="7A737841" w14:textId="77777777" w:rsidTr="00D70F51">
        <w:trPr>
          <w:trHeight w:val="760"/>
        </w:trPr>
        <w:tc>
          <w:tcPr>
            <w:tcW w:w="5000" w:type="pct"/>
            <w:gridSpan w:val="7"/>
            <w:tcBorders>
              <w:top w:val="single" w:sz="8" w:space="0" w:color="auto"/>
              <w:left w:val="nil"/>
              <w:bottom w:val="nil"/>
              <w:right w:val="nil"/>
            </w:tcBorders>
            <w:shd w:val="clear" w:color="auto" w:fill="auto"/>
            <w:vAlign w:val="bottom"/>
            <w:hideMark/>
          </w:tcPr>
          <w:p w14:paraId="17859360" w14:textId="2C26FB13" w:rsidR="00D825E5" w:rsidRPr="00D70F51" w:rsidRDefault="008311F3" w:rsidP="00D825E5">
            <w:pPr>
              <w:spacing w:after="0" w:line="240" w:lineRule="auto"/>
              <w:jc w:val="left"/>
              <w:rPr>
                <w:rFonts w:eastAsia="Times New Roman" w:cs="Arial"/>
                <w:color w:val="000000"/>
                <w:sz w:val="20"/>
                <w:szCs w:val="20"/>
                <w:lang w:val="en-US"/>
              </w:rPr>
            </w:pPr>
            <w:proofErr w:type="spellStart"/>
            <w:r>
              <w:rPr>
                <w:rFonts w:eastAsia="Times New Roman" w:cs="Arial"/>
                <w:color w:val="000000"/>
                <w:sz w:val="20"/>
                <w:szCs w:val="20"/>
                <w:vertAlign w:val="superscript"/>
                <w:lang w:val="en-US"/>
              </w:rPr>
              <w:t>a</w:t>
            </w:r>
            <w:proofErr w:type="spellEnd"/>
            <w:r>
              <w:rPr>
                <w:rFonts w:eastAsia="Times New Roman" w:cs="Arial"/>
                <w:color w:val="000000"/>
                <w:sz w:val="20"/>
                <w:szCs w:val="20"/>
                <w:vertAlign w:val="superscript"/>
                <w:lang w:val="en-US"/>
              </w:rPr>
              <w:t xml:space="preserve"> </w:t>
            </w:r>
            <w:r w:rsidR="00D825E5" w:rsidRPr="00D70F51">
              <w:rPr>
                <w:rFonts w:eastAsia="Times New Roman" w:cs="Arial"/>
                <w:color w:val="000000"/>
                <w:sz w:val="20"/>
                <w:szCs w:val="20"/>
                <w:lang w:val="en-US"/>
              </w:rPr>
              <w:t>Includes all four meteorology predictors: daily mean temperature, relative humidity, wind speed and wind direction.</w:t>
            </w:r>
            <w:r w:rsidR="00D825E5" w:rsidRPr="00D70F51">
              <w:rPr>
                <w:rFonts w:eastAsia="Times New Roman" w:cs="Arial"/>
                <w:color w:val="000000"/>
                <w:sz w:val="20"/>
                <w:szCs w:val="20"/>
                <w:lang w:val="en-US"/>
              </w:rPr>
              <w:br/>
            </w:r>
            <w:r>
              <w:rPr>
                <w:rFonts w:eastAsia="Times New Roman" w:cs="Arial"/>
                <w:color w:val="000000"/>
                <w:sz w:val="20"/>
                <w:szCs w:val="20"/>
                <w:vertAlign w:val="superscript"/>
                <w:lang w:val="en-US"/>
              </w:rPr>
              <w:t xml:space="preserve">b </w:t>
            </w:r>
            <w:r w:rsidR="00D825E5" w:rsidRPr="00D70F51">
              <w:rPr>
                <w:rFonts w:eastAsia="Times New Roman" w:cs="Arial"/>
                <w:color w:val="000000"/>
                <w:sz w:val="20"/>
                <w:szCs w:val="20"/>
                <w:lang w:val="en-US"/>
              </w:rPr>
              <w:t>Daily mean</w:t>
            </w:r>
          </w:p>
        </w:tc>
      </w:tr>
      <w:bookmarkEnd w:id="5"/>
      <w:bookmarkEnd w:id="8"/>
    </w:tbl>
    <w:p w14:paraId="774DE9C8" w14:textId="77777777" w:rsidR="008311F3" w:rsidRDefault="008311F3" w:rsidP="008311F3"/>
    <w:p w14:paraId="415DD050" w14:textId="49D9B0CD" w:rsidR="0092382A" w:rsidRPr="00D70F51" w:rsidRDefault="008311F3" w:rsidP="00D70F51">
      <w:pPr>
        <w:sectPr w:rsidR="0092382A" w:rsidRPr="00D70F51" w:rsidSect="00A27FE7">
          <w:pgSz w:w="12240" w:h="15840"/>
          <w:pgMar w:top="1440" w:right="1440" w:bottom="1440" w:left="1440" w:header="720" w:footer="720" w:gutter="0"/>
          <w:cols w:space="720"/>
          <w:docGrid w:linePitch="360"/>
        </w:sectPr>
      </w:pPr>
      <w:bookmarkStart w:id="9" w:name="_Hlk106724006"/>
      <w:r>
        <w:t xml:space="preserve">For </w:t>
      </w:r>
      <w:r w:rsidRPr="006E2C59">
        <w:t>NO</w:t>
      </w:r>
      <w:r>
        <w:rPr>
          <w:vertAlign w:val="subscript"/>
        </w:rPr>
        <w:t>2</w:t>
      </w:r>
      <w:r>
        <w:t>, t</w:t>
      </w:r>
      <w:r w:rsidRPr="006E2C59">
        <w:t>he</w:t>
      </w:r>
      <w:r>
        <w:t xml:space="preserve"> variable INVDISTSQ (</w:t>
      </w:r>
      <w:r w:rsidRPr="008311F3">
        <w:t>inverse distance to nearest road squared</w:t>
      </w:r>
      <w:r>
        <w:t xml:space="preserve">) was not included in the final model because it did not improve the explained variance. </w:t>
      </w:r>
      <w:r w:rsidR="005217CF" w:rsidRPr="005217CF">
        <w:t>Moreover, the buffer sizes of the selected variables for daily ST-LUR slightly differed from the annual LUR (</w:t>
      </w:r>
      <w:r w:rsidR="00A27FE7">
        <w:t>CTM-incorporated</w:t>
      </w:r>
      <w:r w:rsidR="005217CF" w:rsidRPr="005217CF">
        <w:t>) models</w:t>
      </w:r>
      <w:r w:rsidR="00011613">
        <w:t xml:space="preserve">. This is because </w:t>
      </w:r>
      <w:r w:rsidR="005217CF" w:rsidRPr="005217CF">
        <w:t xml:space="preserve">the </w:t>
      </w:r>
      <w:r w:rsidR="00011613">
        <w:t>modified</w:t>
      </w:r>
      <w:r w:rsidR="005217CF" w:rsidRPr="005217CF">
        <w:t xml:space="preserve"> variables increase</w:t>
      </w:r>
      <w:r w:rsidR="00011613">
        <w:t>d</w:t>
      </w:r>
      <w:r w:rsidR="005217CF" w:rsidRPr="005217CF">
        <w:t xml:space="preserve"> the explained </w:t>
      </w:r>
      <w:r w:rsidR="005217CF">
        <w:t>variance</w:t>
      </w:r>
      <w:r w:rsidR="005217CF" w:rsidRPr="005217CF">
        <w:t xml:space="preserve"> </w:t>
      </w:r>
      <w:r w:rsidR="005217CF">
        <w:t>in</w:t>
      </w:r>
      <w:r w:rsidR="005217CF" w:rsidRPr="005217CF">
        <w:t xml:space="preserve"> the daily measurements. For example, for PM</w:t>
      </w:r>
      <w:r w:rsidR="005217CF" w:rsidRPr="00D70F51">
        <w:rPr>
          <w:vertAlign w:val="subscript"/>
        </w:rPr>
        <w:t>2.5</w:t>
      </w:r>
      <w:r w:rsidR="005217CF" w:rsidRPr="005217CF">
        <w:t>, NATURAL_1000 (natural land in a 1000</w:t>
      </w:r>
      <w:r w:rsidR="005217CF">
        <w:t xml:space="preserve"> </w:t>
      </w:r>
      <w:r w:rsidR="005217CF" w:rsidRPr="005217CF">
        <w:t>m buffer) was included in the final model instead of NATURAL_500 (natural land in a 500</w:t>
      </w:r>
      <w:r w:rsidR="005217CF">
        <w:t xml:space="preserve"> </w:t>
      </w:r>
      <w:r w:rsidR="005217CF" w:rsidRPr="005217CF">
        <w:t>m buffer)</w:t>
      </w:r>
      <w:r w:rsidR="005217CF">
        <w:t>.</w:t>
      </w:r>
      <w:bookmarkEnd w:id="9"/>
    </w:p>
    <w:p w14:paraId="470D7331" w14:textId="1E186537" w:rsidR="00EF4EF5" w:rsidRDefault="00356DDD" w:rsidP="00D70F51">
      <w:pPr>
        <w:pStyle w:val="Heading2"/>
        <w:numPr>
          <w:ilvl w:val="0"/>
          <w:numId w:val="0"/>
        </w:numPr>
        <w:ind w:left="454" w:hanging="454"/>
      </w:pPr>
      <w:bookmarkStart w:id="10" w:name="_Toc108613999"/>
      <w:r>
        <w:lastRenderedPageBreak/>
        <w:t>Table A.</w:t>
      </w:r>
      <w:fldSimple w:instr=" SEQ Table_A. \* ARABIC ">
        <w:r>
          <w:rPr>
            <w:noProof/>
          </w:rPr>
          <w:t>5</w:t>
        </w:r>
      </w:fldSimple>
      <w:r>
        <w:t xml:space="preserve"> </w:t>
      </w:r>
      <w:r w:rsidR="00EF4EF5">
        <w:t>Model performance of the annual LUR (</w:t>
      </w:r>
      <w:r w:rsidR="00A27FE7">
        <w:t>CTM-incorporated</w:t>
      </w:r>
      <w:r w:rsidR="00EF4EF5">
        <w:t>) model and the differences with long-term ST-LUR</w:t>
      </w:r>
      <w:r>
        <w:t xml:space="preserve"> </w:t>
      </w:r>
      <w:r w:rsidR="00EF4EF5">
        <w:t>models. The differences for each indicator are recorded in the “diff.” columns.</w:t>
      </w:r>
      <w:bookmarkEnd w:id="10"/>
      <w:r w:rsidR="00EF4EF5">
        <w:t xml:space="preserve">   </w:t>
      </w:r>
    </w:p>
    <w:tbl>
      <w:tblPr>
        <w:tblW w:w="5000" w:type="pct"/>
        <w:tblLook w:val="04A0" w:firstRow="1" w:lastRow="0" w:firstColumn="1" w:lastColumn="0" w:noHBand="0" w:noVBand="1"/>
      </w:tblPr>
      <w:tblGrid>
        <w:gridCol w:w="1269"/>
        <w:gridCol w:w="796"/>
        <w:gridCol w:w="529"/>
        <w:gridCol w:w="871"/>
        <w:gridCol w:w="814"/>
        <w:gridCol w:w="894"/>
        <w:gridCol w:w="814"/>
        <w:gridCol w:w="931"/>
        <w:gridCol w:w="814"/>
        <w:gridCol w:w="728"/>
        <w:gridCol w:w="814"/>
        <w:gridCol w:w="868"/>
        <w:gridCol w:w="734"/>
        <w:gridCol w:w="1270"/>
        <w:gridCol w:w="814"/>
      </w:tblGrid>
      <w:tr w:rsidR="009C5BF7" w:rsidRPr="00205CDD" w14:paraId="2BE71B8D" w14:textId="77777777" w:rsidTr="009C5BF7">
        <w:trPr>
          <w:trHeight w:val="300"/>
        </w:trPr>
        <w:tc>
          <w:tcPr>
            <w:tcW w:w="490" w:type="pct"/>
            <w:tcBorders>
              <w:top w:val="single" w:sz="4" w:space="0" w:color="auto"/>
              <w:left w:val="nil"/>
              <w:bottom w:val="single" w:sz="4" w:space="0" w:color="auto"/>
              <w:right w:val="nil"/>
            </w:tcBorders>
            <w:shd w:val="clear" w:color="auto" w:fill="auto"/>
            <w:noWrap/>
            <w:vAlign w:val="bottom"/>
            <w:hideMark/>
          </w:tcPr>
          <w:p w14:paraId="6A08E861" w14:textId="77777777" w:rsidR="009C5BF7" w:rsidRPr="00205CDD" w:rsidRDefault="009C5BF7" w:rsidP="006D6D58">
            <w:pPr>
              <w:spacing w:after="0" w:line="240" w:lineRule="auto"/>
              <w:jc w:val="lef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Pollutant</w:t>
            </w:r>
          </w:p>
        </w:tc>
        <w:tc>
          <w:tcPr>
            <w:tcW w:w="307" w:type="pct"/>
            <w:tcBorders>
              <w:top w:val="single" w:sz="4" w:space="0" w:color="auto"/>
              <w:left w:val="nil"/>
              <w:bottom w:val="single" w:sz="4" w:space="0" w:color="auto"/>
              <w:right w:val="nil"/>
            </w:tcBorders>
            <w:shd w:val="clear" w:color="auto" w:fill="auto"/>
            <w:noWrap/>
            <w:vAlign w:val="bottom"/>
            <w:hideMark/>
          </w:tcPr>
          <w:p w14:paraId="72C7B950"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Year</w:t>
            </w:r>
          </w:p>
        </w:tc>
        <w:tc>
          <w:tcPr>
            <w:tcW w:w="204" w:type="pct"/>
            <w:tcBorders>
              <w:top w:val="single" w:sz="4" w:space="0" w:color="auto"/>
              <w:left w:val="nil"/>
              <w:bottom w:val="single" w:sz="4" w:space="0" w:color="auto"/>
              <w:right w:val="nil"/>
            </w:tcBorders>
            <w:shd w:val="clear" w:color="auto" w:fill="auto"/>
            <w:noWrap/>
            <w:vAlign w:val="bottom"/>
            <w:hideMark/>
          </w:tcPr>
          <w:p w14:paraId="731D175D"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N</w:t>
            </w:r>
          </w:p>
        </w:tc>
        <w:tc>
          <w:tcPr>
            <w:tcW w:w="336" w:type="pct"/>
            <w:tcBorders>
              <w:top w:val="single" w:sz="4" w:space="0" w:color="auto"/>
              <w:left w:val="nil"/>
              <w:bottom w:val="single" w:sz="4" w:space="0" w:color="auto"/>
              <w:right w:val="nil"/>
            </w:tcBorders>
            <w:shd w:val="clear" w:color="auto" w:fill="auto"/>
            <w:noWrap/>
            <w:vAlign w:val="bottom"/>
            <w:hideMark/>
          </w:tcPr>
          <w:p w14:paraId="3E163ACE" w14:textId="77777777" w:rsidR="009C5BF7" w:rsidRPr="00205CDD" w:rsidRDefault="009C5BF7" w:rsidP="006D6D58">
            <w:pPr>
              <w:spacing w:after="0" w:line="240" w:lineRule="auto"/>
              <w:jc w:val="right"/>
              <w:rPr>
                <w:rFonts w:ascii="Calibri" w:eastAsia="Times New Roman" w:hAnsi="Calibri" w:cs="Calibri"/>
                <w:b/>
                <w:bCs/>
                <w:color w:val="000000"/>
                <w:sz w:val="22"/>
                <w:vertAlign w:val="superscript"/>
                <w:lang w:val="en-US"/>
              </w:rPr>
            </w:pPr>
            <w:r>
              <w:rPr>
                <w:rFonts w:ascii="Calibri" w:eastAsia="Times New Roman" w:hAnsi="Calibri" w:cs="Calibri"/>
                <w:b/>
                <w:bCs/>
                <w:color w:val="000000"/>
                <w:sz w:val="22"/>
                <w:lang w:val="en-US"/>
              </w:rPr>
              <w:t>CV-</w:t>
            </w:r>
            <w:r w:rsidRPr="00205CDD">
              <w:rPr>
                <w:rFonts w:ascii="Calibri" w:eastAsia="Times New Roman" w:hAnsi="Calibri" w:cs="Calibri"/>
                <w:b/>
                <w:bCs/>
                <w:color w:val="000000"/>
                <w:sz w:val="22"/>
                <w:lang w:val="en-US"/>
              </w:rPr>
              <w:t>R</w:t>
            </w:r>
            <w:r>
              <w:rPr>
                <w:rFonts w:ascii="Calibri" w:eastAsia="Times New Roman" w:hAnsi="Calibri" w:cs="Calibri"/>
                <w:b/>
                <w:bCs/>
                <w:color w:val="000000"/>
                <w:sz w:val="22"/>
                <w:vertAlign w:val="superscript"/>
                <w:lang w:val="en-US"/>
              </w:rPr>
              <w:t>2</w:t>
            </w:r>
          </w:p>
        </w:tc>
        <w:tc>
          <w:tcPr>
            <w:tcW w:w="314" w:type="pct"/>
            <w:tcBorders>
              <w:top w:val="single" w:sz="4" w:space="0" w:color="auto"/>
              <w:left w:val="nil"/>
              <w:bottom w:val="single" w:sz="4" w:space="0" w:color="auto"/>
              <w:right w:val="nil"/>
            </w:tcBorders>
            <w:shd w:val="clear" w:color="auto" w:fill="auto"/>
            <w:noWrap/>
            <w:vAlign w:val="bottom"/>
            <w:hideMark/>
          </w:tcPr>
          <w:p w14:paraId="75DAB997"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diff.</w:t>
            </w:r>
          </w:p>
        </w:tc>
        <w:tc>
          <w:tcPr>
            <w:tcW w:w="345" w:type="pct"/>
            <w:tcBorders>
              <w:top w:val="single" w:sz="4" w:space="0" w:color="auto"/>
              <w:left w:val="nil"/>
              <w:bottom w:val="single" w:sz="4" w:space="0" w:color="auto"/>
              <w:right w:val="nil"/>
            </w:tcBorders>
            <w:shd w:val="clear" w:color="auto" w:fill="auto"/>
            <w:noWrap/>
            <w:vAlign w:val="bottom"/>
            <w:hideMark/>
          </w:tcPr>
          <w:p w14:paraId="630EBE01"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RMSE</w:t>
            </w:r>
          </w:p>
        </w:tc>
        <w:tc>
          <w:tcPr>
            <w:tcW w:w="314" w:type="pct"/>
            <w:tcBorders>
              <w:top w:val="single" w:sz="4" w:space="0" w:color="auto"/>
              <w:left w:val="nil"/>
              <w:bottom w:val="single" w:sz="4" w:space="0" w:color="auto"/>
              <w:right w:val="nil"/>
            </w:tcBorders>
            <w:shd w:val="clear" w:color="auto" w:fill="auto"/>
            <w:noWrap/>
            <w:vAlign w:val="bottom"/>
            <w:hideMark/>
          </w:tcPr>
          <w:p w14:paraId="479C18C9"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diff.</w:t>
            </w:r>
          </w:p>
        </w:tc>
        <w:tc>
          <w:tcPr>
            <w:tcW w:w="359" w:type="pct"/>
            <w:tcBorders>
              <w:top w:val="single" w:sz="4" w:space="0" w:color="auto"/>
              <w:left w:val="nil"/>
              <w:bottom w:val="single" w:sz="4" w:space="0" w:color="auto"/>
              <w:right w:val="nil"/>
            </w:tcBorders>
            <w:shd w:val="clear" w:color="auto" w:fill="auto"/>
            <w:noWrap/>
            <w:vAlign w:val="bottom"/>
            <w:hideMark/>
          </w:tcPr>
          <w:p w14:paraId="4A6FAA7D"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RMSD</w:t>
            </w:r>
          </w:p>
        </w:tc>
        <w:tc>
          <w:tcPr>
            <w:tcW w:w="314" w:type="pct"/>
            <w:tcBorders>
              <w:top w:val="single" w:sz="4" w:space="0" w:color="auto"/>
              <w:left w:val="nil"/>
              <w:bottom w:val="single" w:sz="4" w:space="0" w:color="auto"/>
              <w:right w:val="nil"/>
            </w:tcBorders>
            <w:shd w:val="clear" w:color="auto" w:fill="auto"/>
            <w:noWrap/>
            <w:vAlign w:val="bottom"/>
            <w:hideMark/>
          </w:tcPr>
          <w:p w14:paraId="38EC6496"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diff.</w:t>
            </w:r>
          </w:p>
        </w:tc>
        <w:tc>
          <w:tcPr>
            <w:tcW w:w="281" w:type="pct"/>
            <w:tcBorders>
              <w:top w:val="single" w:sz="4" w:space="0" w:color="auto"/>
              <w:left w:val="nil"/>
              <w:bottom w:val="single" w:sz="4" w:space="0" w:color="auto"/>
              <w:right w:val="nil"/>
            </w:tcBorders>
            <w:shd w:val="clear" w:color="auto" w:fill="auto"/>
            <w:noWrap/>
            <w:vAlign w:val="bottom"/>
            <w:hideMark/>
          </w:tcPr>
          <w:p w14:paraId="5FDBACE6"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Bias</w:t>
            </w:r>
          </w:p>
        </w:tc>
        <w:tc>
          <w:tcPr>
            <w:tcW w:w="314" w:type="pct"/>
            <w:tcBorders>
              <w:top w:val="single" w:sz="4" w:space="0" w:color="auto"/>
              <w:left w:val="nil"/>
              <w:bottom w:val="single" w:sz="4" w:space="0" w:color="auto"/>
              <w:right w:val="nil"/>
            </w:tcBorders>
            <w:shd w:val="clear" w:color="auto" w:fill="auto"/>
            <w:noWrap/>
            <w:vAlign w:val="bottom"/>
            <w:hideMark/>
          </w:tcPr>
          <w:p w14:paraId="0984EEAA"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diff.</w:t>
            </w:r>
          </w:p>
        </w:tc>
        <w:tc>
          <w:tcPr>
            <w:tcW w:w="335" w:type="pct"/>
            <w:tcBorders>
              <w:top w:val="single" w:sz="4" w:space="0" w:color="auto"/>
              <w:left w:val="nil"/>
              <w:bottom w:val="single" w:sz="4" w:space="0" w:color="auto"/>
              <w:right w:val="nil"/>
            </w:tcBorders>
            <w:shd w:val="clear" w:color="auto" w:fill="auto"/>
            <w:noWrap/>
            <w:vAlign w:val="bottom"/>
            <w:hideMark/>
          </w:tcPr>
          <w:p w14:paraId="4BC4B3F1" w14:textId="04C0FB77" w:rsidR="009C5BF7" w:rsidRPr="00205CDD" w:rsidRDefault="009C5BF7" w:rsidP="006D6D58">
            <w:pPr>
              <w:spacing w:after="0" w:line="240" w:lineRule="auto"/>
              <w:jc w:val="right"/>
              <w:rPr>
                <w:rFonts w:ascii="Calibri" w:eastAsia="Times New Roman" w:hAnsi="Calibri" w:cs="Calibri"/>
                <w:b/>
                <w:bCs/>
                <w:color w:val="000000"/>
                <w:sz w:val="22"/>
                <w:lang w:val="en-US"/>
              </w:rPr>
            </w:pPr>
            <w:r>
              <w:rPr>
                <w:rFonts w:ascii="Calibri" w:eastAsia="Times New Roman" w:hAnsi="Calibri" w:cs="Calibri"/>
                <w:b/>
                <w:bCs/>
                <w:color w:val="000000"/>
                <w:sz w:val="22"/>
                <w:lang w:val="en-US"/>
              </w:rPr>
              <w:t>Slope</w:t>
            </w:r>
          </w:p>
        </w:tc>
        <w:tc>
          <w:tcPr>
            <w:tcW w:w="283" w:type="pct"/>
            <w:tcBorders>
              <w:top w:val="single" w:sz="4" w:space="0" w:color="auto"/>
              <w:left w:val="nil"/>
              <w:bottom w:val="single" w:sz="4" w:space="0" w:color="auto"/>
              <w:right w:val="nil"/>
            </w:tcBorders>
            <w:shd w:val="clear" w:color="auto" w:fill="auto"/>
            <w:noWrap/>
            <w:vAlign w:val="bottom"/>
            <w:hideMark/>
          </w:tcPr>
          <w:p w14:paraId="543809A1"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diff.</w:t>
            </w:r>
          </w:p>
        </w:tc>
        <w:tc>
          <w:tcPr>
            <w:tcW w:w="490" w:type="pct"/>
            <w:tcBorders>
              <w:top w:val="single" w:sz="4" w:space="0" w:color="auto"/>
              <w:left w:val="nil"/>
              <w:bottom w:val="single" w:sz="4" w:space="0" w:color="auto"/>
              <w:right w:val="nil"/>
            </w:tcBorders>
            <w:shd w:val="clear" w:color="auto" w:fill="auto"/>
            <w:noWrap/>
            <w:vAlign w:val="bottom"/>
            <w:hideMark/>
          </w:tcPr>
          <w:p w14:paraId="04D6409B"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Intercept</w:t>
            </w:r>
          </w:p>
        </w:tc>
        <w:tc>
          <w:tcPr>
            <w:tcW w:w="314" w:type="pct"/>
            <w:tcBorders>
              <w:top w:val="single" w:sz="4" w:space="0" w:color="auto"/>
              <w:left w:val="nil"/>
              <w:bottom w:val="single" w:sz="4" w:space="0" w:color="auto"/>
              <w:right w:val="nil"/>
            </w:tcBorders>
            <w:shd w:val="clear" w:color="auto" w:fill="auto"/>
            <w:noWrap/>
            <w:vAlign w:val="bottom"/>
            <w:hideMark/>
          </w:tcPr>
          <w:p w14:paraId="2A7928FE"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diff.</w:t>
            </w:r>
          </w:p>
        </w:tc>
      </w:tr>
      <w:tr w:rsidR="009C5BF7" w:rsidRPr="00205CDD" w14:paraId="7C7AF059" w14:textId="77777777" w:rsidTr="009C5BF7">
        <w:trPr>
          <w:trHeight w:val="300"/>
        </w:trPr>
        <w:tc>
          <w:tcPr>
            <w:tcW w:w="490" w:type="pct"/>
            <w:tcBorders>
              <w:top w:val="nil"/>
              <w:left w:val="nil"/>
              <w:bottom w:val="nil"/>
              <w:right w:val="nil"/>
            </w:tcBorders>
            <w:shd w:val="clear" w:color="auto" w:fill="auto"/>
            <w:noWrap/>
            <w:vAlign w:val="bottom"/>
            <w:hideMark/>
          </w:tcPr>
          <w:p w14:paraId="5C18B72E" w14:textId="77777777" w:rsidR="009C5BF7" w:rsidRPr="00205CDD" w:rsidRDefault="009C5BF7" w:rsidP="006D6D58">
            <w:pPr>
              <w:spacing w:after="0" w:line="240" w:lineRule="auto"/>
              <w:jc w:val="lef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NO</w:t>
            </w:r>
            <w:r w:rsidRPr="00205CDD">
              <w:rPr>
                <w:rFonts w:ascii="Calibri" w:eastAsia="Times New Roman" w:hAnsi="Calibri" w:cs="Calibri"/>
                <w:color w:val="000000"/>
                <w:sz w:val="22"/>
                <w:vertAlign w:val="subscript"/>
                <w:lang w:val="en-US"/>
              </w:rPr>
              <w:t>2</w:t>
            </w:r>
          </w:p>
        </w:tc>
        <w:tc>
          <w:tcPr>
            <w:tcW w:w="307" w:type="pct"/>
            <w:tcBorders>
              <w:top w:val="nil"/>
              <w:left w:val="nil"/>
              <w:bottom w:val="nil"/>
              <w:right w:val="nil"/>
            </w:tcBorders>
            <w:shd w:val="clear" w:color="auto" w:fill="auto"/>
            <w:noWrap/>
            <w:vAlign w:val="bottom"/>
            <w:hideMark/>
          </w:tcPr>
          <w:p w14:paraId="3B383A13"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2011</w:t>
            </w:r>
          </w:p>
        </w:tc>
        <w:tc>
          <w:tcPr>
            <w:tcW w:w="204" w:type="pct"/>
            <w:tcBorders>
              <w:top w:val="nil"/>
              <w:left w:val="nil"/>
              <w:bottom w:val="nil"/>
              <w:right w:val="nil"/>
            </w:tcBorders>
            <w:shd w:val="clear" w:color="auto" w:fill="auto"/>
            <w:noWrap/>
            <w:vAlign w:val="bottom"/>
            <w:hideMark/>
          </w:tcPr>
          <w:p w14:paraId="7718C6FC"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79</w:t>
            </w:r>
          </w:p>
        </w:tc>
        <w:tc>
          <w:tcPr>
            <w:tcW w:w="336" w:type="pct"/>
            <w:tcBorders>
              <w:top w:val="nil"/>
              <w:left w:val="nil"/>
              <w:bottom w:val="nil"/>
              <w:right w:val="nil"/>
            </w:tcBorders>
            <w:shd w:val="clear" w:color="auto" w:fill="auto"/>
            <w:noWrap/>
            <w:vAlign w:val="bottom"/>
            <w:hideMark/>
          </w:tcPr>
          <w:p w14:paraId="0C96BAD2"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0.75</w:t>
            </w:r>
          </w:p>
        </w:tc>
        <w:tc>
          <w:tcPr>
            <w:tcW w:w="314" w:type="pct"/>
            <w:tcBorders>
              <w:top w:val="nil"/>
              <w:left w:val="nil"/>
              <w:bottom w:val="nil"/>
              <w:right w:val="nil"/>
            </w:tcBorders>
            <w:shd w:val="clear" w:color="auto" w:fill="auto"/>
            <w:noWrap/>
            <w:vAlign w:val="bottom"/>
            <w:hideMark/>
          </w:tcPr>
          <w:p w14:paraId="0D89B4C7"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0.05</w:t>
            </w:r>
          </w:p>
        </w:tc>
        <w:tc>
          <w:tcPr>
            <w:tcW w:w="345" w:type="pct"/>
            <w:tcBorders>
              <w:top w:val="nil"/>
              <w:left w:val="nil"/>
              <w:bottom w:val="nil"/>
              <w:right w:val="nil"/>
            </w:tcBorders>
            <w:shd w:val="clear" w:color="auto" w:fill="auto"/>
            <w:noWrap/>
            <w:vAlign w:val="bottom"/>
            <w:hideMark/>
          </w:tcPr>
          <w:p w14:paraId="76E8E964"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7.33</w:t>
            </w:r>
          </w:p>
        </w:tc>
        <w:tc>
          <w:tcPr>
            <w:tcW w:w="314" w:type="pct"/>
            <w:tcBorders>
              <w:top w:val="nil"/>
              <w:left w:val="nil"/>
              <w:bottom w:val="nil"/>
              <w:right w:val="nil"/>
            </w:tcBorders>
            <w:shd w:val="clear" w:color="auto" w:fill="auto"/>
            <w:noWrap/>
            <w:vAlign w:val="bottom"/>
            <w:hideMark/>
          </w:tcPr>
          <w:p w14:paraId="604E9CE2"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-0.94</w:t>
            </w:r>
          </w:p>
        </w:tc>
        <w:tc>
          <w:tcPr>
            <w:tcW w:w="359" w:type="pct"/>
            <w:tcBorders>
              <w:top w:val="nil"/>
              <w:left w:val="nil"/>
              <w:bottom w:val="nil"/>
              <w:right w:val="nil"/>
            </w:tcBorders>
            <w:shd w:val="clear" w:color="auto" w:fill="auto"/>
            <w:noWrap/>
            <w:vAlign w:val="bottom"/>
            <w:hideMark/>
          </w:tcPr>
          <w:p w14:paraId="42E5782C"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0.50</w:t>
            </w:r>
          </w:p>
        </w:tc>
        <w:tc>
          <w:tcPr>
            <w:tcW w:w="314" w:type="pct"/>
            <w:tcBorders>
              <w:top w:val="nil"/>
              <w:left w:val="nil"/>
              <w:bottom w:val="nil"/>
              <w:right w:val="nil"/>
            </w:tcBorders>
            <w:shd w:val="clear" w:color="auto" w:fill="auto"/>
            <w:noWrap/>
            <w:vAlign w:val="bottom"/>
            <w:hideMark/>
          </w:tcPr>
          <w:p w14:paraId="7840034D"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0.08</w:t>
            </w:r>
          </w:p>
        </w:tc>
        <w:tc>
          <w:tcPr>
            <w:tcW w:w="281" w:type="pct"/>
            <w:tcBorders>
              <w:top w:val="nil"/>
              <w:left w:val="nil"/>
              <w:bottom w:val="nil"/>
              <w:right w:val="nil"/>
            </w:tcBorders>
            <w:shd w:val="clear" w:color="auto" w:fill="auto"/>
            <w:noWrap/>
            <w:vAlign w:val="bottom"/>
            <w:hideMark/>
          </w:tcPr>
          <w:p w14:paraId="4ACBA093"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5.48</w:t>
            </w:r>
          </w:p>
        </w:tc>
        <w:tc>
          <w:tcPr>
            <w:tcW w:w="314" w:type="pct"/>
            <w:tcBorders>
              <w:top w:val="nil"/>
              <w:left w:val="nil"/>
              <w:bottom w:val="nil"/>
              <w:right w:val="nil"/>
            </w:tcBorders>
            <w:shd w:val="clear" w:color="auto" w:fill="auto"/>
            <w:noWrap/>
            <w:vAlign w:val="bottom"/>
            <w:hideMark/>
          </w:tcPr>
          <w:p w14:paraId="00DC0E22"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-0.33</w:t>
            </w:r>
          </w:p>
        </w:tc>
        <w:tc>
          <w:tcPr>
            <w:tcW w:w="335" w:type="pct"/>
            <w:tcBorders>
              <w:top w:val="nil"/>
              <w:left w:val="nil"/>
              <w:bottom w:val="nil"/>
              <w:right w:val="nil"/>
            </w:tcBorders>
            <w:shd w:val="clear" w:color="auto" w:fill="auto"/>
            <w:noWrap/>
            <w:vAlign w:val="bottom"/>
            <w:hideMark/>
          </w:tcPr>
          <w:p w14:paraId="1516E2F4"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0.90</w:t>
            </w:r>
          </w:p>
        </w:tc>
        <w:tc>
          <w:tcPr>
            <w:tcW w:w="283" w:type="pct"/>
            <w:tcBorders>
              <w:top w:val="nil"/>
              <w:left w:val="nil"/>
              <w:bottom w:val="nil"/>
              <w:right w:val="nil"/>
            </w:tcBorders>
            <w:shd w:val="clear" w:color="auto" w:fill="auto"/>
            <w:noWrap/>
            <w:vAlign w:val="bottom"/>
            <w:hideMark/>
          </w:tcPr>
          <w:p w14:paraId="2A0D71C0"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0.07</w:t>
            </w:r>
          </w:p>
        </w:tc>
        <w:tc>
          <w:tcPr>
            <w:tcW w:w="490" w:type="pct"/>
            <w:tcBorders>
              <w:top w:val="nil"/>
              <w:left w:val="nil"/>
              <w:bottom w:val="nil"/>
              <w:right w:val="nil"/>
            </w:tcBorders>
            <w:shd w:val="clear" w:color="auto" w:fill="auto"/>
            <w:noWrap/>
            <w:vAlign w:val="bottom"/>
            <w:hideMark/>
          </w:tcPr>
          <w:p w14:paraId="60D1A030"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2.05</w:t>
            </w:r>
          </w:p>
        </w:tc>
        <w:tc>
          <w:tcPr>
            <w:tcW w:w="314" w:type="pct"/>
            <w:tcBorders>
              <w:top w:val="nil"/>
              <w:left w:val="nil"/>
              <w:bottom w:val="nil"/>
              <w:right w:val="nil"/>
            </w:tcBorders>
            <w:shd w:val="clear" w:color="auto" w:fill="auto"/>
            <w:noWrap/>
            <w:vAlign w:val="bottom"/>
            <w:hideMark/>
          </w:tcPr>
          <w:p w14:paraId="64FB33EE"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-3.19</w:t>
            </w:r>
          </w:p>
        </w:tc>
      </w:tr>
      <w:tr w:rsidR="009C5BF7" w:rsidRPr="00205CDD" w14:paraId="07100309" w14:textId="77777777" w:rsidTr="009C5BF7">
        <w:trPr>
          <w:trHeight w:val="300"/>
        </w:trPr>
        <w:tc>
          <w:tcPr>
            <w:tcW w:w="490" w:type="pct"/>
            <w:tcBorders>
              <w:top w:val="nil"/>
              <w:left w:val="nil"/>
              <w:bottom w:val="nil"/>
              <w:right w:val="nil"/>
            </w:tcBorders>
            <w:shd w:val="clear" w:color="auto" w:fill="auto"/>
            <w:noWrap/>
            <w:vAlign w:val="bottom"/>
            <w:hideMark/>
          </w:tcPr>
          <w:p w14:paraId="13638809"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p>
        </w:tc>
        <w:tc>
          <w:tcPr>
            <w:tcW w:w="307" w:type="pct"/>
            <w:tcBorders>
              <w:top w:val="nil"/>
              <w:left w:val="nil"/>
              <w:bottom w:val="nil"/>
              <w:right w:val="nil"/>
            </w:tcBorders>
            <w:shd w:val="clear" w:color="auto" w:fill="auto"/>
            <w:noWrap/>
            <w:vAlign w:val="bottom"/>
            <w:hideMark/>
          </w:tcPr>
          <w:p w14:paraId="6C6684ED"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2012</w:t>
            </w:r>
          </w:p>
        </w:tc>
        <w:tc>
          <w:tcPr>
            <w:tcW w:w="204" w:type="pct"/>
            <w:tcBorders>
              <w:top w:val="nil"/>
              <w:left w:val="nil"/>
              <w:bottom w:val="nil"/>
              <w:right w:val="nil"/>
            </w:tcBorders>
            <w:shd w:val="clear" w:color="auto" w:fill="auto"/>
            <w:noWrap/>
            <w:vAlign w:val="bottom"/>
            <w:hideMark/>
          </w:tcPr>
          <w:p w14:paraId="34067920"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73</w:t>
            </w:r>
          </w:p>
        </w:tc>
        <w:tc>
          <w:tcPr>
            <w:tcW w:w="336" w:type="pct"/>
            <w:tcBorders>
              <w:top w:val="nil"/>
              <w:left w:val="nil"/>
              <w:bottom w:val="nil"/>
              <w:right w:val="nil"/>
            </w:tcBorders>
            <w:shd w:val="clear" w:color="auto" w:fill="auto"/>
            <w:noWrap/>
            <w:vAlign w:val="bottom"/>
            <w:hideMark/>
          </w:tcPr>
          <w:p w14:paraId="7761925E"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0.75</w:t>
            </w:r>
          </w:p>
        </w:tc>
        <w:tc>
          <w:tcPr>
            <w:tcW w:w="314" w:type="pct"/>
            <w:tcBorders>
              <w:top w:val="nil"/>
              <w:left w:val="nil"/>
              <w:bottom w:val="nil"/>
              <w:right w:val="nil"/>
            </w:tcBorders>
            <w:shd w:val="clear" w:color="auto" w:fill="auto"/>
            <w:noWrap/>
            <w:vAlign w:val="bottom"/>
            <w:hideMark/>
          </w:tcPr>
          <w:p w14:paraId="753926DE"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0.09</w:t>
            </w:r>
          </w:p>
        </w:tc>
        <w:tc>
          <w:tcPr>
            <w:tcW w:w="345" w:type="pct"/>
            <w:tcBorders>
              <w:top w:val="nil"/>
              <w:left w:val="nil"/>
              <w:bottom w:val="nil"/>
              <w:right w:val="nil"/>
            </w:tcBorders>
            <w:shd w:val="clear" w:color="auto" w:fill="auto"/>
            <w:noWrap/>
            <w:vAlign w:val="bottom"/>
            <w:hideMark/>
          </w:tcPr>
          <w:p w14:paraId="2C950344"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7.40</w:t>
            </w:r>
          </w:p>
        </w:tc>
        <w:tc>
          <w:tcPr>
            <w:tcW w:w="314" w:type="pct"/>
            <w:tcBorders>
              <w:top w:val="nil"/>
              <w:left w:val="nil"/>
              <w:bottom w:val="nil"/>
              <w:right w:val="nil"/>
            </w:tcBorders>
            <w:shd w:val="clear" w:color="auto" w:fill="auto"/>
            <w:noWrap/>
            <w:vAlign w:val="bottom"/>
            <w:hideMark/>
          </w:tcPr>
          <w:p w14:paraId="6BAB21D7"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-1.52</w:t>
            </w:r>
          </w:p>
        </w:tc>
        <w:tc>
          <w:tcPr>
            <w:tcW w:w="359" w:type="pct"/>
            <w:tcBorders>
              <w:top w:val="nil"/>
              <w:left w:val="nil"/>
              <w:bottom w:val="nil"/>
              <w:right w:val="nil"/>
            </w:tcBorders>
            <w:shd w:val="clear" w:color="auto" w:fill="auto"/>
            <w:noWrap/>
            <w:vAlign w:val="bottom"/>
            <w:hideMark/>
          </w:tcPr>
          <w:p w14:paraId="1F3E22A7"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0.46</w:t>
            </w:r>
          </w:p>
        </w:tc>
        <w:tc>
          <w:tcPr>
            <w:tcW w:w="314" w:type="pct"/>
            <w:tcBorders>
              <w:top w:val="nil"/>
              <w:left w:val="nil"/>
              <w:bottom w:val="nil"/>
              <w:right w:val="nil"/>
            </w:tcBorders>
            <w:shd w:val="clear" w:color="auto" w:fill="auto"/>
            <w:noWrap/>
            <w:vAlign w:val="bottom"/>
            <w:hideMark/>
          </w:tcPr>
          <w:p w14:paraId="2DC429B9"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-0.04</w:t>
            </w:r>
          </w:p>
        </w:tc>
        <w:tc>
          <w:tcPr>
            <w:tcW w:w="281" w:type="pct"/>
            <w:tcBorders>
              <w:top w:val="nil"/>
              <w:left w:val="nil"/>
              <w:bottom w:val="nil"/>
              <w:right w:val="nil"/>
            </w:tcBorders>
            <w:shd w:val="clear" w:color="auto" w:fill="auto"/>
            <w:noWrap/>
            <w:vAlign w:val="bottom"/>
            <w:hideMark/>
          </w:tcPr>
          <w:p w14:paraId="59817BDE"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5.47</w:t>
            </w:r>
          </w:p>
        </w:tc>
        <w:tc>
          <w:tcPr>
            <w:tcW w:w="314" w:type="pct"/>
            <w:tcBorders>
              <w:top w:val="nil"/>
              <w:left w:val="nil"/>
              <w:bottom w:val="nil"/>
              <w:right w:val="nil"/>
            </w:tcBorders>
            <w:shd w:val="clear" w:color="auto" w:fill="auto"/>
            <w:noWrap/>
            <w:vAlign w:val="bottom"/>
            <w:hideMark/>
          </w:tcPr>
          <w:p w14:paraId="5779CF6F"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-0.79</w:t>
            </w:r>
          </w:p>
        </w:tc>
        <w:tc>
          <w:tcPr>
            <w:tcW w:w="335" w:type="pct"/>
            <w:tcBorders>
              <w:top w:val="nil"/>
              <w:left w:val="nil"/>
              <w:bottom w:val="nil"/>
              <w:right w:val="nil"/>
            </w:tcBorders>
            <w:shd w:val="clear" w:color="auto" w:fill="auto"/>
            <w:noWrap/>
            <w:vAlign w:val="bottom"/>
            <w:hideMark/>
          </w:tcPr>
          <w:p w14:paraId="7717C2B7"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0.95</w:t>
            </w:r>
          </w:p>
        </w:tc>
        <w:tc>
          <w:tcPr>
            <w:tcW w:w="283" w:type="pct"/>
            <w:tcBorders>
              <w:top w:val="nil"/>
              <w:left w:val="nil"/>
              <w:bottom w:val="nil"/>
              <w:right w:val="nil"/>
            </w:tcBorders>
            <w:shd w:val="clear" w:color="auto" w:fill="auto"/>
            <w:noWrap/>
            <w:vAlign w:val="bottom"/>
            <w:hideMark/>
          </w:tcPr>
          <w:p w14:paraId="6595EE2C"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0.13</w:t>
            </w:r>
          </w:p>
        </w:tc>
        <w:tc>
          <w:tcPr>
            <w:tcW w:w="490" w:type="pct"/>
            <w:tcBorders>
              <w:top w:val="nil"/>
              <w:left w:val="nil"/>
              <w:bottom w:val="nil"/>
              <w:right w:val="nil"/>
            </w:tcBorders>
            <w:shd w:val="clear" w:color="auto" w:fill="auto"/>
            <w:noWrap/>
            <w:vAlign w:val="bottom"/>
            <w:hideMark/>
          </w:tcPr>
          <w:p w14:paraId="43DF0C63"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0.74</w:t>
            </w:r>
          </w:p>
        </w:tc>
        <w:tc>
          <w:tcPr>
            <w:tcW w:w="314" w:type="pct"/>
            <w:tcBorders>
              <w:top w:val="nil"/>
              <w:left w:val="nil"/>
              <w:bottom w:val="nil"/>
              <w:right w:val="nil"/>
            </w:tcBorders>
            <w:shd w:val="clear" w:color="auto" w:fill="auto"/>
            <w:noWrap/>
            <w:vAlign w:val="bottom"/>
            <w:hideMark/>
          </w:tcPr>
          <w:p w14:paraId="5EEB1C36"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-4.80</w:t>
            </w:r>
          </w:p>
        </w:tc>
      </w:tr>
      <w:tr w:rsidR="009C5BF7" w:rsidRPr="00205CDD" w14:paraId="6083CB5E" w14:textId="77777777" w:rsidTr="009C5BF7">
        <w:trPr>
          <w:trHeight w:val="300"/>
        </w:trPr>
        <w:tc>
          <w:tcPr>
            <w:tcW w:w="490" w:type="pct"/>
            <w:tcBorders>
              <w:top w:val="nil"/>
              <w:left w:val="nil"/>
              <w:bottom w:val="nil"/>
              <w:right w:val="nil"/>
            </w:tcBorders>
            <w:shd w:val="clear" w:color="auto" w:fill="auto"/>
            <w:noWrap/>
            <w:vAlign w:val="bottom"/>
            <w:hideMark/>
          </w:tcPr>
          <w:p w14:paraId="0C5111B1"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p>
        </w:tc>
        <w:tc>
          <w:tcPr>
            <w:tcW w:w="307" w:type="pct"/>
            <w:tcBorders>
              <w:top w:val="nil"/>
              <w:left w:val="nil"/>
              <w:bottom w:val="nil"/>
              <w:right w:val="nil"/>
            </w:tcBorders>
            <w:shd w:val="clear" w:color="auto" w:fill="auto"/>
            <w:noWrap/>
            <w:vAlign w:val="bottom"/>
            <w:hideMark/>
          </w:tcPr>
          <w:p w14:paraId="1D20673B"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2013</w:t>
            </w:r>
          </w:p>
        </w:tc>
        <w:tc>
          <w:tcPr>
            <w:tcW w:w="204" w:type="pct"/>
            <w:tcBorders>
              <w:top w:val="nil"/>
              <w:left w:val="nil"/>
              <w:bottom w:val="nil"/>
              <w:right w:val="nil"/>
            </w:tcBorders>
            <w:shd w:val="clear" w:color="auto" w:fill="auto"/>
            <w:noWrap/>
            <w:vAlign w:val="bottom"/>
            <w:hideMark/>
          </w:tcPr>
          <w:p w14:paraId="7F24F12F"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74</w:t>
            </w:r>
          </w:p>
        </w:tc>
        <w:tc>
          <w:tcPr>
            <w:tcW w:w="336" w:type="pct"/>
            <w:tcBorders>
              <w:top w:val="nil"/>
              <w:left w:val="nil"/>
              <w:bottom w:val="nil"/>
              <w:right w:val="nil"/>
            </w:tcBorders>
            <w:shd w:val="clear" w:color="auto" w:fill="auto"/>
            <w:noWrap/>
            <w:vAlign w:val="bottom"/>
            <w:hideMark/>
          </w:tcPr>
          <w:p w14:paraId="4745A577"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0.78</w:t>
            </w:r>
          </w:p>
        </w:tc>
        <w:tc>
          <w:tcPr>
            <w:tcW w:w="314" w:type="pct"/>
            <w:tcBorders>
              <w:top w:val="nil"/>
              <w:left w:val="nil"/>
              <w:bottom w:val="nil"/>
              <w:right w:val="nil"/>
            </w:tcBorders>
            <w:shd w:val="clear" w:color="auto" w:fill="auto"/>
            <w:noWrap/>
            <w:vAlign w:val="bottom"/>
            <w:hideMark/>
          </w:tcPr>
          <w:p w14:paraId="55E996C7"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0.06</w:t>
            </w:r>
          </w:p>
        </w:tc>
        <w:tc>
          <w:tcPr>
            <w:tcW w:w="345" w:type="pct"/>
            <w:tcBorders>
              <w:top w:val="nil"/>
              <w:left w:val="nil"/>
              <w:bottom w:val="nil"/>
              <w:right w:val="nil"/>
            </w:tcBorders>
            <w:shd w:val="clear" w:color="auto" w:fill="auto"/>
            <w:noWrap/>
            <w:vAlign w:val="bottom"/>
            <w:hideMark/>
          </w:tcPr>
          <w:p w14:paraId="7D4A343E"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6.91</w:t>
            </w:r>
          </w:p>
        </w:tc>
        <w:tc>
          <w:tcPr>
            <w:tcW w:w="314" w:type="pct"/>
            <w:tcBorders>
              <w:top w:val="nil"/>
              <w:left w:val="nil"/>
              <w:bottom w:val="nil"/>
              <w:right w:val="nil"/>
            </w:tcBorders>
            <w:shd w:val="clear" w:color="auto" w:fill="auto"/>
            <w:noWrap/>
            <w:vAlign w:val="bottom"/>
            <w:hideMark/>
          </w:tcPr>
          <w:p w14:paraId="22C33A91"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-1.11</w:t>
            </w:r>
          </w:p>
        </w:tc>
        <w:tc>
          <w:tcPr>
            <w:tcW w:w="359" w:type="pct"/>
            <w:tcBorders>
              <w:top w:val="nil"/>
              <w:left w:val="nil"/>
              <w:bottom w:val="nil"/>
              <w:right w:val="nil"/>
            </w:tcBorders>
            <w:shd w:val="clear" w:color="auto" w:fill="auto"/>
            <w:noWrap/>
            <w:vAlign w:val="bottom"/>
            <w:hideMark/>
          </w:tcPr>
          <w:p w14:paraId="36AA92E2"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0.45</w:t>
            </w:r>
          </w:p>
        </w:tc>
        <w:tc>
          <w:tcPr>
            <w:tcW w:w="314" w:type="pct"/>
            <w:tcBorders>
              <w:top w:val="nil"/>
              <w:left w:val="nil"/>
              <w:bottom w:val="nil"/>
              <w:right w:val="nil"/>
            </w:tcBorders>
            <w:shd w:val="clear" w:color="auto" w:fill="auto"/>
            <w:noWrap/>
            <w:vAlign w:val="bottom"/>
            <w:hideMark/>
          </w:tcPr>
          <w:p w14:paraId="48D1C982"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-0.07</w:t>
            </w:r>
          </w:p>
        </w:tc>
        <w:tc>
          <w:tcPr>
            <w:tcW w:w="281" w:type="pct"/>
            <w:tcBorders>
              <w:top w:val="nil"/>
              <w:left w:val="nil"/>
              <w:bottom w:val="nil"/>
              <w:right w:val="nil"/>
            </w:tcBorders>
            <w:shd w:val="clear" w:color="auto" w:fill="auto"/>
            <w:noWrap/>
            <w:vAlign w:val="bottom"/>
            <w:hideMark/>
          </w:tcPr>
          <w:p w14:paraId="332C5F29"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4.90</w:t>
            </w:r>
          </w:p>
        </w:tc>
        <w:tc>
          <w:tcPr>
            <w:tcW w:w="314" w:type="pct"/>
            <w:tcBorders>
              <w:top w:val="nil"/>
              <w:left w:val="nil"/>
              <w:bottom w:val="nil"/>
              <w:right w:val="nil"/>
            </w:tcBorders>
            <w:shd w:val="clear" w:color="auto" w:fill="auto"/>
            <w:noWrap/>
            <w:vAlign w:val="bottom"/>
            <w:hideMark/>
          </w:tcPr>
          <w:p w14:paraId="484B870E"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-0.47</w:t>
            </w:r>
          </w:p>
        </w:tc>
        <w:tc>
          <w:tcPr>
            <w:tcW w:w="335" w:type="pct"/>
            <w:tcBorders>
              <w:top w:val="nil"/>
              <w:left w:val="nil"/>
              <w:bottom w:val="nil"/>
              <w:right w:val="nil"/>
            </w:tcBorders>
            <w:shd w:val="clear" w:color="auto" w:fill="auto"/>
            <w:noWrap/>
            <w:vAlign w:val="bottom"/>
            <w:hideMark/>
          </w:tcPr>
          <w:p w14:paraId="1488F1CA"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0.96</w:t>
            </w:r>
          </w:p>
        </w:tc>
        <w:tc>
          <w:tcPr>
            <w:tcW w:w="283" w:type="pct"/>
            <w:tcBorders>
              <w:top w:val="nil"/>
              <w:left w:val="nil"/>
              <w:bottom w:val="nil"/>
              <w:right w:val="nil"/>
            </w:tcBorders>
            <w:shd w:val="clear" w:color="auto" w:fill="auto"/>
            <w:noWrap/>
            <w:vAlign w:val="bottom"/>
            <w:hideMark/>
          </w:tcPr>
          <w:p w14:paraId="64B093B8"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0.07</w:t>
            </w:r>
          </w:p>
        </w:tc>
        <w:tc>
          <w:tcPr>
            <w:tcW w:w="490" w:type="pct"/>
            <w:tcBorders>
              <w:top w:val="nil"/>
              <w:left w:val="nil"/>
              <w:bottom w:val="nil"/>
              <w:right w:val="nil"/>
            </w:tcBorders>
            <w:shd w:val="clear" w:color="auto" w:fill="auto"/>
            <w:noWrap/>
            <w:vAlign w:val="bottom"/>
            <w:hideMark/>
          </w:tcPr>
          <w:p w14:paraId="651FE2AB"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0.59</w:t>
            </w:r>
          </w:p>
        </w:tc>
        <w:tc>
          <w:tcPr>
            <w:tcW w:w="314" w:type="pct"/>
            <w:tcBorders>
              <w:top w:val="nil"/>
              <w:left w:val="nil"/>
              <w:bottom w:val="nil"/>
              <w:right w:val="nil"/>
            </w:tcBorders>
            <w:shd w:val="clear" w:color="auto" w:fill="auto"/>
            <w:noWrap/>
            <w:vAlign w:val="bottom"/>
            <w:hideMark/>
          </w:tcPr>
          <w:p w14:paraId="13479862"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-3.42</w:t>
            </w:r>
          </w:p>
        </w:tc>
      </w:tr>
      <w:tr w:rsidR="009C5BF7" w:rsidRPr="00205CDD" w14:paraId="0B0AC491" w14:textId="77777777" w:rsidTr="009C5BF7">
        <w:trPr>
          <w:trHeight w:val="300"/>
        </w:trPr>
        <w:tc>
          <w:tcPr>
            <w:tcW w:w="490" w:type="pct"/>
            <w:tcBorders>
              <w:top w:val="nil"/>
              <w:left w:val="nil"/>
              <w:bottom w:val="nil"/>
              <w:right w:val="nil"/>
            </w:tcBorders>
            <w:shd w:val="clear" w:color="auto" w:fill="auto"/>
            <w:noWrap/>
            <w:vAlign w:val="bottom"/>
            <w:hideMark/>
          </w:tcPr>
          <w:p w14:paraId="3B1DB761"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p>
        </w:tc>
        <w:tc>
          <w:tcPr>
            <w:tcW w:w="307" w:type="pct"/>
            <w:tcBorders>
              <w:top w:val="nil"/>
              <w:left w:val="nil"/>
              <w:bottom w:val="nil"/>
              <w:right w:val="nil"/>
            </w:tcBorders>
            <w:shd w:val="clear" w:color="auto" w:fill="auto"/>
            <w:noWrap/>
            <w:vAlign w:val="bottom"/>
            <w:hideMark/>
          </w:tcPr>
          <w:p w14:paraId="7E10E318"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2014</w:t>
            </w:r>
          </w:p>
        </w:tc>
        <w:tc>
          <w:tcPr>
            <w:tcW w:w="204" w:type="pct"/>
            <w:tcBorders>
              <w:top w:val="nil"/>
              <w:left w:val="nil"/>
              <w:bottom w:val="nil"/>
              <w:right w:val="nil"/>
            </w:tcBorders>
            <w:shd w:val="clear" w:color="auto" w:fill="auto"/>
            <w:noWrap/>
            <w:vAlign w:val="bottom"/>
            <w:hideMark/>
          </w:tcPr>
          <w:p w14:paraId="68E50E45"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74</w:t>
            </w:r>
          </w:p>
        </w:tc>
        <w:tc>
          <w:tcPr>
            <w:tcW w:w="336" w:type="pct"/>
            <w:tcBorders>
              <w:top w:val="nil"/>
              <w:left w:val="nil"/>
              <w:bottom w:val="nil"/>
              <w:right w:val="nil"/>
            </w:tcBorders>
            <w:shd w:val="clear" w:color="auto" w:fill="auto"/>
            <w:noWrap/>
            <w:vAlign w:val="bottom"/>
            <w:hideMark/>
          </w:tcPr>
          <w:p w14:paraId="36616554"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0.77</w:t>
            </w:r>
          </w:p>
        </w:tc>
        <w:tc>
          <w:tcPr>
            <w:tcW w:w="314" w:type="pct"/>
            <w:tcBorders>
              <w:top w:val="nil"/>
              <w:left w:val="nil"/>
              <w:bottom w:val="nil"/>
              <w:right w:val="nil"/>
            </w:tcBorders>
            <w:shd w:val="clear" w:color="auto" w:fill="auto"/>
            <w:noWrap/>
            <w:vAlign w:val="bottom"/>
            <w:hideMark/>
          </w:tcPr>
          <w:p w14:paraId="51790F72"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0.06</w:t>
            </w:r>
          </w:p>
        </w:tc>
        <w:tc>
          <w:tcPr>
            <w:tcW w:w="345" w:type="pct"/>
            <w:tcBorders>
              <w:top w:val="nil"/>
              <w:left w:val="nil"/>
              <w:bottom w:val="nil"/>
              <w:right w:val="nil"/>
            </w:tcBorders>
            <w:shd w:val="clear" w:color="auto" w:fill="auto"/>
            <w:noWrap/>
            <w:vAlign w:val="bottom"/>
            <w:hideMark/>
          </w:tcPr>
          <w:p w14:paraId="2C5270A4"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7.17</w:t>
            </w:r>
          </w:p>
        </w:tc>
        <w:tc>
          <w:tcPr>
            <w:tcW w:w="314" w:type="pct"/>
            <w:tcBorders>
              <w:top w:val="nil"/>
              <w:left w:val="nil"/>
              <w:bottom w:val="nil"/>
              <w:right w:val="nil"/>
            </w:tcBorders>
            <w:shd w:val="clear" w:color="auto" w:fill="auto"/>
            <w:noWrap/>
            <w:vAlign w:val="bottom"/>
            <w:hideMark/>
          </w:tcPr>
          <w:p w14:paraId="71B81074"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-0.88</w:t>
            </w:r>
          </w:p>
        </w:tc>
        <w:tc>
          <w:tcPr>
            <w:tcW w:w="359" w:type="pct"/>
            <w:tcBorders>
              <w:top w:val="nil"/>
              <w:left w:val="nil"/>
              <w:bottom w:val="nil"/>
              <w:right w:val="nil"/>
            </w:tcBorders>
            <w:shd w:val="clear" w:color="auto" w:fill="auto"/>
            <w:noWrap/>
            <w:vAlign w:val="bottom"/>
            <w:hideMark/>
          </w:tcPr>
          <w:p w14:paraId="3D5C19EB"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0.41</w:t>
            </w:r>
          </w:p>
        </w:tc>
        <w:tc>
          <w:tcPr>
            <w:tcW w:w="314" w:type="pct"/>
            <w:tcBorders>
              <w:top w:val="nil"/>
              <w:left w:val="nil"/>
              <w:bottom w:val="nil"/>
              <w:right w:val="nil"/>
            </w:tcBorders>
            <w:shd w:val="clear" w:color="auto" w:fill="auto"/>
            <w:noWrap/>
            <w:vAlign w:val="bottom"/>
            <w:hideMark/>
          </w:tcPr>
          <w:p w14:paraId="115B15E1"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-0.04</w:t>
            </w:r>
          </w:p>
        </w:tc>
        <w:tc>
          <w:tcPr>
            <w:tcW w:w="281" w:type="pct"/>
            <w:tcBorders>
              <w:top w:val="nil"/>
              <w:left w:val="nil"/>
              <w:bottom w:val="nil"/>
              <w:right w:val="nil"/>
            </w:tcBorders>
            <w:shd w:val="clear" w:color="auto" w:fill="auto"/>
            <w:noWrap/>
            <w:vAlign w:val="bottom"/>
            <w:hideMark/>
          </w:tcPr>
          <w:p w14:paraId="6E63137B"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4.99</w:t>
            </w:r>
          </w:p>
        </w:tc>
        <w:tc>
          <w:tcPr>
            <w:tcW w:w="314" w:type="pct"/>
            <w:tcBorders>
              <w:top w:val="nil"/>
              <w:left w:val="nil"/>
              <w:bottom w:val="nil"/>
              <w:right w:val="nil"/>
            </w:tcBorders>
            <w:shd w:val="clear" w:color="auto" w:fill="auto"/>
            <w:noWrap/>
            <w:vAlign w:val="bottom"/>
            <w:hideMark/>
          </w:tcPr>
          <w:p w14:paraId="69EF3F1B"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-0.60</w:t>
            </w:r>
          </w:p>
        </w:tc>
        <w:tc>
          <w:tcPr>
            <w:tcW w:w="335" w:type="pct"/>
            <w:tcBorders>
              <w:top w:val="nil"/>
              <w:left w:val="nil"/>
              <w:bottom w:val="nil"/>
              <w:right w:val="nil"/>
            </w:tcBorders>
            <w:shd w:val="clear" w:color="auto" w:fill="auto"/>
            <w:noWrap/>
            <w:vAlign w:val="bottom"/>
            <w:hideMark/>
          </w:tcPr>
          <w:p w14:paraId="1A54DE88"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0.93</w:t>
            </w:r>
          </w:p>
        </w:tc>
        <w:tc>
          <w:tcPr>
            <w:tcW w:w="283" w:type="pct"/>
            <w:tcBorders>
              <w:top w:val="nil"/>
              <w:left w:val="nil"/>
              <w:bottom w:val="nil"/>
              <w:right w:val="nil"/>
            </w:tcBorders>
            <w:shd w:val="clear" w:color="auto" w:fill="auto"/>
            <w:noWrap/>
            <w:vAlign w:val="bottom"/>
            <w:hideMark/>
          </w:tcPr>
          <w:p w14:paraId="44E9B437"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0.04</w:t>
            </w:r>
          </w:p>
        </w:tc>
        <w:tc>
          <w:tcPr>
            <w:tcW w:w="490" w:type="pct"/>
            <w:tcBorders>
              <w:top w:val="nil"/>
              <w:left w:val="nil"/>
              <w:bottom w:val="nil"/>
              <w:right w:val="nil"/>
            </w:tcBorders>
            <w:shd w:val="clear" w:color="auto" w:fill="auto"/>
            <w:noWrap/>
            <w:vAlign w:val="bottom"/>
            <w:hideMark/>
          </w:tcPr>
          <w:p w14:paraId="54B36D48"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1.11</w:t>
            </w:r>
          </w:p>
        </w:tc>
        <w:tc>
          <w:tcPr>
            <w:tcW w:w="314" w:type="pct"/>
            <w:tcBorders>
              <w:top w:val="nil"/>
              <w:left w:val="nil"/>
              <w:bottom w:val="nil"/>
              <w:right w:val="nil"/>
            </w:tcBorders>
            <w:shd w:val="clear" w:color="auto" w:fill="auto"/>
            <w:noWrap/>
            <w:vAlign w:val="bottom"/>
            <w:hideMark/>
          </w:tcPr>
          <w:p w14:paraId="0274520E"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-2.44</w:t>
            </w:r>
          </w:p>
        </w:tc>
      </w:tr>
      <w:tr w:rsidR="009C5BF7" w:rsidRPr="00205CDD" w14:paraId="31F4D8E7" w14:textId="77777777" w:rsidTr="009C5BF7">
        <w:trPr>
          <w:trHeight w:val="300"/>
        </w:trPr>
        <w:tc>
          <w:tcPr>
            <w:tcW w:w="490" w:type="pct"/>
            <w:tcBorders>
              <w:top w:val="nil"/>
              <w:left w:val="nil"/>
              <w:bottom w:val="nil"/>
              <w:right w:val="nil"/>
            </w:tcBorders>
            <w:shd w:val="clear" w:color="auto" w:fill="auto"/>
            <w:noWrap/>
            <w:vAlign w:val="bottom"/>
            <w:hideMark/>
          </w:tcPr>
          <w:p w14:paraId="372392DE"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p>
        </w:tc>
        <w:tc>
          <w:tcPr>
            <w:tcW w:w="307" w:type="pct"/>
            <w:tcBorders>
              <w:top w:val="nil"/>
              <w:left w:val="nil"/>
              <w:bottom w:val="nil"/>
              <w:right w:val="nil"/>
            </w:tcBorders>
            <w:shd w:val="clear" w:color="auto" w:fill="auto"/>
            <w:noWrap/>
            <w:vAlign w:val="bottom"/>
            <w:hideMark/>
          </w:tcPr>
          <w:p w14:paraId="6AC61E38"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2015</w:t>
            </w:r>
          </w:p>
        </w:tc>
        <w:tc>
          <w:tcPr>
            <w:tcW w:w="204" w:type="pct"/>
            <w:tcBorders>
              <w:top w:val="nil"/>
              <w:left w:val="nil"/>
              <w:bottom w:val="nil"/>
              <w:right w:val="nil"/>
            </w:tcBorders>
            <w:shd w:val="clear" w:color="auto" w:fill="auto"/>
            <w:noWrap/>
            <w:vAlign w:val="bottom"/>
            <w:hideMark/>
          </w:tcPr>
          <w:p w14:paraId="4D8246CD"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76</w:t>
            </w:r>
          </w:p>
        </w:tc>
        <w:tc>
          <w:tcPr>
            <w:tcW w:w="336" w:type="pct"/>
            <w:tcBorders>
              <w:top w:val="nil"/>
              <w:left w:val="nil"/>
              <w:bottom w:val="nil"/>
              <w:right w:val="nil"/>
            </w:tcBorders>
            <w:shd w:val="clear" w:color="auto" w:fill="auto"/>
            <w:noWrap/>
            <w:vAlign w:val="bottom"/>
            <w:hideMark/>
          </w:tcPr>
          <w:p w14:paraId="19E2F513"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0.75</w:t>
            </w:r>
          </w:p>
        </w:tc>
        <w:tc>
          <w:tcPr>
            <w:tcW w:w="314" w:type="pct"/>
            <w:tcBorders>
              <w:top w:val="nil"/>
              <w:left w:val="nil"/>
              <w:bottom w:val="nil"/>
              <w:right w:val="nil"/>
            </w:tcBorders>
            <w:shd w:val="clear" w:color="auto" w:fill="auto"/>
            <w:noWrap/>
            <w:vAlign w:val="bottom"/>
            <w:hideMark/>
          </w:tcPr>
          <w:p w14:paraId="32E0A222"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0.03</w:t>
            </w:r>
          </w:p>
        </w:tc>
        <w:tc>
          <w:tcPr>
            <w:tcW w:w="345" w:type="pct"/>
            <w:tcBorders>
              <w:top w:val="nil"/>
              <w:left w:val="nil"/>
              <w:bottom w:val="nil"/>
              <w:right w:val="nil"/>
            </w:tcBorders>
            <w:shd w:val="clear" w:color="auto" w:fill="auto"/>
            <w:noWrap/>
            <w:vAlign w:val="bottom"/>
            <w:hideMark/>
          </w:tcPr>
          <w:p w14:paraId="6EB8D016"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6.84</w:t>
            </w:r>
          </w:p>
        </w:tc>
        <w:tc>
          <w:tcPr>
            <w:tcW w:w="314" w:type="pct"/>
            <w:tcBorders>
              <w:top w:val="nil"/>
              <w:left w:val="nil"/>
              <w:bottom w:val="nil"/>
              <w:right w:val="nil"/>
            </w:tcBorders>
            <w:shd w:val="clear" w:color="auto" w:fill="auto"/>
            <w:noWrap/>
            <w:vAlign w:val="bottom"/>
            <w:hideMark/>
          </w:tcPr>
          <w:p w14:paraId="4313BEBF"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-0.55</w:t>
            </w:r>
          </w:p>
        </w:tc>
        <w:tc>
          <w:tcPr>
            <w:tcW w:w="359" w:type="pct"/>
            <w:tcBorders>
              <w:top w:val="nil"/>
              <w:left w:val="nil"/>
              <w:bottom w:val="nil"/>
              <w:right w:val="nil"/>
            </w:tcBorders>
            <w:shd w:val="clear" w:color="auto" w:fill="auto"/>
            <w:noWrap/>
            <w:vAlign w:val="bottom"/>
            <w:hideMark/>
          </w:tcPr>
          <w:p w14:paraId="67898ECF"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0.44</w:t>
            </w:r>
          </w:p>
        </w:tc>
        <w:tc>
          <w:tcPr>
            <w:tcW w:w="314" w:type="pct"/>
            <w:tcBorders>
              <w:top w:val="nil"/>
              <w:left w:val="nil"/>
              <w:bottom w:val="nil"/>
              <w:right w:val="nil"/>
            </w:tcBorders>
            <w:shd w:val="clear" w:color="auto" w:fill="auto"/>
            <w:noWrap/>
            <w:vAlign w:val="bottom"/>
            <w:hideMark/>
          </w:tcPr>
          <w:p w14:paraId="23388AD8"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-0.04</w:t>
            </w:r>
          </w:p>
        </w:tc>
        <w:tc>
          <w:tcPr>
            <w:tcW w:w="281" w:type="pct"/>
            <w:tcBorders>
              <w:top w:val="nil"/>
              <w:left w:val="nil"/>
              <w:bottom w:val="nil"/>
              <w:right w:val="nil"/>
            </w:tcBorders>
            <w:shd w:val="clear" w:color="auto" w:fill="auto"/>
            <w:noWrap/>
            <w:vAlign w:val="bottom"/>
            <w:hideMark/>
          </w:tcPr>
          <w:p w14:paraId="4B334CAC"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5.08</w:t>
            </w:r>
          </w:p>
        </w:tc>
        <w:tc>
          <w:tcPr>
            <w:tcW w:w="314" w:type="pct"/>
            <w:tcBorders>
              <w:top w:val="nil"/>
              <w:left w:val="nil"/>
              <w:bottom w:val="nil"/>
              <w:right w:val="nil"/>
            </w:tcBorders>
            <w:shd w:val="clear" w:color="auto" w:fill="auto"/>
            <w:noWrap/>
            <w:vAlign w:val="bottom"/>
            <w:hideMark/>
          </w:tcPr>
          <w:p w14:paraId="0A1131E9"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-0.08</w:t>
            </w:r>
          </w:p>
        </w:tc>
        <w:tc>
          <w:tcPr>
            <w:tcW w:w="335" w:type="pct"/>
            <w:tcBorders>
              <w:top w:val="nil"/>
              <w:left w:val="nil"/>
              <w:bottom w:val="nil"/>
              <w:right w:val="nil"/>
            </w:tcBorders>
            <w:shd w:val="clear" w:color="auto" w:fill="auto"/>
            <w:noWrap/>
            <w:vAlign w:val="bottom"/>
            <w:hideMark/>
          </w:tcPr>
          <w:p w14:paraId="50B47FCD"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0.94</w:t>
            </w:r>
          </w:p>
        </w:tc>
        <w:tc>
          <w:tcPr>
            <w:tcW w:w="283" w:type="pct"/>
            <w:tcBorders>
              <w:top w:val="nil"/>
              <w:left w:val="nil"/>
              <w:bottom w:val="nil"/>
              <w:right w:val="nil"/>
            </w:tcBorders>
            <w:shd w:val="clear" w:color="auto" w:fill="auto"/>
            <w:noWrap/>
            <w:vAlign w:val="bottom"/>
            <w:hideMark/>
          </w:tcPr>
          <w:p w14:paraId="3797B23E"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0.05</w:t>
            </w:r>
          </w:p>
        </w:tc>
        <w:tc>
          <w:tcPr>
            <w:tcW w:w="490" w:type="pct"/>
            <w:tcBorders>
              <w:top w:val="nil"/>
              <w:left w:val="nil"/>
              <w:bottom w:val="nil"/>
              <w:right w:val="nil"/>
            </w:tcBorders>
            <w:shd w:val="clear" w:color="auto" w:fill="auto"/>
            <w:noWrap/>
            <w:vAlign w:val="bottom"/>
            <w:hideMark/>
          </w:tcPr>
          <w:p w14:paraId="519DB509"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1.04</w:t>
            </w:r>
          </w:p>
        </w:tc>
        <w:tc>
          <w:tcPr>
            <w:tcW w:w="314" w:type="pct"/>
            <w:tcBorders>
              <w:top w:val="nil"/>
              <w:left w:val="nil"/>
              <w:bottom w:val="nil"/>
              <w:right w:val="nil"/>
            </w:tcBorders>
            <w:shd w:val="clear" w:color="auto" w:fill="auto"/>
            <w:noWrap/>
            <w:vAlign w:val="bottom"/>
            <w:hideMark/>
          </w:tcPr>
          <w:p w14:paraId="2A37032C"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-2.53</w:t>
            </w:r>
          </w:p>
        </w:tc>
      </w:tr>
      <w:tr w:rsidR="009C5BF7" w:rsidRPr="00205CDD" w14:paraId="69F25124" w14:textId="77777777" w:rsidTr="009C5BF7">
        <w:trPr>
          <w:trHeight w:val="300"/>
        </w:trPr>
        <w:tc>
          <w:tcPr>
            <w:tcW w:w="490" w:type="pct"/>
            <w:tcBorders>
              <w:top w:val="nil"/>
              <w:left w:val="nil"/>
              <w:bottom w:val="nil"/>
              <w:right w:val="nil"/>
            </w:tcBorders>
            <w:shd w:val="clear" w:color="auto" w:fill="auto"/>
            <w:noWrap/>
            <w:vAlign w:val="bottom"/>
            <w:hideMark/>
          </w:tcPr>
          <w:p w14:paraId="1931F6BA" w14:textId="77777777" w:rsidR="009C5BF7" w:rsidRPr="00205CDD" w:rsidRDefault="009C5BF7" w:rsidP="006D6D58">
            <w:pPr>
              <w:spacing w:after="0" w:line="240" w:lineRule="auto"/>
              <w:jc w:val="lef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PM</w:t>
            </w:r>
            <w:r w:rsidRPr="00205CDD">
              <w:rPr>
                <w:rFonts w:ascii="Calibri" w:eastAsia="Times New Roman" w:hAnsi="Calibri" w:cs="Calibri"/>
                <w:color w:val="000000"/>
                <w:sz w:val="22"/>
                <w:vertAlign w:val="subscript"/>
                <w:lang w:val="en-US"/>
              </w:rPr>
              <w:t>2.5</w:t>
            </w:r>
          </w:p>
        </w:tc>
        <w:tc>
          <w:tcPr>
            <w:tcW w:w="307" w:type="pct"/>
            <w:tcBorders>
              <w:top w:val="nil"/>
              <w:left w:val="nil"/>
              <w:bottom w:val="nil"/>
              <w:right w:val="nil"/>
            </w:tcBorders>
            <w:shd w:val="clear" w:color="auto" w:fill="auto"/>
            <w:noWrap/>
            <w:vAlign w:val="bottom"/>
            <w:hideMark/>
          </w:tcPr>
          <w:p w14:paraId="2CD30B1F"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2011</w:t>
            </w:r>
          </w:p>
        </w:tc>
        <w:tc>
          <w:tcPr>
            <w:tcW w:w="204" w:type="pct"/>
            <w:tcBorders>
              <w:top w:val="nil"/>
              <w:left w:val="nil"/>
              <w:bottom w:val="nil"/>
              <w:right w:val="nil"/>
            </w:tcBorders>
            <w:shd w:val="clear" w:color="auto" w:fill="auto"/>
            <w:noWrap/>
            <w:vAlign w:val="bottom"/>
            <w:hideMark/>
          </w:tcPr>
          <w:p w14:paraId="375E7E07"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49</w:t>
            </w:r>
          </w:p>
        </w:tc>
        <w:tc>
          <w:tcPr>
            <w:tcW w:w="336" w:type="pct"/>
            <w:tcBorders>
              <w:top w:val="nil"/>
              <w:left w:val="nil"/>
              <w:bottom w:val="nil"/>
              <w:right w:val="nil"/>
            </w:tcBorders>
            <w:shd w:val="clear" w:color="auto" w:fill="auto"/>
            <w:noWrap/>
            <w:vAlign w:val="bottom"/>
            <w:hideMark/>
          </w:tcPr>
          <w:p w14:paraId="3F159D3F"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0.21</w:t>
            </w:r>
          </w:p>
        </w:tc>
        <w:tc>
          <w:tcPr>
            <w:tcW w:w="314" w:type="pct"/>
            <w:tcBorders>
              <w:top w:val="nil"/>
              <w:left w:val="nil"/>
              <w:bottom w:val="nil"/>
              <w:right w:val="nil"/>
            </w:tcBorders>
            <w:shd w:val="clear" w:color="auto" w:fill="auto"/>
            <w:noWrap/>
            <w:vAlign w:val="bottom"/>
            <w:hideMark/>
          </w:tcPr>
          <w:p w14:paraId="3B3E5766"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-0.11</w:t>
            </w:r>
          </w:p>
        </w:tc>
        <w:tc>
          <w:tcPr>
            <w:tcW w:w="345" w:type="pct"/>
            <w:tcBorders>
              <w:top w:val="nil"/>
              <w:left w:val="nil"/>
              <w:bottom w:val="nil"/>
              <w:right w:val="nil"/>
            </w:tcBorders>
            <w:shd w:val="clear" w:color="auto" w:fill="auto"/>
            <w:noWrap/>
            <w:vAlign w:val="bottom"/>
            <w:hideMark/>
          </w:tcPr>
          <w:p w14:paraId="61ABB1E7"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2.88</w:t>
            </w:r>
          </w:p>
        </w:tc>
        <w:tc>
          <w:tcPr>
            <w:tcW w:w="314" w:type="pct"/>
            <w:tcBorders>
              <w:top w:val="nil"/>
              <w:left w:val="nil"/>
              <w:bottom w:val="nil"/>
              <w:right w:val="nil"/>
            </w:tcBorders>
            <w:shd w:val="clear" w:color="auto" w:fill="auto"/>
            <w:noWrap/>
            <w:vAlign w:val="bottom"/>
            <w:hideMark/>
          </w:tcPr>
          <w:p w14:paraId="12D4E08F"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-0.36</w:t>
            </w:r>
          </w:p>
        </w:tc>
        <w:tc>
          <w:tcPr>
            <w:tcW w:w="359" w:type="pct"/>
            <w:tcBorders>
              <w:top w:val="nil"/>
              <w:left w:val="nil"/>
              <w:bottom w:val="nil"/>
              <w:right w:val="nil"/>
            </w:tcBorders>
            <w:shd w:val="clear" w:color="auto" w:fill="auto"/>
            <w:noWrap/>
            <w:vAlign w:val="bottom"/>
            <w:hideMark/>
          </w:tcPr>
          <w:p w14:paraId="0BB7882C"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1.21</w:t>
            </w:r>
          </w:p>
        </w:tc>
        <w:tc>
          <w:tcPr>
            <w:tcW w:w="314" w:type="pct"/>
            <w:tcBorders>
              <w:top w:val="nil"/>
              <w:left w:val="nil"/>
              <w:bottom w:val="nil"/>
              <w:right w:val="nil"/>
            </w:tcBorders>
            <w:shd w:val="clear" w:color="auto" w:fill="auto"/>
            <w:noWrap/>
            <w:vAlign w:val="bottom"/>
            <w:hideMark/>
          </w:tcPr>
          <w:p w14:paraId="1AEFB8A2"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0.34</w:t>
            </w:r>
          </w:p>
        </w:tc>
        <w:tc>
          <w:tcPr>
            <w:tcW w:w="281" w:type="pct"/>
            <w:tcBorders>
              <w:top w:val="nil"/>
              <w:left w:val="nil"/>
              <w:bottom w:val="nil"/>
              <w:right w:val="nil"/>
            </w:tcBorders>
            <w:shd w:val="clear" w:color="auto" w:fill="auto"/>
            <w:noWrap/>
            <w:vAlign w:val="bottom"/>
            <w:hideMark/>
          </w:tcPr>
          <w:p w14:paraId="798ADE9D"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2.13</w:t>
            </w:r>
          </w:p>
        </w:tc>
        <w:tc>
          <w:tcPr>
            <w:tcW w:w="314" w:type="pct"/>
            <w:tcBorders>
              <w:top w:val="nil"/>
              <w:left w:val="nil"/>
              <w:bottom w:val="nil"/>
              <w:right w:val="nil"/>
            </w:tcBorders>
            <w:shd w:val="clear" w:color="auto" w:fill="auto"/>
            <w:noWrap/>
            <w:vAlign w:val="bottom"/>
            <w:hideMark/>
          </w:tcPr>
          <w:p w14:paraId="5F8B1CFA"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-0.14</w:t>
            </w:r>
          </w:p>
        </w:tc>
        <w:tc>
          <w:tcPr>
            <w:tcW w:w="335" w:type="pct"/>
            <w:tcBorders>
              <w:top w:val="nil"/>
              <w:left w:val="nil"/>
              <w:bottom w:val="nil"/>
              <w:right w:val="nil"/>
            </w:tcBorders>
            <w:shd w:val="clear" w:color="auto" w:fill="auto"/>
            <w:noWrap/>
            <w:vAlign w:val="bottom"/>
            <w:hideMark/>
          </w:tcPr>
          <w:p w14:paraId="76E38B0B"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0.71</w:t>
            </w:r>
          </w:p>
        </w:tc>
        <w:tc>
          <w:tcPr>
            <w:tcW w:w="283" w:type="pct"/>
            <w:tcBorders>
              <w:top w:val="nil"/>
              <w:left w:val="nil"/>
              <w:bottom w:val="nil"/>
              <w:right w:val="nil"/>
            </w:tcBorders>
            <w:shd w:val="clear" w:color="auto" w:fill="auto"/>
            <w:noWrap/>
            <w:vAlign w:val="bottom"/>
            <w:hideMark/>
          </w:tcPr>
          <w:p w14:paraId="125A183D"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0.23</w:t>
            </w:r>
          </w:p>
        </w:tc>
        <w:tc>
          <w:tcPr>
            <w:tcW w:w="490" w:type="pct"/>
            <w:tcBorders>
              <w:top w:val="nil"/>
              <w:left w:val="nil"/>
              <w:bottom w:val="nil"/>
              <w:right w:val="nil"/>
            </w:tcBorders>
            <w:shd w:val="clear" w:color="auto" w:fill="auto"/>
            <w:noWrap/>
            <w:vAlign w:val="bottom"/>
            <w:hideMark/>
          </w:tcPr>
          <w:p w14:paraId="25609DB9"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4.39</w:t>
            </w:r>
          </w:p>
        </w:tc>
        <w:tc>
          <w:tcPr>
            <w:tcW w:w="314" w:type="pct"/>
            <w:tcBorders>
              <w:top w:val="nil"/>
              <w:left w:val="nil"/>
              <w:bottom w:val="nil"/>
              <w:right w:val="nil"/>
            </w:tcBorders>
            <w:shd w:val="clear" w:color="auto" w:fill="auto"/>
            <w:noWrap/>
            <w:vAlign w:val="bottom"/>
            <w:hideMark/>
          </w:tcPr>
          <w:p w14:paraId="068F9994"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-3.54</w:t>
            </w:r>
          </w:p>
        </w:tc>
      </w:tr>
      <w:tr w:rsidR="009C5BF7" w:rsidRPr="00205CDD" w14:paraId="4AA13397" w14:textId="77777777" w:rsidTr="009C5BF7">
        <w:trPr>
          <w:trHeight w:val="300"/>
        </w:trPr>
        <w:tc>
          <w:tcPr>
            <w:tcW w:w="490" w:type="pct"/>
            <w:tcBorders>
              <w:top w:val="nil"/>
              <w:left w:val="nil"/>
              <w:bottom w:val="nil"/>
              <w:right w:val="nil"/>
            </w:tcBorders>
            <w:shd w:val="clear" w:color="auto" w:fill="auto"/>
            <w:noWrap/>
            <w:vAlign w:val="bottom"/>
            <w:hideMark/>
          </w:tcPr>
          <w:p w14:paraId="101FC565"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p>
        </w:tc>
        <w:tc>
          <w:tcPr>
            <w:tcW w:w="307" w:type="pct"/>
            <w:tcBorders>
              <w:top w:val="nil"/>
              <w:left w:val="nil"/>
              <w:bottom w:val="nil"/>
              <w:right w:val="nil"/>
            </w:tcBorders>
            <w:shd w:val="clear" w:color="auto" w:fill="auto"/>
            <w:noWrap/>
            <w:vAlign w:val="bottom"/>
            <w:hideMark/>
          </w:tcPr>
          <w:p w14:paraId="2DE47C13"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2012</w:t>
            </w:r>
          </w:p>
        </w:tc>
        <w:tc>
          <w:tcPr>
            <w:tcW w:w="204" w:type="pct"/>
            <w:tcBorders>
              <w:top w:val="nil"/>
              <w:left w:val="nil"/>
              <w:bottom w:val="nil"/>
              <w:right w:val="nil"/>
            </w:tcBorders>
            <w:shd w:val="clear" w:color="auto" w:fill="auto"/>
            <w:noWrap/>
            <w:vAlign w:val="bottom"/>
            <w:hideMark/>
          </w:tcPr>
          <w:p w14:paraId="3178AA36"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54</w:t>
            </w:r>
          </w:p>
        </w:tc>
        <w:tc>
          <w:tcPr>
            <w:tcW w:w="336" w:type="pct"/>
            <w:tcBorders>
              <w:top w:val="nil"/>
              <w:left w:val="nil"/>
              <w:bottom w:val="nil"/>
              <w:right w:val="nil"/>
            </w:tcBorders>
            <w:shd w:val="clear" w:color="auto" w:fill="auto"/>
            <w:noWrap/>
            <w:vAlign w:val="bottom"/>
            <w:hideMark/>
          </w:tcPr>
          <w:p w14:paraId="7D26B421"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0.30</w:t>
            </w:r>
          </w:p>
        </w:tc>
        <w:tc>
          <w:tcPr>
            <w:tcW w:w="314" w:type="pct"/>
            <w:tcBorders>
              <w:top w:val="nil"/>
              <w:left w:val="nil"/>
              <w:bottom w:val="nil"/>
              <w:right w:val="nil"/>
            </w:tcBorders>
            <w:shd w:val="clear" w:color="auto" w:fill="auto"/>
            <w:noWrap/>
            <w:vAlign w:val="bottom"/>
            <w:hideMark/>
          </w:tcPr>
          <w:p w14:paraId="50D94003"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-0.08</w:t>
            </w:r>
          </w:p>
        </w:tc>
        <w:tc>
          <w:tcPr>
            <w:tcW w:w="345" w:type="pct"/>
            <w:tcBorders>
              <w:top w:val="nil"/>
              <w:left w:val="nil"/>
              <w:bottom w:val="nil"/>
              <w:right w:val="nil"/>
            </w:tcBorders>
            <w:shd w:val="clear" w:color="auto" w:fill="auto"/>
            <w:noWrap/>
            <w:vAlign w:val="bottom"/>
            <w:hideMark/>
          </w:tcPr>
          <w:p w14:paraId="39798DD4"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2.40</w:t>
            </w:r>
          </w:p>
        </w:tc>
        <w:tc>
          <w:tcPr>
            <w:tcW w:w="314" w:type="pct"/>
            <w:tcBorders>
              <w:top w:val="nil"/>
              <w:left w:val="nil"/>
              <w:bottom w:val="nil"/>
              <w:right w:val="nil"/>
            </w:tcBorders>
            <w:shd w:val="clear" w:color="auto" w:fill="auto"/>
            <w:noWrap/>
            <w:vAlign w:val="bottom"/>
            <w:hideMark/>
          </w:tcPr>
          <w:p w14:paraId="0742D696"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-0.37</w:t>
            </w:r>
          </w:p>
        </w:tc>
        <w:tc>
          <w:tcPr>
            <w:tcW w:w="359" w:type="pct"/>
            <w:tcBorders>
              <w:top w:val="nil"/>
              <w:left w:val="nil"/>
              <w:bottom w:val="nil"/>
              <w:right w:val="nil"/>
            </w:tcBorders>
            <w:shd w:val="clear" w:color="auto" w:fill="auto"/>
            <w:noWrap/>
            <w:vAlign w:val="bottom"/>
            <w:hideMark/>
          </w:tcPr>
          <w:p w14:paraId="2A2EE06E"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1.09</w:t>
            </w:r>
          </w:p>
        </w:tc>
        <w:tc>
          <w:tcPr>
            <w:tcW w:w="314" w:type="pct"/>
            <w:tcBorders>
              <w:top w:val="nil"/>
              <w:left w:val="nil"/>
              <w:bottom w:val="nil"/>
              <w:right w:val="nil"/>
            </w:tcBorders>
            <w:shd w:val="clear" w:color="auto" w:fill="auto"/>
            <w:noWrap/>
            <w:vAlign w:val="bottom"/>
            <w:hideMark/>
          </w:tcPr>
          <w:p w14:paraId="6364AEAE"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0.22</w:t>
            </w:r>
          </w:p>
        </w:tc>
        <w:tc>
          <w:tcPr>
            <w:tcW w:w="281" w:type="pct"/>
            <w:tcBorders>
              <w:top w:val="nil"/>
              <w:left w:val="nil"/>
              <w:bottom w:val="nil"/>
              <w:right w:val="nil"/>
            </w:tcBorders>
            <w:shd w:val="clear" w:color="auto" w:fill="auto"/>
            <w:noWrap/>
            <w:vAlign w:val="bottom"/>
            <w:hideMark/>
          </w:tcPr>
          <w:p w14:paraId="288E376F"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1.74</w:t>
            </w:r>
          </w:p>
        </w:tc>
        <w:tc>
          <w:tcPr>
            <w:tcW w:w="314" w:type="pct"/>
            <w:tcBorders>
              <w:top w:val="nil"/>
              <w:left w:val="nil"/>
              <w:bottom w:val="nil"/>
              <w:right w:val="nil"/>
            </w:tcBorders>
            <w:shd w:val="clear" w:color="auto" w:fill="auto"/>
            <w:noWrap/>
            <w:vAlign w:val="bottom"/>
            <w:hideMark/>
          </w:tcPr>
          <w:p w14:paraId="72F15837"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-0.19</w:t>
            </w:r>
          </w:p>
        </w:tc>
        <w:tc>
          <w:tcPr>
            <w:tcW w:w="335" w:type="pct"/>
            <w:tcBorders>
              <w:top w:val="nil"/>
              <w:left w:val="nil"/>
              <w:bottom w:val="nil"/>
              <w:right w:val="nil"/>
            </w:tcBorders>
            <w:shd w:val="clear" w:color="auto" w:fill="auto"/>
            <w:noWrap/>
            <w:vAlign w:val="bottom"/>
            <w:hideMark/>
          </w:tcPr>
          <w:p w14:paraId="2FD22D58"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0.82</w:t>
            </w:r>
          </w:p>
        </w:tc>
        <w:tc>
          <w:tcPr>
            <w:tcW w:w="283" w:type="pct"/>
            <w:tcBorders>
              <w:top w:val="nil"/>
              <w:left w:val="nil"/>
              <w:bottom w:val="nil"/>
              <w:right w:val="nil"/>
            </w:tcBorders>
            <w:shd w:val="clear" w:color="auto" w:fill="auto"/>
            <w:noWrap/>
            <w:vAlign w:val="bottom"/>
            <w:hideMark/>
          </w:tcPr>
          <w:p w14:paraId="2D224A15"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0.31</w:t>
            </w:r>
          </w:p>
        </w:tc>
        <w:tc>
          <w:tcPr>
            <w:tcW w:w="490" w:type="pct"/>
            <w:tcBorders>
              <w:top w:val="nil"/>
              <w:left w:val="nil"/>
              <w:bottom w:val="nil"/>
              <w:right w:val="nil"/>
            </w:tcBorders>
            <w:shd w:val="clear" w:color="auto" w:fill="auto"/>
            <w:noWrap/>
            <w:vAlign w:val="bottom"/>
            <w:hideMark/>
          </w:tcPr>
          <w:p w14:paraId="1780DB8D"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2.27</w:t>
            </w:r>
          </w:p>
        </w:tc>
        <w:tc>
          <w:tcPr>
            <w:tcW w:w="314" w:type="pct"/>
            <w:tcBorders>
              <w:top w:val="nil"/>
              <w:left w:val="nil"/>
              <w:bottom w:val="nil"/>
              <w:right w:val="nil"/>
            </w:tcBorders>
            <w:shd w:val="clear" w:color="auto" w:fill="auto"/>
            <w:noWrap/>
            <w:vAlign w:val="bottom"/>
            <w:hideMark/>
          </w:tcPr>
          <w:p w14:paraId="4573747B"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-4.26</w:t>
            </w:r>
          </w:p>
        </w:tc>
      </w:tr>
      <w:tr w:rsidR="009C5BF7" w:rsidRPr="00205CDD" w14:paraId="2A34F34F" w14:textId="77777777" w:rsidTr="009C5BF7">
        <w:trPr>
          <w:trHeight w:val="300"/>
        </w:trPr>
        <w:tc>
          <w:tcPr>
            <w:tcW w:w="490" w:type="pct"/>
            <w:tcBorders>
              <w:top w:val="nil"/>
              <w:left w:val="nil"/>
              <w:bottom w:val="nil"/>
              <w:right w:val="nil"/>
            </w:tcBorders>
            <w:shd w:val="clear" w:color="auto" w:fill="auto"/>
            <w:noWrap/>
            <w:vAlign w:val="bottom"/>
            <w:hideMark/>
          </w:tcPr>
          <w:p w14:paraId="25450B70"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p>
        </w:tc>
        <w:tc>
          <w:tcPr>
            <w:tcW w:w="307" w:type="pct"/>
            <w:tcBorders>
              <w:top w:val="nil"/>
              <w:left w:val="nil"/>
              <w:bottom w:val="nil"/>
              <w:right w:val="nil"/>
            </w:tcBorders>
            <w:shd w:val="clear" w:color="auto" w:fill="auto"/>
            <w:noWrap/>
            <w:vAlign w:val="bottom"/>
            <w:hideMark/>
          </w:tcPr>
          <w:p w14:paraId="64D48A86"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2013</w:t>
            </w:r>
          </w:p>
        </w:tc>
        <w:tc>
          <w:tcPr>
            <w:tcW w:w="204" w:type="pct"/>
            <w:tcBorders>
              <w:top w:val="nil"/>
              <w:left w:val="nil"/>
              <w:bottom w:val="nil"/>
              <w:right w:val="nil"/>
            </w:tcBorders>
            <w:shd w:val="clear" w:color="auto" w:fill="auto"/>
            <w:noWrap/>
            <w:vAlign w:val="bottom"/>
            <w:hideMark/>
          </w:tcPr>
          <w:p w14:paraId="48D3116B"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55</w:t>
            </w:r>
          </w:p>
        </w:tc>
        <w:tc>
          <w:tcPr>
            <w:tcW w:w="336" w:type="pct"/>
            <w:tcBorders>
              <w:top w:val="nil"/>
              <w:left w:val="nil"/>
              <w:bottom w:val="nil"/>
              <w:right w:val="nil"/>
            </w:tcBorders>
            <w:shd w:val="clear" w:color="auto" w:fill="auto"/>
            <w:noWrap/>
            <w:vAlign w:val="bottom"/>
            <w:hideMark/>
          </w:tcPr>
          <w:p w14:paraId="64500E6F"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0.44</w:t>
            </w:r>
          </w:p>
        </w:tc>
        <w:tc>
          <w:tcPr>
            <w:tcW w:w="314" w:type="pct"/>
            <w:tcBorders>
              <w:top w:val="nil"/>
              <w:left w:val="nil"/>
              <w:bottom w:val="nil"/>
              <w:right w:val="nil"/>
            </w:tcBorders>
            <w:shd w:val="clear" w:color="auto" w:fill="auto"/>
            <w:noWrap/>
            <w:vAlign w:val="bottom"/>
            <w:hideMark/>
          </w:tcPr>
          <w:p w14:paraId="6E46ACFC"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-0.02</w:t>
            </w:r>
          </w:p>
        </w:tc>
        <w:tc>
          <w:tcPr>
            <w:tcW w:w="345" w:type="pct"/>
            <w:tcBorders>
              <w:top w:val="nil"/>
              <w:left w:val="nil"/>
              <w:bottom w:val="nil"/>
              <w:right w:val="nil"/>
            </w:tcBorders>
            <w:shd w:val="clear" w:color="auto" w:fill="auto"/>
            <w:noWrap/>
            <w:vAlign w:val="bottom"/>
            <w:hideMark/>
          </w:tcPr>
          <w:p w14:paraId="286738A2"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1.94</w:t>
            </w:r>
          </w:p>
        </w:tc>
        <w:tc>
          <w:tcPr>
            <w:tcW w:w="314" w:type="pct"/>
            <w:tcBorders>
              <w:top w:val="nil"/>
              <w:left w:val="nil"/>
              <w:bottom w:val="nil"/>
              <w:right w:val="nil"/>
            </w:tcBorders>
            <w:shd w:val="clear" w:color="auto" w:fill="auto"/>
            <w:noWrap/>
            <w:vAlign w:val="bottom"/>
            <w:hideMark/>
          </w:tcPr>
          <w:p w14:paraId="1AF466B6"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-0.55</w:t>
            </w:r>
          </w:p>
        </w:tc>
        <w:tc>
          <w:tcPr>
            <w:tcW w:w="359" w:type="pct"/>
            <w:tcBorders>
              <w:top w:val="nil"/>
              <w:left w:val="nil"/>
              <w:bottom w:val="nil"/>
              <w:right w:val="nil"/>
            </w:tcBorders>
            <w:shd w:val="clear" w:color="auto" w:fill="auto"/>
            <w:noWrap/>
            <w:vAlign w:val="bottom"/>
            <w:hideMark/>
          </w:tcPr>
          <w:p w14:paraId="2D150F03"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1.36</w:t>
            </w:r>
          </w:p>
        </w:tc>
        <w:tc>
          <w:tcPr>
            <w:tcW w:w="314" w:type="pct"/>
            <w:tcBorders>
              <w:top w:val="nil"/>
              <w:left w:val="nil"/>
              <w:bottom w:val="nil"/>
              <w:right w:val="nil"/>
            </w:tcBorders>
            <w:shd w:val="clear" w:color="auto" w:fill="auto"/>
            <w:noWrap/>
            <w:vAlign w:val="bottom"/>
            <w:hideMark/>
          </w:tcPr>
          <w:p w14:paraId="1BEDB717"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0.55</w:t>
            </w:r>
          </w:p>
        </w:tc>
        <w:tc>
          <w:tcPr>
            <w:tcW w:w="281" w:type="pct"/>
            <w:tcBorders>
              <w:top w:val="nil"/>
              <w:left w:val="nil"/>
              <w:bottom w:val="nil"/>
              <w:right w:val="nil"/>
            </w:tcBorders>
            <w:shd w:val="clear" w:color="auto" w:fill="auto"/>
            <w:noWrap/>
            <w:vAlign w:val="bottom"/>
            <w:hideMark/>
          </w:tcPr>
          <w:p w14:paraId="0995AE66"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1.47</w:t>
            </w:r>
          </w:p>
        </w:tc>
        <w:tc>
          <w:tcPr>
            <w:tcW w:w="314" w:type="pct"/>
            <w:tcBorders>
              <w:top w:val="nil"/>
              <w:left w:val="nil"/>
              <w:bottom w:val="nil"/>
              <w:right w:val="nil"/>
            </w:tcBorders>
            <w:shd w:val="clear" w:color="auto" w:fill="auto"/>
            <w:noWrap/>
            <w:vAlign w:val="bottom"/>
            <w:hideMark/>
          </w:tcPr>
          <w:p w14:paraId="4E5025A4"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-0.31</w:t>
            </w:r>
          </w:p>
        </w:tc>
        <w:tc>
          <w:tcPr>
            <w:tcW w:w="335" w:type="pct"/>
            <w:tcBorders>
              <w:top w:val="nil"/>
              <w:left w:val="nil"/>
              <w:bottom w:val="nil"/>
              <w:right w:val="nil"/>
            </w:tcBorders>
            <w:shd w:val="clear" w:color="auto" w:fill="auto"/>
            <w:noWrap/>
            <w:vAlign w:val="bottom"/>
            <w:hideMark/>
          </w:tcPr>
          <w:p w14:paraId="73C0F352"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1.00</w:t>
            </w:r>
          </w:p>
        </w:tc>
        <w:tc>
          <w:tcPr>
            <w:tcW w:w="283" w:type="pct"/>
            <w:tcBorders>
              <w:top w:val="nil"/>
              <w:left w:val="nil"/>
              <w:bottom w:val="nil"/>
              <w:right w:val="nil"/>
            </w:tcBorders>
            <w:shd w:val="clear" w:color="auto" w:fill="auto"/>
            <w:noWrap/>
            <w:vAlign w:val="bottom"/>
            <w:hideMark/>
          </w:tcPr>
          <w:p w14:paraId="4C437C76"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0.48</w:t>
            </w:r>
          </w:p>
        </w:tc>
        <w:tc>
          <w:tcPr>
            <w:tcW w:w="490" w:type="pct"/>
            <w:tcBorders>
              <w:top w:val="nil"/>
              <w:left w:val="nil"/>
              <w:bottom w:val="nil"/>
              <w:right w:val="nil"/>
            </w:tcBorders>
            <w:shd w:val="clear" w:color="auto" w:fill="auto"/>
            <w:noWrap/>
            <w:vAlign w:val="bottom"/>
            <w:hideMark/>
          </w:tcPr>
          <w:p w14:paraId="540A9574"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0.01</w:t>
            </w:r>
          </w:p>
        </w:tc>
        <w:tc>
          <w:tcPr>
            <w:tcW w:w="314" w:type="pct"/>
            <w:tcBorders>
              <w:top w:val="nil"/>
              <w:left w:val="nil"/>
              <w:bottom w:val="nil"/>
              <w:right w:val="nil"/>
            </w:tcBorders>
            <w:shd w:val="clear" w:color="auto" w:fill="auto"/>
            <w:noWrap/>
            <w:vAlign w:val="bottom"/>
            <w:hideMark/>
          </w:tcPr>
          <w:p w14:paraId="35147422"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-6.44</w:t>
            </w:r>
          </w:p>
        </w:tc>
      </w:tr>
      <w:tr w:rsidR="009C5BF7" w:rsidRPr="00205CDD" w14:paraId="023497DD" w14:textId="77777777" w:rsidTr="009C5BF7">
        <w:trPr>
          <w:trHeight w:val="300"/>
        </w:trPr>
        <w:tc>
          <w:tcPr>
            <w:tcW w:w="490" w:type="pct"/>
            <w:tcBorders>
              <w:top w:val="nil"/>
              <w:left w:val="nil"/>
              <w:bottom w:val="nil"/>
              <w:right w:val="nil"/>
            </w:tcBorders>
            <w:shd w:val="clear" w:color="auto" w:fill="auto"/>
            <w:noWrap/>
            <w:vAlign w:val="bottom"/>
            <w:hideMark/>
          </w:tcPr>
          <w:p w14:paraId="4C66E974"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p>
        </w:tc>
        <w:tc>
          <w:tcPr>
            <w:tcW w:w="307" w:type="pct"/>
            <w:tcBorders>
              <w:top w:val="nil"/>
              <w:left w:val="nil"/>
              <w:bottom w:val="nil"/>
              <w:right w:val="nil"/>
            </w:tcBorders>
            <w:shd w:val="clear" w:color="auto" w:fill="auto"/>
            <w:noWrap/>
            <w:vAlign w:val="bottom"/>
            <w:hideMark/>
          </w:tcPr>
          <w:p w14:paraId="2316D31F"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2014</w:t>
            </w:r>
          </w:p>
        </w:tc>
        <w:tc>
          <w:tcPr>
            <w:tcW w:w="204" w:type="pct"/>
            <w:tcBorders>
              <w:top w:val="nil"/>
              <w:left w:val="nil"/>
              <w:bottom w:val="nil"/>
              <w:right w:val="nil"/>
            </w:tcBorders>
            <w:shd w:val="clear" w:color="auto" w:fill="auto"/>
            <w:noWrap/>
            <w:vAlign w:val="bottom"/>
            <w:hideMark/>
          </w:tcPr>
          <w:p w14:paraId="3DAE06C8"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52</w:t>
            </w:r>
          </w:p>
        </w:tc>
        <w:tc>
          <w:tcPr>
            <w:tcW w:w="336" w:type="pct"/>
            <w:tcBorders>
              <w:top w:val="nil"/>
              <w:left w:val="nil"/>
              <w:bottom w:val="nil"/>
              <w:right w:val="nil"/>
            </w:tcBorders>
            <w:shd w:val="clear" w:color="auto" w:fill="auto"/>
            <w:noWrap/>
            <w:vAlign w:val="bottom"/>
            <w:hideMark/>
          </w:tcPr>
          <w:p w14:paraId="5846FB2D"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0.48</w:t>
            </w:r>
          </w:p>
        </w:tc>
        <w:tc>
          <w:tcPr>
            <w:tcW w:w="314" w:type="pct"/>
            <w:tcBorders>
              <w:top w:val="nil"/>
              <w:left w:val="nil"/>
              <w:bottom w:val="nil"/>
              <w:right w:val="nil"/>
            </w:tcBorders>
            <w:shd w:val="clear" w:color="auto" w:fill="auto"/>
            <w:noWrap/>
            <w:vAlign w:val="bottom"/>
            <w:hideMark/>
          </w:tcPr>
          <w:p w14:paraId="361EC2FE"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0.03</w:t>
            </w:r>
          </w:p>
        </w:tc>
        <w:tc>
          <w:tcPr>
            <w:tcW w:w="345" w:type="pct"/>
            <w:tcBorders>
              <w:top w:val="nil"/>
              <w:left w:val="nil"/>
              <w:bottom w:val="nil"/>
              <w:right w:val="nil"/>
            </w:tcBorders>
            <w:shd w:val="clear" w:color="auto" w:fill="auto"/>
            <w:noWrap/>
            <w:vAlign w:val="bottom"/>
            <w:hideMark/>
          </w:tcPr>
          <w:p w14:paraId="552B555A"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1.56</w:t>
            </w:r>
          </w:p>
        </w:tc>
        <w:tc>
          <w:tcPr>
            <w:tcW w:w="314" w:type="pct"/>
            <w:tcBorders>
              <w:top w:val="nil"/>
              <w:left w:val="nil"/>
              <w:bottom w:val="nil"/>
              <w:right w:val="nil"/>
            </w:tcBorders>
            <w:shd w:val="clear" w:color="auto" w:fill="auto"/>
            <w:noWrap/>
            <w:vAlign w:val="bottom"/>
            <w:hideMark/>
          </w:tcPr>
          <w:p w14:paraId="7A7637AE"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-0.61</w:t>
            </w:r>
          </w:p>
        </w:tc>
        <w:tc>
          <w:tcPr>
            <w:tcW w:w="359" w:type="pct"/>
            <w:tcBorders>
              <w:top w:val="nil"/>
              <w:left w:val="nil"/>
              <w:bottom w:val="nil"/>
              <w:right w:val="nil"/>
            </w:tcBorders>
            <w:shd w:val="clear" w:color="auto" w:fill="auto"/>
            <w:noWrap/>
            <w:vAlign w:val="bottom"/>
            <w:hideMark/>
          </w:tcPr>
          <w:p w14:paraId="2443142F"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1.15</w:t>
            </w:r>
          </w:p>
        </w:tc>
        <w:tc>
          <w:tcPr>
            <w:tcW w:w="314" w:type="pct"/>
            <w:tcBorders>
              <w:top w:val="nil"/>
              <w:left w:val="nil"/>
              <w:bottom w:val="nil"/>
              <w:right w:val="nil"/>
            </w:tcBorders>
            <w:shd w:val="clear" w:color="auto" w:fill="auto"/>
            <w:noWrap/>
            <w:vAlign w:val="bottom"/>
            <w:hideMark/>
          </w:tcPr>
          <w:p w14:paraId="3C6A2039"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0.19</w:t>
            </w:r>
          </w:p>
        </w:tc>
        <w:tc>
          <w:tcPr>
            <w:tcW w:w="281" w:type="pct"/>
            <w:tcBorders>
              <w:top w:val="nil"/>
              <w:left w:val="nil"/>
              <w:bottom w:val="nil"/>
              <w:right w:val="nil"/>
            </w:tcBorders>
            <w:shd w:val="clear" w:color="auto" w:fill="auto"/>
            <w:noWrap/>
            <w:vAlign w:val="bottom"/>
            <w:hideMark/>
          </w:tcPr>
          <w:p w14:paraId="4E62F9AE"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1.18</w:t>
            </w:r>
          </w:p>
        </w:tc>
        <w:tc>
          <w:tcPr>
            <w:tcW w:w="314" w:type="pct"/>
            <w:tcBorders>
              <w:top w:val="nil"/>
              <w:left w:val="nil"/>
              <w:bottom w:val="nil"/>
              <w:right w:val="nil"/>
            </w:tcBorders>
            <w:shd w:val="clear" w:color="auto" w:fill="auto"/>
            <w:noWrap/>
            <w:vAlign w:val="bottom"/>
            <w:hideMark/>
          </w:tcPr>
          <w:p w14:paraId="46117349"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-0.39</w:t>
            </w:r>
          </w:p>
        </w:tc>
        <w:tc>
          <w:tcPr>
            <w:tcW w:w="335" w:type="pct"/>
            <w:tcBorders>
              <w:top w:val="nil"/>
              <w:left w:val="nil"/>
              <w:bottom w:val="nil"/>
              <w:right w:val="nil"/>
            </w:tcBorders>
            <w:shd w:val="clear" w:color="auto" w:fill="auto"/>
            <w:noWrap/>
            <w:vAlign w:val="bottom"/>
            <w:hideMark/>
          </w:tcPr>
          <w:p w14:paraId="268080A7"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0.89</w:t>
            </w:r>
          </w:p>
        </w:tc>
        <w:tc>
          <w:tcPr>
            <w:tcW w:w="283" w:type="pct"/>
            <w:tcBorders>
              <w:top w:val="nil"/>
              <w:left w:val="nil"/>
              <w:bottom w:val="nil"/>
              <w:right w:val="nil"/>
            </w:tcBorders>
            <w:shd w:val="clear" w:color="auto" w:fill="auto"/>
            <w:noWrap/>
            <w:vAlign w:val="bottom"/>
            <w:hideMark/>
          </w:tcPr>
          <w:p w14:paraId="2AD444EF"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0.40</w:t>
            </w:r>
          </w:p>
        </w:tc>
        <w:tc>
          <w:tcPr>
            <w:tcW w:w="490" w:type="pct"/>
            <w:tcBorders>
              <w:top w:val="nil"/>
              <w:left w:val="nil"/>
              <w:bottom w:val="nil"/>
              <w:right w:val="nil"/>
            </w:tcBorders>
            <w:shd w:val="clear" w:color="auto" w:fill="auto"/>
            <w:noWrap/>
            <w:vAlign w:val="bottom"/>
            <w:hideMark/>
          </w:tcPr>
          <w:p w14:paraId="2C655C7E"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1.40</w:t>
            </w:r>
          </w:p>
        </w:tc>
        <w:tc>
          <w:tcPr>
            <w:tcW w:w="314" w:type="pct"/>
            <w:tcBorders>
              <w:top w:val="nil"/>
              <w:left w:val="nil"/>
              <w:bottom w:val="nil"/>
              <w:right w:val="nil"/>
            </w:tcBorders>
            <w:shd w:val="clear" w:color="auto" w:fill="auto"/>
            <w:noWrap/>
            <w:vAlign w:val="bottom"/>
            <w:hideMark/>
          </w:tcPr>
          <w:p w14:paraId="479A152E"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-4.99</w:t>
            </w:r>
          </w:p>
        </w:tc>
      </w:tr>
      <w:tr w:rsidR="009C5BF7" w:rsidRPr="00205CDD" w14:paraId="22E24DBA" w14:textId="77777777" w:rsidTr="009C5BF7">
        <w:trPr>
          <w:trHeight w:val="300"/>
        </w:trPr>
        <w:tc>
          <w:tcPr>
            <w:tcW w:w="490" w:type="pct"/>
            <w:tcBorders>
              <w:top w:val="nil"/>
              <w:left w:val="nil"/>
              <w:bottom w:val="nil"/>
              <w:right w:val="nil"/>
            </w:tcBorders>
            <w:shd w:val="clear" w:color="auto" w:fill="auto"/>
            <w:noWrap/>
            <w:vAlign w:val="bottom"/>
            <w:hideMark/>
          </w:tcPr>
          <w:p w14:paraId="36B2BBF9"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p>
        </w:tc>
        <w:tc>
          <w:tcPr>
            <w:tcW w:w="307" w:type="pct"/>
            <w:tcBorders>
              <w:top w:val="nil"/>
              <w:left w:val="nil"/>
              <w:bottom w:val="nil"/>
              <w:right w:val="nil"/>
            </w:tcBorders>
            <w:shd w:val="clear" w:color="auto" w:fill="auto"/>
            <w:noWrap/>
            <w:vAlign w:val="bottom"/>
            <w:hideMark/>
          </w:tcPr>
          <w:p w14:paraId="01E20C44"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2015</w:t>
            </w:r>
          </w:p>
        </w:tc>
        <w:tc>
          <w:tcPr>
            <w:tcW w:w="204" w:type="pct"/>
            <w:tcBorders>
              <w:top w:val="nil"/>
              <w:left w:val="nil"/>
              <w:bottom w:val="nil"/>
              <w:right w:val="nil"/>
            </w:tcBorders>
            <w:shd w:val="clear" w:color="auto" w:fill="auto"/>
            <w:noWrap/>
            <w:vAlign w:val="bottom"/>
            <w:hideMark/>
          </w:tcPr>
          <w:p w14:paraId="57FD37C9"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51</w:t>
            </w:r>
          </w:p>
        </w:tc>
        <w:tc>
          <w:tcPr>
            <w:tcW w:w="336" w:type="pct"/>
            <w:tcBorders>
              <w:top w:val="nil"/>
              <w:left w:val="nil"/>
              <w:bottom w:val="nil"/>
              <w:right w:val="nil"/>
            </w:tcBorders>
            <w:shd w:val="clear" w:color="auto" w:fill="auto"/>
            <w:noWrap/>
            <w:vAlign w:val="bottom"/>
            <w:hideMark/>
          </w:tcPr>
          <w:p w14:paraId="285204DF"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0.62</w:t>
            </w:r>
          </w:p>
        </w:tc>
        <w:tc>
          <w:tcPr>
            <w:tcW w:w="314" w:type="pct"/>
            <w:tcBorders>
              <w:top w:val="nil"/>
              <w:left w:val="nil"/>
              <w:bottom w:val="nil"/>
              <w:right w:val="nil"/>
            </w:tcBorders>
            <w:shd w:val="clear" w:color="auto" w:fill="auto"/>
            <w:noWrap/>
            <w:vAlign w:val="bottom"/>
            <w:hideMark/>
          </w:tcPr>
          <w:p w14:paraId="6D91AA3D"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0.10</w:t>
            </w:r>
          </w:p>
        </w:tc>
        <w:tc>
          <w:tcPr>
            <w:tcW w:w="345" w:type="pct"/>
            <w:tcBorders>
              <w:top w:val="nil"/>
              <w:left w:val="nil"/>
              <w:bottom w:val="nil"/>
              <w:right w:val="nil"/>
            </w:tcBorders>
            <w:shd w:val="clear" w:color="auto" w:fill="auto"/>
            <w:noWrap/>
            <w:vAlign w:val="bottom"/>
            <w:hideMark/>
          </w:tcPr>
          <w:p w14:paraId="083CCE17"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1.21</w:t>
            </w:r>
          </w:p>
        </w:tc>
        <w:tc>
          <w:tcPr>
            <w:tcW w:w="314" w:type="pct"/>
            <w:tcBorders>
              <w:top w:val="nil"/>
              <w:left w:val="nil"/>
              <w:bottom w:val="nil"/>
              <w:right w:val="nil"/>
            </w:tcBorders>
            <w:shd w:val="clear" w:color="auto" w:fill="auto"/>
            <w:noWrap/>
            <w:vAlign w:val="bottom"/>
            <w:hideMark/>
          </w:tcPr>
          <w:p w14:paraId="1FBAF970"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-0.37</w:t>
            </w:r>
          </w:p>
        </w:tc>
        <w:tc>
          <w:tcPr>
            <w:tcW w:w="359" w:type="pct"/>
            <w:tcBorders>
              <w:top w:val="nil"/>
              <w:left w:val="nil"/>
              <w:bottom w:val="nil"/>
              <w:right w:val="nil"/>
            </w:tcBorders>
            <w:shd w:val="clear" w:color="auto" w:fill="auto"/>
            <w:noWrap/>
            <w:vAlign w:val="bottom"/>
            <w:hideMark/>
          </w:tcPr>
          <w:p w14:paraId="62FFF030"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0.90</w:t>
            </w:r>
          </w:p>
        </w:tc>
        <w:tc>
          <w:tcPr>
            <w:tcW w:w="314" w:type="pct"/>
            <w:tcBorders>
              <w:top w:val="nil"/>
              <w:left w:val="nil"/>
              <w:bottom w:val="nil"/>
              <w:right w:val="nil"/>
            </w:tcBorders>
            <w:shd w:val="clear" w:color="auto" w:fill="auto"/>
            <w:noWrap/>
            <w:vAlign w:val="bottom"/>
            <w:hideMark/>
          </w:tcPr>
          <w:p w14:paraId="0FAE4B9D"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0.12</w:t>
            </w:r>
          </w:p>
        </w:tc>
        <w:tc>
          <w:tcPr>
            <w:tcW w:w="281" w:type="pct"/>
            <w:tcBorders>
              <w:top w:val="nil"/>
              <w:left w:val="nil"/>
              <w:bottom w:val="nil"/>
              <w:right w:val="nil"/>
            </w:tcBorders>
            <w:shd w:val="clear" w:color="auto" w:fill="auto"/>
            <w:noWrap/>
            <w:vAlign w:val="bottom"/>
            <w:hideMark/>
          </w:tcPr>
          <w:p w14:paraId="2C978846"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0.95</w:t>
            </w:r>
          </w:p>
        </w:tc>
        <w:tc>
          <w:tcPr>
            <w:tcW w:w="314" w:type="pct"/>
            <w:tcBorders>
              <w:top w:val="nil"/>
              <w:left w:val="nil"/>
              <w:bottom w:val="nil"/>
              <w:right w:val="nil"/>
            </w:tcBorders>
            <w:shd w:val="clear" w:color="auto" w:fill="auto"/>
            <w:noWrap/>
            <w:vAlign w:val="bottom"/>
            <w:hideMark/>
          </w:tcPr>
          <w:p w14:paraId="4C53AEC9"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-0.27</w:t>
            </w:r>
          </w:p>
        </w:tc>
        <w:tc>
          <w:tcPr>
            <w:tcW w:w="335" w:type="pct"/>
            <w:tcBorders>
              <w:top w:val="nil"/>
              <w:left w:val="nil"/>
              <w:bottom w:val="nil"/>
              <w:right w:val="nil"/>
            </w:tcBorders>
            <w:shd w:val="clear" w:color="auto" w:fill="auto"/>
            <w:noWrap/>
            <w:vAlign w:val="bottom"/>
            <w:hideMark/>
          </w:tcPr>
          <w:p w14:paraId="41652831"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0.99</w:t>
            </w:r>
          </w:p>
        </w:tc>
        <w:tc>
          <w:tcPr>
            <w:tcW w:w="283" w:type="pct"/>
            <w:tcBorders>
              <w:top w:val="nil"/>
              <w:left w:val="nil"/>
              <w:bottom w:val="nil"/>
              <w:right w:val="nil"/>
            </w:tcBorders>
            <w:shd w:val="clear" w:color="auto" w:fill="auto"/>
            <w:noWrap/>
            <w:vAlign w:val="bottom"/>
            <w:hideMark/>
          </w:tcPr>
          <w:p w14:paraId="60C3AB1A"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0.38</w:t>
            </w:r>
          </w:p>
        </w:tc>
        <w:tc>
          <w:tcPr>
            <w:tcW w:w="490" w:type="pct"/>
            <w:tcBorders>
              <w:top w:val="nil"/>
              <w:left w:val="nil"/>
              <w:bottom w:val="nil"/>
              <w:right w:val="nil"/>
            </w:tcBorders>
            <w:shd w:val="clear" w:color="auto" w:fill="auto"/>
            <w:noWrap/>
            <w:vAlign w:val="bottom"/>
            <w:hideMark/>
          </w:tcPr>
          <w:p w14:paraId="4D87F357"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0.01</w:t>
            </w:r>
          </w:p>
        </w:tc>
        <w:tc>
          <w:tcPr>
            <w:tcW w:w="314" w:type="pct"/>
            <w:tcBorders>
              <w:top w:val="nil"/>
              <w:left w:val="nil"/>
              <w:bottom w:val="nil"/>
              <w:right w:val="nil"/>
            </w:tcBorders>
            <w:shd w:val="clear" w:color="auto" w:fill="auto"/>
            <w:noWrap/>
            <w:vAlign w:val="bottom"/>
            <w:hideMark/>
          </w:tcPr>
          <w:p w14:paraId="738F23D9"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-4.07</w:t>
            </w:r>
          </w:p>
        </w:tc>
      </w:tr>
      <w:tr w:rsidR="009C5BF7" w:rsidRPr="00205CDD" w14:paraId="75EE11DA" w14:textId="77777777" w:rsidTr="009C5BF7">
        <w:trPr>
          <w:trHeight w:val="300"/>
        </w:trPr>
        <w:tc>
          <w:tcPr>
            <w:tcW w:w="490" w:type="pct"/>
            <w:tcBorders>
              <w:top w:val="nil"/>
              <w:left w:val="nil"/>
              <w:bottom w:val="nil"/>
              <w:right w:val="nil"/>
            </w:tcBorders>
            <w:shd w:val="clear" w:color="auto" w:fill="auto"/>
            <w:noWrap/>
            <w:vAlign w:val="bottom"/>
            <w:hideMark/>
          </w:tcPr>
          <w:p w14:paraId="5ECC9F14" w14:textId="77777777" w:rsidR="009C5BF7" w:rsidRPr="00205CDD" w:rsidRDefault="009C5BF7" w:rsidP="006D6D58">
            <w:pPr>
              <w:spacing w:after="0" w:line="240" w:lineRule="auto"/>
              <w:jc w:val="lef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PM</w:t>
            </w:r>
            <w:r w:rsidRPr="00205CDD">
              <w:rPr>
                <w:rFonts w:ascii="Calibri" w:eastAsia="Times New Roman" w:hAnsi="Calibri" w:cs="Calibri"/>
                <w:color w:val="000000"/>
                <w:sz w:val="22"/>
                <w:vertAlign w:val="subscript"/>
                <w:lang w:val="en-US"/>
              </w:rPr>
              <w:t>10</w:t>
            </w:r>
          </w:p>
        </w:tc>
        <w:tc>
          <w:tcPr>
            <w:tcW w:w="307" w:type="pct"/>
            <w:tcBorders>
              <w:top w:val="nil"/>
              <w:left w:val="nil"/>
              <w:bottom w:val="nil"/>
              <w:right w:val="nil"/>
            </w:tcBorders>
            <w:shd w:val="clear" w:color="auto" w:fill="auto"/>
            <w:noWrap/>
            <w:vAlign w:val="bottom"/>
            <w:hideMark/>
          </w:tcPr>
          <w:p w14:paraId="6AFF992E"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2011</w:t>
            </w:r>
          </w:p>
        </w:tc>
        <w:tc>
          <w:tcPr>
            <w:tcW w:w="204" w:type="pct"/>
            <w:tcBorders>
              <w:top w:val="nil"/>
              <w:left w:val="nil"/>
              <w:bottom w:val="nil"/>
              <w:right w:val="nil"/>
            </w:tcBorders>
            <w:shd w:val="clear" w:color="auto" w:fill="auto"/>
            <w:noWrap/>
            <w:vAlign w:val="bottom"/>
            <w:hideMark/>
          </w:tcPr>
          <w:p w14:paraId="6AA46E86"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43</w:t>
            </w:r>
          </w:p>
        </w:tc>
        <w:tc>
          <w:tcPr>
            <w:tcW w:w="336" w:type="pct"/>
            <w:tcBorders>
              <w:top w:val="nil"/>
              <w:left w:val="nil"/>
              <w:bottom w:val="nil"/>
              <w:right w:val="nil"/>
            </w:tcBorders>
            <w:shd w:val="clear" w:color="auto" w:fill="auto"/>
            <w:noWrap/>
            <w:vAlign w:val="bottom"/>
            <w:hideMark/>
          </w:tcPr>
          <w:p w14:paraId="4130EB6A"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0.49</w:t>
            </w:r>
          </w:p>
        </w:tc>
        <w:tc>
          <w:tcPr>
            <w:tcW w:w="314" w:type="pct"/>
            <w:tcBorders>
              <w:top w:val="nil"/>
              <w:left w:val="nil"/>
              <w:bottom w:val="nil"/>
              <w:right w:val="nil"/>
            </w:tcBorders>
            <w:shd w:val="clear" w:color="auto" w:fill="auto"/>
            <w:noWrap/>
            <w:vAlign w:val="bottom"/>
            <w:hideMark/>
          </w:tcPr>
          <w:p w14:paraId="0CC40818"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-0.08</w:t>
            </w:r>
          </w:p>
        </w:tc>
        <w:tc>
          <w:tcPr>
            <w:tcW w:w="345" w:type="pct"/>
            <w:tcBorders>
              <w:top w:val="nil"/>
              <w:left w:val="nil"/>
              <w:bottom w:val="nil"/>
              <w:right w:val="nil"/>
            </w:tcBorders>
            <w:shd w:val="clear" w:color="auto" w:fill="auto"/>
            <w:noWrap/>
            <w:vAlign w:val="bottom"/>
            <w:hideMark/>
          </w:tcPr>
          <w:p w14:paraId="5777383D"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3.32</w:t>
            </w:r>
          </w:p>
        </w:tc>
        <w:tc>
          <w:tcPr>
            <w:tcW w:w="314" w:type="pct"/>
            <w:tcBorders>
              <w:top w:val="nil"/>
              <w:left w:val="nil"/>
              <w:bottom w:val="nil"/>
              <w:right w:val="nil"/>
            </w:tcBorders>
            <w:shd w:val="clear" w:color="auto" w:fill="auto"/>
            <w:noWrap/>
            <w:vAlign w:val="bottom"/>
            <w:hideMark/>
          </w:tcPr>
          <w:p w14:paraId="13B56CDB"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0.15</w:t>
            </w:r>
          </w:p>
        </w:tc>
        <w:tc>
          <w:tcPr>
            <w:tcW w:w="359" w:type="pct"/>
            <w:tcBorders>
              <w:top w:val="nil"/>
              <w:left w:val="nil"/>
              <w:bottom w:val="nil"/>
              <w:right w:val="nil"/>
            </w:tcBorders>
            <w:shd w:val="clear" w:color="auto" w:fill="auto"/>
            <w:noWrap/>
            <w:vAlign w:val="bottom"/>
            <w:hideMark/>
          </w:tcPr>
          <w:p w14:paraId="321DC83B"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1.21</w:t>
            </w:r>
          </w:p>
        </w:tc>
        <w:tc>
          <w:tcPr>
            <w:tcW w:w="314" w:type="pct"/>
            <w:tcBorders>
              <w:top w:val="nil"/>
              <w:left w:val="nil"/>
              <w:bottom w:val="nil"/>
              <w:right w:val="nil"/>
            </w:tcBorders>
            <w:shd w:val="clear" w:color="auto" w:fill="auto"/>
            <w:noWrap/>
            <w:vAlign w:val="bottom"/>
            <w:hideMark/>
          </w:tcPr>
          <w:p w14:paraId="3B973B87"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0.67</w:t>
            </w:r>
          </w:p>
        </w:tc>
        <w:tc>
          <w:tcPr>
            <w:tcW w:w="281" w:type="pct"/>
            <w:tcBorders>
              <w:top w:val="nil"/>
              <w:left w:val="nil"/>
              <w:bottom w:val="nil"/>
              <w:right w:val="nil"/>
            </w:tcBorders>
            <w:shd w:val="clear" w:color="auto" w:fill="auto"/>
            <w:noWrap/>
            <w:vAlign w:val="bottom"/>
            <w:hideMark/>
          </w:tcPr>
          <w:p w14:paraId="33D37772"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2.56</w:t>
            </w:r>
          </w:p>
        </w:tc>
        <w:tc>
          <w:tcPr>
            <w:tcW w:w="314" w:type="pct"/>
            <w:tcBorders>
              <w:top w:val="nil"/>
              <w:left w:val="nil"/>
              <w:bottom w:val="nil"/>
              <w:right w:val="nil"/>
            </w:tcBorders>
            <w:shd w:val="clear" w:color="auto" w:fill="auto"/>
            <w:noWrap/>
            <w:vAlign w:val="bottom"/>
            <w:hideMark/>
          </w:tcPr>
          <w:p w14:paraId="529A1C3E"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0.18</w:t>
            </w:r>
          </w:p>
        </w:tc>
        <w:tc>
          <w:tcPr>
            <w:tcW w:w="335" w:type="pct"/>
            <w:tcBorders>
              <w:top w:val="nil"/>
              <w:left w:val="nil"/>
              <w:bottom w:val="nil"/>
              <w:right w:val="nil"/>
            </w:tcBorders>
            <w:shd w:val="clear" w:color="auto" w:fill="auto"/>
            <w:noWrap/>
            <w:vAlign w:val="bottom"/>
            <w:hideMark/>
          </w:tcPr>
          <w:p w14:paraId="7D3A4977"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0.99</w:t>
            </w:r>
          </w:p>
        </w:tc>
        <w:tc>
          <w:tcPr>
            <w:tcW w:w="283" w:type="pct"/>
            <w:tcBorders>
              <w:top w:val="nil"/>
              <w:left w:val="nil"/>
              <w:bottom w:val="nil"/>
              <w:right w:val="nil"/>
            </w:tcBorders>
            <w:shd w:val="clear" w:color="auto" w:fill="auto"/>
            <w:noWrap/>
            <w:vAlign w:val="bottom"/>
            <w:hideMark/>
          </w:tcPr>
          <w:p w14:paraId="40215D5B"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0.18</w:t>
            </w:r>
          </w:p>
        </w:tc>
        <w:tc>
          <w:tcPr>
            <w:tcW w:w="490" w:type="pct"/>
            <w:tcBorders>
              <w:top w:val="nil"/>
              <w:left w:val="nil"/>
              <w:bottom w:val="nil"/>
              <w:right w:val="nil"/>
            </w:tcBorders>
            <w:shd w:val="clear" w:color="auto" w:fill="auto"/>
            <w:noWrap/>
            <w:vAlign w:val="bottom"/>
            <w:hideMark/>
          </w:tcPr>
          <w:p w14:paraId="5B07411A"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0.01</w:t>
            </w:r>
          </w:p>
        </w:tc>
        <w:tc>
          <w:tcPr>
            <w:tcW w:w="314" w:type="pct"/>
            <w:tcBorders>
              <w:top w:val="nil"/>
              <w:left w:val="nil"/>
              <w:bottom w:val="nil"/>
              <w:right w:val="nil"/>
            </w:tcBorders>
            <w:shd w:val="clear" w:color="auto" w:fill="auto"/>
            <w:noWrap/>
            <w:vAlign w:val="bottom"/>
            <w:hideMark/>
          </w:tcPr>
          <w:p w14:paraId="40596281"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-4.08</w:t>
            </w:r>
          </w:p>
        </w:tc>
      </w:tr>
      <w:tr w:rsidR="009C5BF7" w:rsidRPr="00205CDD" w14:paraId="4EEB0CFB" w14:textId="77777777" w:rsidTr="009C5BF7">
        <w:trPr>
          <w:trHeight w:val="300"/>
        </w:trPr>
        <w:tc>
          <w:tcPr>
            <w:tcW w:w="490" w:type="pct"/>
            <w:tcBorders>
              <w:top w:val="nil"/>
              <w:left w:val="nil"/>
              <w:bottom w:val="nil"/>
              <w:right w:val="nil"/>
            </w:tcBorders>
            <w:shd w:val="clear" w:color="auto" w:fill="auto"/>
            <w:noWrap/>
            <w:vAlign w:val="bottom"/>
            <w:hideMark/>
          </w:tcPr>
          <w:p w14:paraId="492FD8EC"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p>
        </w:tc>
        <w:tc>
          <w:tcPr>
            <w:tcW w:w="307" w:type="pct"/>
            <w:tcBorders>
              <w:top w:val="nil"/>
              <w:left w:val="nil"/>
              <w:bottom w:val="nil"/>
              <w:right w:val="nil"/>
            </w:tcBorders>
            <w:shd w:val="clear" w:color="auto" w:fill="auto"/>
            <w:noWrap/>
            <w:vAlign w:val="bottom"/>
            <w:hideMark/>
          </w:tcPr>
          <w:p w14:paraId="4BA1B1F9"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2012</w:t>
            </w:r>
          </w:p>
        </w:tc>
        <w:tc>
          <w:tcPr>
            <w:tcW w:w="204" w:type="pct"/>
            <w:tcBorders>
              <w:top w:val="nil"/>
              <w:left w:val="nil"/>
              <w:bottom w:val="nil"/>
              <w:right w:val="nil"/>
            </w:tcBorders>
            <w:shd w:val="clear" w:color="auto" w:fill="auto"/>
            <w:noWrap/>
            <w:vAlign w:val="bottom"/>
            <w:hideMark/>
          </w:tcPr>
          <w:p w14:paraId="153567F0"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47</w:t>
            </w:r>
          </w:p>
        </w:tc>
        <w:tc>
          <w:tcPr>
            <w:tcW w:w="336" w:type="pct"/>
            <w:tcBorders>
              <w:top w:val="nil"/>
              <w:left w:val="nil"/>
              <w:bottom w:val="nil"/>
              <w:right w:val="nil"/>
            </w:tcBorders>
            <w:shd w:val="clear" w:color="auto" w:fill="auto"/>
            <w:noWrap/>
            <w:vAlign w:val="bottom"/>
            <w:hideMark/>
          </w:tcPr>
          <w:p w14:paraId="3CE12ACB"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0.53</w:t>
            </w:r>
          </w:p>
        </w:tc>
        <w:tc>
          <w:tcPr>
            <w:tcW w:w="314" w:type="pct"/>
            <w:tcBorders>
              <w:top w:val="nil"/>
              <w:left w:val="nil"/>
              <w:bottom w:val="nil"/>
              <w:right w:val="nil"/>
            </w:tcBorders>
            <w:shd w:val="clear" w:color="auto" w:fill="auto"/>
            <w:noWrap/>
            <w:vAlign w:val="bottom"/>
            <w:hideMark/>
          </w:tcPr>
          <w:p w14:paraId="253387F6"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-0.05</w:t>
            </w:r>
          </w:p>
        </w:tc>
        <w:tc>
          <w:tcPr>
            <w:tcW w:w="345" w:type="pct"/>
            <w:tcBorders>
              <w:top w:val="nil"/>
              <w:left w:val="nil"/>
              <w:bottom w:val="nil"/>
              <w:right w:val="nil"/>
            </w:tcBorders>
            <w:shd w:val="clear" w:color="auto" w:fill="auto"/>
            <w:noWrap/>
            <w:vAlign w:val="bottom"/>
            <w:hideMark/>
          </w:tcPr>
          <w:p w14:paraId="44F3B684"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2.80</w:t>
            </w:r>
          </w:p>
        </w:tc>
        <w:tc>
          <w:tcPr>
            <w:tcW w:w="314" w:type="pct"/>
            <w:tcBorders>
              <w:top w:val="nil"/>
              <w:left w:val="nil"/>
              <w:bottom w:val="nil"/>
              <w:right w:val="nil"/>
            </w:tcBorders>
            <w:shd w:val="clear" w:color="auto" w:fill="auto"/>
            <w:noWrap/>
            <w:vAlign w:val="bottom"/>
            <w:hideMark/>
          </w:tcPr>
          <w:p w14:paraId="54ADD11A"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0.06</w:t>
            </w:r>
          </w:p>
        </w:tc>
        <w:tc>
          <w:tcPr>
            <w:tcW w:w="359" w:type="pct"/>
            <w:tcBorders>
              <w:top w:val="nil"/>
              <w:left w:val="nil"/>
              <w:bottom w:val="nil"/>
              <w:right w:val="nil"/>
            </w:tcBorders>
            <w:shd w:val="clear" w:color="auto" w:fill="auto"/>
            <w:noWrap/>
            <w:vAlign w:val="bottom"/>
            <w:hideMark/>
          </w:tcPr>
          <w:p w14:paraId="2B3BA28C"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0.95</w:t>
            </w:r>
          </w:p>
        </w:tc>
        <w:tc>
          <w:tcPr>
            <w:tcW w:w="314" w:type="pct"/>
            <w:tcBorders>
              <w:top w:val="nil"/>
              <w:left w:val="nil"/>
              <w:bottom w:val="nil"/>
              <w:right w:val="nil"/>
            </w:tcBorders>
            <w:shd w:val="clear" w:color="auto" w:fill="auto"/>
            <w:noWrap/>
            <w:vAlign w:val="bottom"/>
            <w:hideMark/>
          </w:tcPr>
          <w:p w14:paraId="29D78F01"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0.14</w:t>
            </w:r>
          </w:p>
        </w:tc>
        <w:tc>
          <w:tcPr>
            <w:tcW w:w="281" w:type="pct"/>
            <w:tcBorders>
              <w:top w:val="nil"/>
              <w:left w:val="nil"/>
              <w:bottom w:val="nil"/>
              <w:right w:val="nil"/>
            </w:tcBorders>
            <w:shd w:val="clear" w:color="auto" w:fill="auto"/>
            <w:noWrap/>
            <w:vAlign w:val="bottom"/>
            <w:hideMark/>
          </w:tcPr>
          <w:p w14:paraId="4D95F167"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2.26</w:t>
            </w:r>
          </w:p>
        </w:tc>
        <w:tc>
          <w:tcPr>
            <w:tcW w:w="314" w:type="pct"/>
            <w:tcBorders>
              <w:top w:val="nil"/>
              <w:left w:val="nil"/>
              <w:bottom w:val="nil"/>
              <w:right w:val="nil"/>
            </w:tcBorders>
            <w:shd w:val="clear" w:color="auto" w:fill="auto"/>
            <w:noWrap/>
            <w:vAlign w:val="bottom"/>
            <w:hideMark/>
          </w:tcPr>
          <w:p w14:paraId="0C5AE6AB"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-0.03</w:t>
            </w:r>
          </w:p>
        </w:tc>
        <w:tc>
          <w:tcPr>
            <w:tcW w:w="335" w:type="pct"/>
            <w:tcBorders>
              <w:top w:val="nil"/>
              <w:left w:val="nil"/>
              <w:bottom w:val="nil"/>
              <w:right w:val="nil"/>
            </w:tcBorders>
            <w:shd w:val="clear" w:color="auto" w:fill="auto"/>
            <w:noWrap/>
            <w:vAlign w:val="bottom"/>
            <w:hideMark/>
          </w:tcPr>
          <w:p w14:paraId="164FF754"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0.96</w:t>
            </w:r>
          </w:p>
        </w:tc>
        <w:tc>
          <w:tcPr>
            <w:tcW w:w="283" w:type="pct"/>
            <w:tcBorders>
              <w:top w:val="nil"/>
              <w:left w:val="nil"/>
              <w:bottom w:val="nil"/>
              <w:right w:val="nil"/>
            </w:tcBorders>
            <w:shd w:val="clear" w:color="auto" w:fill="auto"/>
            <w:noWrap/>
            <w:vAlign w:val="bottom"/>
            <w:hideMark/>
          </w:tcPr>
          <w:p w14:paraId="14D016C1"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0.13</w:t>
            </w:r>
          </w:p>
        </w:tc>
        <w:tc>
          <w:tcPr>
            <w:tcW w:w="490" w:type="pct"/>
            <w:tcBorders>
              <w:top w:val="nil"/>
              <w:left w:val="nil"/>
              <w:bottom w:val="nil"/>
              <w:right w:val="nil"/>
            </w:tcBorders>
            <w:shd w:val="clear" w:color="auto" w:fill="auto"/>
            <w:noWrap/>
            <w:vAlign w:val="bottom"/>
            <w:hideMark/>
          </w:tcPr>
          <w:p w14:paraId="0E05974C"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0.68</w:t>
            </w:r>
          </w:p>
        </w:tc>
        <w:tc>
          <w:tcPr>
            <w:tcW w:w="314" w:type="pct"/>
            <w:tcBorders>
              <w:top w:val="nil"/>
              <w:left w:val="nil"/>
              <w:bottom w:val="nil"/>
              <w:right w:val="nil"/>
            </w:tcBorders>
            <w:shd w:val="clear" w:color="auto" w:fill="auto"/>
            <w:noWrap/>
            <w:vAlign w:val="bottom"/>
            <w:hideMark/>
          </w:tcPr>
          <w:p w14:paraId="078A0665"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-2.73</w:t>
            </w:r>
          </w:p>
        </w:tc>
      </w:tr>
      <w:tr w:rsidR="009C5BF7" w:rsidRPr="00205CDD" w14:paraId="03320B6C" w14:textId="77777777" w:rsidTr="009C5BF7">
        <w:trPr>
          <w:trHeight w:val="300"/>
        </w:trPr>
        <w:tc>
          <w:tcPr>
            <w:tcW w:w="490" w:type="pct"/>
            <w:tcBorders>
              <w:top w:val="nil"/>
              <w:left w:val="nil"/>
              <w:bottom w:val="nil"/>
              <w:right w:val="nil"/>
            </w:tcBorders>
            <w:shd w:val="clear" w:color="auto" w:fill="auto"/>
            <w:noWrap/>
            <w:vAlign w:val="bottom"/>
            <w:hideMark/>
          </w:tcPr>
          <w:p w14:paraId="2A5DC9A9"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p>
        </w:tc>
        <w:tc>
          <w:tcPr>
            <w:tcW w:w="307" w:type="pct"/>
            <w:tcBorders>
              <w:top w:val="nil"/>
              <w:left w:val="nil"/>
              <w:bottom w:val="nil"/>
              <w:right w:val="nil"/>
            </w:tcBorders>
            <w:shd w:val="clear" w:color="auto" w:fill="auto"/>
            <w:noWrap/>
            <w:vAlign w:val="bottom"/>
            <w:hideMark/>
          </w:tcPr>
          <w:p w14:paraId="6B0E0F04"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2013</w:t>
            </w:r>
          </w:p>
        </w:tc>
        <w:tc>
          <w:tcPr>
            <w:tcW w:w="204" w:type="pct"/>
            <w:tcBorders>
              <w:top w:val="nil"/>
              <w:left w:val="nil"/>
              <w:bottom w:val="nil"/>
              <w:right w:val="nil"/>
            </w:tcBorders>
            <w:shd w:val="clear" w:color="auto" w:fill="auto"/>
            <w:noWrap/>
            <w:vAlign w:val="bottom"/>
            <w:hideMark/>
          </w:tcPr>
          <w:p w14:paraId="1562F641"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46</w:t>
            </w:r>
          </w:p>
        </w:tc>
        <w:tc>
          <w:tcPr>
            <w:tcW w:w="336" w:type="pct"/>
            <w:tcBorders>
              <w:top w:val="nil"/>
              <w:left w:val="nil"/>
              <w:bottom w:val="nil"/>
              <w:right w:val="nil"/>
            </w:tcBorders>
            <w:shd w:val="clear" w:color="auto" w:fill="auto"/>
            <w:noWrap/>
            <w:vAlign w:val="bottom"/>
            <w:hideMark/>
          </w:tcPr>
          <w:p w14:paraId="108DE160"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0.47</w:t>
            </w:r>
          </w:p>
        </w:tc>
        <w:tc>
          <w:tcPr>
            <w:tcW w:w="314" w:type="pct"/>
            <w:tcBorders>
              <w:top w:val="nil"/>
              <w:left w:val="nil"/>
              <w:bottom w:val="nil"/>
              <w:right w:val="nil"/>
            </w:tcBorders>
            <w:shd w:val="clear" w:color="auto" w:fill="auto"/>
            <w:noWrap/>
            <w:vAlign w:val="bottom"/>
            <w:hideMark/>
          </w:tcPr>
          <w:p w14:paraId="2E0BD779"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-0.15</w:t>
            </w:r>
          </w:p>
        </w:tc>
        <w:tc>
          <w:tcPr>
            <w:tcW w:w="345" w:type="pct"/>
            <w:tcBorders>
              <w:top w:val="nil"/>
              <w:left w:val="nil"/>
              <w:bottom w:val="nil"/>
              <w:right w:val="nil"/>
            </w:tcBorders>
            <w:shd w:val="clear" w:color="auto" w:fill="auto"/>
            <w:noWrap/>
            <w:vAlign w:val="bottom"/>
            <w:hideMark/>
          </w:tcPr>
          <w:p w14:paraId="17560E42"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2.94</w:t>
            </w:r>
          </w:p>
        </w:tc>
        <w:tc>
          <w:tcPr>
            <w:tcW w:w="314" w:type="pct"/>
            <w:tcBorders>
              <w:top w:val="nil"/>
              <w:left w:val="nil"/>
              <w:bottom w:val="nil"/>
              <w:right w:val="nil"/>
            </w:tcBorders>
            <w:shd w:val="clear" w:color="auto" w:fill="auto"/>
            <w:noWrap/>
            <w:vAlign w:val="bottom"/>
            <w:hideMark/>
          </w:tcPr>
          <w:p w14:paraId="5B6DB086"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0.33</w:t>
            </w:r>
          </w:p>
        </w:tc>
        <w:tc>
          <w:tcPr>
            <w:tcW w:w="359" w:type="pct"/>
            <w:tcBorders>
              <w:top w:val="nil"/>
              <w:left w:val="nil"/>
              <w:bottom w:val="nil"/>
              <w:right w:val="nil"/>
            </w:tcBorders>
            <w:shd w:val="clear" w:color="auto" w:fill="auto"/>
            <w:noWrap/>
            <w:vAlign w:val="bottom"/>
            <w:hideMark/>
          </w:tcPr>
          <w:p w14:paraId="1A19E783"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1.19</w:t>
            </w:r>
          </w:p>
        </w:tc>
        <w:tc>
          <w:tcPr>
            <w:tcW w:w="314" w:type="pct"/>
            <w:tcBorders>
              <w:top w:val="nil"/>
              <w:left w:val="nil"/>
              <w:bottom w:val="nil"/>
              <w:right w:val="nil"/>
            </w:tcBorders>
            <w:shd w:val="clear" w:color="auto" w:fill="auto"/>
            <w:noWrap/>
            <w:vAlign w:val="bottom"/>
            <w:hideMark/>
          </w:tcPr>
          <w:p w14:paraId="6ED35677"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0.49</w:t>
            </w:r>
          </w:p>
        </w:tc>
        <w:tc>
          <w:tcPr>
            <w:tcW w:w="281" w:type="pct"/>
            <w:tcBorders>
              <w:top w:val="nil"/>
              <w:left w:val="nil"/>
              <w:bottom w:val="nil"/>
              <w:right w:val="nil"/>
            </w:tcBorders>
            <w:shd w:val="clear" w:color="auto" w:fill="auto"/>
            <w:noWrap/>
            <w:vAlign w:val="bottom"/>
            <w:hideMark/>
          </w:tcPr>
          <w:p w14:paraId="3CA9172E"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2.20</w:t>
            </w:r>
          </w:p>
        </w:tc>
        <w:tc>
          <w:tcPr>
            <w:tcW w:w="314" w:type="pct"/>
            <w:tcBorders>
              <w:top w:val="nil"/>
              <w:left w:val="nil"/>
              <w:bottom w:val="nil"/>
              <w:right w:val="nil"/>
            </w:tcBorders>
            <w:shd w:val="clear" w:color="auto" w:fill="auto"/>
            <w:noWrap/>
            <w:vAlign w:val="bottom"/>
            <w:hideMark/>
          </w:tcPr>
          <w:p w14:paraId="3DEB149B"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0.14</w:t>
            </w:r>
          </w:p>
        </w:tc>
        <w:tc>
          <w:tcPr>
            <w:tcW w:w="335" w:type="pct"/>
            <w:tcBorders>
              <w:top w:val="nil"/>
              <w:left w:val="nil"/>
              <w:bottom w:val="nil"/>
              <w:right w:val="nil"/>
            </w:tcBorders>
            <w:shd w:val="clear" w:color="auto" w:fill="auto"/>
            <w:noWrap/>
            <w:vAlign w:val="bottom"/>
            <w:hideMark/>
          </w:tcPr>
          <w:p w14:paraId="7E82506D"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0.95</w:t>
            </w:r>
          </w:p>
        </w:tc>
        <w:tc>
          <w:tcPr>
            <w:tcW w:w="283" w:type="pct"/>
            <w:tcBorders>
              <w:top w:val="nil"/>
              <w:left w:val="nil"/>
              <w:bottom w:val="nil"/>
              <w:right w:val="nil"/>
            </w:tcBorders>
            <w:shd w:val="clear" w:color="auto" w:fill="auto"/>
            <w:noWrap/>
            <w:vAlign w:val="bottom"/>
            <w:hideMark/>
          </w:tcPr>
          <w:p w14:paraId="685468CC"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0.15</w:t>
            </w:r>
          </w:p>
        </w:tc>
        <w:tc>
          <w:tcPr>
            <w:tcW w:w="490" w:type="pct"/>
            <w:tcBorders>
              <w:top w:val="nil"/>
              <w:left w:val="nil"/>
              <w:bottom w:val="nil"/>
              <w:right w:val="nil"/>
            </w:tcBorders>
            <w:shd w:val="clear" w:color="auto" w:fill="auto"/>
            <w:noWrap/>
            <w:vAlign w:val="bottom"/>
            <w:hideMark/>
          </w:tcPr>
          <w:p w14:paraId="0945360D"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0.85</w:t>
            </w:r>
          </w:p>
        </w:tc>
        <w:tc>
          <w:tcPr>
            <w:tcW w:w="314" w:type="pct"/>
            <w:tcBorders>
              <w:top w:val="nil"/>
              <w:left w:val="nil"/>
              <w:bottom w:val="nil"/>
              <w:right w:val="nil"/>
            </w:tcBorders>
            <w:shd w:val="clear" w:color="auto" w:fill="auto"/>
            <w:noWrap/>
            <w:vAlign w:val="bottom"/>
            <w:hideMark/>
          </w:tcPr>
          <w:p w14:paraId="3F373F54"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-2.92</w:t>
            </w:r>
          </w:p>
        </w:tc>
      </w:tr>
      <w:tr w:rsidR="009C5BF7" w:rsidRPr="00205CDD" w14:paraId="49D89A0C" w14:textId="77777777" w:rsidTr="009C5BF7">
        <w:trPr>
          <w:trHeight w:val="300"/>
        </w:trPr>
        <w:tc>
          <w:tcPr>
            <w:tcW w:w="490" w:type="pct"/>
            <w:tcBorders>
              <w:top w:val="nil"/>
              <w:left w:val="nil"/>
              <w:bottom w:val="nil"/>
              <w:right w:val="nil"/>
            </w:tcBorders>
            <w:shd w:val="clear" w:color="auto" w:fill="auto"/>
            <w:noWrap/>
            <w:vAlign w:val="bottom"/>
            <w:hideMark/>
          </w:tcPr>
          <w:p w14:paraId="31ECD25A"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p>
        </w:tc>
        <w:tc>
          <w:tcPr>
            <w:tcW w:w="307" w:type="pct"/>
            <w:tcBorders>
              <w:top w:val="nil"/>
              <w:left w:val="nil"/>
              <w:bottom w:val="nil"/>
              <w:right w:val="nil"/>
            </w:tcBorders>
            <w:shd w:val="clear" w:color="auto" w:fill="auto"/>
            <w:noWrap/>
            <w:vAlign w:val="bottom"/>
            <w:hideMark/>
          </w:tcPr>
          <w:p w14:paraId="654E8F4D"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2014</w:t>
            </w:r>
          </w:p>
        </w:tc>
        <w:tc>
          <w:tcPr>
            <w:tcW w:w="204" w:type="pct"/>
            <w:tcBorders>
              <w:top w:val="nil"/>
              <w:left w:val="nil"/>
              <w:bottom w:val="nil"/>
              <w:right w:val="nil"/>
            </w:tcBorders>
            <w:shd w:val="clear" w:color="auto" w:fill="auto"/>
            <w:noWrap/>
            <w:vAlign w:val="bottom"/>
            <w:hideMark/>
          </w:tcPr>
          <w:p w14:paraId="11DC6E31"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39</w:t>
            </w:r>
          </w:p>
        </w:tc>
        <w:tc>
          <w:tcPr>
            <w:tcW w:w="336" w:type="pct"/>
            <w:tcBorders>
              <w:top w:val="nil"/>
              <w:left w:val="nil"/>
              <w:bottom w:val="nil"/>
              <w:right w:val="nil"/>
            </w:tcBorders>
            <w:shd w:val="clear" w:color="auto" w:fill="auto"/>
            <w:noWrap/>
            <w:vAlign w:val="bottom"/>
            <w:hideMark/>
          </w:tcPr>
          <w:p w14:paraId="507C12E2"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0.59</w:t>
            </w:r>
          </w:p>
        </w:tc>
        <w:tc>
          <w:tcPr>
            <w:tcW w:w="314" w:type="pct"/>
            <w:tcBorders>
              <w:top w:val="nil"/>
              <w:left w:val="nil"/>
              <w:bottom w:val="nil"/>
              <w:right w:val="nil"/>
            </w:tcBorders>
            <w:shd w:val="clear" w:color="auto" w:fill="auto"/>
            <w:noWrap/>
            <w:vAlign w:val="bottom"/>
            <w:hideMark/>
          </w:tcPr>
          <w:p w14:paraId="42ED5413"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-0.06</w:t>
            </w:r>
          </w:p>
        </w:tc>
        <w:tc>
          <w:tcPr>
            <w:tcW w:w="345" w:type="pct"/>
            <w:tcBorders>
              <w:top w:val="nil"/>
              <w:left w:val="nil"/>
              <w:bottom w:val="nil"/>
              <w:right w:val="nil"/>
            </w:tcBorders>
            <w:shd w:val="clear" w:color="auto" w:fill="auto"/>
            <w:noWrap/>
            <w:vAlign w:val="bottom"/>
            <w:hideMark/>
          </w:tcPr>
          <w:p w14:paraId="25BF2CED"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2.26</w:t>
            </w:r>
          </w:p>
        </w:tc>
        <w:tc>
          <w:tcPr>
            <w:tcW w:w="314" w:type="pct"/>
            <w:tcBorders>
              <w:top w:val="nil"/>
              <w:left w:val="nil"/>
              <w:bottom w:val="nil"/>
              <w:right w:val="nil"/>
            </w:tcBorders>
            <w:shd w:val="clear" w:color="auto" w:fill="auto"/>
            <w:noWrap/>
            <w:vAlign w:val="bottom"/>
            <w:hideMark/>
          </w:tcPr>
          <w:p w14:paraId="322B59A3"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0.01</w:t>
            </w:r>
          </w:p>
        </w:tc>
        <w:tc>
          <w:tcPr>
            <w:tcW w:w="359" w:type="pct"/>
            <w:tcBorders>
              <w:top w:val="nil"/>
              <w:left w:val="nil"/>
              <w:bottom w:val="nil"/>
              <w:right w:val="nil"/>
            </w:tcBorders>
            <w:shd w:val="clear" w:color="auto" w:fill="auto"/>
            <w:noWrap/>
            <w:vAlign w:val="bottom"/>
            <w:hideMark/>
          </w:tcPr>
          <w:p w14:paraId="441A9E60"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1.00</w:t>
            </w:r>
          </w:p>
        </w:tc>
        <w:tc>
          <w:tcPr>
            <w:tcW w:w="314" w:type="pct"/>
            <w:tcBorders>
              <w:top w:val="nil"/>
              <w:left w:val="nil"/>
              <w:bottom w:val="nil"/>
              <w:right w:val="nil"/>
            </w:tcBorders>
            <w:shd w:val="clear" w:color="auto" w:fill="auto"/>
            <w:noWrap/>
            <w:vAlign w:val="bottom"/>
            <w:hideMark/>
          </w:tcPr>
          <w:p w14:paraId="4C3AB2C0"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0.23</w:t>
            </w:r>
          </w:p>
        </w:tc>
        <w:tc>
          <w:tcPr>
            <w:tcW w:w="281" w:type="pct"/>
            <w:tcBorders>
              <w:top w:val="nil"/>
              <w:left w:val="nil"/>
              <w:bottom w:val="nil"/>
              <w:right w:val="nil"/>
            </w:tcBorders>
            <w:shd w:val="clear" w:color="auto" w:fill="auto"/>
            <w:noWrap/>
            <w:vAlign w:val="bottom"/>
            <w:hideMark/>
          </w:tcPr>
          <w:p w14:paraId="02E83C7B"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1.62</w:t>
            </w:r>
          </w:p>
        </w:tc>
        <w:tc>
          <w:tcPr>
            <w:tcW w:w="314" w:type="pct"/>
            <w:tcBorders>
              <w:top w:val="nil"/>
              <w:left w:val="nil"/>
              <w:bottom w:val="nil"/>
              <w:right w:val="nil"/>
            </w:tcBorders>
            <w:shd w:val="clear" w:color="auto" w:fill="auto"/>
            <w:noWrap/>
            <w:vAlign w:val="bottom"/>
            <w:hideMark/>
          </w:tcPr>
          <w:p w14:paraId="2264EE29"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-0.25</w:t>
            </w:r>
          </w:p>
        </w:tc>
        <w:tc>
          <w:tcPr>
            <w:tcW w:w="335" w:type="pct"/>
            <w:tcBorders>
              <w:top w:val="nil"/>
              <w:left w:val="nil"/>
              <w:bottom w:val="nil"/>
              <w:right w:val="nil"/>
            </w:tcBorders>
            <w:shd w:val="clear" w:color="auto" w:fill="auto"/>
            <w:noWrap/>
            <w:vAlign w:val="bottom"/>
            <w:hideMark/>
          </w:tcPr>
          <w:p w14:paraId="15116C92"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0.82</w:t>
            </w:r>
          </w:p>
        </w:tc>
        <w:tc>
          <w:tcPr>
            <w:tcW w:w="283" w:type="pct"/>
            <w:tcBorders>
              <w:top w:val="nil"/>
              <w:left w:val="nil"/>
              <w:bottom w:val="nil"/>
              <w:right w:val="nil"/>
            </w:tcBorders>
            <w:shd w:val="clear" w:color="auto" w:fill="auto"/>
            <w:noWrap/>
            <w:vAlign w:val="bottom"/>
            <w:hideMark/>
          </w:tcPr>
          <w:p w14:paraId="587EE711"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0.08</w:t>
            </w:r>
          </w:p>
        </w:tc>
        <w:tc>
          <w:tcPr>
            <w:tcW w:w="490" w:type="pct"/>
            <w:tcBorders>
              <w:top w:val="nil"/>
              <w:left w:val="nil"/>
              <w:bottom w:val="nil"/>
              <w:right w:val="nil"/>
            </w:tcBorders>
            <w:shd w:val="clear" w:color="auto" w:fill="auto"/>
            <w:noWrap/>
            <w:vAlign w:val="bottom"/>
            <w:hideMark/>
          </w:tcPr>
          <w:p w14:paraId="177362B3"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3.30</w:t>
            </w:r>
          </w:p>
        </w:tc>
        <w:tc>
          <w:tcPr>
            <w:tcW w:w="314" w:type="pct"/>
            <w:tcBorders>
              <w:top w:val="nil"/>
              <w:left w:val="nil"/>
              <w:bottom w:val="nil"/>
              <w:right w:val="nil"/>
            </w:tcBorders>
            <w:shd w:val="clear" w:color="auto" w:fill="auto"/>
            <w:noWrap/>
            <w:vAlign w:val="bottom"/>
            <w:hideMark/>
          </w:tcPr>
          <w:p w14:paraId="409E399B"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-1.22</w:t>
            </w:r>
          </w:p>
        </w:tc>
      </w:tr>
      <w:tr w:rsidR="009C5BF7" w:rsidRPr="00205CDD" w14:paraId="29583D69" w14:textId="77777777" w:rsidTr="009C5BF7">
        <w:trPr>
          <w:trHeight w:val="300"/>
        </w:trPr>
        <w:tc>
          <w:tcPr>
            <w:tcW w:w="490" w:type="pct"/>
            <w:tcBorders>
              <w:top w:val="nil"/>
              <w:left w:val="nil"/>
              <w:bottom w:val="nil"/>
              <w:right w:val="nil"/>
            </w:tcBorders>
            <w:shd w:val="clear" w:color="auto" w:fill="auto"/>
            <w:noWrap/>
            <w:vAlign w:val="bottom"/>
            <w:hideMark/>
          </w:tcPr>
          <w:p w14:paraId="159A93A1"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p>
        </w:tc>
        <w:tc>
          <w:tcPr>
            <w:tcW w:w="307" w:type="pct"/>
            <w:tcBorders>
              <w:top w:val="nil"/>
              <w:left w:val="nil"/>
              <w:bottom w:val="nil"/>
              <w:right w:val="nil"/>
            </w:tcBorders>
            <w:shd w:val="clear" w:color="auto" w:fill="auto"/>
            <w:noWrap/>
            <w:vAlign w:val="bottom"/>
            <w:hideMark/>
          </w:tcPr>
          <w:p w14:paraId="661E5616"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2015</w:t>
            </w:r>
          </w:p>
        </w:tc>
        <w:tc>
          <w:tcPr>
            <w:tcW w:w="204" w:type="pct"/>
            <w:tcBorders>
              <w:top w:val="nil"/>
              <w:left w:val="nil"/>
              <w:bottom w:val="nil"/>
              <w:right w:val="nil"/>
            </w:tcBorders>
            <w:shd w:val="clear" w:color="auto" w:fill="auto"/>
            <w:noWrap/>
            <w:vAlign w:val="bottom"/>
            <w:hideMark/>
          </w:tcPr>
          <w:p w14:paraId="34D97896"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39</w:t>
            </w:r>
          </w:p>
        </w:tc>
        <w:tc>
          <w:tcPr>
            <w:tcW w:w="336" w:type="pct"/>
            <w:tcBorders>
              <w:top w:val="nil"/>
              <w:left w:val="nil"/>
              <w:bottom w:val="nil"/>
              <w:right w:val="nil"/>
            </w:tcBorders>
            <w:shd w:val="clear" w:color="auto" w:fill="auto"/>
            <w:noWrap/>
            <w:vAlign w:val="bottom"/>
            <w:hideMark/>
          </w:tcPr>
          <w:p w14:paraId="15F3F03B"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0.69</w:t>
            </w:r>
          </w:p>
        </w:tc>
        <w:tc>
          <w:tcPr>
            <w:tcW w:w="314" w:type="pct"/>
            <w:tcBorders>
              <w:top w:val="nil"/>
              <w:left w:val="nil"/>
              <w:bottom w:val="nil"/>
              <w:right w:val="nil"/>
            </w:tcBorders>
            <w:shd w:val="clear" w:color="auto" w:fill="auto"/>
            <w:noWrap/>
            <w:vAlign w:val="bottom"/>
            <w:hideMark/>
          </w:tcPr>
          <w:p w14:paraId="4A53C3D3"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0.07</w:t>
            </w:r>
          </w:p>
        </w:tc>
        <w:tc>
          <w:tcPr>
            <w:tcW w:w="345" w:type="pct"/>
            <w:tcBorders>
              <w:top w:val="nil"/>
              <w:left w:val="nil"/>
              <w:bottom w:val="nil"/>
              <w:right w:val="nil"/>
            </w:tcBorders>
            <w:shd w:val="clear" w:color="auto" w:fill="auto"/>
            <w:noWrap/>
            <w:vAlign w:val="bottom"/>
            <w:hideMark/>
          </w:tcPr>
          <w:p w14:paraId="0A8C5EEE"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1.60</w:t>
            </w:r>
          </w:p>
        </w:tc>
        <w:tc>
          <w:tcPr>
            <w:tcW w:w="314" w:type="pct"/>
            <w:tcBorders>
              <w:top w:val="nil"/>
              <w:left w:val="nil"/>
              <w:bottom w:val="nil"/>
              <w:right w:val="nil"/>
            </w:tcBorders>
            <w:shd w:val="clear" w:color="auto" w:fill="auto"/>
            <w:noWrap/>
            <w:vAlign w:val="bottom"/>
            <w:hideMark/>
          </w:tcPr>
          <w:p w14:paraId="46228BCE"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-0.24</w:t>
            </w:r>
          </w:p>
        </w:tc>
        <w:tc>
          <w:tcPr>
            <w:tcW w:w="359" w:type="pct"/>
            <w:tcBorders>
              <w:top w:val="nil"/>
              <w:left w:val="nil"/>
              <w:bottom w:val="nil"/>
              <w:right w:val="nil"/>
            </w:tcBorders>
            <w:shd w:val="clear" w:color="auto" w:fill="auto"/>
            <w:noWrap/>
            <w:vAlign w:val="bottom"/>
            <w:hideMark/>
          </w:tcPr>
          <w:p w14:paraId="365A3248"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0.74</w:t>
            </w:r>
          </w:p>
        </w:tc>
        <w:tc>
          <w:tcPr>
            <w:tcW w:w="314" w:type="pct"/>
            <w:tcBorders>
              <w:top w:val="nil"/>
              <w:left w:val="nil"/>
              <w:bottom w:val="nil"/>
              <w:right w:val="nil"/>
            </w:tcBorders>
            <w:shd w:val="clear" w:color="auto" w:fill="auto"/>
            <w:noWrap/>
            <w:vAlign w:val="bottom"/>
            <w:hideMark/>
          </w:tcPr>
          <w:p w14:paraId="3D47C2D5"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0.09</w:t>
            </w:r>
          </w:p>
        </w:tc>
        <w:tc>
          <w:tcPr>
            <w:tcW w:w="281" w:type="pct"/>
            <w:tcBorders>
              <w:top w:val="nil"/>
              <w:left w:val="nil"/>
              <w:bottom w:val="nil"/>
              <w:right w:val="nil"/>
            </w:tcBorders>
            <w:shd w:val="clear" w:color="auto" w:fill="auto"/>
            <w:noWrap/>
            <w:vAlign w:val="bottom"/>
            <w:hideMark/>
          </w:tcPr>
          <w:p w14:paraId="050A3495"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1.25</w:t>
            </w:r>
          </w:p>
        </w:tc>
        <w:tc>
          <w:tcPr>
            <w:tcW w:w="314" w:type="pct"/>
            <w:tcBorders>
              <w:top w:val="nil"/>
              <w:left w:val="nil"/>
              <w:bottom w:val="nil"/>
              <w:right w:val="nil"/>
            </w:tcBorders>
            <w:shd w:val="clear" w:color="auto" w:fill="auto"/>
            <w:noWrap/>
            <w:vAlign w:val="bottom"/>
            <w:hideMark/>
          </w:tcPr>
          <w:p w14:paraId="738FEB61"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-0.32</w:t>
            </w:r>
          </w:p>
        </w:tc>
        <w:tc>
          <w:tcPr>
            <w:tcW w:w="335" w:type="pct"/>
            <w:tcBorders>
              <w:top w:val="nil"/>
              <w:left w:val="nil"/>
              <w:bottom w:val="nil"/>
              <w:right w:val="nil"/>
            </w:tcBorders>
            <w:shd w:val="clear" w:color="auto" w:fill="auto"/>
            <w:noWrap/>
            <w:vAlign w:val="bottom"/>
            <w:hideMark/>
          </w:tcPr>
          <w:p w14:paraId="7345CB5E"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0.87</w:t>
            </w:r>
          </w:p>
        </w:tc>
        <w:tc>
          <w:tcPr>
            <w:tcW w:w="283" w:type="pct"/>
            <w:tcBorders>
              <w:top w:val="nil"/>
              <w:left w:val="nil"/>
              <w:bottom w:val="nil"/>
              <w:right w:val="nil"/>
            </w:tcBorders>
            <w:shd w:val="clear" w:color="auto" w:fill="auto"/>
            <w:noWrap/>
            <w:vAlign w:val="bottom"/>
            <w:hideMark/>
          </w:tcPr>
          <w:p w14:paraId="5797BAFA"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0.09</w:t>
            </w:r>
          </w:p>
        </w:tc>
        <w:tc>
          <w:tcPr>
            <w:tcW w:w="490" w:type="pct"/>
            <w:tcBorders>
              <w:top w:val="nil"/>
              <w:left w:val="nil"/>
              <w:bottom w:val="nil"/>
              <w:right w:val="nil"/>
            </w:tcBorders>
            <w:shd w:val="clear" w:color="auto" w:fill="auto"/>
            <w:noWrap/>
            <w:vAlign w:val="bottom"/>
            <w:hideMark/>
          </w:tcPr>
          <w:p w14:paraId="72ECDCF6"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2.15</w:t>
            </w:r>
          </w:p>
        </w:tc>
        <w:tc>
          <w:tcPr>
            <w:tcW w:w="314" w:type="pct"/>
            <w:tcBorders>
              <w:top w:val="nil"/>
              <w:left w:val="nil"/>
              <w:bottom w:val="nil"/>
              <w:right w:val="nil"/>
            </w:tcBorders>
            <w:shd w:val="clear" w:color="auto" w:fill="auto"/>
            <w:noWrap/>
            <w:vAlign w:val="bottom"/>
            <w:hideMark/>
          </w:tcPr>
          <w:p w14:paraId="03E5C8E6"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-1.57</w:t>
            </w:r>
          </w:p>
        </w:tc>
      </w:tr>
      <w:tr w:rsidR="009C5BF7" w:rsidRPr="00205CDD" w14:paraId="5B35E34F" w14:textId="77777777" w:rsidTr="009C5BF7">
        <w:trPr>
          <w:trHeight w:val="300"/>
        </w:trPr>
        <w:tc>
          <w:tcPr>
            <w:tcW w:w="490" w:type="pct"/>
            <w:tcBorders>
              <w:top w:val="nil"/>
              <w:left w:val="nil"/>
              <w:bottom w:val="nil"/>
              <w:right w:val="nil"/>
            </w:tcBorders>
            <w:shd w:val="clear" w:color="auto" w:fill="auto"/>
            <w:noWrap/>
            <w:vAlign w:val="bottom"/>
            <w:hideMark/>
          </w:tcPr>
          <w:p w14:paraId="3938AAFA" w14:textId="77777777" w:rsidR="009C5BF7" w:rsidRPr="00205CDD" w:rsidRDefault="009C5BF7" w:rsidP="006D6D58">
            <w:pPr>
              <w:spacing w:after="0" w:line="240" w:lineRule="auto"/>
              <w:jc w:val="lef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O</w:t>
            </w:r>
            <w:r>
              <w:rPr>
                <w:rFonts w:ascii="Calibri" w:eastAsia="Times New Roman" w:hAnsi="Calibri" w:cs="Calibri"/>
                <w:color w:val="000000"/>
                <w:sz w:val="22"/>
                <w:vertAlign w:val="subscript"/>
                <w:lang w:val="en-US"/>
              </w:rPr>
              <w:t>3</w:t>
            </w:r>
          </w:p>
        </w:tc>
        <w:tc>
          <w:tcPr>
            <w:tcW w:w="307" w:type="pct"/>
            <w:tcBorders>
              <w:top w:val="nil"/>
              <w:left w:val="nil"/>
              <w:bottom w:val="nil"/>
              <w:right w:val="nil"/>
            </w:tcBorders>
            <w:shd w:val="clear" w:color="auto" w:fill="auto"/>
            <w:noWrap/>
            <w:vAlign w:val="bottom"/>
            <w:hideMark/>
          </w:tcPr>
          <w:p w14:paraId="4E041DC0"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2011</w:t>
            </w:r>
          </w:p>
        </w:tc>
        <w:tc>
          <w:tcPr>
            <w:tcW w:w="204" w:type="pct"/>
            <w:tcBorders>
              <w:top w:val="nil"/>
              <w:left w:val="nil"/>
              <w:bottom w:val="nil"/>
              <w:right w:val="nil"/>
            </w:tcBorders>
            <w:shd w:val="clear" w:color="auto" w:fill="auto"/>
            <w:noWrap/>
            <w:vAlign w:val="bottom"/>
            <w:hideMark/>
          </w:tcPr>
          <w:p w14:paraId="0EF61BEE"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55</w:t>
            </w:r>
          </w:p>
        </w:tc>
        <w:tc>
          <w:tcPr>
            <w:tcW w:w="336" w:type="pct"/>
            <w:tcBorders>
              <w:top w:val="nil"/>
              <w:left w:val="nil"/>
              <w:bottom w:val="nil"/>
              <w:right w:val="nil"/>
            </w:tcBorders>
            <w:shd w:val="clear" w:color="auto" w:fill="auto"/>
            <w:noWrap/>
            <w:vAlign w:val="bottom"/>
            <w:hideMark/>
          </w:tcPr>
          <w:p w14:paraId="129A3063"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0.74</w:t>
            </w:r>
          </w:p>
        </w:tc>
        <w:tc>
          <w:tcPr>
            <w:tcW w:w="314" w:type="pct"/>
            <w:tcBorders>
              <w:top w:val="nil"/>
              <w:left w:val="nil"/>
              <w:bottom w:val="nil"/>
              <w:right w:val="nil"/>
            </w:tcBorders>
            <w:shd w:val="clear" w:color="auto" w:fill="auto"/>
            <w:noWrap/>
            <w:vAlign w:val="bottom"/>
            <w:hideMark/>
          </w:tcPr>
          <w:p w14:paraId="403EFEE9"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0.08</w:t>
            </w:r>
          </w:p>
        </w:tc>
        <w:tc>
          <w:tcPr>
            <w:tcW w:w="345" w:type="pct"/>
            <w:tcBorders>
              <w:top w:val="nil"/>
              <w:left w:val="nil"/>
              <w:bottom w:val="nil"/>
              <w:right w:val="nil"/>
            </w:tcBorders>
            <w:shd w:val="clear" w:color="auto" w:fill="auto"/>
            <w:noWrap/>
            <w:vAlign w:val="bottom"/>
            <w:hideMark/>
          </w:tcPr>
          <w:p w14:paraId="4BC60C48"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4.84</w:t>
            </w:r>
          </w:p>
        </w:tc>
        <w:tc>
          <w:tcPr>
            <w:tcW w:w="314" w:type="pct"/>
            <w:tcBorders>
              <w:top w:val="nil"/>
              <w:left w:val="nil"/>
              <w:bottom w:val="nil"/>
              <w:right w:val="nil"/>
            </w:tcBorders>
            <w:shd w:val="clear" w:color="auto" w:fill="auto"/>
            <w:noWrap/>
            <w:vAlign w:val="bottom"/>
            <w:hideMark/>
          </w:tcPr>
          <w:p w14:paraId="07D2059E"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-0.79</w:t>
            </w:r>
          </w:p>
        </w:tc>
        <w:tc>
          <w:tcPr>
            <w:tcW w:w="359" w:type="pct"/>
            <w:tcBorders>
              <w:top w:val="nil"/>
              <w:left w:val="nil"/>
              <w:bottom w:val="nil"/>
              <w:right w:val="nil"/>
            </w:tcBorders>
            <w:shd w:val="clear" w:color="auto" w:fill="auto"/>
            <w:noWrap/>
            <w:vAlign w:val="bottom"/>
            <w:hideMark/>
          </w:tcPr>
          <w:p w14:paraId="1F2E419D"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0.44</w:t>
            </w:r>
          </w:p>
        </w:tc>
        <w:tc>
          <w:tcPr>
            <w:tcW w:w="314" w:type="pct"/>
            <w:tcBorders>
              <w:top w:val="nil"/>
              <w:left w:val="nil"/>
              <w:bottom w:val="nil"/>
              <w:right w:val="nil"/>
            </w:tcBorders>
            <w:shd w:val="clear" w:color="auto" w:fill="auto"/>
            <w:noWrap/>
            <w:vAlign w:val="bottom"/>
            <w:hideMark/>
          </w:tcPr>
          <w:p w14:paraId="4C97D4E3"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-0.03</w:t>
            </w:r>
          </w:p>
        </w:tc>
        <w:tc>
          <w:tcPr>
            <w:tcW w:w="281" w:type="pct"/>
            <w:tcBorders>
              <w:top w:val="nil"/>
              <w:left w:val="nil"/>
              <w:bottom w:val="nil"/>
              <w:right w:val="nil"/>
            </w:tcBorders>
            <w:shd w:val="clear" w:color="auto" w:fill="auto"/>
            <w:noWrap/>
            <w:vAlign w:val="bottom"/>
            <w:hideMark/>
          </w:tcPr>
          <w:p w14:paraId="77CEF2C9"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3.86</w:t>
            </w:r>
          </w:p>
        </w:tc>
        <w:tc>
          <w:tcPr>
            <w:tcW w:w="314" w:type="pct"/>
            <w:tcBorders>
              <w:top w:val="nil"/>
              <w:left w:val="nil"/>
              <w:bottom w:val="nil"/>
              <w:right w:val="nil"/>
            </w:tcBorders>
            <w:shd w:val="clear" w:color="auto" w:fill="auto"/>
            <w:noWrap/>
            <w:vAlign w:val="bottom"/>
            <w:hideMark/>
          </w:tcPr>
          <w:p w14:paraId="5944FF8E"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-0.43</w:t>
            </w:r>
          </w:p>
        </w:tc>
        <w:tc>
          <w:tcPr>
            <w:tcW w:w="335" w:type="pct"/>
            <w:tcBorders>
              <w:top w:val="nil"/>
              <w:left w:val="nil"/>
              <w:bottom w:val="nil"/>
              <w:right w:val="nil"/>
            </w:tcBorders>
            <w:shd w:val="clear" w:color="auto" w:fill="auto"/>
            <w:noWrap/>
            <w:vAlign w:val="bottom"/>
            <w:hideMark/>
          </w:tcPr>
          <w:p w14:paraId="470CD236"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0.96</w:t>
            </w:r>
          </w:p>
        </w:tc>
        <w:tc>
          <w:tcPr>
            <w:tcW w:w="283" w:type="pct"/>
            <w:tcBorders>
              <w:top w:val="nil"/>
              <w:left w:val="nil"/>
              <w:bottom w:val="nil"/>
              <w:right w:val="nil"/>
            </w:tcBorders>
            <w:shd w:val="clear" w:color="auto" w:fill="auto"/>
            <w:noWrap/>
            <w:vAlign w:val="bottom"/>
            <w:hideMark/>
          </w:tcPr>
          <w:p w14:paraId="51E94379"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0.07</w:t>
            </w:r>
          </w:p>
        </w:tc>
        <w:tc>
          <w:tcPr>
            <w:tcW w:w="490" w:type="pct"/>
            <w:tcBorders>
              <w:top w:val="nil"/>
              <w:left w:val="nil"/>
              <w:bottom w:val="nil"/>
              <w:right w:val="nil"/>
            </w:tcBorders>
            <w:shd w:val="clear" w:color="auto" w:fill="auto"/>
            <w:noWrap/>
            <w:vAlign w:val="bottom"/>
            <w:hideMark/>
          </w:tcPr>
          <w:p w14:paraId="7CCE5B56"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1.89</w:t>
            </w:r>
          </w:p>
        </w:tc>
        <w:tc>
          <w:tcPr>
            <w:tcW w:w="314" w:type="pct"/>
            <w:tcBorders>
              <w:top w:val="nil"/>
              <w:left w:val="nil"/>
              <w:bottom w:val="nil"/>
              <w:right w:val="nil"/>
            </w:tcBorders>
            <w:shd w:val="clear" w:color="auto" w:fill="auto"/>
            <w:noWrap/>
            <w:vAlign w:val="bottom"/>
            <w:hideMark/>
          </w:tcPr>
          <w:p w14:paraId="1392DF0B"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-3.54</w:t>
            </w:r>
          </w:p>
        </w:tc>
      </w:tr>
      <w:tr w:rsidR="009C5BF7" w:rsidRPr="00205CDD" w14:paraId="58CDE2D3" w14:textId="77777777" w:rsidTr="009C5BF7">
        <w:trPr>
          <w:trHeight w:val="300"/>
        </w:trPr>
        <w:tc>
          <w:tcPr>
            <w:tcW w:w="490" w:type="pct"/>
            <w:tcBorders>
              <w:top w:val="nil"/>
              <w:left w:val="nil"/>
              <w:bottom w:val="nil"/>
              <w:right w:val="nil"/>
            </w:tcBorders>
            <w:shd w:val="clear" w:color="auto" w:fill="auto"/>
            <w:noWrap/>
            <w:vAlign w:val="bottom"/>
            <w:hideMark/>
          </w:tcPr>
          <w:p w14:paraId="3D5E3733"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p>
        </w:tc>
        <w:tc>
          <w:tcPr>
            <w:tcW w:w="307" w:type="pct"/>
            <w:tcBorders>
              <w:top w:val="nil"/>
              <w:left w:val="nil"/>
              <w:bottom w:val="nil"/>
              <w:right w:val="nil"/>
            </w:tcBorders>
            <w:shd w:val="clear" w:color="auto" w:fill="auto"/>
            <w:noWrap/>
            <w:vAlign w:val="bottom"/>
            <w:hideMark/>
          </w:tcPr>
          <w:p w14:paraId="62786FC6"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2012</w:t>
            </w:r>
          </w:p>
        </w:tc>
        <w:tc>
          <w:tcPr>
            <w:tcW w:w="204" w:type="pct"/>
            <w:tcBorders>
              <w:top w:val="nil"/>
              <w:left w:val="nil"/>
              <w:bottom w:val="nil"/>
              <w:right w:val="nil"/>
            </w:tcBorders>
            <w:shd w:val="clear" w:color="auto" w:fill="auto"/>
            <w:noWrap/>
            <w:vAlign w:val="bottom"/>
            <w:hideMark/>
          </w:tcPr>
          <w:p w14:paraId="4164ED60"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57</w:t>
            </w:r>
          </w:p>
        </w:tc>
        <w:tc>
          <w:tcPr>
            <w:tcW w:w="336" w:type="pct"/>
            <w:tcBorders>
              <w:top w:val="nil"/>
              <w:left w:val="nil"/>
              <w:bottom w:val="nil"/>
              <w:right w:val="nil"/>
            </w:tcBorders>
            <w:shd w:val="clear" w:color="auto" w:fill="auto"/>
            <w:noWrap/>
            <w:vAlign w:val="bottom"/>
            <w:hideMark/>
          </w:tcPr>
          <w:p w14:paraId="57F34BAC"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0.80</w:t>
            </w:r>
          </w:p>
        </w:tc>
        <w:tc>
          <w:tcPr>
            <w:tcW w:w="314" w:type="pct"/>
            <w:tcBorders>
              <w:top w:val="nil"/>
              <w:left w:val="nil"/>
              <w:bottom w:val="nil"/>
              <w:right w:val="nil"/>
            </w:tcBorders>
            <w:shd w:val="clear" w:color="auto" w:fill="auto"/>
            <w:noWrap/>
            <w:vAlign w:val="bottom"/>
            <w:hideMark/>
          </w:tcPr>
          <w:p w14:paraId="2BAAF07C"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0.05</w:t>
            </w:r>
          </w:p>
        </w:tc>
        <w:tc>
          <w:tcPr>
            <w:tcW w:w="345" w:type="pct"/>
            <w:tcBorders>
              <w:top w:val="nil"/>
              <w:left w:val="nil"/>
              <w:bottom w:val="nil"/>
              <w:right w:val="nil"/>
            </w:tcBorders>
            <w:shd w:val="clear" w:color="auto" w:fill="auto"/>
            <w:noWrap/>
            <w:vAlign w:val="bottom"/>
            <w:hideMark/>
          </w:tcPr>
          <w:p w14:paraId="57D88735"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4.43</w:t>
            </w:r>
          </w:p>
        </w:tc>
        <w:tc>
          <w:tcPr>
            <w:tcW w:w="314" w:type="pct"/>
            <w:tcBorders>
              <w:top w:val="nil"/>
              <w:left w:val="nil"/>
              <w:bottom w:val="nil"/>
              <w:right w:val="nil"/>
            </w:tcBorders>
            <w:shd w:val="clear" w:color="auto" w:fill="auto"/>
            <w:noWrap/>
            <w:vAlign w:val="bottom"/>
            <w:hideMark/>
          </w:tcPr>
          <w:p w14:paraId="28C7E501"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-0.74</w:t>
            </w:r>
          </w:p>
        </w:tc>
        <w:tc>
          <w:tcPr>
            <w:tcW w:w="359" w:type="pct"/>
            <w:tcBorders>
              <w:top w:val="nil"/>
              <w:left w:val="nil"/>
              <w:bottom w:val="nil"/>
              <w:right w:val="nil"/>
            </w:tcBorders>
            <w:shd w:val="clear" w:color="auto" w:fill="auto"/>
            <w:noWrap/>
            <w:vAlign w:val="bottom"/>
            <w:hideMark/>
          </w:tcPr>
          <w:p w14:paraId="17A92EA8"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0.35</w:t>
            </w:r>
          </w:p>
        </w:tc>
        <w:tc>
          <w:tcPr>
            <w:tcW w:w="314" w:type="pct"/>
            <w:tcBorders>
              <w:top w:val="nil"/>
              <w:left w:val="nil"/>
              <w:bottom w:val="nil"/>
              <w:right w:val="nil"/>
            </w:tcBorders>
            <w:shd w:val="clear" w:color="auto" w:fill="auto"/>
            <w:noWrap/>
            <w:vAlign w:val="bottom"/>
            <w:hideMark/>
          </w:tcPr>
          <w:p w14:paraId="506FADF5"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-0.01</w:t>
            </w:r>
          </w:p>
        </w:tc>
        <w:tc>
          <w:tcPr>
            <w:tcW w:w="281" w:type="pct"/>
            <w:tcBorders>
              <w:top w:val="nil"/>
              <w:left w:val="nil"/>
              <w:bottom w:val="nil"/>
              <w:right w:val="nil"/>
            </w:tcBorders>
            <w:shd w:val="clear" w:color="auto" w:fill="auto"/>
            <w:noWrap/>
            <w:vAlign w:val="bottom"/>
            <w:hideMark/>
          </w:tcPr>
          <w:p w14:paraId="6771826B"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3.56</w:t>
            </w:r>
          </w:p>
        </w:tc>
        <w:tc>
          <w:tcPr>
            <w:tcW w:w="314" w:type="pct"/>
            <w:tcBorders>
              <w:top w:val="nil"/>
              <w:left w:val="nil"/>
              <w:bottom w:val="nil"/>
              <w:right w:val="nil"/>
            </w:tcBorders>
            <w:shd w:val="clear" w:color="auto" w:fill="auto"/>
            <w:noWrap/>
            <w:vAlign w:val="bottom"/>
            <w:hideMark/>
          </w:tcPr>
          <w:p w14:paraId="08A52ABA"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-0.39</w:t>
            </w:r>
          </w:p>
        </w:tc>
        <w:tc>
          <w:tcPr>
            <w:tcW w:w="335" w:type="pct"/>
            <w:tcBorders>
              <w:top w:val="nil"/>
              <w:left w:val="nil"/>
              <w:bottom w:val="nil"/>
              <w:right w:val="nil"/>
            </w:tcBorders>
            <w:shd w:val="clear" w:color="auto" w:fill="auto"/>
            <w:noWrap/>
            <w:vAlign w:val="bottom"/>
            <w:hideMark/>
          </w:tcPr>
          <w:p w14:paraId="4364CB9B"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0.91</w:t>
            </w:r>
          </w:p>
        </w:tc>
        <w:tc>
          <w:tcPr>
            <w:tcW w:w="283" w:type="pct"/>
            <w:tcBorders>
              <w:top w:val="nil"/>
              <w:left w:val="nil"/>
              <w:bottom w:val="nil"/>
              <w:right w:val="nil"/>
            </w:tcBorders>
            <w:shd w:val="clear" w:color="auto" w:fill="auto"/>
            <w:noWrap/>
            <w:vAlign w:val="bottom"/>
            <w:hideMark/>
          </w:tcPr>
          <w:p w14:paraId="0CE3CF54"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0.08</w:t>
            </w:r>
          </w:p>
        </w:tc>
        <w:tc>
          <w:tcPr>
            <w:tcW w:w="490" w:type="pct"/>
            <w:tcBorders>
              <w:top w:val="nil"/>
              <w:left w:val="nil"/>
              <w:bottom w:val="nil"/>
              <w:right w:val="nil"/>
            </w:tcBorders>
            <w:shd w:val="clear" w:color="auto" w:fill="auto"/>
            <w:noWrap/>
            <w:vAlign w:val="bottom"/>
            <w:hideMark/>
          </w:tcPr>
          <w:p w14:paraId="1A959113"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4.40</w:t>
            </w:r>
          </w:p>
        </w:tc>
        <w:tc>
          <w:tcPr>
            <w:tcW w:w="314" w:type="pct"/>
            <w:tcBorders>
              <w:top w:val="nil"/>
              <w:left w:val="nil"/>
              <w:bottom w:val="nil"/>
              <w:right w:val="nil"/>
            </w:tcBorders>
            <w:shd w:val="clear" w:color="auto" w:fill="auto"/>
            <w:noWrap/>
            <w:vAlign w:val="bottom"/>
            <w:hideMark/>
          </w:tcPr>
          <w:p w14:paraId="76EB4B48"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-3.29</w:t>
            </w:r>
          </w:p>
        </w:tc>
      </w:tr>
      <w:tr w:rsidR="009C5BF7" w:rsidRPr="00205CDD" w14:paraId="013263FF" w14:textId="77777777" w:rsidTr="009C5BF7">
        <w:trPr>
          <w:trHeight w:val="300"/>
        </w:trPr>
        <w:tc>
          <w:tcPr>
            <w:tcW w:w="490" w:type="pct"/>
            <w:tcBorders>
              <w:top w:val="nil"/>
              <w:left w:val="nil"/>
              <w:bottom w:val="nil"/>
              <w:right w:val="nil"/>
            </w:tcBorders>
            <w:shd w:val="clear" w:color="auto" w:fill="auto"/>
            <w:noWrap/>
            <w:vAlign w:val="bottom"/>
            <w:hideMark/>
          </w:tcPr>
          <w:p w14:paraId="6D83A8F8"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p>
        </w:tc>
        <w:tc>
          <w:tcPr>
            <w:tcW w:w="307" w:type="pct"/>
            <w:tcBorders>
              <w:top w:val="nil"/>
              <w:left w:val="nil"/>
              <w:bottom w:val="nil"/>
              <w:right w:val="nil"/>
            </w:tcBorders>
            <w:shd w:val="clear" w:color="auto" w:fill="auto"/>
            <w:noWrap/>
            <w:vAlign w:val="bottom"/>
            <w:hideMark/>
          </w:tcPr>
          <w:p w14:paraId="6EF616A5"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2013</w:t>
            </w:r>
          </w:p>
        </w:tc>
        <w:tc>
          <w:tcPr>
            <w:tcW w:w="204" w:type="pct"/>
            <w:tcBorders>
              <w:top w:val="nil"/>
              <w:left w:val="nil"/>
              <w:bottom w:val="nil"/>
              <w:right w:val="nil"/>
            </w:tcBorders>
            <w:shd w:val="clear" w:color="auto" w:fill="auto"/>
            <w:noWrap/>
            <w:vAlign w:val="bottom"/>
            <w:hideMark/>
          </w:tcPr>
          <w:p w14:paraId="71CFAF26"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55</w:t>
            </w:r>
          </w:p>
        </w:tc>
        <w:tc>
          <w:tcPr>
            <w:tcW w:w="336" w:type="pct"/>
            <w:tcBorders>
              <w:top w:val="nil"/>
              <w:left w:val="nil"/>
              <w:bottom w:val="nil"/>
              <w:right w:val="nil"/>
            </w:tcBorders>
            <w:shd w:val="clear" w:color="auto" w:fill="auto"/>
            <w:noWrap/>
            <w:vAlign w:val="bottom"/>
            <w:hideMark/>
          </w:tcPr>
          <w:p w14:paraId="477F44B5"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0.91</w:t>
            </w:r>
          </w:p>
        </w:tc>
        <w:tc>
          <w:tcPr>
            <w:tcW w:w="314" w:type="pct"/>
            <w:tcBorders>
              <w:top w:val="nil"/>
              <w:left w:val="nil"/>
              <w:bottom w:val="nil"/>
              <w:right w:val="nil"/>
            </w:tcBorders>
            <w:shd w:val="clear" w:color="auto" w:fill="auto"/>
            <w:noWrap/>
            <w:vAlign w:val="bottom"/>
            <w:hideMark/>
          </w:tcPr>
          <w:p w14:paraId="787BAFFD"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0.03</w:t>
            </w:r>
          </w:p>
        </w:tc>
        <w:tc>
          <w:tcPr>
            <w:tcW w:w="345" w:type="pct"/>
            <w:tcBorders>
              <w:top w:val="nil"/>
              <w:left w:val="nil"/>
              <w:bottom w:val="nil"/>
              <w:right w:val="nil"/>
            </w:tcBorders>
            <w:shd w:val="clear" w:color="auto" w:fill="auto"/>
            <w:noWrap/>
            <w:vAlign w:val="bottom"/>
            <w:hideMark/>
          </w:tcPr>
          <w:p w14:paraId="3C1B6DC1"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3.13</w:t>
            </w:r>
          </w:p>
        </w:tc>
        <w:tc>
          <w:tcPr>
            <w:tcW w:w="314" w:type="pct"/>
            <w:tcBorders>
              <w:top w:val="nil"/>
              <w:left w:val="nil"/>
              <w:bottom w:val="nil"/>
              <w:right w:val="nil"/>
            </w:tcBorders>
            <w:shd w:val="clear" w:color="auto" w:fill="auto"/>
            <w:noWrap/>
            <w:vAlign w:val="bottom"/>
            <w:hideMark/>
          </w:tcPr>
          <w:p w14:paraId="034E4DDF"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-0.68</w:t>
            </w:r>
          </w:p>
        </w:tc>
        <w:tc>
          <w:tcPr>
            <w:tcW w:w="359" w:type="pct"/>
            <w:tcBorders>
              <w:top w:val="nil"/>
              <w:left w:val="nil"/>
              <w:bottom w:val="nil"/>
              <w:right w:val="nil"/>
            </w:tcBorders>
            <w:shd w:val="clear" w:color="auto" w:fill="auto"/>
            <w:noWrap/>
            <w:vAlign w:val="bottom"/>
            <w:hideMark/>
          </w:tcPr>
          <w:p w14:paraId="6E0E25CC"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0.26</w:t>
            </w:r>
          </w:p>
        </w:tc>
        <w:tc>
          <w:tcPr>
            <w:tcW w:w="314" w:type="pct"/>
            <w:tcBorders>
              <w:top w:val="nil"/>
              <w:left w:val="nil"/>
              <w:bottom w:val="nil"/>
              <w:right w:val="nil"/>
            </w:tcBorders>
            <w:shd w:val="clear" w:color="auto" w:fill="auto"/>
            <w:noWrap/>
            <w:vAlign w:val="bottom"/>
            <w:hideMark/>
          </w:tcPr>
          <w:p w14:paraId="2FCCEF62"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0.00</w:t>
            </w:r>
          </w:p>
        </w:tc>
        <w:tc>
          <w:tcPr>
            <w:tcW w:w="281" w:type="pct"/>
            <w:tcBorders>
              <w:top w:val="nil"/>
              <w:left w:val="nil"/>
              <w:bottom w:val="nil"/>
              <w:right w:val="nil"/>
            </w:tcBorders>
            <w:shd w:val="clear" w:color="auto" w:fill="auto"/>
            <w:noWrap/>
            <w:vAlign w:val="bottom"/>
            <w:hideMark/>
          </w:tcPr>
          <w:p w14:paraId="64085F23"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2.50</w:t>
            </w:r>
          </w:p>
        </w:tc>
        <w:tc>
          <w:tcPr>
            <w:tcW w:w="314" w:type="pct"/>
            <w:tcBorders>
              <w:top w:val="nil"/>
              <w:left w:val="nil"/>
              <w:bottom w:val="nil"/>
              <w:right w:val="nil"/>
            </w:tcBorders>
            <w:shd w:val="clear" w:color="auto" w:fill="auto"/>
            <w:noWrap/>
            <w:vAlign w:val="bottom"/>
            <w:hideMark/>
          </w:tcPr>
          <w:p w14:paraId="3036A811"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-0.55</w:t>
            </w:r>
          </w:p>
        </w:tc>
        <w:tc>
          <w:tcPr>
            <w:tcW w:w="335" w:type="pct"/>
            <w:tcBorders>
              <w:top w:val="nil"/>
              <w:left w:val="nil"/>
              <w:bottom w:val="nil"/>
              <w:right w:val="nil"/>
            </w:tcBorders>
            <w:shd w:val="clear" w:color="auto" w:fill="auto"/>
            <w:noWrap/>
            <w:vAlign w:val="bottom"/>
            <w:hideMark/>
          </w:tcPr>
          <w:p w14:paraId="3BDA72A9"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1.00</w:t>
            </w:r>
          </w:p>
        </w:tc>
        <w:tc>
          <w:tcPr>
            <w:tcW w:w="283" w:type="pct"/>
            <w:tcBorders>
              <w:top w:val="nil"/>
              <w:left w:val="nil"/>
              <w:bottom w:val="nil"/>
              <w:right w:val="nil"/>
            </w:tcBorders>
            <w:shd w:val="clear" w:color="auto" w:fill="auto"/>
            <w:noWrap/>
            <w:vAlign w:val="bottom"/>
            <w:hideMark/>
          </w:tcPr>
          <w:p w14:paraId="466D991B"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0.10</w:t>
            </w:r>
          </w:p>
        </w:tc>
        <w:tc>
          <w:tcPr>
            <w:tcW w:w="490" w:type="pct"/>
            <w:tcBorders>
              <w:top w:val="nil"/>
              <w:left w:val="nil"/>
              <w:bottom w:val="nil"/>
              <w:right w:val="nil"/>
            </w:tcBorders>
            <w:shd w:val="clear" w:color="auto" w:fill="auto"/>
            <w:noWrap/>
            <w:vAlign w:val="bottom"/>
            <w:hideMark/>
          </w:tcPr>
          <w:p w14:paraId="7597873C"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-0.03</w:t>
            </w:r>
          </w:p>
        </w:tc>
        <w:tc>
          <w:tcPr>
            <w:tcW w:w="314" w:type="pct"/>
            <w:tcBorders>
              <w:top w:val="nil"/>
              <w:left w:val="nil"/>
              <w:bottom w:val="nil"/>
              <w:right w:val="nil"/>
            </w:tcBorders>
            <w:shd w:val="clear" w:color="auto" w:fill="auto"/>
            <w:noWrap/>
            <w:vAlign w:val="bottom"/>
            <w:hideMark/>
          </w:tcPr>
          <w:p w14:paraId="512BEE40"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-5.03</w:t>
            </w:r>
          </w:p>
        </w:tc>
      </w:tr>
      <w:tr w:rsidR="009C5BF7" w:rsidRPr="00205CDD" w14:paraId="1E94266A" w14:textId="77777777" w:rsidTr="009C5BF7">
        <w:trPr>
          <w:trHeight w:val="300"/>
        </w:trPr>
        <w:tc>
          <w:tcPr>
            <w:tcW w:w="490" w:type="pct"/>
            <w:tcBorders>
              <w:top w:val="nil"/>
              <w:left w:val="nil"/>
              <w:bottom w:val="nil"/>
              <w:right w:val="nil"/>
            </w:tcBorders>
            <w:shd w:val="clear" w:color="auto" w:fill="auto"/>
            <w:noWrap/>
            <w:vAlign w:val="bottom"/>
            <w:hideMark/>
          </w:tcPr>
          <w:p w14:paraId="0532F161"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p>
        </w:tc>
        <w:tc>
          <w:tcPr>
            <w:tcW w:w="307" w:type="pct"/>
            <w:tcBorders>
              <w:top w:val="nil"/>
              <w:left w:val="nil"/>
              <w:bottom w:val="nil"/>
              <w:right w:val="nil"/>
            </w:tcBorders>
            <w:shd w:val="clear" w:color="auto" w:fill="auto"/>
            <w:noWrap/>
            <w:vAlign w:val="bottom"/>
            <w:hideMark/>
          </w:tcPr>
          <w:p w14:paraId="0E62C225"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2014</w:t>
            </w:r>
          </w:p>
        </w:tc>
        <w:tc>
          <w:tcPr>
            <w:tcW w:w="204" w:type="pct"/>
            <w:tcBorders>
              <w:top w:val="nil"/>
              <w:left w:val="nil"/>
              <w:bottom w:val="nil"/>
              <w:right w:val="nil"/>
            </w:tcBorders>
            <w:shd w:val="clear" w:color="auto" w:fill="auto"/>
            <w:noWrap/>
            <w:vAlign w:val="bottom"/>
            <w:hideMark/>
          </w:tcPr>
          <w:p w14:paraId="7DBEB6B9"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56</w:t>
            </w:r>
          </w:p>
        </w:tc>
        <w:tc>
          <w:tcPr>
            <w:tcW w:w="336" w:type="pct"/>
            <w:tcBorders>
              <w:top w:val="nil"/>
              <w:left w:val="nil"/>
              <w:bottom w:val="nil"/>
              <w:right w:val="nil"/>
            </w:tcBorders>
            <w:shd w:val="clear" w:color="auto" w:fill="auto"/>
            <w:noWrap/>
            <w:vAlign w:val="bottom"/>
            <w:hideMark/>
          </w:tcPr>
          <w:p w14:paraId="1874CCD4"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0.87</w:t>
            </w:r>
          </w:p>
        </w:tc>
        <w:tc>
          <w:tcPr>
            <w:tcW w:w="314" w:type="pct"/>
            <w:tcBorders>
              <w:top w:val="nil"/>
              <w:left w:val="nil"/>
              <w:bottom w:val="nil"/>
              <w:right w:val="nil"/>
            </w:tcBorders>
            <w:shd w:val="clear" w:color="auto" w:fill="auto"/>
            <w:noWrap/>
            <w:vAlign w:val="bottom"/>
            <w:hideMark/>
          </w:tcPr>
          <w:p w14:paraId="53E2A32D"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0.08</w:t>
            </w:r>
          </w:p>
        </w:tc>
        <w:tc>
          <w:tcPr>
            <w:tcW w:w="345" w:type="pct"/>
            <w:tcBorders>
              <w:top w:val="nil"/>
              <w:left w:val="nil"/>
              <w:bottom w:val="nil"/>
              <w:right w:val="nil"/>
            </w:tcBorders>
            <w:shd w:val="clear" w:color="auto" w:fill="auto"/>
            <w:noWrap/>
            <w:vAlign w:val="bottom"/>
            <w:hideMark/>
          </w:tcPr>
          <w:p w14:paraId="389ADE19"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3.78</w:t>
            </w:r>
          </w:p>
        </w:tc>
        <w:tc>
          <w:tcPr>
            <w:tcW w:w="314" w:type="pct"/>
            <w:tcBorders>
              <w:top w:val="nil"/>
              <w:left w:val="nil"/>
              <w:bottom w:val="nil"/>
              <w:right w:val="nil"/>
            </w:tcBorders>
            <w:shd w:val="clear" w:color="auto" w:fill="auto"/>
            <w:noWrap/>
            <w:vAlign w:val="bottom"/>
            <w:hideMark/>
          </w:tcPr>
          <w:p w14:paraId="28473C60"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-1.06</w:t>
            </w:r>
          </w:p>
        </w:tc>
        <w:tc>
          <w:tcPr>
            <w:tcW w:w="359" w:type="pct"/>
            <w:tcBorders>
              <w:top w:val="nil"/>
              <w:left w:val="nil"/>
              <w:bottom w:val="nil"/>
              <w:right w:val="nil"/>
            </w:tcBorders>
            <w:shd w:val="clear" w:color="auto" w:fill="auto"/>
            <w:noWrap/>
            <w:vAlign w:val="bottom"/>
            <w:hideMark/>
          </w:tcPr>
          <w:p w14:paraId="4FE3F9CD"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0.29</w:t>
            </w:r>
          </w:p>
        </w:tc>
        <w:tc>
          <w:tcPr>
            <w:tcW w:w="314" w:type="pct"/>
            <w:tcBorders>
              <w:top w:val="nil"/>
              <w:left w:val="nil"/>
              <w:bottom w:val="nil"/>
              <w:right w:val="nil"/>
            </w:tcBorders>
            <w:shd w:val="clear" w:color="auto" w:fill="auto"/>
            <w:noWrap/>
            <w:vAlign w:val="bottom"/>
            <w:hideMark/>
          </w:tcPr>
          <w:p w14:paraId="77F31FE3"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-0.05</w:t>
            </w:r>
          </w:p>
        </w:tc>
        <w:tc>
          <w:tcPr>
            <w:tcW w:w="281" w:type="pct"/>
            <w:tcBorders>
              <w:top w:val="nil"/>
              <w:left w:val="nil"/>
              <w:bottom w:val="nil"/>
              <w:right w:val="nil"/>
            </w:tcBorders>
            <w:shd w:val="clear" w:color="auto" w:fill="auto"/>
            <w:noWrap/>
            <w:vAlign w:val="bottom"/>
            <w:hideMark/>
          </w:tcPr>
          <w:p w14:paraId="451B2F51"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2.72</w:t>
            </w:r>
          </w:p>
        </w:tc>
        <w:tc>
          <w:tcPr>
            <w:tcW w:w="314" w:type="pct"/>
            <w:tcBorders>
              <w:top w:val="nil"/>
              <w:left w:val="nil"/>
              <w:bottom w:val="nil"/>
              <w:right w:val="nil"/>
            </w:tcBorders>
            <w:shd w:val="clear" w:color="auto" w:fill="auto"/>
            <w:noWrap/>
            <w:vAlign w:val="bottom"/>
            <w:hideMark/>
          </w:tcPr>
          <w:p w14:paraId="3EF306F9"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-0.84</w:t>
            </w:r>
          </w:p>
        </w:tc>
        <w:tc>
          <w:tcPr>
            <w:tcW w:w="335" w:type="pct"/>
            <w:tcBorders>
              <w:top w:val="nil"/>
              <w:left w:val="nil"/>
              <w:bottom w:val="nil"/>
              <w:right w:val="nil"/>
            </w:tcBorders>
            <w:shd w:val="clear" w:color="auto" w:fill="auto"/>
            <w:noWrap/>
            <w:vAlign w:val="bottom"/>
            <w:hideMark/>
          </w:tcPr>
          <w:p w14:paraId="0C5F626A"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1.00</w:t>
            </w:r>
          </w:p>
        </w:tc>
        <w:tc>
          <w:tcPr>
            <w:tcW w:w="283" w:type="pct"/>
            <w:tcBorders>
              <w:top w:val="nil"/>
              <w:left w:val="nil"/>
              <w:bottom w:val="nil"/>
              <w:right w:val="nil"/>
            </w:tcBorders>
            <w:shd w:val="clear" w:color="auto" w:fill="auto"/>
            <w:noWrap/>
            <w:vAlign w:val="bottom"/>
            <w:hideMark/>
          </w:tcPr>
          <w:p w14:paraId="424F3BD3"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0.07</w:t>
            </w:r>
          </w:p>
        </w:tc>
        <w:tc>
          <w:tcPr>
            <w:tcW w:w="490" w:type="pct"/>
            <w:tcBorders>
              <w:top w:val="nil"/>
              <w:left w:val="nil"/>
              <w:bottom w:val="nil"/>
              <w:right w:val="nil"/>
            </w:tcBorders>
            <w:shd w:val="clear" w:color="auto" w:fill="auto"/>
            <w:noWrap/>
            <w:vAlign w:val="bottom"/>
            <w:hideMark/>
          </w:tcPr>
          <w:p w14:paraId="74B6D3C8"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0.38</w:t>
            </w:r>
          </w:p>
        </w:tc>
        <w:tc>
          <w:tcPr>
            <w:tcW w:w="314" w:type="pct"/>
            <w:tcBorders>
              <w:top w:val="nil"/>
              <w:left w:val="nil"/>
              <w:bottom w:val="nil"/>
              <w:right w:val="nil"/>
            </w:tcBorders>
            <w:shd w:val="clear" w:color="auto" w:fill="auto"/>
            <w:noWrap/>
            <w:vAlign w:val="bottom"/>
            <w:hideMark/>
          </w:tcPr>
          <w:p w14:paraId="24E7A076"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-3.56</w:t>
            </w:r>
          </w:p>
        </w:tc>
      </w:tr>
      <w:tr w:rsidR="009C5BF7" w:rsidRPr="00205CDD" w14:paraId="5C74EF96" w14:textId="77777777" w:rsidTr="009C5BF7">
        <w:trPr>
          <w:trHeight w:val="300"/>
        </w:trPr>
        <w:tc>
          <w:tcPr>
            <w:tcW w:w="490" w:type="pct"/>
            <w:tcBorders>
              <w:top w:val="nil"/>
              <w:left w:val="nil"/>
              <w:bottom w:val="single" w:sz="4" w:space="0" w:color="auto"/>
              <w:right w:val="nil"/>
            </w:tcBorders>
            <w:shd w:val="clear" w:color="auto" w:fill="auto"/>
            <w:noWrap/>
            <w:vAlign w:val="bottom"/>
            <w:hideMark/>
          </w:tcPr>
          <w:p w14:paraId="34926077" w14:textId="77777777" w:rsidR="009C5BF7" w:rsidRPr="00205CDD" w:rsidRDefault="009C5BF7" w:rsidP="006D6D58">
            <w:pPr>
              <w:spacing w:after="0" w:line="240" w:lineRule="auto"/>
              <w:jc w:val="lef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 </w:t>
            </w:r>
          </w:p>
        </w:tc>
        <w:tc>
          <w:tcPr>
            <w:tcW w:w="307" w:type="pct"/>
            <w:tcBorders>
              <w:top w:val="nil"/>
              <w:left w:val="nil"/>
              <w:bottom w:val="single" w:sz="4" w:space="0" w:color="auto"/>
              <w:right w:val="nil"/>
            </w:tcBorders>
            <w:shd w:val="clear" w:color="auto" w:fill="auto"/>
            <w:noWrap/>
            <w:vAlign w:val="bottom"/>
            <w:hideMark/>
          </w:tcPr>
          <w:p w14:paraId="6E8B724B"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2015</w:t>
            </w:r>
          </w:p>
        </w:tc>
        <w:tc>
          <w:tcPr>
            <w:tcW w:w="204" w:type="pct"/>
            <w:tcBorders>
              <w:top w:val="nil"/>
              <w:left w:val="nil"/>
              <w:bottom w:val="single" w:sz="4" w:space="0" w:color="auto"/>
              <w:right w:val="nil"/>
            </w:tcBorders>
            <w:shd w:val="clear" w:color="auto" w:fill="auto"/>
            <w:noWrap/>
            <w:vAlign w:val="bottom"/>
            <w:hideMark/>
          </w:tcPr>
          <w:p w14:paraId="76ACA8DE"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55</w:t>
            </w:r>
          </w:p>
        </w:tc>
        <w:tc>
          <w:tcPr>
            <w:tcW w:w="336" w:type="pct"/>
            <w:tcBorders>
              <w:top w:val="nil"/>
              <w:left w:val="nil"/>
              <w:bottom w:val="single" w:sz="4" w:space="0" w:color="auto"/>
              <w:right w:val="nil"/>
            </w:tcBorders>
            <w:shd w:val="clear" w:color="auto" w:fill="auto"/>
            <w:noWrap/>
            <w:vAlign w:val="bottom"/>
            <w:hideMark/>
          </w:tcPr>
          <w:p w14:paraId="58D75624"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0.86</w:t>
            </w:r>
          </w:p>
        </w:tc>
        <w:tc>
          <w:tcPr>
            <w:tcW w:w="314" w:type="pct"/>
            <w:tcBorders>
              <w:top w:val="nil"/>
              <w:left w:val="nil"/>
              <w:bottom w:val="single" w:sz="4" w:space="0" w:color="auto"/>
              <w:right w:val="nil"/>
            </w:tcBorders>
            <w:shd w:val="clear" w:color="auto" w:fill="auto"/>
            <w:noWrap/>
            <w:vAlign w:val="bottom"/>
            <w:hideMark/>
          </w:tcPr>
          <w:p w14:paraId="581088E8"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0.08</w:t>
            </w:r>
          </w:p>
        </w:tc>
        <w:tc>
          <w:tcPr>
            <w:tcW w:w="345" w:type="pct"/>
            <w:tcBorders>
              <w:top w:val="nil"/>
              <w:left w:val="nil"/>
              <w:bottom w:val="single" w:sz="4" w:space="0" w:color="auto"/>
              <w:right w:val="nil"/>
            </w:tcBorders>
            <w:shd w:val="clear" w:color="auto" w:fill="auto"/>
            <w:noWrap/>
            <w:vAlign w:val="bottom"/>
            <w:hideMark/>
          </w:tcPr>
          <w:p w14:paraId="0D61005B"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3.74</w:t>
            </w:r>
          </w:p>
        </w:tc>
        <w:tc>
          <w:tcPr>
            <w:tcW w:w="314" w:type="pct"/>
            <w:tcBorders>
              <w:top w:val="nil"/>
              <w:left w:val="nil"/>
              <w:bottom w:val="single" w:sz="4" w:space="0" w:color="auto"/>
              <w:right w:val="nil"/>
            </w:tcBorders>
            <w:shd w:val="clear" w:color="auto" w:fill="auto"/>
            <w:noWrap/>
            <w:vAlign w:val="bottom"/>
            <w:hideMark/>
          </w:tcPr>
          <w:p w14:paraId="5D574EE4"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-1.15</w:t>
            </w:r>
          </w:p>
        </w:tc>
        <w:tc>
          <w:tcPr>
            <w:tcW w:w="359" w:type="pct"/>
            <w:tcBorders>
              <w:top w:val="nil"/>
              <w:left w:val="nil"/>
              <w:bottom w:val="single" w:sz="4" w:space="0" w:color="auto"/>
              <w:right w:val="nil"/>
            </w:tcBorders>
            <w:shd w:val="clear" w:color="auto" w:fill="auto"/>
            <w:noWrap/>
            <w:vAlign w:val="bottom"/>
            <w:hideMark/>
          </w:tcPr>
          <w:p w14:paraId="797A64A1"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0.34</w:t>
            </w:r>
          </w:p>
        </w:tc>
        <w:tc>
          <w:tcPr>
            <w:tcW w:w="314" w:type="pct"/>
            <w:tcBorders>
              <w:top w:val="nil"/>
              <w:left w:val="nil"/>
              <w:bottom w:val="single" w:sz="4" w:space="0" w:color="auto"/>
              <w:right w:val="nil"/>
            </w:tcBorders>
            <w:shd w:val="clear" w:color="auto" w:fill="auto"/>
            <w:noWrap/>
            <w:vAlign w:val="bottom"/>
            <w:hideMark/>
          </w:tcPr>
          <w:p w14:paraId="67737297"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-0.07</w:t>
            </w:r>
          </w:p>
        </w:tc>
        <w:tc>
          <w:tcPr>
            <w:tcW w:w="281" w:type="pct"/>
            <w:tcBorders>
              <w:top w:val="nil"/>
              <w:left w:val="nil"/>
              <w:bottom w:val="single" w:sz="4" w:space="0" w:color="auto"/>
              <w:right w:val="nil"/>
            </w:tcBorders>
            <w:shd w:val="clear" w:color="auto" w:fill="auto"/>
            <w:noWrap/>
            <w:vAlign w:val="bottom"/>
            <w:hideMark/>
          </w:tcPr>
          <w:p w14:paraId="52FFFFAB"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2.99</w:t>
            </w:r>
          </w:p>
        </w:tc>
        <w:tc>
          <w:tcPr>
            <w:tcW w:w="314" w:type="pct"/>
            <w:tcBorders>
              <w:top w:val="nil"/>
              <w:left w:val="nil"/>
              <w:bottom w:val="single" w:sz="4" w:space="0" w:color="auto"/>
              <w:right w:val="nil"/>
            </w:tcBorders>
            <w:shd w:val="clear" w:color="auto" w:fill="auto"/>
            <w:noWrap/>
            <w:vAlign w:val="bottom"/>
            <w:hideMark/>
          </w:tcPr>
          <w:p w14:paraId="420023C7"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-0.75</w:t>
            </w:r>
          </w:p>
        </w:tc>
        <w:tc>
          <w:tcPr>
            <w:tcW w:w="335" w:type="pct"/>
            <w:tcBorders>
              <w:top w:val="nil"/>
              <w:left w:val="nil"/>
              <w:bottom w:val="single" w:sz="4" w:space="0" w:color="auto"/>
              <w:right w:val="nil"/>
            </w:tcBorders>
            <w:shd w:val="clear" w:color="auto" w:fill="auto"/>
            <w:noWrap/>
            <w:vAlign w:val="bottom"/>
            <w:hideMark/>
          </w:tcPr>
          <w:p w14:paraId="1A696F46"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1.01</w:t>
            </w:r>
          </w:p>
        </w:tc>
        <w:tc>
          <w:tcPr>
            <w:tcW w:w="283" w:type="pct"/>
            <w:tcBorders>
              <w:top w:val="nil"/>
              <w:left w:val="nil"/>
              <w:bottom w:val="single" w:sz="4" w:space="0" w:color="auto"/>
              <w:right w:val="nil"/>
            </w:tcBorders>
            <w:shd w:val="clear" w:color="auto" w:fill="auto"/>
            <w:noWrap/>
            <w:vAlign w:val="bottom"/>
            <w:hideMark/>
          </w:tcPr>
          <w:p w14:paraId="59DE8C12"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0.13</w:t>
            </w:r>
          </w:p>
        </w:tc>
        <w:tc>
          <w:tcPr>
            <w:tcW w:w="490" w:type="pct"/>
            <w:tcBorders>
              <w:top w:val="nil"/>
              <w:left w:val="nil"/>
              <w:bottom w:val="single" w:sz="4" w:space="0" w:color="auto"/>
              <w:right w:val="nil"/>
            </w:tcBorders>
            <w:shd w:val="clear" w:color="auto" w:fill="auto"/>
            <w:noWrap/>
            <w:vAlign w:val="bottom"/>
            <w:hideMark/>
          </w:tcPr>
          <w:p w14:paraId="49B07EDB" w14:textId="77777777" w:rsidR="009C5BF7" w:rsidRPr="00205CDD" w:rsidRDefault="009C5BF7" w:rsidP="006D6D58">
            <w:pPr>
              <w:spacing w:after="0" w:line="240" w:lineRule="auto"/>
              <w:jc w:val="right"/>
              <w:rPr>
                <w:rFonts w:ascii="Calibri" w:eastAsia="Times New Roman" w:hAnsi="Calibri" w:cs="Calibri"/>
                <w:color w:val="000000"/>
                <w:sz w:val="22"/>
                <w:lang w:val="en-US"/>
              </w:rPr>
            </w:pPr>
            <w:r w:rsidRPr="00205CDD">
              <w:rPr>
                <w:rFonts w:ascii="Calibri" w:eastAsia="Times New Roman" w:hAnsi="Calibri" w:cs="Calibri"/>
                <w:color w:val="000000"/>
                <w:sz w:val="22"/>
                <w:lang w:val="en-US"/>
              </w:rPr>
              <w:t>-0.13</w:t>
            </w:r>
          </w:p>
        </w:tc>
        <w:tc>
          <w:tcPr>
            <w:tcW w:w="314" w:type="pct"/>
            <w:tcBorders>
              <w:top w:val="nil"/>
              <w:left w:val="nil"/>
              <w:bottom w:val="single" w:sz="4" w:space="0" w:color="auto"/>
              <w:right w:val="nil"/>
            </w:tcBorders>
            <w:shd w:val="clear" w:color="auto" w:fill="auto"/>
            <w:noWrap/>
            <w:vAlign w:val="bottom"/>
            <w:hideMark/>
          </w:tcPr>
          <w:p w14:paraId="12FF7C1E" w14:textId="77777777" w:rsidR="009C5BF7" w:rsidRPr="00205CDD" w:rsidRDefault="009C5BF7" w:rsidP="006D6D58">
            <w:pPr>
              <w:spacing w:after="0" w:line="240" w:lineRule="auto"/>
              <w:jc w:val="right"/>
              <w:rPr>
                <w:rFonts w:ascii="Calibri" w:eastAsia="Times New Roman" w:hAnsi="Calibri" w:cs="Calibri"/>
                <w:b/>
                <w:bCs/>
                <w:color w:val="000000"/>
                <w:sz w:val="22"/>
                <w:lang w:val="en-US"/>
              </w:rPr>
            </w:pPr>
            <w:r w:rsidRPr="00205CDD">
              <w:rPr>
                <w:rFonts w:ascii="Calibri" w:eastAsia="Times New Roman" w:hAnsi="Calibri" w:cs="Calibri"/>
                <w:b/>
                <w:bCs/>
                <w:color w:val="000000"/>
                <w:sz w:val="22"/>
                <w:lang w:val="en-US"/>
              </w:rPr>
              <w:t>-6.46</w:t>
            </w:r>
          </w:p>
        </w:tc>
      </w:tr>
    </w:tbl>
    <w:p w14:paraId="0D183ABE" w14:textId="42D74560" w:rsidR="00EF4EF5" w:rsidRPr="00C01169" w:rsidRDefault="00EF4EF5" w:rsidP="00C01169">
      <w:pPr>
        <w:spacing w:after="0" w:line="240" w:lineRule="auto"/>
        <w:jc w:val="left"/>
        <w:rPr>
          <w:rFonts w:eastAsia="Times New Roman" w:cs="Arial"/>
          <w:color w:val="000000"/>
          <w:sz w:val="20"/>
          <w:szCs w:val="20"/>
          <w:lang w:val="en-US"/>
        </w:rPr>
      </w:pPr>
      <w:r>
        <w:rPr>
          <w:rFonts w:eastAsia="Times New Roman" w:cs="Arial"/>
          <w:color w:val="000000"/>
          <w:sz w:val="20"/>
          <w:szCs w:val="20"/>
          <w:lang w:val="en-US"/>
        </w:rPr>
        <w:t>CV-R</w:t>
      </w:r>
      <w:r>
        <w:rPr>
          <w:rFonts w:eastAsia="Times New Roman" w:cs="Arial"/>
          <w:color w:val="000000"/>
          <w:sz w:val="20"/>
          <w:szCs w:val="20"/>
          <w:vertAlign w:val="superscript"/>
          <w:lang w:val="en-US"/>
        </w:rPr>
        <w:t>2</w:t>
      </w:r>
      <w:r w:rsidRPr="000351E7">
        <w:rPr>
          <w:rFonts w:eastAsia="Times New Roman" w:cs="Arial"/>
          <w:color w:val="000000"/>
          <w:sz w:val="20"/>
          <w:szCs w:val="20"/>
          <w:lang w:val="en-US"/>
        </w:rPr>
        <w:t xml:space="preserve">: </w:t>
      </w:r>
      <w:r>
        <w:rPr>
          <w:rFonts w:eastAsia="Times New Roman" w:cs="Arial"/>
          <w:color w:val="000000"/>
          <w:sz w:val="20"/>
          <w:szCs w:val="20"/>
          <w:lang w:val="en-US"/>
        </w:rPr>
        <w:t>cross-validated R</w:t>
      </w:r>
      <w:r>
        <w:rPr>
          <w:rFonts w:eastAsia="Times New Roman" w:cs="Arial"/>
          <w:color w:val="000000"/>
          <w:sz w:val="20"/>
          <w:szCs w:val="20"/>
          <w:vertAlign w:val="superscript"/>
          <w:lang w:val="en-US"/>
        </w:rPr>
        <w:t>2</w:t>
      </w:r>
      <w:r>
        <w:rPr>
          <w:rFonts w:eastAsia="Times New Roman" w:cs="Arial"/>
          <w:color w:val="000000"/>
          <w:sz w:val="20"/>
          <w:szCs w:val="20"/>
          <w:lang w:val="en-US"/>
        </w:rPr>
        <w:t xml:space="preserve"> of the </w:t>
      </w:r>
      <w:r w:rsidRPr="0009067E">
        <w:rPr>
          <w:rFonts w:eastAsia="Times New Roman" w:cs="Arial"/>
          <w:color w:val="000000"/>
          <w:sz w:val="20"/>
          <w:szCs w:val="20"/>
          <w:lang w:val="en-US"/>
        </w:rPr>
        <w:t>annual LUR (</w:t>
      </w:r>
      <w:r w:rsidR="00A27FE7">
        <w:rPr>
          <w:rFonts w:eastAsia="Times New Roman" w:cs="Arial"/>
          <w:color w:val="000000"/>
          <w:sz w:val="20"/>
          <w:szCs w:val="20"/>
          <w:lang w:val="en-US"/>
        </w:rPr>
        <w:t>CTM-incorporated</w:t>
      </w:r>
      <w:r w:rsidRPr="0009067E">
        <w:rPr>
          <w:rFonts w:eastAsia="Times New Roman" w:cs="Arial"/>
          <w:color w:val="000000"/>
          <w:sz w:val="20"/>
          <w:szCs w:val="20"/>
          <w:lang w:val="en-US"/>
        </w:rPr>
        <w:t>)</w:t>
      </w:r>
      <w:r>
        <w:rPr>
          <w:rFonts w:eastAsia="Times New Roman" w:cs="Arial"/>
          <w:color w:val="000000"/>
          <w:sz w:val="20"/>
          <w:szCs w:val="20"/>
          <w:lang w:val="en-US"/>
        </w:rPr>
        <w:t xml:space="preserve"> model</w:t>
      </w:r>
      <w:r w:rsidRPr="000351E7">
        <w:rPr>
          <w:rFonts w:eastAsia="Times New Roman" w:cs="Arial"/>
          <w:color w:val="000000"/>
          <w:sz w:val="20"/>
          <w:szCs w:val="20"/>
          <w:lang w:val="en-US"/>
        </w:rPr>
        <w:br/>
      </w:r>
      <w:r>
        <w:rPr>
          <w:rFonts w:eastAsia="Times New Roman" w:cs="Arial"/>
          <w:color w:val="000000"/>
          <w:sz w:val="20"/>
          <w:szCs w:val="20"/>
          <w:lang w:val="en-US"/>
        </w:rPr>
        <w:t>diff.</w:t>
      </w:r>
      <w:r w:rsidRPr="000351E7">
        <w:rPr>
          <w:rFonts w:eastAsia="Times New Roman" w:cs="Arial"/>
          <w:color w:val="000000"/>
          <w:sz w:val="20"/>
          <w:szCs w:val="20"/>
          <w:lang w:val="en-US"/>
        </w:rPr>
        <w:t xml:space="preserve">: </w:t>
      </w:r>
      <w:bookmarkStart w:id="11" w:name="_Hlk97031755"/>
      <w:r>
        <w:rPr>
          <w:rFonts w:eastAsia="Times New Roman" w:cs="Arial"/>
          <w:color w:val="000000"/>
          <w:sz w:val="20"/>
          <w:szCs w:val="20"/>
          <w:lang w:val="en-US"/>
        </w:rPr>
        <w:t>model performance parameter for annual LUR (</w:t>
      </w:r>
      <w:r w:rsidR="00A27FE7">
        <w:rPr>
          <w:rFonts w:eastAsia="Times New Roman" w:cs="Arial"/>
          <w:color w:val="000000"/>
          <w:sz w:val="20"/>
          <w:szCs w:val="20"/>
          <w:lang w:val="en-US"/>
        </w:rPr>
        <w:t>CTM-incorporated</w:t>
      </w:r>
      <w:r>
        <w:rPr>
          <w:rFonts w:eastAsia="Times New Roman" w:cs="Arial"/>
          <w:color w:val="000000"/>
          <w:sz w:val="20"/>
          <w:szCs w:val="20"/>
          <w:lang w:val="en-US"/>
        </w:rPr>
        <w:t>) minus model performance parameter for long-term ST-LUR</w:t>
      </w:r>
      <w:bookmarkEnd w:id="11"/>
    </w:p>
    <w:p w14:paraId="7592380D" w14:textId="77777777" w:rsidR="00EF4EF5" w:rsidRDefault="00EF4EF5">
      <w:pPr>
        <w:spacing w:line="259" w:lineRule="auto"/>
        <w:jc w:val="left"/>
        <w:sectPr w:rsidR="00EF4EF5" w:rsidSect="00A27FE7">
          <w:pgSz w:w="15840" w:h="12240" w:orient="landscape"/>
          <w:pgMar w:top="1440" w:right="1440" w:bottom="1440" w:left="1440" w:header="720" w:footer="720" w:gutter="0"/>
          <w:cols w:space="720"/>
          <w:docGrid w:linePitch="360"/>
        </w:sectPr>
      </w:pPr>
    </w:p>
    <w:p w14:paraId="057D514C" w14:textId="77777777" w:rsidR="00EF4EF5" w:rsidRPr="00384E01" w:rsidRDefault="00EF4EF5" w:rsidP="00384E01">
      <w:pPr>
        <w:pStyle w:val="Heading2"/>
        <w:numPr>
          <w:ilvl w:val="0"/>
          <w:numId w:val="0"/>
        </w:numPr>
        <w:spacing w:line="276" w:lineRule="auto"/>
      </w:pPr>
      <w:bookmarkStart w:id="12" w:name="_Toc45759765"/>
      <w:bookmarkStart w:id="13" w:name="_Toc45761281"/>
      <w:bookmarkStart w:id="14" w:name="_Toc108614000"/>
      <w:r>
        <w:lastRenderedPageBreak/>
        <w:t>Figure A.</w:t>
      </w:r>
      <w:fldSimple w:instr=" SEQ Figure_A. \* ARABIC ">
        <w:r>
          <w:rPr>
            <w:noProof/>
          </w:rPr>
          <w:t>1</w:t>
        </w:r>
      </w:fldSimple>
      <w:r>
        <w:t xml:space="preserve"> Spatial d</w:t>
      </w:r>
      <w:r w:rsidRPr="007672C8">
        <w:t>istribution of monitoring sites by site type for NO</w:t>
      </w:r>
      <w:r w:rsidRPr="007672C8">
        <w:rPr>
          <w:vertAlign w:val="subscript"/>
        </w:rPr>
        <w:t>2</w:t>
      </w:r>
      <w:r w:rsidRPr="007672C8">
        <w:t>, PM</w:t>
      </w:r>
      <w:r w:rsidRPr="007672C8">
        <w:rPr>
          <w:vertAlign w:val="subscript"/>
        </w:rPr>
        <w:t>2.5</w:t>
      </w:r>
      <w:r w:rsidRPr="007672C8">
        <w:t>, PM</w:t>
      </w:r>
      <w:r w:rsidRPr="007672C8">
        <w:rPr>
          <w:vertAlign w:val="subscript"/>
        </w:rPr>
        <w:t>10</w:t>
      </w:r>
      <w:r w:rsidRPr="007672C8">
        <w:t xml:space="preserve"> and O</w:t>
      </w:r>
      <w:r w:rsidRPr="007672C8">
        <w:rPr>
          <w:vertAlign w:val="subscript"/>
        </w:rPr>
        <w:t>3</w:t>
      </w:r>
      <w:r w:rsidRPr="007672C8">
        <w:t xml:space="preserve"> in Great Britain across all study years. The four site types included in the NO</w:t>
      </w:r>
      <w:r w:rsidRPr="007672C8">
        <w:rPr>
          <w:vertAlign w:val="subscript"/>
        </w:rPr>
        <w:t>2</w:t>
      </w:r>
      <w:r w:rsidRPr="007672C8">
        <w:t>, PM</w:t>
      </w:r>
      <w:r w:rsidRPr="007672C8">
        <w:rPr>
          <w:vertAlign w:val="subscript"/>
        </w:rPr>
        <w:t>2.5</w:t>
      </w:r>
      <w:r w:rsidRPr="007672C8">
        <w:t xml:space="preserve"> and O</w:t>
      </w:r>
      <w:r w:rsidRPr="007672C8">
        <w:rPr>
          <w:vertAlign w:val="subscript"/>
        </w:rPr>
        <w:t>3</w:t>
      </w:r>
      <w:r w:rsidRPr="007672C8">
        <w:t xml:space="preserve"> models are background rural, background suburban, background urban and traffic urban. PM</w:t>
      </w:r>
      <w:r w:rsidRPr="007672C8">
        <w:rPr>
          <w:vertAlign w:val="subscript"/>
        </w:rPr>
        <w:t>10</w:t>
      </w:r>
      <w:r w:rsidRPr="007672C8">
        <w:t xml:space="preserve"> models do not have background suburban site.</w:t>
      </w:r>
      <w:bookmarkEnd w:id="12"/>
      <w:bookmarkEnd w:id="13"/>
      <w:bookmarkEnd w:id="14"/>
    </w:p>
    <w:p w14:paraId="33A48CC7" w14:textId="77777777" w:rsidR="00EF4EF5" w:rsidRDefault="00EF4EF5" w:rsidP="000D1DD2">
      <w:pPr>
        <w:jc w:val="center"/>
      </w:pPr>
    </w:p>
    <w:p w14:paraId="4AB982A9" w14:textId="77777777" w:rsidR="00EF4EF5" w:rsidRDefault="00EF4EF5" w:rsidP="000D1DD2">
      <w:pPr>
        <w:jc w:val="center"/>
      </w:pPr>
      <w:r>
        <w:rPr>
          <w:noProof/>
        </w:rPr>
        <w:drawing>
          <wp:inline distT="0" distB="0" distL="0" distR="0" wp14:anchorId="54D526E3" wp14:editId="1041A603">
            <wp:extent cx="4860514" cy="684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60514" cy="6840000"/>
                    </a:xfrm>
                    <a:prstGeom prst="rect">
                      <a:avLst/>
                    </a:prstGeom>
                    <a:noFill/>
                    <a:ln>
                      <a:noFill/>
                    </a:ln>
                  </pic:spPr>
                </pic:pic>
              </a:graphicData>
            </a:graphic>
          </wp:inline>
        </w:drawing>
      </w:r>
    </w:p>
    <w:p w14:paraId="49D67B77" w14:textId="77777777" w:rsidR="00EF4EF5" w:rsidRDefault="00EF4EF5" w:rsidP="000D1DD2">
      <w:pPr>
        <w:pStyle w:val="Heading2"/>
        <w:numPr>
          <w:ilvl w:val="0"/>
          <w:numId w:val="0"/>
        </w:numPr>
      </w:pPr>
      <w:bookmarkStart w:id="15" w:name="_Toc108614001"/>
      <w:r>
        <w:lastRenderedPageBreak/>
        <w:t>Figure A.</w:t>
      </w:r>
      <w:fldSimple w:instr=" SEQ Figure_A. \* ARABIC ">
        <w:r>
          <w:rPr>
            <w:noProof/>
          </w:rPr>
          <w:t>2</w:t>
        </w:r>
      </w:fldSimple>
      <w:r>
        <w:t xml:space="preserve"> </w:t>
      </w:r>
      <w:r w:rsidRPr="007672C8">
        <w:t>Daily predicted vs daily measured concentrations of NO</w:t>
      </w:r>
      <w:r w:rsidRPr="007672C8">
        <w:rPr>
          <w:vertAlign w:val="subscript"/>
        </w:rPr>
        <w:t>2</w:t>
      </w:r>
      <w:r w:rsidRPr="007672C8">
        <w:t>. Sites are stratified by site type: beige – Background Rural, blue – Background Suburban, yellow – Background Urban, red – Traffic Urban</w:t>
      </w:r>
      <w:r>
        <w:t>.</w:t>
      </w:r>
      <w:bookmarkEnd w:id="15"/>
    </w:p>
    <w:p w14:paraId="444B578D" w14:textId="77777777" w:rsidR="00EF4EF5" w:rsidRDefault="00EF4EF5" w:rsidP="00C01169">
      <w:pPr>
        <w:jc w:val="center"/>
      </w:pPr>
      <w:r>
        <w:rPr>
          <w:noProof/>
        </w:rPr>
        <w:drawing>
          <wp:inline distT="0" distB="0" distL="0" distR="0" wp14:anchorId="418A88DF" wp14:editId="7AB1AD4C">
            <wp:extent cx="5040000" cy="5040000"/>
            <wp:effectExtent l="0" t="0" r="8255"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5040000" cy="5040000"/>
                    </a:xfrm>
                    <a:prstGeom prst="rect">
                      <a:avLst/>
                    </a:prstGeom>
                    <a:noFill/>
                    <a:ln>
                      <a:noFill/>
                    </a:ln>
                  </pic:spPr>
                </pic:pic>
              </a:graphicData>
            </a:graphic>
          </wp:inline>
        </w:drawing>
      </w:r>
    </w:p>
    <w:p w14:paraId="196A9577" w14:textId="77777777" w:rsidR="00EF4EF5" w:rsidRDefault="00EF4EF5" w:rsidP="000D1DD2">
      <w:pPr>
        <w:pStyle w:val="Heading2"/>
        <w:numPr>
          <w:ilvl w:val="0"/>
          <w:numId w:val="0"/>
        </w:numPr>
      </w:pPr>
      <w:bookmarkStart w:id="16" w:name="_Toc108614002"/>
      <w:r>
        <w:lastRenderedPageBreak/>
        <w:t>Figure A.</w:t>
      </w:r>
      <w:fldSimple w:instr=" SEQ Figure_A. \* ARABIC ">
        <w:r>
          <w:rPr>
            <w:noProof/>
          </w:rPr>
          <w:t>3</w:t>
        </w:r>
      </w:fldSimple>
      <w:r>
        <w:t xml:space="preserve"> </w:t>
      </w:r>
      <w:r w:rsidRPr="007672C8">
        <w:t xml:space="preserve">Daily predicted vs daily measured concentrations of </w:t>
      </w:r>
      <w:r>
        <w:t>PM</w:t>
      </w:r>
      <w:r w:rsidRPr="007672C8">
        <w:rPr>
          <w:vertAlign w:val="subscript"/>
        </w:rPr>
        <w:t>2</w:t>
      </w:r>
      <w:r>
        <w:rPr>
          <w:vertAlign w:val="subscript"/>
        </w:rPr>
        <w:t>.5</w:t>
      </w:r>
      <w:r w:rsidRPr="007672C8">
        <w:t>. Sites are stratified by site type: beige – Background Rural, blue – Background Suburban, yellow – Background Urban, red – Traffic Urban</w:t>
      </w:r>
      <w:r>
        <w:t>.</w:t>
      </w:r>
      <w:bookmarkEnd w:id="16"/>
    </w:p>
    <w:p w14:paraId="28F4B685" w14:textId="77777777" w:rsidR="00EF4EF5" w:rsidRDefault="00EF4EF5" w:rsidP="00C01169">
      <w:pPr>
        <w:jc w:val="center"/>
      </w:pPr>
      <w:r>
        <w:rPr>
          <w:noProof/>
        </w:rPr>
        <w:drawing>
          <wp:inline distT="0" distB="0" distL="0" distR="0" wp14:anchorId="0D523818" wp14:editId="263EB162">
            <wp:extent cx="5040000" cy="5040000"/>
            <wp:effectExtent l="0" t="0" r="8255"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5040000" cy="5040000"/>
                    </a:xfrm>
                    <a:prstGeom prst="rect">
                      <a:avLst/>
                    </a:prstGeom>
                    <a:noFill/>
                    <a:ln>
                      <a:noFill/>
                    </a:ln>
                  </pic:spPr>
                </pic:pic>
              </a:graphicData>
            </a:graphic>
          </wp:inline>
        </w:drawing>
      </w:r>
    </w:p>
    <w:p w14:paraId="4F0AE04F" w14:textId="77777777" w:rsidR="00EF4EF5" w:rsidRPr="00747EC2" w:rsidRDefault="00EF4EF5" w:rsidP="000D1DD2">
      <w:pPr>
        <w:pStyle w:val="Heading2"/>
        <w:numPr>
          <w:ilvl w:val="0"/>
          <w:numId w:val="0"/>
        </w:numPr>
      </w:pPr>
      <w:bookmarkStart w:id="17" w:name="_Toc108614003"/>
      <w:r>
        <w:lastRenderedPageBreak/>
        <w:t>Figure A.</w:t>
      </w:r>
      <w:fldSimple w:instr=" SEQ Figure_A. \* ARABIC ">
        <w:r>
          <w:rPr>
            <w:noProof/>
          </w:rPr>
          <w:t>4</w:t>
        </w:r>
      </w:fldSimple>
      <w:r>
        <w:t xml:space="preserve"> </w:t>
      </w:r>
      <w:r w:rsidRPr="007672C8">
        <w:t xml:space="preserve">Daily predicted vs daily measured concentrations of </w:t>
      </w:r>
      <w:r>
        <w:t>PM</w:t>
      </w:r>
      <w:r>
        <w:rPr>
          <w:vertAlign w:val="subscript"/>
        </w:rPr>
        <w:t>10</w:t>
      </w:r>
      <w:r w:rsidRPr="007672C8">
        <w:t>. Sites are stratified by site type: beige – Background Rural, yellow – Background Urban, red – Traffic Urban</w:t>
      </w:r>
      <w:r>
        <w:t>.</w:t>
      </w:r>
      <w:bookmarkEnd w:id="17"/>
    </w:p>
    <w:p w14:paraId="6F4C284A" w14:textId="77777777" w:rsidR="00EF4EF5" w:rsidRDefault="00EF4EF5" w:rsidP="00C01169">
      <w:pPr>
        <w:jc w:val="center"/>
      </w:pPr>
      <w:r>
        <w:rPr>
          <w:noProof/>
        </w:rPr>
        <w:drawing>
          <wp:inline distT="0" distB="0" distL="0" distR="0" wp14:anchorId="4E27CD13" wp14:editId="67F32EE3">
            <wp:extent cx="5040000" cy="5040000"/>
            <wp:effectExtent l="0" t="0" r="8255"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5040000" cy="5040000"/>
                    </a:xfrm>
                    <a:prstGeom prst="rect">
                      <a:avLst/>
                    </a:prstGeom>
                    <a:noFill/>
                    <a:ln>
                      <a:noFill/>
                    </a:ln>
                  </pic:spPr>
                </pic:pic>
              </a:graphicData>
            </a:graphic>
          </wp:inline>
        </w:drawing>
      </w:r>
    </w:p>
    <w:p w14:paraId="57B286CF" w14:textId="77777777" w:rsidR="00EF4EF5" w:rsidRPr="00747EC2" w:rsidRDefault="00EF4EF5" w:rsidP="000D1DD2">
      <w:pPr>
        <w:pStyle w:val="Heading2"/>
        <w:numPr>
          <w:ilvl w:val="0"/>
          <w:numId w:val="0"/>
        </w:numPr>
      </w:pPr>
      <w:bookmarkStart w:id="18" w:name="_Toc108614004"/>
      <w:r>
        <w:lastRenderedPageBreak/>
        <w:t>Figure A.</w:t>
      </w:r>
      <w:fldSimple w:instr=" SEQ Figure_A. \* ARABIC ">
        <w:r>
          <w:rPr>
            <w:noProof/>
          </w:rPr>
          <w:t>5</w:t>
        </w:r>
      </w:fldSimple>
      <w:r>
        <w:t xml:space="preserve"> </w:t>
      </w:r>
      <w:r w:rsidRPr="007672C8">
        <w:t>Daily predicted vs daily measured concentrations of</w:t>
      </w:r>
      <w:r>
        <w:t xml:space="preserve"> O</w:t>
      </w:r>
      <w:r>
        <w:rPr>
          <w:vertAlign w:val="subscript"/>
        </w:rPr>
        <w:t>3</w:t>
      </w:r>
      <w:r w:rsidRPr="007672C8">
        <w:t>. Sites are stratified by site type: beige – Background Rural, blue – Background Suburban, yellow – Background Urban, red – Traffic Urban</w:t>
      </w:r>
      <w:r>
        <w:t>.</w:t>
      </w:r>
      <w:bookmarkEnd w:id="18"/>
    </w:p>
    <w:p w14:paraId="76EA8AA3" w14:textId="77777777" w:rsidR="00EF4EF5" w:rsidRDefault="00EF4EF5" w:rsidP="00C01169">
      <w:pPr>
        <w:jc w:val="center"/>
      </w:pPr>
      <w:r>
        <w:rPr>
          <w:noProof/>
        </w:rPr>
        <w:drawing>
          <wp:inline distT="0" distB="0" distL="0" distR="0" wp14:anchorId="775AA443" wp14:editId="6B5C8A76">
            <wp:extent cx="5040000" cy="5040000"/>
            <wp:effectExtent l="0" t="0" r="825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5040000" cy="5040000"/>
                    </a:xfrm>
                    <a:prstGeom prst="rect">
                      <a:avLst/>
                    </a:prstGeom>
                    <a:noFill/>
                    <a:ln>
                      <a:noFill/>
                    </a:ln>
                  </pic:spPr>
                </pic:pic>
              </a:graphicData>
            </a:graphic>
          </wp:inline>
        </w:drawing>
      </w:r>
    </w:p>
    <w:p w14:paraId="1ED58E72" w14:textId="77777777" w:rsidR="00EF4EF5" w:rsidRDefault="00EF4EF5">
      <w:pPr>
        <w:spacing w:line="259" w:lineRule="auto"/>
        <w:jc w:val="left"/>
      </w:pPr>
      <w:r>
        <w:br w:type="page"/>
      </w:r>
    </w:p>
    <w:p w14:paraId="01C66F61" w14:textId="77777777" w:rsidR="00EF4EF5" w:rsidRDefault="00EF4EF5" w:rsidP="000D1DD2">
      <w:pPr>
        <w:pStyle w:val="Heading1"/>
        <w:numPr>
          <w:ilvl w:val="0"/>
          <w:numId w:val="0"/>
        </w:numPr>
      </w:pPr>
      <w:bookmarkStart w:id="19" w:name="_Toc108614005"/>
      <w:r>
        <w:lastRenderedPageBreak/>
        <w:t>Appendix B.</w:t>
      </w:r>
      <w:r w:rsidRPr="00766ECB">
        <w:t xml:space="preserve"> Annual air pollution surfaces</w:t>
      </w:r>
      <w:bookmarkEnd w:id="19"/>
    </w:p>
    <w:p w14:paraId="34AB860D" w14:textId="2311CA02" w:rsidR="00EF4EF5" w:rsidRPr="007672C8" w:rsidRDefault="00EF4EF5" w:rsidP="0008697C">
      <w:r w:rsidRPr="007672C8">
        <w:t>Air pollution concentrations of points of interest (</w:t>
      </w:r>
      <w:proofErr w:type="gramStart"/>
      <w:r w:rsidRPr="007672C8">
        <w:t>e.g.</w:t>
      </w:r>
      <w:proofErr w:type="gramEnd"/>
      <w:r w:rsidRPr="007672C8">
        <w:t xml:space="preserve"> residential addresses) could be easily extracted from air pollution surfaces. </w:t>
      </w:r>
      <w:r>
        <w:t>The s</w:t>
      </w:r>
      <w:r w:rsidRPr="007672C8">
        <w:t>patial resolution of the surfaces was set to 25 m. This was to 1) ensure the smallest buffer size (</w:t>
      </w:r>
      <w:proofErr w:type="gramStart"/>
      <w:r w:rsidRPr="007672C8">
        <w:t>i.e.</w:t>
      </w:r>
      <w:proofErr w:type="gramEnd"/>
      <w:r w:rsidRPr="007672C8">
        <w:t xml:space="preserve"> 25 m) of land use predictor variables was not aggregated during surface development</w:t>
      </w:r>
      <w:r>
        <w:t>,</w:t>
      </w:r>
      <w:r w:rsidRPr="007672C8">
        <w:t xml:space="preserve"> and 2) capture the concentration gradient of air pollution (especially NO</w:t>
      </w:r>
      <w:r w:rsidRPr="007672C8">
        <w:rPr>
          <w:vertAlign w:val="subscript"/>
        </w:rPr>
        <w:t>2</w:t>
      </w:r>
      <w:r w:rsidRPr="007672C8">
        <w:t xml:space="preserve">) around sources. However, </w:t>
      </w:r>
      <w:r>
        <w:t>we</w:t>
      </w:r>
      <w:r w:rsidRPr="007672C8">
        <w:t xml:space="preserve"> acknowledged that surface development at such </w:t>
      </w:r>
      <w:r>
        <w:t xml:space="preserve">a </w:t>
      </w:r>
      <w:r w:rsidRPr="007672C8">
        <w:t xml:space="preserve">fine scale was computationally intensive. </w:t>
      </w:r>
      <w:r w:rsidR="00E3623B">
        <w:t>Specifically</w:t>
      </w:r>
      <w:r w:rsidRPr="007672C8">
        <w:t xml:space="preserve">, Great Britain comprised 375,152,482 grid cells with </w:t>
      </w:r>
      <w:r>
        <w:t xml:space="preserve">a </w:t>
      </w:r>
      <w:r w:rsidRPr="007672C8">
        <w:t>resolution of 25 m. Values of the selected predictor variables needed to be extracted at all grid cells, which involved computing relevant GIS techniques for each variable. Creating one such variable at 25 m resolution took 4 – 96 hours in ArcGIS on a standard computer (8Gb Random-access memory (RAM) Intel Core i7).</w:t>
      </w:r>
    </w:p>
    <w:p w14:paraId="334261D7" w14:textId="77777777" w:rsidR="00EF4EF5" w:rsidRPr="007672C8" w:rsidRDefault="00EF4EF5" w:rsidP="0008697C">
      <w:r w:rsidRPr="007672C8">
        <w:t xml:space="preserve">Once the predictor variables were compiled as individual raster layers, the annual surfaces can be easily and quickly developed from the intercept and coefficient values of the LUR or </w:t>
      </w:r>
      <w:r>
        <w:t>CTM-incorporated LUR</w:t>
      </w:r>
      <w:r w:rsidRPr="007672C8">
        <w:t xml:space="preserve"> models using the ‘raster calculator’ function in ArcGIS.</w:t>
      </w:r>
      <w:r>
        <w:t xml:space="preserve"> </w:t>
      </w:r>
    </w:p>
    <w:p w14:paraId="14B039AB" w14:textId="2E80F266" w:rsidR="003A76B8" w:rsidRDefault="00EF4EF5" w:rsidP="00205CDD">
      <w:r>
        <w:t>The maps below (Figure B.1 – B.</w:t>
      </w:r>
      <w:r w:rsidR="003A76B8">
        <w:t>5</w:t>
      </w:r>
      <w:r>
        <w:t xml:space="preserve">) show the annual air pollution surfaces of 2015 using the above CTM-incorporated LUR models. The maps are shown for Great Britain and regional (London) scale. The spatial resolution of the surfaces is 25 m. The surfaces are stored in raster format that can be directly used on various platforms, including ArcGIS and R. </w:t>
      </w:r>
    </w:p>
    <w:p w14:paraId="14C040C1" w14:textId="6C67DC2E" w:rsidR="00EF4EF5" w:rsidRDefault="003A76B8" w:rsidP="003A76B8">
      <w:pPr>
        <w:spacing w:line="259" w:lineRule="auto"/>
        <w:jc w:val="left"/>
      </w:pPr>
      <w:r>
        <w:br w:type="page"/>
      </w:r>
    </w:p>
    <w:p w14:paraId="08FBB9F0" w14:textId="6469B996" w:rsidR="00EF4EF5" w:rsidRDefault="00EF4EF5" w:rsidP="003A76B8">
      <w:pPr>
        <w:pStyle w:val="Heading2"/>
        <w:numPr>
          <w:ilvl w:val="0"/>
          <w:numId w:val="0"/>
        </w:numPr>
        <w:spacing w:line="360" w:lineRule="auto"/>
      </w:pPr>
      <w:bookmarkStart w:id="20" w:name="_Toc108614006"/>
      <w:r>
        <w:lastRenderedPageBreak/>
        <w:t>Figure B.</w:t>
      </w:r>
      <w:fldSimple w:instr=" SEQ Figure_B. \* ARABIC ">
        <w:r>
          <w:rPr>
            <w:noProof/>
          </w:rPr>
          <w:t>1</w:t>
        </w:r>
      </w:fldSimple>
      <w:r>
        <w:t xml:space="preserve"> Estimated annual average NO</w:t>
      </w:r>
      <w:r>
        <w:rPr>
          <w:vertAlign w:val="subscript"/>
        </w:rPr>
        <w:t>2</w:t>
      </w:r>
      <w:r>
        <w:t xml:space="preserve"> concentrations mapped at 25 x 25m resolution in Great Britain for 2015 using the annual LUR (CTM-incorporated) model.</w:t>
      </w:r>
      <w:bookmarkEnd w:id="20"/>
    </w:p>
    <w:p w14:paraId="3C18DCBE" w14:textId="77777777" w:rsidR="00EF4EF5" w:rsidRDefault="00EF4EF5" w:rsidP="000D1DD2">
      <w:pPr>
        <w:jc w:val="center"/>
      </w:pPr>
      <w:r>
        <w:rPr>
          <w:noProof/>
        </w:rPr>
        <w:drawing>
          <wp:inline distT="0" distB="0" distL="0" distR="0" wp14:anchorId="75CF3FBB" wp14:editId="2ACCEE62">
            <wp:extent cx="4731484" cy="684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31484" cy="6840000"/>
                    </a:xfrm>
                    <a:prstGeom prst="rect">
                      <a:avLst/>
                    </a:prstGeom>
                    <a:noFill/>
                    <a:ln>
                      <a:noFill/>
                    </a:ln>
                  </pic:spPr>
                </pic:pic>
              </a:graphicData>
            </a:graphic>
          </wp:inline>
        </w:drawing>
      </w:r>
    </w:p>
    <w:p w14:paraId="20D9337A" w14:textId="77777777" w:rsidR="00EF4EF5" w:rsidRDefault="00EF4EF5" w:rsidP="004F72FE">
      <w:pPr>
        <w:pStyle w:val="Heading2"/>
        <w:numPr>
          <w:ilvl w:val="0"/>
          <w:numId w:val="0"/>
        </w:numPr>
        <w:spacing w:line="360" w:lineRule="auto"/>
      </w:pPr>
      <w:bookmarkStart w:id="21" w:name="_Toc108614007"/>
      <w:r>
        <w:lastRenderedPageBreak/>
        <w:t>Figure B.</w:t>
      </w:r>
      <w:fldSimple w:instr=" SEQ Figure_B. \* ARABIC ">
        <w:r>
          <w:rPr>
            <w:noProof/>
          </w:rPr>
          <w:t>2</w:t>
        </w:r>
      </w:fldSimple>
      <w:r>
        <w:t xml:space="preserve"> </w:t>
      </w:r>
      <w:r w:rsidRPr="004F72FE">
        <w:t xml:space="preserve">Estimated annual average </w:t>
      </w:r>
      <w:r>
        <w:t>PM</w:t>
      </w:r>
      <w:r>
        <w:rPr>
          <w:vertAlign w:val="subscript"/>
        </w:rPr>
        <w:t>2.5</w:t>
      </w:r>
      <w:r w:rsidRPr="004F72FE">
        <w:t xml:space="preserve"> concentrations mapped at 25 x 25m resolution in Great Britain for 2015 using </w:t>
      </w:r>
      <w:r>
        <w:t xml:space="preserve">the annual LUR (CTM-incorporated) </w:t>
      </w:r>
      <w:r w:rsidRPr="004F72FE">
        <w:t>model.</w:t>
      </w:r>
      <w:bookmarkEnd w:id="21"/>
    </w:p>
    <w:p w14:paraId="4798899D" w14:textId="57C8C115" w:rsidR="00EF4EF5" w:rsidRDefault="00EF4EF5" w:rsidP="00384E01">
      <w:pPr>
        <w:jc w:val="center"/>
      </w:pPr>
      <w:r>
        <w:rPr>
          <w:noProof/>
        </w:rPr>
        <w:drawing>
          <wp:inline distT="0" distB="0" distL="0" distR="0" wp14:anchorId="634E795E" wp14:editId="5492ED4E">
            <wp:extent cx="4731484" cy="684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1484" cy="6840000"/>
                    </a:xfrm>
                    <a:prstGeom prst="rect">
                      <a:avLst/>
                    </a:prstGeom>
                    <a:noFill/>
                    <a:ln>
                      <a:noFill/>
                    </a:ln>
                  </pic:spPr>
                </pic:pic>
              </a:graphicData>
            </a:graphic>
          </wp:inline>
        </w:drawing>
      </w:r>
    </w:p>
    <w:p w14:paraId="41E43203" w14:textId="77777777" w:rsidR="00EF4EF5" w:rsidRDefault="00EF4EF5" w:rsidP="000D1DD2">
      <w:pPr>
        <w:pStyle w:val="Heading2"/>
        <w:numPr>
          <w:ilvl w:val="0"/>
          <w:numId w:val="0"/>
        </w:numPr>
        <w:spacing w:line="360" w:lineRule="auto"/>
      </w:pPr>
      <w:bookmarkStart w:id="22" w:name="_Toc108614008"/>
      <w:r>
        <w:lastRenderedPageBreak/>
        <w:t>Figure B.</w:t>
      </w:r>
      <w:fldSimple w:instr=" SEQ Figure_B. \* ARABIC ">
        <w:r>
          <w:rPr>
            <w:noProof/>
          </w:rPr>
          <w:t>3</w:t>
        </w:r>
      </w:fldSimple>
      <w:r>
        <w:t xml:space="preserve"> </w:t>
      </w:r>
      <w:r w:rsidRPr="004F72FE">
        <w:t xml:space="preserve">Estimated annual average </w:t>
      </w:r>
      <w:r>
        <w:t>PM</w:t>
      </w:r>
      <w:r>
        <w:rPr>
          <w:vertAlign w:val="subscript"/>
        </w:rPr>
        <w:t>10</w:t>
      </w:r>
      <w:r w:rsidRPr="004F72FE">
        <w:t xml:space="preserve"> concentrations mapped at 25 x 25m resolution in Great Britain for 2015 using </w:t>
      </w:r>
      <w:r>
        <w:t xml:space="preserve">the annual LUR (CTM-incorporated) </w:t>
      </w:r>
      <w:r w:rsidRPr="004F72FE">
        <w:t>model.</w:t>
      </w:r>
      <w:bookmarkEnd w:id="22"/>
    </w:p>
    <w:p w14:paraId="6A5F7F18" w14:textId="6206CBE1" w:rsidR="00EF4EF5" w:rsidRDefault="00EF4EF5" w:rsidP="000D1DD2">
      <w:pPr>
        <w:jc w:val="center"/>
      </w:pPr>
      <w:r>
        <w:rPr>
          <w:noProof/>
        </w:rPr>
        <w:drawing>
          <wp:inline distT="0" distB="0" distL="0" distR="0" wp14:anchorId="7B5E8E0D" wp14:editId="757C9523">
            <wp:extent cx="4799620" cy="6840000"/>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99620" cy="6840000"/>
                    </a:xfrm>
                    <a:prstGeom prst="rect">
                      <a:avLst/>
                    </a:prstGeom>
                    <a:noFill/>
                    <a:ln>
                      <a:noFill/>
                    </a:ln>
                  </pic:spPr>
                </pic:pic>
              </a:graphicData>
            </a:graphic>
          </wp:inline>
        </w:drawing>
      </w:r>
    </w:p>
    <w:p w14:paraId="6C9BAC09" w14:textId="77777777" w:rsidR="00EF4EF5" w:rsidRDefault="00EF4EF5" w:rsidP="000D1DD2">
      <w:pPr>
        <w:pStyle w:val="Heading2"/>
        <w:numPr>
          <w:ilvl w:val="0"/>
          <w:numId w:val="0"/>
        </w:numPr>
        <w:spacing w:line="360" w:lineRule="auto"/>
      </w:pPr>
      <w:bookmarkStart w:id="23" w:name="_Toc108614009"/>
      <w:r>
        <w:lastRenderedPageBreak/>
        <w:t>Figure B.</w:t>
      </w:r>
      <w:fldSimple w:instr=" SEQ Figure_B. \* ARABIC ">
        <w:r>
          <w:rPr>
            <w:noProof/>
          </w:rPr>
          <w:t>4</w:t>
        </w:r>
      </w:fldSimple>
      <w:r>
        <w:t xml:space="preserve"> </w:t>
      </w:r>
      <w:r w:rsidRPr="004F72FE">
        <w:t xml:space="preserve">Estimated annual average </w:t>
      </w:r>
      <w:r>
        <w:t>O</w:t>
      </w:r>
      <w:r>
        <w:rPr>
          <w:vertAlign w:val="subscript"/>
        </w:rPr>
        <w:t>3</w:t>
      </w:r>
      <w:r w:rsidRPr="004F72FE">
        <w:t xml:space="preserve"> concentrations mapped at 25 x 25m resolution in Great Britain for 2015 using </w:t>
      </w:r>
      <w:r>
        <w:t xml:space="preserve">the annual LUR (CTM-incorporated) </w:t>
      </w:r>
      <w:r w:rsidRPr="004F72FE">
        <w:t>model.</w:t>
      </w:r>
      <w:bookmarkEnd w:id="23"/>
    </w:p>
    <w:p w14:paraId="2B23B9D3" w14:textId="15C1DC01" w:rsidR="00EF4EF5" w:rsidRPr="00CE7332" w:rsidRDefault="00EF4EF5" w:rsidP="00A3299E">
      <w:pPr>
        <w:jc w:val="center"/>
        <w:sectPr w:rsidR="00EF4EF5" w:rsidRPr="00CE7332" w:rsidSect="00A27FE7">
          <w:pgSz w:w="12240" w:h="15840"/>
          <w:pgMar w:top="1440" w:right="1440" w:bottom="1440" w:left="1440" w:header="720" w:footer="720" w:gutter="0"/>
          <w:cols w:space="720"/>
          <w:docGrid w:linePitch="360"/>
        </w:sectPr>
      </w:pPr>
      <w:r>
        <w:rPr>
          <w:noProof/>
        </w:rPr>
        <w:drawing>
          <wp:inline distT="0" distB="0" distL="0" distR="0" wp14:anchorId="5A12D4EE" wp14:editId="1F7F9EA2">
            <wp:extent cx="4799620" cy="6840000"/>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99620" cy="6840000"/>
                    </a:xfrm>
                    <a:prstGeom prst="rect">
                      <a:avLst/>
                    </a:prstGeom>
                    <a:noFill/>
                    <a:ln>
                      <a:noFill/>
                    </a:ln>
                  </pic:spPr>
                </pic:pic>
              </a:graphicData>
            </a:graphic>
          </wp:inline>
        </w:drawing>
      </w:r>
    </w:p>
    <w:p w14:paraId="149CA481" w14:textId="77777777" w:rsidR="00EF4EF5" w:rsidRDefault="00EF4EF5" w:rsidP="00D56D37">
      <w:pPr>
        <w:pStyle w:val="Heading2"/>
        <w:numPr>
          <w:ilvl w:val="0"/>
          <w:numId w:val="0"/>
        </w:numPr>
        <w:spacing w:line="360" w:lineRule="auto"/>
      </w:pPr>
      <w:bookmarkStart w:id="24" w:name="_Toc108614010"/>
      <w:r w:rsidRPr="00CE7332">
        <w:lastRenderedPageBreak/>
        <w:t xml:space="preserve">Figure B.5 Estimated annual average concentrations mapped at 25 x 25m resolution in London for 2015 </w:t>
      </w:r>
      <w:r>
        <w:t>for NO</w:t>
      </w:r>
      <w:r>
        <w:rPr>
          <w:vertAlign w:val="subscript"/>
        </w:rPr>
        <w:t>2</w:t>
      </w:r>
      <w:r>
        <w:t>, O</w:t>
      </w:r>
      <w:r>
        <w:rPr>
          <w:vertAlign w:val="subscript"/>
        </w:rPr>
        <w:t>3</w:t>
      </w:r>
      <w:r>
        <w:t>, PM</w:t>
      </w:r>
      <w:r>
        <w:rPr>
          <w:vertAlign w:val="subscript"/>
        </w:rPr>
        <w:t>2.5</w:t>
      </w:r>
      <w:r>
        <w:t xml:space="preserve"> and PM</w:t>
      </w:r>
      <w:r>
        <w:rPr>
          <w:vertAlign w:val="subscript"/>
        </w:rPr>
        <w:t>10</w:t>
      </w:r>
      <w:r>
        <w:t xml:space="preserve"> </w:t>
      </w:r>
      <w:r w:rsidRPr="00CE7332">
        <w:t xml:space="preserve">using </w:t>
      </w:r>
      <w:r>
        <w:t xml:space="preserve">the annual LUR (CTM-incorporated) </w:t>
      </w:r>
      <w:r w:rsidRPr="00CE7332">
        <w:t>mode</w:t>
      </w:r>
      <w:r>
        <w:t>ls.</w:t>
      </w:r>
      <w:bookmarkEnd w:id="24"/>
    </w:p>
    <w:p w14:paraId="6E37CCD7" w14:textId="77777777" w:rsidR="00EF4EF5" w:rsidRDefault="00EF4EF5" w:rsidP="00D56D37">
      <w:pPr>
        <w:jc w:val="center"/>
        <w:rPr>
          <w:szCs w:val="26"/>
        </w:rPr>
      </w:pPr>
      <w:r>
        <w:rPr>
          <w:noProof/>
        </w:rPr>
        <w:drawing>
          <wp:inline distT="0" distB="0" distL="0" distR="0" wp14:anchorId="7DF55D1A" wp14:editId="7E197C81">
            <wp:extent cx="5905850" cy="4263220"/>
            <wp:effectExtent l="0" t="0" r="0" b="4445"/>
            <wp:docPr id="15" name="Picture 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10;&#10;Description automatically generated"/>
                    <pic:cNvPicPr/>
                  </pic:nvPicPr>
                  <pic:blipFill>
                    <a:blip r:embed="rId19"/>
                    <a:stretch>
                      <a:fillRect/>
                    </a:stretch>
                  </pic:blipFill>
                  <pic:spPr>
                    <a:xfrm>
                      <a:off x="0" y="0"/>
                      <a:ext cx="5917273" cy="4271466"/>
                    </a:xfrm>
                    <a:prstGeom prst="rect">
                      <a:avLst/>
                    </a:prstGeom>
                  </pic:spPr>
                </pic:pic>
              </a:graphicData>
            </a:graphic>
          </wp:inline>
        </w:drawing>
      </w:r>
    </w:p>
    <w:p w14:paraId="7FDB76BA" w14:textId="6C1B4B7D" w:rsidR="00EF4EF5" w:rsidRDefault="00EF4EF5"/>
    <w:sectPr w:rsidR="00EF4EF5" w:rsidSect="00A27FE7">
      <w:headerReference w:type="default" r:id="rId20"/>
      <w:footerReference w:type="default" r:id="rId2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C69531" w14:textId="77777777" w:rsidR="00FE559D" w:rsidRDefault="00FE559D" w:rsidP="00BD531C">
      <w:pPr>
        <w:spacing w:after="0" w:line="240" w:lineRule="auto"/>
      </w:pPr>
      <w:r>
        <w:separator/>
      </w:r>
    </w:p>
  </w:endnote>
  <w:endnote w:type="continuationSeparator" w:id="0">
    <w:p w14:paraId="1293A770" w14:textId="77777777" w:rsidR="00FE559D" w:rsidRDefault="00FE559D" w:rsidP="00BD531C">
      <w:pPr>
        <w:spacing w:after="0" w:line="240" w:lineRule="auto"/>
      </w:pPr>
      <w:r>
        <w:continuationSeparator/>
      </w:r>
    </w:p>
  </w:endnote>
  <w:endnote w:type="continuationNotice" w:id="1">
    <w:p w14:paraId="06DA62E4" w14:textId="77777777" w:rsidR="00FE559D" w:rsidRDefault="00FE559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696433"/>
      <w:docPartObj>
        <w:docPartGallery w:val="Page Numbers (Bottom of Page)"/>
        <w:docPartUnique/>
      </w:docPartObj>
    </w:sdtPr>
    <w:sdtEndPr>
      <w:rPr>
        <w:noProof/>
      </w:rPr>
    </w:sdtEndPr>
    <w:sdtContent>
      <w:p w14:paraId="061F5708" w14:textId="77777777" w:rsidR="00EF4EF5" w:rsidRDefault="00EF4EF5">
        <w:pPr>
          <w:pStyle w:val="Footer"/>
          <w:jc w:val="center"/>
        </w:pPr>
        <w:r>
          <w:fldChar w:fldCharType="begin"/>
        </w:r>
        <w:r>
          <w:instrText xml:space="preserve"> PAGE   \* MERGEFORMAT </w:instrText>
        </w:r>
        <w:r>
          <w:fldChar w:fldCharType="separate"/>
        </w:r>
        <w:r>
          <w:rPr>
            <w:noProof/>
          </w:rPr>
          <w:t>17</w:t>
        </w:r>
        <w:r>
          <w:rPr>
            <w:noProof/>
          </w:rPr>
          <w:fldChar w:fldCharType="end"/>
        </w:r>
      </w:p>
    </w:sdtContent>
  </w:sdt>
  <w:p w14:paraId="7B5A8187" w14:textId="77777777" w:rsidR="00EF4EF5" w:rsidRDefault="00EF4EF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720267"/>
      <w:docPartObj>
        <w:docPartGallery w:val="Page Numbers (Bottom of Page)"/>
        <w:docPartUnique/>
      </w:docPartObj>
    </w:sdtPr>
    <w:sdtEndPr>
      <w:rPr>
        <w:noProof/>
      </w:rPr>
    </w:sdtEndPr>
    <w:sdtContent>
      <w:p w14:paraId="3A224227" w14:textId="625717C1" w:rsidR="00384E2B" w:rsidRDefault="00384E2B">
        <w:pPr>
          <w:pStyle w:val="Footer"/>
          <w:jc w:val="center"/>
        </w:pPr>
        <w:r>
          <w:fldChar w:fldCharType="begin"/>
        </w:r>
        <w:r>
          <w:instrText xml:space="preserve"> PAGE   \* MERGEFORMAT </w:instrText>
        </w:r>
        <w:r>
          <w:fldChar w:fldCharType="separate"/>
        </w:r>
        <w:r>
          <w:rPr>
            <w:noProof/>
          </w:rPr>
          <w:t>17</w:t>
        </w:r>
        <w:r>
          <w:rPr>
            <w:noProof/>
          </w:rPr>
          <w:fldChar w:fldCharType="end"/>
        </w:r>
      </w:p>
    </w:sdtContent>
  </w:sdt>
  <w:p w14:paraId="355E2A78" w14:textId="77777777" w:rsidR="00384E2B" w:rsidRDefault="00384E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012301" w14:textId="77777777" w:rsidR="00FE559D" w:rsidRDefault="00FE559D" w:rsidP="00BD531C">
      <w:pPr>
        <w:spacing w:after="0" w:line="240" w:lineRule="auto"/>
      </w:pPr>
      <w:r>
        <w:separator/>
      </w:r>
    </w:p>
  </w:footnote>
  <w:footnote w:type="continuationSeparator" w:id="0">
    <w:p w14:paraId="7FA658CC" w14:textId="77777777" w:rsidR="00FE559D" w:rsidRDefault="00FE559D" w:rsidP="00BD531C">
      <w:pPr>
        <w:spacing w:after="0" w:line="240" w:lineRule="auto"/>
      </w:pPr>
      <w:r>
        <w:continuationSeparator/>
      </w:r>
    </w:p>
  </w:footnote>
  <w:footnote w:type="continuationNotice" w:id="1">
    <w:p w14:paraId="1FD8EB82" w14:textId="77777777" w:rsidR="00FE559D" w:rsidRDefault="00FE559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B941F3" w14:textId="77777777" w:rsidR="00EF4EF5" w:rsidRDefault="00EF4EF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9DB44" w14:textId="77777777" w:rsidR="00384E2B" w:rsidRDefault="00384E2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795F1E"/>
    <w:multiLevelType w:val="multilevel"/>
    <w:tmpl w:val="70284BB6"/>
    <w:lvl w:ilvl="0">
      <w:start w:val="1"/>
      <w:numFmt w:val="decimal"/>
      <w:pStyle w:val="Heading1"/>
      <w:lvlText w:val="%1."/>
      <w:lvlJc w:val="left"/>
      <w:pPr>
        <w:ind w:left="360" w:hanging="360"/>
      </w:pPr>
      <w:rPr>
        <w:rFonts w:cs="Times New Roman" w:hint="default"/>
      </w:rPr>
    </w:lvl>
    <w:lvl w:ilvl="1">
      <w:start w:val="1"/>
      <w:numFmt w:val="decimal"/>
      <w:pStyle w:val="Heading2"/>
      <w:isLgl/>
      <w:lvlText w:val="%1.%2."/>
      <w:lvlJc w:val="left"/>
      <w:pPr>
        <w:ind w:left="454" w:hanging="454"/>
      </w:pPr>
      <w:rPr>
        <w:rFonts w:cs="Times New Roman" w:hint="default"/>
      </w:rPr>
    </w:lvl>
    <w:lvl w:ilvl="2">
      <w:start w:val="2"/>
      <w:numFmt w:val="decimal"/>
      <w:pStyle w:val="Heading3"/>
      <w:lvlText w:val="%1.%2.%3"/>
      <w:lvlJc w:val="left"/>
      <w:pPr>
        <w:ind w:left="720" w:hanging="72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isLgl/>
      <w:lvlText w:val="%1.%2.%3.%4"/>
      <w:lvlJc w:val="left"/>
      <w:pPr>
        <w:ind w:left="720" w:hanging="720"/>
      </w:pPr>
      <w:rPr>
        <w:rFonts w:cs="Times New Roman" w:hint="default"/>
      </w:rPr>
    </w:lvl>
    <w:lvl w:ilvl="4">
      <w:start w:val="1"/>
      <w:numFmt w:val="decimal"/>
      <w:isLgl/>
      <w:lvlText w:val="%1.%2.%3.%4.%5"/>
      <w:lvlJc w:val="left"/>
      <w:pPr>
        <w:ind w:left="1080" w:hanging="1080"/>
      </w:pPr>
      <w:rPr>
        <w:rFonts w:cs="Times New Roman" w:hint="default"/>
      </w:rPr>
    </w:lvl>
    <w:lvl w:ilvl="5">
      <w:start w:val="1"/>
      <w:numFmt w:val="decimal"/>
      <w:isLgl/>
      <w:lvlText w:val="%1.%2.%3.%4.%5.%6"/>
      <w:lvlJc w:val="left"/>
      <w:pPr>
        <w:ind w:left="1080" w:hanging="1080"/>
      </w:pPr>
      <w:rPr>
        <w:rFonts w:cs="Times New Roman" w:hint="default"/>
      </w:rPr>
    </w:lvl>
    <w:lvl w:ilvl="6">
      <w:start w:val="1"/>
      <w:numFmt w:val="decimal"/>
      <w:isLgl/>
      <w:lvlText w:val="%1.%2.%3.%4.%5.%6.%7"/>
      <w:lvlJc w:val="left"/>
      <w:pPr>
        <w:ind w:left="1440" w:hanging="1440"/>
      </w:pPr>
      <w:rPr>
        <w:rFonts w:cs="Times New Roman" w:hint="default"/>
      </w:rPr>
    </w:lvl>
    <w:lvl w:ilvl="7">
      <w:start w:val="1"/>
      <w:numFmt w:val="decimal"/>
      <w:isLgl/>
      <w:lvlText w:val="%1.%2.%3.%4.%5.%6.%7.%8"/>
      <w:lvlJc w:val="left"/>
      <w:pPr>
        <w:ind w:left="1440" w:hanging="1440"/>
      </w:pPr>
      <w:rPr>
        <w:rFonts w:cs="Times New Roman" w:hint="default"/>
      </w:rPr>
    </w:lvl>
    <w:lvl w:ilvl="8">
      <w:start w:val="1"/>
      <w:numFmt w:val="decimal"/>
      <w:isLgl/>
      <w:lvlText w:val="%1.%2.%3.%4.%5.%6.%7.%8.%9"/>
      <w:lvlJc w:val="left"/>
      <w:pPr>
        <w:ind w:left="1440" w:hanging="1440"/>
      </w:pPr>
      <w:rPr>
        <w:rFonts w:cs="Times New Roman" w:hint="default"/>
      </w:rPr>
    </w:lvl>
  </w:abstractNum>
  <w:num w:numId="1" w16cid:durableId="1810440655">
    <w:abstractNumId w:val="0"/>
  </w:num>
  <w:num w:numId="2" w16cid:durableId="66290103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477718448">
    <w:abstractNumId w:val="0"/>
    <w:lvlOverride w:ilvl="0">
      <w:startOverride w:val="2"/>
    </w:lvlOverride>
    <w:lvlOverride w:ilvl="1">
      <w:startOverride w:val="1"/>
    </w:lvlOverride>
    <w:lvlOverride w:ilvl="2">
      <w:startOverride w:val="1"/>
    </w:lvlOverride>
  </w:num>
  <w:num w:numId="4" w16cid:durableId="1096436285">
    <w:abstractNumId w:val="0"/>
    <w:lvlOverride w:ilvl="0">
      <w:startOverride w:val="2"/>
    </w:lvlOverride>
    <w:lvlOverride w:ilvl="1">
      <w:startOverride w:val="2"/>
    </w:lvlOverride>
    <w:lvlOverride w:ilvl="2">
      <w:startOverride w:val="1"/>
    </w:lvlOverride>
  </w:num>
  <w:num w:numId="5" w16cid:durableId="1731414696">
    <w:abstractNumId w:val="0"/>
    <w:lvlOverride w:ilvl="0">
      <w:startOverride w:val="1"/>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386637605">
    <w:abstractNumId w:val="0"/>
    <w:lvlOverride w:ilvl="0">
      <w:startOverride w:val="2"/>
    </w:lvlOverride>
    <w:lvlOverride w:ilvl="1">
      <w:startOverride w:val="4"/>
    </w:lvlOverride>
    <w:lvlOverride w:ilvl="2">
      <w:startOverride w:val="1"/>
    </w:lvlOverride>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1"/>
  <w:proofState w:spelling="clean" w:grammar="clean"/>
  <w:defaultTabStop w:val="720"/>
  <w:characterSpacingControl w:val="doNotCompress"/>
  <w:hdrShapeDefaults>
    <o:shapedefaults v:ext="edit" spidmax="8193"/>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zExNTczMzY0sjAyNjNU0lEKTi0uzszPAykwtqgFAHO1ACwtAAAA"/>
  </w:docVars>
  <w:rsids>
    <w:rsidRoot w:val="00B56625"/>
    <w:rsid w:val="00002464"/>
    <w:rsid w:val="00004836"/>
    <w:rsid w:val="00004C40"/>
    <w:rsid w:val="00004F46"/>
    <w:rsid w:val="000062F7"/>
    <w:rsid w:val="00011613"/>
    <w:rsid w:val="00011B2B"/>
    <w:rsid w:val="000135DA"/>
    <w:rsid w:val="0001392C"/>
    <w:rsid w:val="00014B47"/>
    <w:rsid w:val="00021595"/>
    <w:rsid w:val="000225E6"/>
    <w:rsid w:val="00023995"/>
    <w:rsid w:val="00024CE9"/>
    <w:rsid w:val="00025703"/>
    <w:rsid w:val="00025F07"/>
    <w:rsid w:val="000267AC"/>
    <w:rsid w:val="00031499"/>
    <w:rsid w:val="00031B45"/>
    <w:rsid w:val="00032773"/>
    <w:rsid w:val="000351E7"/>
    <w:rsid w:val="00035957"/>
    <w:rsid w:val="00036C7E"/>
    <w:rsid w:val="000411F3"/>
    <w:rsid w:val="00041B92"/>
    <w:rsid w:val="00042337"/>
    <w:rsid w:val="000423F1"/>
    <w:rsid w:val="00043433"/>
    <w:rsid w:val="000446DC"/>
    <w:rsid w:val="00044DC6"/>
    <w:rsid w:val="00047334"/>
    <w:rsid w:val="00047E0E"/>
    <w:rsid w:val="00050E76"/>
    <w:rsid w:val="0005275B"/>
    <w:rsid w:val="000529B2"/>
    <w:rsid w:val="00052C8F"/>
    <w:rsid w:val="00052F9D"/>
    <w:rsid w:val="000552AA"/>
    <w:rsid w:val="000556FD"/>
    <w:rsid w:val="00057B52"/>
    <w:rsid w:val="000615FD"/>
    <w:rsid w:val="00061CB7"/>
    <w:rsid w:val="00063592"/>
    <w:rsid w:val="00067365"/>
    <w:rsid w:val="00067484"/>
    <w:rsid w:val="000739D0"/>
    <w:rsid w:val="0007454A"/>
    <w:rsid w:val="00076FF1"/>
    <w:rsid w:val="00081BC8"/>
    <w:rsid w:val="00083FD3"/>
    <w:rsid w:val="0008590E"/>
    <w:rsid w:val="0008617A"/>
    <w:rsid w:val="0008697C"/>
    <w:rsid w:val="0009067E"/>
    <w:rsid w:val="00093128"/>
    <w:rsid w:val="00093C9F"/>
    <w:rsid w:val="000955BD"/>
    <w:rsid w:val="00097136"/>
    <w:rsid w:val="000A0C29"/>
    <w:rsid w:val="000A0C80"/>
    <w:rsid w:val="000A1283"/>
    <w:rsid w:val="000A5B9A"/>
    <w:rsid w:val="000A5BC4"/>
    <w:rsid w:val="000A7B8D"/>
    <w:rsid w:val="000B1091"/>
    <w:rsid w:val="000B1D0D"/>
    <w:rsid w:val="000B3A5F"/>
    <w:rsid w:val="000B3CEA"/>
    <w:rsid w:val="000B42AE"/>
    <w:rsid w:val="000B586E"/>
    <w:rsid w:val="000B64AD"/>
    <w:rsid w:val="000B7E62"/>
    <w:rsid w:val="000C0C26"/>
    <w:rsid w:val="000C1A7D"/>
    <w:rsid w:val="000C286C"/>
    <w:rsid w:val="000C2BD1"/>
    <w:rsid w:val="000C3DC9"/>
    <w:rsid w:val="000C4888"/>
    <w:rsid w:val="000D0FE4"/>
    <w:rsid w:val="000D1DD2"/>
    <w:rsid w:val="000D21F1"/>
    <w:rsid w:val="000D3FE7"/>
    <w:rsid w:val="000D787B"/>
    <w:rsid w:val="000E1094"/>
    <w:rsid w:val="000E1389"/>
    <w:rsid w:val="000E2163"/>
    <w:rsid w:val="000E345F"/>
    <w:rsid w:val="000E7065"/>
    <w:rsid w:val="000E7549"/>
    <w:rsid w:val="000F0429"/>
    <w:rsid w:val="000F5253"/>
    <w:rsid w:val="000F76F8"/>
    <w:rsid w:val="00100B78"/>
    <w:rsid w:val="00100BC9"/>
    <w:rsid w:val="001039F2"/>
    <w:rsid w:val="00104A94"/>
    <w:rsid w:val="001067E1"/>
    <w:rsid w:val="001070E6"/>
    <w:rsid w:val="001107F6"/>
    <w:rsid w:val="00110909"/>
    <w:rsid w:val="0011096B"/>
    <w:rsid w:val="00110B1F"/>
    <w:rsid w:val="00110BD9"/>
    <w:rsid w:val="00111ACB"/>
    <w:rsid w:val="00111B82"/>
    <w:rsid w:val="0012072A"/>
    <w:rsid w:val="0012097B"/>
    <w:rsid w:val="00121996"/>
    <w:rsid w:val="00123952"/>
    <w:rsid w:val="00124487"/>
    <w:rsid w:val="00125070"/>
    <w:rsid w:val="001267F1"/>
    <w:rsid w:val="00126E03"/>
    <w:rsid w:val="001275CA"/>
    <w:rsid w:val="00131FA3"/>
    <w:rsid w:val="00132E0D"/>
    <w:rsid w:val="00134A70"/>
    <w:rsid w:val="00134CFC"/>
    <w:rsid w:val="00134DB5"/>
    <w:rsid w:val="0013537F"/>
    <w:rsid w:val="001372AA"/>
    <w:rsid w:val="001373D4"/>
    <w:rsid w:val="001477F0"/>
    <w:rsid w:val="00147B58"/>
    <w:rsid w:val="001505CA"/>
    <w:rsid w:val="00151599"/>
    <w:rsid w:val="00152771"/>
    <w:rsid w:val="0015387F"/>
    <w:rsid w:val="00154052"/>
    <w:rsid w:val="001549E5"/>
    <w:rsid w:val="001553E0"/>
    <w:rsid w:val="00155688"/>
    <w:rsid w:val="00155D15"/>
    <w:rsid w:val="00156C8F"/>
    <w:rsid w:val="00160329"/>
    <w:rsid w:val="00161CC8"/>
    <w:rsid w:val="00163060"/>
    <w:rsid w:val="00163AAC"/>
    <w:rsid w:val="00163E3A"/>
    <w:rsid w:val="00164551"/>
    <w:rsid w:val="00164D5A"/>
    <w:rsid w:val="001671B9"/>
    <w:rsid w:val="00167E5B"/>
    <w:rsid w:val="00167F5F"/>
    <w:rsid w:val="00173E60"/>
    <w:rsid w:val="00174A11"/>
    <w:rsid w:val="00183BE7"/>
    <w:rsid w:val="00184418"/>
    <w:rsid w:val="00185546"/>
    <w:rsid w:val="00185BE6"/>
    <w:rsid w:val="00187165"/>
    <w:rsid w:val="00187CC6"/>
    <w:rsid w:val="001905B1"/>
    <w:rsid w:val="001910D5"/>
    <w:rsid w:val="00192B87"/>
    <w:rsid w:val="0019330F"/>
    <w:rsid w:val="00193CE9"/>
    <w:rsid w:val="001941F9"/>
    <w:rsid w:val="00194223"/>
    <w:rsid w:val="00194522"/>
    <w:rsid w:val="00195713"/>
    <w:rsid w:val="0019744B"/>
    <w:rsid w:val="00197FC0"/>
    <w:rsid w:val="001A14CE"/>
    <w:rsid w:val="001A2047"/>
    <w:rsid w:val="001A2742"/>
    <w:rsid w:val="001A2AC0"/>
    <w:rsid w:val="001A2E28"/>
    <w:rsid w:val="001A2E83"/>
    <w:rsid w:val="001A3981"/>
    <w:rsid w:val="001A4306"/>
    <w:rsid w:val="001A4E49"/>
    <w:rsid w:val="001A647D"/>
    <w:rsid w:val="001A6D97"/>
    <w:rsid w:val="001A6E11"/>
    <w:rsid w:val="001B068E"/>
    <w:rsid w:val="001B27B0"/>
    <w:rsid w:val="001B6D5C"/>
    <w:rsid w:val="001C0CE7"/>
    <w:rsid w:val="001C1056"/>
    <w:rsid w:val="001C18DC"/>
    <w:rsid w:val="001C58EC"/>
    <w:rsid w:val="001D00A5"/>
    <w:rsid w:val="001D04D5"/>
    <w:rsid w:val="001D0764"/>
    <w:rsid w:val="001D266C"/>
    <w:rsid w:val="001D3B8E"/>
    <w:rsid w:val="001D521C"/>
    <w:rsid w:val="001D639B"/>
    <w:rsid w:val="001D7F55"/>
    <w:rsid w:val="001E3DA3"/>
    <w:rsid w:val="001E4EF0"/>
    <w:rsid w:val="001E6347"/>
    <w:rsid w:val="001E7117"/>
    <w:rsid w:val="001F18E6"/>
    <w:rsid w:val="001F1B92"/>
    <w:rsid w:val="001F32FE"/>
    <w:rsid w:val="001F590C"/>
    <w:rsid w:val="001F5B8D"/>
    <w:rsid w:val="001F7206"/>
    <w:rsid w:val="00200919"/>
    <w:rsid w:val="00201C9F"/>
    <w:rsid w:val="00202138"/>
    <w:rsid w:val="0020404B"/>
    <w:rsid w:val="002052C1"/>
    <w:rsid w:val="00205CDD"/>
    <w:rsid w:val="002068DD"/>
    <w:rsid w:val="00207004"/>
    <w:rsid w:val="0020732F"/>
    <w:rsid w:val="002103A3"/>
    <w:rsid w:val="00212212"/>
    <w:rsid w:val="00213134"/>
    <w:rsid w:val="00215682"/>
    <w:rsid w:val="00217839"/>
    <w:rsid w:val="00217F05"/>
    <w:rsid w:val="002210C9"/>
    <w:rsid w:val="00223616"/>
    <w:rsid w:val="00223860"/>
    <w:rsid w:val="00233CAF"/>
    <w:rsid w:val="00241979"/>
    <w:rsid w:val="002421FD"/>
    <w:rsid w:val="00243201"/>
    <w:rsid w:val="00243438"/>
    <w:rsid w:val="00245396"/>
    <w:rsid w:val="0024581F"/>
    <w:rsid w:val="00245A50"/>
    <w:rsid w:val="0024634E"/>
    <w:rsid w:val="0025208E"/>
    <w:rsid w:val="00253623"/>
    <w:rsid w:val="002553B2"/>
    <w:rsid w:val="002559BE"/>
    <w:rsid w:val="00256379"/>
    <w:rsid w:val="00260485"/>
    <w:rsid w:val="002622BB"/>
    <w:rsid w:val="0026314A"/>
    <w:rsid w:val="00263AFC"/>
    <w:rsid w:val="002651E4"/>
    <w:rsid w:val="00266CB1"/>
    <w:rsid w:val="00272B61"/>
    <w:rsid w:val="00277489"/>
    <w:rsid w:val="002818ED"/>
    <w:rsid w:val="0028238A"/>
    <w:rsid w:val="002840FF"/>
    <w:rsid w:val="002875A8"/>
    <w:rsid w:val="00287ECB"/>
    <w:rsid w:val="00292575"/>
    <w:rsid w:val="002933BB"/>
    <w:rsid w:val="0029576B"/>
    <w:rsid w:val="00295F3E"/>
    <w:rsid w:val="0029649A"/>
    <w:rsid w:val="00296BBB"/>
    <w:rsid w:val="00296FF2"/>
    <w:rsid w:val="00297975"/>
    <w:rsid w:val="002A1798"/>
    <w:rsid w:val="002A264A"/>
    <w:rsid w:val="002A37BC"/>
    <w:rsid w:val="002A54E3"/>
    <w:rsid w:val="002A56F4"/>
    <w:rsid w:val="002A5FE5"/>
    <w:rsid w:val="002A6459"/>
    <w:rsid w:val="002B0A9C"/>
    <w:rsid w:val="002B0E93"/>
    <w:rsid w:val="002B22C3"/>
    <w:rsid w:val="002B3123"/>
    <w:rsid w:val="002B4A17"/>
    <w:rsid w:val="002B5FA2"/>
    <w:rsid w:val="002B782F"/>
    <w:rsid w:val="002B7BA3"/>
    <w:rsid w:val="002C002A"/>
    <w:rsid w:val="002C2783"/>
    <w:rsid w:val="002C2B63"/>
    <w:rsid w:val="002C422D"/>
    <w:rsid w:val="002C430F"/>
    <w:rsid w:val="002D026E"/>
    <w:rsid w:val="002D31D8"/>
    <w:rsid w:val="002D4E2B"/>
    <w:rsid w:val="002D5118"/>
    <w:rsid w:val="002D5EBD"/>
    <w:rsid w:val="002D6EFC"/>
    <w:rsid w:val="002E1994"/>
    <w:rsid w:val="002E1EB1"/>
    <w:rsid w:val="002E20E8"/>
    <w:rsid w:val="002E45E9"/>
    <w:rsid w:val="002E4888"/>
    <w:rsid w:val="002E5272"/>
    <w:rsid w:val="002F2670"/>
    <w:rsid w:val="002F300A"/>
    <w:rsid w:val="002F78C6"/>
    <w:rsid w:val="003000B0"/>
    <w:rsid w:val="003019D1"/>
    <w:rsid w:val="00302E37"/>
    <w:rsid w:val="00303FFE"/>
    <w:rsid w:val="003051E0"/>
    <w:rsid w:val="00305BCA"/>
    <w:rsid w:val="003071BA"/>
    <w:rsid w:val="003072D4"/>
    <w:rsid w:val="00310A5E"/>
    <w:rsid w:val="00310F46"/>
    <w:rsid w:val="00314FEF"/>
    <w:rsid w:val="003153FE"/>
    <w:rsid w:val="00316CF4"/>
    <w:rsid w:val="003172E2"/>
    <w:rsid w:val="003225FB"/>
    <w:rsid w:val="00325F13"/>
    <w:rsid w:val="00331496"/>
    <w:rsid w:val="00332987"/>
    <w:rsid w:val="00333273"/>
    <w:rsid w:val="00335252"/>
    <w:rsid w:val="0033638C"/>
    <w:rsid w:val="00340B4B"/>
    <w:rsid w:val="00340B7F"/>
    <w:rsid w:val="003415E4"/>
    <w:rsid w:val="003417F0"/>
    <w:rsid w:val="00343819"/>
    <w:rsid w:val="00344AA9"/>
    <w:rsid w:val="00345DA0"/>
    <w:rsid w:val="00347ADB"/>
    <w:rsid w:val="0035098E"/>
    <w:rsid w:val="00351884"/>
    <w:rsid w:val="00352564"/>
    <w:rsid w:val="00352A9B"/>
    <w:rsid w:val="0035301F"/>
    <w:rsid w:val="003554FD"/>
    <w:rsid w:val="00356DDD"/>
    <w:rsid w:val="00360A37"/>
    <w:rsid w:val="00361F15"/>
    <w:rsid w:val="00362EAA"/>
    <w:rsid w:val="003649D8"/>
    <w:rsid w:val="00364BB6"/>
    <w:rsid w:val="00364DB7"/>
    <w:rsid w:val="00372E41"/>
    <w:rsid w:val="00375DC6"/>
    <w:rsid w:val="00381777"/>
    <w:rsid w:val="00382B2F"/>
    <w:rsid w:val="00382F9E"/>
    <w:rsid w:val="00383A00"/>
    <w:rsid w:val="00384E01"/>
    <w:rsid w:val="00384E2B"/>
    <w:rsid w:val="003858FF"/>
    <w:rsid w:val="00392CAB"/>
    <w:rsid w:val="00395B34"/>
    <w:rsid w:val="00395EFD"/>
    <w:rsid w:val="003A0890"/>
    <w:rsid w:val="003A4DBE"/>
    <w:rsid w:val="003A5DDA"/>
    <w:rsid w:val="003A65E4"/>
    <w:rsid w:val="003A76B8"/>
    <w:rsid w:val="003B0E26"/>
    <w:rsid w:val="003B2D3D"/>
    <w:rsid w:val="003B4017"/>
    <w:rsid w:val="003B44F3"/>
    <w:rsid w:val="003B4739"/>
    <w:rsid w:val="003B4837"/>
    <w:rsid w:val="003B4A51"/>
    <w:rsid w:val="003B53D0"/>
    <w:rsid w:val="003C371D"/>
    <w:rsid w:val="003C37D3"/>
    <w:rsid w:val="003C3D03"/>
    <w:rsid w:val="003C4C9B"/>
    <w:rsid w:val="003C68BE"/>
    <w:rsid w:val="003C7EAD"/>
    <w:rsid w:val="003D2797"/>
    <w:rsid w:val="003D50CC"/>
    <w:rsid w:val="003D57DC"/>
    <w:rsid w:val="003D63B0"/>
    <w:rsid w:val="003D70DB"/>
    <w:rsid w:val="003D7F5C"/>
    <w:rsid w:val="003E06A2"/>
    <w:rsid w:val="003E320C"/>
    <w:rsid w:val="003E43FD"/>
    <w:rsid w:val="003E7CB3"/>
    <w:rsid w:val="003F00E9"/>
    <w:rsid w:val="003F1CDB"/>
    <w:rsid w:val="003F229E"/>
    <w:rsid w:val="003F5DAC"/>
    <w:rsid w:val="00400559"/>
    <w:rsid w:val="00400E5C"/>
    <w:rsid w:val="00401494"/>
    <w:rsid w:val="004058DF"/>
    <w:rsid w:val="00405C65"/>
    <w:rsid w:val="00405D67"/>
    <w:rsid w:val="00410A43"/>
    <w:rsid w:val="004124AA"/>
    <w:rsid w:val="00412548"/>
    <w:rsid w:val="00414AA4"/>
    <w:rsid w:val="00420727"/>
    <w:rsid w:val="00420A3C"/>
    <w:rsid w:val="004211B9"/>
    <w:rsid w:val="004225A8"/>
    <w:rsid w:val="00422F26"/>
    <w:rsid w:val="00423AE5"/>
    <w:rsid w:val="00426641"/>
    <w:rsid w:val="0043015E"/>
    <w:rsid w:val="0043440E"/>
    <w:rsid w:val="00436BDC"/>
    <w:rsid w:val="00436D55"/>
    <w:rsid w:val="00440871"/>
    <w:rsid w:val="0044392C"/>
    <w:rsid w:val="00443FDD"/>
    <w:rsid w:val="00445928"/>
    <w:rsid w:val="004513D9"/>
    <w:rsid w:val="004523A8"/>
    <w:rsid w:val="0045469F"/>
    <w:rsid w:val="00455C23"/>
    <w:rsid w:val="00455EDA"/>
    <w:rsid w:val="00456EDC"/>
    <w:rsid w:val="0046161C"/>
    <w:rsid w:val="00461C36"/>
    <w:rsid w:val="004627C4"/>
    <w:rsid w:val="00462F38"/>
    <w:rsid w:val="00467A42"/>
    <w:rsid w:val="0047128F"/>
    <w:rsid w:val="00471315"/>
    <w:rsid w:val="004713E9"/>
    <w:rsid w:val="00472234"/>
    <w:rsid w:val="00473A3E"/>
    <w:rsid w:val="00477533"/>
    <w:rsid w:val="00482728"/>
    <w:rsid w:val="00482A39"/>
    <w:rsid w:val="00485967"/>
    <w:rsid w:val="00486739"/>
    <w:rsid w:val="004868A7"/>
    <w:rsid w:val="004875B0"/>
    <w:rsid w:val="00487B45"/>
    <w:rsid w:val="00490D89"/>
    <w:rsid w:val="00492DE2"/>
    <w:rsid w:val="00493D81"/>
    <w:rsid w:val="004946F6"/>
    <w:rsid w:val="0049556E"/>
    <w:rsid w:val="004958BB"/>
    <w:rsid w:val="0049640F"/>
    <w:rsid w:val="00496FAE"/>
    <w:rsid w:val="00497899"/>
    <w:rsid w:val="004A1FBA"/>
    <w:rsid w:val="004A2558"/>
    <w:rsid w:val="004A262C"/>
    <w:rsid w:val="004A26E6"/>
    <w:rsid w:val="004A3E87"/>
    <w:rsid w:val="004A45E5"/>
    <w:rsid w:val="004A487B"/>
    <w:rsid w:val="004A4CEC"/>
    <w:rsid w:val="004A4DF8"/>
    <w:rsid w:val="004A6D9B"/>
    <w:rsid w:val="004B1872"/>
    <w:rsid w:val="004B519C"/>
    <w:rsid w:val="004B58EE"/>
    <w:rsid w:val="004B79B4"/>
    <w:rsid w:val="004B7B72"/>
    <w:rsid w:val="004C2958"/>
    <w:rsid w:val="004C5A66"/>
    <w:rsid w:val="004C6690"/>
    <w:rsid w:val="004D160E"/>
    <w:rsid w:val="004D1E73"/>
    <w:rsid w:val="004D2831"/>
    <w:rsid w:val="004D3ADD"/>
    <w:rsid w:val="004D49E3"/>
    <w:rsid w:val="004D7F27"/>
    <w:rsid w:val="004E03A4"/>
    <w:rsid w:val="004E1884"/>
    <w:rsid w:val="004E3860"/>
    <w:rsid w:val="004E5EC4"/>
    <w:rsid w:val="004E62BD"/>
    <w:rsid w:val="004E70AE"/>
    <w:rsid w:val="004E7DB6"/>
    <w:rsid w:val="004E7FA1"/>
    <w:rsid w:val="004F42FE"/>
    <w:rsid w:val="004F4B85"/>
    <w:rsid w:val="004F655F"/>
    <w:rsid w:val="004F72FE"/>
    <w:rsid w:val="004F7FE8"/>
    <w:rsid w:val="00503B69"/>
    <w:rsid w:val="00512E79"/>
    <w:rsid w:val="005138E6"/>
    <w:rsid w:val="00514233"/>
    <w:rsid w:val="00514624"/>
    <w:rsid w:val="00515499"/>
    <w:rsid w:val="00515F8E"/>
    <w:rsid w:val="00516209"/>
    <w:rsid w:val="00517CAF"/>
    <w:rsid w:val="00520B1D"/>
    <w:rsid w:val="005217CF"/>
    <w:rsid w:val="005229D3"/>
    <w:rsid w:val="005242B3"/>
    <w:rsid w:val="00524983"/>
    <w:rsid w:val="00525A57"/>
    <w:rsid w:val="00527E87"/>
    <w:rsid w:val="005300B5"/>
    <w:rsid w:val="005309DC"/>
    <w:rsid w:val="00531B22"/>
    <w:rsid w:val="00531D23"/>
    <w:rsid w:val="00533144"/>
    <w:rsid w:val="00536179"/>
    <w:rsid w:val="0053662E"/>
    <w:rsid w:val="005371A4"/>
    <w:rsid w:val="00542680"/>
    <w:rsid w:val="00543BDB"/>
    <w:rsid w:val="00543FD9"/>
    <w:rsid w:val="0054583D"/>
    <w:rsid w:val="00546544"/>
    <w:rsid w:val="005466F7"/>
    <w:rsid w:val="00546AE6"/>
    <w:rsid w:val="00546E58"/>
    <w:rsid w:val="00547BE3"/>
    <w:rsid w:val="00550046"/>
    <w:rsid w:val="005512F8"/>
    <w:rsid w:val="00551B0E"/>
    <w:rsid w:val="00551CAC"/>
    <w:rsid w:val="005529A6"/>
    <w:rsid w:val="00553E35"/>
    <w:rsid w:val="005552BC"/>
    <w:rsid w:val="00555C79"/>
    <w:rsid w:val="00562F96"/>
    <w:rsid w:val="0056344A"/>
    <w:rsid w:val="00563D3A"/>
    <w:rsid w:val="00564302"/>
    <w:rsid w:val="00564D7F"/>
    <w:rsid w:val="005650EB"/>
    <w:rsid w:val="00565A0C"/>
    <w:rsid w:val="005660E2"/>
    <w:rsid w:val="005675DC"/>
    <w:rsid w:val="005675EE"/>
    <w:rsid w:val="00572801"/>
    <w:rsid w:val="00573BF8"/>
    <w:rsid w:val="00574353"/>
    <w:rsid w:val="00574DB8"/>
    <w:rsid w:val="00575DCF"/>
    <w:rsid w:val="00575F00"/>
    <w:rsid w:val="0057793B"/>
    <w:rsid w:val="00577AC8"/>
    <w:rsid w:val="00577C2C"/>
    <w:rsid w:val="00580CEC"/>
    <w:rsid w:val="00581608"/>
    <w:rsid w:val="0058362A"/>
    <w:rsid w:val="00583E20"/>
    <w:rsid w:val="0058485E"/>
    <w:rsid w:val="005856D2"/>
    <w:rsid w:val="005859CF"/>
    <w:rsid w:val="00585DF8"/>
    <w:rsid w:val="0058613B"/>
    <w:rsid w:val="0058771B"/>
    <w:rsid w:val="005908FA"/>
    <w:rsid w:val="00590B93"/>
    <w:rsid w:val="0059100C"/>
    <w:rsid w:val="00591369"/>
    <w:rsid w:val="00591A06"/>
    <w:rsid w:val="00593317"/>
    <w:rsid w:val="00595D66"/>
    <w:rsid w:val="00595FBA"/>
    <w:rsid w:val="00596622"/>
    <w:rsid w:val="005972C4"/>
    <w:rsid w:val="005A014E"/>
    <w:rsid w:val="005A1046"/>
    <w:rsid w:val="005A2EC7"/>
    <w:rsid w:val="005A314E"/>
    <w:rsid w:val="005A3E5D"/>
    <w:rsid w:val="005A4FA5"/>
    <w:rsid w:val="005B029D"/>
    <w:rsid w:val="005B24ED"/>
    <w:rsid w:val="005B3EA1"/>
    <w:rsid w:val="005B7648"/>
    <w:rsid w:val="005C00CC"/>
    <w:rsid w:val="005C4803"/>
    <w:rsid w:val="005C4852"/>
    <w:rsid w:val="005C48D6"/>
    <w:rsid w:val="005C57AA"/>
    <w:rsid w:val="005C6A6B"/>
    <w:rsid w:val="005C764C"/>
    <w:rsid w:val="005D2F93"/>
    <w:rsid w:val="005D47D0"/>
    <w:rsid w:val="005D5E85"/>
    <w:rsid w:val="005E0E64"/>
    <w:rsid w:val="005E1955"/>
    <w:rsid w:val="005E2068"/>
    <w:rsid w:val="005E26BD"/>
    <w:rsid w:val="005E2A95"/>
    <w:rsid w:val="005E2C08"/>
    <w:rsid w:val="005E373A"/>
    <w:rsid w:val="005E40AA"/>
    <w:rsid w:val="005E4E4A"/>
    <w:rsid w:val="005E74E8"/>
    <w:rsid w:val="005E79DA"/>
    <w:rsid w:val="005F0E56"/>
    <w:rsid w:val="005F58A4"/>
    <w:rsid w:val="005F6A0D"/>
    <w:rsid w:val="00600D7C"/>
    <w:rsid w:val="00601706"/>
    <w:rsid w:val="006017D3"/>
    <w:rsid w:val="00601818"/>
    <w:rsid w:val="00601C7C"/>
    <w:rsid w:val="00601D71"/>
    <w:rsid w:val="00604B65"/>
    <w:rsid w:val="00610D18"/>
    <w:rsid w:val="00611272"/>
    <w:rsid w:val="006115F2"/>
    <w:rsid w:val="00611641"/>
    <w:rsid w:val="00612C47"/>
    <w:rsid w:val="00613CCD"/>
    <w:rsid w:val="0061521E"/>
    <w:rsid w:val="00615BC6"/>
    <w:rsid w:val="0061616D"/>
    <w:rsid w:val="00617741"/>
    <w:rsid w:val="00617B00"/>
    <w:rsid w:val="006206CF"/>
    <w:rsid w:val="0062248F"/>
    <w:rsid w:val="00623A33"/>
    <w:rsid w:val="00625DC6"/>
    <w:rsid w:val="0062601F"/>
    <w:rsid w:val="00626A62"/>
    <w:rsid w:val="00626CE7"/>
    <w:rsid w:val="006302C7"/>
    <w:rsid w:val="00630C49"/>
    <w:rsid w:val="00630DBA"/>
    <w:rsid w:val="00631842"/>
    <w:rsid w:val="0063209A"/>
    <w:rsid w:val="00633A31"/>
    <w:rsid w:val="006352B1"/>
    <w:rsid w:val="00637752"/>
    <w:rsid w:val="00637FC7"/>
    <w:rsid w:val="0064179E"/>
    <w:rsid w:val="00642EFD"/>
    <w:rsid w:val="00645C2C"/>
    <w:rsid w:val="00647AA8"/>
    <w:rsid w:val="00647D22"/>
    <w:rsid w:val="006533D8"/>
    <w:rsid w:val="00653898"/>
    <w:rsid w:val="00654BC2"/>
    <w:rsid w:val="0066495F"/>
    <w:rsid w:val="00666CE2"/>
    <w:rsid w:val="00671C07"/>
    <w:rsid w:val="0067239A"/>
    <w:rsid w:val="006739B6"/>
    <w:rsid w:val="006755D2"/>
    <w:rsid w:val="006756D4"/>
    <w:rsid w:val="0067666E"/>
    <w:rsid w:val="00680B80"/>
    <w:rsid w:val="00681419"/>
    <w:rsid w:val="00681439"/>
    <w:rsid w:val="00681613"/>
    <w:rsid w:val="0068188C"/>
    <w:rsid w:val="00681EC2"/>
    <w:rsid w:val="00682966"/>
    <w:rsid w:val="006839A6"/>
    <w:rsid w:val="0068438E"/>
    <w:rsid w:val="00687124"/>
    <w:rsid w:val="00687739"/>
    <w:rsid w:val="0069024D"/>
    <w:rsid w:val="00690EF2"/>
    <w:rsid w:val="00693301"/>
    <w:rsid w:val="00694BFC"/>
    <w:rsid w:val="00696ABA"/>
    <w:rsid w:val="006A02D5"/>
    <w:rsid w:val="006A52FE"/>
    <w:rsid w:val="006A52FF"/>
    <w:rsid w:val="006A580C"/>
    <w:rsid w:val="006B087F"/>
    <w:rsid w:val="006B378E"/>
    <w:rsid w:val="006B3EC9"/>
    <w:rsid w:val="006B5E1B"/>
    <w:rsid w:val="006B6021"/>
    <w:rsid w:val="006B6D56"/>
    <w:rsid w:val="006B7A45"/>
    <w:rsid w:val="006B7FE6"/>
    <w:rsid w:val="006C0EB5"/>
    <w:rsid w:val="006C1408"/>
    <w:rsid w:val="006C23F7"/>
    <w:rsid w:val="006C259D"/>
    <w:rsid w:val="006C42BD"/>
    <w:rsid w:val="006C44F9"/>
    <w:rsid w:val="006C4AF0"/>
    <w:rsid w:val="006C6496"/>
    <w:rsid w:val="006C6A19"/>
    <w:rsid w:val="006D0A2F"/>
    <w:rsid w:val="006D2BAC"/>
    <w:rsid w:val="006D3348"/>
    <w:rsid w:val="006D5711"/>
    <w:rsid w:val="006D68D0"/>
    <w:rsid w:val="006D6D58"/>
    <w:rsid w:val="006D7FE8"/>
    <w:rsid w:val="006E0DD5"/>
    <w:rsid w:val="006E0EF0"/>
    <w:rsid w:val="006E0FCC"/>
    <w:rsid w:val="006E2C59"/>
    <w:rsid w:val="006E33D9"/>
    <w:rsid w:val="006E3FB2"/>
    <w:rsid w:val="006E60AE"/>
    <w:rsid w:val="006E61F3"/>
    <w:rsid w:val="006E7A3E"/>
    <w:rsid w:val="006F0D63"/>
    <w:rsid w:val="006F40E8"/>
    <w:rsid w:val="00700DB3"/>
    <w:rsid w:val="0070210B"/>
    <w:rsid w:val="007031FE"/>
    <w:rsid w:val="007072A8"/>
    <w:rsid w:val="007073FC"/>
    <w:rsid w:val="00710316"/>
    <w:rsid w:val="00710BCB"/>
    <w:rsid w:val="0071628A"/>
    <w:rsid w:val="00717404"/>
    <w:rsid w:val="00717FD6"/>
    <w:rsid w:val="00723838"/>
    <w:rsid w:val="00725F33"/>
    <w:rsid w:val="0072632F"/>
    <w:rsid w:val="007273AC"/>
    <w:rsid w:val="0073014C"/>
    <w:rsid w:val="00731982"/>
    <w:rsid w:val="00732B30"/>
    <w:rsid w:val="007343BF"/>
    <w:rsid w:val="00736350"/>
    <w:rsid w:val="00740D1A"/>
    <w:rsid w:val="007446DC"/>
    <w:rsid w:val="007460E5"/>
    <w:rsid w:val="00746594"/>
    <w:rsid w:val="00747EC2"/>
    <w:rsid w:val="00751FE3"/>
    <w:rsid w:val="00752732"/>
    <w:rsid w:val="00752FAD"/>
    <w:rsid w:val="00757270"/>
    <w:rsid w:val="0076152F"/>
    <w:rsid w:val="00762A55"/>
    <w:rsid w:val="00762A6A"/>
    <w:rsid w:val="00762B82"/>
    <w:rsid w:val="00765007"/>
    <w:rsid w:val="00766ECB"/>
    <w:rsid w:val="0076776F"/>
    <w:rsid w:val="007704E9"/>
    <w:rsid w:val="00771691"/>
    <w:rsid w:val="00771BCC"/>
    <w:rsid w:val="00776EAD"/>
    <w:rsid w:val="007773E9"/>
    <w:rsid w:val="00780293"/>
    <w:rsid w:val="0078215C"/>
    <w:rsid w:val="00784C51"/>
    <w:rsid w:val="00784E72"/>
    <w:rsid w:val="00785548"/>
    <w:rsid w:val="0079152A"/>
    <w:rsid w:val="00793B62"/>
    <w:rsid w:val="00793DA6"/>
    <w:rsid w:val="007942A6"/>
    <w:rsid w:val="00794303"/>
    <w:rsid w:val="00794B64"/>
    <w:rsid w:val="0079606C"/>
    <w:rsid w:val="00797332"/>
    <w:rsid w:val="007A1BCB"/>
    <w:rsid w:val="007A1F81"/>
    <w:rsid w:val="007A2372"/>
    <w:rsid w:val="007A2978"/>
    <w:rsid w:val="007A4935"/>
    <w:rsid w:val="007A72AC"/>
    <w:rsid w:val="007A74CC"/>
    <w:rsid w:val="007A7D13"/>
    <w:rsid w:val="007A7E06"/>
    <w:rsid w:val="007B0AB7"/>
    <w:rsid w:val="007B2107"/>
    <w:rsid w:val="007B3849"/>
    <w:rsid w:val="007B53FA"/>
    <w:rsid w:val="007B5736"/>
    <w:rsid w:val="007B5769"/>
    <w:rsid w:val="007B5B27"/>
    <w:rsid w:val="007B662C"/>
    <w:rsid w:val="007C053C"/>
    <w:rsid w:val="007C0860"/>
    <w:rsid w:val="007C1FA9"/>
    <w:rsid w:val="007C3083"/>
    <w:rsid w:val="007C3771"/>
    <w:rsid w:val="007C3AF3"/>
    <w:rsid w:val="007C3B77"/>
    <w:rsid w:val="007C5423"/>
    <w:rsid w:val="007C5E75"/>
    <w:rsid w:val="007D2672"/>
    <w:rsid w:val="007D29BA"/>
    <w:rsid w:val="007D4756"/>
    <w:rsid w:val="007D4F6A"/>
    <w:rsid w:val="007D6418"/>
    <w:rsid w:val="007D7CB6"/>
    <w:rsid w:val="007E3E8A"/>
    <w:rsid w:val="007E41BD"/>
    <w:rsid w:val="007E45D3"/>
    <w:rsid w:val="007E56E5"/>
    <w:rsid w:val="007E5FFC"/>
    <w:rsid w:val="007F3546"/>
    <w:rsid w:val="007F36AC"/>
    <w:rsid w:val="007F6F90"/>
    <w:rsid w:val="007F7BDB"/>
    <w:rsid w:val="007F7CC0"/>
    <w:rsid w:val="007F7EEA"/>
    <w:rsid w:val="00801C1D"/>
    <w:rsid w:val="008036E2"/>
    <w:rsid w:val="008040CA"/>
    <w:rsid w:val="008046A0"/>
    <w:rsid w:val="0081053C"/>
    <w:rsid w:val="0081284A"/>
    <w:rsid w:val="008153E0"/>
    <w:rsid w:val="008172DB"/>
    <w:rsid w:val="00822809"/>
    <w:rsid w:val="008274C3"/>
    <w:rsid w:val="00827B5A"/>
    <w:rsid w:val="008311F3"/>
    <w:rsid w:val="00833624"/>
    <w:rsid w:val="0083613B"/>
    <w:rsid w:val="00837653"/>
    <w:rsid w:val="00840A1D"/>
    <w:rsid w:val="0084110D"/>
    <w:rsid w:val="008419AD"/>
    <w:rsid w:val="00841F70"/>
    <w:rsid w:val="0084240C"/>
    <w:rsid w:val="00844912"/>
    <w:rsid w:val="00845135"/>
    <w:rsid w:val="0084518F"/>
    <w:rsid w:val="00845B5D"/>
    <w:rsid w:val="008461EA"/>
    <w:rsid w:val="00847030"/>
    <w:rsid w:val="00847198"/>
    <w:rsid w:val="00847E84"/>
    <w:rsid w:val="00850D80"/>
    <w:rsid w:val="008537D7"/>
    <w:rsid w:val="00853BB1"/>
    <w:rsid w:val="00853CE9"/>
    <w:rsid w:val="00854019"/>
    <w:rsid w:val="0085486E"/>
    <w:rsid w:val="008563D9"/>
    <w:rsid w:val="00856F6E"/>
    <w:rsid w:val="0085774D"/>
    <w:rsid w:val="00860210"/>
    <w:rsid w:val="00860468"/>
    <w:rsid w:val="0086073B"/>
    <w:rsid w:val="00861ADA"/>
    <w:rsid w:val="00862DE5"/>
    <w:rsid w:val="00863D16"/>
    <w:rsid w:val="008652A4"/>
    <w:rsid w:val="00865F47"/>
    <w:rsid w:val="00867CAA"/>
    <w:rsid w:val="00867F91"/>
    <w:rsid w:val="00870235"/>
    <w:rsid w:val="00870351"/>
    <w:rsid w:val="008720E6"/>
    <w:rsid w:val="00872632"/>
    <w:rsid w:val="00873B4F"/>
    <w:rsid w:val="00873CC4"/>
    <w:rsid w:val="0087420A"/>
    <w:rsid w:val="008748C5"/>
    <w:rsid w:val="00875991"/>
    <w:rsid w:val="00876EF7"/>
    <w:rsid w:val="00880642"/>
    <w:rsid w:val="0088096B"/>
    <w:rsid w:val="00880EEB"/>
    <w:rsid w:val="008822FC"/>
    <w:rsid w:val="00887B3F"/>
    <w:rsid w:val="008901C5"/>
    <w:rsid w:val="00891DEB"/>
    <w:rsid w:val="00892642"/>
    <w:rsid w:val="0089623A"/>
    <w:rsid w:val="008A028F"/>
    <w:rsid w:val="008A100F"/>
    <w:rsid w:val="008A1D6B"/>
    <w:rsid w:val="008A25DB"/>
    <w:rsid w:val="008A362B"/>
    <w:rsid w:val="008A69D5"/>
    <w:rsid w:val="008B1BD5"/>
    <w:rsid w:val="008B22DB"/>
    <w:rsid w:val="008B248E"/>
    <w:rsid w:val="008B2DE9"/>
    <w:rsid w:val="008B3D07"/>
    <w:rsid w:val="008B5423"/>
    <w:rsid w:val="008B6B7E"/>
    <w:rsid w:val="008B6CBA"/>
    <w:rsid w:val="008B75A2"/>
    <w:rsid w:val="008C114E"/>
    <w:rsid w:val="008C129A"/>
    <w:rsid w:val="008C2A8C"/>
    <w:rsid w:val="008C2F9B"/>
    <w:rsid w:val="008C2FD2"/>
    <w:rsid w:val="008C38D4"/>
    <w:rsid w:val="008C57BD"/>
    <w:rsid w:val="008C7B3C"/>
    <w:rsid w:val="008D089A"/>
    <w:rsid w:val="008D092D"/>
    <w:rsid w:val="008D218A"/>
    <w:rsid w:val="008D484E"/>
    <w:rsid w:val="008D6CC9"/>
    <w:rsid w:val="008E0FD2"/>
    <w:rsid w:val="008E2FA4"/>
    <w:rsid w:val="008E36E3"/>
    <w:rsid w:val="008E3D4C"/>
    <w:rsid w:val="008E45E0"/>
    <w:rsid w:val="008E462F"/>
    <w:rsid w:val="008E6EFF"/>
    <w:rsid w:val="008E7258"/>
    <w:rsid w:val="008E7B16"/>
    <w:rsid w:val="008F054E"/>
    <w:rsid w:val="008F3273"/>
    <w:rsid w:val="008F57E8"/>
    <w:rsid w:val="008F5A90"/>
    <w:rsid w:val="008F625D"/>
    <w:rsid w:val="008F6B97"/>
    <w:rsid w:val="008F7886"/>
    <w:rsid w:val="0090111A"/>
    <w:rsid w:val="00903A43"/>
    <w:rsid w:val="0090558C"/>
    <w:rsid w:val="00907CAF"/>
    <w:rsid w:val="00913734"/>
    <w:rsid w:val="00913E21"/>
    <w:rsid w:val="009164AE"/>
    <w:rsid w:val="00916959"/>
    <w:rsid w:val="009179BE"/>
    <w:rsid w:val="00917E90"/>
    <w:rsid w:val="009204E0"/>
    <w:rsid w:val="00920805"/>
    <w:rsid w:val="009227A8"/>
    <w:rsid w:val="0092382A"/>
    <w:rsid w:val="00923BB5"/>
    <w:rsid w:val="00923E00"/>
    <w:rsid w:val="00923FA2"/>
    <w:rsid w:val="00924EFC"/>
    <w:rsid w:val="00925270"/>
    <w:rsid w:val="00925DD4"/>
    <w:rsid w:val="00926E84"/>
    <w:rsid w:val="00927571"/>
    <w:rsid w:val="0093105B"/>
    <w:rsid w:val="00931160"/>
    <w:rsid w:val="00931285"/>
    <w:rsid w:val="009314A3"/>
    <w:rsid w:val="00932140"/>
    <w:rsid w:val="0093351B"/>
    <w:rsid w:val="00933566"/>
    <w:rsid w:val="00937846"/>
    <w:rsid w:val="00937CA1"/>
    <w:rsid w:val="00937EF1"/>
    <w:rsid w:val="00941F4A"/>
    <w:rsid w:val="00942707"/>
    <w:rsid w:val="009444EF"/>
    <w:rsid w:val="00945320"/>
    <w:rsid w:val="009458EF"/>
    <w:rsid w:val="00945E8B"/>
    <w:rsid w:val="00946C9B"/>
    <w:rsid w:val="009477BB"/>
    <w:rsid w:val="00952FB5"/>
    <w:rsid w:val="0095379B"/>
    <w:rsid w:val="00953BAF"/>
    <w:rsid w:val="009551DD"/>
    <w:rsid w:val="00956F37"/>
    <w:rsid w:val="00957024"/>
    <w:rsid w:val="00957754"/>
    <w:rsid w:val="009607FB"/>
    <w:rsid w:val="00961F24"/>
    <w:rsid w:val="0096657F"/>
    <w:rsid w:val="00967889"/>
    <w:rsid w:val="00970301"/>
    <w:rsid w:val="00971CD5"/>
    <w:rsid w:val="009725BD"/>
    <w:rsid w:val="00973E40"/>
    <w:rsid w:val="009758EA"/>
    <w:rsid w:val="0097721E"/>
    <w:rsid w:val="00980B7C"/>
    <w:rsid w:val="009819FA"/>
    <w:rsid w:val="0098257A"/>
    <w:rsid w:val="00982780"/>
    <w:rsid w:val="00984885"/>
    <w:rsid w:val="00990216"/>
    <w:rsid w:val="00990701"/>
    <w:rsid w:val="00991891"/>
    <w:rsid w:val="00993FE2"/>
    <w:rsid w:val="00997F38"/>
    <w:rsid w:val="009A1973"/>
    <w:rsid w:val="009A5381"/>
    <w:rsid w:val="009A5E83"/>
    <w:rsid w:val="009A6579"/>
    <w:rsid w:val="009B0552"/>
    <w:rsid w:val="009B330D"/>
    <w:rsid w:val="009B34F2"/>
    <w:rsid w:val="009B4D29"/>
    <w:rsid w:val="009B4FAD"/>
    <w:rsid w:val="009B6905"/>
    <w:rsid w:val="009B6C77"/>
    <w:rsid w:val="009C0190"/>
    <w:rsid w:val="009C0197"/>
    <w:rsid w:val="009C02B1"/>
    <w:rsid w:val="009C188B"/>
    <w:rsid w:val="009C2071"/>
    <w:rsid w:val="009C4698"/>
    <w:rsid w:val="009C4BD9"/>
    <w:rsid w:val="009C52EE"/>
    <w:rsid w:val="009C5BF7"/>
    <w:rsid w:val="009D0452"/>
    <w:rsid w:val="009D5590"/>
    <w:rsid w:val="009D6876"/>
    <w:rsid w:val="009D6CFD"/>
    <w:rsid w:val="009D6F75"/>
    <w:rsid w:val="009E0CF4"/>
    <w:rsid w:val="009E3100"/>
    <w:rsid w:val="009E3BD8"/>
    <w:rsid w:val="009E56E0"/>
    <w:rsid w:val="009E5B98"/>
    <w:rsid w:val="009E5E62"/>
    <w:rsid w:val="009F275D"/>
    <w:rsid w:val="009F3464"/>
    <w:rsid w:val="009F4BBF"/>
    <w:rsid w:val="00A01413"/>
    <w:rsid w:val="00A017F8"/>
    <w:rsid w:val="00A027AD"/>
    <w:rsid w:val="00A02CD4"/>
    <w:rsid w:val="00A02F3F"/>
    <w:rsid w:val="00A04B8C"/>
    <w:rsid w:val="00A07365"/>
    <w:rsid w:val="00A14196"/>
    <w:rsid w:val="00A1422A"/>
    <w:rsid w:val="00A14355"/>
    <w:rsid w:val="00A20943"/>
    <w:rsid w:val="00A20D6A"/>
    <w:rsid w:val="00A22175"/>
    <w:rsid w:val="00A223AB"/>
    <w:rsid w:val="00A2285D"/>
    <w:rsid w:val="00A22D51"/>
    <w:rsid w:val="00A22E68"/>
    <w:rsid w:val="00A23EBB"/>
    <w:rsid w:val="00A25FCD"/>
    <w:rsid w:val="00A27FE7"/>
    <w:rsid w:val="00A30495"/>
    <w:rsid w:val="00A30B4A"/>
    <w:rsid w:val="00A31B0B"/>
    <w:rsid w:val="00A3205E"/>
    <w:rsid w:val="00A3299E"/>
    <w:rsid w:val="00A36258"/>
    <w:rsid w:val="00A36CF6"/>
    <w:rsid w:val="00A36F51"/>
    <w:rsid w:val="00A376DA"/>
    <w:rsid w:val="00A37D69"/>
    <w:rsid w:val="00A41EC1"/>
    <w:rsid w:val="00A43ED3"/>
    <w:rsid w:val="00A447ED"/>
    <w:rsid w:val="00A44852"/>
    <w:rsid w:val="00A44AE6"/>
    <w:rsid w:val="00A46CE1"/>
    <w:rsid w:val="00A47163"/>
    <w:rsid w:val="00A473B7"/>
    <w:rsid w:val="00A5081F"/>
    <w:rsid w:val="00A5156F"/>
    <w:rsid w:val="00A5345A"/>
    <w:rsid w:val="00A5360E"/>
    <w:rsid w:val="00A560B0"/>
    <w:rsid w:val="00A568E0"/>
    <w:rsid w:val="00A57371"/>
    <w:rsid w:val="00A6147D"/>
    <w:rsid w:val="00A6265A"/>
    <w:rsid w:val="00A643C9"/>
    <w:rsid w:val="00A706A2"/>
    <w:rsid w:val="00A71261"/>
    <w:rsid w:val="00A73BBF"/>
    <w:rsid w:val="00A75EBB"/>
    <w:rsid w:val="00A77324"/>
    <w:rsid w:val="00A82350"/>
    <w:rsid w:val="00A83BC0"/>
    <w:rsid w:val="00A83C81"/>
    <w:rsid w:val="00A8529B"/>
    <w:rsid w:val="00A9597D"/>
    <w:rsid w:val="00A9600E"/>
    <w:rsid w:val="00AA171F"/>
    <w:rsid w:val="00AA1ED0"/>
    <w:rsid w:val="00AA29F1"/>
    <w:rsid w:val="00AA3ACE"/>
    <w:rsid w:val="00AB020D"/>
    <w:rsid w:val="00AB1980"/>
    <w:rsid w:val="00AB417C"/>
    <w:rsid w:val="00AB4450"/>
    <w:rsid w:val="00AB4A8F"/>
    <w:rsid w:val="00AB4ECF"/>
    <w:rsid w:val="00AB655D"/>
    <w:rsid w:val="00AB77A3"/>
    <w:rsid w:val="00AC2EAD"/>
    <w:rsid w:val="00AC37D1"/>
    <w:rsid w:val="00AC50C0"/>
    <w:rsid w:val="00AC6544"/>
    <w:rsid w:val="00AD02D9"/>
    <w:rsid w:val="00AD269A"/>
    <w:rsid w:val="00AD4044"/>
    <w:rsid w:val="00AD4423"/>
    <w:rsid w:val="00AD4B54"/>
    <w:rsid w:val="00AE0599"/>
    <w:rsid w:val="00AE128A"/>
    <w:rsid w:val="00AE2264"/>
    <w:rsid w:val="00AE2B1A"/>
    <w:rsid w:val="00AE5817"/>
    <w:rsid w:val="00AE6DE7"/>
    <w:rsid w:val="00AF18F3"/>
    <w:rsid w:val="00AF269C"/>
    <w:rsid w:val="00AF3C12"/>
    <w:rsid w:val="00AF3CA6"/>
    <w:rsid w:val="00AF5374"/>
    <w:rsid w:val="00AF551E"/>
    <w:rsid w:val="00AF70E4"/>
    <w:rsid w:val="00AF71C9"/>
    <w:rsid w:val="00B01EAC"/>
    <w:rsid w:val="00B01FB8"/>
    <w:rsid w:val="00B06546"/>
    <w:rsid w:val="00B06FE1"/>
    <w:rsid w:val="00B10899"/>
    <w:rsid w:val="00B10AE8"/>
    <w:rsid w:val="00B17BA9"/>
    <w:rsid w:val="00B2207E"/>
    <w:rsid w:val="00B248E6"/>
    <w:rsid w:val="00B24AAD"/>
    <w:rsid w:val="00B31522"/>
    <w:rsid w:val="00B31EFA"/>
    <w:rsid w:val="00B35700"/>
    <w:rsid w:val="00B37A21"/>
    <w:rsid w:val="00B40CB5"/>
    <w:rsid w:val="00B43E52"/>
    <w:rsid w:val="00B4486E"/>
    <w:rsid w:val="00B449B9"/>
    <w:rsid w:val="00B45837"/>
    <w:rsid w:val="00B53109"/>
    <w:rsid w:val="00B53D6F"/>
    <w:rsid w:val="00B56314"/>
    <w:rsid w:val="00B56625"/>
    <w:rsid w:val="00B57027"/>
    <w:rsid w:val="00B61067"/>
    <w:rsid w:val="00B617B5"/>
    <w:rsid w:val="00B6272D"/>
    <w:rsid w:val="00B63885"/>
    <w:rsid w:val="00B666DB"/>
    <w:rsid w:val="00B71683"/>
    <w:rsid w:val="00B75BF2"/>
    <w:rsid w:val="00B76F3C"/>
    <w:rsid w:val="00B77BB8"/>
    <w:rsid w:val="00B816C4"/>
    <w:rsid w:val="00B83BDB"/>
    <w:rsid w:val="00B83D38"/>
    <w:rsid w:val="00B84E1F"/>
    <w:rsid w:val="00B8643B"/>
    <w:rsid w:val="00B8667A"/>
    <w:rsid w:val="00B86A89"/>
    <w:rsid w:val="00B87155"/>
    <w:rsid w:val="00B907C3"/>
    <w:rsid w:val="00B951D2"/>
    <w:rsid w:val="00BA0647"/>
    <w:rsid w:val="00BA06AE"/>
    <w:rsid w:val="00BA13F2"/>
    <w:rsid w:val="00BA1A5A"/>
    <w:rsid w:val="00BA2595"/>
    <w:rsid w:val="00BA3251"/>
    <w:rsid w:val="00BA4337"/>
    <w:rsid w:val="00BA532E"/>
    <w:rsid w:val="00BA611A"/>
    <w:rsid w:val="00BA7E4F"/>
    <w:rsid w:val="00BB08E2"/>
    <w:rsid w:val="00BB0A4F"/>
    <w:rsid w:val="00BB3FCF"/>
    <w:rsid w:val="00BB5F56"/>
    <w:rsid w:val="00BC2593"/>
    <w:rsid w:val="00BC4C26"/>
    <w:rsid w:val="00BC61BF"/>
    <w:rsid w:val="00BC6746"/>
    <w:rsid w:val="00BC67C1"/>
    <w:rsid w:val="00BC7687"/>
    <w:rsid w:val="00BC7AA8"/>
    <w:rsid w:val="00BD2470"/>
    <w:rsid w:val="00BD30F4"/>
    <w:rsid w:val="00BD531C"/>
    <w:rsid w:val="00BD57A8"/>
    <w:rsid w:val="00BD6907"/>
    <w:rsid w:val="00BD74B9"/>
    <w:rsid w:val="00BD7697"/>
    <w:rsid w:val="00BE06E0"/>
    <w:rsid w:val="00BE0855"/>
    <w:rsid w:val="00BE136C"/>
    <w:rsid w:val="00BE4977"/>
    <w:rsid w:val="00BE6A9B"/>
    <w:rsid w:val="00BF02BC"/>
    <w:rsid w:val="00BF6FB8"/>
    <w:rsid w:val="00C01169"/>
    <w:rsid w:val="00C02DCF"/>
    <w:rsid w:val="00C03735"/>
    <w:rsid w:val="00C05B26"/>
    <w:rsid w:val="00C15422"/>
    <w:rsid w:val="00C15B90"/>
    <w:rsid w:val="00C16065"/>
    <w:rsid w:val="00C20886"/>
    <w:rsid w:val="00C22346"/>
    <w:rsid w:val="00C22AB9"/>
    <w:rsid w:val="00C25AC5"/>
    <w:rsid w:val="00C262EE"/>
    <w:rsid w:val="00C32705"/>
    <w:rsid w:val="00C34973"/>
    <w:rsid w:val="00C34B48"/>
    <w:rsid w:val="00C35A44"/>
    <w:rsid w:val="00C40A1C"/>
    <w:rsid w:val="00C40EE2"/>
    <w:rsid w:val="00C4238B"/>
    <w:rsid w:val="00C42555"/>
    <w:rsid w:val="00C4268A"/>
    <w:rsid w:val="00C42FCB"/>
    <w:rsid w:val="00C43F88"/>
    <w:rsid w:val="00C517E5"/>
    <w:rsid w:val="00C51B49"/>
    <w:rsid w:val="00C51B54"/>
    <w:rsid w:val="00C52613"/>
    <w:rsid w:val="00C529B5"/>
    <w:rsid w:val="00C560FE"/>
    <w:rsid w:val="00C573E3"/>
    <w:rsid w:val="00C573ED"/>
    <w:rsid w:val="00C615E6"/>
    <w:rsid w:val="00C64DD1"/>
    <w:rsid w:val="00C6547C"/>
    <w:rsid w:val="00C71966"/>
    <w:rsid w:val="00C72A86"/>
    <w:rsid w:val="00C73713"/>
    <w:rsid w:val="00C73D92"/>
    <w:rsid w:val="00C7624B"/>
    <w:rsid w:val="00C77942"/>
    <w:rsid w:val="00C82163"/>
    <w:rsid w:val="00C822F0"/>
    <w:rsid w:val="00C87F19"/>
    <w:rsid w:val="00C91987"/>
    <w:rsid w:val="00C93CC0"/>
    <w:rsid w:val="00C977B2"/>
    <w:rsid w:val="00CA0421"/>
    <w:rsid w:val="00CA0598"/>
    <w:rsid w:val="00CA0CCA"/>
    <w:rsid w:val="00CA18C8"/>
    <w:rsid w:val="00CA2C71"/>
    <w:rsid w:val="00CA2CE3"/>
    <w:rsid w:val="00CA336F"/>
    <w:rsid w:val="00CA3512"/>
    <w:rsid w:val="00CA3B68"/>
    <w:rsid w:val="00CA4EDC"/>
    <w:rsid w:val="00CA61AD"/>
    <w:rsid w:val="00CA7E1A"/>
    <w:rsid w:val="00CB2CDD"/>
    <w:rsid w:val="00CB5902"/>
    <w:rsid w:val="00CB7804"/>
    <w:rsid w:val="00CB78CA"/>
    <w:rsid w:val="00CC0602"/>
    <w:rsid w:val="00CC1271"/>
    <w:rsid w:val="00CC2E9E"/>
    <w:rsid w:val="00CC3E13"/>
    <w:rsid w:val="00CC599F"/>
    <w:rsid w:val="00CC6331"/>
    <w:rsid w:val="00CC6AAF"/>
    <w:rsid w:val="00CD0CB2"/>
    <w:rsid w:val="00CD23F8"/>
    <w:rsid w:val="00CD393F"/>
    <w:rsid w:val="00CD3B99"/>
    <w:rsid w:val="00CD50AF"/>
    <w:rsid w:val="00CD714C"/>
    <w:rsid w:val="00CD7636"/>
    <w:rsid w:val="00CE260F"/>
    <w:rsid w:val="00CE39A8"/>
    <w:rsid w:val="00CE3A6A"/>
    <w:rsid w:val="00CE4919"/>
    <w:rsid w:val="00CE51A6"/>
    <w:rsid w:val="00CE5447"/>
    <w:rsid w:val="00CE5589"/>
    <w:rsid w:val="00CE6565"/>
    <w:rsid w:val="00CE6C36"/>
    <w:rsid w:val="00CE7332"/>
    <w:rsid w:val="00CF0B1E"/>
    <w:rsid w:val="00CF24A0"/>
    <w:rsid w:val="00CF2C8E"/>
    <w:rsid w:val="00CF539E"/>
    <w:rsid w:val="00CF53D3"/>
    <w:rsid w:val="00CF7061"/>
    <w:rsid w:val="00CF74D4"/>
    <w:rsid w:val="00CF753D"/>
    <w:rsid w:val="00CF793C"/>
    <w:rsid w:val="00CF7E36"/>
    <w:rsid w:val="00D005B3"/>
    <w:rsid w:val="00D00662"/>
    <w:rsid w:val="00D00683"/>
    <w:rsid w:val="00D02873"/>
    <w:rsid w:val="00D04A71"/>
    <w:rsid w:val="00D04C80"/>
    <w:rsid w:val="00D1030A"/>
    <w:rsid w:val="00D10A1A"/>
    <w:rsid w:val="00D12C01"/>
    <w:rsid w:val="00D1332F"/>
    <w:rsid w:val="00D1398B"/>
    <w:rsid w:val="00D156AD"/>
    <w:rsid w:val="00D15B7B"/>
    <w:rsid w:val="00D1784D"/>
    <w:rsid w:val="00D179ED"/>
    <w:rsid w:val="00D17F95"/>
    <w:rsid w:val="00D20EFC"/>
    <w:rsid w:val="00D233E8"/>
    <w:rsid w:val="00D24B84"/>
    <w:rsid w:val="00D25A2E"/>
    <w:rsid w:val="00D3638E"/>
    <w:rsid w:val="00D372C6"/>
    <w:rsid w:val="00D40AB5"/>
    <w:rsid w:val="00D4201F"/>
    <w:rsid w:val="00D43A95"/>
    <w:rsid w:val="00D43C82"/>
    <w:rsid w:val="00D447E1"/>
    <w:rsid w:val="00D46662"/>
    <w:rsid w:val="00D52C64"/>
    <w:rsid w:val="00D53178"/>
    <w:rsid w:val="00D534CA"/>
    <w:rsid w:val="00D537BF"/>
    <w:rsid w:val="00D56221"/>
    <w:rsid w:val="00D56C54"/>
    <w:rsid w:val="00D56D37"/>
    <w:rsid w:val="00D57BF2"/>
    <w:rsid w:val="00D60723"/>
    <w:rsid w:val="00D6264E"/>
    <w:rsid w:val="00D63144"/>
    <w:rsid w:val="00D6328C"/>
    <w:rsid w:val="00D63CF1"/>
    <w:rsid w:val="00D66A21"/>
    <w:rsid w:val="00D676A2"/>
    <w:rsid w:val="00D67D03"/>
    <w:rsid w:val="00D67D79"/>
    <w:rsid w:val="00D70F51"/>
    <w:rsid w:val="00D71DF4"/>
    <w:rsid w:val="00D72404"/>
    <w:rsid w:val="00D72754"/>
    <w:rsid w:val="00D72A74"/>
    <w:rsid w:val="00D825E5"/>
    <w:rsid w:val="00D864CD"/>
    <w:rsid w:val="00D8655B"/>
    <w:rsid w:val="00D8739A"/>
    <w:rsid w:val="00D92253"/>
    <w:rsid w:val="00D941CA"/>
    <w:rsid w:val="00D944DA"/>
    <w:rsid w:val="00D967B2"/>
    <w:rsid w:val="00D9688D"/>
    <w:rsid w:val="00DA1A75"/>
    <w:rsid w:val="00DA5DDF"/>
    <w:rsid w:val="00DA6B81"/>
    <w:rsid w:val="00DA6E1D"/>
    <w:rsid w:val="00DA6FB9"/>
    <w:rsid w:val="00DA7573"/>
    <w:rsid w:val="00DA7888"/>
    <w:rsid w:val="00DA78E4"/>
    <w:rsid w:val="00DB0012"/>
    <w:rsid w:val="00DB0D80"/>
    <w:rsid w:val="00DB0F95"/>
    <w:rsid w:val="00DB3E64"/>
    <w:rsid w:val="00DB3F05"/>
    <w:rsid w:val="00DB405E"/>
    <w:rsid w:val="00DB453F"/>
    <w:rsid w:val="00DB53E7"/>
    <w:rsid w:val="00DC044C"/>
    <w:rsid w:val="00DC072A"/>
    <w:rsid w:val="00DD084E"/>
    <w:rsid w:val="00DD1763"/>
    <w:rsid w:val="00DD26FB"/>
    <w:rsid w:val="00DD2C73"/>
    <w:rsid w:val="00DD3293"/>
    <w:rsid w:val="00DD4C0B"/>
    <w:rsid w:val="00DD4DE2"/>
    <w:rsid w:val="00DE1559"/>
    <w:rsid w:val="00DE232A"/>
    <w:rsid w:val="00DE3607"/>
    <w:rsid w:val="00DE3CE1"/>
    <w:rsid w:val="00DE454D"/>
    <w:rsid w:val="00DE53BA"/>
    <w:rsid w:val="00DE57F1"/>
    <w:rsid w:val="00DE622C"/>
    <w:rsid w:val="00DE69F9"/>
    <w:rsid w:val="00DE708F"/>
    <w:rsid w:val="00DF45DB"/>
    <w:rsid w:val="00DF6269"/>
    <w:rsid w:val="00E0130C"/>
    <w:rsid w:val="00E016A4"/>
    <w:rsid w:val="00E060E9"/>
    <w:rsid w:val="00E10C3D"/>
    <w:rsid w:val="00E10FD5"/>
    <w:rsid w:val="00E1193A"/>
    <w:rsid w:val="00E12635"/>
    <w:rsid w:val="00E140C1"/>
    <w:rsid w:val="00E14AA8"/>
    <w:rsid w:val="00E16E45"/>
    <w:rsid w:val="00E2003C"/>
    <w:rsid w:val="00E211B7"/>
    <w:rsid w:val="00E21534"/>
    <w:rsid w:val="00E226E8"/>
    <w:rsid w:val="00E25DD6"/>
    <w:rsid w:val="00E33311"/>
    <w:rsid w:val="00E33405"/>
    <w:rsid w:val="00E339EA"/>
    <w:rsid w:val="00E33EBF"/>
    <w:rsid w:val="00E35A83"/>
    <w:rsid w:val="00E3623B"/>
    <w:rsid w:val="00E37645"/>
    <w:rsid w:val="00E4111D"/>
    <w:rsid w:val="00E45971"/>
    <w:rsid w:val="00E47D57"/>
    <w:rsid w:val="00E47E33"/>
    <w:rsid w:val="00E50FFA"/>
    <w:rsid w:val="00E5118F"/>
    <w:rsid w:val="00E521DD"/>
    <w:rsid w:val="00E5336C"/>
    <w:rsid w:val="00E55B0A"/>
    <w:rsid w:val="00E55BFC"/>
    <w:rsid w:val="00E601C0"/>
    <w:rsid w:val="00E60CD9"/>
    <w:rsid w:val="00E702FE"/>
    <w:rsid w:val="00E724CF"/>
    <w:rsid w:val="00E7299E"/>
    <w:rsid w:val="00E77139"/>
    <w:rsid w:val="00E81B3D"/>
    <w:rsid w:val="00E8456F"/>
    <w:rsid w:val="00E8509D"/>
    <w:rsid w:val="00E85F54"/>
    <w:rsid w:val="00E93DAB"/>
    <w:rsid w:val="00EA277E"/>
    <w:rsid w:val="00EA342B"/>
    <w:rsid w:val="00EA34F5"/>
    <w:rsid w:val="00EA499D"/>
    <w:rsid w:val="00EA51DE"/>
    <w:rsid w:val="00EA65C6"/>
    <w:rsid w:val="00EA7CD7"/>
    <w:rsid w:val="00EA7DDE"/>
    <w:rsid w:val="00EB00B6"/>
    <w:rsid w:val="00EB2756"/>
    <w:rsid w:val="00EB2883"/>
    <w:rsid w:val="00EB30A4"/>
    <w:rsid w:val="00EB3E6E"/>
    <w:rsid w:val="00EB4CA7"/>
    <w:rsid w:val="00EC0AE7"/>
    <w:rsid w:val="00EC1149"/>
    <w:rsid w:val="00EC12A8"/>
    <w:rsid w:val="00EC3892"/>
    <w:rsid w:val="00EC565A"/>
    <w:rsid w:val="00EC5BE7"/>
    <w:rsid w:val="00EC61E4"/>
    <w:rsid w:val="00EC6B44"/>
    <w:rsid w:val="00EC6C95"/>
    <w:rsid w:val="00EC7048"/>
    <w:rsid w:val="00EC7866"/>
    <w:rsid w:val="00ED0954"/>
    <w:rsid w:val="00ED1630"/>
    <w:rsid w:val="00ED2F48"/>
    <w:rsid w:val="00ED3018"/>
    <w:rsid w:val="00ED3243"/>
    <w:rsid w:val="00ED36C9"/>
    <w:rsid w:val="00ED3D5C"/>
    <w:rsid w:val="00ED43B6"/>
    <w:rsid w:val="00ED6CDA"/>
    <w:rsid w:val="00EE09DC"/>
    <w:rsid w:val="00EE10ED"/>
    <w:rsid w:val="00EE1809"/>
    <w:rsid w:val="00EE2928"/>
    <w:rsid w:val="00EE372F"/>
    <w:rsid w:val="00EE4053"/>
    <w:rsid w:val="00EE4DEF"/>
    <w:rsid w:val="00EE581E"/>
    <w:rsid w:val="00EF1156"/>
    <w:rsid w:val="00EF16AB"/>
    <w:rsid w:val="00EF18C0"/>
    <w:rsid w:val="00EF1F97"/>
    <w:rsid w:val="00EF264B"/>
    <w:rsid w:val="00EF3126"/>
    <w:rsid w:val="00EF3BF8"/>
    <w:rsid w:val="00EF3E1C"/>
    <w:rsid w:val="00EF3F2D"/>
    <w:rsid w:val="00EF4EF5"/>
    <w:rsid w:val="00EF50A9"/>
    <w:rsid w:val="00EF5590"/>
    <w:rsid w:val="00EF5F3B"/>
    <w:rsid w:val="00EF7F46"/>
    <w:rsid w:val="00F00282"/>
    <w:rsid w:val="00F00D96"/>
    <w:rsid w:val="00F01FF1"/>
    <w:rsid w:val="00F0431F"/>
    <w:rsid w:val="00F0518F"/>
    <w:rsid w:val="00F05193"/>
    <w:rsid w:val="00F06308"/>
    <w:rsid w:val="00F11356"/>
    <w:rsid w:val="00F132CE"/>
    <w:rsid w:val="00F13DD0"/>
    <w:rsid w:val="00F1448F"/>
    <w:rsid w:val="00F14846"/>
    <w:rsid w:val="00F155B5"/>
    <w:rsid w:val="00F1680B"/>
    <w:rsid w:val="00F17184"/>
    <w:rsid w:val="00F176B5"/>
    <w:rsid w:val="00F176D0"/>
    <w:rsid w:val="00F17A8F"/>
    <w:rsid w:val="00F200DB"/>
    <w:rsid w:val="00F20966"/>
    <w:rsid w:val="00F22636"/>
    <w:rsid w:val="00F24283"/>
    <w:rsid w:val="00F2503C"/>
    <w:rsid w:val="00F250AD"/>
    <w:rsid w:val="00F255E7"/>
    <w:rsid w:val="00F25995"/>
    <w:rsid w:val="00F264EE"/>
    <w:rsid w:val="00F26925"/>
    <w:rsid w:val="00F27693"/>
    <w:rsid w:val="00F31029"/>
    <w:rsid w:val="00F35099"/>
    <w:rsid w:val="00F360AD"/>
    <w:rsid w:val="00F409BA"/>
    <w:rsid w:val="00F42706"/>
    <w:rsid w:val="00F42B45"/>
    <w:rsid w:val="00F44C93"/>
    <w:rsid w:val="00F50306"/>
    <w:rsid w:val="00F521DA"/>
    <w:rsid w:val="00F53C6D"/>
    <w:rsid w:val="00F53F3F"/>
    <w:rsid w:val="00F54C91"/>
    <w:rsid w:val="00F5508B"/>
    <w:rsid w:val="00F605A6"/>
    <w:rsid w:val="00F612CD"/>
    <w:rsid w:val="00F6293C"/>
    <w:rsid w:val="00F6413B"/>
    <w:rsid w:val="00F66ADE"/>
    <w:rsid w:val="00F73088"/>
    <w:rsid w:val="00F74C54"/>
    <w:rsid w:val="00F75912"/>
    <w:rsid w:val="00F75930"/>
    <w:rsid w:val="00F77B4A"/>
    <w:rsid w:val="00F77EC6"/>
    <w:rsid w:val="00F81DAB"/>
    <w:rsid w:val="00F83F4E"/>
    <w:rsid w:val="00F8422D"/>
    <w:rsid w:val="00F85F36"/>
    <w:rsid w:val="00F90D2D"/>
    <w:rsid w:val="00F92312"/>
    <w:rsid w:val="00F9400E"/>
    <w:rsid w:val="00F94CFB"/>
    <w:rsid w:val="00F95D61"/>
    <w:rsid w:val="00FA4D58"/>
    <w:rsid w:val="00FA560F"/>
    <w:rsid w:val="00FA64B5"/>
    <w:rsid w:val="00FB2E03"/>
    <w:rsid w:val="00FB3686"/>
    <w:rsid w:val="00FB4DD4"/>
    <w:rsid w:val="00FC2A63"/>
    <w:rsid w:val="00FD1DCE"/>
    <w:rsid w:val="00FD2FBD"/>
    <w:rsid w:val="00FD3ACE"/>
    <w:rsid w:val="00FD460B"/>
    <w:rsid w:val="00FD4F38"/>
    <w:rsid w:val="00FD632E"/>
    <w:rsid w:val="00FD6372"/>
    <w:rsid w:val="00FE0A15"/>
    <w:rsid w:val="00FE2C9B"/>
    <w:rsid w:val="00FE3446"/>
    <w:rsid w:val="00FE46B0"/>
    <w:rsid w:val="00FE46DA"/>
    <w:rsid w:val="00FE4804"/>
    <w:rsid w:val="00FE559D"/>
    <w:rsid w:val="00FE590A"/>
    <w:rsid w:val="00FF5C46"/>
    <w:rsid w:val="00FF671D"/>
    <w:rsid w:val="00FF6839"/>
    <w:rsid w:val="00FF6F0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506EC167"/>
  <w14:defaultImageDpi w14:val="96"/>
  <w15:docId w15:val="{FCEE9C38-D98A-4DFA-AD2C-8B2A59C372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imes New Roman"/>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314A"/>
    <w:pPr>
      <w:spacing w:line="480" w:lineRule="auto"/>
      <w:jc w:val="both"/>
    </w:pPr>
    <w:rPr>
      <w:rFonts w:ascii="Arial" w:hAnsi="Arial"/>
      <w:sz w:val="24"/>
    </w:rPr>
  </w:style>
  <w:style w:type="paragraph" w:styleId="Heading1">
    <w:name w:val="heading 1"/>
    <w:aliases w:val="Sub_1"/>
    <w:basedOn w:val="Normal"/>
    <w:next w:val="Normal"/>
    <w:link w:val="Heading1Char"/>
    <w:uiPriority w:val="9"/>
    <w:qFormat/>
    <w:rsid w:val="005856D2"/>
    <w:pPr>
      <w:keepNext/>
      <w:keepLines/>
      <w:numPr>
        <w:numId w:val="1"/>
      </w:numPr>
      <w:spacing w:before="240" w:after="0"/>
      <w:outlineLvl w:val="0"/>
    </w:pPr>
    <w:rPr>
      <w:rFonts w:eastAsiaTheme="majorEastAsia"/>
      <w:b/>
      <w:szCs w:val="32"/>
    </w:rPr>
  </w:style>
  <w:style w:type="paragraph" w:styleId="Heading2">
    <w:name w:val="heading 2"/>
    <w:aliases w:val="Sub_2"/>
    <w:basedOn w:val="Normal"/>
    <w:next w:val="Normal"/>
    <w:link w:val="Heading2Char"/>
    <w:uiPriority w:val="9"/>
    <w:unhideWhenUsed/>
    <w:qFormat/>
    <w:rsid w:val="005309DC"/>
    <w:pPr>
      <w:keepNext/>
      <w:keepLines/>
      <w:numPr>
        <w:ilvl w:val="1"/>
        <w:numId w:val="1"/>
      </w:numPr>
      <w:spacing w:before="40" w:after="40"/>
      <w:outlineLvl w:val="1"/>
    </w:pPr>
    <w:rPr>
      <w:rFonts w:eastAsiaTheme="majorEastAsia"/>
      <w:szCs w:val="26"/>
    </w:rPr>
  </w:style>
  <w:style w:type="paragraph" w:styleId="Heading3">
    <w:name w:val="heading 3"/>
    <w:basedOn w:val="Normal"/>
    <w:next w:val="Normal"/>
    <w:link w:val="Heading3Char"/>
    <w:uiPriority w:val="9"/>
    <w:unhideWhenUsed/>
    <w:qFormat/>
    <w:rsid w:val="005856D2"/>
    <w:pPr>
      <w:keepNext/>
      <w:keepLines/>
      <w:numPr>
        <w:ilvl w:val="2"/>
        <w:numId w:val="1"/>
      </w:numPr>
      <w:spacing w:before="40" w:after="0"/>
      <w:outlineLvl w:val="2"/>
    </w:pPr>
    <w:rPr>
      <w:rFonts w:eastAsiaTheme="majorEastAsia" w:cstheme="majorBidi"/>
      <w:i/>
      <w:color w:val="000000" w:themeColor="text1"/>
      <w:szCs w:val="24"/>
    </w:rPr>
  </w:style>
  <w:style w:type="paragraph" w:styleId="Heading4">
    <w:name w:val="heading 4"/>
    <w:basedOn w:val="Normal"/>
    <w:next w:val="Normal"/>
    <w:link w:val="Heading4Char"/>
    <w:uiPriority w:val="9"/>
    <w:unhideWhenUsed/>
    <w:qFormat/>
    <w:rsid w:val="001A2047"/>
    <w:pPr>
      <w:keepNext/>
      <w:keepLines/>
      <w:spacing w:before="40" w:after="240"/>
      <w:ind w:left="1440" w:hanging="1440"/>
      <w:outlineLvl w:val="3"/>
    </w:pPr>
    <w:rPr>
      <w:rFonts w:eastAsiaTheme="majorEastAsia" w:cs="Arial"/>
      <w:b/>
      <w:bCs/>
      <w:color w:val="000000" w:themeColor="text1"/>
      <w:szCs w:val="24"/>
    </w:rPr>
  </w:style>
  <w:style w:type="paragraph" w:styleId="Heading5">
    <w:name w:val="heading 5"/>
    <w:basedOn w:val="Normal"/>
    <w:next w:val="Normal"/>
    <w:link w:val="Heading5Char"/>
    <w:uiPriority w:val="9"/>
    <w:semiHidden/>
    <w:unhideWhenUsed/>
    <w:qFormat/>
    <w:rsid w:val="001A2047"/>
    <w:pPr>
      <w:keepNext/>
      <w:keepLines/>
      <w:spacing w:before="40" w:after="2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1A2047"/>
    <w:pPr>
      <w:keepNext/>
      <w:keepLines/>
      <w:spacing w:before="40" w:after="2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1A2047"/>
    <w:pPr>
      <w:keepNext/>
      <w:keepLines/>
      <w:spacing w:before="40" w:after="2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1A2047"/>
    <w:pPr>
      <w:keepNext/>
      <w:keepLines/>
      <w:spacing w:before="40" w:after="2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A2047"/>
    <w:pPr>
      <w:keepNext/>
      <w:keepLines/>
      <w:spacing w:before="40" w:after="2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ub_1 Char"/>
    <w:basedOn w:val="DefaultParagraphFont"/>
    <w:link w:val="Heading1"/>
    <w:uiPriority w:val="9"/>
    <w:locked/>
    <w:rsid w:val="005856D2"/>
    <w:rPr>
      <w:rFonts w:ascii="Arial" w:eastAsiaTheme="majorEastAsia" w:hAnsi="Arial"/>
      <w:b/>
      <w:sz w:val="24"/>
      <w:szCs w:val="32"/>
    </w:rPr>
  </w:style>
  <w:style w:type="character" w:customStyle="1" w:styleId="Heading2Char">
    <w:name w:val="Heading 2 Char"/>
    <w:aliases w:val="Sub_2 Char"/>
    <w:basedOn w:val="DefaultParagraphFont"/>
    <w:link w:val="Heading2"/>
    <w:uiPriority w:val="9"/>
    <w:locked/>
    <w:rsid w:val="005309DC"/>
    <w:rPr>
      <w:rFonts w:ascii="Arial" w:eastAsiaTheme="majorEastAsia" w:hAnsi="Arial"/>
      <w:sz w:val="24"/>
      <w:szCs w:val="26"/>
    </w:rPr>
  </w:style>
  <w:style w:type="character" w:customStyle="1" w:styleId="Heading3Char">
    <w:name w:val="Heading 3 Char"/>
    <w:basedOn w:val="DefaultParagraphFont"/>
    <w:link w:val="Heading3"/>
    <w:uiPriority w:val="9"/>
    <w:rsid w:val="005856D2"/>
    <w:rPr>
      <w:rFonts w:ascii="Arial" w:eastAsiaTheme="majorEastAsia" w:hAnsi="Arial" w:cstheme="majorBidi"/>
      <w:i/>
      <w:color w:val="000000" w:themeColor="text1"/>
      <w:sz w:val="24"/>
      <w:szCs w:val="24"/>
    </w:rPr>
  </w:style>
  <w:style w:type="character" w:customStyle="1" w:styleId="Heading4Char">
    <w:name w:val="Heading 4 Char"/>
    <w:basedOn w:val="DefaultParagraphFont"/>
    <w:link w:val="Heading4"/>
    <w:uiPriority w:val="9"/>
    <w:rsid w:val="001A2047"/>
    <w:rPr>
      <w:rFonts w:ascii="Arial" w:eastAsiaTheme="majorEastAsia" w:hAnsi="Arial" w:cs="Arial"/>
      <w:b/>
      <w:bCs/>
      <w:color w:val="000000" w:themeColor="text1"/>
      <w:sz w:val="24"/>
      <w:szCs w:val="24"/>
    </w:rPr>
  </w:style>
  <w:style w:type="character" w:customStyle="1" w:styleId="Heading5Char">
    <w:name w:val="Heading 5 Char"/>
    <w:basedOn w:val="DefaultParagraphFont"/>
    <w:link w:val="Heading5"/>
    <w:uiPriority w:val="9"/>
    <w:semiHidden/>
    <w:rsid w:val="001A2047"/>
    <w:rPr>
      <w:rFonts w:asciiTheme="majorHAnsi" w:eastAsiaTheme="majorEastAsia" w:hAnsiTheme="majorHAnsi" w:cstheme="majorBidi"/>
      <w:color w:val="2E74B5" w:themeColor="accent1" w:themeShade="BF"/>
      <w:sz w:val="24"/>
    </w:rPr>
  </w:style>
  <w:style w:type="paragraph" w:styleId="ListParagraph">
    <w:name w:val="List Paragraph"/>
    <w:basedOn w:val="Normal"/>
    <w:uiPriority w:val="34"/>
    <w:qFormat/>
    <w:rsid w:val="00ED0954"/>
    <w:pPr>
      <w:ind w:left="720"/>
      <w:contextualSpacing/>
    </w:pPr>
  </w:style>
  <w:style w:type="paragraph" w:styleId="Date">
    <w:name w:val="Date"/>
    <w:basedOn w:val="Normal"/>
    <w:next w:val="Normal"/>
    <w:link w:val="DateChar"/>
    <w:uiPriority w:val="99"/>
    <w:semiHidden/>
    <w:unhideWhenUsed/>
    <w:rsid w:val="005660E2"/>
  </w:style>
  <w:style w:type="character" w:customStyle="1" w:styleId="DateChar">
    <w:name w:val="Date Char"/>
    <w:basedOn w:val="DefaultParagraphFont"/>
    <w:link w:val="Date"/>
    <w:uiPriority w:val="99"/>
    <w:semiHidden/>
    <w:locked/>
    <w:rsid w:val="005660E2"/>
    <w:rPr>
      <w:rFonts w:cs="Times New Roman"/>
    </w:rPr>
  </w:style>
  <w:style w:type="paragraph" w:styleId="NormalWeb">
    <w:name w:val="Normal (Web)"/>
    <w:basedOn w:val="Normal"/>
    <w:uiPriority w:val="99"/>
    <w:unhideWhenUsed/>
    <w:rsid w:val="0020404B"/>
    <w:pPr>
      <w:spacing w:before="100" w:beforeAutospacing="1" w:after="100" w:afterAutospacing="1" w:line="240" w:lineRule="auto"/>
      <w:jc w:val="left"/>
    </w:pPr>
    <w:rPr>
      <w:rFonts w:ascii="Times New Roman" w:hAnsi="Times New Roman"/>
      <w:szCs w:val="24"/>
    </w:rPr>
  </w:style>
  <w:style w:type="character" w:styleId="PlaceholderText">
    <w:name w:val="Placeholder Text"/>
    <w:basedOn w:val="DefaultParagraphFont"/>
    <w:uiPriority w:val="99"/>
    <w:semiHidden/>
    <w:rsid w:val="0020404B"/>
    <w:rPr>
      <w:rFonts w:cs="Times New Roman"/>
      <w:color w:val="808080"/>
    </w:rPr>
  </w:style>
  <w:style w:type="table" w:styleId="TableGrid">
    <w:name w:val="Table Grid"/>
    <w:basedOn w:val="TableNormal"/>
    <w:uiPriority w:val="59"/>
    <w:rsid w:val="00A02CD4"/>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7B3849"/>
    <w:pPr>
      <w:spacing w:after="0" w:line="240" w:lineRule="auto"/>
    </w:pPr>
    <w:rPr>
      <w:lang w:val="en-US"/>
    </w:rPr>
    <w:tblPr>
      <w:tblStyleRowBandSize w:val="1"/>
      <w:tblStyleColBandSize w:val="1"/>
    </w:tblPr>
    <w:tblStylePr w:type="firstRow">
      <w:rPr>
        <w:rFonts w:cs="Times New Roman"/>
        <w:b/>
        <w:bCs/>
        <w:caps/>
      </w:rPr>
      <w:tblPr/>
      <w:tcPr>
        <w:tcBorders>
          <w:bottom w:val="single" w:sz="4" w:space="0" w:color="7F7F7F" w:themeColor="text1" w:themeTint="80"/>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hemeColor="text1" w:themeTint="80"/>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hemeFill="background1" w:themeFillShade="F2"/>
      </w:tcPr>
    </w:tblStylePr>
    <w:tblStylePr w:type="band1Horz">
      <w:rPr>
        <w:rFonts w:cs="Times New Roman"/>
      </w:rPr>
      <w:tblPr/>
      <w:tcPr>
        <w:shd w:val="clear" w:color="auto" w:fill="F2F2F2" w:themeFill="background1" w:themeFillShade="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styleId="PlainTable4">
    <w:name w:val="Plain Table 4"/>
    <w:basedOn w:val="TableNormal"/>
    <w:uiPriority w:val="44"/>
    <w:rsid w:val="007B3849"/>
    <w:pPr>
      <w:spacing w:after="0" w:line="240" w:lineRule="auto"/>
    </w:pPr>
    <w:rPr>
      <w:lang w:val="en-US"/>
    </w:rPr>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hemeFill="background1" w:themeFillShade="F2"/>
      </w:tcPr>
    </w:tblStylePr>
    <w:tblStylePr w:type="band1Horz">
      <w:rPr>
        <w:rFonts w:cs="Times New Roman"/>
      </w:rPr>
      <w:tblPr/>
      <w:tcPr>
        <w:shd w:val="clear" w:color="auto" w:fill="F2F2F2" w:themeFill="background1" w:themeFillShade="F2"/>
      </w:tcPr>
    </w:tblStylePr>
  </w:style>
  <w:style w:type="table" w:styleId="TableGridLight">
    <w:name w:val="Grid Table Light"/>
    <w:basedOn w:val="TableNormal"/>
    <w:uiPriority w:val="40"/>
    <w:rsid w:val="007B3849"/>
    <w:pPr>
      <w:spacing w:after="0" w:line="240" w:lineRule="auto"/>
    </w:pPr>
    <w:rPr>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5">
    <w:name w:val="Plain Table 5"/>
    <w:basedOn w:val="TableNormal"/>
    <w:uiPriority w:val="45"/>
    <w:rsid w:val="00847198"/>
    <w:pPr>
      <w:spacing w:after="0" w:line="240" w:lineRule="auto"/>
    </w:pPr>
    <w:rPr>
      <w:lang w:val="en-US"/>
    </w:rPr>
    <w:tblPr>
      <w:tblStyleRowBandSize w:val="1"/>
      <w:tblStyleColBandSize w:val="1"/>
    </w:tblPr>
    <w:tblStylePr w:type="firstRow">
      <w:rPr>
        <w:rFonts w:asciiTheme="majorHAnsi" w:eastAsiaTheme="majorEastAsia" w:hAnsiTheme="majorHAnsi" w:cs="Times New Roman"/>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imes New Roman"/>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imes New Roman"/>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imes New Roman"/>
        <w:i/>
        <w:iCs/>
        <w:sz w:val="26"/>
      </w:rPr>
      <w:tblPr/>
      <w:tcPr>
        <w:tcBorders>
          <w:left w:val="single" w:sz="4" w:space="0" w:color="7F7F7F" w:themeColor="text1" w:themeTint="80"/>
        </w:tcBorders>
        <w:shd w:val="clear" w:color="auto" w:fill="FFFFFF" w:themeFill="background1"/>
      </w:tcPr>
    </w:tblStylePr>
    <w:tblStylePr w:type="band1Vert">
      <w:rPr>
        <w:rFonts w:cs="Times New Roman"/>
      </w:rPr>
      <w:tblPr/>
      <w:tcPr>
        <w:shd w:val="clear" w:color="auto" w:fill="F2F2F2" w:themeFill="background1" w:themeFillShade="F2"/>
      </w:tcPr>
    </w:tblStylePr>
    <w:tblStylePr w:type="band1Horz">
      <w:rPr>
        <w:rFonts w:cs="Times New Roman"/>
      </w:rPr>
      <w:tblPr/>
      <w:tcPr>
        <w:shd w:val="clear" w:color="auto" w:fill="F2F2F2" w:themeFill="background1" w:themeFillShade="F2"/>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table" w:styleId="PlainTable2">
    <w:name w:val="Plain Table 2"/>
    <w:basedOn w:val="TableNormal"/>
    <w:uiPriority w:val="42"/>
    <w:rsid w:val="00847198"/>
    <w:pPr>
      <w:spacing w:after="0" w:line="240" w:lineRule="auto"/>
    </w:pPr>
    <w:rPr>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rFonts w:cs="Times New Roman"/>
        <w:b/>
        <w:bCs/>
      </w:rPr>
      <w:tblPr/>
      <w:tcPr>
        <w:tcBorders>
          <w:bottom w:val="single" w:sz="4" w:space="0" w:color="7F7F7F" w:themeColor="text1" w:themeTint="80"/>
        </w:tcBorders>
      </w:tcPr>
    </w:tblStylePr>
    <w:tblStylePr w:type="lastRow">
      <w:rPr>
        <w:rFonts w:cs="Times New Roman"/>
        <w:b/>
        <w:bCs/>
      </w:rPr>
      <w:tblPr/>
      <w:tcPr>
        <w:tcBorders>
          <w:top w:val="single" w:sz="4" w:space="0" w:color="7F7F7F" w:themeColor="text1" w:themeTint="8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themeColor="text1" w:themeTint="80"/>
          <w:right w:val="single" w:sz="4" w:space="0" w:color="7F7F7F" w:themeColor="text1" w:themeTint="80"/>
        </w:tcBorders>
      </w:tcPr>
    </w:tblStylePr>
    <w:tblStylePr w:type="band2Vert">
      <w:rPr>
        <w:rFonts w:cs="Times New Roman"/>
      </w:rPr>
      <w:tblPr/>
      <w:tcPr>
        <w:tcBorders>
          <w:left w:val="single" w:sz="4" w:space="0" w:color="7F7F7F" w:themeColor="text1" w:themeTint="80"/>
          <w:right w:val="single" w:sz="4" w:space="0" w:color="7F7F7F" w:themeColor="text1" w:themeTint="80"/>
        </w:tcBorders>
      </w:tcPr>
    </w:tblStylePr>
    <w:tblStylePr w:type="band1Horz">
      <w:rPr>
        <w:rFonts w:cs="Times New Roman"/>
      </w:rPr>
      <w:tblPr/>
      <w:tcPr>
        <w:tcBorders>
          <w:top w:val="single" w:sz="4" w:space="0" w:color="7F7F7F" w:themeColor="text1" w:themeTint="80"/>
          <w:bottom w:val="single" w:sz="4" w:space="0" w:color="7F7F7F" w:themeColor="text1" w:themeTint="80"/>
        </w:tcBorders>
      </w:tcPr>
    </w:tblStylePr>
  </w:style>
  <w:style w:type="paragraph" w:styleId="Header">
    <w:name w:val="header"/>
    <w:basedOn w:val="Normal"/>
    <w:link w:val="HeaderChar"/>
    <w:uiPriority w:val="99"/>
    <w:unhideWhenUsed/>
    <w:rsid w:val="00BD531C"/>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BD531C"/>
    <w:rPr>
      <w:rFonts w:cs="Times New Roman"/>
      <w:lang w:val="en-GB" w:eastAsia="x-none"/>
    </w:rPr>
  </w:style>
  <w:style w:type="paragraph" w:styleId="Footer">
    <w:name w:val="footer"/>
    <w:basedOn w:val="Normal"/>
    <w:link w:val="FooterChar"/>
    <w:uiPriority w:val="99"/>
    <w:unhideWhenUsed/>
    <w:rsid w:val="00BD531C"/>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BD531C"/>
    <w:rPr>
      <w:rFonts w:cs="Times New Roman"/>
      <w:lang w:val="en-GB" w:eastAsia="x-none"/>
    </w:rPr>
  </w:style>
  <w:style w:type="character" w:styleId="CommentReference">
    <w:name w:val="annotation reference"/>
    <w:basedOn w:val="DefaultParagraphFont"/>
    <w:uiPriority w:val="99"/>
    <w:semiHidden/>
    <w:unhideWhenUsed/>
    <w:rsid w:val="0084240C"/>
    <w:rPr>
      <w:rFonts w:cs="Times New Roman"/>
      <w:sz w:val="18"/>
      <w:szCs w:val="18"/>
    </w:rPr>
  </w:style>
  <w:style w:type="paragraph" w:styleId="CommentText">
    <w:name w:val="annotation text"/>
    <w:basedOn w:val="Normal"/>
    <w:link w:val="CommentTextChar"/>
    <w:uiPriority w:val="99"/>
    <w:unhideWhenUsed/>
    <w:rsid w:val="0084240C"/>
    <w:pPr>
      <w:spacing w:line="240" w:lineRule="auto"/>
    </w:pPr>
    <w:rPr>
      <w:szCs w:val="24"/>
    </w:rPr>
  </w:style>
  <w:style w:type="character" w:customStyle="1" w:styleId="CommentTextChar">
    <w:name w:val="Comment Text Char"/>
    <w:basedOn w:val="DefaultParagraphFont"/>
    <w:link w:val="CommentText"/>
    <w:uiPriority w:val="99"/>
    <w:locked/>
    <w:rsid w:val="0084240C"/>
    <w:rPr>
      <w:rFonts w:cs="Times New Roman"/>
      <w:sz w:val="24"/>
      <w:szCs w:val="24"/>
      <w:lang w:val="en-GB" w:eastAsia="x-none"/>
    </w:rPr>
  </w:style>
  <w:style w:type="paragraph" w:styleId="CommentSubject">
    <w:name w:val="annotation subject"/>
    <w:basedOn w:val="CommentText"/>
    <w:next w:val="CommentText"/>
    <w:link w:val="CommentSubjectChar"/>
    <w:uiPriority w:val="99"/>
    <w:semiHidden/>
    <w:unhideWhenUsed/>
    <w:rsid w:val="0084240C"/>
    <w:rPr>
      <w:b/>
      <w:bCs/>
      <w:sz w:val="20"/>
      <w:szCs w:val="20"/>
    </w:rPr>
  </w:style>
  <w:style w:type="character" w:customStyle="1" w:styleId="CommentSubjectChar">
    <w:name w:val="Comment Subject Char"/>
    <w:basedOn w:val="CommentTextChar"/>
    <w:link w:val="CommentSubject"/>
    <w:uiPriority w:val="99"/>
    <w:semiHidden/>
    <w:locked/>
    <w:rsid w:val="0084240C"/>
    <w:rPr>
      <w:rFonts w:cs="Times New Roman"/>
      <w:b/>
      <w:bCs/>
      <w:sz w:val="20"/>
      <w:szCs w:val="20"/>
      <w:lang w:val="en-GB" w:eastAsia="x-none"/>
    </w:rPr>
  </w:style>
  <w:style w:type="paragraph" w:styleId="BalloonText">
    <w:name w:val="Balloon Text"/>
    <w:basedOn w:val="Normal"/>
    <w:link w:val="BalloonTextChar"/>
    <w:uiPriority w:val="99"/>
    <w:semiHidden/>
    <w:unhideWhenUsed/>
    <w:rsid w:val="0084240C"/>
    <w:pPr>
      <w:spacing w:after="0" w:line="240" w:lineRule="auto"/>
    </w:pPr>
    <w:rPr>
      <w:rFonts w:ascii="Times New Roman" w:hAnsi="Times New Roman"/>
      <w:sz w:val="18"/>
      <w:szCs w:val="18"/>
    </w:rPr>
  </w:style>
  <w:style w:type="character" w:customStyle="1" w:styleId="BalloonTextChar">
    <w:name w:val="Balloon Text Char"/>
    <w:basedOn w:val="DefaultParagraphFont"/>
    <w:link w:val="BalloonText"/>
    <w:uiPriority w:val="99"/>
    <w:semiHidden/>
    <w:locked/>
    <w:rsid w:val="0084240C"/>
    <w:rPr>
      <w:rFonts w:ascii="Times New Roman" w:hAnsi="Times New Roman" w:cs="Times New Roman"/>
      <w:sz w:val="18"/>
      <w:szCs w:val="18"/>
      <w:lang w:val="en-GB" w:eastAsia="x-none"/>
    </w:rPr>
  </w:style>
  <w:style w:type="paragraph" w:styleId="Revision">
    <w:name w:val="Revision"/>
    <w:hidden/>
    <w:uiPriority w:val="99"/>
    <w:semiHidden/>
    <w:rsid w:val="00A376DA"/>
    <w:pPr>
      <w:spacing w:after="0" w:line="240" w:lineRule="auto"/>
    </w:pPr>
  </w:style>
  <w:style w:type="table" w:styleId="PlainTable1">
    <w:name w:val="Plain Table 1"/>
    <w:basedOn w:val="TableNormal"/>
    <w:uiPriority w:val="41"/>
    <w:rsid w:val="00EC6B4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LineNumber">
    <w:name w:val="line number"/>
    <w:basedOn w:val="DefaultParagraphFont"/>
    <w:uiPriority w:val="99"/>
    <w:semiHidden/>
    <w:unhideWhenUsed/>
    <w:rsid w:val="00405D67"/>
  </w:style>
  <w:style w:type="paragraph" w:styleId="Caption">
    <w:name w:val="caption"/>
    <w:basedOn w:val="Normal"/>
    <w:next w:val="Normal"/>
    <w:uiPriority w:val="35"/>
    <w:unhideWhenUsed/>
    <w:qFormat/>
    <w:rsid w:val="001A2AC0"/>
    <w:pPr>
      <w:keepNext/>
      <w:spacing w:after="200" w:line="360" w:lineRule="auto"/>
    </w:pPr>
    <w:rPr>
      <w:rFonts w:cstheme="minorBidi"/>
      <w:color w:val="000000" w:themeColor="text1"/>
      <w:szCs w:val="24"/>
    </w:rPr>
  </w:style>
  <w:style w:type="character" w:styleId="Hyperlink">
    <w:name w:val="Hyperlink"/>
    <w:basedOn w:val="DefaultParagraphFont"/>
    <w:uiPriority w:val="99"/>
    <w:unhideWhenUsed/>
    <w:rsid w:val="0026314A"/>
    <w:rPr>
      <w:color w:val="0563C1" w:themeColor="hyperlink"/>
      <w:u w:val="single"/>
    </w:rPr>
  </w:style>
  <w:style w:type="table" w:customStyle="1" w:styleId="ListTable6Colorful1">
    <w:name w:val="List Table 6 Colorful1"/>
    <w:basedOn w:val="TableNormal"/>
    <w:uiPriority w:val="51"/>
    <w:rsid w:val="0026314A"/>
    <w:pPr>
      <w:spacing w:after="0" w:line="240" w:lineRule="auto"/>
    </w:pPr>
    <w:rPr>
      <w:rFonts w:cstheme="minorBidi"/>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NoSpacing">
    <w:name w:val="No Spacing"/>
    <w:uiPriority w:val="1"/>
    <w:qFormat/>
    <w:rsid w:val="0026314A"/>
    <w:pPr>
      <w:spacing w:after="0" w:line="240" w:lineRule="auto"/>
      <w:jc w:val="both"/>
    </w:pPr>
    <w:rPr>
      <w:rFonts w:ascii="Arial" w:hAnsi="Arial"/>
      <w:sz w:val="24"/>
    </w:rPr>
  </w:style>
  <w:style w:type="character" w:customStyle="1" w:styleId="Heading6Char">
    <w:name w:val="Heading 6 Char"/>
    <w:basedOn w:val="DefaultParagraphFont"/>
    <w:link w:val="Heading6"/>
    <w:uiPriority w:val="9"/>
    <w:semiHidden/>
    <w:rsid w:val="001A2047"/>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semiHidden/>
    <w:rsid w:val="001A2047"/>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1A204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A2047"/>
    <w:rPr>
      <w:rFonts w:asciiTheme="majorHAnsi" w:eastAsiaTheme="majorEastAsia" w:hAnsiTheme="majorHAnsi" w:cstheme="majorBidi"/>
      <w:i/>
      <w:iCs/>
      <w:color w:val="272727" w:themeColor="text1" w:themeTint="D8"/>
      <w:sz w:val="21"/>
      <w:szCs w:val="21"/>
    </w:rPr>
  </w:style>
  <w:style w:type="paragraph" w:customStyle="1" w:styleId="Style2">
    <w:name w:val="Style2"/>
    <w:basedOn w:val="Heading3"/>
    <w:qFormat/>
    <w:rsid w:val="001A2047"/>
    <w:pPr>
      <w:spacing w:after="240"/>
      <w:ind w:left="1080" w:hanging="1080"/>
    </w:pPr>
    <w:rPr>
      <w:rFonts w:cs="Arial"/>
      <w:b/>
      <w:bCs/>
      <w:i w:val="0"/>
    </w:rPr>
  </w:style>
  <w:style w:type="paragraph" w:styleId="Subtitle">
    <w:name w:val="Subtitle"/>
    <w:aliases w:val="table"/>
    <w:basedOn w:val="Heading1"/>
    <w:next w:val="Normal"/>
    <w:link w:val="SubtitleChar"/>
    <w:uiPriority w:val="11"/>
    <w:qFormat/>
    <w:rsid w:val="001A2047"/>
    <w:pPr>
      <w:keepNext w:val="0"/>
      <w:keepLines w:val="0"/>
      <w:numPr>
        <w:numId w:val="0"/>
      </w:numPr>
      <w:spacing w:before="0" w:after="40" w:line="240" w:lineRule="atLeast"/>
    </w:pPr>
    <w:rPr>
      <w:rFonts w:cs="Arial"/>
      <w:bCs/>
      <w:szCs w:val="28"/>
    </w:rPr>
  </w:style>
  <w:style w:type="character" w:customStyle="1" w:styleId="SubtitleChar">
    <w:name w:val="Subtitle Char"/>
    <w:aliases w:val="table Char"/>
    <w:basedOn w:val="DefaultParagraphFont"/>
    <w:link w:val="Subtitle"/>
    <w:uiPriority w:val="11"/>
    <w:rsid w:val="001A2047"/>
    <w:rPr>
      <w:rFonts w:ascii="Arial" w:eastAsiaTheme="majorEastAsia" w:hAnsi="Arial" w:cs="Arial"/>
      <w:b/>
      <w:bCs/>
      <w:sz w:val="24"/>
      <w:szCs w:val="28"/>
    </w:rPr>
  </w:style>
  <w:style w:type="paragraph" w:styleId="TOCHeading">
    <w:name w:val="TOC Heading"/>
    <w:basedOn w:val="Heading1"/>
    <w:next w:val="Normal"/>
    <w:uiPriority w:val="39"/>
    <w:unhideWhenUsed/>
    <w:qFormat/>
    <w:rsid w:val="001A2047"/>
    <w:pPr>
      <w:numPr>
        <w:numId w:val="0"/>
      </w:numPr>
      <w:spacing w:before="0" w:after="240" w:line="259" w:lineRule="auto"/>
      <w:outlineLvl w:val="9"/>
    </w:pPr>
    <w:rPr>
      <w:rFonts w:cs="Arial"/>
      <w:b w:val="0"/>
      <w:bCs/>
      <w:sz w:val="28"/>
      <w:szCs w:val="28"/>
      <w:lang w:val="en-US" w:eastAsia="en-US"/>
    </w:rPr>
  </w:style>
  <w:style w:type="paragraph" w:styleId="TOC1">
    <w:name w:val="toc 1"/>
    <w:basedOn w:val="Normal"/>
    <w:next w:val="Normal"/>
    <w:autoRedefine/>
    <w:uiPriority w:val="39"/>
    <w:unhideWhenUsed/>
    <w:rsid w:val="00A27FE7"/>
    <w:pPr>
      <w:tabs>
        <w:tab w:val="right" w:leader="dot" w:pos="12950"/>
      </w:tabs>
      <w:spacing w:before="120" w:after="0"/>
      <w:jc w:val="left"/>
    </w:pPr>
    <w:rPr>
      <w:rFonts w:cs="Arial"/>
      <w:b/>
      <w:bCs/>
      <w:noProof/>
      <w:szCs w:val="24"/>
    </w:rPr>
  </w:style>
  <w:style w:type="paragraph" w:styleId="TOC2">
    <w:name w:val="toc 2"/>
    <w:basedOn w:val="Normal"/>
    <w:next w:val="Normal"/>
    <w:autoRedefine/>
    <w:uiPriority w:val="39"/>
    <w:unhideWhenUsed/>
    <w:rsid w:val="001A2047"/>
    <w:pPr>
      <w:spacing w:before="120" w:after="0"/>
      <w:ind w:left="240"/>
      <w:jc w:val="left"/>
    </w:pPr>
    <w:rPr>
      <w:rFonts w:asciiTheme="minorHAnsi" w:hAnsiTheme="minorHAnsi" w:cstheme="minorHAnsi"/>
      <w:b/>
      <w:bCs/>
      <w:sz w:val="22"/>
    </w:rPr>
  </w:style>
  <w:style w:type="paragraph" w:styleId="Title">
    <w:name w:val="Title"/>
    <w:aliases w:val="figure"/>
    <w:basedOn w:val="Heading1"/>
    <w:next w:val="Normal"/>
    <w:link w:val="TitleChar"/>
    <w:autoRedefine/>
    <w:uiPriority w:val="10"/>
    <w:qFormat/>
    <w:rsid w:val="001A2047"/>
    <w:pPr>
      <w:numPr>
        <w:numId w:val="0"/>
      </w:numPr>
      <w:spacing w:before="0" w:after="240" w:line="240" w:lineRule="atLeast"/>
      <w:contextualSpacing/>
    </w:pPr>
    <w:rPr>
      <w:rFonts w:cs="Arial"/>
      <w:bCs/>
      <w:color w:val="000000" w:themeColor="text1"/>
      <w:kern w:val="24"/>
      <w:szCs w:val="52"/>
    </w:rPr>
  </w:style>
  <w:style w:type="character" w:customStyle="1" w:styleId="TitleChar">
    <w:name w:val="Title Char"/>
    <w:aliases w:val="figure Char"/>
    <w:basedOn w:val="DefaultParagraphFont"/>
    <w:link w:val="Title"/>
    <w:uiPriority w:val="10"/>
    <w:rsid w:val="001A2047"/>
    <w:rPr>
      <w:rFonts w:ascii="Arial" w:eastAsiaTheme="majorEastAsia" w:hAnsi="Arial" w:cs="Arial"/>
      <w:b/>
      <w:bCs/>
      <w:color w:val="000000" w:themeColor="text1"/>
      <w:kern w:val="24"/>
      <w:sz w:val="24"/>
      <w:szCs w:val="52"/>
    </w:rPr>
  </w:style>
  <w:style w:type="character" w:customStyle="1" w:styleId="DocumentMapChar">
    <w:name w:val="Document Map Char"/>
    <w:basedOn w:val="DefaultParagraphFont"/>
    <w:link w:val="DocumentMap"/>
    <w:uiPriority w:val="99"/>
    <w:semiHidden/>
    <w:rsid w:val="001A2047"/>
    <w:rPr>
      <w:rFonts w:ascii="Lucida Grande" w:hAnsi="Lucida Grande" w:cs="Lucida Grande"/>
      <w:sz w:val="24"/>
      <w:szCs w:val="24"/>
    </w:rPr>
  </w:style>
  <w:style w:type="paragraph" w:styleId="DocumentMap">
    <w:name w:val="Document Map"/>
    <w:basedOn w:val="Normal"/>
    <w:link w:val="DocumentMapChar"/>
    <w:uiPriority w:val="99"/>
    <w:semiHidden/>
    <w:unhideWhenUsed/>
    <w:rsid w:val="001A2047"/>
    <w:pPr>
      <w:spacing w:after="240"/>
    </w:pPr>
    <w:rPr>
      <w:rFonts w:ascii="Lucida Grande" w:hAnsi="Lucida Grande" w:cs="Lucida Grande"/>
      <w:szCs w:val="24"/>
    </w:rPr>
  </w:style>
  <w:style w:type="paragraph" w:styleId="TOC3">
    <w:name w:val="toc 3"/>
    <w:basedOn w:val="Normal"/>
    <w:next w:val="Normal"/>
    <w:autoRedefine/>
    <w:uiPriority w:val="39"/>
    <w:unhideWhenUsed/>
    <w:rsid w:val="001A2047"/>
    <w:pPr>
      <w:spacing w:after="0"/>
      <w:ind w:left="480"/>
      <w:jc w:val="left"/>
    </w:pPr>
    <w:rPr>
      <w:rFonts w:asciiTheme="minorHAnsi" w:hAnsiTheme="minorHAnsi" w:cstheme="minorHAnsi"/>
      <w:sz w:val="20"/>
      <w:szCs w:val="20"/>
    </w:rPr>
  </w:style>
  <w:style w:type="paragraph" w:styleId="TOC4">
    <w:name w:val="toc 4"/>
    <w:basedOn w:val="Normal"/>
    <w:next w:val="Normal"/>
    <w:autoRedefine/>
    <w:uiPriority w:val="39"/>
    <w:unhideWhenUsed/>
    <w:rsid w:val="001A2047"/>
    <w:pPr>
      <w:spacing w:after="0"/>
      <w:ind w:left="720"/>
      <w:jc w:val="left"/>
    </w:pPr>
    <w:rPr>
      <w:rFonts w:asciiTheme="minorHAnsi" w:hAnsiTheme="minorHAnsi" w:cstheme="minorHAnsi"/>
      <w:sz w:val="20"/>
      <w:szCs w:val="20"/>
    </w:rPr>
  </w:style>
  <w:style w:type="paragraph" w:styleId="TOC5">
    <w:name w:val="toc 5"/>
    <w:basedOn w:val="Normal"/>
    <w:next w:val="Normal"/>
    <w:autoRedefine/>
    <w:uiPriority w:val="39"/>
    <w:unhideWhenUsed/>
    <w:rsid w:val="001A2047"/>
    <w:pPr>
      <w:spacing w:after="0"/>
      <w:ind w:left="960"/>
      <w:jc w:val="left"/>
    </w:pPr>
    <w:rPr>
      <w:rFonts w:asciiTheme="minorHAnsi" w:hAnsiTheme="minorHAnsi" w:cstheme="minorHAnsi"/>
      <w:sz w:val="20"/>
      <w:szCs w:val="20"/>
    </w:rPr>
  </w:style>
  <w:style w:type="paragraph" w:styleId="TOC6">
    <w:name w:val="toc 6"/>
    <w:basedOn w:val="Normal"/>
    <w:next w:val="Normal"/>
    <w:autoRedefine/>
    <w:uiPriority w:val="39"/>
    <w:unhideWhenUsed/>
    <w:rsid w:val="001A2047"/>
    <w:pPr>
      <w:spacing w:after="0"/>
      <w:ind w:left="120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1A2047"/>
    <w:pPr>
      <w:spacing w:after="0"/>
      <w:ind w:left="144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1A2047"/>
    <w:pPr>
      <w:spacing w:after="0"/>
      <w:ind w:left="168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1A2047"/>
    <w:pPr>
      <w:spacing w:after="0"/>
      <w:ind w:left="1920"/>
      <w:jc w:val="left"/>
    </w:pPr>
    <w:rPr>
      <w:rFonts w:asciiTheme="minorHAnsi" w:hAnsiTheme="minorHAnsi" w:cstheme="minorHAnsi"/>
      <w:sz w:val="20"/>
      <w:szCs w:val="20"/>
    </w:rPr>
  </w:style>
  <w:style w:type="paragraph" w:styleId="TableofFigures">
    <w:name w:val="table of figures"/>
    <w:basedOn w:val="Normal"/>
    <w:next w:val="Normal"/>
    <w:uiPriority w:val="99"/>
    <w:unhideWhenUsed/>
    <w:rsid w:val="001A2047"/>
    <w:pPr>
      <w:spacing w:after="0"/>
      <w:ind w:left="480" w:hanging="480"/>
      <w:jc w:val="left"/>
    </w:pPr>
    <w:rPr>
      <w:rFonts w:asciiTheme="minorHAnsi" w:hAnsiTheme="minorHAnsi" w:cstheme="minorHAnsi"/>
      <w:b/>
      <w:bCs/>
      <w:sz w:val="20"/>
      <w:szCs w:val="20"/>
    </w:rPr>
  </w:style>
  <w:style w:type="character" w:styleId="Emphasis">
    <w:name w:val="Emphasis"/>
    <w:basedOn w:val="DefaultParagraphFont"/>
    <w:uiPriority w:val="20"/>
    <w:qFormat/>
    <w:rsid w:val="001A2047"/>
    <w:rPr>
      <w:i/>
      <w:iCs/>
    </w:rPr>
  </w:style>
  <w:style w:type="character" w:customStyle="1" w:styleId="apple-converted-space">
    <w:name w:val="apple-converted-space"/>
    <w:basedOn w:val="DefaultParagraphFont"/>
    <w:rsid w:val="001A2047"/>
  </w:style>
  <w:style w:type="character" w:customStyle="1" w:styleId="FootnoteTextChar">
    <w:name w:val="Footnote Text Char"/>
    <w:basedOn w:val="DefaultParagraphFont"/>
    <w:link w:val="FootnoteText"/>
    <w:uiPriority w:val="99"/>
    <w:semiHidden/>
    <w:rsid w:val="001A2047"/>
    <w:rPr>
      <w:rFonts w:ascii="Arial" w:hAnsi="Arial" w:cstheme="minorBidi"/>
      <w:sz w:val="20"/>
      <w:szCs w:val="20"/>
    </w:rPr>
  </w:style>
  <w:style w:type="paragraph" w:styleId="FootnoteText">
    <w:name w:val="footnote text"/>
    <w:basedOn w:val="Normal"/>
    <w:link w:val="FootnoteTextChar"/>
    <w:uiPriority w:val="99"/>
    <w:semiHidden/>
    <w:unhideWhenUsed/>
    <w:rsid w:val="001A2047"/>
    <w:pPr>
      <w:spacing w:after="240"/>
    </w:pPr>
    <w:rPr>
      <w:rFonts w:cstheme="minorBidi"/>
      <w:sz w:val="20"/>
      <w:szCs w:val="20"/>
    </w:rPr>
  </w:style>
  <w:style w:type="paragraph" w:customStyle="1" w:styleId="p1">
    <w:name w:val="p1"/>
    <w:basedOn w:val="Normal"/>
    <w:rsid w:val="001A2047"/>
    <w:pPr>
      <w:spacing w:after="240"/>
    </w:pPr>
    <w:rPr>
      <w:rFonts w:ascii="Helvetica" w:hAnsi="Helvetica"/>
      <w:color w:val="454545"/>
      <w:sz w:val="21"/>
      <w:szCs w:val="21"/>
      <w:lang w:val="en-US"/>
    </w:rPr>
  </w:style>
  <w:style w:type="paragraph" w:customStyle="1" w:styleId="p2">
    <w:name w:val="p2"/>
    <w:basedOn w:val="Normal"/>
    <w:rsid w:val="001A2047"/>
    <w:pPr>
      <w:spacing w:after="240"/>
    </w:pPr>
    <w:rPr>
      <w:rFonts w:ascii="Helvetica" w:hAnsi="Helvetica"/>
      <w:color w:val="454545"/>
      <w:sz w:val="21"/>
      <w:szCs w:val="21"/>
      <w:lang w:val="en-US"/>
    </w:rPr>
  </w:style>
  <w:style w:type="paragraph" w:customStyle="1" w:styleId="msonormal0">
    <w:name w:val="msonormal"/>
    <w:basedOn w:val="Normal"/>
    <w:rsid w:val="001A2047"/>
    <w:pPr>
      <w:spacing w:before="100" w:beforeAutospacing="1" w:after="100" w:afterAutospacing="1"/>
    </w:pPr>
    <w:rPr>
      <w:rFonts w:ascii="Times New Roman" w:eastAsia="Times New Roman" w:hAnsi="Times New Roman"/>
      <w:szCs w:val="24"/>
    </w:rPr>
  </w:style>
  <w:style w:type="paragraph" w:customStyle="1" w:styleId="font5">
    <w:name w:val="font5"/>
    <w:basedOn w:val="Normal"/>
    <w:rsid w:val="001A2047"/>
    <w:pPr>
      <w:spacing w:before="100" w:beforeAutospacing="1" w:after="100" w:afterAutospacing="1"/>
    </w:pPr>
    <w:rPr>
      <w:rFonts w:eastAsia="Times New Roman" w:cs="Arial"/>
      <w:b/>
      <w:bCs/>
      <w:color w:val="000000"/>
      <w:sz w:val="20"/>
      <w:szCs w:val="20"/>
    </w:rPr>
  </w:style>
  <w:style w:type="paragraph" w:customStyle="1" w:styleId="font6">
    <w:name w:val="font6"/>
    <w:basedOn w:val="Normal"/>
    <w:rsid w:val="001A2047"/>
    <w:pPr>
      <w:spacing w:before="100" w:beforeAutospacing="1" w:after="100" w:afterAutospacing="1"/>
    </w:pPr>
    <w:rPr>
      <w:rFonts w:eastAsia="Times New Roman" w:cs="Arial"/>
      <w:b/>
      <w:bCs/>
      <w:color w:val="000000"/>
      <w:sz w:val="20"/>
      <w:szCs w:val="20"/>
    </w:rPr>
  </w:style>
  <w:style w:type="paragraph" w:customStyle="1" w:styleId="xl63">
    <w:name w:val="xl63"/>
    <w:basedOn w:val="Normal"/>
    <w:rsid w:val="001A2047"/>
    <w:pPr>
      <w:pBdr>
        <w:bottom w:val="single" w:sz="8" w:space="0" w:color="auto"/>
        <w:right w:val="single" w:sz="8" w:space="0" w:color="7F7F7F"/>
      </w:pBdr>
      <w:shd w:val="clear" w:color="000000" w:fill="D9D9D9"/>
      <w:spacing w:before="100" w:beforeAutospacing="1" w:after="100" w:afterAutospacing="1"/>
      <w:textAlignment w:val="center"/>
    </w:pPr>
    <w:rPr>
      <w:rFonts w:eastAsia="Times New Roman" w:cs="Arial"/>
      <w:b/>
      <w:bCs/>
      <w:color w:val="000000"/>
      <w:sz w:val="20"/>
      <w:szCs w:val="20"/>
    </w:rPr>
  </w:style>
  <w:style w:type="paragraph" w:customStyle="1" w:styleId="xl64">
    <w:name w:val="xl64"/>
    <w:basedOn w:val="Normal"/>
    <w:rsid w:val="001A2047"/>
    <w:pPr>
      <w:pBdr>
        <w:bottom w:val="single" w:sz="8" w:space="0" w:color="auto"/>
      </w:pBdr>
      <w:shd w:val="clear" w:color="000000" w:fill="D9D9D9"/>
      <w:spacing w:before="100" w:beforeAutospacing="1" w:after="100" w:afterAutospacing="1"/>
      <w:textAlignment w:val="center"/>
    </w:pPr>
    <w:rPr>
      <w:rFonts w:eastAsia="Times New Roman" w:cs="Arial"/>
      <w:b/>
      <w:bCs/>
      <w:color w:val="000000"/>
      <w:sz w:val="20"/>
      <w:szCs w:val="20"/>
    </w:rPr>
  </w:style>
  <w:style w:type="paragraph" w:customStyle="1" w:styleId="xl65">
    <w:name w:val="xl65"/>
    <w:basedOn w:val="Normal"/>
    <w:rsid w:val="001A2047"/>
    <w:pPr>
      <w:pBdr>
        <w:bottom w:val="single" w:sz="8" w:space="0" w:color="auto"/>
      </w:pBdr>
      <w:shd w:val="clear" w:color="000000" w:fill="D9D9D9"/>
      <w:spacing w:before="100" w:beforeAutospacing="1" w:after="100" w:afterAutospacing="1"/>
      <w:jc w:val="right"/>
      <w:textAlignment w:val="center"/>
    </w:pPr>
    <w:rPr>
      <w:rFonts w:eastAsia="Times New Roman" w:cs="Arial"/>
      <w:b/>
      <w:bCs/>
      <w:color w:val="000000"/>
      <w:sz w:val="20"/>
      <w:szCs w:val="20"/>
    </w:rPr>
  </w:style>
  <w:style w:type="paragraph" w:customStyle="1" w:styleId="xl66">
    <w:name w:val="xl66"/>
    <w:basedOn w:val="Normal"/>
    <w:rsid w:val="001A2047"/>
    <w:pPr>
      <w:spacing w:before="100" w:beforeAutospacing="1" w:after="100" w:afterAutospacing="1"/>
      <w:textAlignment w:val="center"/>
    </w:pPr>
    <w:rPr>
      <w:rFonts w:eastAsia="Times New Roman" w:cs="Arial"/>
      <w:color w:val="000000"/>
      <w:sz w:val="20"/>
      <w:szCs w:val="20"/>
    </w:rPr>
  </w:style>
  <w:style w:type="paragraph" w:customStyle="1" w:styleId="xl67">
    <w:name w:val="xl67"/>
    <w:basedOn w:val="Normal"/>
    <w:rsid w:val="001A2047"/>
    <w:pPr>
      <w:spacing w:before="100" w:beforeAutospacing="1" w:after="100" w:afterAutospacing="1"/>
      <w:jc w:val="right"/>
      <w:textAlignment w:val="center"/>
    </w:pPr>
    <w:rPr>
      <w:rFonts w:eastAsia="Times New Roman" w:cs="Arial"/>
      <w:color w:val="000000"/>
      <w:sz w:val="20"/>
      <w:szCs w:val="20"/>
    </w:rPr>
  </w:style>
  <w:style w:type="paragraph" w:customStyle="1" w:styleId="xl68">
    <w:name w:val="xl68"/>
    <w:basedOn w:val="Normal"/>
    <w:rsid w:val="001A2047"/>
    <w:pPr>
      <w:pBdr>
        <w:bottom w:val="single" w:sz="8" w:space="0" w:color="auto"/>
      </w:pBdr>
      <w:spacing w:before="100" w:beforeAutospacing="1" w:after="100" w:afterAutospacing="1"/>
      <w:textAlignment w:val="center"/>
    </w:pPr>
    <w:rPr>
      <w:rFonts w:eastAsia="Times New Roman" w:cs="Arial"/>
      <w:color w:val="000000"/>
      <w:sz w:val="20"/>
      <w:szCs w:val="20"/>
    </w:rPr>
  </w:style>
  <w:style w:type="paragraph" w:customStyle="1" w:styleId="xl69">
    <w:name w:val="xl69"/>
    <w:basedOn w:val="Normal"/>
    <w:rsid w:val="001A2047"/>
    <w:pPr>
      <w:pBdr>
        <w:bottom w:val="single" w:sz="8" w:space="0" w:color="auto"/>
      </w:pBdr>
      <w:spacing w:before="100" w:beforeAutospacing="1" w:after="100" w:afterAutospacing="1"/>
      <w:jc w:val="right"/>
      <w:textAlignment w:val="center"/>
    </w:pPr>
    <w:rPr>
      <w:rFonts w:eastAsia="Times New Roman" w:cs="Arial"/>
      <w:color w:val="000000"/>
      <w:sz w:val="20"/>
      <w:szCs w:val="20"/>
    </w:rPr>
  </w:style>
  <w:style w:type="paragraph" w:customStyle="1" w:styleId="xl70">
    <w:name w:val="xl70"/>
    <w:basedOn w:val="Normal"/>
    <w:rsid w:val="001A2047"/>
    <w:pPr>
      <w:pBdr>
        <w:top w:val="single" w:sz="8" w:space="0" w:color="auto"/>
        <w:bottom w:val="single" w:sz="8" w:space="0" w:color="7F7F7F"/>
      </w:pBdr>
      <w:shd w:val="clear" w:color="000000" w:fill="D9D9D9"/>
      <w:spacing w:before="100" w:beforeAutospacing="1" w:after="100" w:afterAutospacing="1"/>
      <w:jc w:val="center"/>
      <w:textAlignment w:val="center"/>
    </w:pPr>
    <w:rPr>
      <w:rFonts w:eastAsia="Times New Roman" w:cs="Arial"/>
      <w:b/>
      <w:bCs/>
      <w:sz w:val="20"/>
      <w:szCs w:val="20"/>
    </w:rPr>
  </w:style>
  <w:style w:type="paragraph" w:customStyle="1" w:styleId="xl71">
    <w:name w:val="xl71"/>
    <w:basedOn w:val="Normal"/>
    <w:rsid w:val="001A2047"/>
    <w:pPr>
      <w:pBdr>
        <w:right w:val="single" w:sz="8" w:space="0" w:color="7F7F7F"/>
      </w:pBdr>
      <w:spacing w:before="100" w:beforeAutospacing="1" w:after="100" w:afterAutospacing="1"/>
      <w:jc w:val="center"/>
      <w:textAlignment w:val="center"/>
    </w:pPr>
    <w:rPr>
      <w:rFonts w:eastAsia="Times New Roman" w:cs="Arial"/>
      <w:color w:val="000000"/>
      <w:sz w:val="20"/>
      <w:szCs w:val="20"/>
    </w:rPr>
  </w:style>
  <w:style w:type="paragraph" w:customStyle="1" w:styleId="xl72">
    <w:name w:val="xl72"/>
    <w:basedOn w:val="Normal"/>
    <w:rsid w:val="001A2047"/>
    <w:pPr>
      <w:pBdr>
        <w:top w:val="single" w:sz="8" w:space="0" w:color="auto"/>
        <w:right w:val="single" w:sz="8" w:space="0" w:color="7F7F7F"/>
      </w:pBdr>
      <w:spacing w:before="100" w:beforeAutospacing="1" w:after="100" w:afterAutospacing="1"/>
      <w:jc w:val="center"/>
      <w:textAlignment w:val="center"/>
    </w:pPr>
    <w:rPr>
      <w:rFonts w:eastAsia="Times New Roman" w:cs="Arial"/>
      <w:color w:val="000000"/>
      <w:sz w:val="20"/>
      <w:szCs w:val="20"/>
    </w:rPr>
  </w:style>
  <w:style w:type="paragraph" w:customStyle="1" w:styleId="xl73">
    <w:name w:val="xl73"/>
    <w:basedOn w:val="Normal"/>
    <w:rsid w:val="001A2047"/>
    <w:pPr>
      <w:pBdr>
        <w:bottom w:val="single" w:sz="8" w:space="0" w:color="auto"/>
        <w:right w:val="single" w:sz="8" w:space="0" w:color="7F7F7F"/>
      </w:pBdr>
      <w:spacing w:before="100" w:beforeAutospacing="1" w:after="100" w:afterAutospacing="1"/>
      <w:jc w:val="center"/>
      <w:textAlignment w:val="center"/>
    </w:pPr>
    <w:rPr>
      <w:rFonts w:eastAsia="Times New Roman" w:cs="Arial"/>
      <w:color w:val="000000"/>
      <w:sz w:val="20"/>
      <w:szCs w:val="20"/>
    </w:rPr>
  </w:style>
  <w:style w:type="paragraph" w:customStyle="1" w:styleId="xl74">
    <w:name w:val="xl74"/>
    <w:basedOn w:val="Normal"/>
    <w:rsid w:val="001A2047"/>
    <w:pPr>
      <w:pBdr>
        <w:bottom w:val="single" w:sz="8" w:space="0" w:color="auto"/>
      </w:pBdr>
      <w:shd w:val="clear" w:color="000000" w:fill="D9D9D9"/>
      <w:spacing w:before="100" w:beforeAutospacing="1" w:after="100" w:afterAutospacing="1"/>
      <w:jc w:val="center"/>
      <w:textAlignment w:val="center"/>
    </w:pPr>
    <w:rPr>
      <w:rFonts w:eastAsia="Times New Roman" w:cs="Arial"/>
      <w:b/>
      <w:bCs/>
      <w:color w:val="000000"/>
      <w:sz w:val="20"/>
      <w:szCs w:val="20"/>
    </w:rPr>
  </w:style>
  <w:style w:type="character" w:styleId="SubtleEmphasis">
    <w:name w:val="Subtle Emphasis"/>
    <w:basedOn w:val="DefaultParagraphFont"/>
    <w:uiPriority w:val="19"/>
    <w:qFormat/>
    <w:rsid w:val="001A2047"/>
    <w:rPr>
      <w:i/>
      <w:iCs/>
      <w:color w:val="000000" w:themeColor="text1"/>
    </w:rPr>
  </w:style>
  <w:style w:type="character" w:styleId="UnresolvedMention">
    <w:name w:val="Unresolved Mention"/>
    <w:basedOn w:val="DefaultParagraphFont"/>
    <w:uiPriority w:val="99"/>
    <w:semiHidden/>
    <w:unhideWhenUsed/>
    <w:rsid w:val="00364D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35150">
      <w:bodyDiv w:val="1"/>
      <w:marLeft w:val="0"/>
      <w:marRight w:val="0"/>
      <w:marTop w:val="0"/>
      <w:marBottom w:val="0"/>
      <w:divBdr>
        <w:top w:val="none" w:sz="0" w:space="0" w:color="auto"/>
        <w:left w:val="none" w:sz="0" w:space="0" w:color="auto"/>
        <w:bottom w:val="none" w:sz="0" w:space="0" w:color="auto"/>
        <w:right w:val="none" w:sz="0" w:space="0" w:color="auto"/>
      </w:divBdr>
    </w:div>
    <w:div w:id="123157816">
      <w:bodyDiv w:val="1"/>
      <w:marLeft w:val="0"/>
      <w:marRight w:val="0"/>
      <w:marTop w:val="0"/>
      <w:marBottom w:val="0"/>
      <w:divBdr>
        <w:top w:val="none" w:sz="0" w:space="0" w:color="auto"/>
        <w:left w:val="none" w:sz="0" w:space="0" w:color="auto"/>
        <w:bottom w:val="none" w:sz="0" w:space="0" w:color="auto"/>
        <w:right w:val="none" w:sz="0" w:space="0" w:color="auto"/>
      </w:divBdr>
    </w:div>
    <w:div w:id="268239257">
      <w:bodyDiv w:val="1"/>
      <w:marLeft w:val="0"/>
      <w:marRight w:val="0"/>
      <w:marTop w:val="0"/>
      <w:marBottom w:val="0"/>
      <w:divBdr>
        <w:top w:val="none" w:sz="0" w:space="0" w:color="auto"/>
        <w:left w:val="none" w:sz="0" w:space="0" w:color="auto"/>
        <w:bottom w:val="none" w:sz="0" w:space="0" w:color="auto"/>
        <w:right w:val="none" w:sz="0" w:space="0" w:color="auto"/>
      </w:divBdr>
    </w:div>
    <w:div w:id="376273993">
      <w:bodyDiv w:val="1"/>
      <w:marLeft w:val="0"/>
      <w:marRight w:val="0"/>
      <w:marTop w:val="0"/>
      <w:marBottom w:val="0"/>
      <w:divBdr>
        <w:top w:val="none" w:sz="0" w:space="0" w:color="auto"/>
        <w:left w:val="none" w:sz="0" w:space="0" w:color="auto"/>
        <w:bottom w:val="none" w:sz="0" w:space="0" w:color="auto"/>
        <w:right w:val="none" w:sz="0" w:space="0" w:color="auto"/>
      </w:divBdr>
    </w:div>
    <w:div w:id="396050438">
      <w:bodyDiv w:val="1"/>
      <w:marLeft w:val="0"/>
      <w:marRight w:val="0"/>
      <w:marTop w:val="0"/>
      <w:marBottom w:val="0"/>
      <w:divBdr>
        <w:top w:val="none" w:sz="0" w:space="0" w:color="auto"/>
        <w:left w:val="none" w:sz="0" w:space="0" w:color="auto"/>
        <w:bottom w:val="none" w:sz="0" w:space="0" w:color="auto"/>
        <w:right w:val="none" w:sz="0" w:space="0" w:color="auto"/>
      </w:divBdr>
    </w:div>
    <w:div w:id="461195581">
      <w:bodyDiv w:val="1"/>
      <w:marLeft w:val="0"/>
      <w:marRight w:val="0"/>
      <w:marTop w:val="0"/>
      <w:marBottom w:val="0"/>
      <w:divBdr>
        <w:top w:val="none" w:sz="0" w:space="0" w:color="auto"/>
        <w:left w:val="none" w:sz="0" w:space="0" w:color="auto"/>
        <w:bottom w:val="none" w:sz="0" w:space="0" w:color="auto"/>
        <w:right w:val="none" w:sz="0" w:space="0" w:color="auto"/>
      </w:divBdr>
    </w:div>
    <w:div w:id="506792966">
      <w:marLeft w:val="0"/>
      <w:marRight w:val="0"/>
      <w:marTop w:val="0"/>
      <w:marBottom w:val="0"/>
      <w:divBdr>
        <w:top w:val="none" w:sz="0" w:space="0" w:color="auto"/>
        <w:left w:val="none" w:sz="0" w:space="0" w:color="auto"/>
        <w:bottom w:val="none" w:sz="0" w:space="0" w:color="auto"/>
        <w:right w:val="none" w:sz="0" w:space="0" w:color="auto"/>
      </w:divBdr>
    </w:div>
    <w:div w:id="506792967">
      <w:marLeft w:val="0"/>
      <w:marRight w:val="0"/>
      <w:marTop w:val="0"/>
      <w:marBottom w:val="0"/>
      <w:divBdr>
        <w:top w:val="none" w:sz="0" w:space="0" w:color="auto"/>
        <w:left w:val="none" w:sz="0" w:space="0" w:color="auto"/>
        <w:bottom w:val="none" w:sz="0" w:space="0" w:color="auto"/>
        <w:right w:val="none" w:sz="0" w:space="0" w:color="auto"/>
      </w:divBdr>
    </w:div>
    <w:div w:id="506792968">
      <w:marLeft w:val="0"/>
      <w:marRight w:val="0"/>
      <w:marTop w:val="0"/>
      <w:marBottom w:val="0"/>
      <w:divBdr>
        <w:top w:val="none" w:sz="0" w:space="0" w:color="auto"/>
        <w:left w:val="none" w:sz="0" w:space="0" w:color="auto"/>
        <w:bottom w:val="none" w:sz="0" w:space="0" w:color="auto"/>
        <w:right w:val="none" w:sz="0" w:space="0" w:color="auto"/>
      </w:divBdr>
    </w:div>
    <w:div w:id="506792969">
      <w:marLeft w:val="0"/>
      <w:marRight w:val="0"/>
      <w:marTop w:val="0"/>
      <w:marBottom w:val="0"/>
      <w:divBdr>
        <w:top w:val="none" w:sz="0" w:space="0" w:color="auto"/>
        <w:left w:val="none" w:sz="0" w:space="0" w:color="auto"/>
        <w:bottom w:val="none" w:sz="0" w:space="0" w:color="auto"/>
        <w:right w:val="none" w:sz="0" w:space="0" w:color="auto"/>
      </w:divBdr>
    </w:div>
    <w:div w:id="506792970">
      <w:marLeft w:val="0"/>
      <w:marRight w:val="0"/>
      <w:marTop w:val="0"/>
      <w:marBottom w:val="0"/>
      <w:divBdr>
        <w:top w:val="none" w:sz="0" w:space="0" w:color="auto"/>
        <w:left w:val="none" w:sz="0" w:space="0" w:color="auto"/>
        <w:bottom w:val="none" w:sz="0" w:space="0" w:color="auto"/>
        <w:right w:val="none" w:sz="0" w:space="0" w:color="auto"/>
      </w:divBdr>
    </w:div>
    <w:div w:id="506792971">
      <w:marLeft w:val="0"/>
      <w:marRight w:val="0"/>
      <w:marTop w:val="0"/>
      <w:marBottom w:val="0"/>
      <w:divBdr>
        <w:top w:val="none" w:sz="0" w:space="0" w:color="auto"/>
        <w:left w:val="none" w:sz="0" w:space="0" w:color="auto"/>
        <w:bottom w:val="none" w:sz="0" w:space="0" w:color="auto"/>
        <w:right w:val="none" w:sz="0" w:space="0" w:color="auto"/>
      </w:divBdr>
    </w:div>
    <w:div w:id="506792972">
      <w:marLeft w:val="0"/>
      <w:marRight w:val="0"/>
      <w:marTop w:val="0"/>
      <w:marBottom w:val="0"/>
      <w:divBdr>
        <w:top w:val="none" w:sz="0" w:space="0" w:color="auto"/>
        <w:left w:val="none" w:sz="0" w:space="0" w:color="auto"/>
        <w:bottom w:val="none" w:sz="0" w:space="0" w:color="auto"/>
        <w:right w:val="none" w:sz="0" w:space="0" w:color="auto"/>
      </w:divBdr>
    </w:div>
    <w:div w:id="506792973">
      <w:marLeft w:val="0"/>
      <w:marRight w:val="0"/>
      <w:marTop w:val="0"/>
      <w:marBottom w:val="0"/>
      <w:divBdr>
        <w:top w:val="none" w:sz="0" w:space="0" w:color="auto"/>
        <w:left w:val="none" w:sz="0" w:space="0" w:color="auto"/>
        <w:bottom w:val="none" w:sz="0" w:space="0" w:color="auto"/>
        <w:right w:val="none" w:sz="0" w:space="0" w:color="auto"/>
      </w:divBdr>
    </w:div>
    <w:div w:id="506792974">
      <w:marLeft w:val="0"/>
      <w:marRight w:val="0"/>
      <w:marTop w:val="0"/>
      <w:marBottom w:val="0"/>
      <w:divBdr>
        <w:top w:val="none" w:sz="0" w:space="0" w:color="auto"/>
        <w:left w:val="none" w:sz="0" w:space="0" w:color="auto"/>
        <w:bottom w:val="none" w:sz="0" w:space="0" w:color="auto"/>
        <w:right w:val="none" w:sz="0" w:space="0" w:color="auto"/>
      </w:divBdr>
    </w:div>
    <w:div w:id="506792975">
      <w:marLeft w:val="0"/>
      <w:marRight w:val="0"/>
      <w:marTop w:val="0"/>
      <w:marBottom w:val="0"/>
      <w:divBdr>
        <w:top w:val="none" w:sz="0" w:space="0" w:color="auto"/>
        <w:left w:val="none" w:sz="0" w:space="0" w:color="auto"/>
        <w:bottom w:val="none" w:sz="0" w:space="0" w:color="auto"/>
        <w:right w:val="none" w:sz="0" w:space="0" w:color="auto"/>
      </w:divBdr>
    </w:div>
    <w:div w:id="506792976">
      <w:marLeft w:val="0"/>
      <w:marRight w:val="0"/>
      <w:marTop w:val="0"/>
      <w:marBottom w:val="0"/>
      <w:divBdr>
        <w:top w:val="none" w:sz="0" w:space="0" w:color="auto"/>
        <w:left w:val="none" w:sz="0" w:space="0" w:color="auto"/>
        <w:bottom w:val="none" w:sz="0" w:space="0" w:color="auto"/>
        <w:right w:val="none" w:sz="0" w:space="0" w:color="auto"/>
      </w:divBdr>
    </w:div>
    <w:div w:id="506792977">
      <w:marLeft w:val="0"/>
      <w:marRight w:val="0"/>
      <w:marTop w:val="0"/>
      <w:marBottom w:val="0"/>
      <w:divBdr>
        <w:top w:val="none" w:sz="0" w:space="0" w:color="auto"/>
        <w:left w:val="none" w:sz="0" w:space="0" w:color="auto"/>
        <w:bottom w:val="none" w:sz="0" w:space="0" w:color="auto"/>
        <w:right w:val="none" w:sz="0" w:space="0" w:color="auto"/>
      </w:divBdr>
    </w:div>
    <w:div w:id="506792978">
      <w:marLeft w:val="0"/>
      <w:marRight w:val="0"/>
      <w:marTop w:val="0"/>
      <w:marBottom w:val="0"/>
      <w:divBdr>
        <w:top w:val="none" w:sz="0" w:space="0" w:color="auto"/>
        <w:left w:val="none" w:sz="0" w:space="0" w:color="auto"/>
        <w:bottom w:val="none" w:sz="0" w:space="0" w:color="auto"/>
        <w:right w:val="none" w:sz="0" w:space="0" w:color="auto"/>
      </w:divBdr>
    </w:div>
    <w:div w:id="506792979">
      <w:marLeft w:val="0"/>
      <w:marRight w:val="0"/>
      <w:marTop w:val="0"/>
      <w:marBottom w:val="0"/>
      <w:divBdr>
        <w:top w:val="none" w:sz="0" w:space="0" w:color="auto"/>
        <w:left w:val="none" w:sz="0" w:space="0" w:color="auto"/>
        <w:bottom w:val="none" w:sz="0" w:space="0" w:color="auto"/>
        <w:right w:val="none" w:sz="0" w:space="0" w:color="auto"/>
      </w:divBdr>
    </w:div>
    <w:div w:id="506792980">
      <w:marLeft w:val="0"/>
      <w:marRight w:val="0"/>
      <w:marTop w:val="0"/>
      <w:marBottom w:val="0"/>
      <w:divBdr>
        <w:top w:val="none" w:sz="0" w:space="0" w:color="auto"/>
        <w:left w:val="none" w:sz="0" w:space="0" w:color="auto"/>
        <w:bottom w:val="none" w:sz="0" w:space="0" w:color="auto"/>
        <w:right w:val="none" w:sz="0" w:space="0" w:color="auto"/>
      </w:divBdr>
    </w:div>
    <w:div w:id="506792981">
      <w:marLeft w:val="0"/>
      <w:marRight w:val="0"/>
      <w:marTop w:val="0"/>
      <w:marBottom w:val="0"/>
      <w:divBdr>
        <w:top w:val="none" w:sz="0" w:space="0" w:color="auto"/>
        <w:left w:val="none" w:sz="0" w:space="0" w:color="auto"/>
        <w:bottom w:val="none" w:sz="0" w:space="0" w:color="auto"/>
        <w:right w:val="none" w:sz="0" w:space="0" w:color="auto"/>
      </w:divBdr>
    </w:div>
    <w:div w:id="506792982">
      <w:marLeft w:val="0"/>
      <w:marRight w:val="0"/>
      <w:marTop w:val="0"/>
      <w:marBottom w:val="0"/>
      <w:divBdr>
        <w:top w:val="none" w:sz="0" w:space="0" w:color="auto"/>
        <w:left w:val="none" w:sz="0" w:space="0" w:color="auto"/>
        <w:bottom w:val="none" w:sz="0" w:space="0" w:color="auto"/>
        <w:right w:val="none" w:sz="0" w:space="0" w:color="auto"/>
      </w:divBdr>
    </w:div>
    <w:div w:id="506792983">
      <w:marLeft w:val="0"/>
      <w:marRight w:val="0"/>
      <w:marTop w:val="0"/>
      <w:marBottom w:val="0"/>
      <w:divBdr>
        <w:top w:val="none" w:sz="0" w:space="0" w:color="auto"/>
        <w:left w:val="none" w:sz="0" w:space="0" w:color="auto"/>
        <w:bottom w:val="none" w:sz="0" w:space="0" w:color="auto"/>
        <w:right w:val="none" w:sz="0" w:space="0" w:color="auto"/>
      </w:divBdr>
    </w:div>
    <w:div w:id="506792984">
      <w:marLeft w:val="0"/>
      <w:marRight w:val="0"/>
      <w:marTop w:val="0"/>
      <w:marBottom w:val="0"/>
      <w:divBdr>
        <w:top w:val="none" w:sz="0" w:space="0" w:color="auto"/>
        <w:left w:val="none" w:sz="0" w:space="0" w:color="auto"/>
        <w:bottom w:val="none" w:sz="0" w:space="0" w:color="auto"/>
        <w:right w:val="none" w:sz="0" w:space="0" w:color="auto"/>
      </w:divBdr>
    </w:div>
    <w:div w:id="506792985">
      <w:marLeft w:val="0"/>
      <w:marRight w:val="0"/>
      <w:marTop w:val="0"/>
      <w:marBottom w:val="0"/>
      <w:divBdr>
        <w:top w:val="none" w:sz="0" w:space="0" w:color="auto"/>
        <w:left w:val="none" w:sz="0" w:space="0" w:color="auto"/>
        <w:bottom w:val="none" w:sz="0" w:space="0" w:color="auto"/>
        <w:right w:val="none" w:sz="0" w:space="0" w:color="auto"/>
      </w:divBdr>
    </w:div>
    <w:div w:id="506792986">
      <w:marLeft w:val="0"/>
      <w:marRight w:val="0"/>
      <w:marTop w:val="0"/>
      <w:marBottom w:val="0"/>
      <w:divBdr>
        <w:top w:val="none" w:sz="0" w:space="0" w:color="auto"/>
        <w:left w:val="none" w:sz="0" w:space="0" w:color="auto"/>
        <w:bottom w:val="none" w:sz="0" w:space="0" w:color="auto"/>
        <w:right w:val="none" w:sz="0" w:space="0" w:color="auto"/>
      </w:divBdr>
    </w:div>
    <w:div w:id="506792987">
      <w:marLeft w:val="0"/>
      <w:marRight w:val="0"/>
      <w:marTop w:val="0"/>
      <w:marBottom w:val="0"/>
      <w:divBdr>
        <w:top w:val="none" w:sz="0" w:space="0" w:color="auto"/>
        <w:left w:val="none" w:sz="0" w:space="0" w:color="auto"/>
        <w:bottom w:val="none" w:sz="0" w:space="0" w:color="auto"/>
        <w:right w:val="none" w:sz="0" w:space="0" w:color="auto"/>
      </w:divBdr>
    </w:div>
    <w:div w:id="506792988">
      <w:marLeft w:val="0"/>
      <w:marRight w:val="0"/>
      <w:marTop w:val="0"/>
      <w:marBottom w:val="0"/>
      <w:divBdr>
        <w:top w:val="none" w:sz="0" w:space="0" w:color="auto"/>
        <w:left w:val="none" w:sz="0" w:space="0" w:color="auto"/>
        <w:bottom w:val="none" w:sz="0" w:space="0" w:color="auto"/>
        <w:right w:val="none" w:sz="0" w:space="0" w:color="auto"/>
      </w:divBdr>
    </w:div>
    <w:div w:id="506792989">
      <w:marLeft w:val="0"/>
      <w:marRight w:val="0"/>
      <w:marTop w:val="0"/>
      <w:marBottom w:val="0"/>
      <w:divBdr>
        <w:top w:val="none" w:sz="0" w:space="0" w:color="auto"/>
        <w:left w:val="none" w:sz="0" w:space="0" w:color="auto"/>
        <w:bottom w:val="none" w:sz="0" w:space="0" w:color="auto"/>
        <w:right w:val="none" w:sz="0" w:space="0" w:color="auto"/>
      </w:divBdr>
    </w:div>
    <w:div w:id="506792990">
      <w:marLeft w:val="0"/>
      <w:marRight w:val="0"/>
      <w:marTop w:val="0"/>
      <w:marBottom w:val="0"/>
      <w:divBdr>
        <w:top w:val="none" w:sz="0" w:space="0" w:color="auto"/>
        <w:left w:val="none" w:sz="0" w:space="0" w:color="auto"/>
        <w:bottom w:val="none" w:sz="0" w:space="0" w:color="auto"/>
        <w:right w:val="none" w:sz="0" w:space="0" w:color="auto"/>
      </w:divBdr>
    </w:div>
    <w:div w:id="506792991">
      <w:marLeft w:val="0"/>
      <w:marRight w:val="0"/>
      <w:marTop w:val="0"/>
      <w:marBottom w:val="0"/>
      <w:divBdr>
        <w:top w:val="none" w:sz="0" w:space="0" w:color="auto"/>
        <w:left w:val="none" w:sz="0" w:space="0" w:color="auto"/>
        <w:bottom w:val="none" w:sz="0" w:space="0" w:color="auto"/>
        <w:right w:val="none" w:sz="0" w:space="0" w:color="auto"/>
      </w:divBdr>
    </w:div>
    <w:div w:id="506792992">
      <w:marLeft w:val="0"/>
      <w:marRight w:val="0"/>
      <w:marTop w:val="0"/>
      <w:marBottom w:val="0"/>
      <w:divBdr>
        <w:top w:val="none" w:sz="0" w:space="0" w:color="auto"/>
        <w:left w:val="none" w:sz="0" w:space="0" w:color="auto"/>
        <w:bottom w:val="none" w:sz="0" w:space="0" w:color="auto"/>
        <w:right w:val="none" w:sz="0" w:space="0" w:color="auto"/>
      </w:divBdr>
    </w:div>
    <w:div w:id="506792993">
      <w:marLeft w:val="0"/>
      <w:marRight w:val="0"/>
      <w:marTop w:val="0"/>
      <w:marBottom w:val="0"/>
      <w:divBdr>
        <w:top w:val="none" w:sz="0" w:space="0" w:color="auto"/>
        <w:left w:val="none" w:sz="0" w:space="0" w:color="auto"/>
        <w:bottom w:val="none" w:sz="0" w:space="0" w:color="auto"/>
        <w:right w:val="none" w:sz="0" w:space="0" w:color="auto"/>
      </w:divBdr>
    </w:div>
    <w:div w:id="506792994">
      <w:marLeft w:val="0"/>
      <w:marRight w:val="0"/>
      <w:marTop w:val="0"/>
      <w:marBottom w:val="0"/>
      <w:divBdr>
        <w:top w:val="none" w:sz="0" w:space="0" w:color="auto"/>
        <w:left w:val="none" w:sz="0" w:space="0" w:color="auto"/>
        <w:bottom w:val="none" w:sz="0" w:space="0" w:color="auto"/>
        <w:right w:val="none" w:sz="0" w:space="0" w:color="auto"/>
      </w:divBdr>
    </w:div>
    <w:div w:id="506792995">
      <w:marLeft w:val="0"/>
      <w:marRight w:val="0"/>
      <w:marTop w:val="0"/>
      <w:marBottom w:val="0"/>
      <w:divBdr>
        <w:top w:val="none" w:sz="0" w:space="0" w:color="auto"/>
        <w:left w:val="none" w:sz="0" w:space="0" w:color="auto"/>
        <w:bottom w:val="none" w:sz="0" w:space="0" w:color="auto"/>
        <w:right w:val="none" w:sz="0" w:space="0" w:color="auto"/>
      </w:divBdr>
    </w:div>
    <w:div w:id="506792996">
      <w:marLeft w:val="0"/>
      <w:marRight w:val="0"/>
      <w:marTop w:val="0"/>
      <w:marBottom w:val="0"/>
      <w:divBdr>
        <w:top w:val="none" w:sz="0" w:space="0" w:color="auto"/>
        <w:left w:val="none" w:sz="0" w:space="0" w:color="auto"/>
        <w:bottom w:val="none" w:sz="0" w:space="0" w:color="auto"/>
        <w:right w:val="none" w:sz="0" w:space="0" w:color="auto"/>
      </w:divBdr>
    </w:div>
    <w:div w:id="506792997">
      <w:marLeft w:val="0"/>
      <w:marRight w:val="0"/>
      <w:marTop w:val="0"/>
      <w:marBottom w:val="0"/>
      <w:divBdr>
        <w:top w:val="none" w:sz="0" w:space="0" w:color="auto"/>
        <w:left w:val="none" w:sz="0" w:space="0" w:color="auto"/>
        <w:bottom w:val="none" w:sz="0" w:space="0" w:color="auto"/>
        <w:right w:val="none" w:sz="0" w:space="0" w:color="auto"/>
      </w:divBdr>
    </w:div>
    <w:div w:id="506792998">
      <w:marLeft w:val="0"/>
      <w:marRight w:val="0"/>
      <w:marTop w:val="0"/>
      <w:marBottom w:val="0"/>
      <w:divBdr>
        <w:top w:val="none" w:sz="0" w:space="0" w:color="auto"/>
        <w:left w:val="none" w:sz="0" w:space="0" w:color="auto"/>
        <w:bottom w:val="none" w:sz="0" w:space="0" w:color="auto"/>
        <w:right w:val="none" w:sz="0" w:space="0" w:color="auto"/>
      </w:divBdr>
    </w:div>
    <w:div w:id="506792999">
      <w:marLeft w:val="0"/>
      <w:marRight w:val="0"/>
      <w:marTop w:val="0"/>
      <w:marBottom w:val="0"/>
      <w:divBdr>
        <w:top w:val="none" w:sz="0" w:space="0" w:color="auto"/>
        <w:left w:val="none" w:sz="0" w:space="0" w:color="auto"/>
        <w:bottom w:val="none" w:sz="0" w:space="0" w:color="auto"/>
        <w:right w:val="none" w:sz="0" w:space="0" w:color="auto"/>
      </w:divBdr>
    </w:div>
    <w:div w:id="506793000">
      <w:marLeft w:val="0"/>
      <w:marRight w:val="0"/>
      <w:marTop w:val="0"/>
      <w:marBottom w:val="0"/>
      <w:divBdr>
        <w:top w:val="none" w:sz="0" w:space="0" w:color="auto"/>
        <w:left w:val="none" w:sz="0" w:space="0" w:color="auto"/>
        <w:bottom w:val="none" w:sz="0" w:space="0" w:color="auto"/>
        <w:right w:val="none" w:sz="0" w:space="0" w:color="auto"/>
      </w:divBdr>
    </w:div>
    <w:div w:id="506793001">
      <w:marLeft w:val="0"/>
      <w:marRight w:val="0"/>
      <w:marTop w:val="0"/>
      <w:marBottom w:val="0"/>
      <w:divBdr>
        <w:top w:val="none" w:sz="0" w:space="0" w:color="auto"/>
        <w:left w:val="none" w:sz="0" w:space="0" w:color="auto"/>
        <w:bottom w:val="none" w:sz="0" w:space="0" w:color="auto"/>
        <w:right w:val="none" w:sz="0" w:space="0" w:color="auto"/>
      </w:divBdr>
    </w:div>
    <w:div w:id="506793002">
      <w:marLeft w:val="0"/>
      <w:marRight w:val="0"/>
      <w:marTop w:val="0"/>
      <w:marBottom w:val="0"/>
      <w:divBdr>
        <w:top w:val="none" w:sz="0" w:space="0" w:color="auto"/>
        <w:left w:val="none" w:sz="0" w:space="0" w:color="auto"/>
        <w:bottom w:val="none" w:sz="0" w:space="0" w:color="auto"/>
        <w:right w:val="none" w:sz="0" w:space="0" w:color="auto"/>
      </w:divBdr>
    </w:div>
    <w:div w:id="506793003">
      <w:marLeft w:val="0"/>
      <w:marRight w:val="0"/>
      <w:marTop w:val="0"/>
      <w:marBottom w:val="0"/>
      <w:divBdr>
        <w:top w:val="none" w:sz="0" w:space="0" w:color="auto"/>
        <w:left w:val="none" w:sz="0" w:space="0" w:color="auto"/>
        <w:bottom w:val="none" w:sz="0" w:space="0" w:color="auto"/>
        <w:right w:val="none" w:sz="0" w:space="0" w:color="auto"/>
      </w:divBdr>
    </w:div>
    <w:div w:id="506793004">
      <w:marLeft w:val="0"/>
      <w:marRight w:val="0"/>
      <w:marTop w:val="0"/>
      <w:marBottom w:val="0"/>
      <w:divBdr>
        <w:top w:val="none" w:sz="0" w:space="0" w:color="auto"/>
        <w:left w:val="none" w:sz="0" w:space="0" w:color="auto"/>
        <w:bottom w:val="none" w:sz="0" w:space="0" w:color="auto"/>
        <w:right w:val="none" w:sz="0" w:space="0" w:color="auto"/>
      </w:divBdr>
    </w:div>
    <w:div w:id="506793005">
      <w:marLeft w:val="0"/>
      <w:marRight w:val="0"/>
      <w:marTop w:val="0"/>
      <w:marBottom w:val="0"/>
      <w:divBdr>
        <w:top w:val="none" w:sz="0" w:space="0" w:color="auto"/>
        <w:left w:val="none" w:sz="0" w:space="0" w:color="auto"/>
        <w:bottom w:val="none" w:sz="0" w:space="0" w:color="auto"/>
        <w:right w:val="none" w:sz="0" w:space="0" w:color="auto"/>
      </w:divBdr>
    </w:div>
    <w:div w:id="506793006">
      <w:marLeft w:val="0"/>
      <w:marRight w:val="0"/>
      <w:marTop w:val="0"/>
      <w:marBottom w:val="0"/>
      <w:divBdr>
        <w:top w:val="none" w:sz="0" w:space="0" w:color="auto"/>
        <w:left w:val="none" w:sz="0" w:space="0" w:color="auto"/>
        <w:bottom w:val="none" w:sz="0" w:space="0" w:color="auto"/>
        <w:right w:val="none" w:sz="0" w:space="0" w:color="auto"/>
      </w:divBdr>
    </w:div>
    <w:div w:id="506793007">
      <w:marLeft w:val="0"/>
      <w:marRight w:val="0"/>
      <w:marTop w:val="0"/>
      <w:marBottom w:val="0"/>
      <w:divBdr>
        <w:top w:val="none" w:sz="0" w:space="0" w:color="auto"/>
        <w:left w:val="none" w:sz="0" w:space="0" w:color="auto"/>
        <w:bottom w:val="none" w:sz="0" w:space="0" w:color="auto"/>
        <w:right w:val="none" w:sz="0" w:space="0" w:color="auto"/>
      </w:divBdr>
    </w:div>
    <w:div w:id="506793008">
      <w:marLeft w:val="0"/>
      <w:marRight w:val="0"/>
      <w:marTop w:val="0"/>
      <w:marBottom w:val="0"/>
      <w:divBdr>
        <w:top w:val="none" w:sz="0" w:space="0" w:color="auto"/>
        <w:left w:val="none" w:sz="0" w:space="0" w:color="auto"/>
        <w:bottom w:val="none" w:sz="0" w:space="0" w:color="auto"/>
        <w:right w:val="none" w:sz="0" w:space="0" w:color="auto"/>
      </w:divBdr>
    </w:div>
    <w:div w:id="506793009">
      <w:marLeft w:val="0"/>
      <w:marRight w:val="0"/>
      <w:marTop w:val="0"/>
      <w:marBottom w:val="0"/>
      <w:divBdr>
        <w:top w:val="none" w:sz="0" w:space="0" w:color="auto"/>
        <w:left w:val="none" w:sz="0" w:space="0" w:color="auto"/>
        <w:bottom w:val="none" w:sz="0" w:space="0" w:color="auto"/>
        <w:right w:val="none" w:sz="0" w:space="0" w:color="auto"/>
      </w:divBdr>
    </w:div>
    <w:div w:id="506793010">
      <w:marLeft w:val="0"/>
      <w:marRight w:val="0"/>
      <w:marTop w:val="0"/>
      <w:marBottom w:val="0"/>
      <w:divBdr>
        <w:top w:val="none" w:sz="0" w:space="0" w:color="auto"/>
        <w:left w:val="none" w:sz="0" w:space="0" w:color="auto"/>
        <w:bottom w:val="none" w:sz="0" w:space="0" w:color="auto"/>
        <w:right w:val="none" w:sz="0" w:space="0" w:color="auto"/>
      </w:divBdr>
    </w:div>
    <w:div w:id="506793011">
      <w:marLeft w:val="0"/>
      <w:marRight w:val="0"/>
      <w:marTop w:val="0"/>
      <w:marBottom w:val="0"/>
      <w:divBdr>
        <w:top w:val="none" w:sz="0" w:space="0" w:color="auto"/>
        <w:left w:val="none" w:sz="0" w:space="0" w:color="auto"/>
        <w:bottom w:val="none" w:sz="0" w:space="0" w:color="auto"/>
        <w:right w:val="none" w:sz="0" w:space="0" w:color="auto"/>
      </w:divBdr>
    </w:div>
    <w:div w:id="506793012">
      <w:marLeft w:val="0"/>
      <w:marRight w:val="0"/>
      <w:marTop w:val="0"/>
      <w:marBottom w:val="0"/>
      <w:divBdr>
        <w:top w:val="none" w:sz="0" w:space="0" w:color="auto"/>
        <w:left w:val="none" w:sz="0" w:space="0" w:color="auto"/>
        <w:bottom w:val="none" w:sz="0" w:space="0" w:color="auto"/>
        <w:right w:val="none" w:sz="0" w:space="0" w:color="auto"/>
      </w:divBdr>
    </w:div>
    <w:div w:id="506793013">
      <w:marLeft w:val="0"/>
      <w:marRight w:val="0"/>
      <w:marTop w:val="0"/>
      <w:marBottom w:val="0"/>
      <w:divBdr>
        <w:top w:val="none" w:sz="0" w:space="0" w:color="auto"/>
        <w:left w:val="none" w:sz="0" w:space="0" w:color="auto"/>
        <w:bottom w:val="none" w:sz="0" w:space="0" w:color="auto"/>
        <w:right w:val="none" w:sz="0" w:space="0" w:color="auto"/>
      </w:divBdr>
    </w:div>
    <w:div w:id="506793014">
      <w:marLeft w:val="0"/>
      <w:marRight w:val="0"/>
      <w:marTop w:val="0"/>
      <w:marBottom w:val="0"/>
      <w:divBdr>
        <w:top w:val="none" w:sz="0" w:space="0" w:color="auto"/>
        <w:left w:val="none" w:sz="0" w:space="0" w:color="auto"/>
        <w:bottom w:val="none" w:sz="0" w:space="0" w:color="auto"/>
        <w:right w:val="none" w:sz="0" w:space="0" w:color="auto"/>
      </w:divBdr>
    </w:div>
    <w:div w:id="506793015">
      <w:marLeft w:val="0"/>
      <w:marRight w:val="0"/>
      <w:marTop w:val="0"/>
      <w:marBottom w:val="0"/>
      <w:divBdr>
        <w:top w:val="none" w:sz="0" w:space="0" w:color="auto"/>
        <w:left w:val="none" w:sz="0" w:space="0" w:color="auto"/>
        <w:bottom w:val="none" w:sz="0" w:space="0" w:color="auto"/>
        <w:right w:val="none" w:sz="0" w:space="0" w:color="auto"/>
      </w:divBdr>
    </w:div>
    <w:div w:id="506793016">
      <w:marLeft w:val="0"/>
      <w:marRight w:val="0"/>
      <w:marTop w:val="0"/>
      <w:marBottom w:val="0"/>
      <w:divBdr>
        <w:top w:val="none" w:sz="0" w:space="0" w:color="auto"/>
        <w:left w:val="none" w:sz="0" w:space="0" w:color="auto"/>
        <w:bottom w:val="none" w:sz="0" w:space="0" w:color="auto"/>
        <w:right w:val="none" w:sz="0" w:space="0" w:color="auto"/>
      </w:divBdr>
    </w:div>
    <w:div w:id="506793017">
      <w:marLeft w:val="0"/>
      <w:marRight w:val="0"/>
      <w:marTop w:val="0"/>
      <w:marBottom w:val="0"/>
      <w:divBdr>
        <w:top w:val="none" w:sz="0" w:space="0" w:color="auto"/>
        <w:left w:val="none" w:sz="0" w:space="0" w:color="auto"/>
        <w:bottom w:val="none" w:sz="0" w:space="0" w:color="auto"/>
        <w:right w:val="none" w:sz="0" w:space="0" w:color="auto"/>
      </w:divBdr>
    </w:div>
    <w:div w:id="506793018">
      <w:marLeft w:val="0"/>
      <w:marRight w:val="0"/>
      <w:marTop w:val="0"/>
      <w:marBottom w:val="0"/>
      <w:divBdr>
        <w:top w:val="none" w:sz="0" w:space="0" w:color="auto"/>
        <w:left w:val="none" w:sz="0" w:space="0" w:color="auto"/>
        <w:bottom w:val="none" w:sz="0" w:space="0" w:color="auto"/>
        <w:right w:val="none" w:sz="0" w:space="0" w:color="auto"/>
      </w:divBdr>
    </w:div>
    <w:div w:id="506793019">
      <w:marLeft w:val="0"/>
      <w:marRight w:val="0"/>
      <w:marTop w:val="0"/>
      <w:marBottom w:val="0"/>
      <w:divBdr>
        <w:top w:val="none" w:sz="0" w:space="0" w:color="auto"/>
        <w:left w:val="none" w:sz="0" w:space="0" w:color="auto"/>
        <w:bottom w:val="none" w:sz="0" w:space="0" w:color="auto"/>
        <w:right w:val="none" w:sz="0" w:space="0" w:color="auto"/>
      </w:divBdr>
    </w:div>
    <w:div w:id="506793020">
      <w:marLeft w:val="0"/>
      <w:marRight w:val="0"/>
      <w:marTop w:val="0"/>
      <w:marBottom w:val="0"/>
      <w:divBdr>
        <w:top w:val="none" w:sz="0" w:space="0" w:color="auto"/>
        <w:left w:val="none" w:sz="0" w:space="0" w:color="auto"/>
        <w:bottom w:val="none" w:sz="0" w:space="0" w:color="auto"/>
        <w:right w:val="none" w:sz="0" w:space="0" w:color="auto"/>
      </w:divBdr>
    </w:div>
    <w:div w:id="506793021">
      <w:marLeft w:val="0"/>
      <w:marRight w:val="0"/>
      <w:marTop w:val="0"/>
      <w:marBottom w:val="0"/>
      <w:divBdr>
        <w:top w:val="none" w:sz="0" w:space="0" w:color="auto"/>
        <w:left w:val="none" w:sz="0" w:space="0" w:color="auto"/>
        <w:bottom w:val="none" w:sz="0" w:space="0" w:color="auto"/>
        <w:right w:val="none" w:sz="0" w:space="0" w:color="auto"/>
      </w:divBdr>
    </w:div>
    <w:div w:id="506793022">
      <w:marLeft w:val="0"/>
      <w:marRight w:val="0"/>
      <w:marTop w:val="0"/>
      <w:marBottom w:val="0"/>
      <w:divBdr>
        <w:top w:val="none" w:sz="0" w:space="0" w:color="auto"/>
        <w:left w:val="none" w:sz="0" w:space="0" w:color="auto"/>
        <w:bottom w:val="none" w:sz="0" w:space="0" w:color="auto"/>
        <w:right w:val="none" w:sz="0" w:space="0" w:color="auto"/>
      </w:divBdr>
    </w:div>
    <w:div w:id="506793023">
      <w:marLeft w:val="0"/>
      <w:marRight w:val="0"/>
      <w:marTop w:val="0"/>
      <w:marBottom w:val="0"/>
      <w:divBdr>
        <w:top w:val="none" w:sz="0" w:space="0" w:color="auto"/>
        <w:left w:val="none" w:sz="0" w:space="0" w:color="auto"/>
        <w:bottom w:val="none" w:sz="0" w:space="0" w:color="auto"/>
        <w:right w:val="none" w:sz="0" w:space="0" w:color="auto"/>
      </w:divBdr>
    </w:div>
    <w:div w:id="506793024">
      <w:marLeft w:val="0"/>
      <w:marRight w:val="0"/>
      <w:marTop w:val="0"/>
      <w:marBottom w:val="0"/>
      <w:divBdr>
        <w:top w:val="none" w:sz="0" w:space="0" w:color="auto"/>
        <w:left w:val="none" w:sz="0" w:space="0" w:color="auto"/>
        <w:bottom w:val="none" w:sz="0" w:space="0" w:color="auto"/>
        <w:right w:val="none" w:sz="0" w:space="0" w:color="auto"/>
      </w:divBdr>
    </w:div>
    <w:div w:id="506793025">
      <w:marLeft w:val="0"/>
      <w:marRight w:val="0"/>
      <w:marTop w:val="0"/>
      <w:marBottom w:val="0"/>
      <w:divBdr>
        <w:top w:val="none" w:sz="0" w:space="0" w:color="auto"/>
        <w:left w:val="none" w:sz="0" w:space="0" w:color="auto"/>
        <w:bottom w:val="none" w:sz="0" w:space="0" w:color="auto"/>
        <w:right w:val="none" w:sz="0" w:space="0" w:color="auto"/>
      </w:divBdr>
    </w:div>
    <w:div w:id="506793026">
      <w:marLeft w:val="0"/>
      <w:marRight w:val="0"/>
      <w:marTop w:val="0"/>
      <w:marBottom w:val="0"/>
      <w:divBdr>
        <w:top w:val="none" w:sz="0" w:space="0" w:color="auto"/>
        <w:left w:val="none" w:sz="0" w:space="0" w:color="auto"/>
        <w:bottom w:val="none" w:sz="0" w:space="0" w:color="auto"/>
        <w:right w:val="none" w:sz="0" w:space="0" w:color="auto"/>
      </w:divBdr>
    </w:div>
    <w:div w:id="506793027">
      <w:marLeft w:val="0"/>
      <w:marRight w:val="0"/>
      <w:marTop w:val="0"/>
      <w:marBottom w:val="0"/>
      <w:divBdr>
        <w:top w:val="none" w:sz="0" w:space="0" w:color="auto"/>
        <w:left w:val="none" w:sz="0" w:space="0" w:color="auto"/>
        <w:bottom w:val="none" w:sz="0" w:space="0" w:color="auto"/>
        <w:right w:val="none" w:sz="0" w:space="0" w:color="auto"/>
      </w:divBdr>
    </w:div>
    <w:div w:id="506793028">
      <w:marLeft w:val="0"/>
      <w:marRight w:val="0"/>
      <w:marTop w:val="0"/>
      <w:marBottom w:val="0"/>
      <w:divBdr>
        <w:top w:val="none" w:sz="0" w:space="0" w:color="auto"/>
        <w:left w:val="none" w:sz="0" w:space="0" w:color="auto"/>
        <w:bottom w:val="none" w:sz="0" w:space="0" w:color="auto"/>
        <w:right w:val="none" w:sz="0" w:space="0" w:color="auto"/>
      </w:divBdr>
    </w:div>
    <w:div w:id="506793029">
      <w:marLeft w:val="0"/>
      <w:marRight w:val="0"/>
      <w:marTop w:val="0"/>
      <w:marBottom w:val="0"/>
      <w:divBdr>
        <w:top w:val="none" w:sz="0" w:space="0" w:color="auto"/>
        <w:left w:val="none" w:sz="0" w:space="0" w:color="auto"/>
        <w:bottom w:val="none" w:sz="0" w:space="0" w:color="auto"/>
        <w:right w:val="none" w:sz="0" w:space="0" w:color="auto"/>
      </w:divBdr>
    </w:div>
    <w:div w:id="506793030">
      <w:marLeft w:val="0"/>
      <w:marRight w:val="0"/>
      <w:marTop w:val="0"/>
      <w:marBottom w:val="0"/>
      <w:divBdr>
        <w:top w:val="none" w:sz="0" w:space="0" w:color="auto"/>
        <w:left w:val="none" w:sz="0" w:space="0" w:color="auto"/>
        <w:bottom w:val="none" w:sz="0" w:space="0" w:color="auto"/>
        <w:right w:val="none" w:sz="0" w:space="0" w:color="auto"/>
      </w:divBdr>
    </w:div>
    <w:div w:id="506793031">
      <w:marLeft w:val="0"/>
      <w:marRight w:val="0"/>
      <w:marTop w:val="0"/>
      <w:marBottom w:val="0"/>
      <w:divBdr>
        <w:top w:val="none" w:sz="0" w:space="0" w:color="auto"/>
        <w:left w:val="none" w:sz="0" w:space="0" w:color="auto"/>
        <w:bottom w:val="none" w:sz="0" w:space="0" w:color="auto"/>
        <w:right w:val="none" w:sz="0" w:space="0" w:color="auto"/>
      </w:divBdr>
    </w:div>
    <w:div w:id="506793032">
      <w:marLeft w:val="0"/>
      <w:marRight w:val="0"/>
      <w:marTop w:val="0"/>
      <w:marBottom w:val="0"/>
      <w:divBdr>
        <w:top w:val="none" w:sz="0" w:space="0" w:color="auto"/>
        <w:left w:val="none" w:sz="0" w:space="0" w:color="auto"/>
        <w:bottom w:val="none" w:sz="0" w:space="0" w:color="auto"/>
        <w:right w:val="none" w:sz="0" w:space="0" w:color="auto"/>
      </w:divBdr>
    </w:div>
    <w:div w:id="506793033">
      <w:marLeft w:val="0"/>
      <w:marRight w:val="0"/>
      <w:marTop w:val="0"/>
      <w:marBottom w:val="0"/>
      <w:divBdr>
        <w:top w:val="none" w:sz="0" w:space="0" w:color="auto"/>
        <w:left w:val="none" w:sz="0" w:space="0" w:color="auto"/>
        <w:bottom w:val="none" w:sz="0" w:space="0" w:color="auto"/>
        <w:right w:val="none" w:sz="0" w:space="0" w:color="auto"/>
      </w:divBdr>
    </w:div>
    <w:div w:id="506793034">
      <w:marLeft w:val="0"/>
      <w:marRight w:val="0"/>
      <w:marTop w:val="0"/>
      <w:marBottom w:val="0"/>
      <w:divBdr>
        <w:top w:val="none" w:sz="0" w:space="0" w:color="auto"/>
        <w:left w:val="none" w:sz="0" w:space="0" w:color="auto"/>
        <w:bottom w:val="none" w:sz="0" w:space="0" w:color="auto"/>
        <w:right w:val="none" w:sz="0" w:space="0" w:color="auto"/>
      </w:divBdr>
    </w:div>
    <w:div w:id="506793035">
      <w:marLeft w:val="0"/>
      <w:marRight w:val="0"/>
      <w:marTop w:val="0"/>
      <w:marBottom w:val="0"/>
      <w:divBdr>
        <w:top w:val="none" w:sz="0" w:space="0" w:color="auto"/>
        <w:left w:val="none" w:sz="0" w:space="0" w:color="auto"/>
        <w:bottom w:val="none" w:sz="0" w:space="0" w:color="auto"/>
        <w:right w:val="none" w:sz="0" w:space="0" w:color="auto"/>
      </w:divBdr>
    </w:div>
    <w:div w:id="506793036">
      <w:marLeft w:val="0"/>
      <w:marRight w:val="0"/>
      <w:marTop w:val="0"/>
      <w:marBottom w:val="0"/>
      <w:divBdr>
        <w:top w:val="none" w:sz="0" w:space="0" w:color="auto"/>
        <w:left w:val="none" w:sz="0" w:space="0" w:color="auto"/>
        <w:bottom w:val="none" w:sz="0" w:space="0" w:color="auto"/>
        <w:right w:val="none" w:sz="0" w:space="0" w:color="auto"/>
      </w:divBdr>
    </w:div>
    <w:div w:id="506793037">
      <w:marLeft w:val="0"/>
      <w:marRight w:val="0"/>
      <w:marTop w:val="0"/>
      <w:marBottom w:val="0"/>
      <w:divBdr>
        <w:top w:val="none" w:sz="0" w:space="0" w:color="auto"/>
        <w:left w:val="none" w:sz="0" w:space="0" w:color="auto"/>
        <w:bottom w:val="none" w:sz="0" w:space="0" w:color="auto"/>
        <w:right w:val="none" w:sz="0" w:space="0" w:color="auto"/>
      </w:divBdr>
    </w:div>
    <w:div w:id="506793038">
      <w:marLeft w:val="0"/>
      <w:marRight w:val="0"/>
      <w:marTop w:val="0"/>
      <w:marBottom w:val="0"/>
      <w:divBdr>
        <w:top w:val="none" w:sz="0" w:space="0" w:color="auto"/>
        <w:left w:val="none" w:sz="0" w:space="0" w:color="auto"/>
        <w:bottom w:val="none" w:sz="0" w:space="0" w:color="auto"/>
        <w:right w:val="none" w:sz="0" w:space="0" w:color="auto"/>
      </w:divBdr>
    </w:div>
    <w:div w:id="506793039">
      <w:marLeft w:val="0"/>
      <w:marRight w:val="0"/>
      <w:marTop w:val="0"/>
      <w:marBottom w:val="0"/>
      <w:divBdr>
        <w:top w:val="none" w:sz="0" w:space="0" w:color="auto"/>
        <w:left w:val="none" w:sz="0" w:space="0" w:color="auto"/>
        <w:bottom w:val="none" w:sz="0" w:space="0" w:color="auto"/>
        <w:right w:val="none" w:sz="0" w:space="0" w:color="auto"/>
      </w:divBdr>
    </w:div>
    <w:div w:id="506793040">
      <w:marLeft w:val="0"/>
      <w:marRight w:val="0"/>
      <w:marTop w:val="0"/>
      <w:marBottom w:val="0"/>
      <w:divBdr>
        <w:top w:val="none" w:sz="0" w:space="0" w:color="auto"/>
        <w:left w:val="none" w:sz="0" w:space="0" w:color="auto"/>
        <w:bottom w:val="none" w:sz="0" w:space="0" w:color="auto"/>
        <w:right w:val="none" w:sz="0" w:space="0" w:color="auto"/>
      </w:divBdr>
    </w:div>
    <w:div w:id="506793041">
      <w:marLeft w:val="0"/>
      <w:marRight w:val="0"/>
      <w:marTop w:val="0"/>
      <w:marBottom w:val="0"/>
      <w:divBdr>
        <w:top w:val="none" w:sz="0" w:space="0" w:color="auto"/>
        <w:left w:val="none" w:sz="0" w:space="0" w:color="auto"/>
        <w:bottom w:val="none" w:sz="0" w:space="0" w:color="auto"/>
        <w:right w:val="none" w:sz="0" w:space="0" w:color="auto"/>
      </w:divBdr>
    </w:div>
    <w:div w:id="506793042">
      <w:marLeft w:val="0"/>
      <w:marRight w:val="0"/>
      <w:marTop w:val="0"/>
      <w:marBottom w:val="0"/>
      <w:divBdr>
        <w:top w:val="none" w:sz="0" w:space="0" w:color="auto"/>
        <w:left w:val="none" w:sz="0" w:space="0" w:color="auto"/>
        <w:bottom w:val="none" w:sz="0" w:space="0" w:color="auto"/>
        <w:right w:val="none" w:sz="0" w:space="0" w:color="auto"/>
      </w:divBdr>
    </w:div>
    <w:div w:id="506793043">
      <w:marLeft w:val="0"/>
      <w:marRight w:val="0"/>
      <w:marTop w:val="0"/>
      <w:marBottom w:val="0"/>
      <w:divBdr>
        <w:top w:val="none" w:sz="0" w:space="0" w:color="auto"/>
        <w:left w:val="none" w:sz="0" w:space="0" w:color="auto"/>
        <w:bottom w:val="none" w:sz="0" w:space="0" w:color="auto"/>
        <w:right w:val="none" w:sz="0" w:space="0" w:color="auto"/>
      </w:divBdr>
    </w:div>
    <w:div w:id="506793044">
      <w:marLeft w:val="0"/>
      <w:marRight w:val="0"/>
      <w:marTop w:val="0"/>
      <w:marBottom w:val="0"/>
      <w:divBdr>
        <w:top w:val="none" w:sz="0" w:space="0" w:color="auto"/>
        <w:left w:val="none" w:sz="0" w:space="0" w:color="auto"/>
        <w:bottom w:val="none" w:sz="0" w:space="0" w:color="auto"/>
        <w:right w:val="none" w:sz="0" w:space="0" w:color="auto"/>
      </w:divBdr>
    </w:div>
    <w:div w:id="506793045">
      <w:marLeft w:val="0"/>
      <w:marRight w:val="0"/>
      <w:marTop w:val="0"/>
      <w:marBottom w:val="0"/>
      <w:divBdr>
        <w:top w:val="none" w:sz="0" w:space="0" w:color="auto"/>
        <w:left w:val="none" w:sz="0" w:space="0" w:color="auto"/>
        <w:bottom w:val="none" w:sz="0" w:space="0" w:color="auto"/>
        <w:right w:val="none" w:sz="0" w:space="0" w:color="auto"/>
      </w:divBdr>
    </w:div>
    <w:div w:id="506793046">
      <w:marLeft w:val="0"/>
      <w:marRight w:val="0"/>
      <w:marTop w:val="0"/>
      <w:marBottom w:val="0"/>
      <w:divBdr>
        <w:top w:val="none" w:sz="0" w:space="0" w:color="auto"/>
        <w:left w:val="none" w:sz="0" w:space="0" w:color="auto"/>
        <w:bottom w:val="none" w:sz="0" w:space="0" w:color="auto"/>
        <w:right w:val="none" w:sz="0" w:space="0" w:color="auto"/>
      </w:divBdr>
    </w:div>
    <w:div w:id="506793047">
      <w:marLeft w:val="0"/>
      <w:marRight w:val="0"/>
      <w:marTop w:val="0"/>
      <w:marBottom w:val="0"/>
      <w:divBdr>
        <w:top w:val="none" w:sz="0" w:space="0" w:color="auto"/>
        <w:left w:val="none" w:sz="0" w:space="0" w:color="auto"/>
        <w:bottom w:val="none" w:sz="0" w:space="0" w:color="auto"/>
        <w:right w:val="none" w:sz="0" w:space="0" w:color="auto"/>
      </w:divBdr>
    </w:div>
    <w:div w:id="506793048">
      <w:marLeft w:val="0"/>
      <w:marRight w:val="0"/>
      <w:marTop w:val="0"/>
      <w:marBottom w:val="0"/>
      <w:divBdr>
        <w:top w:val="none" w:sz="0" w:space="0" w:color="auto"/>
        <w:left w:val="none" w:sz="0" w:space="0" w:color="auto"/>
        <w:bottom w:val="none" w:sz="0" w:space="0" w:color="auto"/>
        <w:right w:val="none" w:sz="0" w:space="0" w:color="auto"/>
      </w:divBdr>
    </w:div>
    <w:div w:id="506793049">
      <w:marLeft w:val="0"/>
      <w:marRight w:val="0"/>
      <w:marTop w:val="0"/>
      <w:marBottom w:val="0"/>
      <w:divBdr>
        <w:top w:val="none" w:sz="0" w:space="0" w:color="auto"/>
        <w:left w:val="none" w:sz="0" w:space="0" w:color="auto"/>
        <w:bottom w:val="none" w:sz="0" w:space="0" w:color="auto"/>
        <w:right w:val="none" w:sz="0" w:space="0" w:color="auto"/>
      </w:divBdr>
    </w:div>
    <w:div w:id="506793050">
      <w:marLeft w:val="0"/>
      <w:marRight w:val="0"/>
      <w:marTop w:val="0"/>
      <w:marBottom w:val="0"/>
      <w:divBdr>
        <w:top w:val="none" w:sz="0" w:space="0" w:color="auto"/>
        <w:left w:val="none" w:sz="0" w:space="0" w:color="auto"/>
        <w:bottom w:val="none" w:sz="0" w:space="0" w:color="auto"/>
        <w:right w:val="none" w:sz="0" w:space="0" w:color="auto"/>
      </w:divBdr>
    </w:div>
    <w:div w:id="506793051">
      <w:marLeft w:val="0"/>
      <w:marRight w:val="0"/>
      <w:marTop w:val="0"/>
      <w:marBottom w:val="0"/>
      <w:divBdr>
        <w:top w:val="none" w:sz="0" w:space="0" w:color="auto"/>
        <w:left w:val="none" w:sz="0" w:space="0" w:color="auto"/>
        <w:bottom w:val="none" w:sz="0" w:space="0" w:color="auto"/>
        <w:right w:val="none" w:sz="0" w:space="0" w:color="auto"/>
      </w:divBdr>
    </w:div>
    <w:div w:id="506793052">
      <w:marLeft w:val="0"/>
      <w:marRight w:val="0"/>
      <w:marTop w:val="0"/>
      <w:marBottom w:val="0"/>
      <w:divBdr>
        <w:top w:val="none" w:sz="0" w:space="0" w:color="auto"/>
        <w:left w:val="none" w:sz="0" w:space="0" w:color="auto"/>
        <w:bottom w:val="none" w:sz="0" w:space="0" w:color="auto"/>
        <w:right w:val="none" w:sz="0" w:space="0" w:color="auto"/>
      </w:divBdr>
    </w:div>
    <w:div w:id="506793053">
      <w:marLeft w:val="0"/>
      <w:marRight w:val="0"/>
      <w:marTop w:val="0"/>
      <w:marBottom w:val="0"/>
      <w:divBdr>
        <w:top w:val="none" w:sz="0" w:space="0" w:color="auto"/>
        <w:left w:val="none" w:sz="0" w:space="0" w:color="auto"/>
        <w:bottom w:val="none" w:sz="0" w:space="0" w:color="auto"/>
        <w:right w:val="none" w:sz="0" w:space="0" w:color="auto"/>
      </w:divBdr>
    </w:div>
    <w:div w:id="506793054">
      <w:marLeft w:val="0"/>
      <w:marRight w:val="0"/>
      <w:marTop w:val="0"/>
      <w:marBottom w:val="0"/>
      <w:divBdr>
        <w:top w:val="none" w:sz="0" w:space="0" w:color="auto"/>
        <w:left w:val="none" w:sz="0" w:space="0" w:color="auto"/>
        <w:bottom w:val="none" w:sz="0" w:space="0" w:color="auto"/>
        <w:right w:val="none" w:sz="0" w:space="0" w:color="auto"/>
      </w:divBdr>
    </w:div>
    <w:div w:id="506793055">
      <w:marLeft w:val="0"/>
      <w:marRight w:val="0"/>
      <w:marTop w:val="0"/>
      <w:marBottom w:val="0"/>
      <w:divBdr>
        <w:top w:val="none" w:sz="0" w:space="0" w:color="auto"/>
        <w:left w:val="none" w:sz="0" w:space="0" w:color="auto"/>
        <w:bottom w:val="none" w:sz="0" w:space="0" w:color="auto"/>
        <w:right w:val="none" w:sz="0" w:space="0" w:color="auto"/>
      </w:divBdr>
    </w:div>
    <w:div w:id="506793056">
      <w:marLeft w:val="0"/>
      <w:marRight w:val="0"/>
      <w:marTop w:val="0"/>
      <w:marBottom w:val="0"/>
      <w:divBdr>
        <w:top w:val="none" w:sz="0" w:space="0" w:color="auto"/>
        <w:left w:val="none" w:sz="0" w:space="0" w:color="auto"/>
        <w:bottom w:val="none" w:sz="0" w:space="0" w:color="auto"/>
        <w:right w:val="none" w:sz="0" w:space="0" w:color="auto"/>
      </w:divBdr>
    </w:div>
    <w:div w:id="506793057">
      <w:marLeft w:val="0"/>
      <w:marRight w:val="0"/>
      <w:marTop w:val="0"/>
      <w:marBottom w:val="0"/>
      <w:divBdr>
        <w:top w:val="none" w:sz="0" w:space="0" w:color="auto"/>
        <w:left w:val="none" w:sz="0" w:space="0" w:color="auto"/>
        <w:bottom w:val="none" w:sz="0" w:space="0" w:color="auto"/>
        <w:right w:val="none" w:sz="0" w:space="0" w:color="auto"/>
      </w:divBdr>
    </w:div>
    <w:div w:id="506793058">
      <w:marLeft w:val="0"/>
      <w:marRight w:val="0"/>
      <w:marTop w:val="0"/>
      <w:marBottom w:val="0"/>
      <w:divBdr>
        <w:top w:val="none" w:sz="0" w:space="0" w:color="auto"/>
        <w:left w:val="none" w:sz="0" w:space="0" w:color="auto"/>
        <w:bottom w:val="none" w:sz="0" w:space="0" w:color="auto"/>
        <w:right w:val="none" w:sz="0" w:space="0" w:color="auto"/>
      </w:divBdr>
    </w:div>
    <w:div w:id="506793059">
      <w:marLeft w:val="0"/>
      <w:marRight w:val="0"/>
      <w:marTop w:val="0"/>
      <w:marBottom w:val="0"/>
      <w:divBdr>
        <w:top w:val="none" w:sz="0" w:space="0" w:color="auto"/>
        <w:left w:val="none" w:sz="0" w:space="0" w:color="auto"/>
        <w:bottom w:val="none" w:sz="0" w:space="0" w:color="auto"/>
        <w:right w:val="none" w:sz="0" w:space="0" w:color="auto"/>
      </w:divBdr>
    </w:div>
    <w:div w:id="506793060">
      <w:marLeft w:val="0"/>
      <w:marRight w:val="0"/>
      <w:marTop w:val="0"/>
      <w:marBottom w:val="0"/>
      <w:divBdr>
        <w:top w:val="none" w:sz="0" w:space="0" w:color="auto"/>
        <w:left w:val="none" w:sz="0" w:space="0" w:color="auto"/>
        <w:bottom w:val="none" w:sz="0" w:space="0" w:color="auto"/>
        <w:right w:val="none" w:sz="0" w:space="0" w:color="auto"/>
      </w:divBdr>
    </w:div>
    <w:div w:id="506793061">
      <w:marLeft w:val="0"/>
      <w:marRight w:val="0"/>
      <w:marTop w:val="0"/>
      <w:marBottom w:val="0"/>
      <w:divBdr>
        <w:top w:val="none" w:sz="0" w:space="0" w:color="auto"/>
        <w:left w:val="none" w:sz="0" w:space="0" w:color="auto"/>
        <w:bottom w:val="none" w:sz="0" w:space="0" w:color="auto"/>
        <w:right w:val="none" w:sz="0" w:space="0" w:color="auto"/>
      </w:divBdr>
    </w:div>
    <w:div w:id="506793062">
      <w:marLeft w:val="0"/>
      <w:marRight w:val="0"/>
      <w:marTop w:val="0"/>
      <w:marBottom w:val="0"/>
      <w:divBdr>
        <w:top w:val="none" w:sz="0" w:space="0" w:color="auto"/>
        <w:left w:val="none" w:sz="0" w:space="0" w:color="auto"/>
        <w:bottom w:val="none" w:sz="0" w:space="0" w:color="auto"/>
        <w:right w:val="none" w:sz="0" w:space="0" w:color="auto"/>
      </w:divBdr>
    </w:div>
    <w:div w:id="506793063">
      <w:marLeft w:val="0"/>
      <w:marRight w:val="0"/>
      <w:marTop w:val="0"/>
      <w:marBottom w:val="0"/>
      <w:divBdr>
        <w:top w:val="none" w:sz="0" w:space="0" w:color="auto"/>
        <w:left w:val="none" w:sz="0" w:space="0" w:color="auto"/>
        <w:bottom w:val="none" w:sz="0" w:space="0" w:color="auto"/>
        <w:right w:val="none" w:sz="0" w:space="0" w:color="auto"/>
      </w:divBdr>
    </w:div>
    <w:div w:id="506793064">
      <w:marLeft w:val="0"/>
      <w:marRight w:val="0"/>
      <w:marTop w:val="0"/>
      <w:marBottom w:val="0"/>
      <w:divBdr>
        <w:top w:val="none" w:sz="0" w:space="0" w:color="auto"/>
        <w:left w:val="none" w:sz="0" w:space="0" w:color="auto"/>
        <w:bottom w:val="none" w:sz="0" w:space="0" w:color="auto"/>
        <w:right w:val="none" w:sz="0" w:space="0" w:color="auto"/>
      </w:divBdr>
    </w:div>
    <w:div w:id="506793065">
      <w:marLeft w:val="0"/>
      <w:marRight w:val="0"/>
      <w:marTop w:val="0"/>
      <w:marBottom w:val="0"/>
      <w:divBdr>
        <w:top w:val="none" w:sz="0" w:space="0" w:color="auto"/>
        <w:left w:val="none" w:sz="0" w:space="0" w:color="auto"/>
        <w:bottom w:val="none" w:sz="0" w:space="0" w:color="auto"/>
        <w:right w:val="none" w:sz="0" w:space="0" w:color="auto"/>
      </w:divBdr>
    </w:div>
    <w:div w:id="506793066">
      <w:marLeft w:val="0"/>
      <w:marRight w:val="0"/>
      <w:marTop w:val="0"/>
      <w:marBottom w:val="0"/>
      <w:divBdr>
        <w:top w:val="none" w:sz="0" w:space="0" w:color="auto"/>
        <w:left w:val="none" w:sz="0" w:space="0" w:color="auto"/>
        <w:bottom w:val="none" w:sz="0" w:space="0" w:color="auto"/>
        <w:right w:val="none" w:sz="0" w:space="0" w:color="auto"/>
      </w:divBdr>
    </w:div>
    <w:div w:id="506793067">
      <w:marLeft w:val="0"/>
      <w:marRight w:val="0"/>
      <w:marTop w:val="0"/>
      <w:marBottom w:val="0"/>
      <w:divBdr>
        <w:top w:val="none" w:sz="0" w:space="0" w:color="auto"/>
        <w:left w:val="none" w:sz="0" w:space="0" w:color="auto"/>
        <w:bottom w:val="none" w:sz="0" w:space="0" w:color="auto"/>
        <w:right w:val="none" w:sz="0" w:space="0" w:color="auto"/>
      </w:divBdr>
    </w:div>
    <w:div w:id="506793068">
      <w:marLeft w:val="0"/>
      <w:marRight w:val="0"/>
      <w:marTop w:val="0"/>
      <w:marBottom w:val="0"/>
      <w:divBdr>
        <w:top w:val="none" w:sz="0" w:space="0" w:color="auto"/>
        <w:left w:val="none" w:sz="0" w:space="0" w:color="auto"/>
        <w:bottom w:val="none" w:sz="0" w:space="0" w:color="auto"/>
        <w:right w:val="none" w:sz="0" w:space="0" w:color="auto"/>
      </w:divBdr>
    </w:div>
    <w:div w:id="506793069">
      <w:marLeft w:val="0"/>
      <w:marRight w:val="0"/>
      <w:marTop w:val="0"/>
      <w:marBottom w:val="0"/>
      <w:divBdr>
        <w:top w:val="none" w:sz="0" w:space="0" w:color="auto"/>
        <w:left w:val="none" w:sz="0" w:space="0" w:color="auto"/>
        <w:bottom w:val="none" w:sz="0" w:space="0" w:color="auto"/>
        <w:right w:val="none" w:sz="0" w:space="0" w:color="auto"/>
      </w:divBdr>
    </w:div>
    <w:div w:id="506793070">
      <w:marLeft w:val="0"/>
      <w:marRight w:val="0"/>
      <w:marTop w:val="0"/>
      <w:marBottom w:val="0"/>
      <w:divBdr>
        <w:top w:val="none" w:sz="0" w:space="0" w:color="auto"/>
        <w:left w:val="none" w:sz="0" w:space="0" w:color="auto"/>
        <w:bottom w:val="none" w:sz="0" w:space="0" w:color="auto"/>
        <w:right w:val="none" w:sz="0" w:space="0" w:color="auto"/>
      </w:divBdr>
    </w:div>
    <w:div w:id="506793071">
      <w:marLeft w:val="0"/>
      <w:marRight w:val="0"/>
      <w:marTop w:val="0"/>
      <w:marBottom w:val="0"/>
      <w:divBdr>
        <w:top w:val="none" w:sz="0" w:space="0" w:color="auto"/>
        <w:left w:val="none" w:sz="0" w:space="0" w:color="auto"/>
        <w:bottom w:val="none" w:sz="0" w:space="0" w:color="auto"/>
        <w:right w:val="none" w:sz="0" w:space="0" w:color="auto"/>
      </w:divBdr>
    </w:div>
    <w:div w:id="506793072">
      <w:marLeft w:val="0"/>
      <w:marRight w:val="0"/>
      <w:marTop w:val="0"/>
      <w:marBottom w:val="0"/>
      <w:divBdr>
        <w:top w:val="none" w:sz="0" w:space="0" w:color="auto"/>
        <w:left w:val="none" w:sz="0" w:space="0" w:color="auto"/>
        <w:bottom w:val="none" w:sz="0" w:space="0" w:color="auto"/>
        <w:right w:val="none" w:sz="0" w:space="0" w:color="auto"/>
      </w:divBdr>
    </w:div>
    <w:div w:id="506793073">
      <w:marLeft w:val="0"/>
      <w:marRight w:val="0"/>
      <w:marTop w:val="0"/>
      <w:marBottom w:val="0"/>
      <w:divBdr>
        <w:top w:val="none" w:sz="0" w:space="0" w:color="auto"/>
        <w:left w:val="none" w:sz="0" w:space="0" w:color="auto"/>
        <w:bottom w:val="none" w:sz="0" w:space="0" w:color="auto"/>
        <w:right w:val="none" w:sz="0" w:space="0" w:color="auto"/>
      </w:divBdr>
    </w:div>
    <w:div w:id="506793074">
      <w:marLeft w:val="0"/>
      <w:marRight w:val="0"/>
      <w:marTop w:val="0"/>
      <w:marBottom w:val="0"/>
      <w:divBdr>
        <w:top w:val="none" w:sz="0" w:space="0" w:color="auto"/>
        <w:left w:val="none" w:sz="0" w:space="0" w:color="auto"/>
        <w:bottom w:val="none" w:sz="0" w:space="0" w:color="auto"/>
        <w:right w:val="none" w:sz="0" w:space="0" w:color="auto"/>
      </w:divBdr>
    </w:div>
    <w:div w:id="506793075">
      <w:marLeft w:val="0"/>
      <w:marRight w:val="0"/>
      <w:marTop w:val="0"/>
      <w:marBottom w:val="0"/>
      <w:divBdr>
        <w:top w:val="none" w:sz="0" w:space="0" w:color="auto"/>
        <w:left w:val="none" w:sz="0" w:space="0" w:color="auto"/>
        <w:bottom w:val="none" w:sz="0" w:space="0" w:color="auto"/>
        <w:right w:val="none" w:sz="0" w:space="0" w:color="auto"/>
      </w:divBdr>
    </w:div>
    <w:div w:id="506793076">
      <w:marLeft w:val="0"/>
      <w:marRight w:val="0"/>
      <w:marTop w:val="0"/>
      <w:marBottom w:val="0"/>
      <w:divBdr>
        <w:top w:val="none" w:sz="0" w:space="0" w:color="auto"/>
        <w:left w:val="none" w:sz="0" w:space="0" w:color="auto"/>
        <w:bottom w:val="none" w:sz="0" w:space="0" w:color="auto"/>
        <w:right w:val="none" w:sz="0" w:space="0" w:color="auto"/>
      </w:divBdr>
    </w:div>
    <w:div w:id="626468741">
      <w:bodyDiv w:val="1"/>
      <w:marLeft w:val="0"/>
      <w:marRight w:val="0"/>
      <w:marTop w:val="0"/>
      <w:marBottom w:val="0"/>
      <w:divBdr>
        <w:top w:val="none" w:sz="0" w:space="0" w:color="auto"/>
        <w:left w:val="none" w:sz="0" w:space="0" w:color="auto"/>
        <w:bottom w:val="none" w:sz="0" w:space="0" w:color="auto"/>
        <w:right w:val="none" w:sz="0" w:space="0" w:color="auto"/>
      </w:divBdr>
    </w:div>
    <w:div w:id="633490816">
      <w:bodyDiv w:val="1"/>
      <w:marLeft w:val="0"/>
      <w:marRight w:val="0"/>
      <w:marTop w:val="0"/>
      <w:marBottom w:val="0"/>
      <w:divBdr>
        <w:top w:val="none" w:sz="0" w:space="0" w:color="auto"/>
        <w:left w:val="none" w:sz="0" w:space="0" w:color="auto"/>
        <w:bottom w:val="none" w:sz="0" w:space="0" w:color="auto"/>
        <w:right w:val="none" w:sz="0" w:space="0" w:color="auto"/>
      </w:divBdr>
    </w:div>
    <w:div w:id="654145391">
      <w:bodyDiv w:val="1"/>
      <w:marLeft w:val="0"/>
      <w:marRight w:val="0"/>
      <w:marTop w:val="0"/>
      <w:marBottom w:val="0"/>
      <w:divBdr>
        <w:top w:val="none" w:sz="0" w:space="0" w:color="auto"/>
        <w:left w:val="none" w:sz="0" w:space="0" w:color="auto"/>
        <w:bottom w:val="none" w:sz="0" w:space="0" w:color="auto"/>
        <w:right w:val="none" w:sz="0" w:space="0" w:color="auto"/>
      </w:divBdr>
    </w:div>
    <w:div w:id="669138984">
      <w:bodyDiv w:val="1"/>
      <w:marLeft w:val="0"/>
      <w:marRight w:val="0"/>
      <w:marTop w:val="0"/>
      <w:marBottom w:val="0"/>
      <w:divBdr>
        <w:top w:val="none" w:sz="0" w:space="0" w:color="auto"/>
        <w:left w:val="none" w:sz="0" w:space="0" w:color="auto"/>
        <w:bottom w:val="none" w:sz="0" w:space="0" w:color="auto"/>
        <w:right w:val="none" w:sz="0" w:space="0" w:color="auto"/>
      </w:divBdr>
    </w:div>
    <w:div w:id="691029564">
      <w:bodyDiv w:val="1"/>
      <w:marLeft w:val="0"/>
      <w:marRight w:val="0"/>
      <w:marTop w:val="0"/>
      <w:marBottom w:val="0"/>
      <w:divBdr>
        <w:top w:val="none" w:sz="0" w:space="0" w:color="auto"/>
        <w:left w:val="none" w:sz="0" w:space="0" w:color="auto"/>
        <w:bottom w:val="none" w:sz="0" w:space="0" w:color="auto"/>
        <w:right w:val="none" w:sz="0" w:space="0" w:color="auto"/>
      </w:divBdr>
      <w:divsChild>
        <w:div w:id="1186482449">
          <w:marLeft w:val="480"/>
          <w:marRight w:val="0"/>
          <w:marTop w:val="0"/>
          <w:marBottom w:val="0"/>
          <w:divBdr>
            <w:top w:val="none" w:sz="0" w:space="0" w:color="auto"/>
            <w:left w:val="none" w:sz="0" w:space="0" w:color="auto"/>
            <w:bottom w:val="none" w:sz="0" w:space="0" w:color="auto"/>
            <w:right w:val="none" w:sz="0" w:space="0" w:color="auto"/>
          </w:divBdr>
        </w:div>
        <w:div w:id="486557214">
          <w:marLeft w:val="480"/>
          <w:marRight w:val="0"/>
          <w:marTop w:val="0"/>
          <w:marBottom w:val="0"/>
          <w:divBdr>
            <w:top w:val="none" w:sz="0" w:space="0" w:color="auto"/>
            <w:left w:val="none" w:sz="0" w:space="0" w:color="auto"/>
            <w:bottom w:val="none" w:sz="0" w:space="0" w:color="auto"/>
            <w:right w:val="none" w:sz="0" w:space="0" w:color="auto"/>
          </w:divBdr>
        </w:div>
        <w:div w:id="2045864578">
          <w:marLeft w:val="480"/>
          <w:marRight w:val="0"/>
          <w:marTop w:val="0"/>
          <w:marBottom w:val="0"/>
          <w:divBdr>
            <w:top w:val="none" w:sz="0" w:space="0" w:color="auto"/>
            <w:left w:val="none" w:sz="0" w:space="0" w:color="auto"/>
            <w:bottom w:val="none" w:sz="0" w:space="0" w:color="auto"/>
            <w:right w:val="none" w:sz="0" w:space="0" w:color="auto"/>
          </w:divBdr>
        </w:div>
        <w:div w:id="836387570">
          <w:marLeft w:val="480"/>
          <w:marRight w:val="0"/>
          <w:marTop w:val="0"/>
          <w:marBottom w:val="0"/>
          <w:divBdr>
            <w:top w:val="none" w:sz="0" w:space="0" w:color="auto"/>
            <w:left w:val="none" w:sz="0" w:space="0" w:color="auto"/>
            <w:bottom w:val="none" w:sz="0" w:space="0" w:color="auto"/>
            <w:right w:val="none" w:sz="0" w:space="0" w:color="auto"/>
          </w:divBdr>
        </w:div>
        <w:div w:id="1734159843">
          <w:marLeft w:val="480"/>
          <w:marRight w:val="0"/>
          <w:marTop w:val="0"/>
          <w:marBottom w:val="0"/>
          <w:divBdr>
            <w:top w:val="none" w:sz="0" w:space="0" w:color="auto"/>
            <w:left w:val="none" w:sz="0" w:space="0" w:color="auto"/>
            <w:bottom w:val="none" w:sz="0" w:space="0" w:color="auto"/>
            <w:right w:val="none" w:sz="0" w:space="0" w:color="auto"/>
          </w:divBdr>
        </w:div>
        <w:div w:id="1907564792">
          <w:marLeft w:val="480"/>
          <w:marRight w:val="0"/>
          <w:marTop w:val="0"/>
          <w:marBottom w:val="0"/>
          <w:divBdr>
            <w:top w:val="none" w:sz="0" w:space="0" w:color="auto"/>
            <w:left w:val="none" w:sz="0" w:space="0" w:color="auto"/>
            <w:bottom w:val="none" w:sz="0" w:space="0" w:color="auto"/>
            <w:right w:val="none" w:sz="0" w:space="0" w:color="auto"/>
          </w:divBdr>
        </w:div>
        <w:div w:id="1227105663">
          <w:marLeft w:val="480"/>
          <w:marRight w:val="0"/>
          <w:marTop w:val="0"/>
          <w:marBottom w:val="0"/>
          <w:divBdr>
            <w:top w:val="none" w:sz="0" w:space="0" w:color="auto"/>
            <w:left w:val="none" w:sz="0" w:space="0" w:color="auto"/>
            <w:bottom w:val="none" w:sz="0" w:space="0" w:color="auto"/>
            <w:right w:val="none" w:sz="0" w:space="0" w:color="auto"/>
          </w:divBdr>
        </w:div>
        <w:div w:id="220949084">
          <w:marLeft w:val="480"/>
          <w:marRight w:val="0"/>
          <w:marTop w:val="0"/>
          <w:marBottom w:val="0"/>
          <w:divBdr>
            <w:top w:val="none" w:sz="0" w:space="0" w:color="auto"/>
            <w:left w:val="none" w:sz="0" w:space="0" w:color="auto"/>
            <w:bottom w:val="none" w:sz="0" w:space="0" w:color="auto"/>
            <w:right w:val="none" w:sz="0" w:space="0" w:color="auto"/>
          </w:divBdr>
        </w:div>
        <w:div w:id="1928810703">
          <w:marLeft w:val="480"/>
          <w:marRight w:val="0"/>
          <w:marTop w:val="0"/>
          <w:marBottom w:val="0"/>
          <w:divBdr>
            <w:top w:val="none" w:sz="0" w:space="0" w:color="auto"/>
            <w:left w:val="none" w:sz="0" w:space="0" w:color="auto"/>
            <w:bottom w:val="none" w:sz="0" w:space="0" w:color="auto"/>
            <w:right w:val="none" w:sz="0" w:space="0" w:color="auto"/>
          </w:divBdr>
        </w:div>
        <w:div w:id="899096141">
          <w:marLeft w:val="480"/>
          <w:marRight w:val="0"/>
          <w:marTop w:val="0"/>
          <w:marBottom w:val="0"/>
          <w:divBdr>
            <w:top w:val="none" w:sz="0" w:space="0" w:color="auto"/>
            <w:left w:val="none" w:sz="0" w:space="0" w:color="auto"/>
            <w:bottom w:val="none" w:sz="0" w:space="0" w:color="auto"/>
            <w:right w:val="none" w:sz="0" w:space="0" w:color="auto"/>
          </w:divBdr>
        </w:div>
        <w:div w:id="2123107441">
          <w:marLeft w:val="480"/>
          <w:marRight w:val="0"/>
          <w:marTop w:val="0"/>
          <w:marBottom w:val="0"/>
          <w:divBdr>
            <w:top w:val="none" w:sz="0" w:space="0" w:color="auto"/>
            <w:left w:val="none" w:sz="0" w:space="0" w:color="auto"/>
            <w:bottom w:val="none" w:sz="0" w:space="0" w:color="auto"/>
            <w:right w:val="none" w:sz="0" w:space="0" w:color="auto"/>
          </w:divBdr>
        </w:div>
        <w:div w:id="1718355612">
          <w:marLeft w:val="480"/>
          <w:marRight w:val="0"/>
          <w:marTop w:val="0"/>
          <w:marBottom w:val="0"/>
          <w:divBdr>
            <w:top w:val="none" w:sz="0" w:space="0" w:color="auto"/>
            <w:left w:val="none" w:sz="0" w:space="0" w:color="auto"/>
            <w:bottom w:val="none" w:sz="0" w:space="0" w:color="auto"/>
            <w:right w:val="none" w:sz="0" w:space="0" w:color="auto"/>
          </w:divBdr>
        </w:div>
        <w:div w:id="376323180">
          <w:marLeft w:val="480"/>
          <w:marRight w:val="0"/>
          <w:marTop w:val="0"/>
          <w:marBottom w:val="0"/>
          <w:divBdr>
            <w:top w:val="none" w:sz="0" w:space="0" w:color="auto"/>
            <w:left w:val="none" w:sz="0" w:space="0" w:color="auto"/>
            <w:bottom w:val="none" w:sz="0" w:space="0" w:color="auto"/>
            <w:right w:val="none" w:sz="0" w:space="0" w:color="auto"/>
          </w:divBdr>
        </w:div>
        <w:div w:id="232737423">
          <w:marLeft w:val="480"/>
          <w:marRight w:val="0"/>
          <w:marTop w:val="0"/>
          <w:marBottom w:val="0"/>
          <w:divBdr>
            <w:top w:val="none" w:sz="0" w:space="0" w:color="auto"/>
            <w:left w:val="none" w:sz="0" w:space="0" w:color="auto"/>
            <w:bottom w:val="none" w:sz="0" w:space="0" w:color="auto"/>
            <w:right w:val="none" w:sz="0" w:space="0" w:color="auto"/>
          </w:divBdr>
        </w:div>
        <w:div w:id="1724055939">
          <w:marLeft w:val="480"/>
          <w:marRight w:val="0"/>
          <w:marTop w:val="0"/>
          <w:marBottom w:val="0"/>
          <w:divBdr>
            <w:top w:val="none" w:sz="0" w:space="0" w:color="auto"/>
            <w:left w:val="none" w:sz="0" w:space="0" w:color="auto"/>
            <w:bottom w:val="none" w:sz="0" w:space="0" w:color="auto"/>
            <w:right w:val="none" w:sz="0" w:space="0" w:color="auto"/>
          </w:divBdr>
        </w:div>
        <w:div w:id="201792826">
          <w:marLeft w:val="480"/>
          <w:marRight w:val="0"/>
          <w:marTop w:val="0"/>
          <w:marBottom w:val="0"/>
          <w:divBdr>
            <w:top w:val="none" w:sz="0" w:space="0" w:color="auto"/>
            <w:left w:val="none" w:sz="0" w:space="0" w:color="auto"/>
            <w:bottom w:val="none" w:sz="0" w:space="0" w:color="auto"/>
            <w:right w:val="none" w:sz="0" w:space="0" w:color="auto"/>
          </w:divBdr>
        </w:div>
        <w:div w:id="1462377608">
          <w:marLeft w:val="480"/>
          <w:marRight w:val="0"/>
          <w:marTop w:val="0"/>
          <w:marBottom w:val="0"/>
          <w:divBdr>
            <w:top w:val="none" w:sz="0" w:space="0" w:color="auto"/>
            <w:left w:val="none" w:sz="0" w:space="0" w:color="auto"/>
            <w:bottom w:val="none" w:sz="0" w:space="0" w:color="auto"/>
            <w:right w:val="none" w:sz="0" w:space="0" w:color="auto"/>
          </w:divBdr>
        </w:div>
        <w:div w:id="199362180">
          <w:marLeft w:val="480"/>
          <w:marRight w:val="0"/>
          <w:marTop w:val="0"/>
          <w:marBottom w:val="0"/>
          <w:divBdr>
            <w:top w:val="none" w:sz="0" w:space="0" w:color="auto"/>
            <w:left w:val="none" w:sz="0" w:space="0" w:color="auto"/>
            <w:bottom w:val="none" w:sz="0" w:space="0" w:color="auto"/>
            <w:right w:val="none" w:sz="0" w:space="0" w:color="auto"/>
          </w:divBdr>
        </w:div>
        <w:div w:id="283582781">
          <w:marLeft w:val="480"/>
          <w:marRight w:val="0"/>
          <w:marTop w:val="0"/>
          <w:marBottom w:val="0"/>
          <w:divBdr>
            <w:top w:val="none" w:sz="0" w:space="0" w:color="auto"/>
            <w:left w:val="none" w:sz="0" w:space="0" w:color="auto"/>
            <w:bottom w:val="none" w:sz="0" w:space="0" w:color="auto"/>
            <w:right w:val="none" w:sz="0" w:space="0" w:color="auto"/>
          </w:divBdr>
        </w:div>
        <w:div w:id="702443033">
          <w:marLeft w:val="480"/>
          <w:marRight w:val="0"/>
          <w:marTop w:val="0"/>
          <w:marBottom w:val="0"/>
          <w:divBdr>
            <w:top w:val="none" w:sz="0" w:space="0" w:color="auto"/>
            <w:left w:val="none" w:sz="0" w:space="0" w:color="auto"/>
            <w:bottom w:val="none" w:sz="0" w:space="0" w:color="auto"/>
            <w:right w:val="none" w:sz="0" w:space="0" w:color="auto"/>
          </w:divBdr>
        </w:div>
        <w:div w:id="1279600773">
          <w:marLeft w:val="480"/>
          <w:marRight w:val="0"/>
          <w:marTop w:val="0"/>
          <w:marBottom w:val="0"/>
          <w:divBdr>
            <w:top w:val="none" w:sz="0" w:space="0" w:color="auto"/>
            <w:left w:val="none" w:sz="0" w:space="0" w:color="auto"/>
            <w:bottom w:val="none" w:sz="0" w:space="0" w:color="auto"/>
            <w:right w:val="none" w:sz="0" w:space="0" w:color="auto"/>
          </w:divBdr>
        </w:div>
        <w:div w:id="329917041">
          <w:marLeft w:val="480"/>
          <w:marRight w:val="0"/>
          <w:marTop w:val="0"/>
          <w:marBottom w:val="0"/>
          <w:divBdr>
            <w:top w:val="none" w:sz="0" w:space="0" w:color="auto"/>
            <w:left w:val="none" w:sz="0" w:space="0" w:color="auto"/>
            <w:bottom w:val="none" w:sz="0" w:space="0" w:color="auto"/>
            <w:right w:val="none" w:sz="0" w:space="0" w:color="auto"/>
          </w:divBdr>
        </w:div>
        <w:div w:id="1753045696">
          <w:marLeft w:val="480"/>
          <w:marRight w:val="0"/>
          <w:marTop w:val="0"/>
          <w:marBottom w:val="0"/>
          <w:divBdr>
            <w:top w:val="none" w:sz="0" w:space="0" w:color="auto"/>
            <w:left w:val="none" w:sz="0" w:space="0" w:color="auto"/>
            <w:bottom w:val="none" w:sz="0" w:space="0" w:color="auto"/>
            <w:right w:val="none" w:sz="0" w:space="0" w:color="auto"/>
          </w:divBdr>
        </w:div>
        <w:div w:id="626009750">
          <w:marLeft w:val="480"/>
          <w:marRight w:val="0"/>
          <w:marTop w:val="0"/>
          <w:marBottom w:val="0"/>
          <w:divBdr>
            <w:top w:val="none" w:sz="0" w:space="0" w:color="auto"/>
            <w:left w:val="none" w:sz="0" w:space="0" w:color="auto"/>
            <w:bottom w:val="none" w:sz="0" w:space="0" w:color="auto"/>
            <w:right w:val="none" w:sz="0" w:space="0" w:color="auto"/>
          </w:divBdr>
        </w:div>
        <w:div w:id="1296831393">
          <w:marLeft w:val="480"/>
          <w:marRight w:val="0"/>
          <w:marTop w:val="0"/>
          <w:marBottom w:val="0"/>
          <w:divBdr>
            <w:top w:val="none" w:sz="0" w:space="0" w:color="auto"/>
            <w:left w:val="none" w:sz="0" w:space="0" w:color="auto"/>
            <w:bottom w:val="none" w:sz="0" w:space="0" w:color="auto"/>
            <w:right w:val="none" w:sz="0" w:space="0" w:color="auto"/>
          </w:divBdr>
        </w:div>
        <w:div w:id="111555228">
          <w:marLeft w:val="480"/>
          <w:marRight w:val="0"/>
          <w:marTop w:val="0"/>
          <w:marBottom w:val="0"/>
          <w:divBdr>
            <w:top w:val="none" w:sz="0" w:space="0" w:color="auto"/>
            <w:left w:val="none" w:sz="0" w:space="0" w:color="auto"/>
            <w:bottom w:val="none" w:sz="0" w:space="0" w:color="auto"/>
            <w:right w:val="none" w:sz="0" w:space="0" w:color="auto"/>
          </w:divBdr>
        </w:div>
        <w:div w:id="586579141">
          <w:marLeft w:val="480"/>
          <w:marRight w:val="0"/>
          <w:marTop w:val="0"/>
          <w:marBottom w:val="0"/>
          <w:divBdr>
            <w:top w:val="none" w:sz="0" w:space="0" w:color="auto"/>
            <w:left w:val="none" w:sz="0" w:space="0" w:color="auto"/>
            <w:bottom w:val="none" w:sz="0" w:space="0" w:color="auto"/>
            <w:right w:val="none" w:sz="0" w:space="0" w:color="auto"/>
          </w:divBdr>
        </w:div>
        <w:div w:id="1302687735">
          <w:marLeft w:val="480"/>
          <w:marRight w:val="0"/>
          <w:marTop w:val="0"/>
          <w:marBottom w:val="0"/>
          <w:divBdr>
            <w:top w:val="none" w:sz="0" w:space="0" w:color="auto"/>
            <w:left w:val="none" w:sz="0" w:space="0" w:color="auto"/>
            <w:bottom w:val="none" w:sz="0" w:space="0" w:color="auto"/>
            <w:right w:val="none" w:sz="0" w:space="0" w:color="auto"/>
          </w:divBdr>
        </w:div>
        <w:div w:id="31463695">
          <w:marLeft w:val="480"/>
          <w:marRight w:val="0"/>
          <w:marTop w:val="0"/>
          <w:marBottom w:val="0"/>
          <w:divBdr>
            <w:top w:val="none" w:sz="0" w:space="0" w:color="auto"/>
            <w:left w:val="none" w:sz="0" w:space="0" w:color="auto"/>
            <w:bottom w:val="none" w:sz="0" w:space="0" w:color="auto"/>
            <w:right w:val="none" w:sz="0" w:space="0" w:color="auto"/>
          </w:divBdr>
        </w:div>
        <w:div w:id="1828398549">
          <w:marLeft w:val="480"/>
          <w:marRight w:val="0"/>
          <w:marTop w:val="0"/>
          <w:marBottom w:val="0"/>
          <w:divBdr>
            <w:top w:val="none" w:sz="0" w:space="0" w:color="auto"/>
            <w:left w:val="none" w:sz="0" w:space="0" w:color="auto"/>
            <w:bottom w:val="none" w:sz="0" w:space="0" w:color="auto"/>
            <w:right w:val="none" w:sz="0" w:space="0" w:color="auto"/>
          </w:divBdr>
        </w:div>
        <w:div w:id="1593929609">
          <w:marLeft w:val="480"/>
          <w:marRight w:val="0"/>
          <w:marTop w:val="0"/>
          <w:marBottom w:val="0"/>
          <w:divBdr>
            <w:top w:val="none" w:sz="0" w:space="0" w:color="auto"/>
            <w:left w:val="none" w:sz="0" w:space="0" w:color="auto"/>
            <w:bottom w:val="none" w:sz="0" w:space="0" w:color="auto"/>
            <w:right w:val="none" w:sz="0" w:space="0" w:color="auto"/>
          </w:divBdr>
        </w:div>
        <w:div w:id="357858086">
          <w:marLeft w:val="480"/>
          <w:marRight w:val="0"/>
          <w:marTop w:val="0"/>
          <w:marBottom w:val="0"/>
          <w:divBdr>
            <w:top w:val="none" w:sz="0" w:space="0" w:color="auto"/>
            <w:left w:val="none" w:sz="0" w:space="0" w:color="auto"/>
            <w:bottom w:val="none" w:sz="0" w:space="0" w:color="auto"/>
            <w:right w:val="none" w:sz="0" w:space="0" w:color="auto"/>
          </w:divBdr>
        </w:div>
        <w:div w:id="32852682">
          <w:marLeft w:val="480"/>
          <w:marRight w:val="0"/>
          <w:marTop w:val="0"/>
          <w:marBottom w:val="0"/>
          <w:divBdr>
            <w:top w:val="none" w:sz="0" w:space="0" w:color="auto"/>
            <w:left w:val="none" w:sz="0" w:space="0" w:color="auto"/>
            <w:bottom w:val="none" w:sz="0" w:space="0" w:color="auto"/>
            <w:right w:val="none" w:sz="0" w:space="0" w:color="auto"/>
          </w:divBdr>
        </w:div>
        <w:div w:id="944268205">
          <w:marLeft w:val="480"/>
          <w:marRight w:val="0"/>
          <w:marTop w:val="0"/>
          <w:marBottom w:val="0"/>
          <w:divBdr>
            <w:top w:val="none" w:sz="0" w:space="0" w:color="auto"/>
            <w:left w:val="none" w:sz="0" w:space="0" w:color="auto"/>
            <w:bottom w:val="none" w:sz="0" w:space="0" w:color="auto"/>
            <w:right w:val="none" w:sz="0" w:space="0" w:color="auto"/>
          </w:divBdr>
        </w:div>
        <w:div w:id="2102414385">
          <w:marLeft w:val="480"/>
          <w:marRight w:val="0"/>
          <w:marTop w:val="0"/>
          <w:marBottom w:val="0"/>
          <w:divBdr>
            <w:top w:val="none" w:sz="0" w:space="0" w:color="auto"/>
            <w:left w:val="none" w:sz="0" w:space="0" w:color="auto"/>
            <w:bottom w:val="none" w:sz="0" w:space="0" w:color="auto"/>
            <w:right w:val="none" w:sz="0" w:space="0" w:color="auto"/>
          </w:divBdr>
        </w:div>
        <w:div w:id="242183023">
          <w:marLeft w:val="480"/>
          <w:marRight w:val="0"/>
          <w:marTop w:val="0"/>
          <w:marBottom w:val="0"/>
          <w:divBdr>
            <w:top w:val="none" w:sz="0" w:space="0" w:color="auto"/>
            <w:left w:val="none" w:sz="0" w:space="0" w:color="auto"/>
            <w:bottom w:val="none" w:sz="0" w:space="0" w:color="auto"/>
            <w:right w:val="none" w:sz="0" w:space="0" w:color="auto"/>
          </w:divBdr>
        </w:div>
        <w:div w:id="934171550">
          <w:marLeft w:val="480"/>
          <w:marRight w:val="0"/>
          <w:marTop w:val="0"/>
          <w:marBottom w:val="0"/>
          <w:divBdr>
            <w:top w:val="none" w:sz="0" w:space="0" w:color="auto"/>
            <w:left w:val="none" w:sz="0" w:space="0" w:color="auto"/>
            <w:bottom w:val="none" w:sz="0" w:space="0" w:color="auto"/>
            <w:right w:val="none" w:sz="0" w:space="0" w:color="auto"/>
          </w:divBdr>
        </w:div>
        <w:div w:id="2030829922">
          <w:marLeft w:val="480"/>
          <w:marRight w:val="0"/>
          <w:marTop w:val="0"/>
          <w:marBottom w:val="0"/>
          <w:divBdr>
            <w:top w:val="none" w:sz="0" w:space="0" w:color="auto"/>
            <w:left w:val="none" w:sz="0" w:space="0" w:color="auto"/>
            <w:bottom w:val="none" w:sz="0" w:space="0" w:color="auto"/>
            <w:right w:val="none" w:sz="0" w:space="0" w:color="auto"/>
          </w:divBdr>
        </w:div>
        <w:div w:id="378239611">
          <w:marLeft w:val="480"/>
          <w:marRight w:val="0"/>
          <w:marTop w:val="0"/>
          <w:marBottom w:val="0"/>
          <w:divBdr>
            <w:top w:val="none" w:sz="0" w:space="0" w:color="auto"/>
            <w:left w:val="none" w:sz="0" w:space="0" w:color="auto"/>
            <w:bottom w:val="none" w:sz="0" w:space="0" w:color="auto"/>
            <w:right w:val="none" w:sz="0" w:space="0" w:color="auto"/>
          </w:divBdr>
        </w:div>
        <w:div w:id="2111974898">
          <w:marLeft w:val="480"/>
          <w:marRight w:val="0"/>
          <w:marTop w:val="0"/>
          <w:marBottom w:val="0"/>
          <w:divBdr>
            <w:top w:val="none" w:sz="0" w:space="0" w:color="auto"/>
            <w:left w:val="none" w:sz="0" w:space="0" w:color="auto"/>
            <w:bottom w:val="none" w:sz="0" w:space="0" w:color="auto"/>
            <w:right w:val="none" w:sz="0" w:space="0" w:color="auto"/>
          </w:divBdr>
        </w:div>
      </w:divsChild>
    </w:div>
    <w:div w:id="738985568">
      <w:bodyDiv w:val="1"/>
      <w:marLeft w:val="0"/>
      <w:marRight w:val="0"/>
      <w:marTop w:val="0"/>
      <w:marBottom w:val="0"/>
      <w:divBdr>
        <w:top w:val="none" w:sz="0" w:space="0" w:color="auto"/>
        <w:left w:val="none" w:sz="0" w:space="0" w:color="auto"/>
        <w:bottom w:val="none" w:sz="0" w:space="0" w:color="auto"/>
        <w:right w:val="none" w:sz="0" w:space="0" w:color="auto"/>
      </w:divBdr>
    </w:div>
    <w:div w:id="792015107">
      <w:bodyDiv w:val="1"/>
      <w:marLeft w:val="0"/>
      <w:marRight w:val="0"/>
      <w:marTop w:val="0"/>
      <w:marBottom w:val="0"/>
      <w:divBdr>
        <w:top w:val="none" w:sz="0" w:space="0" w:color="auto"/>
        <w:left w:val="none" w:sz="0" w:space="0" w:color="auto"/>
        <w:bottom w:val="none" w:sz="0" w:space="0" w:color="auto"/>
        <w:right w:val="none" w:sz="0" w:space="0" w:color="auto"/>
      </w:divBdr>
    </w:div>
    <w:div w:id="911162136">
      <w:bodyDiv w:val="1"/>
      <w:marLeft w:val="0"/>
      <w:marRight w:val="0"/>
      <w:marTop w:val="0"/>
      <w:marBottom w:val="0"/>
      <w:divBdr>
        <w:top w:val="none" w:sz="0" w:space="0" w:color="auto"/>
        <w:left w:val="none" w:sz="0" w:space="0" w:color="auto"/>
        <w:bottom w:val="none" w:sz="0" w:space="0" w:color="auto"/>
        <w:right w:val="none" w:sz="0" w:space="0" w:color="auto"/>
      </w:divBdr>
    </w:div>
    <w:div w:id="999119268">
      <w:bodyDiv w:val="1"/>
      <w:marLeft w:val="0"/>
      <w:marRight w:val="0"/>
      <w:marTop w:val="0"/>
      <w:marBottom w:val="0"/>
      <w:divBdr>
        <w:top w:val="none" w:sz="0" w:space="0" w:color="auto"/>
        <w:left w:val="none" w:sz="0" w:space="0" w:color="auto"/>
        <w:bottom w:val="none" w:sz="0" w:space="0" w:color="auto"/>
        <w:right w:val="none" w:sz="0" w:space="0" w:color="auto"/>
      </w:divBdr>
    </w:div>
    <w:div w:id="1005205745">
      <w:bodyDiv w:val="1"/>
      <w:marLeft w:val="0"/>
      <w:marRight w:val="0"/>
      <w:marTop w:val="0"/>
      <w:marBottom w:val="0"/>
      <w:divBdr>
        <w:top w:val="none" w:sz="0" w:space="0" w:color="auto"/>
        <w:left w:val="none" w:sz="0" w:space="0" w:color="auto"/>
        <w:bottom w:val="none" w:sz="0" w:space="0" w:color="auto"/>
        <w:right w:val="none" w:sz="0" w:space="0" w:color="auto"/>
      </w:divBdr>
    </w:div>
    <w:div w:id="1032920932">
      <w:bodyDiv w:val="1"/>
      <w:marLeft w:val="0"/>
      <w:marRight w:val="0"/>
      <w:marTop w:val="0"/>
      <w:marBottom w:val="0"/>
      <w:divBdr>
        <w:top w:val="none" w:sz="0" w:space="0" w:color="auto"/>
        <w:left w:val="none" w:sz="0" w:space="0" w:color="auto"/>
        <w:bottom w:val="none" w:sz="0" w:space="0" w:color="auto"/>
        <w:right w:val="none" w:sz="0" w:space="0" w:color="auto"/>
      </w:divBdr>
    </w:div>
    <w:div w:id="1094672223">
      <w:bodyDiv w:val="1"/>
      <w:marLeft w:val="0"/>
      <w:marRight w:val="0"/>
      <w:marTop w:val="0"/>
      <w:marBottom w:val="0"/>
      <w:divBdr>
        <w:top w:val="none" w:sz="0" w:space="0" w:color="auto"/>
        <w:left w:val="none" w:sz="0" w:space="0" w:color="auto"/>
        <w:bottom w:val="none" w:sz="0" w:space="0" w:color="auto"/>
        <w:right w:val="none" w:sz="0" w:space="0" w:color="auto"/>
      </w:divBdr>
    </w:div>
    <w:div w:id="1160082047">
      <w:bodyDiv w:val="1"/>
      <w:marLeft w:val="0"/>
      <w:marRight w:val="0"/>
      <w:marTop w:val="0"/>
      <w:marBottom w:val="0"/>
      <w:divBdr>
        <w:top w:val="none" w:sz="0" w:space="0" w:color="auto"/>
        <w:left w:val="none" w:sz="0" w:space="0" w:color="auto"/>
        <w:bottom w:val="none" w:sz="0" w:space="0" w:color="auto"/>
        <w:right w:val="none" w:sz="0" w:space="0" w:color="auto"/>
      </w:divBdr>
    </w:div>
    <w:div w:id="1227839348">
      <w:bodyDiv w:val="1"/>
      <w:marLeft w:val="0"/>
      <w:marRight w:val="0"/>
      <w:marTop w:val="0"/>
      <w:marBottom w:val="0"/>
      <w:divBdr>
        <w:top w:val="none" w:sz="0" w:space="0" w:color="auto"/>
        <w:left w:val="none" w:sz="0" w:space="0" w:color="auto"/>
        <w:bottom w:val="none" w:sz="0" w:space="0" w:color="auto"/>
        <w:right w:val="none" w:sz="0" w:space="0" w:color="auto"/>
      </w:divBdr>
      <w:divsChild>
        <w:div w:id="19472393">
          <w:marLeft w:val="480"/>
          <w:marRight w:val="0"/>
          <w:marTop w:val="0"/>
          <w:marBottom w:val="0"/>
          <w:divBdr>
            <w:top w:val="none" w:sz="0" w:space="0" w:color="auto"/>
            <w:left w:val="none" w:sz="0" w:space="0" w:color="auto"/>
            <w:bottom w:val="none" w:sz="0" w:space="0" w:color="auto"/>
            <w:right w:val="none" w:sz="0" w:space="0" w:color="auto"/>
          </w:divBdr>
        </w:div>
        <w:div w:id="2022586368">
          <w:marLeft w:val="480"/>
          <w:marRight w:val="0"/>
          <w:marTop w:val="0"/>
          <w:marBottom w:val="0"/>
          <w:divBdr>
            <w:top w:val="none" w:sz="0" w:space="0" w:color="auto"/>
            <w:left w:val="none" w:sz="0" w:space="0" w:color="auto"/>
            <w:bottom w:val="none" w:sz="0" w:space="0" w:color="auto"/>
            <w:right w:val="none" w:sz="0" w:space="0" w:color="auto"/>
          </w:divBdr>
        </w:div>
        <w:div w:id="1863739349">
          <w:marLeft w:val="480"/>
          <w:marRight w:val="0"/>
          <w:marTop w:val="0"/>
          <w:marBottom w:val="0"/>
          <w:divBdr>
            <w:top w:val="none" w:sz="0" w:space="0" w:color="auto"/>
            <w:left w:val="none" w:sz="0" w:space="0" w:color="auto"/>
            <w:bottom w:val="none" w:sz="0" w:space="0" w:color="auto"/>
            <w:right w:val="none" w:sz="0" w:space="0" w:color="auto"/>
          </w:divBdr>
        </w:div>
        <w:div w:id="2023971734">
          <w:marLeft w:val="480"/>
          <w:marRight w:val="0"/>
          <w:marTop w:val="0"/>
          <w:marBottom w:val="0"/>
          <w:divBdr>
            <w:top w:val="none" w:sz="0" w:space="0" w:color="auto"/>
            <w:left w:val="none" w:sz="0" w:space="0" w:color="auto"/>
            <w:bottom w:val="none" w:sz="0" w:space="0" w:color="auto"/>
            <w:right w:val="none" w:sz="0" w:space="0" w:color="auto"/>
          </w:divBdr>
        </w:div>
        <w:div w:id="601883201">
          <w:marLeft w:val="480"/>
          <w:marRight w:val="0"/>
          <w:marTop w:val="0"/>
          <w:marBottom w:val="0"/>
          <w:divBdr>
            <w:top w:val="none" w:sz="0" w:space="0" w:color="auto"/>
            <w:left w:val="none" w:sz="0" w:space="0" w:color="auto"/>
            <w:bottom w:val="none" w:sz="0" w:space="0" w:color="auto"/>
            <w:right w:val="none" w:sz="0" w:space="0" w:color="auto"/>
          </w:divBdr>
        </w:div>
        <w:div w:id="2055813287">
          <w:marLeft w:val="480"/>
          <w:marRight w:val="0"/>
          <w:marTop w:val="0"/>
          <w:marBottom w:val="0"/>
          <w:divBdr>
            <w:top w:val="none" w:sz="0" w:space="0" w:color="auto"/>
            <w:left w:val="none" w:sz="0" w:space="0" w:color="auto"/>
            <w:bottom w:val="none" w:sz="0" w:space="0" w:color="auto"/>
            <w:right w:val="none" w:sz="0" w:space="0" w:color="auto"/>
          </w:divBdr>
        </w:div>
        <w:div w:id="1903101319">
          <w:marLeft w:val="480"/>
          <w:marRight w:val="0"/>
          <w:marTop w:val="0"/>
          <w:marBottom w:val="0"/>
          <w:divBdr>
            <w:top w:val="none" w:sz="0" w:space="0" w:color="auto"/>
            <w:left w:val="none" w:sz="0" w:space="0" w:color="auto"/>
            <w:bottom w:val="none" w:sz="0" w:space="0" w:color="auto"/>
            <w:right w:val="none" w:sz="0" w:space="0" w:color="auto"/>
          </w:divBdr>
        </w:div>
        <w:div w:id="519202272">
          <w:marLeft w:val="480"/>
          <w:marRight w:val="0"/>
          <w:marTop w:val="0"/>
          <w:marBottom w:val="0"/>
          <w:divBdr>
            <w:top w:val="none" w:sz="0" w:space="0" w:color="auto"/>
            <w:left w:val="none" w:sz="0" w:space="0" w:color="auto"/>
            <w:bottom w:val="none" w:sz="0" w:space="0" w:color="auto"/>
            <w:right w:val="none" w:sz="0" w:space="0" w:color="auto"/>
          </w:divBdr>
        </w:div>
        <w:div w:id="1604993798">
          <w:marLeft w:val="480"/>
          <w:marRight w:val="0"/>
          <w:marTop w:val="0"/>
          <w:marBottom w:val="0"/>
          <w:divBdr>
            <w:top w:val="none" w:sz="0" w:space="0" w:color="auto"/>
            <w:left w:val="none" w:sz="0" w:space="0" w:color="auto"/>
            <w:bottom w:val="none" w:sz="0" w:space="0" w:color="auto"/>
            <w:right w:val="none" w:sz="0" w:space="0" w:color="auto"/>
          </w:divBdr>
        </w:div>
        <w:div w:id="1430851688">
          <w:marLeft w:val="480"/>
          <w:marRight w:val="0"/>
          <w:marTop w:val="0"/>
          <w:marBottom w:val="0"/>
          <w:divBdr>
            <w:top w:val="none" w:sz="0" w:space="0" w:color="auto"/>
            <w:left w:val="none" w:sz="0" w:space="0" w:color="auto"/>
            <w:bottom w:val="none" w:sz="0" w:space="0" w:color="auto"/>
            <w:right w:val="none" w:sz="0" w:space="0" w:color="auto"/>
          </w:divBdr>
        </w:div>
        <w:div w:id="1775974299">
          <w:marLeft w:val="480"/>
          <w:marRight w:val="0"/>
          <w:marTop w:val="0"/>
          <w:marBottom w:val="0"/>
          <w:divBdr>
            <w:top w:val="none" w:sz="0" w:space="0" w:color="auto"/>
            <w:left w:val="none" w:sz="0" w:space="0" w:color="auto"/>
            <w:bottom w:val="none" w:sz="0" w:space="0" w:color="auto"/>
            <w:right w:val="none" w:sz="0" w:space="0" w:color="auto"/>
          </w:divBdr>
        </w:div>
        <w:div w:id="1321039294">
          <w:marLeft w:val="480"/>
          <w:marRight w:val="0"/>
          <w:marTop w:val="0"/>
          <w:marBottom w:val="0"/>
          <w:divBdr>
            <w:top w:val="none" w:sz="0" w:space="0" w:color="auto"/>
            <w:left w:val="none" w:sz="0" w:space="0" w:color="auto"/>
            <w:bottom w:val="none" w:sz="0" w:space="0" w:color="auto"/>
            <w:right w:val="none" w:sz="0" w:space="0" w:color="auto"/>
          </w:divBdr>
        </w:div>
        <w:div w:id="450056043">
          <w:marLeft w:val="480"/>
          <w:marRight w:val="0"/>
          <w:marTop w:val="0"/>
          <w:marBottom w:val="0"/>
          <w:divBdr>
            <w:top w:val="none" w:sz="0" w:space="0" w:color="auto"/>
            <w:left w:val="none" w:sz="0" w:space="0" w:color="auto"/>
            <w:bottom w:val="none" w:sz="0" w:space="0" w:color="auto"/>
            <w:right w:val="none" w:sz="0" w:space="0" w:color="auto"/>
          </w:divBdr>
        </w:div>
        <w:div w:id="1838692199">
          <w:marLeft w:val="480"/>
          <w:marRight w:val="0"/>
          <w:marTop w:val="0"/>
          <w:marBottom w:val="0"/>
          <w:divBdr>
            <w:top w:val="none" w:sz="0" w:space="0" w:color="auto"/>
            <w:left w:val="none" w:sz="0" w:space="0" w:color="auto"/>
            <w:bottom w:val="none" w:sz="0" w:space="0" w:color="auto"/>
            <w:right w:val="none" w:sz="0" w:space="0" w:color="auto"/>
          </w:divBdr>
        </w:div>
        <w:div w:id="1985356335">
          <w:marLeft w:val="480"/>
          <w:marRight w:val="0"/>
          <w:marTop w:val="0"/>
          <w:marBottom w:val="0"/>
          <w:divBdr>
            <w:top w:val="none" w:sz="0" w:space="0" w:color="auto"/>
            <w:left w:val="none" w:sz="0" w:space="0" w:color="auto"/>
            <w:bottom w:val="none" w:sz="0" w:space="0" w:color="auto"/>
            <w:right w:val="none" w:sz="0" w:space="0" w:color="auto"/>
          </w:divBdr>
        </w:div>
        <w:div w:id="2132941436">
          <w:marLeft w:val="480"/>
          <w:marRight w:val="0"/>
          <w:marTop w:val="0"/>
          <w:marBottom w:val="0"/>
          <w:divBdr>
            <w:top w:val="none" w:sz="0" w:space="0" w:color="auto"/>
            <w:left w:val="none" w:sz="0" w:space="0" w:color="auto"/>
            <w:bottom w:val="none" w:sz="0" w:space="0" w:color="auto"/>
            <w:right w:val="none" w:sz="0" w:space="0" w:color="auto"/>
          </w:divBdr>
        </w:div>
        <w:div w:id="219825514">
          <w:marLeft w:val="480"/>
          <w:marRight w:val="0"/>
          <w:marTop w:val="0"/>
          <w:marBottom w:val="0"/>
          <w:divBdr>
            <w:top w:val="none" w:sz="0" w:space="0" w:color="auto"/>
            <w:left w:val="none" w:sz="0" w:space="0" w:color="auto"/>
            <w:bottom w:val="none" w:sz="0" w:space="0" w:color="auto"/>
            <w:right w:val="none" w:sz="0" w:space="0" w:color="auto"/>
          </w:divBdr>
        </w:div>
        <w:div w:id="438259044">
          <w:marLeft w:val="480"/>
          <w:marRight w:val="0"/>
          <w:marTop w:val="0"/>
          <w:marBottom w:val="0"/>
          <w:divBdr>
            <w:top w:val="none" w:sz="0" w:space="0" w:color="auto"/>
            <w:left w:val="none" w:sz="0" w:space="0" w:color="auto"/>
            <w:bottom w:val="none" w:sz="0" w:space="0" w:color="auto"/>
            <w:right w:val="none" w:sz="0" w:space="0" w:color="auto"/>
          </w:divBdr>
        </w:div>
        <w:div w:id="402458646">
          <w:marLeft w:val="480"/>
          <w:marRight w:val="0"/>
          <w:marTop w:val="0"/>
          <w:marBottom w:val="0"/>
          <w:divBdr>
            <w:top w:val="none" w:sz="0" w:space="0" w:color="auto"/>
            <w:left w:val="none" w:sz="0" w:space="0" w:color="auto"/>
            <w:bottom w:val="none" w:sz="0" w:space="0" w:color="auto"/>
            <w:right w:val="none" w:sz="0" w:space="0" w:color="auto"/>
          </w:divBdr>
        </w:div>
        <w:div w:id="726804269">
          <w:marLeft w:val="480"/>
          <w:marRight w:val="0"/>
          <w:marTop w:val="0"/>
          <w:marBottom w:val="0"/>
          <w:divBdr>
            <w:top w:val="none" w:sz="0" w:space="0" w:color="auto"/>
            <w:left w:val="none" w:sz="0" w:space="0" w:color="auto"/>
            <w:bottom w:val="none" w:sz="0" w:space="0" w:color="auto"/>
            <w:right w:val="none" w:sz="0" w:space="0" w:color="auto"/>
          </w:divBdr>
        </w:div>
        <w:div w:id="1899659099">
          <w:marLeft w:val="480"/>
          <w:marRight w:val="0"/>
          <w:marTop w:val="0"/>
          <w:marBottom w:val="0"/>
          <w:divBdr>
            <w:top w:val="none" w:sz="0" w:space="0" w:color="auto"/>
            <w:left w:val="none" w:sz="0" w:space="0" w:color="auto"/>
            <w:bottom w:val="none" w:sz="0" w:space="0" w:color="auto"/>
            <w:right w:val="none" w:sz="0" w:space="0" w:color="auto"/>
          </w:divBdr>
        </w:div>
        <w:div w:id="1679188939">
          <w:marLeft w:val="480"/>
          <w:marRight w:val="0"/>
          <w:marTop w:val="0"/>
          <w:marBottom w:val="0"/>
          <w:divBdr>
            <w:top w:val="none" w:sz="0" w:space="0" w:color="auto"/>
            <w:left w:val="none" w:sz="0" w:space="0" w:color="auto"/>
            <w:bottom w:val="none" w:sz="0" w:space="0" w:color="auto"/>
            <w:right w:val="none" w:sz="0" w:space="0" w:color="auto"/>
          </w:divBdr>
        </w:div>
        <w:div w:id="8920893">
          <w:marLeft w:val="480"/>
          <w:marRight w:val="0"/>
          <w:marTop w:val="0"/>
          <w:marBottom w:val="0"/>
          <w:divBdr>
            <w:top w:val="none" w:sz="0" w:space="0" w:color="auto"/>
            <w:left w:val="none" w:sz="0" w:space="0" w:color="auto"/>
            <w:bottom w:val="none" w:sz="0" w:space="0" w:color="auto"/>
            <w:right w:val="none" w:sz="0" w:space="0" w:color="auto"/>
          </w:divBdr>
        </w:div>
        <w:div w:id="1847549143">
          <w:marLeft w:val="480"/>
          <w:marRight w:val="0"/>
          <w:marTop w:val="0"/>
          <w:marBottom w:val="0"/>
          <w:divBdr>
            <w:top w:val="none" w:sz="0" w:space="0" w:color="auto"/>
            <w:left w:val="none" w:sz="0" w:space="0" w:color="auto"/>
            <w:bottom w:val="none" w:sz="0" w:space="0" w:color="auto"/>
            <w:right w:val="none" w:sz="0" w:space="0" w:color="auto"/>
          </w:divBdr>
        </w:div>
        <w:div w:id="1119641344">
          <w:marLeft w:val="480"/>
          <w:marRight w:val="0"/>
          <w:marTop w:val="0"/>
          <w:marBottom w:val="0"/>
          <w:divBdr>
            <w:top w:val="none" w:sz="0" w:space="0" w:color="auto"/>
            <w:left w:val="none" w:sz="0" w:space="0" w:color="auto"/>
            <w:bottom w:val="none" w:sz="0" w:space="0" w:color="auto"/>
            <w:right w:val="none" w:sz="0" w:space="0" w:color="auto"/>
          </w:divBdr>
        </w:div>
        <w:div w:id="354238245">
          <w:marLeft w:val="480"/>
          <w:marRight w:val="0"/>
          <w:marTop w:val="0"/>
          <w:marBottom w:val="0"/>
          <w:divBdr>
            <w:top w:val="none" w:sz="0" w:space="0" w:color="auto"/>
            <w:left w:val="none" w:sz="0" w:space="0" w:color="auto"/>
            <w:bottom w:val="none" w:sz="0" w:space="0" w:color="auto"/>
            <w:right w:val="none" w:sz="0" w:space="0" w:color="auto"/>
          </w:divBdr>
        </w:div>
        <w:div w:id="175582745">
          <w:marLeft w:val="480"/>
          <w:marRight w:val="0"/>
          <w:marTop w:val="0"/>
          <w:marBottom w:val="0"/>
          <w:divBdr>
            <w:top w:val="none" w:sz="0" w:space="0" w:color="auto"/>
            <w:left w:val="none" w:sz="0" w:space="0" w:color="auto"/>
            <w:bottom w:val="none" w:sz="0" w:space="0" w:color="auto"/>
            <w:right w:val="none" w:sz="0" w:space="0" w:color="auto"/>
          </w:divBdr>
        </w:div>
        <w:div w:id="5905647">
          <w:marLeft w:val="480"/>
          <w:marRight w:val="0"/>
          <w:marTop w:val="0"/>
          <w:marBottom w:val="0"/>
          <w:divBdr>
            <w:top w:val="none" w:sz="0" w:space="0" w:color="auto"/>
            <w:left w:val="none" w:sz="0" w:space="0" w:color="auto"/>
            <w:bottom w:val="none" w:sz="0" w:space="0" w:color="auto"/>
            <w:right w:val="none" w:sz="0" w:space="0" w:color="auto"/>
          </w:divBdr>
        </w:div>
        <w:div w:id="497425309">
          <w:marLeft w:val="480"/>
          <w:marRight w:val="0"/>
          <w:marTop w:val="0"/>
          <w:marBottom w:val="0"/>
          <w:divBdr>
            <w:top w:val="none" w:sz="0" w:space="0" w:color="auto"/>
            <w:left w:val="none" w:sz="0" w:space="0" w:color="auto"/>
            <w:bottom w:val="none" w:sz="0" w:space="0" w:color="auto"/>
            <w:right w:val="none" w:sz="0" w:space="0" w:color="auto"/>
          </w:divBdr>
        </w:div>
        <w:div w:id="1962607124">
          <w:marLeft w:val="480"/>
          <w:marRight w:val="0"/>
          <w:marTop w:val="0"/>
          <w:marBottom w:val="0"/>
          <w:divBdr>
            <w:top w:val="none" w:sz="0" w:space="0" w:color="auto"/>
            <w:left w:val="none" w:sz="0" w:space="0" w:color="auto"/>
            <w:bottom w:val="none" w:sz="0" w:space="0" w:color="auto"/>
            <w:right w:val="none" w:sz="0" w:space="0" w:color="auto"/>
          </w:divBdr>
        </w:div>
        <w:div w:id="991717749">
          <w:marLeft w:val="480"/>
          <w:marRight w:val="0"/>
          <w:marTop w:val="0"/>
          <w:marBottom w:val="0"/>
          <w:divBdr>
            <w:top w:val="none" w:sz="0" w:space="0" w:color="auto"/>
            <w:left w:val="none" w:sz="0" w:space="0" w:color="auto"/>
            <w:bottom w:val="none" w:sz="0" w:space="0" w:color="auto"/>
            <w:right w:val="none" w:sz="0" w:space="0" w:color="auto"/>
          </w:divBdr>
        </w:div>
        <w:div w:id="1491024436">
          <w:marLeft w:val="480"/>
          <w:marRight w:val="0"/>
          <w:marTop w:val="0"/>
          <w:marBottom w:val="0"/>
          <w:divBdr>
            <w:top w:val="none" w:sz="0" w:space="0" w:color="auto"/>
            <w:left w:val="none" w:sz="0" w:space="0" w:color="auto"/>
            <w:bottom w:val="none" w:sz="0" w:space="0" w:color="auto"/>
            <w:right w:val="none" w:sz="0" w:space="0" w:color="auto"/>
          </w:divBdr>
        </w:div>
        <w:div w:id="1883320412">
          <w:marLeft w:val="480"/>
          <w:marRight w:val="0"/>
          <w:marTop w:val="0"/>
          <w:marBottom w:val="0"/>
          <w:divBdr>
            <w:top w:val="none" w:sz="0" w:space="0" w:color="auto"/>
            <w:left w:val="none" w:sz="0" w:space="0" w:color="auto"/>
            <w:bottom w:val="none" w:sz="0" w:space="0" w:color="auto"/>
            <w:right w:val="none" w:sz="0" w:space="0" w:color="auto"/>
          </w:divBdr>
        </w:div>
        <w:div w:id="1231036810">
          <w:marLeft w:val="480"/>
          <w:marRight w:val="0"/>
          <w:marTop w:val="0"/>
          <w:marBottom w:val="0"/>
          <w:divBdr>
            <w:top w:val="none" w:sz="0" w:space="0" w:color="auto"/>
            <w:left w:val="none" w:sz="0" w:space="0" w:color="auto"/>
            <w:bottom w:val="none" w:sz="0" w:space="0" w:color="auto"/>
            <w:right w:val="none" w:sz="0" w:space="0" w:color="auto"/>
          </w:divBdr>
        </w:div>
        <w:div w:id="880289568">
          <w:marLeft w:val="480"/>
          <w:marRight w:val="0"/>
          <w:marTop w:val="0"/>
          <w:marBottom w:val="0"/>
          <w:divBdr>
            <w:top w:val="none" w:sz="0" w:space="0" w:color="auto"/>
            <w:left w:val="none" w:sz="0" w:space="0" w:color="auto"/>
            <w:bottom w:val="none" w:sz="0" w:space="0" w:color="auto"/>
            <w:right w:val="none" w:sz="0" w:space="0" w:color="auto"/>
          </w:divBdr>
        </w:div>
        <w:div w:id="2122456362">
          <w:marLeft w:val="480"/>
          <w:marRight w:val="0"/>
          <w:marTop w:val="0"/>
          <w:marBottom w:val="0"/>
          <w:divBdr>
            <w:top w:val="none" w:sz="0" w:space="0" w:color="auto"/>
            <w:left w:val="none" w:sz="0" w:space="0" w:color="auto"/>
            <w:bottom w:val="none" w:sz="0" w:space="0" w:color="auto"/>
            <w:right w:val="none" w:sz="0" w:space="0" w:color="auto"/>
          </w:divBdr>
        </w:div>
        <w:div w:id="1482962470">
          <w:marLeft w:val="480"/>
          <w:marRight w:val="0"/>
          <w:marTop w:val="0"/>
          <w:marBottom w:val="0"/>
          <w:divBdr>
            <w:top w:val="none" w:sz="0" w:space="0" w:color="auto"/>
            <w:left w:val="none" w:sz="0" w:space="0" w:color="auto"/>
            <w:bottom w:val="none" w:sz="0" w:space="0" w:color="auto"/>
            <w:right w:val="none" w:sz="0" w:space="0" w:color="auto"/>
          </w:divBdr>
        </w:div>
        <w:div w:id="1974866422">
          <w:marLeft w:val="480"/>
          <w:marRight w:val="0"/>
          <w:marTop w:val="0"/>
          <w:marBottom w:val="0"/>
          <w:divBdr>
            <w:top w:val="none" w:sz="0" w:space="0" w:color="auto"/>
            <w:left w:val="none" w:sz="0" w:space="0" w:color="auto"/>
            <w:bottom w:val="none" w:sz="0" w:space="0" w:color="auto"/>
            <w:right w:val="none" w:sz="0" w:space="0" w:color="auto"/>
          </w:divBdr>
        </w:div>
        <w:div w:id="416444869">
          <w:marLeft w:val="480"/>
          <w:marRight w:val="0"/>
          <w:marTop w:val="0"/>
          <w:marBottom w:val="0"/>
          <w:divBdr>
            <w:top w:val="none" w:sz="0" w:space="0" w:color="auto"/>
            <w:left w:val="none" w:sz="0" w:space="0" w:color="auto"/>
            <w:bottom w:val="none" w:sz="0" w:space="0" w:color="auto"/>
            <w:right w:val="none" w:sz="0" w:space="0" w:color="auto"/>
          </w:divBdr>
        </w:div>
      </w:divsChild>
    </w:div>
    <w:div w:id="1281572168">
      <w:bodyDiv w:val="1"/>
      <w:marLeft w:val="0"/>
      <w:marRight w:val="0"/>
      <w:marTop w:val="0"/>
      <w:marBottom w:val="0"/>
      <w:divBdr>
        <w:top w:val="none" w:sz="0" w:space="0" w:color="auto"/>
        <w:left w:val="none" w:sz="0" w:space="0" w:color="auto"/>
        <w:bottom w:val="none" w:sz="0" w:space="0" w:color="auto"/>
        <w:right w:val="none" w:sz="0" w:space="0" w:color="auto"/>
      </w:divBdr>
    </w:div>
    <w:div w:id="1333413350">
      <w:bodyDiv w:val="1"/>
      <w:marLeft w:val="0"/>
      <w:marRight w:val="0"/>
      <w:marTop w:val="0"/>
      <w:marBottom w:val="0"/>
      <w:divBdr>
        <w:top w:val="none" w:sz="0" w:space="0" w:color="auto"/>
        <w:left w:val="none" w:sz="0" w:space="0" w:color="auto"/>
        <w:bottom w:val="none" w:sz="0" w:space="0" w:color="auto"/>
        <w:right w:val="none" w:sz="0" w:space="0" w:color="auto"/>
      </w:divBdr>
    </w:div>
    <w:div w:id="1353652701">
      <w:bodyDiv w:val="1"/>
      <w:marLeft w:val="0"/>
      <w:marRight w:val="0"/>
      <w:marTop w:val="0"/>
      <w:marBottom w:val="0"/>
      <w:divBdr>
        <w:top w:val="none" w:sz="0" w:space="0" w:color="auto"/>
        <w:left w:val="none" w:sz="0" w:space="0" w:color="auto"/>
        <w:bottom w:val="none" w:sz="0" w:space="0" w:color="auto"/>
        <w:right w:val="none" w:sz="0" w:space="0" w:color="auto"/>
      </w:divBdr>
    </w:div>
    <w:div w:id="1361004081">
      <w:bodyDiv w:val="1"/>
      <w:marLeft w:val="0"/>
      <w:marRight w:val="0"/>
      <w:marTop w:val="0"/>
      <w:marBottom w:val="0"/>
      <w:divBdr>
        <w:top w:val="none" w:sz="0" w:space="0" w:color="auto"/>
        <w:left w:val="none" w:sz="0" w:space="0" w:color="auto"/>
        <w:bottom w:val="none" w:sz="0" w:space="0" w:color="auto"/>
        <w:right w:val="none" w:sz="0" w:space="0" w:color="auto"/>
      </w:divBdr>
    </w:div>
    <w:div w:id="1376270370">
      <w:bodyDiv w:val="1"/>
      <w:marLeft w:val="0"/>
      <w:marRight w:val="0"/>
      <w:marTop w:val="0"/>
      <w:marBottom w:val="0"/>
      <w:divBdr>
        <w:top w:val="none" w:sz="0" w:space="0" w:color="auto"/>
        <w:left w:val="none" w:sz="0" w:space="0" w:color="auto"/>
        <w:bottom w:val="none" w:sz="0" w:space="0" w:color="auto"/>
        <w:right w:val="none" w:sz="0" w:space="0" w:color="auto"/>
      </w:divBdr>
    </w:div>
    <w:div w:id="1463159412">
      <w:bodyDiv w:val="1"/>
      <w:marLeft w:val="0"/>
      <w:marRight w:val="0"/>
      <w:marTop w:val="0"/>
      <w:marBottom w:val="0"/>
      <w:divBdr>
        <w:top w:val="none" w:sz="0" w:space="0" w:color="auto"/>
        <w:left w:val="none" w:sz="0" w:space="0" w:color="auto"/>
        <w:bottom w:val="none" w:sz="0" w:space="0" w:color="auto"/>
        <w:right w:val="none" w:sz="0" w:space="0" w:color="auto"/>
      </w:divBdr>
    </w:div>
    <w:div w:id="1492259718">
      <w:bodyDiv w:val="1"/>
      <w:marLeft w:val="0"/>
      <w:marRight w:val="0"/>
      <w:marTop w:val="0"/>
      <w:marBottom w:val="0"/>
      <w:divBdr>
        <w:top w:val="none" w:sz="0" w:space="0" w:color="auto"/>
        <w:left w:val="none" w:sz="0" w:space="0" w:color="auto"/>
        <w:bottom w:val="none" w:sz="0" w:space="0" w:color="auto"/>
        <w:right w:val="none" w:sz="0" w:space="0" w:color="auto"/>
      </w:divBdr>
    </w:div>
    <w:div w:id="1496533758">
      <w:bodyDiv w:val="1"/>
      <w:marLeft w:val="0"/>
      <w:marRight w:val="0"/>
      <w:marTop w:val="0"/>
      <w:marBottom w:val="0"/>
      <w:divBdr>
        <w:top w:val="none" w:sz="0" w:space="0" w:color="auto"/>
        <w:left w:val="none" w:sz="0" w:space="0" w:color="auto"/>
        <w:bottom w:val="none" w:sz="0" w:space="0" w:color="auto"/>
        <w:right w:val="none" w:sz="0" w:space="0" w:color="auto"/>
      </w:divBdr>
    </w:div>
    <w:div w:id="1522161615">
      <w:bodyDiv w:val="1"/>
      <w:marLeft w:val="0"/>
      <w:marRight w:val="0"/>
      <w:marTop w:val="0"/>
      <w:marBottom w:val="0"/>
      <w:divBdr>
        <w:top w:val="none" w:sz="0" w:space="0" w:color="auto"/>
        <w:left w:val="none" w:sz="0" w:space="0" w:color="auto"/>
        <w:bottom w:val="none" w:sz="0" w:space="0" w:color="auto"/>
        <w:right w:val="none" w:sz="0" w:space="0" w:color="auto"/>
      </w:divBdr>
    </w:div>
    <w:div w:id="1549801201">
      <w:bodyDiv w:val="1"/>
      <w:marLeft w:val="0"/>
      <w:marRight w:val="0"/>
      <w:marTop w:val="0"/>
      <w:marBottom w:val="0"/>
      <w:divBdr>
        <w:top w:val="none" w:sz="0" w:space="0" w:color="auto"/>
        <w:left w:val="none" w:sz="0" w:space="0" w:color="auto"/>
        <w:bottom w:val="none" w:sz="0" w:space="0" w:color="auto"/>
        <w:right w:val="none" w:sz="0" w:space="0" w:color="auto"/>
      </w:divBdr>
    </w:div>
    <w:div w:id="1746798636">
      <w:bodyDiv w:val="1"/>
      <w:marLeft w:val="0"/>
      <w:marRight w:val="0"/>
      <w:marTop w:val="0"/>
      <w:marBottom w:val="0"/>
      <w:divBdr>
        <w:top w:val="none" w:sz="0" w:space="0" w:color="auto"/>
        <w:left w:val="none" w:sz="0" w:space="0" w:color="auto"/>
        <w:bottom w:val="none" w:sz="0" w:space="0" w:color="auto"/>
        <w:right w:val="none" w:sz="0" w:space="0" w:color="auto"/>
      </w:divBdr>
    </w:div>
    <w:div w:id="1765035768">
      <w:bodyDiv w:val="1"/>
      <w:marLeft w:val="0"/>
      <w:marRight w:val="0"/>
      <w:marTop w:val="0"/>
      <w:marBottom w:val="0"/>
      <w:divBdr>
        <w:top w:val="none" w:sz="0" w:space="0" w:color="auto"/>
        <w:left w:val="none" w:sz="0" w:space="0" w:color="auto"/>
        <w:bottom w:val="none" w:sz="0" w:space="0" w:color="auto"/>
        <w:right w:val="none" w:sz="0" w:space="0" w:color="auto"/>
      </w:divBdr>
    </w:div>
    <w:div w:id="1806700328">
      <w:bodyDiv w:val="1"/>
      <w:marLeft w:val="0"/>
      <w:marRight w:val="0"/>
      <w:marTop w:val="0"/>
      <w:marBottom w:val="0"/>
      <w:divBdr>
        <w:top w:val="none" w:sz="0" w:space="0" w:color="auto"/>
        <w:left w:val="none" w:sz="0" w:space="0" w:color="auto"/>
        <w:bottom w:val="none" w:sz="0" w:space="0" w:color="auto"/>
        <w:right w:val="none" w:sz="0" w:space="0" w:color="auto"/>
      </w:divBdr>
    </w:div>
    <w:div w:id="2019308911">
      <w:bodyDiv w:val="1"/>
      <w:marLeft w:val="0"/>
      <w:marRight w:val="0"/>
      <w:marTop w:val="0"/>
      <w:marBottom w:val="0"/>
      <w:divBdr>
        <w:top w:val="none" w:sz="0" w:space="0" w:color="auto"/>
        <w:left w:val="none" w:sz="0" w:space="0" w:color="auto"/>
        <w:bottom w:val="none" w:sz="0" w:space="0" w:color="auto"/>
        <w:right w:val="none" w:sz="0" w:space="0" w:color="auto"/>
      </w:divBdr>
    </w:div>
    <w:div w:id="2106807944">
      <w:bodyDiv w:val="1"/>
      <w:marLeft w:val="0"/>
      <w:marRight w:val="0"/>
      <w:marTop w:val="0"/>
      <w:marBottom w:val="0"/>
      <w:divBdr>
        <w:top w:val="none" w:sz="0" w:space="0" w:color="auto"/>
        <w:left w:val="none" w:sz="0" w:space="0" w:color="auto"/>
        <w:bottom w:val="none" w:sz="0" w:space="0" w:color="auto"/>
        <w:right w:val="none" w:sz="0" w:space="0" w:color="auto"/>
      </w:divBdr>
    </w:div>
    <w:div w:id="2110851926">
      <w:bodyDiv w:val="1"/>
      <w:marLeft w:val="0"/>
      <w:marRight w:val="0"/>
      <w:marTop w:val="0"/>
      <w:marBottom w:val="0"/>
      <w:divBdr>
        <w:top w:val="none" w:sz="0" w:space="0" w:color="auto"/>
        <w:left w:val="none" w:sz="0" w:space="0" w:color="auto"/>
        <w:bottom w:val="none" w:sz="0" w:space="0" w:color="auto"/>
        <w:right w:val="none" w:sz="0" w:space="0" w:color="auto"/>
      </w:divBdr>
      <w:divsChild>
        <w:div w:id="1363167998">
          <w:marLeft w:val="480"/>
          <w:marRight w:val="0"/>
          <w:marTop w:val="0"/>
          <w:marBottom w:val="0"/>
          <w:divBdr>
            <w:top w:val="none" w:sz="0" w:space="0" w:color="auto"/>
            <w:left w:val="none" w:sz="0" w:space="0" w:color="auto"/>
            <w:bottom w:val="none" w:sz="0" w:space="0" w:color="auto"/>
            <w:right w:val="none" w:sz="0" w:space="0" w:color="auto"/>
          </w:divBdr>
        </w:div>
        <w:div w:id="76365480">
          <w:marLeft w:val="480"/>
          <w:marRight w:val="0"/>
          <w:marTop w:val="0"/>
          <w:marBottom w:val="0"/>
          <w:divBdr>
            <w:top w:val="none" w:sz="0" w:space="0" w:color="auto"/>
            <w:left w:val="none" w:sz="0" w:space="0" w:color="auto"/>
            <w:bottom w:val="none" w:sz="0" w:space="0" w:color="auto"/>
            <w:right w:val="none" w:sz="0" w:space="0" w:color="auto"/>
          </w:divBdr>
        </w:div>
        <w:div w:id="1503816401">
          <w:marLeft w:val="480"/>
          <w:marRight w:val="0"/>
          <w:marTop w:val="0"/>
          <w:marBottom w:val="0"/>
          <w:divBdr>
            <w:top w:val="none" w:sz="0" w:space="0" w:color="auto"/>
            <w:left w:val="none" w:sz="0" w:space="0" w:color="auto"/>
            <w:bottom w:val="none" w:sz="0" w:space="0" w:color="auto"/>
            <w:right w:val="none" w:sz="0" w:space="0" w:color="auto"/>
          </w:divBdr>
        </w:div>
        <w:div w:id="1867671445">
          <w:marLeft w:val="480"/>
          <w:marRight w:val="0"/>
          <w:marTop w:val="0"/>
          <w:marBottom w:val="0"/>
          <w:divBdr>
            <w:top w:val="none" w:sz="0" w:space="0" w:color="auto"/>
            <w:left w:val="none" w:sz="0" w:space="0" w:color="auto"/>
            <w:bottom w:val="none" w:sz="0" w:space="0" w:color="auto"/>
            <w:right w:val="none" w:sz="0" w:space="0" w:color="auto"/>
          </w:divBdr>
        </w:div>
        <w:div w:id="1401950635">
          <w:marLeft w:val="480"/>
          <w:marRight w:val="0"/>
          <w:marTop w:val="0"/>
          <w:marBottom w:val="0"/>
          <w:divBdr>
            <w:top w:val="none" w:sz="0" w:space="0" w:color="auto"/>
            <w:left w:val="none" w:sz="0" w:space="0" w:color="auto"/>
            <w:bottom w:val="none" w:sz="0" w:space="0" w:color="auto"/>
            <w:right w:val="none" w:sz="0" w:space="0" w:color="auto"/>
          </w:divBdr>
        </w:div>
        <w:div w:id="1767459607">
          <w:marLeft w:val="480"/>
          <w:marRight w:val="0"/>
          <w:marTop w:val="0"/>
          <w:marBottom w:val="0"/>
          <w:divBdr>
            <w:top w:val="none" w:sz="0" w:space="0" w:color="auto"/>
            <w:left w:val="none" w:sz="0" w:space="0" w:color="auto"/>
            <w:bottom w:val="none" w:sz="0" w:space="0" w:color="auto"/>
            <w:right w:val="none" w:sz="0" w:space="0" w:color="auto"/>
          </w:divBdr>
        </w:div>
        <w:div w:id="1099715672">
          <w:marLeft w:val="480"/>
          <w:marRight w:val="0"/>
          <w:marTop w:val="0"/>
          <w:marBottom w:val="0"/>
          <w:divBdr>
            <w:top w:val="none" w:sz="0" w:space="0" w:color="auto"/>
            <w:left w:val="none" w:sz="0" w:space="0" w:color="auto"/>
            <w:bottom w:val="none" w:sz="0" w:space="0" w:color="auto"/>
            <w:right w:val="none" w:sz="0" w:space="0" w:color="auto"/>
          </w:divBdr>
        </w:div>
        <w:div w:id="1406564679">
          <w:marLeft w:val="480"/>
          <w:marRight w:val="0"/>
          <w:marTop w:val="0"/>
          <w:marBottom w:val="0"/>
          <w:divBdr>
            <w:top w:val="none" w:sz="0" w:space="0" w:color="auto"/>
            <w:left w:val="none" w:sz="0" w:space="0" w:color="auto"/>
            <w:bottom w:val="none" w:sz="0" w:space="0" w:color="auto"/>
            <w:right w:val="none" w:sz="0" w:space="0" w:color="auto"/>
          </w:divBdr>
        </w:div>
        <w:div w:id="1046217220">
          <w:marLeft w:val="480"/>
          <w:marRight w:val="0"/>
          <w:marTop w:val="0"/>
          <w:marBottom w:val="0"/>
          <w:divBdr>
            <w:top w:val="none" w:sz="0" w:space="0" w:color="auto"/>
            <w:left w:val="none" w:sz="0" w:space="0" w:color="auto"/>
            <w:bottom w:val="none" w:sz="0" w:space="0" w:color="auto"/>
            <w:right w:val="none" w:sz="0" w:space="0" w:color="auto"/>
          </w:divBdr>
        </w:div>
        <w:div w:id="1483615492">
          <w:marLeft w:val="480"/>
          <w:marRight w:val="0"/>
          <w:marTop w:val="0"/>
          <w:marBottom w:val="0"/>
          <w:divBdr>
            <w:top w:val="none" w:sz="0" w:space="0" w:color="auto"/>
            <w:left w:val="none" w:sz="0" w:space="0" w:color="auto"/>
            <w:bottom w:val="none" w:sz="0" w:space="0" w:color="auto"/>
            <w:right w:val="none" w:sz="0" w:space="0" w:color="auto"/>
          </w:divBdr>
        </w:div>
        <w:div w:id="379400271">
          <w:marLeft w:val="480"/>
          <w:marRight w:val="0"/>
          <w:marTop w:val="0"/>
          <w:marBottom w:val="0"/>
          <w:divBdr>
            <w:top w:val="none" w:sz="0" w:space="0" w:color="auto"/>
            <w:left w:val="none" w:sz="0" w:space="0" w:color="auto"/>
            <w:bottom w:val="none" w:sz="0" w:space="0" w:color="auto"/>
            <w:right w:val="none" w:sz="0" w:space="0" w:color="auto"/>
          </w:divBdr>
        </w:div>
        <w:div w:id="1390156369">
          <w:marLeft w:val="480"/>
          <w:marRight w:val="0"/>
          <w:marTop w:val="0"/>
          <w:marBottom w:val="0"/>
          <w:divBdr>
            <w:top w:val="none" w:sz="0" w:space="0" w:color="auto"/>
            <w:left w:val="none" w:sz="0" w:space="0" w:color="auto"/>
            <w:bottom w:val="none" w:sz="0" w:space="0" w:color="auto"/>
            <w:right w:val="none" w:sz="0" w:space="0" w:color="auto"/>
          </w:divBdr>
        </w:div>
        <w:div w:id="714892027">
          <w:marLeft w:val="480"/>
          <w:marRight w:val="0"/>
          <w:marTop w:val="0"/>
          <w:marBottom w:val="0"/>
          <w:divBdr>
            <w:top w:val="none" w:sz="0" w:space="0" w:color="auto"/>
            <w:left w:val="none" w:sz="0" w:space="0" w:color="auto"/>
            <w:bottom w:val="none" w:sz="0" w:space="0" w:color="auto"/>
            <w:right w:val="none" w:sz="0" w:space="0" w:color="auto"/>
          </w:divBdr>
        </w:div>
        <w:div w:id="1786070615">
          <w:marLeft w:val="480"/>
          <w:marRight w:val="0"/>
          <w:marTop w:val="0"/>
          <w:marBottom w:val="0"/>
          <w:divBdr>
            <w:top w:val="none" w:sz="0" w:space="0" w:color="auto"/>
            <w:left w:val="none" w:sz="0" w:space="0" w:color="auto"/>
            <w:bottom w:val="none" w:sz="0" w:space="0" w:color="auto"/>
            <w:right w:val="none" w:sz="0" w:space="0" w:color="auto"/>
          </w:divBdr>
        </w:div>
        <w:div w:id="468013079">
          <w:marLeft w:val="480"/>
          <w:marRight w:val="0"/>
          <w:marTop w:val="0"/>
          <w:marBottom w:val="0"/>
          <w:divBdr>
            <w:top w:val="none" w:sz="0" w:space="0" w:color="auto"/>
            <w:left w:val="none" w:sz="0" w:space="0" w:color="auto"/>
            <w:bottom w:val="none" w:sz="0" w:space="0" w:color="auto"/>
            <w:right w:val="none" w:sz="0" w:space="0" w:color="auto"/>
          </w:divBdr>
        </w:div>
        <w:div w:id="780339440">
          <w:marLeft w:val="480"/>
          <w:marRight w:val="0"/>
          <w:marTop w:val="0"/>
          <w:marBottom w:val="0"/>
          <w:divBdr>
            <w:top w:val="none" w:sz="0" w:space="0" w:color="auto"/>
            <w:left w:val="none" w:sz="0" w:space="0" w:color="auto"/>
            <w:bottom w:val="none" w:sz="0" w:space="0" w:color="auto"/>
            <w:right w:val="none" w:sz="0" w:space="0" w:color="auto"/>
          </w:divBdr>
        </w:div>
        <w:div w:id="2035424974">
          <w:marLeft w:val="480"/>
          <w:marRight w:val="0"/>
          <w:marTop w:val="0"/>
          <w:marBottom w:val="0"/>
          <w:divBdr>
            <w:top w:val="none" w:sz="0" w:space="0" w:color="auto"/>
            <w:left w:val="none" w:sz="0" w:space="0" w:color="auto"/>
            <w:bottom w:val="none" w:sz="0" w:space="0" w:color="auto"/>
            <w:right w:val="none" w:sz="0" w:space="0" w:color="auto"/>
          </w:divBdr>
        </w:div>
        <w:div w:id="1202594968">
          <w:marLeft w:val="480"/>
          <w:marRight w:val="0"/>
          <w:marTop w:val="0"/>
          <w:marBottom w:val="0"/>
          <w:divBdr>
            <w:top w:val="none" w:sz="0" w:space="0" w:color="auto"/>
            <w:left w:val="none" w:sz="0" w:space="0" w:color="auto"/>
            <w:bottom w:val="none" w:sz="0" w:space="0" w:color="auto"/>
            <w:right w:val="none" w:sz="0" w:space="0" w:color="auto"/>
          </w:divBdr>
        </w:div>
        <w:div w:id="1762990603">
          <w:marLeft w:val="480"/>
          <w:marRight w:val="0"/>
          <w:marTop w:val="0"/>
          <w:marBottom w:val="0"/>
          <w:divBdr>
            <w:top w:val="none" w:sz="0" w:space="0" w:color="auto"/>
            <w:left w:val="none" w:sz="0" w:space="0" w:color="auto"/>
            <w:bottom w:val="none" w:sz="0" w:space="0" w:color="auto"/>
            <w:right w:val="none" w:sz="0" w:space="0" w:color="auto"/>
          </w:divBdr>
        </w:div>
        <w:div w:id="835268710">
          <w:marLeft w:val="480"/>
          <w:marRight w:val="0"/>
          <w:marTop w:val="0"/>
          <w:marBottom w:val="0"/>
          <w:divBdr>
            <w:top w:val="none" w:sz="0" w:space="0" w:color="auto"/>
            <w:left w:val="none" w:sz="0" w:space="0" w:color="auto"/>
            <w:bottom w:val="none" w:sz="0" w:space="0" w:color="auto"/>
            <w:right w:val="none" w:sz="0" w:space="0" w:color="auto"/>
          </w:divBdr>
        </w:div>
        <w:div w:id="1250118229">
          <w:marLeft w:val="480"/>
          <w:marRight w:val="0"/>
          <w:marTop w:val="0"/>
          <w:marBottom w:val="0"/>
          <w:divBdr>
            <w:top w:val="none" w:sz="0" w:space="0" w:color="auto"/>
            <w:left w:val="none" w:sz="0" w:space="0" w:color="auto"/>
            <w:bottom w:val="none" w:sz="0" w:space="0" w:color="auto"/>
            <w:right w:val="none" w:sz="0" w:space="0" w:color="auto"/>
          </w:divBdr>
        </w:div>
        <w:div w:id="934291724">
          <w:marLeft w:val="480"/>
          <w:marRight w:val="0"/>
          <w:marTop w:val="0"/>
          <w:marBottom w:val="0"/>
          <w:divBdr>
            <w:top w:val="none" w:sz="0" w:space="0" w:color="auto"/>
            <w:left w:val="none" w:sz="0" w:space="0" w:color="auto"/>
            <w:bottom w:val="none" w:sz="0" w:space="0" w:color="auto"/>
            <w:right w:val="none" w:sz="0" w:space="0" w:color="auto"/>
          </w:divBdr>
        </w:div>
        <w:div w:id="1305768833">
          <w:marLeft w:val="480"/>
          <w:marRight w:val="0"/>
          <w:marTop w:val="0"/>
          <w:marBottom w:val="0"/>
          <w:divBdr>
            <w:top w:val="none" w:sz="0" w:space="0" w:color="auto"/>
            <w:left w:val="none" w:sz="0" w:space="0" w:color="auto"/>
            <w:bottom w:val="none" w:sz="0" w:space="0" w:color="auto"/>
            <w:right w:val="none" w:sz="0" w:space="0" w:color="auto"/>
          </w:divBdr>
        </w:div>
        <w:div w:id="1331255360">
          <w:marLeft w:val="480"/>
          <w:marRight w:val="0"/>
          <w:marTop w:val="0"/>
          <w:marBottom w:val="0"/>
          <w:divBdr>
            <w:top w:val="none" w:sz="0" w:space="0" w:color="auto"/>
            <w:left w:val="none" w:sz="0" w:space="0" w:color="auto"/>
            <w:bottom w:val="none" w:sz="0" w:space="0" w:color="auto"/>
            <w:right w:val="none" w:sz="0" w:space="0" w:color="auto"/>
          </w:divBdr>
        </w:div>
        <w:div w:id="1146581649">
          <w:marLeft w:val="480"/>
          <w:marRight w:val="0"/>
          <w:marTop w:val="0"/>
          <w:marBottom w:val="0"/>
          <w:divBdr>
            <w:top w:val="none" w:sz="0" w:space="0" w:color="auto"/>
            <w:left w:val="none" w:sz="0" w:space="0" w:color="auto"/>
            <w:bottom w:val="none" w:sz="0" w:space="0" w:color="auto"/>
            <w:right w:val="none" w:sz="0" w:space="0" w:color="auto"/>
          </w:divBdr>
        </w:div>
        <w:div w:id="1447114294">
          <w:marLeft w:val="480"/>
          <w:marRight w:val="0"/>
          <w:marTop w:val="0"/>
          <w:marBottom w:val="0"/>
          <w:divBdr>
            <w:top w:val="none" w:sz="0" w:space="0" w:color="auto"/>
            <w:left w:val="none" w:sz="0" w:space="0" w:color="auto"/>
            <w:bottom w:val="none" w:sz="0" w:space="0" w:color="auto"/>
            <w:right w:val="none" w:sz="0" w:space="0" w:color="auto"/>
          </w:divBdr>
        </w:div>
        <w:div w:id="1194734432">
          <w:marLeft w:val="480"/>
          <w:marRight w:val="0"/>
          <w:marTop w:val="0"/>
          <w:marBottom w:val="0"/>
          <w:divBdr>
            <w:top w:val="none" w:sz="0" w:space="0" w:color="auto"/>
            <w:left w:val="none" w:sz="0" w:space="0" w:color="auto"/>
            <w:bottom w:val="none" w:sz="0" w:space="0" w:color="auto"/>
            <w:right w:val="none" w:sz="0" w:space="0" w:color="auto"/>
          </w:divBdr>
        </w:div>
        <w:div w:id="54471607">
          <w:marLeft w:val="480"/>
          <w:marRight w:val="0"/>
          <w:marTop w:val="0"/>
          <w:marBottom w:val="0"/>
          <w:divBdr>
            <w:top w:val="none" w:sz="0" w:space="0" w:color="auto"/>
            <w:left w:val="none" w:sz="0" w:space="0" w:color="auto"/>
            <w:bottom w:val="none" w:sz="0" w:space="0" w:color="auto"/>
            <w:right w:val="none" w:sz="0" w:space="0" w:color="auto"/>
          </w:divBdr>
        </w:div>
        <w:div w:id="820775110">
          <w:marLeft w:val="480"/>
          <w:marRight w:val="0"/>
          <w:marTop w:val="0"/>
          <w:marBottom w:val="0"/>
          <w:divBdr>
            <w:top w:val="none" w:sz="0" w:space="0" w:color="auto"/>
            <w:left w:val="none" w:sz="0" w:space="0" w:color="auto"/>
            <w:bottom w:val="none" w:sz="0" w:space="0" w:color="auto"/>
            <w:right w:val="none" w:sz="0" w:space="0" w:color="auto"/>
          </w:divBdr>
        </w:div>
        <w:div w:id="621503066">
          <w:marLeft w:val="480"/>
          <w:marRight w:val="0"/>
          <w:marTop w:val="0"/>
          <w:marBottom w:val="0"/>
          <w:divBdr>
            <w:top w:val="none" w:sz="0" w:space="0" w:color="auto"/>
            <w:left w:val="none" w:sz="0" w:space="0" w:color="auto"/>
            <w:bottom w:val="none" w:sz="0" w:space="0" w:color="auto"/>
            <w:right w:val="none" w:sz="0" w:space="0" w:color="auto"/>
          </w:divBdr>
        </w:div>
        <w:div w:id="751976770">
          <w:marLeft w:val="480"/>
          <w:marRight w:val="0"/>
          <w:marTop w:val="0"/>
          <w:marBottom w:val="0"/>
          <w:divBdr>
            <w:top w:val="none" w:sz="0" w:space="0" w:color="auto"/>
            <w:left w:val="none" w:sz="0" w:space="0" w:color="auto"/>
            <w:bottom w:val="none" w:sz="0" w:space="0" w:color="auto"/>
            <w:right w:val="none" w:sz="0" w:space="0" w:color="auto"/>
          </w:divBdr>
        </w:div>
        <w:div w:id="532693886">
          <w:marLeft w:val="480"/>
          <w:marRight w:val="0"/>
          <w:marTop w:val="0"/>
          <w:marBottom w:val="0"/>
          <w:divBdr>
            <w:top w:val="none" w:sz="0" w:space="0" w:color="auto"/>
            <w:left w:val="none" w:sz="0" w:space="0" w:color="auto"/>
            <w:bottom w:val="none" w:sz="0" w:space="0" w:color="auto"/>
            <w:right w:val="none" w:sz="0" w:space="0" w:color="auto"/>
          </w:divBdr>
        </w:div>
        <w:div w:id="1608007070">
          <w:marLeft w:val="480"/>
          <w:marRight w:val="0"/>
          <w:marTop w:val="0"/>
          <w:marBottom w:val="0"/>
          <w:divBdr>
            <w:top w:val="none" w:sz="0" w:space="0" w:color="auto"/>
            <w:left w:val="none" w:sz="0" w:space="0" w:color="auto"/>
            <w:bottom w:val="none" w:sz="0" w:space="0" w:color="auto"/>
            <w:right w:val="none" w:sz="0" w:space="0" w:color="auto"/>
          </w:divBdr>
        </w:div>
        <w:div w:id="1611470434">
          <w:marLeft w:val="480"/>
          <w:marRight w:val="0"/>
          <w:marTop w:val="0"/>
          <w:marBottom w:val="0"/>
          <w:divBdr>
            <w:top w:val="none" w:sz="0" w:space="0" w:color="auto"/>
            <w:left w:val="none" w:sz="0" w:space="0" w:color="auto"/>
            <w:bottom w:val="none" w:sz="0" w:space="0" w:color="auto"/>
            <w:right w:val="none" w:sz="0" w:space="0" w:color="auto"/>
          </w:divBdr>
        </w:div>
        <w:div w:id="1134526463">
          <w:marLeft w:val="480"/>
          <w:marRight w:val="0"/>
          <w:marTop w:val="0"/>
          <w:marBottom w:val="0"/>
          <w:divBdr>
            <w:top w:val="none" w:sz="0" w:space="0" w:color="auto"/>
            <w:left w:val="none" w:sz="0" w:space="0" w:color="auto"/>
            <w:bottom w:val="none" w:sz="0" w:space="0" w:color="auto"/>
            <w:right w:val="none" w:sz="0" w:space="0" w:color="auto"/>
          </w:divBdr>
        </w:div>
        <w:div w:id="20741736">
          <w:marLeft w:val="480"/>
          <w:marRight w:val="0"/>
          <w:marTop w:val="0"/>
          <w:marBottom w:val="0"/>
          <w:divBdr>
            <w:top w:val="none" w:sz="0" w:space="0" w:color="auto"/>
            <w:left w:val="none" w:sz="0" w:space="0" w:color="auto"/>
            <w:bottom w:val="none" w:sz="0" w:space="0" w:color="auto"/>
            <w:right w:val="none" w:sz="0" w:space="0" w:color="auto"/>
          </w:divBdr>
        </w:div>
        <w:div w:id="59258223">
          <w:marLeft w:val="480"/>
          <w:marRight w:val="0"/>
          <w:marTop w:val="0"/>
          <w:marBottom w:val="0"/>
          <w:divBdr>
            <w:top w:val="none" w:sz="0" w:space="0" w:color="auto"/>
            <w:left w:val="none" w:sz="0" w:space="0" w:color="auto"/>
            <w:bottom w:val="none" w:sz="0" w:space="0" w:color="auto"/>
            <w:right w:val="none" w:sz="0" w:space="0" w:color="auto"/>
          </w:divBdr>
        </w:div>
        <w:div w:id="745704">
          <w:marLeft w:val="480"/>
          <w:marRight w:val="0"/>
          <w:marTop w:val="0"/>
          <w:marBottom w:val="0"/>
          <w:divBdr>
            <w:top w:val="none" w:sz="0" w:space="0" w:color="auto"/>
            <w:left w:val="none" w:sz="0" w:space="0" w:color="auto"/>
            <w:bottom w:val="none" w:sz="0" w:space="0" w:color="auto"/>
            <w:right w:val="none" w:sz="0" w:space="0" w:color="auto"/>
          </w:divBdr>
        </w:div>
        <w:div w:id="936711152">
          <w:marLeft w:val="480"/>
          <w:marRight w:val="0"/>
          <w:marTop w:val="0"/>
          <w:marBottom w:val="0"/>
          <w:divBdr>
            <w:top w:val="none" w:sz="0" w:space="0" w:color="auto"/>
            <w:left w:val="none" w:sz="0" w:space="0" w:color="auto"/>
            <w:bottom w:val="none" w:sz="0" w:space="0" w:color="auto"/>
            <w:right w:val="none" w:sz="0" w:space="0" w:color="auto"/>
          </w:divBdr>
        </w:div>
      </w:divsChild>
    </w:div>
    <w:div w:id="2135247784">
      <w:bodyDiv w:val="1"/>
      <w:marLeft w:val="0"/>
      <w:marRight w:val="0"/>
      <w:marTop w:val="0"/>
      <w:marBottom w:val="0"/>
      <w:divBdr>
        <w:top w:val="none" w:sz="0" w:space="0" w:color="auto"/>
        <w:left w:val="none" w:sz="0" w:space="0" w:color="auto"/>
        <w:bottom w:val="none" w:sz="0" w:space="0" w:color="auto"/>
        <w:right w:val="none" w:sz="0" w:space="0" w:color="auto"/>
      </w:divBdr>
    </w:div>
    <w:div w:id="2138646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tiff"/><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image" Target="media/image10.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tif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350" row="1">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E65AC118-142B-7946-A2AC-495FB9322916}">
  <we:reference id="wa200001011" version="1.2.0.0" store="en-GB" storeType="OMEX"/>
  <we:alternateReferences>
    <we:reference id="WA200001011" version="1.2.0.0" store=""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026F1928-783E-4363-A026-0D281D7D1AE3}">
  <we:reference id="wa104382081" version="1.35.0.0" store="en-US" storeType="OMEX"/>
  <we:alternateReferences>
    <we:reference id="wa104382081" version="1.35.0.0" store="" storeType="OMEX"/>
  </we:alternateReferences>
  <we:properties>
    <we:property name="MENDELEY_CITATIONS" value="[{&quot;citationID&quot;:&quot;MENDELEY_CITATION_17ede58b-a2ad-497c-b987-b5532096fbfd&quot;,&quot;citationItems&quot;:[{&quot;id&quot;:&quot;22f4907d-d08e-3730-8ca5-338240f2b771&quot;,&quot;itemData&quot;:{&quot;DOI&quot;:&quot;10.1016/j.envpol.2018.11.109&quot;,&quot;ISSN&quot;:&quot;18736424&quot;,&quot;PMID&quot;:&quot;30543944&quot;,&quot;abstract&quot;:&quot;Outpatient visits for DED were significantly associated with air pollutants in Hangzhou, China.&quot;,&quot;author&quot;:[{&quot;dropping-particle&quot;:&quot;&quot;,&quot;family&quot;:&quot;Mo&quot;,&quot;given&quot;:&quot;Zhe&quot;,&quot;non-dropping-particle&quot;:&quot;&quot;,&quot;parse-names&quot;:false,&quot;suffix&quot;:&quot;&quot;},{&quot;dropping-particle&quot;:&quot;&quot;,&quot;family&quot;:&quot;Fu&quot;,&quot;given&quot;:&quot;Qiuli&quot;,&quot;non-dropping-particle&quot;:&quot;&quot;,&quot;parse-names&quot;:false,&quot;suffix&quot;:&quot;&quot;},{&quot;dropping-particle&quot;:&quot;&quot;,&quot;family&quot;:&quot;Lyu&quot;,&quot;given&quot;:&quot;Danni&quot;,&quot;non-dropping-particle&quot;:&quot;&quot;,&quot;parse-names&quot;:false,&quot;suffix&quot;:&quot;&quot;},{&quot;dropping-particle&quot;:&quot;&quot;,&quot;family&quot;:&quot;Zhang&quot;,&quot;given&quot;:&quot;Lifang&quot;,&quot;non-dropping-particle&quot;:&quot;&quot;,&quot;parse-names&quot;:false,&quot;suffix&quot;:&quot;&quot;},{&quot;dropping-particle&quot;:&quot;&quot;,&quot;family&quot;:&quot;Qin&quot;,&quot;given&quot;:&quot;Zhenwei&quot;,&quot;non-dropping-particle&quot;:&quot;&quot;,&quot;parse-names&quot;:false,&quot;suffix&quot;:&quot;&quot;},{&quot;dropping-particle&quot;:&quot;&quot;,&quot;family&quot;:&quot;Tang&quot;,&quot;given&quot;:&quot;Qiaomei&quot;,&quot;non-dropping-particle&quot;:&quot;&quot;,&quot;parse-names&quot;:false,&quot;suffix&quot;:&quot;&quot;},{&quot;dropping-particle&quot;:&quot;&quot;,&quot;family&quot;:&quot;Yin&quot;,&quot;given&quot;:&quot;Houfa&quot;,&quot;non-dropping-particle&quot;:&quot;&quot;,&quot;parse-names&quot;:false,&quot;suffix&quot;:&quot;&quot;},{&quot;dropping-particle&quot;:&quot;&quot;,&quot;family&quot;:&quot;Xu&quot;,&quot;given&quot;:&quot;Peiwei&quot;,&quot;non-dropping-particle&quot;:&quot;&quot;,&quot;parse-names&quot;:false,&quot;suffix&quot;:&quot;&quot;},{&quot;dropping-particle&quot;:&quot;&quot;,&quot;family&quot;:&quot;Wu&quot;,&quot;given&quot;:&quot;Lizhi&quot;,&quot;non-dropping-particle&quot;:&quot;&quot;,&quot;parse-names&quot;:false,&quot;suffix&quot;:&quot;&quot;},{&quot;dropping-particle&quot;:&quot;&quot;,&quot;family&quot;:&quot;Wang&quot;,&quot;given&quot;:&quot;Xiaofeng&quot;,&quot;non-dropping-particle&quot;:&quot;&quot;,&quot;parse-names&quot;:false,&quot;suffix&quot;:&quot;&quot;},{&quot;dropping-particle&quot;:&quot;&quot;,&quot;family&quot;:&quot;Lou&quot;,&quot;given&quot;:&quot;Xiaoming&quot;,&quot;non-dropping-particle&quot;:&quot;&quot;,&quot;parse-names&quot;:false,&quot;suffix&quot;:&quot;&quot;},{&quot;dropping-particle&quot;:&quot;&quot;,&quot;family&quot;:&quot;Chen&quot;,&quot;given&quot;:&quot;Zhijian&quot;,&quot;non-dropping-particle&quot;:&quot;&quot;,&quot;parse-names&quot;:false,&quot;suffix&quot;:&quot;&quot;},{&quot;dropping-particle&quot;:&quot;&quot;,&quot;family&quot;:&quot;Yao&quot;,&quot;given&quot;:&quot;Ke&quot;,&quot;non-dropping-particle&quot;:&quot;&quot;,&quot;parse-names&quot;:false,&quot;suffix&quot;:&quot;&quot;}],&quot;container-title&quot;:&quot;Environmental Pollution&quot;,&quot;id&quot;:&quot;22f4907d-d08e-3730-8ca5-338240f2b771&quot;,&quot;issued&quot;:{&quot;date-parts&quot;:[[&quot;2019&quot;,&quot;3&quot;,&quot;1&quot;]]},&quot;page&quot;:&quot;183-189&quot;,&quot;publisher&quot;:&quot;Elsevier&quot;,&quot;title&quot;:&quot;Impacts of air pollution on dry eye disease among residents in Hangzhou, China: A case-crossover study&quot;,&quot;type&quot;:&quot;article-journal&quot;,&quot;volume&quot;:&quot;246&quot;},&quot;uris&quot;:[&quot;http://www.mendeley.com/documents/?uuid=22f4907d-d08e-3730-8ca5-338240f2b771&quot;],&quot;isTemporary&quot;:false,&quot;legacyDesktopId&quot;:&quot;22f4907d-d08e-3730-8ca5-338240f2b771&quot;},{&quot;id&quot;:&quot;17cc73f0-84b7-3a2b-8761-59c9f990b682&quot;,&quot;itemData&quot;:{&quot;DOI&quot;:&quot;10.1016/j.scitotenv.2021.146682&quot;,&quot;ISSN&quot;:&quot;18791026&quot;,&quot;PMID&quot;:&quot;33812114&quot;,&quot;abstract&quot;:&quot;Background: The prevalence of pollen allergy has increased due to urbanization, climate change and air pollution. The effects of green space and air pollution on respiratory health of pollen allergy patients are complex and best studied in spatio-temporal detail. Methods: We tracked 144 adults sensitized to Betulaceae pollen during the tree pollen season (January–May) of 2017 and 2018 and assessed their spatio-temporal exposure to green space, allergenic trees, air pollutants and birch pollen. Participants reported daily symptom severity scores. We extracted 404 case days with high symptom severity scores and matched these to 404 control days. The data were analyzed using conditional logistic regression with a 1:1 case-crossover design. Results: Case days were associated with exposure to birch pollen concentration (100 grains/m3) [adjusted odds ratio 1.045 and 95% confidence interval (1.014–1.078)], O3 concentration (10 μg/m3) [1.504 (1.281–1.766)] and PM10 concentration (10 μg/m3) [1.255 (1.007–1.565)] on the day of the severe allergy event and with the cumulative exposure of one and two days before. Exposure to grass cover (10% area fraction) [0.655 (0.446–0.960)], forest cover (10% area fraction) [0.543 (0.303–0.973)] and density of Alnus (10%) [0.622 (0.411–0.942)] were protective for severe allergy, but only on the day of the severe allergy event. Increased densities of Betula trees (10%) were a risk factor [unadjusted OR: 2.014 (1.162–3.490)]. Conclusion: Exposure to green space may mitigate tree pollen allergy symptom severity but only when the density of allergenic trees is low. Air pollutants contribute to more severe allergy symptoms. Spatio-temporal tracking allows for a more realistic exposure assessment.&quot;,&quot;author&quot;:[{&quot;dropping-particle&quot;:&quot;&quot;,&quot;family&quot;:&quot;Stas&quot;,&quot;given&quot;:&quot;Michiel&quot;,&quot;non-dropping-particle&quot;:&quot;&quot;,&quot;parse-names&quot;:false,&quot;suffix&quot;:&quot;&quot;},{&quot;dropping-particle&quot;:&quot;&quot;,&quot;family&quot;:&quot;Aerts&quot;,&quot;given&quot;:&quot;Raf&quot;,&quot;non-dropping-particle&quot;:&quot;&quot;,&quot;parse-names&quot;:false,&quot;suffix&quot;:&quot;&quot;},{&quot;dropping-particle&quot;:&quot;&quot;,&quot;family&quot;:&quot;Hendrickx&quot;,&quot;given&quot;:&quot;Marijke&quot;,&quot;non-dropping-particle&quot;:&quot;&quot;,&quot;parse-names&quot;:false,&quot;suffix&quot;:&quot;&quot;},{&quot;dropping-particle&quot;:&quot;&quot;,&quot;family&quot;:&quot;Delcloo&quot;,&quot;given&quot;:&quot;Andy&quot;,&quot;non-dropping-particle&quot;:&quot;&quot;,&quot;parse-names&quot;:false,&quot;suffix&quot;:&quot;&quot;},{&quot;dropping-particle&quot;:&quot;&quot;,&quot;family&quot;:&quot;Dendoncker&quot;,&quot;given&quot;:&quot;Nicolas&quot;,&quot;non-dropping-particle&quot;:&quot;&quot;,&quot;parse-names&quot;:false,&quot;suffix&quot;:&quot;&quot;},{&quot;dropping-particle&quot;:&quot;&quot;,&quot;family&quot;:&quot;Dujardin&quot;,&quot;given&quot;:&quot;Sebastien&quot;,&quot;non-dropping-particle&quot;:&quot;&quot;,&quot;parse-names&quot;:false,&quot;suffix&quot;:&quot;&quot;},{&quot;dropping-particle&quot;:&quot;&quot;,&quot;family&quot;:&quot;Linard&quot;,&quot;given&quot;:&quot;Catherine&quot;,&quot;non-dropping-particle&quot;:&quot;&quot;,&quot;parse-names&quot;:false,&quot;suffix&quot;:&quot;&quot;},{&quot;dropping-particle&quot;:&quot;&quot;,&quot;family&quot;:&quot;Nawrot&quot;,&quot;given&quot;:&quot;Tim&quot;,&quot;non-dropping-particle&quot;:&quot;&quot;,&quot;parse-names&quot;:false,&quot;suffix&quot;:&quot;&quot;},{&quot;dropping-particle&quot;:&quot;&quot;,&quot;family&quot;:&quot;Nieuwenhuyse&quot;,&quot;given&quot;:&quot;An&quot;,&quot;non-dropping-particle&quot;:&quot;Van&quot;,&quot;parse-names&quot;:false,&quot;suffix&quot;:&quot;&quot;},{&quot;dropping-particle&quot;:&quot;&quot;,&quot;family&quot;:&quot;Aerts&quot;,&quot;given&quot;:&quot;Jean Marie&quot;,&quot;non-dropping-particle&quot;:&quot;&quot;,&quot;parse-names&quot;:false,&quot;suffix&quot;:&quot;&quot;},{&quot;dropping-particle&quot;:&quot;&quot;,&quot;family&quot;:&quot;Orshoven&quot;,&quot;given&quot;:&quot;Jos&quot;,&quot;non-dropping-particle&quot;:&quot;Van&quot;,&quot;parse-names&quot;:false,&quot;suffix&quot;:&quot;&quot;},{&quot;dropping-particle&quot;:&quot;&quot;,&quot;family&quot;:&quot;Somers&quot;,&quot;given&quot;:&quot;Ben&quot;,&quot;non-dropping-particle&quot;:&quot;&quot;,&quot;parse-names&quot;:false,&quot;suffix&quot;:&quot;&quot;}],&quot;container-title&quot;:&quot;Science of the Total Environment&quot;,&quot;id&quot;:&quot;17cc73f0-84b7-3a2b-8761-59c9f990b682&quot;,&quot;issued&quot;:{&quot;date-parts&quot;:[[&quot;2021&quot;,&quot;8&quot;,&quot;10&quot;]]},&quot;page&quot;:&quot;146682&quot;,&quot;publisher&quot;:&quot;Elsevier&quot;,&quot;title&quot;:&quot;Exposure to green space and pollen allergy symptom severity: A case-crossover study in Belgium&quot;,&quot;type&quot;:&quot;article-journal&quot;,&quot;volume&quot;:&quot;781&quot;},&quot;uris&quot;:[&quot;http://www.mendeley.com/documents/?uuid=17cc73f0-84b7-3a2b-8761-59c9f990b682&quot;],&quot;isTemporary&quot;:false,&quot;legacyDesktopId&quot;:&quot;17cc73f0-84b7-3a2b-8761-59c9f990b682&quot;},{&quot;id&quot;:&quot;31f405ec-d235-3c53-8341-122e18923687&quot;,&quot;itemData&quot;:{&quot;DOI&quot;:&quot;10.1016/J.SCITOTENV.2019.136470&quot;,&quot;ISSN&quot;:&quot;0048-9697&quot;,&quot;PMID&quot;:&quot;31931190&quot;,&quot;abstract&quot;:&quot;Objectives: Prenatal exposure to air pollutant has been associated with congenital heart defect (CHD). However, no study has investigated this effect in pre-pregnancy overweighted women. This study aimed to evaluate gestational exposure to particulate pollutant (PM2.5) and gaseous air pollutants (O3 and NO2) on the risk of CHD, and explore the potential effect modifiers including maternal age, pre-pregnancy BMI and pregestational diseases. Methods: In this birth cohort study, a total of 63,213 pregnant women in Foshan, China were initially recruited and followed from their first hospital visit for pregnancy to delivery during 2015–2019. CHD cases were confirmed by the records in hospital- and population- based birth defect surveillance systems. Air pollutant exposures were estimated by the daily concentrations measured in air monitoring stations in each participant's residential county. Mixed-effects regression models, adjusted for potential confounding factors were applied to estimate the associations between air pollutant and CHD during the first three months of the pregnancy. Results: A total of 985 (1.6%) newborns were identified as CHD cases. For each 10 μg/m3 increase in ambient O3 during the 1st month, the OR values for CHD were 1.03 (95% CI: 0.94, 1.13) in pre-pregnancy normal weighted women and 1.24 (95% CI: 1.01, 1.53) in pre-pregnancy overweighted women. For each 10 μg/m3 increase in NO2 during the 3rd month, the OR values for CHD were 1.09 (95% CI: 1.01, 1.18) in pre-pregnancy normal weighted women and 1.27 (95% CI: 1.07, 1.51) in pre-pregnancy overweighted women. No significant associations were found between PM2.5 exposure and CHD in our analysis. Conclusions: This study demonstrates that gaseous air pollutants (O3 and NO2) exposure during the cardiac embryogenesis period is associated with an increased risk of CHD, particularly for pre-pregnancy overweighted women.&quot;,&quot;author&quot;:[{&quot;dropping-particle&quot;:&quot;&quot;,&quot;family&quot;:&quot;Yang&quot;,&quot;given&quot;:&quot;Yin&quot;,&quot;non-dropping-particle&quot;:&quot;&quot;,&quot;parse-names&quot;:false,&quot;suffix&quot;:&quot;&quot;},{&quot;dropping-particle&quot;:&quot;&quot;,&quot;family&quot;:&quot;Lin&quot;,&quot;given&quot;:&quot;Qingmei&quot;,&quot;non-dropping-particle&quot;:&quot;&quot;,&quot;parse-names&quot;:false,&quot;suffix&quot;:&quot;&quot;},{&quot;dropping-particle&quot;:&quot;&quot;,&quot;family&quot;:&quot;Liang&quot;,&quot;given&quot;:&quot;Yin&quot;,&quot;non-dropping-particle&quot;:&quot;&quot;,&quot;parse-names&quot;:false,&quot;suffix&quot;:&quot;&quot;},{&quot;dropping-particle&quot;:&quot;&quot;,&quot;family&quot;:&quot;Ruan&quot;,&quot;given&quot;:&quot;Zengliang&quot;,&quot;non-dropping-particle&quot;:&quot;&quot;,&quot;parse-names&quot;:false,&quot;suffix&quot;:&quot;&quot;},{&quot;dropping-particle&quot;:&quot;&quot;,&quot;family&quot;:&quot;Acharya&quot;,&quot;given&quot;:&quot;Bipin Kumar&quot;,&quot;non-dropping-particle&quot;:&quot;&quot;,&quot;parse-names&quot;:false,&quot;suffix&quot;:&quot;&quot;},{&quot;dropping-particle&quot;:&quot;&quot;,&quot;family&quot;:&quot;Zhang&quot;,&quot;given&quot;:&quot;Shiyu&quot;,&quot;non-dropping-particle&quot;:&quot;&quot;,&quot;parse-names&quot;:false,&quot;suffix&quot;:&quot;&quot;},{&quot;dropping-particle&quot;:&quot;&quot;,&quot;family&quot;:&quot;Qian&quot;,&quot;given&quot;:&quot;Zhengmin&quot;,&quot;non-dropping-particle&quot;:&quot;&quot;,&quot;parse-names&quot;:false,&quot;suffix&quot;:&quot;&quot;},{&quot;dropping-particle&quot;:&quot;&quot;,&quot;family&quot;:&quot;McMillin&quot;,&quot;given&quot;:&quot;Stephen Edward&quot;,&quot;non-dropping-particle&quot;:&quot;&quot;,&quot;parse-names&quot;:false,&quot;suffix&quot;:&quot;&quot;},{&quot;dropping-particle&quot;:&quot;&quot;,&quot;family&quot;:&quot;Hinyard&quot;,&quot;given&quot;:&quot;Leslie&quot;,&quot;non-dropping-particle&quot;:&quot;&quot;,&quot;parse-names&quot;:false,&quot;suffix&quot;:&quot;&quot;},{&quot;dropping-particle&quot;:&quot;&quot;,&quot;family&quot;:&quot;Sun&quot;,&quot;given&quot;:&quot;Jia&quot;,&quot;non-dropping-particle&quot;:&quot;&quot;,&quot;parse-names&quot;:false,&quot;suffix&quot;:&quot;&quot;},{&quot;dropping-particle&quot;:&quot;&quot;,&quot;family&quot;:&quot;Wang&quot;,&quot;given&quot;:&quot;Changke&quot;,&quot;non-dropping-particle&quot;:&quot;&quot;,&quot;parse-names&quot;:false,&quot;suffix&quot;:&quot;&quot;},{&quot;dropping-particle&quot;:&quot;&quot;,&quot;family&quot;:&quot;Ge&quot;,&quot;given&quot;:&quot;Haibo&quot;,&quot;non-dropping-particle&quot;:&quot;&quot;,&quot;parse-names&quot;:false,&quot;suffix&quot;:&quot;&quot;},{&quot;dropping-particle&quot;:&quot;&quot;,&quot;family&quot;:&quot;Wu&quot;,&quot;given&quot;:&quot;Xueli&quot;,&quot;non-dropping-particle&quot;:&quot;&quot;,&quot;parse-names&quot;:false,&quot;suffix&quot;:&quot;&quot;},{&quot;dropping-particle&quot;:&quot;&quot;,&quot;family&quot;:&quot;Guo&quot;,&quot;given&quot;:&quot;Xiaoling&quot;,&quot;non-dropping-particle&quot;:&quot;&quot;,&quot;parse-names&quot;:false,&quot;suffix&quot;:&quot;&quot;},{&quot;dropping-particle&quot;:&quot;&quot;,&quot;family&quot;:&quot;Lin&quot;,&quot;given&quot;:&quot;Hualiang&quot;,&quot;non-dropping-particle&quot;:&quot;&quot;,&quot;parse-names&quot;:false,&quot;suffix&quot;:&quot;&quot;}],&quot;container-title&quot;:&quot;Science of The Total Environment&quot;,&quot;id&quot;:&quot;31f405ec-d235-3c53-8341-122e18923687&quot;,&quot;issued&quot;:{&quot;date-parts&quot;:[[&quot;2020&quot;,&quot;4&quot;,&quot;10&quot;]]},&quot;page&quot;:&quot;136470&quot;,&quot;publisher&quot;:&quot;Elsevier&quot;,&quot;title&quot;:&quot;Maternal air pollution exposure associated with risk of congenital heart defect in pre-pregnancy overweighted women&quot;,&quot;type&quot;:&quot;article-journal&quot;,&quot;volume&quot;:&quot;712&quot;},&quot;uris&quot;:[&quot;http://www.mendeley.com/documents/?uuid=31f405ec-d235-3c53-8341-122e18923687&quot;],&quot;isTemporary&quot;:false,&quot;legacyDesktopId&quot;:&quot;31f405ec-d235-3c53-8341-122e18923687&quot;}],&quot;properties&quot;:{&quot;noteIndex&quot;:0},&quot;isEdited&quot;:false,&quot;manualOverride&quot;:{&quot;citeprocText&quot;:&quot;(Mo et al., 2019; Stas et al., 2021; Yang et al., 2020)&quot;,&quot;isManuallyOverridden&quot;:false,&quot;manualOverrideText&quot;:&quot;&quot;},&quot;citationTag&quot;:&quot;MENDELEY_CITATION_v3_eyJjaXRhdGlvbklEIjoiTUVOREVMRVlfQ0lUQVRJT05fMTdlZGU1OGItYTJhZC00OTdjLWI5ODctYjU1MzIwOTZmYmZkIiwiY2l0YXRpb25JdGVtcyI6W3siaWQiOiIyMmY0OTA3ZC1kMDhlLTM3MzAtOGNhNS0zMzgyNDBmMmI3NzEiLCJpdGVtRGF0YSI6eyJET0kiOiIxMC4xMDE2L2ouZW52cG9sLjIwMTguMTEuMTA5IiwiSVNTTiI6IjE4NzM2NDI0IiwiUE1JRCI6IjMwNTQzOTQ0IiwiYWJzdHJhY3QiOiJPdXRwYXRpZW50IHZpc2l0cyBmb3IgREVEIHdlcmUgc2lnbmlmaWNhbnRseSBhc3NvY2lhdGVkIHdpdGggYWlyIHBvbGx1dGFudHMgaW4gSGFuZ3pob3UsIENoaW5hLiIsImF1dGhvciI6W3siZHJvcHBpbmctcGFydGljbGUiOiIiLCJmYW1pbHkiOiJNbyIsImdpdmVuIjoiWmhlIiwibm9uLWRyb3BwaW5nLXBhcnRpY2xlIjoiIiwicGFyc2UtbmFtZXMiOmZhbHNlLCJzdWZmaXgiOiIifSx7ImRyb3BwaW5nLXBhcnRpY2xlIjoiIiwiZmFtaWx5IjoiRnUiLCJnaXZlbiI6IlFpdWxpIiwibm9uLWRyb3BwaW5nLXBhcnRpY2xlIjoiIiwicGFyc2UtbmFtZXMiOmZhbHNlLCJzdWZmaXgiOiIifSx7ImRyb3BwaW5nLXBhcnRpY2xlIjoiIiwiZmFtaWx5IjoiTHl1IiwiZ2l2ZW4iOiJEYW5uaSIsIm5vbi1kcm9wcGluZy1wYXJ0aWNsZSI6IiIsInBhcnNlLW5hbWVzIjpmYWxzZSwic3VmZml4IjoiIn0seyJkcm9wcGluZy1wYXJ0aWNsZSI6IiIsImZhbWlseSI6IlpoYW5nIiwiZ2l2ZW4iOiJMaWZhbmciLCJub24tZHJvcHBpbmctcGFydGljbGUiOiIiLCJwYXJzZS1uYW1lcyI6ZmFsc2UsInN1ZmZpeCI6IiJ9LHsiZHJvcHBpbmctcGFydGljbGUiOiIiLCJmYW1pbHkiOiJRaW4iLCJnaXZlbiI6IlpoZW53ZWkiLCJub24tZHJvcHBpbmctcGFydGljbGUiOiIiLCJwYXJzZS1uYW1lcyI6ZmFsc2UsInN1ZmZpeCI6IiJ9LHsiZHJvcHBpbmctcGFydGljbGUiOiIiLCJmYW1pbHkiOiJUYW5nIiwiZ2l2ZW4iOiJRaWFvbWVpIiwibm9uLWRyb3BwaW5nLXBhcnRpY2xlIjoiIiwicGFyc2UtbmFtZXMiOmZhbHNlLCJzdWZmaXgiOiIifSx7ImRyb3BwaW5nLXBhcnRpY2xlIjoiIiwiZmFtaWx5IjoiWWluIiwiZ2l2ZW4iOiJIb3VmYSIsIm5vbi1kcm9wcGluZy1wYXJ0aWNsZSI6IiIsInBhcnNlLW5hbWVzIjpmYWxzZSwic3VmZml4IjoiIn0seyJkcm9wcGluZy1wYXJ0aWNsZSI6IiIsImZhbWlseSI6Ilh1IiwiZ2l2ZW4iOiJQZWl3ZWkiLCJub24tZHJvcHBpbmctcGFydGljbGUiOiIiLCJwYXJzZS1uYW1lcyI6ZmFsc2UsInN1ZmZpeCI6IiJ9LHsiZHJvcHBpbmctcGFydGljbGUiOiIiLCJmYW1pbHkiOiJXdSIsImdpdmVuIjoiTGl6aGkiLCJub24tZHJvcHBpbmctcGFydGljbGUiOiIiLCJwYXJzZS1uYW1lcyI6ZmFsc2UsInN1ZmZpeCI6IiJ9LHsiZHJvcHBpbmctcGFydGljbGUiOiIiLCJmYW1pbHkiOiJXYW5nIiwiZ2l2ZW4iOiJYaWFvZmVuZyIsIm5vbi1kcm9wcGluZy1wYXJ0aWNsZSI6IiIsInBhcnNlLW5hbWVzIjpmYWxzZSwic3VmZml4IjoiIn0seyJkcm9wcGluZy1wYXJ0aWNsZSI6IiIsImZhbWlseSI6IkxvdSIsImdpdmVuIjoiWGlhb21pbmciLCJub24tZHJvcHBpbmctcGFydGljbGUiOiIiLCJwYXJzZS1uYW1lcyI6ZmFsc2UsInN1ZmZpeCI6IiJ9LHsiZHJvcHBpbmctcGFydGljbGUiOiIiLCJmYW1pbHkiOiJDaGVuIiwiZ2l2ZW4iOiJaaGlqaWFuIiwibm9uLWRyb3BwaW5nLXBhcnRpY2xlIjoiIiwicGFyc2UtbmFtZXMiOmZhbHNlLCJzdWZmaXgiOiIifSx7ImRyb3BwaW5nLXBhcnRpY2xlIjoiIiwiZmFtaWx5IjoiWWFvIiwiZ2l2ZW4iOiJLZSIsIm5vbi1kcm9wcGluZy1wYXJ0aWNsZSI6IiIsInBhcnNlLW5hbWVzIjpmYWxzZSwic3VmZml4IjoiIn1dLCJjb250YWluZXItdGl0bGUiOiJFbnZpcm9ubWVudGFsIFBvbGx1dGlvbiIsImlkIjoiMjJmNDkwN2QtZDA4ZS0zNzMwLThjYTUtMzM4MjQwZjJiNzcxIiwiaXNzdWVkIjp7ImRhdGUtcGFydHMiOltbIjIwMTkiLCIzIiwiMSJdXX0sInBhZ2UiOiIxODMtMTg5IiwicHVibGlzaGVyIjoiRWxzZXZpZXIiLCJ0aXRsZSI6IkltcGFjdHMgb2YgYWlyIHBvbGx1dGlvbiBvbiBkcnkgZXllIGRpc2Vhc2UgYW1vbmcgcmVzaWRlbnRzIGluIEhhbmd6aG91LCBDaGluYTogQSBjYXNlLWNyb3Nzb3ZlciBzdHVkeSIsInR5cGUiOiJhcnRpY2xlLWpvdXJuYWwiLCJ2b2x1bWUiOiIyNDYifSwidXJpcyI6WyJodHRwOi8vd3d3Lm1lbmRlbGV5LmNvbS9kb2N1bWVudHMvP3V1aWQ9MjJmNDkwN2QtZDA4ZS0zNzMwLThjYTUtMzM4MjQwZjJiNzcxIl0sImlzVGVtcG9yYXJ5IjpmYWxzZSwibGVnYWN5RGVza3RvcElkIjoiMjJmNDkwN2QtZDA4ZS0zNzMwLThjYTUtMzM4MjQwZjJiNzcxIn0seyJpZCI6IjE3Y2M3M2YwLTg0YjctM2EyYi04NzYxLTU5YzlmOTkwYjY4MiIsIml0ZW1EYXRhIjp7IkRPSSI6IjEwLjEwMTYvai5zY2l0b3RlbnYuMjAyMS4xNDY2ODIiLCJJU1NOIjoiMTg3OTEwMjYiLCJQTUlEIjoiMzM4MTIxMTQiLCJhYnN0cmFjdCI6IkJhY2tncm91bmQ6IFRoZSBwcmV2YWxlbmNlIG9mIHBvbGxlbiBhbGxlcmd5IGhhcyBpbmNyZWFzZWQgZHVlIHRvIHVyYmFuaXphdGlvbiwgY2xpbWF0ZSBjaGFuZ2UgYW5kIGFpciBwb2xsdXRpb24uIFRoZSBlZmZlY3RzIG9mIGdyZWVuIHNwYWNlIGFuZCBhaXIgcG9sbHV0aW9uIG9uIHJlc3BpcmF0b3J5IGhlYWx0aCBvZiBwb2xsZW4gYWxsZXJneSBwYXRpZW50cyBhcmUgY29tcGxleCBhbmQgYmVzdCBzdHVkaWVkIGluIHNwYXRpby10ZW1wb3JhbCBkZXRhaWwuIE1ldGhvZHM6IFdlIHRyYWNrZWQgMTQ0IGFkdWx0cyBzZW5zaXRpemVkIHRvIEJldHVsYWNlYWUgcG9sbGVuIGR1cmluZyB0aGUgdHJlZSBwb2xsZW4gc2Vhc29uIChKYW51YXJ54oCTTWF5KSBvZiAyMDE3IGFuZCAyMDE4IGFuZCBhc3Nlc3NlZCB0aGVpciBzcGF0aW8tdGVtcG9yYWwgZXhwb3N1cmUgdG8gZ3JlZW4gc3BhY2UsIGFsbGVyZ2VuaWMgdHJlZXMsIGFpciBwb2xsdXRhbnRzIGFuZCBiaXJjaCBwb2xsZW4uIFBhcnRpY2lwYW50cyByZXBvcnRlZCBkYWlseSBzeW1wdG9tIHNldmVyaXR5IHNjb3Jlcy4gV2UgZXh0cmFjdGVkIDQwNCBjYXNlIGRheXMgd2l0aCBoaWdoIHN5bXB0b20gc2V2ZXJpdHkgc2NvcmVzIGFuZCBtYXRjaGVkIHRoZXNlIHRvIDQwNCBjb250cm9sIGRheXMuIFRoZSBkYXRhIHdlcmUgYW5hbHl6ZWQgdXNpbmcgY29uZGl0aW9uYWwgbG9naXN0aWMgcmVncmVzc2lvbiB3aXRoIGEgMToxIGNhc2UtY3Jvc3NvdmVyIGRlc2lnbi4gUmVzdWx0czogQ2FzZSBkYXlzIHdlcmUgYXNzb2NpYXRlZCB3aXRoIGV4cG9zdXJlIHRvIGJpcmNoIHBvbGxlbiBjb25jZW50cmF0aW9uICgxMDAgZ3JhaW5zL20zKSBbYWRqdXN0ZWQgb2RkcyByYXRpbyAxLjA0NSBhbmQgOTUlIGNvbmZpZGVuY2UgaW50ZXJ2YWwgKDEuMDE04oCTMS4wNzgpXSwgTzMgY29uY2VudHJhdGlvbiAoMTAgzrxnL20zKSBbMS41MDQgKDEuMjgx4oCTMS43NjYpXSBhbmQgUE0xMCBjb25jZW50cmF0aW9uICgxMCDOvGcvbTMpIFsxLjI1NSAoMS4wMDfigJMxLjU2NSldIG9uIHRoZSBkYXkgb2YgdGhlIHNldmVyZSBhbGxlcmd5IGV2ZW50IGFuZCB3aXRoIHRoZSBjdW11bGF0aXZlIGV4cG9zdXJlIG9mIG9uZSBhbmQgdHdvIGRheXMgYmVmb3JlLiBFeHBvc3VyZSB0byBncmFzcyBjb3ZlciAoMTAlIGFyZWEgZnJhY3Rpb24pIFswLjY1NSAoMC40NDbigJMwLjk2MCldLCBmb3Jlc3QgY292ZXIgKDEwJSBhcmVhIGZyYWN0aW9uKSBbMC41NDMgKDAuMzAz4oCTMC45NzMpXSBhbmQgZGVuc2l0eSBvZiBBbG51cyAoMTAlKSBbMC42MjIgKDAuNDEx4oCTMC45NDIpXSB3ZXJlIHByb3RlY3RpdmUgZm9yIHNldmVyZSBhbGxlcmd5LCBidXQgb25seSBvbiB0aGUgZGF5IG9mIHRoZSBzZXZlcmUgYWxsZXJneSBldmVudC4gSW5jcmVhc2VkIGRlbnNpdGllcyBvZiBCZXR1bGEgdHJlZXMgKDEwJSkgd2VyZSBhIHJpc2sgZmFjdG9yIFt1bmFkanVzdGVkIE9SOiAyLjAxNCAoMS4xNjLigJMzLjQ5MCldLiBDb25jbHVzaW9uOiBFeHBvc3VyZSB0byBncmVlbiBzcGFjZSBtYXkgbWl0aWdhdGUgdHJlZSBwb2xsZW4gYWxsZXJneSBzeW1wdG9tIHNldmVyaXR5IGJ1dCBvbmx5IHdoZW4gdGhlIGRlbnNpdHkgb2YgYWxsZXJnZW5pYyB0cmVlcyBpcyBsb3cuIEFpciBwb2xsdXRhbnRzIGNvbnRyaWJ1dGUgdG8gbW9yZSBzZXZlcmUgYWxsZXJneSBzeW1wdG9tcy4gU3BhdGlvLXRlbXBvcmFsIHRyYWNraW5nIGFsbG93cyBmb3IgYSBtb3JlIHJlYWxpc3RpYyBleHBvc3VyZSBhc3Nlc3NtZW50LiIsImF1dGhvciI6W3siZHJvcHBpbmctcGFydGljbGUiOiIiLCJmYW1pbHkiOiJTdGFzIiwiZ2l2ZW4iOiJNaWNoaWVsIiwibm9uLWRyb3BwaW5nLXBhcnRpY2xlIjoiIiwicGFyc2UtbmFtZXMiOmZhbHNlLCJzdWZmaXgiOiIifSx7ImRyb3BwaW5nLXBhcnRpY2xlIjoiIiwiZmFtaWx5IjoiQWVydHMiLCJnaXZlbiI6IlJhZiIsIm5vbi1kcm9wcGluZy1wYXJ0aWNsZSI6IiIsInBhcnNlLW5hbWVzIjpmYWxzZSwic3VmZml4IjoiIn0seyJkcm9wcGluZy1wYXJ0aWNsZSI6IiIsImZhbWlseSI6IkhlbmRyaWNreCIsImdpdmVuIjoiTWFyaWprZSIsIm5vbi1kcm9wcGluZy1wYXJ0aWNsZSI6IiIsInBhcnNlLW5hbWVzIjpmYWxzZSwic3VmZml4IjoiIn0seyJkcm9wcGluZy1wYXJ0aWNsZSI6IiIsImZhbWlseSI6IkRlbGNsb28iLCJnaXZlbiI6IkFuZHkiLCJub24tZHJvcHBpbmctcGFydGljbGUiOiIiLCJwYXJzZS1uYW1lcyI6ZmFsc2UsInN1ZmZpeCI6IiJ9LHsiZHJvcHBpbmctcGFydGljbGUiOiIiLCJmYW1pbHkiOiJEZW5kb25ja2VyIiwiZ2l2ZW4iOiJOaWNvbGFzIiwibm9uLWRyb3BwaW5nLXBhcnRpY2xlIjoiIiwicGFyc2UtbmFtZXMiOmZhbHNlLCJzdWZmaXgiOiIifSx7ImRyb3BwaW5nLXBhcnRpY2xlIjoiIiwiZmFtaWx5IjoiRHVqYXJkaW4iLCJnaXZlbiI6IlNlYmFzdGllbiIsIm5vbi1kcm9wcGluZy1wYXJ0aWNsZSI6IiIsInBhcnNlLW5hbWVzIjpmYWxzZSwic3VmZml4IjoiIn0seyJkcm9wcGluZy1wYXJ0aWNsZSI6IiIsImZhbWlseSI6IkxpbmFyZCIsImdpdmVuIjoiQ2F0aGVyaW5lIiwibm9uLWRyb3BwaW5nLXBhcnRpY2xlIjoiIiwicGFyc2UtbmFtZXMiOmZhbHNlLCJzdWZmaXgiOiIifSx7ImRyb3BwaW5nLXBhcnRpY2xlIjoiIiwiZmFtaWx5IjoiTmF3cm90IiwiZ2l2ZW4iOiJUaW0iLCJub24tZHJvcHBpbmctcGFydGljbGUiOiIiLCJwYXJzZS1uYW1lcyI6ZmFsc2UsInN1ZmZpeCI6IiJ9LHsiZHJvcHBpbmctcGFydGljbGUiOiIiLCJmYW1pbHkiOiJOaWV1d2VuaHV5c2UiLCJnaXZlbiI6IkFuIiwibm9uLWRyb3BwaW5nLXBhcnRpY2xlIjoiVmFuIiwicGFyc2UtbmFtZXMiOmZhbHNlLCJzdWZmaXgiOiIifSx7ImRyb3BwaW5nLXBhcnRpY2xlIjoiIiwiZmFtaWx5IjoiQWVydHMiLCJnaXZlbiI6IkplYW4gTWFyaWUiLCJub24tZHJvcHBpbmctcGFydGljbGUiOiIiLCJwYXJzZS1uYW1lcyI6ZmFsc2UsInN1ZmZpeCI6IiJ9LHsiZHJvcHBpbmctcGFydGljbGUiOiIiLCJmYW1pbHkiOiJPcnNob3ZlbiIsImdpdmVuIjoiSm9zIiwibm9uLWRyb3BwaW5nLXBhcnRpY2xlIjoiVmFuIiwicGFyc2UtbmFtZXMiOmZhbHNlLCJzdWZmaXgiOiIifSx7ImRyb3BwaW5nLXBhcnRpY2xlIjoiIiwiZmFtaWx5IjoiU29tZXJzIiwiZ2l2ZW4iOiJCZW4iLCJub24tZHJvcHBpbmctcGFydGljbGUiOiIiLCJwYXJzZS1uYW1lcyI6ZmFsc2UsInN1ZmZpeCI6IiJ9XSwiY29udGFpbmVyLXRpdGxlIjoiU2NpZW5jZSBvZiB0aGUgVG90YWwgRW52aXJvbm1lbnQiLCJpZCI6IjE3Y2M3M2YwLTg0YjctM2EyYi04NzYxLTU5YzlmOTkwYjY4MiIsImlzc3VlZCI6eyJkYXRlLXBhcnRzIjpbWyIyMDIxIiwiOCIsIjEwIl1dfSwicGFnZSI6IjE0NjY4MiIsInB1Ymxpc2hlciI6IkVsc2V2aWVyIiwidGl0bGUiOiJFeHBvc3VyZSB0byBncmVlbiBzcGFjZSBhbmQgcG9sbGVuIGFsbGVyZ3kgc3ltcHRvbSBzZXZlcml0eTogQSBjYXNlLWNyb3Nzb3ZlciBzdHVkeSBpbiBCZWxnaXVtIiwidHlwZSI6ImFydGljbGUtam91cm5hbCIsInZvbHVtZSI6Ijc4MSJ9LCJ1cmlzIjpbImh0dHA6Ly93d3cubWVuZGVsZXkuY29tL2RvY3VtZW50cy8/dXVpZD0xN2NjNzNmMC04NGI3LTNhMmItODc2MS01OWM5Zjk5MGI2ODIiXSwiaXNUZW1wb3JhcnkiOmZhbHNlLCJsZWdhY3lEZXNrdG9wSWQiOiIxN2NjNzNmMC04NGI3LTNhMmItODc2MS01OWM5Zjk5MGI2ODIifSx7ImlkIjoiMzFmNDA1ZWMtZDIzNS0zYzUzLTgzNDEtMTIyZTE4OTIzNjg3IiwiaXRlbURhdGEiOnsiRE9JIjoiMTAuMTAxNi9KLlNDSVRPVEVOVi4yMDE5LjEzNjQ3MCIsIklTU04iOiIwMDQ4LTk2OTciLCJQTUlEIjoiMzE5MzExOTAiLCJhYnN0cmFjdCI6Ik9iamVjdGl2ZXM6IFByZW5hdGFsIGV4cG9zdXJlIHRvIGFpciBwb2xsdXRhbnQgaGFzIGJlZW4gYXNzb2NpYXRlZCB3aXRoIGNvbmdlbml0YWwgaGVhcnQgZGVmZWN0IChDSEQpLiBIb3dldmVyLCBubyBzdHVkeSBoYXMgaW52ZXN0aWdhdGVkIHRoaXMgZWZmZWN0IGluIHByZS1wcmVnbmFuY3kgb3ZlcndlaWdodGVkIHdvbWVuLiBUaGlzIHN0dWR5IGFpbWVkIHRvIGV2YWx1YXRlIGdlc3RhdGlvbmFsIGV4cG9zdXJlIHRvIHBhcnRpY3VsYXRlIHBvbGx1dGFudCAoUE0yLjUpIGFuZCBnYXNlb3VzIGFpciBwb2xsdXRhbnRzIChPMyBhbmQgTk8yKSBvbiB0aGUgcmlzayBvZiBDSEQsIGFuZCBleHBsb3JlIHRoZSBwb3RlbnRpYWwgZWZmZWN0IG1vZGlmaWVycyBpbmNsdWRpbmcgbWF0ZXJuYWwgYWdlLCBwcmUtcHJlZ25hbmN5IEJNSSBhbmQgcHJlZ2VzdGF0aW9uYWwgZGlzZWFzZXMuIE1ldGhvZHM6IEluIHRoaXMgYmlydGggY29ob3J0IHN0dWR5LCBhIHRvdGFsIG9mIDYzLDIxMyBwcmVnbmFudCB3b21lbiBpbiBGb3NoYW4sIENoaW5hIHdlcmUgaW5pdGlhbGx5IHJlY3J1aXRlZCBhbmQgZm9sbG93ZWQgZnJvbSB0aGVpciBmaXJzdCBob3NwaXRhbCB2aXNpdCBmb3IgcHJlZ25hbmN5IHRvIGRlbGl2ZXJ5IGR1cmluZyAyMDE14oCTMjAxOS4gQ0hEIGNhc2VzIHdlcmUgY29uZmlybWVkIGJ5IHRoZSByZWNvcmRzIGluIGhvc3BpdGFsLSBhbmQgcG9wdWxhdGlvbi0gYmFzZWQgYmlydGggZGVmZWN0IHN1cnZlaWxsYW5jZSBzeXN0ZW1zLiBBaXIgcG9sbHV0YW50IGV4cG9zdXJlcyB3ZXJlIGVzdGltYXRlZCBieSB0aGUgZGFpbHkgY29uY2VudHJhdGlvbnMgbWVhc3VyZWQgaW4gYWlyIG1vbml0b3Jpbmcgc3RhdGlvbnMgaW4gZWFjaCBwYXJ0aWNpcGFudCdzIHJlc2lkZW50aWFsIGNvdW50eS4gTWl4ZWQtZWZmZWN0cyByZWdyZXNzaW9uIG1vZGVscywgYWRqdXN0ZWQgZm9yIHBvdGVudGlhbCBjb25mb3VuZGluZyBmYWN0b3JzIHdlcmUgYXBwbGllZCB0byBlc3RpbWF0ZSB0aGUgYXNzb2NpYXRpb25zIGJldHdlZW4gYWlyIHBvbGx1dGFudCBhbmQgQ0hEIGR1cmluZyB0aGUgZmlyc3QgdGhyZWUgbW9udGhzIG9mIHRoZSBwcmVnbmFuY3kuIFJlc3VsdHM6IEEgdG90YWwgb2YgOTg1ICgxLjYlKSBuZXdib3JucyB3ZXJlIGlkZW50aWZpZWQgYXMgQ0hEIGNhc2VzLiBGb3IgZWFjaCAxMCDOvGcvbTMgaW5jcmVhc2UgaW4gYW1iaWVudCBPMyBkdXJpbmcgdGhlIDFzdCBtb250aCwgdGhlIE9SIHZhbHVlcyBmb3IgQ0hEIHdlcmUgMS4wMyAoOTUlIENJOiAwLjk0LCAxLjEzKSBpbiBwcmUtcHJlZ25hbmN5IG5vcm1hbCB3ZWlnaHRlZCB3b21lbiBhbmQgMS4yNCAoOTUlIENJOiAxLjAxLCAxLjUzKSBpbiBwcmUtcHJlZ25hbmN5IG92ZXJ3ZWlnaHRlZCB3b21lbi4gRm9yIGVhY2ggMTAgzrxnL20zIGluY3JlYXNlIGluIE5PMiBkdXJpbmcgdGhlIDNyZCBtb250aCwgdGhlIE9SIHZhbHVlcyBmb3IgQ0hEIHdlcmUgMS4wOSAoOTUlIENJOiAxLjAxLCAxLjE4KSBpbiBwcmUtcHJlZ25hbmN5IG5vcm1hbCB3ZWlnaHRlZCB3b21lbiBhbmQgMS4yNyAoOTUlIENJOiAxLjA3LCAxLjUxKSBpbiBwcmUtcHJlZ25hbmN5IG92ZXJ3ZWlnaHRlZCB3b21lbi4gTm8gc2lnbmlmaWNhbnQgYXNzb2NpYXRpb25zIHdlcmUgZm91bmQgYmV0d2VlbiBQTTIuNSBleHBvc3VyZSBhbmQgQ0hEIGluIG91ciBhbmFseXNpcy4gQ29uY2x1c2lvbnM6IFRoaXMgc3R1ZHkgZGVtb25zdHJhdGVzIHRoYXQgZ2FzZW91cyBhaXIgcG9sbHV0YW50cyAoTzMgYW5kIE5PMikgZXhwb3N1cmUgZHVyaW5nIHRoZSBjYXJkaWFjIGVtYnJ5b2dlbmVzaXMgcGVyaW9kIGlzIGFzc29jaWF0ZWQgd2l0aCBhbiBpbmNyZWFzZWQgcmlzayBvZiBDSEQsIHBhcnRpY3VsYXJseSBmb3IgcHJlLXByZWduYW5jeSBvdmVyd2VpZ2h0ZWQgd29tZW4uIiwiYXV0aG9yIjpbeyJkcm9wcGluZy1wYXJ0aWNsZSI6IiIsImZhbWlseSI6IllhbmciLCJnaXZlbiI6IllpbiIsIm5vbi1kcm9wcGluZy1wYXJ0aWNsZSI6IiIsInBhcnNlLW5hbWVzIjpmYWxzZSwic3VmZml4IjoiIn0seyJkcm9wcGluZy1wYXJ0aWNsZSI6IiIsImZhbWlseSI6IkxpbiIsImdpdmVuIjoiUWluZ21laSIsIm5vbi1kcm9wcGluZy1wYXJ0aWNsZSI6IiIsInBhcnNlLW5hbWVzIjpmYWxzZSwic3VmZml4IjoiIn0seyJkcm9wcGluZy1wYXJ0aWNsZSI6IiIsImZhbWlseSI6IkxpYW5nIiwiZ2l2ZW4iOiJZaW4iLCJub24tZHJvcHBpbmctcGFydGljbGUiOiIiLCJwYXJzZS1uYW1lcyI6ZmFsc2UsInN1ZmZpeCI6IiJ9LHsiZHJvcHBpbmctcGFydGljbGUiOiIiLCJmYW1pbHkiOiJSdWFuIiwiZ2l2ZW4iOiJaZW5nbGlhbmciLCJub24tZHJvcHBpbmctcGFydGljbGUiOiIiLCJwYXJzZS1uYW1lcyI6ZmFsc2UsInN1ZmZpeCI6IiJ9LHsiZHJvcHBpbmctcGFydGljbGUiOiIiLCJmYW1pbHkiOiJBY2hhcnlhIiwiZ2l2ZW4iOiJCaXBpbiBLdW1hciIsIm5vbi1kcm9wcGluZy1wYXJ0aWNsZSI6IiIsInBhcnNlLW5hbWVzIjpmYWxzZSwic3VmZml4IjoiIn0seyJkcm9wcGluZy1wYXJ0aWNsZSI6IiIsImZhbWlseSI6IlpoYW5nIiwiZ2l2ZW4iOiJTaGl5dSIsIm5vbi1kcm9wcGluZy1wYXJ0aWNsZSI6IiIsInBhcnNlLW5hbWVzIjpmYWxzZSwic3VmZml4IjoiIn0seyJkcm9wcGluZy1wYXJ0aWNsZSI6IiIsImZhbWlseSI6IlFpYW4iLCJnaXZlbiI6IlpoZW5nbWluIiwibm9uLWRyb3BwaW5nLXBhcnRpY2xlIjoiIiwicGFyc2UtbmFtZXMiOmZhbHNlLCJzdWZmaXgiOiIifSx7ImRyb3BwaW5nLXBhcnRpY2xlIjoiIiwiZmFtaWx5IjoiTWNNaWxsaW4iLCJnaXZlbiI6IlN0ZXBoZW4gRWR3YXJkIiwibm9uLWRyb3BwaW5nLXBhcnRpY2xlIjoiIiwicGFyc2UtbmFtZXMiOmZhbHNlLCJzdWZmaXgiOiIifSx7ImRyb3BwaW5nLXBhcnRpY2xlIjoiIiwiZmFtaWx5IjoiSGlueWFyZCIsImdpdmVuIjoiTGVzbGllIiwibm9uLWRyb3BwaW5nLXBhcnRpY2xlIjoiIiwicGFyc2UtbmFtZXMiOmZhbHNlLCJzdWZmaXgiOiIifSx7ImRyb3BwaW5nLXBhcnRpY2xlIjoiIiwiZmFtaWx5IjoiU3VuIiwiZ2l2ZW4iOiJKaWEiLCJub24tZHJvcHBpbmctcGFydGljbGUiOiIiLCJwYXJzZS1uYW1lcyI6ZmFsc2UsInN1ZmZpeCI6IiJ9LHsiZHJvcHBpbmctcGFydGljbGUiOiIiLCJmYW1pbHkiOiJXYW5nIiwiZ2l2ZW4iOiJDaGFuZ2tlIiwibm9uLWRyb3BwaW5nLXBhcnRpY2xlIjoiIiwicGFyc2UtbmFtZXMiOmZhbHNlLCJzdWZmaXgiOiIifSx7ImRyb3BwaW5nLXBhcnRpY2xlIjoiIiwiZmFtaWx5IjoiR2UiLCJnaXZlbiI6IkhhaWJvIiwibm9uLWRyb3BwaW5nLXBhcnRpY2xlIjoiIiwicGFyc2UtbmFtZXMiOmZhbHNlLCJzdWZmaXgiOiIifSx7ImRyb3BwaW5nLXBhcnRpY2xlIjoiIiwiZmFtaWx5IjoiV3UiLCJnaXZlbiI6Ilh1ZWxpIiwibm9uLWRyb3BwaW5nLXBhcnRpY2xlIjoiIiwicGFyc2UtbmFtZXMiOmZhbHNlLCJzdWZmaXgiOiIifSx7ImRyb3BwaW5nLXBhcnRpY2xlIjoiIiwiZmFtaWx5IjoiR3VvIiwiZ2l2ZW4iOiJYaWFvbGluZyIsIm5vbi1kcm9wcGluZy1wYXJ0aWNsZSI6IiIsInBhcnNlLW5hbWVzIjpmYWxzZSwic3VmZml4IjoiIn0seyJkcm9wcGluZy1wYXJ0aWNsZSI6IiIsImZhbWlseSI6IkxpbiIsImdpdmVuIjoiSHVhbGlhbmciLCJub24tZHJvcHBpbmctcGFydGljbGUiOiIiLCJwYXJzZS1uYW1lcyI6ZmFsc2UsInN1ZmZpeCI6IiJ9XSwiY29udGFpbmVyLXRpdGxlIjoiU2NpZW5jZSBvZiBUaGUgVG90YWwgRW52aXJvbm1lbnQiLCJpZCI6IjMxZjQwNWVjLWQyMzUtM2M1My04MzQxLTEyMmUxODkyMzY4NyIsImlzc3VlZCI6eyJkYXRlLXBhcnRzIjpbWyIyMDIwIiwiNCIsIjEwIl1dfSwicGFnZSI6IjEzNjQ3MCIsInB1Ymxpc2hlciI6IkVsc2V2aWVyIiwidGl0bGUiOiJNYXRlcm5hbCBhaXIgcG9sbHV0aW9uIGV4cG9zdXJlIGFzc29jaWF0ZWQgd2l0aCByaXNrIG9mIGNvbmdlbml0YWwgaGVhcnQgZGVmZWN0IGluIHByZS1wcmVnbmFuY3kgb3ZlcndlaWdodGVkIHdvbWVuIiwidHlwZSI6ImFydGljbGUtam91cm5hbCIsInZvbHVtZSI6IjcxMiJ9LCJ1cmlzIjpbImh0dHA6Ly93d3cubWVuZGVsZXkuY29tL2RvY3VtZW50cy8/dXVpZD0zMWY0MDVlYy1kMjM1LTNjNTMtODM0MS0xMjJlMTg5MjM2ODciXSwiaXNUZW1wb3JhcnkiOmZhbHNlLCJsZWdhY3lEZXNrdG9wSWQiOiIzMWY0MDVlYy1kMjM1LTNjNTMtODM0MS0xMjJlMTg5MjM2ODcifV0sInByb3BlcnRpZXMiOnsibm90ZUluZGV4IjowfSwiaXNFZGl0ZWQiOmZhbHNlLCJtYW51YWxPdmVycmlkZSI6eyJjaXRlcHJvY1RleHQiOiIoTW8gZXQgYWwuLCAyMDE5OyBTdGFzIGV0IGFsLiwgMjAyMTsgWWFuZyBldCBhbC4sIDIwMjApIiwiaXNNYW51YWxseU92ZXJyaWRkZW4iOmZhbHNlLCJtYW51YWxPdmVycmlkZVRleHQiOiIifX0=&quot;},{&quot;citationID&quot;:&quot;MENDELEY_CITATION_63cc29f2-c228-4248-97f3-00e6d8f6bdb6&quot;,&quot;citationItems&quot;:[{&quot;id&quot;:&quot;57c85cba-9819-37b2-9932-4c39db91563b&quot;,&quot;itemData&quot;:{&quot;DOI&quot;:&quot;10.1016/j.sste.2014.05.001&quot;,&quot;ISBN&quot;:&quot;1877-5845&quot;,&quot;ISSN&quot;:&quot;18775853&quot;,&quot;PMID&quot;:&quot;25113589&quot;,&quot;abstract&quot;:&quot;It has long been known that air pollution is harmful to human health, as many epidemiological studies have been conducted into its effects. Collectively, these studies have investigated both the acute and chronic effects of pollution, with the latter typically based on individual level cohort designs that can be expensive to implement. As a result of the increasing availability of small-area statistics, ecological spatio-temporal study designs are also being used, with which a key statistical problem is allowing for residual spatio-temporal autocorrelation that remains after the covariate effects have been removed. We present a new model for estimating the effects of air pollution on human health, which allows for residual spatio-temporal autocorrelation, and a study into the long-term effects of air pollution on human health in Greater London, England. The individual and joint effects of different pollutants are explored, via the use of single pollutant models and multiple pollutant indices. ?? 2014 The Authors.&quot;,&quot;author&quot;:[{&quot;dropping-particle&quot;:&quot;&quot;,&quot;family&quot;:&quot;Rushworth&quot;,&quot;given&quot;:&quot;Alastair&quot;,&quot;non-dropping-particle&quot;:&quot;&quot;,&quot;parse-names&quot;:false,&quot;suffix&quot;:&quot;&quot;},{&quot;dropping-particle&quot;:&quot;&quot;,&quot;family&quot;:&quot;Lee&quot;,&quot;given&quot;:&quot;Duncan&quot;,&quot;non-dropping-particle&quot;:&quot;&quot;,&quot;parse-names&quot;:false,&quot;suffix&quot;:&quot;&quot;},{&quot;dropping-particle&quot;:&quot;&quot;,&quot;family&quot;:&quot;Mitchell&quot;,&quot;given&quot;:&quot;Richard&quot;,&quot;non-dropping-particle&quot;:&quot;&quot;,&quot;parse-names&quot;:false,&quot;suffix&quot;:&quot;&quot;}],&quot;container-title&quot;:&quot;Spatial and Spatio-temporal Epidemiology&quot;,&quot;id&quot;:&quot;57c85cba-9819-37b2-9932-4c39db91563b&quot;,&quot;issued&quot;:{&quot;date-parts&quot;:[[&quot;2014&quot;]]},&quot;page&quot;:&quot;29-38&quot;,&quot;title&quot;:&quot;A spatio-temporal model for estimating the long-term effects of air pollution on respiratory hospital admissions in Greater London&quot;,&quot;type&quot;:&quot;article-journal&quot;,&quot;volume&quot;:&quot;10&quot;},&quot;uris&quot;:[&quot;http://www.mendeley.com/documents/?uuid=050fbd6f-860e-4dbc-8f2a-25129d30f555&quot;],&quot;isTemporary&quot;:false,&quot;legacyDesktopId&quot;:&quot;050fbd6f-860e-4dbc-8f2a-25129d30f555&quot;}],&quot;properties&quot;:{&quot;noteIndex&quot;:0},&quot;isEdited&quot;:false,&quot;manualOverride&quot;:{&quot;citeprocText&quot;:&quot;(Rushworth et al., 2014)&quot;,&quot;isManuallyOverridden&quot;:false,&quot;manualOverrideText&quot;:&quot;&quot;},&quot;citationTag&quot;:&quot;MENDELEY_CITATION_v3_eyJjaXRhdGlvbklEIjoiTUVOREVMRVlfQ0lUQVRJT05fNjNjYzI5ZjItYzIyOC00MjQ4LTk3ZjMtMDBlNmQ4ZjZiZGI2IiwiY2l0YXRpb25JdGVtcyI6W3siaWQiOiI1N2M4NWNiYS05ODE5LTM3YjItOTkzMi00YzM5ZGI5MTU2M2IiLCJpdGVtRGF0YSI6eyJET0kiOiIxMC4xMDE2L2ouc3N0ZS4yMDE0LjA1LjAwMSIsIklTQk4iOiIxODc3LTU4NDUiLCJJU1NOIjoiMTg3NzU4NTMiLCJQTUlEIjoiMjUxMTM1ODkiLCJhYnN0cmFjdCI6Ikl0IGhhcyBsb25nIGJlZW4ga25vd24gdGhhdCBhaXIgcG9sbHV0aW9uIGlzIGhhcm1mdWwgdG8gaHVtYW4gaGVhbHRoLCBhcyBtYW55IGVwaWRlbWlvbG9naWNhbCBzdHVkaWVzIGhhdmUgYmVlbiBjb25kdWN0ZWQgaW50byBpdHMgZWZmZWN0cy4gQ29sbGVjdGl2ZWx5LCB0aGVzZSBzdHVkaWVzIGhhdmUgaW52ZXN0aWdhdGVkIGJvdGggdGhlIGFjdXRlIGFuZCBjaHJvbmljIGVmZmVjdHMgb2YgcG9sbHV0aW9uLCB3aXRoIHRoZSBsYXR0ZXIgdHlwaWNhbGx5IGJhc2VkIG9uIGluZGl2aWR1YWwgbGV2ZWwgY29ob3J0IGRlc2lnbnMgdGhhdCBjYW4gYmUgZXhwZW5zaXZlIHRvIGltcGxlbWVudC4gQXMgYSByZXN1bHQgb2YgdGhlIGluY3JlYXNpbmcgYXZhaWxhYmlsaXR5IG9mIHNtYWxsLWFyZWEgc3RhdGlzdGljcywgZWNvbG9naWNhbCBzcGF0aW8tdGVtcG9yYWwgc3R1ZHkgZGVzaWducyBhcmUgYWxzbyBiZWluZyB1c2VkLCB3aXRoIHdoaWNoIGEga2V5IHN0YXRpc3RpY2FsIHByb2JsZW0gaXMgYWxsb3dpbmcgZm9yIHJlc2lkdWFsIHNwYXRpby10ZW1wb3JhbCBhdXRvY29ycmVsYXRpb24gdGhhdCByZW1haW5zIGFmdGVyIHRoZSBjb3ZhcmlhdGUgZWZmZWN0cyBoYXZlIGJlZW4gcmVtb3ZlZC4gV2UgcHJlc2VudCBhIG5ldyBtb2RlbCBmb3IgZXN0aW1hdGluZyB0aGUgZWZmZWN0cyBvZiBhaXIgcG9sbHV0aW9uIG9uIGh1bWFuIGhlYWx0aCwgd2hpY2ggYWxsb3dzIGZvciByZXNpZHVhbCBzcGF0aW8tdGVtcG9yYWwgYXV0b2NvcnJlbGF0aW9uLCBhbmQgYSBzdHVkeSBpbnRvIHRoZSBsb25nLXRlcm0gZWZmZWN0cyBvZiBhaXIgcG9sbHV0aW9uIG9uIGh1bWFuIGhlYWx0aCBpbiBHcmVhdGVyIExvbmRvbiwgRW5nbGFuZC4gVGhlIGluZGl2aWR1YWwgYW5kIGpvaW50IGVmZmVjdHMgb2YgZGlmZmVyZW50IHBvbGx1dGFudHMgYXJlIGV4cGxvcmVkLCB2aWEgdGhlIHVzZSBvZiBzaW5nbGUgcG9sbHV0YW50IG1vZGVscyBhbmQgbXVsdGlwbGUgcG9sbHV0YW50IGluZGljZXMuID8/IDIwMTQgVGhlIEF1dGhvcnMuIiwiYXV0aG9yIjpbeyJkcm9wcGluZy1wYXJ0aWNsZSI6IiIsImZhbWlseSI6IlJ1c2h3b3J0aCIsImdpdmVuIjoiQWxhc3RhaXIiLCJub24tZHJvcHBpbmctcGFydGljbGUiOiIiLCJwYXJzZS1uYW1lcyI6ZmFsc2UsInN1ZmZpeCI6IiJ9LHsiZHJvcHBpbmctcGFydGljbGUiOiIiLCJmYW1pbHkiOiJMZWUiLCJnaXZlbiI6IkR1bmNhbiIsIm5vbi1kcm9wcGluZy1wYXJ0aWNsZSI6IiIsInBhcnNlLW5hbWVzIjpmYWxzZSwic3VmZml4IjoiIn0seyJkcm9wcGluZy1wYXJ0aWNsZSI6IiIsImZhbWlseSI6Ik1pdGNoZWxsIiwiZ2l2ZW4iOiJSaWNoYXJkIiwibm9uLWRyb3BwaW5nLXBhcnRpY2xlIjoiIiwicGFyc2UtbmFtZXMiOmZhbHNlLCJzdWZmaXgiOiIifV0sImNvbnRhaW5lci10aXRsZSI6IlNwYXRpYWwgYW5kIFNwYXRpby10ZW1wb3JhbCBFcGlkZW1pb2xvZ3kiLCJpZCI6IjU3Yzg1Y2JhLTk4MTktMzdiMi05OTMyLTRjMzlkYjkxNTYzYiIsImlzc3VlZCI6eyJkYXRlLXBhcnRzIjpbWyIyMDE0Il1dfSwicGFnZSI6IjI5LTM4IiwidGl0bGUiOiJBIHNwYXRpby10ZW1wb3JhbCBtb2RlbCBmb3IgZXN0aW1hdGluZyB0aGUgbG9uZy10ZXJtIGVmZmVjdHMgb2YgYWlyIHBvbGx1dGlvbiBvbiByZXNwaXJhdG9yeSBob3NwaXRhbCBhZG1pc3Npb25zIGluIEdyZWF0ZXIgTG9uZG9uIiwidHlwZSI6ImFydGljbGUtam91cm5hbCIsInZvbHVtZSI6IjEwIn0sInVyaXMiOlsiaHR0cDovL3d3dy5tZW5kZWxleS5jb20vZG9jdW1lbnRzLz91dWlkPTA1MGZiZDZmLTg2MGUtNGRiYy04ZjJhLTI1MTI5ZDMwZjU1NSJdLCJpc1RlbXBvcmFyeSI6ZmFsc2UsImxlZ2FjeURlc2t0b3BJZCI6IjA1MGZiZDZmLTg2MGUtNGRiYy04ZjJhLTI1MTI5ZDMwZjU1NSJ9XSwicHJvcGVydGllcyI6eyJub3RlSW5kZXgiOjB9LCJpc0VkaXRlZCI6ZmFsc2UsIm1hbnVhbE92ZXJyaWRlIjp7ImNpdGVwcm9jVGV4dCI6IihSdXNod29ydGggZXQgYWwuLCAyMDE0KSIsImlzTWFudWFsbHlPdmVycmlkZGVuIjpmYWxzZSwibWFudWFsT3ZlcnJpZGVUZXh0IjoiIn19&quot;},{&quot;citationID&quot;:&quot;MENDELEY_CITATION_6c2af2d0-0396-4c00-9ab2-01040d5c4446&quot;,&quot;citationItems&quot;:[{&quot;id&quot;:&quot;4f90b807-00af-3496-84aa-65a876096c77&quot;,&quot;itemData&quot;:{&quot;DOI&quot;:&quot;10.1016/j.atmosenv.2008.05.057&quot;,&quot;ISBN&quot;:&quot;1352-2310&quot;,&quot;ISSN&quot;:&quot;13522310&quot;,&quot;abstract&quot;:&quot;Studies on the health effects of long-term average exposure to outdoor air pollution have played an important role in recent health impact assessments. Exposure assessment for epidemiological studies of long-term exposure to ambient air pollution remains a difficult challenge because of substantial small-scale spatial variation. Current approaches for assessing intra-urban air pollution contrasts include the use of exposure indicator variables, interpolation methods, dispersion models and land-use regression (LUR) models. LUR models have been increasingly used in the past few years. This paper provides a critical review of the different components of LUR models. We identified 25 land-use regression studies. Land-use regression combines monitoring of air pollution at typically 20-100 locations, spread over the study area, and development of stochastic models using predictor variables usually obtained through geographic information systems (GIS). Monitoring is usually temporally limited: one to four surveys of typically one or two weeks duration. Significant predictor variables include various traffic representations, population density, land use, physical geography (e.g. altitude) and climate. Land-use regression methods have generally been applied successfully to model annual mean concentrations of NO2, NOx, PM2.5, the soot content of PM2.5 and VOCs in different settings, including European and North-American cities. The performance of the method in urban areas is typically better or equivalent to geo-statistical methods, such as kriging, and dispersion models. Further developments of the land-use regression method include more focus on developing models that can be transferred to other areas, inclusion of additional predictor variables such as wind direction or emission data and further exploration of focalsum methods. Models that include a spatial and a temporal component are of interest for (e.g. birth cohort) studies that need exposure variables on a finer temporal scale. There is a strong need for validation of LUR models with personal exposure monitoring. ?? 2008 Elsevier Ltd. All rights reserved.&quot;,&quot;author&quot;:[{&quot;dropping-particle&quot;:&quot;&quot;,&quot;family&quot;:&quot;Hoek&quot;,&quot;given&quot;:&quot;Gerard&quot;,&quot;non-dropping-particle&quot;:&quot;&quot;,&quot;parse-names&quot;:false,&quot;suffix&quot;:&quot;&quot;},{&quot;dropping-particle&quot;:&quot;&quot;,&quot;family&quot;:&quot;Beelen&quot;,&quot;given&quot;:&quot;Rob&quot;,&quot;non-dropping-particle&quot;:&quot;&quot;,&quot;parse-names&quot;:false,&quot;suffix&quot;:&quot;&quot;},{&quot;dropping-particle&quot;:&quot;&quot;,&quot;family&quot;:&quot;Hoogh&quot;,&quot;given&quot;:&quot;Kees&quot;,&quot;non-dropping-particle&quot;:&quot;de&quot;,&quot;parse-names&quot;:false,&quot;suffix&quot;:&quot;&quot;},{&quot;dropping-particle&quot;:&quot;&quot;,&quot;family&quot;:&quot;Vienneau&quot;,&quot;given&quot;:&quot;Danielle&quot;,&quot;non-dropping-particle&quot;:&quot;&quot;,&quot;parse-names&quot;:false,&quot;suffix&quot;:&quot;&quot;},{&quot;dropping-particle&quot;:&quot;&quot;,&quot;family&quot;:&quot;Gulliver&quot;,&quot;given&quot;:&quot;John&quot;,&quot;non-dropping-particle&quot;:&quot;&quot;,&quot;parse-names&quot;:false,&quot;suffix&quot;:&quot;&quot;},{&quot;dropping-particle&quot;:&quot;&quot;,&quot;family&quot;:&quot;Fischer&quot;,&quot;given&quot;:&quot;Paul&quot;,&quot;non-dropping-particle&quot;:&quot;&quot;,&quot;parse-names&quot;:false,&quot;suffix&quot;:&quot;&quot;},{&quot;dropping-particle&quot;:&quot;&quot;,&quot;family&quot;:&quot;Briggs&quot;,&quot;given&quot;:&quot;David&quot;,&quot;non-dropping-particle&quot;:&quot;&quot;,&quot;parse-names&quot;:false,&quot;suffix&quot;:&quot;&quot;}],&quot;container-title&quot;:&quot;Atmospheric Environment&quot;,&quot;id&quot;:&quot;4f90b807-00af-3496-84aa-65a876096c77&quot;,&quot;issue&quot;:&quot;33&quot;,&quot;issued&quot;:{&quot;date-parts&quot;:[[&quot;2008&quot;]]},&quot;page&quot;:&quot;7561-7578&quot;,&quot;title&quot;:&quot;A review of land-use regression models to assess spatial variation of outdoor air pollution&quot;,&quot;type&quot;:&quot;article-journal&quot;,&quot;volume&quot;:&quot;42&quot;},&quot;uris&quot;:[&quot;http://www.mendeley.com/documents/?uuid=0bc0d7c2-e616-4f0c-887f-c82ef0783c6f&quot;],&quot;isTemporary&quot;:false,&quot;legacyDesktopId&quot;:&quot;0bc0d7c2-e616-4f0c-887f-c82ef0783c6f&quot;}],&quot;properties&quot;:{&quot;noteIndex&quot;:0},&quot;isEdited&quot;:false,&quot;manualOverride&quot;:{&quot;citeprocText&quot;:&quot;(Hoek et al., 2008)&quot;,&quot;isManuallyOverridden&quot;:false,&quot;manualOverrideText&quot;:&quot;&quot;},&quot;citationTag&quot;:&quot;MENDELEY_CITATION_v3_eyJjaXRhdGlvbklEIjoiTUVOREVMRVlfQ0lUQVRJT05fNmMyYWYyZDAtMDM5Ni00YzAwLTlhYjItMDEwNDBkNWM0NDQ2IiwiY2l0YXRpb25JdGVtcyI6W3siaWQiOiI0ZjkwYjgwNy0wMGFmLTM0OTYtODRhYS02NWE4NzYwOTZjNzciLCJpdGVtRGF0YSI6eyJET0kiOiIxMC4xMDE2L2ouYXRtb3NlbnYuMjAwOC4wNS4wNTciLCJJU0JOIjoiMTM1Mi0yMzEwIiwiSVNTTiI6IjEzNTIyMzEwIiwiYWJzdHJhY3QiOiJTdHVkaWVzIG9uIHRoZSBoZWFsdGggZWZmZWN0cyBvZiBsb25nLXRlcm0gYXZlcmFnZSBleHBvc3VyZSB0byBvdXRkb29yIGFpciBwb2xsdXRpb24gaGF2ZSBwbGF5ZWQgYW4gaW1wb3J0YW50IHJvbGUgaW4gcmVjZW50IGhlYWx0aCBpbXBhY3QgYXNzZXNzbWVudHMuIEV4cG9zdXJlIGFzc2Vzc21lbnQgZm9yIGVwaWRlbWlvbG9naWNhbCBzdHVkaWVzIG9mIGxvbmctdGVybSBleHBvc3VyZSB0byBhbWJpZW50IGFpciBwb2xsdXRpb24gcmVtYWlucyBhIGRpZmZpY3VsdCBjaGFsbGVuZ2UgYmVjYXVzZSBvZiBzdWJzdGFudGlhbCBzbWFsbC1zY2FsZSBzcGF0aWFsIHZhcmlhdGlvbi4gQ3VycmVudCBhcHByb2FjaGVzIGZvciBhc3Nlc3NpbmcgaW50cmEtdXJiYW4gYWlyIHBvbGx1dGlvbiBjb250cmFzdHMgaW5jbHVkZSB0aGUgdXNlIG9mIGV4cG9zdXJlIGluZGljYXRvciB2YXJpYWJsZXMsIGludGVycG9sYXRpb24gbWV0aG9kcywgZGlzcGVyc2lvbiBtb2RlbHMgYW5kIGxhbmQtdXNlIHJlZ3Jlc3Npb24gKExVUikgbW9kZWxzLiBMVVIgbW9kZWxzIGhhdmUgYmVlbiBpbmNyZWFzaW5nbHkgdXNlZCBpbiB0aGUgcGFzdCBmZXcgeWVhcnMuIFRoaXMgcGFwZXIgcHJvdmlkZXMgYSBjcml0aWNhbCByZXZpZXcgb2YgdGhlIGRpZmZlcmVudCBjb21wb25lbnRzIG9mIExVUiBtb2RlbHMuIFdlIGlkZW50aWZpZWQgMjUgbGFuZC11c2UgcmVncmVzc2lvbiBzdHVkaWVzLiBMYW5kLXVzZSByZWdyZXNzaW9uIGNvbWJpbmVzIG1vbml0b3Jpbmcgb2YgYWlyIHBvbGx1dGlvbiBhdCB0eXBpY2FsbHkgMjAtMTAwIGxvY2F0aW9ucywgc3ByZWFkIG92ZXIgdGhlIHN0dWR5IGFyZWEsIGFuZCBkZXZlbG9wbWVudCBvZiBzdG9jaGFzdGljIG1vZGVscyB1c2luZyBwcmVkaWN0b3IgdmFyaWFibGVzIHVzdWFsbHkgb2J0YWluZWQgdGhyb3VnaCBnZW9ncmFwaGljIGluZm9ybWF0aW9uIHN5c3RlbXMgKEdJUykuIE1vbml0b3JpbmcgaXMgdXN1YWxseSB0ZW1wb3JhbGx5IGxpbWl0ZWQ6IG9uZSB0byBmb3VyIHN1cnZleXMgb2YgdHlwaWNhbGx5IG9uZSBvciB0d28gd2Vla3MgZHVyYXRpb24uIFNpZ25pZmljYW50IHByZWRpY3RvciB2YXJpYWJsZXMgaW5jbHVkZSB2YXJpb3VzIHRyYWZmaWMgcmVwcmVzZW50YXRpb25zLCBwb3B1bGF0aW9uIGRlbnNpdHksIGxhbmQgdXNlLCBwaHlzaWNhbCBnZW9ncmFwaHkgKGUuZy4gYWx0aXR1ZGUpIGFuZCBjbGltYXRlLiBMYW5kLXVzZSByZWdyZXNzaW9uIG1ldGhvZHMgaGF2ZSBnZW5lcmFsbHkgYmVlbiBhcHBsaWVkIHN1Y2Nlc3NmdWxseSB0byBtb2RlbCBhbm51YWwgbWVhbiBjb25jZW50cmF0aW9ucyBvZiBOTzIsIE5PeCwgUE0yLjUsIHRoZSBzb290IGNvbnRlbnQgb2YgUE0yLjUgYW5kIFZPQ3MgaW4gZGlmZmVyZW50IHNldHRpbmdzLCBpbmNsdWRpbmcgRXVyb3BlYW4gYW5kIE5vcnRoLUFtZXJpY2FuIGNpdGllcy4gVGhlIHBlcmZvcm1hbmNlIG9mIHRoZSBtZXRob2QgaW4gdXJiYW4gYXJlYXMgaXMgdHlwaWNhbGx5IGJldHRlciBvciBlcXVpdmFsZW50IHRvIGdlby1zdGF0aXN0aWNhbCBtZXRob2RzLCBzdWNoIGFzIGtyaWdpbmcsIGFuZCBkaXNwZXJzaW9uIG1vZGVscy4gRnVydGhlciBkZXZlbG9wbWVudHMgb2YgdGhlIGxhbmQtdXNlIHJlZ3Jlc3Npb24gbWV0aG9kIGluY2x1ZGUgbW9yZSBmb2N1cyBvbiBkZXZlbG9waW5nIG1vZGVscyB0aGF0IGNhbiBiZSB0cmFuc2ZlcnJlZCB0byBvdGhlciBhcmVhcywgaW5jbHVzaW9uIG9mIGFkZGl0aW9uYWwgcHJlZGljdG9yIHZhcmlhYmxlcyBzdWNoIGFzIHdpbmQgZGlyZWN0aW9uIG9yIGVtaXNzaW9uIGRhdGEgYW5kIGZ1cnRoZXIgZXhwbG9yYXRpb24gb2YgZm9jYWxzdW0gbWV0aG9kcy4gTW9kZWxzIHRoYXQgaW5jbHVkZSBhIHNwYXRpYWwgYW5kIGEgdGVtcG9yYWwgY29tcG9uZW50IGFyZSBvZiBpbnRlcmVzdCBmb3IgKGUuZy4gYmlydGggY29ob3J0KSBzdHVkaWVzIHRoYXQgbmVlZCBleHBvc3VyZSB2YXJpYWJsZXMgb24gYSBmaW5lciB0ZW1wb3JhbCBzY2FsZS4gVGhlcmUgaXMgYSBzdHJvbmcgbmVlZCBmb3IgdmFsaWRhdGlvbiBvZiBMVVIgbW9kZWxzIHdpdGggcGVyc29uYWwgZXhwb3N1cmUgbW9uaXRvcmluZy4gPz8gMjAwOCBFbHNldmllciBMdGQuIEFsbCByaWdodHMgcmVzZXJ2ZWQuIiwiYXV0aG9yIjpbeyJkcm9wcGluZy1wYXJ0aWNsZSI6IiIsImZhbWlseSI6IkhvZWsiLCJnaXZlbiI6IkdlcmFyZCIsIm5vbi1kcm9wcGluZy1wYXJ0aWNsZSI6IiIsInBhcnNlLW5hbWVzIjpmYWxzZSwic3VmZml4IjoiIn0seyJkcm9wcGluZy1wYXJ0aWNsZSI6IiIsImZhbWlseSI6IkJlZWxlbiIsImdpdmVuIjoiUm9iIiwibm9uLWRyb3BwaW5nLXBhcnRpY2xlIjoiIiwicGFyc2UtbmFtZXMiOmZhbHNlLCJzdWZmaXgiOiIifSx7ImRyb3BwaW5nLXBhcnRpY2xlIjoiIiwiZmFtaWx5IjoiSG9vZ2giLCJnaXZlbiI6IktlZXMiLCJub24tZHJvcHBpbmctcGFydGljbGUiOiJkZSIsInBhcnNlLW5hbWVzIjpmYWxzZSwic3VmZml4IjoiIn0seyJkcm9wcGluZy1wYXJ0aWNsZSI6IiIsImZhbWlseSI6IlZpZW5uZWF1IiwiZ2l2ZW4iOiJEYW5pZWxsZSIsIm5vbi1kcm9wcGluZy1wYXJ0aWNsZSI6IiIsInBhcnNlLW5hbWVzIjpmYWxzZSwic3VmZml4IjoiIn0seyJkcm9wcGluZy1wYXJ0aWNsZSI6IiIsImZhbWlseSI6Ikd1bGxpdmVyIiwiZ2l2ZW4iOiJKb2huIiwibm9uLWRyb3BwaW5nLXBhcnRpY2xlIjoiIiwicGFyc2UtbmFtZXMiOmZhbHNlLCJzdWZmaXgiOiIifSx7ImRyb3BwaW5nLXBhcnRpY2xlIjoiIiwiZmFtaWx5IjoiRmlzY2hlciIsImdpdmVuIjoiUGF1bCIsIm5vbi1kcm9wcGluZy1wYXJ0aWNsZSI6IiIsInBhcnNlLW5hbWVzIjpmYWxzZSwic3VmZml4IjoiIn0seyJkcm9wcGluZy1wYXJ0aWNsZSI6IiIsImZhbWlseSI6IkJyaWdncyIsImdpdmVuIjoiRGF2aWQiLCJub24tZHJvcHBpbmctcGFydGljbGUiOiIiLCJwYXJzZS1uYW1lcyI6ZmFsc2UsInN1ZmZpeCI6IiJ9XSwiY29udGFpbmVyLXRpdGxlIjoiQXRtb3NwaGVyaWMgRW52aXJvbm1lbnQiLCJpZCI6IjRmOTBiODA3LTAwYWYtMzQ5Ni04NGFhLTY1YTg3NjA5NmM3NyIsImlzc3VlIjoiMzMiLCJpc3N1ZWQiOnsiZGF0ZS1wYXJ0cyI6W1siMjAwOCJdXX0sInBhZ2UiOiI3NTYxLTc1NzgiLCJ0aXRsZSI6IkEgcmV2aWV3IG9mIGxhbmQtdXNlIHJlZ3Jlc3Npb24gbW9kZWxzIHRvIGFzc2VzcyBzcGF0aWFsIHZhcmlhdGlvbiBvZiBvdXRkb29yIGFpciBwb2xsdXRpb24iLCJ0eXBlIjoiYXJ0aWNsZS1qb3VybmFsIiwidm9sdW1lIjoiNDIifSwidXJpcyI6WyJodHRwOi8vd3d3Lm1lbmRlbGV5LmNvbS9kb2N1bWVudHMvP3V1aWQ9MGJjMGQ3YzItZTYxNi00ZjBjLTg4N2YtYzgyZWYwNzgzYzZmIl0sImlzVGVtcG9yYXJ5IjpmYWxzZSwibGVnYWN5RGVza3RvcElkIjoiMGJjMGQ3YzItZTYxNi00ZjBjLTg4N2YtYzgyZWYwNzgzYzZmIn1dLCJwcm9wZXJ0aWVzIjp7Im5vdGVJbmRleCI6MH0sImlzRWRpdGVkIjpmYWxzZSwibWFudWFsT3ZlcnJpZGUiOnsiY2l0ZXByb2NUZXh0IjoiKEhvZWsgZXQgYWwuLCAyMDA4KSIsImlzTWFudWFsbHlPdmVycmlkZGVuIjpmYWxzZSwibWFudWFsT3ZlcnJpZGVUZXh0IjoiIn19&quot;},{&quot;citationID&quot;:&quot;MENDELEY_CITATION_8b0bffde-13b5-4a4d-a0e1-ccb43201d345&quot;,&quot;citationItems&quot;:[{&quot;id&quot;:&quot;5dc027a3-6a8e-30b9-a5b6-fe85651e7679&quot;,&quot;itemData&quot;:{&quot;DOI&quot;:&quot;10.1016/j.envpol.2015.09.042&quot;,&quot;ISBN&quot;:&quot;1873-6424 (Electronic)\\r0269-7491 (Linking)&quot;,&quot;ISSN&quot;:&quot;18736424&quot;,&quot;PMID&quot;:&quot;26499934&quot;,&quot;abstract&quot;:&quot;Development of exposure assessment model is the key component for epidemiological studies concerning air pollution, but the evidence from China is limited. Therefore, a linear mixed effects (LME) model was established in this study in a Chinese metropolis by incorporating aerosol optical depth (AOD), meteorological information and the land use regression (LUR) model to predict ground PM10 levels on high spatiotemporal resolution. The cross validation (CV) R2 and the RMSE of the LME model were 0.87 and 19.2 μg/m3, respectively. The relative prediction error (RPE) of daily and annual mean predicted PM10 concentrations were 19.1% and 7.5%, respectively. This study was the first attempt in China to estimate both short-term and long-term variation of PM10 levels with high spatial resolution in a Chinese metropolis with the LME model. The results suggested that the LME model could provide exposure assessment for short-term and long-term epidemiological studies in China.&quot;,&quot;author&quot;:[{&quot;dropping-particle&quot;:&quot;&quot;,&quot;family&quot;:&quot;Meng&quot;,&quot;given&quot;:&quot;Xia&quot;,&quot;non-dropping-particle&quot;:&quot;&quot;,&quot;parse-names&quot;:false,&quot;suffix&quot;:&quot;&quot;},{&quot;dropping-particle&quot;:&quot;&quot;,&quot;family&quot;:&quot;Fu&quot;,&quot;given&quot;:&quot;Qingyan&quot;,&quot;non-dropping-particle&quot;:&quot;&quot;,&quot;parse-names&quot;:false,&quot;suffix&quot;:&quot;&quot;},{&quot;dropping-particle&quot;:&quot;&quot;,&quot;family&quot;:&quot;Ma&quot;,&quot;given&quot;:&quot;Zongwei&quot;,&quot;non-dropping-particle&quot;:&quot;&quot;,&quot;parse-names&quot;:false,&quot;suffix&quot;:&quot;&quot;},{&quot;dropping-particle&quot;:&quot;&quot;,&quot;family&quot;:&quot;Chen&quot;,&quot;given&quot;:&quot;Li&quot;,&quot;non-dropping-particle&quot;:&quot;&quot;,&quot;parse-names&quot;:false,&quot;suffix&quot;:&quot;&quot;},{&quot;dropping-particle&quot;:&quot;&quot;,&quot;family&quot;:&quot;Zou&quot;,&quot;given&quot;:&quot;Bin&quot;,&quot;non-dropping-particle&quot;:&quot;&quot;,&quot;parse-names&quot;:false,&quot;suffix&quot;:&quot;&quot;},{&quot;dropping-particle&quot;:&quot;&quot;,&quot;family&quot;:&quot;Zhang&quot;,&quot;given&quot;:&quot;Yan&quot;,&quot;non-dropping-particle&quot;:&quot;&quot;,&quot;parse-names&quot;:false,&quot;suffix&quot;:&quot;&quot;},{&quot;dropping-particle&quot;:&quot;&quot;,&quot;family&quot;:&quot;Xue&quot;,&quot;given&quot;:&quot;Wenbo&quot;,&quot;non-dropping-particle&quot;:&quot;&quot;,&quot;parse-names&quot;:false,&quot;suffix&quot;:&quot;&quot;},{&quot;dropping-particle&quot;:&quot;&quot;,&quot;family&quot;:&quot;Wang&quot;,&quot;given&quot;:&quot;Jinnan&quot;,&quot;non-dropping-particle&quot;:&quot;&quot;,&quot;parse-names&quot;:false,&quot;suffix&quot;:&quot;&quot;},{&quot;dropping-particle&quot;:&quot;&quot;,&quot;family&quot;:&quot;Wang&quot;,&quot;given&quot;:&quot;Dongfang&quot;,&quot;non-dropping-particle&quot;:&quot;&quot;,&quot;parse-names&quot;:false,&quot;suffix&quot;:&quot;&quot;},{&quot;dropping-particle&quot;:&quot;&quot;,&quot;family&quot;:&quot;Kan&quot;,&quot;given&quot;:&quot;Haidong&quot;,&quot;non-dropping-particle&quot;:&quot;&quot;,&quot;parse-names&quot;:false,&quot;suffix&quot;:&quot;&quot;},{&quot;dropping-particle&quot;:&quot;&quot;,&quot;family&quot;:&quot;Liu&quot;,&quot;given&quot;:&quot;Yang&quot;,&quot;non-dropping-particle&quot;:&quot;&quot;,&quot;parse-names&quot;:false,&quot;suffix&quot;:&quot;&quot;}],&quot;container-title&quot;:&quot;Environmental Pollution&quot;,&quot;id&quot;:&quot;5dc027a3-6a8e-30b9-a5b6-fe85651e7679&quot;,&quot;issued&quot;:{&quot;date-parts&quot;:[[&quot;2016&quot;]]},&quot;page&quot;:&quot;177-184&quot;,&quot;publisher&quot;:&quot;Elsevier Ltd&quot;,&quot;title&quot;:&quot;Estimating ground-level PM10 in a Chinese city by combining satellite data, meteorological information and a land use regression model&quot;,&quot;type&quot;:&quot;article-journal&quot;,&quot;volume&quot;:&quot;208&quot;},&quot;uris&quot;:[&quot;http://www.mendeley.com/documents/?uuid=1a672772-f301-448c-b3b7-5d4c0d25a386&quot;],&quot;isTemporary&quot;:false,&quot;legacyDesktopId&quot;:&quot;1a672772-f301-448c-b3b7-5d4c0d25a386&quot;},{&quot;id&quot;:&quot;11542067-42af-3d8c-a767-5ab92c448abe&quot;,&quot;itemData&quot;:{&quot;DOI&quot;:&quot;10.1016/j.atmosenv.2013.02.037&quot;,&quot;ISSN&quot;:&quot;13522310&quot;,&quot;abstract&quot;:&quot;Estimating within-city variability in air pollution concentrations is important. Land use regression (LUR) models are able to explain such small-scale within-city variations. Transparency in LUR model development methods is important to facilitate comparison of methods between different studies. We therefore developed LUR models in a standardized way in 36 study areas in Europe for the ESCAPE (European Study of Cohorts for Air Pollution Effects) project.Nitrogen dioxide (NO2) and nitrogen oxides (NOx) were measured with Ogawa passive samplers at 40 or 80 sites in each of the 36 study areas. The spatial variation in each area was explained by LUR modelling. Centrally and locally available Geographic Information System (GIS) variables were used as potential predictors. A leave-one out cross-validation procedure was used to evaluate the model performance.There was substantial contrast in annual average NO2 and NOx concentrations within the study areas. The model explained variances (R2) of the LUR models ranged from 55% to 92% (median 82%) for NO2 and from 49% to 91% (median 78%) for NOx. For most areas the cross-validation R2 was less than 10% lower than the model R2. Small-scale traffic and population/household density were the most common predictors. The magnitude of the explained variance depended on the contrast in measured concentrations as well as availability of GIS predictors, especially traffic intensity data were important. In an additional evaluation, models in which local traffic intensity was not offered had 10% lower R2 compared to models in the same areas in which these variables were offered.Within the ESCAPE project it was possible to develop LUR models that explained a large fraction of the spatial variance in measured annual average NO2 and NOx concentrations. These LUR models are being used to estimate outdoor concentrations at the home addresses of participants in over 30 cohort studies. © 2013 Elsevier Ltd.&quot;,&quot;author&quot;:[{&quot;dropping-particle&quot;:&quot;&quot;,&quot;family&quot;:&quot;Beelen&quot;,&quot;given&quot;:&quot;Rob&quot;,&quot;non-dropping-particle&quot;:&quot;&quot;,&quot;parse-names&quot;:false,&quot;suffix&quot;:&quot;&quot;},{&quot;dropping-particle&quot;:&quot;&quot;,&quot;family&quot;:&quot;Hoek&quot;,&quot;given&quot;:&quot;Gerard&quot;,&quot;non-dropping-particle&quot;:&quot;&quot;,&quot;parse-names&quot;:false,&quot;suffix&quot;:&quot;&quot;},{&quot;dropping-particle&quot;:&quot;&quot;,&quot;family&quot;:&quot;Vienneau&quot;,&quot;given&quot;:&quot;Danielle&quot;,&quot;non-dropping-particle&quot;:&quot;&quot;,&quot;parse-names&quot;:false,&quot;suffix&quot;:&quot;&quot;},{&quot;dropping-particle&quot;:&quot;&quot;,&quot;family&quot;:&quot;Eeftens&quot;,&quot;given&quot;:&quot;Marloes&quot;,&quot;non-dropping-particle&quot;:&quot;&quot;,&quot;parse-names&quot;:false,&quot;suffix&quot;:&quot;&quot;},{&quot;dropping-particle&quot;:&quot;&quot;,&quot;family&quot;:&quot;Dimakopoulou&quot;,&quot;given&quot;:&quot;Konstantina&quot;,&quot;non-dropping-particle&quot;:&quot;&quot;,&quot;parse-names&quot;:false,&quot;suffix&quot;:&quot;&quot;},{&quot;dropping-particle&quot;:&quot;&quot;,&quot;family&quot;:&quot;Pedeli&quot;,&quot;given&quot;:&quot;Xanthi&quot;,&quot;non-dropping-particle&quot;:&quot;&quot;,&quot;parse-names&quot;:false,&quot;suffix&quot;:&quot;&quot;},{&quot;dropping-particle&quot;:&quot;&quot;,&quot;family&quot;:&quot;Tsai&quot;,&quot;given&quot;:&quot;Ming Yi&quot;,&quot;non-dropping-particle&quot;:&quot;&quot;,&quot;parse-names&quot;:false,&quot;suffix&quot;:&quot;&quot;},{&quot;dropping-particle&quot;:&quot;&quot;,&quot;family&quot;:&quot;Künzli&quot;,&quot;given&quot;:&quot;Nino&quot;,&quot;non-dropping-particle&quot;:&quot;&quot;,&quot;parse-names&quot;:false,&quot;suffix&quot;:&quot;&quot;},{&quot;dropping-particle&quot;:&quot;&quot;,&quot;family&quot;:&quot;Schikowski&quot;,&quot;given&quot;:&quot;Tamara&quot;,&quot;non-dropping-particle&quot;:&quot;&quot;,&quot;parse-names&quot;:false,&quot;suffix&quot;:&quot;&quot;},{&quot;dropping-particle&quot;:&quot;&quot;,&quot;family&quot;:&quot;Marcon&quot;,&quot;given&quot;:&quot;Alessandro&quot;,&quot;non-dropping-particle&quot;:&quot;&quot;,&quot;parse-names&quot;:false,&quot;suffix&quot;:&quot;&quot;},{&quot;dropping-particle&quot;:&quot;&quot;,&quot;family&quot;:&quot;Eriksen&quot;,&quot;given&quot;:&quot;Kirsten T.&quot;,&quot;non-dropping-particle&quot;:&quot;&quot;,&quot;parse-names&quot;:false,&quot;suffix&quot;:&quot;&quot;},{&quot;dropping-particle&quot;:&quot;&quot;,&quot;family&quot;:&quot;Raaschou-Nielsen&quot;,&quot;given&quot;:&quot;Ole&quot;,&quot;non-dropping-particle&quot;:&quot;&quot;,&quot;parse-names&quot;:false,&quot;suffix&quot;:&quot;&quot;},{&quot;dropping-particle&quot;:&quot;&quot;,&quot;family&quot;:&quot;Stephanou&quot;,&quot;given&quot;:&quot;Euripides&quot;,&quot;non-dropping-particle&quot;:&quot;&quot;,&quot;parse-names&quot;:false,&quot;suffix&quot;:&quot;&quot;},{&quot;dropping-particle&quot;:&quot;&quot;,&quot;family&quot;:&quot;Patelarou&quot;,&quot;given&quot;:&quot;Evridiki&quot;,&quot;non-dropping-particle&quot;:&quot;&quot;,&quot;parse-names&quot;:false,&quot;suffix&quot;:&quot;&quot;},{&quot;dropping-particle&quot;:&quot;&quot;,&quot;family&quot;:&quot;Lanki&quot;,&quot;given&quot;:&quot;Timo&quot;,&quot;non-dropping-particle&quot;:&quot;&quot;,&quot;parse-names&quot;:false,&quot;suffix&quot;:&quot;&quot;},{&quot;dropping-particle&quot;:&quot;&quot;,&quot;family&quot;:&quot;Yli-Tuomi&quot;,&quot;given&quot;:&quot;Tarja&quot;,&quot;non-dropping-particle&quot;:&quot;&quot;,&quot;parse-names&quot;:false,&quot;suffix&quot;:&quot;&quot;},{&quot;dropping-particle&quot;:&quot;&quot;,&quot;family&quot;:&quot;Declercq&quot;,&quot;given&quot;:&quot;Christophe&quot;,&quot;non-dropping-particle&quot;:&quot;&quot;,&quot;parse-names&quot;:false,&quot;suffix&quot;:&quot;&quot;},{&quot;dropping-particle&quot;:&quot;&quot;,&quot;family&quot;:&quot;Falq&quot;,&quot;given&quot;:&quot;Grégoire&quot;,&quot;non-dropping-particle&quot;:&quot;&quot;,&quot;parse-names&quot;:false,&quot;suffix&quot;:&quot;&quot;},{&quot;dropping-particle&quot;:&quot;&quot;,&quot;family&quot;:&quot;Stempfelet&quot;,&quot;given&quot;:&quot;Morgane&quot;,&quot;non-dropping-particle&quot;:&quot;&quot;,&quot;parse-names&quot;:false,&quot;suffix&quot;:&quot;&quot;},{&quot;dropping-particle&quot;:&quot;&quot;,&quot;family&quot;:&quot;Birk&quot;,&quot;given&quot;:&quot;Matthias&quot;,&quot;non-dropping-particle&quot;:&quot;&quot;,&quot;parse-names&quot;:false,&quot;suffix&quot;:&quot;&quot;},{&quot;dropping-particle&quot;:&quot;&quot;,&quot;family&quot;:&quot;Cyrys&quot;,&quot;given&quot;:&quot;Josef&quot;,&quot;non-dropping-particle&quot;:&quot;&quot;,&quot;parse-names&quot;:false,&quot;suffix&quot;:&quot;&quot;},{&quot;dropping-particle&quot;:&quot;&quot;,&quot;family&quot;:&quot;Klot&quot;,&quot;given&quot;:&quot;Stephanie&quot;,&quot;non-dropping-particle&quot;:&quot;von&quot;,&quot;parse-names&quot;:false,&quot;suffix&quot;:&quot;&quot;},{&quot;dropping-particle&quot;:&quot;&quot;,&quot;family&quot;:&quot;Nádor&quot;,&quot;given&quot;:&quot;Gizella&quot;,&quot;non-dropping-particle&quot;:&quot;&quot;,&quot;parse-names&quot;:false,&quot;suffix&quot;:&quot;&quot;},{&quot;dropping-particle&quot;:&quot;&quot;,&quot;family&quot;:&quot;Varró&quot;,&quot;given&quot;:&quot;Mihály János&quot;,&quot;non-dropping-particle&quot;:&quot;&quot;,&quot;parse-names&quot;:false,&quot;suffix&quot;:&quot;&quot;},{&quot;dropping-particle&quot;:&quot;&quot;,&quot;family&quot;:&quot;Dedele&quot;,&quot;given&quot;:&quot;Audrius&quot;,&quot;non-dropping-particle&quot;:&quot;&quot;,&quot;parse-names&quot;:false,&quot;suffix&quot;:&quot;&quot;},{&quot;dropping-particle&quot;:&quot;&quot;,&quot;family&quot;:&quot;Gražulevičiene&quot;,&quot;given&quot;:&quot;Regina&quot;,&quot;non-dropping-particle&quot;:&quot;&quot;,&quot;parse-names&quot;:false,&quot;suffix&quot;:&quot;&quot;},{&quot;dropping-particle&quot;:&quot;&quot;,&quot;family&quot;:&quot;Mölter&quot;,&quot;given&quot;:&quot;Anna&quot;,&quot;non-dropping-particle&quot;:&quot;&quot;,&quot;parse-names&quot;:false,&quot;suffix&quot;:&quot;&quot;},{&quot;dropping-particle&quot;:&quot;&quot;,&quot;family&quot;:&quot;Lindley&quot;,&quot;given&quot;:&quot;Sarah&quot;,&quot;non-dropping-particle&quot;:&quot;&quot;,&quot;parse-names&quot;:false,&quot;suffix&quot;:&quot;&quot;},{&quot;dropping-particle&quot;:&quot;&quot;,&quot;family&quot;:&quot;Madsen&quot;,&quot;given&quot;:&quot;Christian&quot;,&quot;non-dropping-particle&quot;:&quot;&quot;,&quot;parse-names&quot;:false,&quot;suffix&quot;:&quot;&quot;},{&quot;dropping-particle&quot;:&quot;&quot;,&quot;family&quot;:&quot;Cesaroni&quot;,&quot;given&quot;:&quot;Giulia&quot;,&quot;non-dropping-particle&quot;:&quot;&quot;,&quot;parse-names&quot;:false,&quot;suffix&quot;:&quot;&quot;},{&quot;dropping-particle&quot;:&quot;&quot;,&quot;family&quot;:&quot;Ranzi&quot;,&quot;given&quot;:&quot;Andrea&quot;,&quot;non-dropping-particle&quot;:&quot;&quot;,&quot;parse-names&quot;:false,&quot;suffix&quot;:&quot;&quot;},{&quot;dropping-particle&quot;:&quot;&quot;,&quot;family&quot;:&quot;Badaloni&quot;,&quot;given&quot;:&quot;Chiara&quot;,&quot;non-dropping-particle&quot;:&quot;&quot;,&quot;parse-names&quot;:false,&quot;suffix&quot;:&quot;&quot;},{&quot;dropping-particle&quot;:&quot;&quot;,&quot;family&quot;:&quot;Hoffmann&quot;,&quot;given&quot;:&quot;Barbara&quot;,&quot;non-dropping-particle&quot;:&quot;&quot;,&quot;parse-names&quot;:false,&quot;suffix&quot;:&quot;&quot;},{&quot;dropping-particle&quot;:&quot;&quot;,&quot;family&quot;:&quot;Nonnemacher&quot;,&quot;given&quot;:&quot;Michael&quot;,&quot;non-dropping-particle&quot;:&quot;&quot;,&quot;parse-names&quot;:false,&quot;suffix&quot;:&quot;&quot;},{&quot;dropping-particle&quot;:&quot;&quot;,&quot;family&quot;:&quot;Krämer&quot;,&quot;given&quot;:&quot;Ursula&quot;,&quot;non-dropping-particle&quot;:&quot;&quot;,&quot;parse-names&quot;:false,&quot;suffix&quot;:&quot;&quot;},{&quot;dropping-particle&quot;:&quot;&quot;,&quot;family&quot;:&quot;Kuhlbusch&quot;,&quot;given&quot;:&quot;Thomas&quot;,&quot;non-dropping-particle&quot;:&quot;&quot;,&quot;parse-names&quot;:false,&quot;suffix&quot;:&quot;&quot;},{&quot;dropping-particle&quot;:&quot;&quot;,&quot;family&quot;:&quot;Cirach&quot;,&quot;given&quot;:&quot;Marta&quot;,&quot;non-dropping-particle&quot;:&quot;&quot;,&quot;parse-names&quot;:false,&quot;suffix&quot;:&quot;&quot;},{&quot;dropping-particle&quot;:&quot;&quot;,&quot;family&quot;:&quot;Nazelle&quot;,&quot;given&quot;:&quot;Audrey&quot;,&quot;non-dropping-particle&quot;:&quot;de&quot;,&quot;parse-names&quot;:false,&quot;suffix&quot;:&quot;&quot;},{&quot;dropping-particle&quot;:&quot;&quot;,&quot;family&quot;:&quot;Nieuwenhuijsen&quot;,&quot;given&quot;:&quot;Mark&quot;,&quot;non-dropping-particle&quot;:&quot;&quot;,&quot;parse-names&quot;:false,&quot;suffix&quot;:&quot;&quot;},{&quot;dropping-particle&quot;:&quot;&quot;,&quot;family&quot;:&quot;Bellander&quot;,&quot;given&quot;:&quot;Tom&quot;,&quot;non-dropping-particle&quot;:&quot;&quot;,&quot;parse-names&quot;:false,&quot;suffix&quot;:&quot;&quot;},{&quot;dropping-particle&quot;:&quot;&quot;,&quot;family&quot;:&quot;Korek&quot;,&quot;given&quot;:&quot;Michal&quot;,&quot;non-dropping-particle&quot;:&quot;&quot;,&quot;parse-names&quot;:false,&quot;suffix&quot;:&quot;&quot;},{&quot;dropping-particle&quot;:&quot;&quot;,&quot;family&quot;:&quot;Olsson&quot;,&quot;given&quot;:&quot;David&quot;,&quot;non-dropping-particle&quot;:&quot;&quot;,&quot;parse-names&quot;:false,&quot;suffix&quot;:&quot;&quot;},{&quot;dropping-particle&quot;:&quot;&quot;,&quot;family&quot;:&quot;Strömgren&quot;,&quot;given&quot;:&quot;Magnus&quot;,&quot;non-dropping-particle&quot;:&quot;&quot;,&quot;parse-names&quot;:false,&quot;suffix&quot;:&quot;&quot;},{&quot;dropping-particle&quot;:&quot;&quot;,&quot;family&quot;:&quot;Dons&quot;,&quot;given&quot;:&quot;Evi&quot;,&quot;non-dropping-particle&quot;:&quot;&quot;,&quot;parse-names&quot;:false,&quot;suffix&quot;:&quot;&quot;},{&quot;dropping-particle&quot;:&quot;&quot;,&quot;family&quot;:&quot;Jerrett&quot;,&quot;given&quot;:&quot;Michael&quot;,&quot;non-dropping-particle&quot;:&quot;&quot;,&quot;parse-names&quot;:false,&quot;suffix&quot;:&quot;&quot;},{&quot;dropping-particle&quot;:&quot;&quot;,&quot;family&quot;:&quot;Fischer&quot;,&quot;given&quot;:&quot;Paul&quot;,&quot;non-dropping-particle&quot;:&quot;&quot;,&quot;parse-names&quot;:false,&quot;suffix&quot;:&quot;&quot;},{&quot;dropping-particle&quot;:&quot;&quot;,&quot;family&quot;:&quot;Wang&quot;,&quot;given&quot;:&quot;Meng&quot;,&quot;non-dropping-particle&quot;:&quot;&quot;,&quot;parse-names&quot;:false,&quot;suffix&quot;:&quot;&quot;},{&quot;dropping-particle&quot;:&quot;&quot;,&quot;family&quot;:&quot;Brunekreef&quot;,&quot;given&quot;:&quot;Bert&quot;,&quot;non-dropping-particle&quot;:&quot;&quot;,&quot;parse-names&quot;:false,&quot;suffix&quot;:&quot;&quot;},{&quot;dropping-particle&quot;:&quot;&quot;,&quot;family&quot;:&quot;Hoogh&quot;,&quot;given&quot;:&quot;Kees&quot;,&quot;non-dropping-particle&quot;:&quot;de&quot;,&quot;parse-names&quot;:false,&quot;suffix&quot;:&quot;&quot;}],&quot;container-title&quot;:&quot;Atmospheric Environment&quot;,&quot;id&quot;:&quot;11542067-42af-3d8c-a767-5ab92c448abe&quot;,&quot;issued&quot;:{&quot;date-parts&quot;:[[&quot;2013&quot;,&quot;6&quot;,&quot;1&quot;]]},&quot;page&quot;:&quot;10-23&quot;,&quot;publisher&quot;:&quot;Pergamon&quot;,&quot;title&quot;:&quot;Development of NO2 and NOx land use regression models for estimating air pollution exposure in 36 study areas in Europe - The ESCAPE project&quot;,&quot;type&quot;:&quot;article-journal&quot;,&quot;volume&quot;:&quot;72&quot;},&quot;uris&quot;:[&quot;http://www.mendeley.com/documents/?uuid=11542067-42af-3d8c-a767-5ab92c448abe&quot;],&quot;isTemporary&quot;:false,&quot;legacyDesktopId&quot;:&quot;11542067-42af-3d8c-a767-5ab92c448abe&quot;},{&quot;id&quot;:&quot;9fab72af-80a5-30be-9d34-c912a2c36dfd&quot;,&quot;itemData&quot;:{&quot;DOI&quot;:&quot;10.1021/acs.est.6b05920&quot;,&quot;ISSN&quot;:&quot;0013-936X&quot;,&quot;abstract&quot;:&quot;Long-term ultrafine particle (UFP) exposure estimates at a fine spatial scale are needed for epidemiological studies. Land use regression (LUR) models were developed and evaluated for six European areas based on repeated 30 min monitoring following standardized protocols. In each area; Basel (Switzerland), Heraklion (Greece), Amsterdam, Maastricht, and Utrecht (“The Netherlands”), Norwich (United Kingdom), Sabadell (Spain), and Turin (Italy), 160–240 sites were monitored to develop LUR models by supervised stepwise selection of GIS predictors. For each area and all areas combined, 10 models were developed in stratified random selections of 90% of sites. UFP prediction robustness was evaluated with the intraclass correlation coefficient (ICC) at 31–50 external sites per area. Models from Basel and The Netherlands were validated against repeated 24 h outdoor measurements. Structure and model R2 of local models were similar within, but varied between areas (e.g., 38–43% Turin; 25–31% Sabadell). Robustness of...&quot;,&quot;author&quot;:[{&quot;dropping-particle&quot;:&quot;&quot;,&quot;family&quot;:&quot;Nunen&quot;,&quot;given&quot;:&quot;Erik&quot;,&quot;non-dropping-particle&quot;:&quot;van&quot;,&quot;parse-names&quot;:false,&quot;suffix&quot;:&quot;&quot;},{&quot;dropping-particle&quot;:&quot;&quot;,&quot;family&quot;:&quot;Vermeulen&quot;,&quot;given&quot;:&quot;Roel&quot;,&quot;non-dropping-particle&quot;:&quot;&quot;,&quot;parse-names&quot;:false,&quot;suffix&quot;:&quot;&quot;},{&quot;dropping-particle&quot;:&quot;&quot;,&quot;family&quot;:&quot;Tsai&quot;,&quot;given&quot;:&quot;Ming-Yi&quot;,&quot;non-dropping-particle&quot;:&quot;&quot;,&quot;parse-names&quot;:false,&quot;suffix&quot;:&quot;&quot;},{&quot;dropping-particle&quot;:&quot;&quot;,&quot;family&quot;:&quot;Probst-Hensch&quot;,&quot;given&quot;:&quot;Nicole&quot;,&quot;non-dropping-particle&quot;:&quot;&quot;,&quot;parse-names&quot;:false,&quot;suffix&quot;:&quot;&quot;},{&quot;dropping-particle&quot;:&quot;&quot;,&quot;family&quot;:&quot;Ineichen&quot;,&quot;given&quot;:&quot;Alex&quot;,&quot;non-dropping-particle&quot;:&quot;&quot;,&quot;parse-names&quot;:false,&quot;suffix&quot;:&quot;&quot;},{&quot;dropping-particle&quot;:&quot;&quot;,&quot;family&quot;:&quot;Davey&quot;,&quot;given&quot;:&quot;Mark&quot;,&quot;non-dropping-particle&quot;:&quot;&quot;,&quot;parse-names&quot;:false,&quot;suffix&quot;:&quot;&quot;},{&quot;dropping-particle&quot;:&quot;&quot;,&quot;family&quot;:&quot;Imboden&quot;,&quot;given&quot;:&quot;Medea&quot;,&quot;non-dropping-particle&quot;:&quot;&quot;,&quot;parse-names&quot;:false,&quot;suffix&quot;:&quot;&quot;},{&quot;dropping-particle&quot;:&quot;&quot;,&quot;family&quot;:&quot;Ducret-Stich&quot;,&quot;given&quot;:&quot;Regina&quot;,&quot;non-dropping-particle&quot;:&quot;&quot;,&quot;parse-names&quot;:false,&quot;suffix&quot;:&quot;&quot;},{&quot;dropping-particle&quot;:&quot;&quot;,&quot;family&quot;:&quot;Naccarati&quot;,&quot;given&quot;:&quot;Alessio&quot;,&quot;non-dropping-particle&quot;:&quot;&quot;,&quot;parse-names&quot;:false,&quot;suffix&quot;:&quot;&quot;},{&quot;dropping-particle&quot;:&quot;&quot;,&quot;family&quot;:&quot;Raffaele&quot;,&quot;given&quot;:&quot;Daniela&quot;,&quot;non-dropping-particle&quot;:&quot;&quot;,&quot;parse-names&quot;:false,&quot;suffix&quot;:&quot;&quot;},{&quot;dropping-particle&quot;:&quot;&quot;,&quot;family&quot;:&quot;Ranzi&quot;,&quot;given&quot;:&quot;Andrea&quot;,&quot;non-dropping-particle&quot;:&quot;&quot;,&quot;parse-names&quot;:false,&quot;suffix&quot;:&quot;&quot;},{&quot;dropping-particle&quot;:&quot;&quot;,&quot;family&quot;:&quot;Ivaldi&quot;,&quot;given&quot;:&quot;Cristiana&quot;,&quot;non-dropping-particle&quot;:&quot;&quot;,&quot;parse-names&quot;:false,&quot;suffix&quot;:&quot;&quot;},{&quot;dropping-particle&quot;:&quot;&quot;,&quot;family&quot;:&quot;Galassi&quot;,&quot;given&quot;:&quot;Claudia&quot;,&quot;non-dropping-particle&quot;:&quot;&quot;,&quot;parse-names&quot;:false,&quot;suffix&quot;:&quot;&quot;},{&quot;dropping-particle&quot;:&quot;&quot;,&quot;family&quot;:&quot;Nieuwenhuijsen&quot;,&quot;given&quot;:&quot;Mark&quot;,&quot;non-dropping-particle&quot;:&quot;&quot;,&quot;parse-names&quot;:false,&quot;suffix&quot;:&quot;&quot;},{&quot;dropping-particle&quot;:&quot;&quot;,&quot;family&quot;:&quot;Curto&quot;,&quot;given&quot;:&quot;Ariadna&quot;,&quot;non-dropping-particle&quot;:&quot;&quot;,&quot;parse-names&quot;:false,&quot;suffix&quot;:&quot;&quot;},{&quot;dropping-particle&quot;:&quot;&quot;,&quot;family&quot;:&quot;Donaire-Gonzalez&quot;,&quot;given&quot;:&quot;David&quot;,&quot;non-dropping-particle&quot;:&quot;&quot;,&quot;parse-names&quot;:false,&quot;suffix&quot;:&quot;&quot;},{&quot;dropping-particle&quot;:&quot;&quot;,&quot;family&quot;:&quot;Cirach&quot;,&quot;given&quot;:&quot;Marta&quot;,&quot;non-dropping-particle&quot;:&quot;&quot;,&quot;parse-names&quot;:false,&quot;suffix&quot;:&quot;&quot;},{&quot;dropping-particle&quot;:&quot;&quot;,&quot;family&quot;:&quot;Chatzi&quot;,&quot;given&quot;:&quot;Leda&quot;,&quot;non-dropping-particle&quot;:&quot;&quot;,&quot;parse-names&quot;:false,&quot;suffix&quot;:&quot;&quot;},{&quot;dropping-particle&quot;:&quot;&quot;,&quot;family&quot;:&quot;Kampouri&quot;,&quot;given&quot;:&quot;Mariza&quot;,&quot;non-dropping-particle&quot;:&quot;&quot;,&quot;parse-names&quot;:false,&quot;suffix&quot;:&quot;&quot;},{&quot;dropping-particle&quot;:&quot;&quot;,&quot;family&quot;:&quot;Vlaanderen&quot;,&quot;given&quot;:&quot;Jelle&quot;,&quot;non-dropping-particle&quot;:&quot;&quot;,&quot;parse-names&quot;:false,&quot;suffix&quot;:&quot;&quot;},{&quot;dropping-particle&quot;:&quot;&quot;,&quot;family&quot;:&quot;Meliefste&quot;,&quot;given&quot;:&quot;Kees&quot;,&quot;non-dropping-particle&quot;:&quot;&quot;,&quot;parse-names&quot;:false,&quot;suffix&quot;:&quot;&quot;},{&quot;dropping-particle&quot;:&quot;&quot;,&quot;family&quot;:&quot;Buijtenhuijs&quot;,&quot;given&quot;:&quot;Daan&quot;,&quot;non-dropping-particle&quot;:&quot;&quot;,&quot;parse-names&quot;:false,&quot;suffix&quot;:&quot;&quot;},{&quot;dropping-particle&quot;:&quot;&quot;,&quot;family&quot;:&quot;Brunekreef&quot;,&quot;given&quot;:&quot;Bert&quot;,&quot;non-dropping-particle&quot;:&quot;&quot;,&quot;parse-names&quot;:false,&quot;suffix&quot;:&quot;&quot;},{&quot;dropping-particle&quot;:&quot;&quot;,&quot;family&quot;:&quot;Morley&quot;,&quot;given&quot;:&quot;David&quot;,&quot;non-dropping-particle&quot;:&quot;&quot;,&quot;parse-names&quot;:false,&quot;suffix&quot;:&quot;&quot;},{&quot;dropping-particle&quot;:&quot;&quot;,&quot;family&quot;:&quot;Vineis&quot;,&quot;given&quot;:&quot;Paolo&quot;,&quot;non-dropping-particle&quot;:&quot;&quot;,&quot;parse-names&quot;:false,&quot;suffix&quot;:&quot;&quot;},{&quot;dropping-particle&quot;:&quot;&quot;,&quot;family&quot;:&quot;Gulliver&quot;,&quot;given&quot;:&quot;John&quot;,&quot;non-dropping-particle&quot;:&quot;&quot;,&quot;parse-names&quot;:false,&quot;suffix&quot;:&quot;&quot;},{&quot;dropping-particle&quot;:&quot;&quot;,&quot;family&quot;:&quot;Hoek&quot;,&quot;given&quot;:&quot;Gerard&quot;,&quot;non-dropping-particle&quot;:&quot;&quot;,&quot;parse-names&quot;:false,&quot;suffix&quot;:&quot;&quot;}],&quot;container-title&quot;:&quot;Environmental Science &amp; Technology&quot;,&quot;id&quot;:&quot;9fab72af-80a5-30be-9d34-c912a2c36dfd&quot;,&quot;issue&quot;:&quot;6&quot;,&quot;issued&quot;:{&quot;date-parts&quot;:[[&quot;2017&quot;,&quot;3&quot;,&quot;21&quot;]]},&quot;page&quot;:&quot;3336-3345&quot;,&quot;publisher&quot;:&quot;American Chemical Society&quot;,&quot;title&quot;:&quot;Land Use Regression Models for Ultrafine Particles in Six European Areas&quot;,&quot;type&quot;:&quot;article-journal&quot;,&quot;volume&quot;:&quot;51&quot;},&quot;uris&quot;:[&quot;http://www.mendeley.com/documents/?uuid=9fab72af-80a5-30be-9d34-c912a2c36dfd&quot;],&quot;isTemporary&quot;:false,&quot;legacyDesktopId&quot;:&quot;9fab72af-80a5-30be-9d34-c912a2c36dfd&quot;},{&quot;id&quot;:&quot;8ad6e4aa-95b6-3a30-9a2c-8572cf9b5df0&quot;,&quot;itemData&quot;:{&quot;DOI&quot;:&quot;10.1016/j.scitotenv.2017.07.278&quot;,&quot;ISSN&quot;:&quot;18791026&quot;,&quot;PMID&quot;:&quot;28873665&quot;,&quot;abstract&quot;:&quot;Background The South Durban (SD) area of Durban, South Africa, has a history of air pollution issues due to the juxtaposition of low-income communities with industrial areas. This study used measurements of oxides of nitrogen (NOx) to develop a land use regression (LUR) model to explain the spatial variation of air pollution concentrations in this area. Methods Ambient NOx was measured over two two-week sampling periods at 32 sites using Ogawa badges. Following the ESCAPE approach, an annual adjusted average was calculated for these results and regressed against pre-selected geographic predictor variables in a multivariate regression model. The LUR model was then applied to predict the NOx exposure of a sample of pregnant women living in South Durban. Results Measured NOx levels ranged from 22.3–50.9 μg/m3 with a median of 36 μg/m3. The model developed accounts for 73% of the variance in ambient NOx measurements using three input variables (length of minor roads within a 1000 m radius, length of major roads within a 300 m radius, and area of open space within a 1000 m radius). Model cross validation yielded a R2 of 0.59. Subsequent participant exposure estimates indicated exposure to ambient NOx ranged from 19.9–53.2 μg/m3, with a mean of 39 μg/m3. Discussion and Conclusion This is the first study to develop a land use regression model that predicts ambient concentrations of NOx in a South African context. The findings of this study indicate that the participants in the South Durban are exposed to high levels of NOx that can be attributed mainly to traffic.&quot;,&quot;author&quot;:[{&quot;dropping-particle&quot;:&quot;&quot;,&quot;family&quot;:&quot;Muttoo&quot;,&quot;given&quot;:&quot;Sheena&quot;,&quot;non-dropping-particle&quot;:&quot;&quot;,&quot;parse-names&quot;:false,&quot;suffix&quot;:&quot;&quot;},{&quot;dropping-particle&quot;:&quot;&quot;,&quot;family&quot;:&quot;Ramsay&quot;,&quot;given&quot;:&quot;Lisa&quot;,&quot;non-dropping-particle&quot;:&quot;&quot;,&quot;parse-names&quot;:false,&quot;suffix&quot;:&quot;&quot;},{&quot;dropping-particle&quot;:&quot;&quot;,&quot;family&quot;:&quot;Brunekreef&quot;,&quot;given&quot;:&quot;Bert&quot;,&quot;non-dropping-particle&quot;:&quot;&quot;,&quot;parse-names&quot;:false,&quot;suffix&quot;:&quot;&quot;},{&quot;dropping-particle&quot;:&quot;&quot;,&quot;family&quot;:&quot;Beelen&quot;,&quot;given&quot;:&quot;Rob&quot;,&quot;non-dropping-particle&quot;:&quot;&quot;,&quot;parse-names&quot;:false,&quot;suffix&quot;:&quot;&quot;},{&quot;dropping-particle&quot;:&quot;&quot;,&quot;family&quot;:&quot;Meliefste&quot;,&quot;given&quot;:&quot;Kees&quot;,&quot;non-dropping-particle&quot;:&quot;&quot;,&quot;parse-names&quot;:false,&quot;suffix&quot;:&quot;&quot;},{&quot;dropping-particle&quot;:&quot;&quot;,&quot;family&quot;:&quot;Naidoo&quot;,&quot;given&quot;:&quot;Rajen N.&quot;,&quot;non-dropping-particle&quot;:&quot;&quot;,&quot;parse-names&quot;:false,&quot;suffix&quot;:&quot;&quot;}],&quot;container-title&quot;:&quot;Science of the Total Environment&quot;,&quot;id&quot;:&quot;8ad6e4aa-95b6-3a30-9a2c-8572cf9b5df0&quot;,&quot;issued&quot;:{&quot;date-parts&quot;:[[&quot;2018&quot;,&quot;1&quot;,&quot;1&quot;]]},&quot;page&quot;:&quot;1439-1447&quot;,&quot;publisher&quot;:&quot;Elsevier&quot;,&quot;title&quot;:&quot;Land use regression modelling estimating nitrogen oxides exposure in industrial south Durban, South Africa&quot;,&quot;type&quot;:&quot;article-journal&quot;,&quot;volume&quot;:&quot;610-611&quot;},&quot;uris&quot;:[&quot;http://www.mendeley.com/documents/?uuid=8ad6e4aa-95b6-3a30-9a2c-8572cf9b5df0&quot;],&quot;isTemporary&quot;:false,&quot;legacyDesktopId&quot;:&quot;8ad6e4aa-95b6-3a30-9a2c-8572cf9b5df0&quot;},{&quot;id&quot;:&quot;1c9d1565-c21a-3983-bc92-9ce589099e02&quot;,&quot;itemData&quot;:{&quot;DOI&quot;:&quot;10.1021/ES100683T/SUPPL_FILE/ES100683T_SI_001.PDF&quot;,&quot;ISSN&quot;:&quot;0013936X&quot;,&quot;PMID&quot;:&quot;21133418&quot;,&quot;abstract&quot;:&quot;Land use regression (LUR) has been widely adopted as a method of describing spatial variation in air pollutants; however, traditional LUR methods are not suitable for characterizing short-term or time-variable exposures. Our aim was to develop and validate a spatiotemporal LUR model for use in epidemiological studies examining health effects attributable to time-variable air pollution exposures. A network of 42 NO2 passive samplers was deployed for 12 two week periods over three years. A mixed effects model was tested using a combination of spatial predictors, and readings from fixed site continuous monitors, in order to predict NO2 values for any two week period over three years in the defined study area. The final model, including terms based on traffic density at 50 and 150 m, population density within 500 m, commercial land use area within 750 m, and NO2 concentrations at a central fixed site monitor, explained over 80% of the overall variation in NO2 concentrations. We suggest that such a model can be used to study the association between variable air pollutant exposures and health effects in epidemiological studies. © 2010 American Chemical Society.&quot;,&quot;author&quot;:[{&quot;dropping-particle&quot;:&quot;&quot;,&quot;family&quot;:&quot;Rose&quot;,&quot;given&quot;:&quot;Nectarios&quot;,&quot;non-dropping-particle&quot;:&quot;&quot;,&quot;parse-names&quot;:false,&quot;suffix&quot;:&quot;&quot;},{&quot;dropping-particle&quot;:&quot;&quot;,&quot;family&quot;:&quot;Cowie&quot;,&quot;given&quot;:&quot;Christine&quot;,&quot;non-dropping-particle&quot;:&quot;&quot;,&quot;parse-names&quot;:false,&quot;suffix&quot;:&quot;&quot;},{&quot;dropping-particle&quot;:&quot;&quot;,&quot;family&quot;:&quot;Gillett&quot;,&quot;given&quot;:&quot;Robert&quot;,&quot;non-dropping-particle&quot;:&quot;&quot;,&quot;parse-names&quot;:false,&quot;suffix&quot;:&quot;&quot;},{&quot;dropping-particle&quot;:&quot;&quot;,&quot;family&quot;:&quot;Marks&quot;,&quot;given&quot;:&quot;Guy B.&quot;,&quot;non-dropping-particle&quot;:&quot;&quot;,&quot;parse-names&quot;:false,&quot;suffix&quot;:&quot;&quot;}],&quot;container-title&quot;:&quot;Environmental Science and Technology&quot;,&quot;id&quot;:&quot;1c9d1565-c21a-3983-bc92-9ce589099e02&quot;,&quot;issue&quot;:&quot;1&quot;,&quot;issued&quot;:{&quot;date-parts&quot;:[[&quot;2011&quot;,&quot;1&quot;,&quot;1&quot;]]},&quot;page&quot;:&quot;294-299&quot;,&quot;publisher&quot;:&quot; American Chemical Society&quot;,&quot;title&quot;:&quot;Validation of a spatiotemporal land use regression model incorporating fixed site monitors&quot;,&quot;type&quot;:&quot;article-journal&quot;,&quot;volume&quot;:&quot;45&quot;},&quot;uris&quot;:[&quot;http://www.mendeley.com/documents/?uuid=1c9d1565-c21a-3983-bc92-9ce589099e02&quot;],&quot;isTemporary&quot;:false,&quot;legacyDesktopId&quot;:&quot;1c9d1565-c21a-3983-bc92-9ce589099e02&quot;},{&quot;id&quot;:&quot;0bace107-1fa3-347b-ae42-97926778715c&quot;,&quot;itemData&quot;:{&quot;DOI&quot;:&quot;10.1289/ehp.1002976&quot;,&quot;ISBN&quot;:&quot;0091-6765&quot;,&quot;ISSN&quot;:&quot;00916765&quot;,&quot;PMID&quot;:&quot;21454147&quot;,&quot;abstract&quot;:&quot;Background: Population exposure assessment methods that capture local-scale pollutant variability are needed for large-scale epidemiological studies and surveillance, policy, and regulatory purposes. Currently, such exposure methods are limited. Methods: We created 2006 national pollutant models for fine particulate matter [PM with aerodynamic diameter ≤ 2.5 μm (PM 2.5)], nitrogen dioxide (NO 2), benzene, ethylbenzene, and 1,3-butadiene from routinely collected fixed-site monitoring data in Canada. In multiple regression models, we incorporated satellite estimates and geographic predictor variables to capture background and regional pollutant variation and used deterministic gradients to capture local-scale variation. The national NO 2 and benzene models are evaluated with independent measurements from previous land use regression models that were conducted in seven Canadian cities. National models are applied to census block-face points, each of which represents the location of approximately 89 individuals, to produce estimates of population exposure. Results: The national NO 2 model explained 73% of the variability in fixed-site monitor concentrations, PM 2.5 46%, benzene 62%, ethylbenzene 67%, and 1,3-butadiene 68%. The NO 2 model predicted, on average, 43% of the within-city variability in the independent NO 2 data compared with 18% when using inverse distance weighting of fixed-site monitoring data. Benzene models performed poorly in predicting within-city benzene variability. Based on our national models, we estimated Canadian ambient annual average population-weighted exposures (in micrograms per cubic meter) of 8.39 for PM 2.5, 23.37 for NO 2, 1.04 for benzene, 0.63 for ethylbenzene, and 0.09 for 1,3-butadiene. Conclusions: The national pollutant models created here improve exposure assessment compared with traditional monitor-based approaches by capturing both regional and local-scale pollution variation. Applying national models to routinely collected population location data can extend land use modeling techniques to population exposure assessment and to informing surveillance, policy, and regulation.&quot;,&quot;author&quot;:[{&quot;dropping-particle&quot;:&quot;&quot;,&quot;family&quot;:&quot;Hystad&quot;,&quot;given&quot;:&quot;Perry&quot;,&quot;non-dropping-particle&quot;:&quot;&quot;,&quot;parse-names&quot;:false,&quot;suffix&quot;:&quot;&quot;},{&quot;dropping-particle&quot;:&quot;&quot;,&quot;family&quot;:&quot;Setton&quot;,&quot;given&quot;:&quot;Eleanor&quot;,&quot;non-dropping-particle&quot;:&quot;&quot;,&quot;parse-names&quot;:false,&quot;suffix&quot;:&quot;&quot;},{&quot;dropping-particle&quot;:&quot;&quot;,&quot;family&quot;:&quot;Cervantes&quot;,&quot;given&quot;:&quot;Alejandro&quot;,&quot;non-dropping-particle&quot;:&quot;&quot;,&quot;parse-names&quot;:false,&quot;suffix&quot;:&quot;&quot;},{&quot;dropping-particle&quot;:&quot;&quot;,&quot;family&quot;:&quot;Poplawski&quot;,&quot;given&quot;:&quot;Karla&quot;,&quot;non-dropping-particle&quot;:&quot;&quot;,&quot;parse-names&quot;:false,&quot;suffix&quot;:&quot;&quot;},{&quot;dropping-particle&quot;:&quot;&quot;,&quot;family&quot;:&quot;Deschenes&quot;,&quot;given&quot;:&quot;Steeve&quot;,&quot;non-dropping-particle&quot;:&quot;&quot;,&quot;parse-names&quot;:false,&quot;suffix&quot;:&quot;&quot;},{&quot;dropping-particle&quot;:&quot;&quot;,&quot;family&quot;:&quot;Brauer&quot;,&quot;given&quot;:&quot;Michael&quot;,&quot;non-dropping-particle&quot;:&quot;&quot;,&quot;parse-names&quot;:false,&quot;suffix&quot;:&quot;&quot;},{&quot;dropping-particle&quot;:&quot;&quot;,&quot;family&quot;:&quot;Donkelaar&quot;,&quot;given&quot;:&quot;Aaron&quot;,&quot;non-dropping-particle&quot;:&quot;van&quot;,&quot;parse-names&quot;:false,&quot;suffix&quot;:&quot;&quot;},{&quot;dropping-particle&quot;:&quot;&quot;,&quot;family&quot;:&quot;Lamsa&quot;,&quot;given&quot;:&quot;Lok&quot;,&quot;non-dropping-particle&quot;:&quot;&quot;,&quot;parse-names&quot;:false,&quot;suffix&quot;:&quot;&quot;},{&quot;dropping-particle&quot;:&quot;&quot;,&quot;family&quot;:&quot;Martin&quot;,&quot;given&quot;:&quot;Randall&quot;,&quot;non-dropping-particle&quot;:&quot;&quot;,&quot;parse-names&quot;:false,&quot;suffix&quot;:&quot;&quot;},{&quot;dropping-particle&quot;:&quot;&quot;,&quot;family&quot;:&quot;Jerrett&quot;,&quot;given&quot;:&quot;Michael&quot;,&quot;non-dropping-particle&quot;:&quot;&quot;,&quot;parse-names&quot;:false,&quot;suffix&quot;:&quot;&quot;},{&quot;dropping-particle&quot;:&quot;&quot;,&quot;family&quot;:&quot;Demers&quot;,&quot;given&quot;:&quot;Paul&quot;,&quot;non-dropping-particle&quot;:&quot;&quot;,&quot;parse-names&quot;:false,&quot;suffix&quot;:&quot;&quot;}],&quot;container-title&quot;:&quot;Environmental Health Perspectives&quot;,&quot;id&quot;:&quot;0bace107-1fa3-347b-ae42-97926778715c&quot;,&quot;issue&quot;:&quot;8&quot;,&quot;issued&quot;:{&quot;date-parts&quot;:[[&quot;2011&quot;,&quot;8&quot;]]},&quot;page&quot;:&quot;1123-1129&quot;,&quot;title&quot;:&quot;Creating national air pollution models for population exposure assessment in Canada&quot;,&quot;type&quot;:&quot;article-journal&quot;,&quot;volume&quot;:&quot;119&quot;},&quot;uris&quot;:[&quot;http://www.mendeley.com/documents/?uuid=0bace107-1fa3-347b-ae42-97926778715c&quot;],&quot;isTemporary&quot;:false,&quot;legacyDesktopId&quot;:&quot;0bace107-1fa3-347b-ae42-97926778715c&quot;}],&quot;properties&quot;:{&quot;noteIndex&quot;:0},&quot;isEdited&quot;:false,&quot;manualOverride&quot;:{&quot;citeprocText&quot;:&quot;(Beelen et al., 2013; Hystad et al., 2011; Meng et al., 2016; Muttoo et al., 2018; Rose et al., 2011; van Nunen et al., 2017)&quot;,&quot;isManuallyOverridden&quot;:false,&quot;manualOverrideText&quot;:&quot;&quot;},&quot;citationTag&quot;:&quot;MENDELEY_CITATION_v3_eyJjaXRhdGlvbklEIjoiTUVOREVMRVlfQ0lUQVRJT05fOGIwYmZmZGUtMTNiNS00YTRkLWEwZTEtY2NiNDMyMDFkMzQ1IiwiY2l0YXRpb25JdGVtcyI6W3siaWQiOiI1ZGMwMjdhMy02YThlLTMwYjktYTViNi1mZTg1NjUxZTc2NzkiLCJpdGVtRGF0YSI6eyJET0kiOiIxMC4xMDE2L2ouZW52cG9sLjIwMTUuMDkuMDQyIiwiSVNCTiI6IjE4NzMtNjQyNCAoRWxlY3Ryb25pYylcXHIwMjY5LTc0OTEgKExpbmtpbmcpIiwiSVNTTiI6IjE4NzM2NDI0IiwiUE1JRCI6IjI2NDk5OTM0IiwiYWJzdHJhY3QiOiJEZXZlbG9wbWVudCBvZiBleHBvc3VyZSBhc3Nlc3NtZW50IG1vZGVsIGlzIHRoZSBrZXkgY29tcG9uZW50IGZvciBlcGlkZW1pb2xvZ2ljYWwgc3R1ZGllcyBjb25jZXJuaW5nIGFpciBwb2xsdXRpb24sIGJ1dCB0aGUgZXZpZGVuY2UgZnJvbSBDaGluYSBpcyBsaW1pdGVkLiBUaGVyZWZvcmUsIGEgbGluZWFyIG1peGVkIGVmZmVjdHMgKExNRSkgbW9kZWwgd2FzIGVzdGFibGlzaGVkIGluIHRoaXMgc3R1ZHkgaW4gYSBDaGluZXNlIG1ldHJvcG9saXMgYnkgaW5jb3Jwb3JhdGluZyBhZXJvc29sIG9wdGljYWwgZGVwdGggKEFPRCksIG1ldGVvcm9sb2dpY2FsIGluZm9ybWF0aW9uIGFuZCB0aGUgbGFuZCB1c2UgcmVncmVzc2lvbiAoTFVSKSBtb2RlbCB0byBwcmVkaWN0IGdyb3VuZCBQTTEwIGxldmVscyBvbiBoaWdoIHNwYXRpb3RlbXBvcmFsIHJlc29sdXRpb24uIFRoZSBjcm9zcyB2YWxpZGF0aW9uIChDVikgUjIgYW5kIHRoZSBSTVNFIG9mIHRoZSBMTUUgbW9kZWwgd2VyZSAwLjg3IGFuZCAxOS4yIM68Zy9tMywgcmVzcGVjdGl2ZWx5LiBUaGUgcmVsYXRpdmUgcHJlZGljdGlvbiBlcnJvciAoUlBFKSBvZiBkYWlseSBhbmQgYW5udWFsIG1lYW4gcHJlZGljdGVkIFBNMTAgY29uY2VudHJhdGlvbnMgd2VyZSAxOS4xJSBhbmQgNy41JSwgcmVzcGVjdGl2ZWx5LiBUaGlzIHN0dWR5IHdhcyB0aGUgZmlyc3QgYXR0ZW1wdCBpbiBDaGluYSB0byBlc3RpbWF0ZSBib3RoIHNob3J0LXRlcm0gYW5kIGxvbmctdGVybSB2YXJpYXRpb24gb2YgUE0xMCBsZXZlbHMgd2l0aCBoaWdoIHNwYXRpYWwgcmVzb2x1dGlvbiBpbiBhIENoaW5lc2UgbWV0cm9wb2xpcyB3aXRoIHRoZSBMTUUgbW9kZWwuIFRoZSByZXN1bHRzIHN1Z2dlc3RlZCB0aGF0IHRoZSBMTUUgbW9kZWwgY291bGQgcHJvdmlkZSBleHBvc3VyZSBhc3Nlc3NtZW50IGZvciBzaG9ydC10ZXJtIGFuZCBsb25nLXRlcm0gZXBpZGVtaW9sb2dpY2FsIHN0dWRpZXMgaW4gQ2hpbmEuIiwiYXV0aG9yIjpbeyJkcm9wcGluZy1wYXJ0aWNsZSI6IiIsImZhbWlseSI6Ik1lbmciLCJnaXZlbiI6IlhpYSIsIm5vbi1kcm9wcGluZy1wYXJ0aWNsZSI6IiIsInBhcnNlLW5hbWVzIjpmYWxzZSwic3VmZml4IjoiIn0seyJkcm9wcGluZy1wYXJ0aWNsZSI6IiIsImZhbWlseSI6IkZ1IiwiZ2l2ZW4iOiJRaW5neWFuIiwibm9uLWRyb3BwaW5nLXBhcnRpY2xlIjoiIiwicGFyc2UtbmFtZXMiOmZhbHNlLCJzdWZmaXgiOiIifSx7ImRyb3BwaW5nLXBhcnRpY2xlIjoiIiwiZmFtaWx5IjoiTWEiLCJnaXZlbiI6Ilpvbmd3ZWkiLCJub24tZHJvcHBpbmctcGFydGljbGUiOiIiLCJwYXJzZS1uYW1lcyI6ZmFsc2UsInN1ZmZpeCI6IiJ9LHsiZHJvcHBpbmctcGFydGljbGUiOiIiLCJmYW1pbHkiOiJDaGVuIiwiZ2l2ZW4iOiJMaSIsIm5vbi1kcm9wcGluZy1wYXJ0aWNsZSI6IiIsInBhcnNlLW5hbWVzIjpmYWxzZSwic3VmZml4IjoiIn0seyJkcm9wcGluZy1wYXJ0aWNsZSI6IiIsImZhbWlseSI6IlpvdSIsImdpdmVuIjoiQmluIiwibm9uLWRyb3BwaW5nLXBhcnRpY2xlIjoiIiwicGFyc2UtbmFtZXMiOmZhbHNlLCJzdWZmaXgiOiIifSx7ImRyb3BwaW5nLXBhcnRpY2xlIjoiIiwiZmFtaWx5IjoiWmhhbmciLCJnaXZlbiI6IllhbiIsIm5vbi1kcm9wcGluZy1wYXJ0aWNsZSI6IiIsInBhcnNlLW5hbWVzIjpmYWxzZSwic3VmZml4IjoiIn0seyJkcm9wcGluZy1wYXJ0aWNsZSI6IiIsImZhbWlseSI6Ilh1ZSIsImdpdmVuIjoiV2VuYm8iLCJub24tZHJvcHBpbmctcGFydGljbGUiOiIiLCJwYXJzZS1uYW1lcyI6ZmFsc2UsInN1ZmZpeCI6IiJ9LHsiZHJvcHBpbmctcGFydGljbGUiOiIiLCJmYW1pbHkiOiJXYW5nIiwiZ2l2ZW4iOiJKaW5uYW4iLCJub24tZHJvcHBpbmctcGFydGljbGUiOiIiLCJwYXJzZS1uYW1lcyI6ZmFsc2UsInN1ZmZpeCI6IiJ9LHsiZHJvcHBpbmctcGFydGljbGUiOiIiLCJmYW1pbHkiOiJXYW5nIiwiZ2l2ZW4iOiJEb25nZmFuZyIsIm5vbi1kcm9wcGluZy1wYXJ0aWNsZSI6IiIsInBhcnNlLW5hbWVzIjpmYWxzZSwic3VmZml4IjoiIn0seyJkcm9wcGluZy1wYXJ0aWNsZSI6IiIsImZhbWlseSI6IkthbiIsImdpdmVuIjoiSGFpZG9uZyIsIm5vbi1kcm9wcGluZy1wYXJ0aWNsZSI6IiIsInBhcnNlLW5hbWVzIjpmYWxzZSwic3VmZml4IjoiIn0seyJkcm9wcGluZy1wYXJ0aWNsZSI6IiIsImZhbWlseSI6IkxpdSIsImdpdmVuIjoiWWFuZyIsIm5vbi1kcm9wcGluZy1wYXJ0aWNsZSI6IiIsInBhcnNlLW5hbWVzIjpmYWxzZSwic3VmZml4IjoiIn1dLCJjb250YWluZXItdGl0bGUiOiJFbnZpcm9ubWVudGFsIFBvbGx1dGlvbiIsImlkIjoiNWRjMDI3YTMtNmE4ZS0zMGI5LWE1YjYtZmU4NTY1MWU3Njc5IiwiaXNzdWVkIjp7ImRhdGUtcGFydHMiOltbIjIwMTYiXV19LCJwYWdlIjoiMTc3LTE4NCIsInB1Ymxpc2hlciI6IkVsc2V2aWVyIEx0ZCIsInRpdGxlIjoiRXN0aW1hdGluZyBncm91bmQtbGV2ZWwgUE0xMCBpbiBhIENoaW5lc2UgY2l0eSBieSBjb21iaW5pbmcgc2F0ZWxsaXRlIGRhdGEsIG1ldGVvcm9sb2dpY2FsIGluZm9ybWF0aW9uIGFuZCBhIGxhbmQgdXNlIHJlZ3Jlc3Npb24gbW9kZWwiLCJ0eXBlIjoiYXJ0aWNsZS1qb3VybmFsIiwidm9sdW1lIjoiMjA4In0sInVyaXMiOlsiaHR0cDovL3d3dy5tZW5kZWxleS5jb20vZG9jdW1lbnRzLz91dWlkPTFhNjcyNzcyLWYzMDEtNDQ4Yy1iM2I3LTVkNGMwZDI1YTM4NiJdLCJpc1RlbXBvcmFyeSI6ZmFsc2UsImxlZ2FjeURlc2t0b3BJZCI6IjFhNjcyNzcyLWYzMDEtNDQ4Yy1iM2I3LTVkNGMwZDI1YTM4NiJ9LHsiaWQiOiIxMTU0MjA2Ny00MmFmLTNkOGMtYTc2Ny01YWI5MmM0NDhhYmUiLCJpdGVtRGF0YSI6eyJET0kiOiIxMC4xMDE2L2ouYXRtb3NlbnYuMjAxMy4wMi4wMzciLCJJU1NOIjoiMTM1MjIzMTAiLCJhYnN0cmFjdCI6IkVzdGltYXRpbmcgd2l0aGluLWNpdHkgdmFyaWFiaWxpdHkgaW4gYWlyIHBvbGx1dGlvbiBjb25jZW50cmF0aW9ucyBpcyBpbXBvcnRhbnQuIExhbmQgdXNlIHJlZ3Jlc3Npb24gKExVUikgbW9kZWxzIGFyZSBhYmxlIHRvIGV4cGxhaW4gc3VjaCBzbWFsbC1zY2FsZSB3aXRoaW4tY2l0eSB2YXJpYXRpb25zLiBUcmFuc3BhcmVuY3kgaW4gTFVSIG1vZGVsIGRldmVsb3BtZW50IG1ldGhvZHMgaXMgaW1wb3J0YW50IHRvIGZhY2lsaXRhdGUgY29tcGFyaXNvbiBvZiBtZXRob2RzIGJldHdlZW4gZGlmZmVyZW50IHN0dWRpZXMuIFdlIHRoZXJlZm9yZSBkZXZlbG9wZWQgTFVSIG1vZGVscyBpbiBhIHN0YW5kYXJkaXplZCB3YXkgaW4gMzYgc3R1ZHkgYXJlYXMgaW4gRXVyb3BlIGZvciB0aGUgRVNDQVBFIChFdXJvcGVhbiBTdHVkeSBvZiBDb2hvcnRzIGZvciBBaXIgUG9sbHV0aW9uIEVmZmVjdHMpIHByb2plY3QuTml0cm9nZW4gZGlveGlkZSAoTk8yKSBhbmQgbml0cm9nZW4gb3hpZGVzIChOT3gpIHdlcmUgbWVhc3VyZWQgd2l0aCBPZ2F3YSBwYXNzaXZlIHNhbXBsZXJzIGF0IDQwIG9yIDgwIHNpdGVzIGluIGVhY2ggb2YgdGhlIDM2IHN0dWR5IGFyZWFzLiBUaGUgc3BhdGlhbCB2YXJpYXRpb24gaW4gZWFjaCBhcmVhIHdhcyBleHBsYWluZWQgYnkgTFVSIG1vZGVsbGluZy4gQ2VudHJhbGx5IGFuZCBsb2NhbGx5IGF2YWlsYWJsZSBHZW9ncmFwaGljIEluZm9ybWF0aW9uIFN5c3RlbSAoR0lTKSB2YXJpYWJsZXMgd2VyZSB1c2VkIGFzIHBvdGVudGlhbCBwcmVkaWN0b3JzLiBBIGxlYXZlLW9uZSBvdXQgY3Jvc3MtdmFsaWRhdGlvbiBwcm9jZWR1cmUgd2FzIHVzZWQgdG8gZXZhbHVhdGUgdGhlIG1vZGVsIHBlcmZvcm1hbmNlLlRoZXJlIHdhcyBzdWJzdGFudGlhbCBjb250cmFzdCBpbiBhbm51YWwgYXZlcmFnZSBOTzIgYW5kIE5PeCBjb25jZW50cmF0aW9ucyB3aXRoaW4gdGhlIHN0dWR5IGFyZWFzLiBUaGUgbW9kZWwgZXhwbGFpbmVkIHZhcmlhbmNlcyAoUjIpIG9mIHRoZSBMVVIgbW9kZWxzIHJhbmdlZCBmcm9tIDU1JSB0byA5MiUgKG1lZGlhbiA4MiUpIGZvciBOTzIgYW5kIGZyb20gNDklIHRvIDkxJSAobWVkaWFuIDc4JSkgZm9yIE5PeC4gRm9yIG1vc3QgYXJlYXMgdGhlIGNyb3NzLXZhbGlkYXRpb24gUjIgd2FzIGxlc3MgdGhhbiAxMCUgbG93ZXIgdGhhbiB0aGUgbW9kZWwgUjIuIFNtYWxsLXNjYWxlIHRyYWZmaWMgYW5kIHBvcHVsYXRpb24vaG91c2Vob2xkIGRlbnNpdHkgd2VyZSB0aGUgbW9zdCBjb21tb24gcHJlZGljdG9ycy4gVGhlIG1hZ25pdHVkZSBvZiB0aGUgZXhwbGFpbmVkIHZhcmlhbmNlIGRlcGVuZGVkIG9uIHRoZSBjb250cmFzdCBpbiBtZWFzdXJlZCBjb25jZW50cmF0aW9ucyBhcyB3ZWxsIGFzIGF2YWlsYWJpbGl0eSBvZiBHSVMgcHJlZGljdG9ycywgZXNwZWNpYWxseSB0cmFmZmljIGludGVuc2l0eSBkYXRhIHdlcmUgaW1wb3J0YW50LiBJbiBhbiBhZGRpdGlvbmFsIGV2YWx1YXRpb24sIG1vZGVscyBpbiB3aGljaCBsb2NhbCB0cmFmZmljIGludGVuc2l0eSB3YXMgbm90IG9mZmVyZWQgaGFkIDEwJSBsb3dlciBSMiBjb21wYXJlZCB0byBtb2RlbHMgaW4gdGhlIHNhbWUgYXJlYXMgaW4gd2hpY2ggdGhlc2UgdmFyaWFibGVzIHdlcmUgb2ZmZXJlZC5XaXRoaW4gdGhlIEVTQ0FQRSBwcm9qZWN0IGl0IHdhcyBwb3NzaWJsZSB0byBkZXZlbG9wIExVUiBtb2RlbHMgdGhhdCBleHBsYWluZWQgYSBsYXJnZSBmcmFjdGlvbiBvZiB0aGUgc3BhdGlhbCB2YXJpYW5jZSBpbiBtZWFzdXJlZCBhbm51YWwgYXZlcmFnZSBOTzIgYW5kIE5PeCBjb25jZW50cmF0aW9ucy4gVGhlc2UgTFVSIG1vZGVscyBhcmUgYmVpbmcgdXNlZCB0byBlc3RpbWF0ZSBvdXRkb29yIGNvbmNlbnRyYXRpb25zIGF0IHRoZSBob21lIGFkZHJlc3NlcyBvZiBwYXJ0aWNpcGFudHMgaW4gb3ZlciAzMCBjb2hvcnQgc3R1ZGllcy4gwqkgMjAxMyBFbHNldmllciBMdGQuIiwiYXV0aG9yIjpbeyJkcm9wcGluZy1wYXJ0aWNsZSI6IiIsImZhbWlseSI6IkJlZWxlbiIsImdpdmVuIjoiUm9iIiwibm9uLWRyb3BwaW5nLXBhcnRpY2xlIjoiIiwicGFyc2UtbmFtZXMiOmZhbHNlLCJzdWZmaXgiOiIifSx7ImRyb3BwaW5nLXBhcnRpY2xlIjoiIiwiZmFtaWx5IjoiSG9layIsImdpdmVuIjoiR2VyYXJkIiwibm9uLWRyb3BwaW5nLXBhcnRpY2xlIjoiIiwicGFyc2UtbmFtZXMiOmZhbHNlLCJzdWZmaXgiOiIifSx7ImRyb3BwaW5nLXBhcnRpY2xlIjoiIiwiZmFtaWx5IjoiVmllbm5lYXUiLCJnaXZlbiI6IkRhbmllbGxlIiwibm9uLWRyb3BwaW5nLXBhcnRpY2xlIjoiIiwicGFyc2UtbmFtZXMiOmZhbHNlLCJzdWZmaXgiOiIifSx7ImRyb3BwaW5nLXBhcnRpY2xlIjoiIiwiZmFtaWx5IjoiRWVmdGVucyIsImdpdmVuIjoiTWFybG9lcyIsIm5vbi1kcm9wcGluZy1wYXJ0aWNsZSI6IiIsInBhcnNlLW5hbWVzIjpmYWxzZSwic3VmZml4IjoiIn0seyJkcm9wcGluZy1wYXJ0aWNsZSI6IiIsImZhbWlseSI6IkRpbWFrb3BvdWxvdSIsImdpdmVuIjoiS29uc3RhbnRpbmEiLCJub24tZHJvcHBpbmctcGFydGljbGUiOiIiLCJwYXJzZS1uYW1lcyI6ZmFsc2UsInN1ZmZpeCI6IiJ9LHsiZHJvcHBpbmctcGFydGljbGUiOiIiLCJmYW1pbHkiOiJQZWRlbGkiLCJnaXZlbiI6IlhhbnRoaSIsIm5vbi1kcm9wcGluZy1wYXJ0aWNsZSI6IiIsInBhcnNlLW5hbWVzIjpmYWxzZSwic3VmZml4IjoiIn0seyJkcm9wcGluZy1wYXJ0aWNsZSI6IiIsImZhbWlseSI6IlRzYWkiLCJnaXZlbiI6Ik1pbmcgWWkiLCJub24tZHJvcHBpbmctcGFydGljbGUiOiIiLCJwYXJzZS1uYW1lcyI6ZmFsc2UsInN1ZmZpeCI6IiJ9LHsiZHJvcHBpbmctcGFydGljbGUiOiIiLCJmYW1pbHkiOiJLw7xuemxpIiwiZ2l2ZW4iOiJOaW5vIiwibm9uLWRyb3BwaW5nLXBhcnRpY2xlIjoiIiwicGFyc2UtbmFtZXMiOmZhbHNlLCJzdWZmaXgiOiIifSx7ImRyb3BwaW5nLXBhcnRpY2xlIjoiIiwiZmFtaWx5IjoiU2NoaWtvd3NraSIsImdpdmVuIjoiVGFtYXJhIiwibm9uLWRyb3BwaW5nLXBhcnRpY2xlIjoiIiwicGFyc2UtbmFtZXMiOmZhbHNlLCJzdWZmaXgiOiIifSx7ImRyb3BwaW5nLXBhcnRpY2xlIjoiIiwiZmFtaWx5IjoiTWFyY29uIiwiZ2l2ZW4iOiJBbGVzc2FuZHJvIiwibm9uLWRyb3BwaW5nLXBhcnRpY2xlIjoiIiwicGFyc2UtbmFtZXMiOmZhbHNlLCJzdWZmaXgiOiIifSx7ImRyb3BwaW5nLXBhcnRpY2xlIjoiIiwiZmFtaWx5IjoiRXJpa3NlbiIsImdpdmVuIjoiS2lyc3RlbiBULiIsIm5vbi1kcm9wcGluZy1wYXJ0aWNsZSI6IiIsInBhcnNlLW5hbWVzIjpmYWxzZSwic3VmZml4IjoiIn0seyJkcm9wcGluZy1wYXJ0aWNsZSI6IiIsImZhbWlseSI6IlJhYXNjaG91LU5pZWxzZW4iLCJnaXZlbiI6Ik9sZSIsIm5vbi1kcm9wcGluZy1wYXJ0aWNsZSI6IiIsInBhcnNlLW5hbWVzIjpmYWxzZSwic3VmZml4IjoiIn0seyJkcm9wcGluZy1wYXJ0aWNsZSI6IiIsImZhbWlseSI6IlN0ZXBoYW5vdSIsImdpdmVuIjoiRXVyaXBpZGVzIiwibm9uLWRyb3BwaW5nLXBhcnRpY2xlIjoiIiwicGFyc2UtbmFtZXMiOmZhbHNlLCJzdWZmaXgiOiIifSx7ImRyb3BwaW5nLXBhcnRpY2xlIjoiIiwiZmFtaWx5IjoiUGF0ZWxhcm91IiwiZ2l2ZW4iOiJFdnJpZGlraSIsIm5vbi1kcm9wcGluZy1wYXJ0aWNsZSI6IiIsInBhcnNlLW5hbWVzIjpmYWxzZSwic3VmZml4IjoiIn0seyJkcm9wcGluZy1wYXJ0aWNsZSI6IiIsImZhbWlseSI6IkxhbmtpIiwiZ2l2ZW4iOiJUaW1vIiwibm9uLWRyb3BwaW5nLXBhcnRpY2xlIjoiIiwicGFyc2UtbmFtZXMiOmZhbHNlLCJzdWZmaXgiOiIifSx7ImRyb3BwaW5nLXBhcnRpY2xlIjoiIiwiZmFtaWx5IjoiWWxpLVR1b21pIiwiZ2l2ZW4iOiJUYXJqYSIsIm5vbi1kcm9wcGluZy1wYXJ0aWNsZSI6IiIsInBhcnNlLW5hbWVzIjpmYWxzZSwic3VmZml4IjoiIn0seyJkcm9wcGluZy1wYXJ0aWNsZSI6IiIsImZhbWlseSI6IkRlY2xlcmNxIiwiZ2l2ZW4iOiJDaHJpc3RvcGhlIiwibm9uLWRyb3BwaW5nLXBhcnRpY2xlIjoiIiwicGFyc2UtbmFtZXMiOmZhbHNlLCJzdWZmaXgiOiIifSx7ImRyb3BwaW5nLXBhcnRpY2xlIjoiIiwiZmFtaWx5IjoiRmFscSIsImdpdmVuIjoiR3LDqWdvaXJlIiwibm9uLWRyb3BwaW5nLXBhcnRpY2xlIjoiIiwicGFyc2UtbmFtZXMiOmZhbHNlLCJzdWZmaXgiOiIifSx7ImRyb3BwaW5nLXBhcnRpY2xlIjoiIiwiZmFtaWx5IjoiU3RlbXBmZWxldCIsImdpdmVuIjoiTW9yZ2FuZSIsIm5vbi1kcm9wcGluZy1wYXJ0aWNsZSI6IiIsInBhcnNlLW5hbWVzIjpmYWxzZSwic3VmZml4IjoiIn0seyJkcm9wcGluZy1wYXJ0aWNsZSI6IiIsImZhbWlseSI6IkJpcmsiLCJnaXZlbiI6Ik1hdHRoaWFzIiwibm9uLWRyb3BwaW5nLXBhcnRpY2xlIjoiIiwicGFyc2UtbmFtZXMiOmZhbHNlLCJzdWZmaXgiOiIifSx7ImRyb3BwaW5nLXBhcnRpY2xlIjoiIiwiZmFtaWx5IjoiQ3lyeXMiLCJnaXZlbiI6Ikpvc2VmIiwibm9uLWRyb3BwaW5nLXBhcnRpY2xlIjoiIiwicGFyc2UtbmFtZXMiOmZhbHNlLCJzdWZmaXgiOiIifSx7ImRyb3BwaW5nLXBhcnRpY2xlIjoiIiwiZmFtaWx5IjoiS2xvdCIsImdpdmVuIjoiU3RlcGhhbmllIiwibm9uLWRyb3BwaW5nLXBhcnRpY2xlIjoidm9uIiwicGFyc2UtbmFtZXMiOmZhbHNlLCJzdWZmaXgiOiIifSx7ImRyb3BwaW5nLXBhcnRpY2xlIjoiIiwiZmFtaWx5IjoiTsOhZG9yIiwiZ2l2ZW4iOiJHaXplbGxhIiwibm9uLWRyb3BwaW5nLXBhcnRpY2xlIjoiIiwicGFyc2UtbmFtZXMiOmZhbHNlLCJzdWZmaXgiOiIifSx7ImRyb3BwaW5nLXBhcnRpY2xlIjoiIiwiZmFtaWx5IjoiVmFycsOzIiwiZ2l2ZW4iOiJNaWjDoWx5IErDoW5vcyIsIm5vbi1kcm9wcGluZy1wYXJ0aWNsZSI6IiIsInBhcnNlLW5hbWVzIjpmYWxzZSwic3VmZml4IjoiIn0seyJkcm9wcGluZy1wYXJ0aWNsZSI6IiIsImZhbWlseSI6IkRlZGVsZSIsImdpdmVuIjoiQXVkcml1cyIsIm5vbi1kcm9wcGluZy1wYXJ0aWNsZSI6IiIsInBhcnNlLW5hbWVzIjpmYWxzZSwic3VmZml4IjoiIn0seyJkcm9wcGluZy1wYXJ0aWNsZSI6IiIsImZhbWlseSI6IkdyYcW+dWxldmnEjWllbmUiLCJnaXZlbiI6IlJlZ2luYSIsIm5vbi1kcm9wcGluZy1wYXJ0aWNsZSI6IiIsInBhcnNlLW5hbWVzIjpmYWxzZSwic3VmZml4IjoiIn0seyJkcm9wcGluZy1wYXJ0aWNsZSI6IiIsImZhbWlseSI6Ik3Dtmx0ZXIiLCJnaXZlbiI6IkFubmEiLCJub24tZHJvcHBpbmctcGFydGljbGUiOiIiLCJwYXJzZS1uYW1lcyI6ZmFsc2UsInN1ZmZpeCI6IiJ9LHsiZHJvcHBpbmctcGFydGljbGUiOiIiLCJmYW1pbHkiOiJMaW5kbGV5IiwiZ2l2ZW4iOiJTYXJhaCIsIm5vbi1kcm9wcGluZy1wYXJ0aWNsZSI6IiIsInBhcnNlLW5hbWVzIjpmYWxzZSwic3VmZml4IjoiIn0seyJkcm9wcGluZy1wYXJ0aWNsZSI6IiIsImZhbWlseSI6Ik1hZHNlbiIsImdpdmVuIjoiQ2hyaXN0aWFuIiwibm9uLWRyb3BwaW5nLXBhcnRpY2xlIjoiIiwicGFyc2UtbmFtZXMiOmZhbHNlLCJzdWZmaXgiOiIifSx7ImRyb3BwaW5nLXBhcnRpY2xlIjoiIiwiZmFtaWx5IjoiQ2VzYXJvbmkiLCJnaXZlbiI6IkdpdWxpYSIsIm5vbi1kcm9wcGluZy1wYXJ0aWNsZSI6IiIsInBhcnNlLW5hbWVzIjpmYWxzZSwic3VmZml4IjoiIn0seyJkcm9wcGluZy1wYXJ0aWNsZSI6IiIsImZhbWlseSI6IlJhbnppIiwiZ2l2ZW4iOiJBbmRyZWEiLCJub24tZHJvcHBpbmctcGFydGljbGUiOiIiLCJwYXJzZS1uYW1lcyI6ZmFsc2UsInN1ZmZpeCI6IiJ9LHsiZHJvcHBpbmctcGFydGljbGUiOiIiLCJmYW1pbHkiOiJCYWRhbG9uaSIsImdpdmVuIjoiQ2hpYXJhIiwibm9uLWRyb3BwaW5nLXBhcnRpY2xlIjoiIiwicGFyc2UtbmFtZXMiOmZhbHNlLCJzdWZmaXgiOiIifSx7ImRyb3BwaW5nLXBhcnRpY2xlIjoiIiwiZmFtaWx5IjoiSG9mZm1hbm4iLCJnaXZlbiI6IkJhcmJhcmEiLCJub24tZHJvcHBpbmctcGFydGljbGUiOiIiLCJwYXJzZS1uYW1lcyI6ZmFsc2UsInN1ZmZpeCI6IiJ9LHsiZHJvcHBpbmctcGFydGljbGUiOiIiLCJmYW1pbHkiOiJOb25uZW1hY2hlciIsImdpdmVuIjoiTWljaGFlbCIsIm5vbi1kcm9wcGluZy1wYXJ0aWNsZSI6IiIsInBhcnNlLW5hbWVzIjpmYWxzZSwic3VmZml4IjoiIn0seyJkcm9wcGluZy1wYXJ0aWNsZSI6IiIsImZhbWlseSI6Iktyw6RtZXIiLCJnaXZlbiI6IlVyc3VsYSIsIm5vbi1kcm9wcGluZy1wYXJ0aWNsZSI6IiIsInBhcnNlLW5hbWVzIjpmYWxzZSwic3VmZml4IjoiIn0seyJkcm9wcGluZy1wYXJ0aWNsZSI6IiIsImZhbWlseSI6Ikt1aGxidXNjaCIsImdpdmVuIjoiVGhvbWFzIiwibm9uLWRyb3BwaW5nLXBhcnRpY2xlIjoiIiwicGFyc2UtbmFtZXMiOmZhbHNlLCJzdWZmaXgiOiIifSx7ImRyb3BwaW5nLXBhcnRpY2xlIjoiIiwiZmFtaWx5IjoiQ2lyYWNoIiwiZ2l2ZW4iOiJNYXJ0YSIsIm5vbi1kcm9wcGluZy1wYXJ0aWNsZSI6IiIsInBhcnNlLW5hbWVzIjpmYWxzZSwic3VmZml4IjoiIn0seyJkcm9wcGluZy1wYXJ0aWNsZSI6IiIsImZhbWlseSI6Ik5hemVsbGUiLCJnaXZlbiI6IkF1ZHJleSIsIm5vbi1kcm9wcGluZy1wYXJ0aWNsZSI6ImRlIiwicGFyc2UtbmFtZXMiOmZhbHNlLCJzdWZmaXgiOiIifSx7ImRyb3BwaW5nLXBhcnRpY2xlIjoiIiwiZmFtaWx5IjoiTmlldXdlbmh1aWpzZW4iLCJnaXZlbiI6Ik1hcmsiLCJub24tZHJvcHBpbmctcGFydGljbGUiOiIiLCJwYXJzZS1uYW1lcyI6ZmFsc2UsInN1ZmZpeCI6IiJ9LHsiZHJvcHBpbmctcGFydGljbGUiOiIiLCJmYW1pbHkiOiJCZWxsYW5kZXIiLCJnaXZlbiI6IlRvbSIsIm5vbi1kcm9wcGluZy1wYXJ0aWNsZSI6IiIsInBhcnNlLW5hbWVzIjpmYWxzZSwic3VmZml4IjoiIn0seyJkcm9wcGluZy1wYXJ0aWNsZSI6IiIsImZhbWlseSI6IktvcmVrIiwiZ2l2ZW4iOiJNaWNoYWwiLCJub24tZHJvcHBpbmctcGFydGljbGUiOiIiLCJwYXJzZS1uYW1lcyI6ZmFsc2UsInN1ZmZpeCI6IiJ9LHsiZHJvcHBpbmctcGFydGljbGUiOiIiLCJmYW1pbHkiOiJPbHNzb24iLCJnaXZlbiI6IkRhdmlkIiwibm9uLWRyb3BwaW5nLXBhcnRpY2xlIjoiIiwicGFyc2UtbmFtZXMiOmZhbHNlLCJzdWZmaXgiOiIifSx7ImRyb3BwaW5nLXBhcnRpY2xlIjoiIiwiZmFtaWx5IjoiU3Ryw7ZtZ3JlbiIsImdpdmVuIjoiTWFnbnVzIiwibm9uLWRyb3BwaW5nLXBhcnRpY2xlIjoiIiwicGFyc2UtbmFtZXMiOmZhbHNlLCJzdWZmaXgiOiIifSx7ImRyb3BwaW5nLXBhcnRpY2xlIjoiIiwiZmFtaWx5IjoiRG9ucyIsImdpdmVuIjoiRXZpIiwibm9uLWRyb3BwaW5nLXBhcnRpY2xlIjoiIiwicGFyc2UtbmFtZXMiOmZhbHNlLCJzdWZmaXgiOiIifSx7ImRyb3BwaW5nLXBhcnRpY2xlIjoiIiwiZmFtaWx5IjoiSmVycmV0dCIsImdpdmVuIjoiTWljaGFlbCIsIm5vbi1kcm9wcGluZy1wYXJ0aWNsZSI6IiIsInBhcnNlLW5hbWVzIjpmYWxzZSwic3VmZml4IjoiIn0seyJkcm9wcGluZy1wYXJ0aWNsZSI6IiIsImZhbWlseSI6IkZpc2NoZXIiLCJnaXZlbiI6IlBhdWwiLCJub24tZHJvcHBpbmctcGFydGljbGUiOiIiLCJwYXJzZS1uYW1lcyI6ZmFsc2UsInN1ZmZpeCI6IiJ9LHsiZHJvcHBpbmctcGFydGljbGUiOiIiLCJmYW1pbHkiOiJXYW5nIiwiZ2l2ZW4iOiJNZW5nIiwibm9uLWRyb3BwaW5nLXBhcnRpY2xlIjoiIiwicGFyc2UtbmFtZXMiOmZhbHNlLCJzdWZmaXgiOiIifSx7ImRyb3BwaW5nLXBhcnRpY2xlIjoiIiwiZmFtaWx5IjoiQnJ1bmVrcmVlZiIsImdpdmVuIjoiQmVydCIsIm5vbi1kcm9wcGluZy1wYXJ0aWNsZSI6IiIsInBhcnNlLW5hbWVzIjpmYWxzZSwic3VmZml4IjoiIn0seyJkcm9wcGluZy1wYXJ0aWNsZSI6IiIsImZhbWlseSI6Ikhvb2doIiwiZ2l2ZW4iOiJLZWVzIiwibm9uLWRyb3BwaW5nLXBhcnRpY2xlIjoiZGUiLCJwYXJzZS1uYW1lcyI6ZmFsc2UsInN1ZmZpeCI6IiJ9XSwiY29udGFpbmVyLXRpdGxlIjoiQXRtb3NwaGVyaWMgRW52aXJvbm1lbnQiLCJpZCI6IjExNTQyMDY3LTQyYWYtM2Q4Yy1hNzY3LTVhYjkyYzQ0OGFiZSIsImlzc3VlZCI6eyJkYXRlLXBhcnRzIjpbWyIyMDEzIiwiNiIsIjEiXV19LCJwYWdlIjoiMTAtMjMiLCJwdWJsaXNoZXIiOiJQZXJnYW1vbiIsInRpdGxlIjoiRGV2ZWxvcG1lbnQgb2YgTk8yIGFuZCBOT3ggbGFuZCB1c2UgcmVncmVzc2lvbiBtb2RlbHMgZm9yIGVzdGltYXRpbmcgYWlyIHBvbGx1dGlvbiBleHBvc3VyZSBpbiAzNiBzdHVkeSBhcmVhcyBpbiBFdXJvcGUgLSBUaGUgRVNDQVBFIHByb2plY3QiLCJ0eXBlIjoiYXJ0aWNsZS1qb3VybmFsIiwidm9sdW1lIjoiNzIifSwidXJpcyI6WyJodHRwOi8vd3d3Lm1lbmRlbGV5LmNvbS9kb2N1bWVudHMvP3V1aWQ9MTE1NDIwNjctNDJhZi0zZDhjLWE3NjctNWFiOTJjNDQ4YWJlIl0sImlzVGVtcG9yYXJ5IjpmYWxzZSwibGVnYWN5RGVza3RvcElkIjoiMTE1NDIwNjctNDJhZi0zZDhjLWE3NjctNWFiOTJjNDQ4YWJlIn0seyJpZCI6IjlmYWI3MmFmLTgwYTUtMzBiZS05ZDM0LWM5MTJhMmMzNmRmZCIsIml0ZW1EYXRhIjp7IkRPSSI6IjEwLjEwMjEvYWNzLmVzdC42YjA1OTIwIiwiSVNTTiI6IjAwMTMtOTM2WCIsImFic3RyYWN0IjoiTG9uZy10ZXJtIHVsdHJhZmluZSBwYXJ0aWNsZSAoVUZQKSBleHBvc3VyZSBlc3RpbWF0ZXMgYXQgYSBmaW5lIHNwYXRpYWwgc2NhbGUgYXJlIG5lZWRlZCBmb3IgZXBpZGVtaW9sb2dpY2FsIHN0dWRpZXMuIExhbmQgdXNlIHJlZ3Jlc3Npb24gKExVUikgbW9kZWxzIHdlcmUgZGV2ZWxvcGVkIGFuZCBldmFsdWF0ZWQgZm9yIHNpeCBFdXJvcGVhbiBhcmVhcyBiYXNlZCBvbiByZXBlYXRlZCAzMCBtaW4gbW9uaXRvcmluZyBmb2xsb3dpbmcgc3RhbmRhcmRpemVkIHByb3RvY29scy4gSW4gZWFjaCBhcmVhOyBCYXNlbCAoU3dpdHplcmxhbmQpLCBIZXJha2xpb24gKEdyZWVjZSksIEFtc3RlcmRhbSwgTWFhc3RyaWNodCwgYW5kIFV0cmVjaHQgKOKAnFRoZSBOZXRoZXJsYW5kc+KAnSksIE5vcndpY2ggKFVuaXRlZCBLaW5nZG9tKSwgU2FiYWRlbGwgKFNwYWluKSwgYW5kIFR1cmluIChJdGFseSksIDE2MOKAkzI0MCBzaXRlcyB3ZXJlIG1vbml0b3JlZCB0byBkZXZlbG9wIExVUiBtb2RlbHMgYnkgc3VwZXJ2aXNlZCBzdGVwd2lzZSBzZWxlY3Rpb24gb2YgR0lTIHByZWRpY3RvcnMuIEZvciBlYWNoIGFyZWEgYW5kIGFsbCBhcmVhcyBjb21iaW5lZCwgMTAgbW9kZWxzIHdlcmUgZGV2ZWxvcGVkIGluIHN0cmF0aWZpZWQgcmFuZG9tIHNlbGVjdGlvbnMgb2YgOTAlIG9mIHNpdGVzLiBVRlAgcHJlZGljdGlvbiByb2J1c3RuZXNzIHdhcyBldmFsdWF0ZWQgd2l0aCB0aGUgaW50cmFjbGFzcyBjb3JyZWxhdGlvbiBjb2VmZmljaWVudCAoSUNDKSBhdCAzMeKAkzUwIGV4dGVybmFsIHNpdGVzIHBlciBhcmVhLiBNb2RlbHMgZnJvbSBCYXNlbCBhbmQgVGhlIE5ldGhlcmxhbmRzIHdlcmUgdmFsaWRhdGVkIGFnYWluc3QgcmVwZWF0ZWQgMjQgaCBvdXRkb29yIG1lYXN1cmVtZW50cy4gU3RydWN0dXJlIGFuZCBtb2RlbCBSMiBvZiBsb2NhbCBtb2RlbHMgd2VyZSBzaW1pbGFyIHdpdGhpbiwgYnV0IHZhcmllZCBiZXR3ZWVuIGFyZWFzIChlLmcuLCAzOOKAkzQzJSBUdXJpbjsgMjXigJMzMSUgU2FiYWRlbGwpLiBSb2J1c3RuZXNzIG9mLi4uIiwiYXV0aG9yIjpbeyJkcm9wcGluZy1wYXJ0aWNsZSI6IiIsImZhbWlseSI6Ik51bmVuIiwiZ2l2ZW4iOiJFcmlrIiwibm9uLWRyb3BwaW5nLXBhcnRpY2xlIjoidmFuIiwicGFyc2UtbmFtZXMiOmZhbHNlLCJzdWZmaXgiOiIifSx7ImRyb3BwaW5nLXBhcnRpY2xlIjoiIiwiZmFtaWx5IjoiVmVybWV1bGVuIiwiZ2l2ZW4iOiJSb2VsIiwibm9uLWRyb3BwaW5nLXBhcnRpY2xlIjoiIiwicGFyc2UtbmFtZXMiOmZhbHNlLCJzdWZmaXgiOiIifSx7ImRyb3BwaW5nLXBhcnRpY2xlIjoiIiwiZmFtaWx5IjoiVHNhaSIsImdpdmVuIjoiTWluZy1ZaSIsIm5vbi1kcm9wcGluZy1wYXJ0aWNsZSI6IiIsInBhcnNlLW5hbWVzIjpmYWxzZSwic3VmZml4IjoiIn0seyJkcm9wcGluZy1wYXJ0aWNsZSI6IiIsImZhbWlseSI6IlByb2JzdC1IZW5zY2giLCJnaXZlbiI6Ik5pY29sZSIsIm5vbi1kcm9wcGluZy1wYXJ0aWNsZSI6IiIsInBhcnNlLW5hbWVzIjpmYWxzZSwic3VmZml4IjoiIn0seyJkcm9wcGluZy1wYXJ0aWNsZSI6IiIsImZhbWlseSI6IkluZWljaGVuIiwiZ2l2ZW4iOiJBbGV4Iiwibm9uLWRyb3BwaW5nLXBhcnRpY2xlIjoiIiwicGFyc2UtbmFtZXMiOmZhbHNlLCJzdWZmaXgiOiIifSx7ImRyb3BwaW5nLXBhcnRpY2xlIjoiIiwiZmFtaWx5IjoiRGF2ZXkiLCJnaXZlbiI6Ik1hcmsiLCJub24tZHJvcHBpbmctcGFydGljbGUiOiIiLCJwYXJzZS1uYW1lcyI6ZmFsc2UsInN1ZmZpeCI6IiJ9LHsiZHJvcHBpbmctcGFydGljbGUiOiIiLCJmYW1pbHkiOiJJbWJvZGVuIiwiZ2l2ZW4iOiJNZWRlYSIsIm5vbi1kcm9wcGluZy1wYXJ0aWNsZSI6IiIsInBhcnNlLW5hbWVzIjpmYWxzZSwic3VmZml4IjoiIn0seyJkcm9wcGluZy1wYXJ0aWNsZSI6IiIsImZhbWlseSI6IkR1Y3JldC1TdGljaCIsImdpdmVuIjoiUmVnaW5hIiwibm9uLWRyb3BwaW5nLXBhcnRpY2xlIjoiIiwicGFyc2UtbmFtZXMiOmZhbHNlLCJzdWZmaXgiOiIifSx7ImRyb3BwaW5nLXBhcnRpY2xlIjoiIiwiZmFtaWx5IjoiTmFjY2FyYXRpIiwiZ2l2ZW4iOiJBbGVzc2lvIiwibm9uLWRyb3BwaW5nLXBhcnRpY2xlIjoiIiwicGFyc2UtbmFtZXMiOmZhbHNlLCJzdWZmaXgiOiIifSx7ImRyb3BwaW5nLXBhcnRpY2xlIjoiIiwiZmFtaWx5IjoiUmFmZmFlbGUiLCJnaXZlbiI6IkRhbmllbGEiLCJub24tZHJvcHBpbmctcGFydGljbGUiOiIiLCJwYXJzZS1uYW1lcyI6ZmFsc2UsInN1ZmZpeCI6IiJ9LHsiZHJvcHBpbmctcGFydGljbGUiOiIiLCJmYW1pbHkiOiJSYW56aSIsImdpdmVuIjoiQW5kcmVhIiwibm9uLWRyb3BwaW5nLXBhcnRpY2xlIjoiIiwicGFyc2UtbmFtZXMiOmZhbHNlLCJzdWZmaXgiOiIifSx7ImRyb3BwaW5nLXBhcnRpY2xlIjoiIiwiZmFtaWx5IjoiSXZhbGRpIiwiZ2l2ZW4iOiJDcmlzdGlhbmEiLCJub24tZHJvcHBpbmctcGFydGljbGUiOiIiLCJwYXJzZS1uYW1lcyI6ZmFsc2UsInN1ZmZpeCI6IiJ9LHsiZHJvcHBpbmctcGFydGljbGUiOiIiLCJmYW1pbHkiOiJHYWxhc3NpIiwiZ2l2ZW4iOiJDbGF1ZGlhIiwibm9uLWRyb3BwaW5nLXBhcnRpY2xlIjoiIiwicGFyc2UtbmFtZXMiOmZhbHNlLCJzdWZmaXgiOiIifSx7ImRyb3BwaW5nLXBhcnRpY2xlIjoiIiwiZmFtaWx5IjoiTmlldXdlbmh1aWpzZW4iLCJnaXZlbiI6Ik1hcmsiLCJub24tZHJvcHBpbmctcGFydGljbGUiOiIiLCJwYXJzZS1uYW1lcyI6ZmFsc2UsInN1ZmZpeCI6IiJ9LHsiZHJvcHBpbmctcGFydGljbGUiOiIiLCJmYW1pbHkiOiJDdXJ0byIsImdpdmVuIjoiQXJpYWRuYSIsIm5vbi1kcm9wcGluZy1wYXJ0aWNsZSI6IiIsInBhcnNlLW5hbWVzIjpmYWxzZSwic3VmZml4IjoiIn0seyJkcm9wcGluZy1wYXJ0aWNsZSI6IiIsImZhbWlseSI6IkRvbmFpcmUtR29uemFsZXoiLCJnaXZlbiI6IkRhdmlkIiwibm9uLWRyb3BwaW5nLXBhcnRpY2xlIjoiIiwicGFyc2UtbmFtZXMiOmZhbHNlLCJzdWZmaXgiOiIifSx7ImRyb3BwaW5nLXBhcnRpY2xlIjoiIiwiZmFtaWx5IjoiQ2lyYWNoIiwiZ2l2ZW4iOiJNYXJ0YSIsIm5vbi1kcm9wcGluZy1wYXJ0aWNsZSI6IiIsInBhcnNlLW5hbWVzIjpmYWxzZSwic3VmZml4IjoiIn0seyJkcm9wcGluZy1wYXJ0aWNsZSI6IiIsImZhbWlseSI6IkNoYXR6aSIsImdpdmVuIjoiTGVkYSIsIm5vbi1kcm9wcGluZy1wYXJ0aWNsZSI6IiIsInBhcnNlLW5hbWVzIjpmYWxzZSwic3VmZml4IjoiIn0seyJkcm9wcGluZy1wYXJ0aWNsZSI6IiIsImZhbWlseSI6IkthbXBvdXJpIiwiZ2l2ZW4iOiJNYXJpemEiLCJub24tZHJvcHBpbmctcGFydGljbGUiOiIiLCJwYXJzZS1uYW1lcyI6ZmFsc2UsInN1ZmZpeCI6IiJ9LHsiZHJvcHBpbmctcGFydGljbGUiOiIiLCJmYW1pbHkiOiJWbGFhbmRlcmVuIiwiZ2l2ZW4iOiJKZWxsZSIsIm5vbi1kcm9wcGluZy1wYXJ0aWNsZSI6IiIsInBhcnNlLW5hbWVzIjpmYWxzZSwic3VmZml4IjoiIn0seyJkcm9wcGluZy1wYXJ0aWNsZSI6IiIsImZhbWlseSI6Ik1lbGllZnN0ZSIsImdpdmVuIjoiS2VlcyIsIm5vbi1kcm9wcGluZy1wYXJ0aWNsZSI6IiIsInBhcnNlLW5hbWVzIjpmYWxzZSwic3VmZml4IjoiIn0seyJkcm9wcGluZy1wYXJ0aWNsZSI6IiIsImZhbWlseSI6IkJ1aWp0ZW5odWlqcyIsImdpdmVuIjoiRGFhbiIsIm5vbi1kcm9wcGluZy1wYXJ0aWNsZSI6IiIsInBhcnNlLW5hbWVzIjpmYWxzZSwic3VmZml4IjoiIn0seyJkcm9wcGluZy1wYXJ0aWNsZSI6IiIsImZhbWlseSI6IkJydW5la3JlZWYiLCJnaXZlbiI6IkJlcnQiLCJub24tZHJvcHBpbmctcGFydGljbGUiOiIiLCJwYXJzZS1uYW1lcyI6ZmFsc2UsInN1ZmZpeCI6IiJ9LHsiZHJvcHBpbmctcGFydGljbGUiOiIiLCJmYW1pbHkiOiJNb3JsZXkiLCJnaXZlbiI6IkRhdmlkIiwibm9uLWRyb3BwaW5nLXBhcnRpY2xlIjoiIiwicGFyc2UtbmFtZXMiOmZhbHNlLCJzdWZmaXgiOiIifSx7ImRyb3BwaW5nLXBhcnRpY2xlIjoiIiwiZmFtaWx5IjoiVmluZWlzIiwiZ2l2ZW4iOiJQYW9sbyIsIm5vbi1kcm9wcGluZy1wYXJ0aWNsZSI6IiIsInBhcnNlLW5hbWVzIjpmYWxzZSwic3VmZml4IjoiIn0seyJkcm9wcGluZy1wYXJ0aWNsZSI6IiIsImZhbWlseSI6Ikd1bGxpdmVyIiwiZ2l2ZW4iOiJKb2huIiwibm9uLWRyb3BwaW5nLXBhcnRpY2xlIjoiIiwicGFyc2UtbmFtZXMiOmZhbHNlLCJzdWZmaXgiOiIifSx7ImRyb3BwaW5nLXBhcnRpY2xlIjoiIiwiZmFtaWx5IjoiSG9layIsImdpdmVuIjoiR2VyYXJkIiwibm9uLWRyb3BwaW5nLXBhcnRpY2xlIjoiIiwicGFyc2UtbmFtZXMiOmZhbHNlLCJzdWZmaXgiOiIifV0sImNvbnRhaW5lci10aXRsZSI6IkVudmlyb25tZW50YWwgU2NpZW5jZSAmIFRlY2hub2xvZ3kiLCJpZCI6IjlmYWI3MmFmLTgwYTUtMzBiZS05ZDM0LWM5MTJhMmMzNmRmZCIsImlzc3VlIjoiNiIsImlzc3VlZCI6eyJkYXRlLXBhcnRzIjpbWyIyMDE3IiwiMyIsIjIxIl1dfSwicGFnZSI6IjMzMzYtMzM0NSIsInB1Ymxpc2hlciI6IkFtZXJpY2FuIENoZW1pY2FsIFNvY2lldHkiLCJ0aXRsZSI6IkxhbmQgVXNlIFJlZ3Jlc3Npb24gTW9kZWxzIGZvciBVbHRyYWZpbmUgUGFydGljbGVzIGluIFNpeCBFdXJvcGVhbiBBcmVhcyIsInR5cGUiOiJhcnRpY2xlLWpvdXJuYWwiLCJ2b2x1bWUiOiI1MSJ9LCJ1cmlzIjpbImh0dHA6Ly93d3cubWVuZGVsZXkuY29tL2RvY3VtZW50cy8/dXVpZD05ZmFiNzJhZi04MGE1LTMwYmUtOWQzNC1jOTEyYTJjMzZkZmQiXSwiaXNUZW1wb3JhcnkiOmZhbHNlLCJsZWdhY3lEZXNrdG9wSWQiOiI5ZmFiNzJhZi04MGE1LTMwYmUtOWQzNC1jOTEyYTJjMzZkZmQifSx7ImlkIjoiOGFkNmU0YWEtOTViNi0zYTMwLTlhMmMtODU3MmNmOWI1ZGYwIiwiaXRlbURhdGEiOnsiRE9JIjoiMTAuMTAxNi9qLnNjaXRvdGVudi4yMDE3LjA3LjI3OCIsIklTU04iOiIxODc5MTAyNiIsIlBNSUQiOiIyODg3MzY2NSIsImFic3RyYWN0IjoiQmFja2dyb3VuZCBUaGUgU291dGggRHVyYmFuIChTRCkgYXJlYSBvZiBEdXJiYW4sIFNvdXRoIEFmcmljYSwgaGFzIGEgaGlzdG9yeSBvZiBhaXIgcG9sbHV0aW9uIGlzc3VlcyBkdWUgdG8gdGhlIGp1eHRhcG9zaXRpb24gb2YgbG93LWluY29tZSBjb21tdW5pdGllcyB3aXRoIGluZHVzdHJpYWwgYXJlYXMuIFRoaXMgc3R1ZHkgdXNlZCBtZWFzdXJlbWVudHMgb2Ygb3hpZGVzIG9mIG5pdHJvZ2VuIChOT3gpIHRvIGRldmVsb3AgYSBsYW5kIHVzZSByZWdyZXNzaW9uIChMVVIpIG1vZGVsIHRvIGV4cGxhaW4gdGhlIHNwYXRpYWwgdmFyaWF0aW9uIG9mIGFpciBwb2xsdXRpb24gY29uY2VudHJhdGlvbnMgaW4gdGhpcyBhcmVhLiBNZXRob2RzIEFtYmllbnQgTk94IHdhcyBtZWFzdXJlZCBvdmVyIHR3byB0d28td2VlayBzYW1wbGluZyBwZXJpb2RzIGF0IDMyIHNpdGVzIHVzaW5nIE9nYXdhIGJhZGdlcy4gRm9sbG93aW5nIHRoZSBFU0NBUEUgYXBwcm9hY2gsIGFuIGFubnVhbCBhZGp1c3RlZCBhdmVyYWdlIHdhcyBjYWxjdWxhdGVkIGZvciB0aGVzZSByZXN1bHRzIGFuZCByZWdyZXNzZWQgYWdhaW5zdCBwcmUtc2VsZWN0ZWQgZ2VvZ3JhcGhpYyBwcmVkaWN0b3IgdmFyaWFibGVzIGluIGEgbXVsdGl2YXJpYXRlIHJlZ3Jlc3Npb24gbW9kZWwuIFRoZSBMVVIgbW9kZWwgd2FzIHRoZW4gYXBwbGllZCB0byBwcmVkaWN0IHRoZSBOT3ggZXhwb3N1cmUgb2YgYSBzYW1wbGUgb2YgcHJlZ25hbnQgd29tZW4gbGl2aW5nIGluIFNvdXRoIER1cmJhbi4gUmVzdWx0cyBNZWFzdXJlZCBOT3ggbGV2ZWxzIHJhbmdlZCBmcm9tIDIyLjPigJM1MC45IM68Zy9tMyB3aXRoIGEgbWVkaWFuIG9mIDM2IM68Zy9tMy4gVGhlIG1vZGVsIGRldmVsb3BlZCBhY2NvdW50cyBmb3IgNzMlIG9mIHRoZSB2YXJpYW5jZSBpbiBhbWJpZW50IE5PeCBtZWFzdXJlbWVudHMgdXNpbmcgdGhyZWUgaW5wdXQgdmFyaWFibGVzIChsZW5ndGggb2YgbWlub3Igcm9hZHMgd2l0aGluIGEgMTAwMCBtIHJhZGl1cywgbGVuZ3RoIG9mIG1ham9yIHJvYWRzIHdpdGhpbiBhIDMwMCBtIHJhZGl1cywgYW5kIGFyZWEgb2Ygb3BlbiBzcGFjZSB3aXRoaW4gYSAxMDAwIG0gcmFkaXVzKS4gTW9kZWwgY3Jvc3MgdmFsaWRhdGlvbiB5aWVsZGVkIGEgUjIgb2YgMC41OS4gU3Vic2VxdWVudCBwYXJ0aWNpcGFudCBleHBvc3VyZSBlc3RpbWF0ZXMgaW5kaWNhdGVkIGV4cG9zdXJlIHRvIGFtYmllbnQgTk94IHJhbmdlZCBmcm9tIDE5LjnigJM1My4yIM68Zy9tMywgd2l0aCBhIG1lYW4gb2YgMzkgzrxnL20zLiBEaXNjdXNzaW9uIGFuZCBDb25jbHVzaW9uIFRoaXMgaXMgdGhlIGZpcnN0IHN0dWR5IHRvIGRldmVsb3AgYSBsYW5kIHVzZSByZWdyZXNzaW9uIG1vZGVsIHRoYXQgcHJlZGljdHMgYW1iaWVudCBjb25jZW50cmF0aW9ucyBvZiBOT3ggaW4gYSBTb3V0aCBBZnJpY2FuIGNvbnRleHQuIFRoZSBmaW5kaW5ncyBvZiB0aGlzIHN0dWR5IGluZGljYXRlIHRoYXQgdGhlIHBhcnRpY2lwYW50cyBpbiB0aGUgU291dGggRHVyYmFuIGFyZSBleHBvc2VkIHRvIGhpZ2ggbGV2ZWxzIG9mIE5PeCB0aGF0IGNhbiBiZSBhdHRyaWJ1dGVkIG1haW5seSB0byB0cmFmZmljLiIsImF1dGhvciI6W3siZHJvcHBpbmctcGFydGljbGUiOiIiLCJmYW1pbHkiOiJNdXR0b28iLCJnaXZlbiI6IlNoZWVuYSIsIm5vbi1kcm9wcGluZy1wYXJ0aWNsZSI6IiIsInBhcnNlLW5hbWVzIjpmYWxzZSwic3VmZml4IjoiIn0seyJkcm9wcGluZy1wYXJ0aWNsZSI6IiIsImZhbWlseSI6IlJhbXNheSIsImdpdmVuIjoiTGlzYSIsIm5vbi1kcm9wcGluZy1wYXJ0aWNsZSI6IiIsInBhcnNlLW5hbWVzIjpmYWxzZSwic3VmZml4IjoiIn0seyJkcm9wcGluZy1wYXJ0aWNsZSI6IiIsImZhbWlseSI6IkJydW5la3JlZWYiLCJnaXZlbiI6IkJlcnQiLCJub24tZHJvcHBpbmctcGFydGljbGUiOiIiLCJwYXJzZS1uYW1lcyI6ZmFsc2UsInN1ZmZpeCI6IiJ9LHsiZHJvcHBpbmctcGFydGljbGUiOiIiLCJmYW1pbHkiOiJCZWVsZW4iLCJnaXZlbiI6IlJvYiIsIm5vbi1kcm9wcGluZy1wYXJ0aWNsZSI6IiIsInBhcnNlLW5hbWVzIjpmYWxzZSwic3VmZml4IjoiIn0seyJkcm9wcGluZy1wYXJ0aWNsZSI6IiIsImZhbWlseSI6Ik1lbGllZnN0ZSIsImdpdmVuIjoiS2VlcyIsIm5vbi1kcm9wcGluZy1wYXJ0aWNsZSI6IiIsInBhcnNlLW5hbWVzIjpmYWxzZSwic3VmZml4IjoiIn0seyJkcm9wcGluZy1wYXJ0aWNsZSI6IiIsImZhbWlseSI6Ik5haWRvbyIsImdpdmVuIjoiUmFqZW4gTi4iLCJub24tZHJvcHBpbmctcGFydGljbGUiOiIiLCJwYXJzZS1uYW1lcyI6ZmFsc2UsInN1ZmZpeCI6IiJ9XSwiY29udGFpbmVyLXRpdGxlIjoiU2NpZW5jZSBvZiB0aGUgVG90YWwgRW52aXJvbm1lbnQiLCJpZCI6IjhhZDZlNGFhLTk1YjYtM2EzMC05YTJjLTg1NzJjZjliNWRmMCIsImlzc3VlZCI6eyJkYXRlLXBhcnRzIjpbWyIyMDE4IiwiMSIsIjEiXV19LCJwYWdlIjoiMTQzOS0xNDQ3IiwicHVibGlzaGVyIjoiRWxzZXZpZXIiLCJ0aXRsZSI6IkxhbmQgdXNlIHJlZ3Jlc3Npb24gbW9kZWxsaW5nIGVzdGltYXRpbmcgbml0cm9nZW4gb3hpZGVzIGV4cG9zdXJlIGluIGluZHVzdHJpYWwgc291dGggRHVyYmFuLCBTb3V0aCBBZnJpY2EiLCJ0eXBlIjoiYXJ0aWNsZS1qb3VybmFsIiwidm9sdW1lIjoiNjEwLTYxMSJ9LCJ1cmlzIjpbImh0dHA6Ly93d3cubWVuZGVsZXkuY29tL2RvY3VtZW50cy8/dXVpZD04YWQ2ZTRhYS05NWI2LTNhMzAtOWEyYy04NTcyY2Y5YjVkZjAiXSwiaXNUZW1wb3JhcnkiOmZhbHNlLCJsZWdhY3lEZXNrdG9wSWQiOiI4YWQ2ZTRhYS05NWI2LTNhMzAtOWEyYy04NTcyY2Y5YjVkZjAifSx7ImlkIjoiMWM5ZDE1NjUtYzIxYS0zOTgzLWJjOTItOWNlNTg5MDk5ZTAyIiwiaXRlbURhdGEiOnsiRE9JIjoiMTAuMTAyMS9FUzEwMDY4M1QvU1VQUExfRklMRS9FUzEwMDY4M1RfU0lfMDAxLlBERiIsIklTU04iOiIwMDEzOTM2WCIsIlBNSUQiOiIyMTEzMzQxOCIsImFic3RyYWN0IjoiTGFuZCB1c2UgcmVncmVzc2lvbiAoTFVSKSBoYXMgYmVlbiB3aWRlbHkgYWRvcHRlZCBhcyBhIG1ldGhvZCBvZiBkZXNjcmliaW5nIHNwYXRpYWwgdmFyaWF0aW9uIGluIGFpciBwb2xsdXRhbnRzOyBob3dldmVyLCB0cmFkaXRpb25hbCBMVVIgbWV0aG9kcyBhcmUgbm90IHN1aXRhYmxlIGZvciBjaGFyYWN0ZXJpemluZyBzaG9ydC10ZXJtIG9yIHRpbWUtdmFyaWFibGUgZXhwb3N1cmVzLiBPdXIgYWltIHdhcyB0byBkZXZlbG9wIGFuZCB2YWxpZGF0ZSBhIHNwYXRpb3RlbXBvcmFsIExVUiBtb2RlbCBmb3IgdXNlIGluIGVwaWRlbWlvbG9naWNhbCBzdHVkaWVzIGV4YW1pbmluZyBoZWFsdGggZWZmZWN0cyBhdHRyaWJ1dGFibGUgdG8gdGltZS12YXJpYWJsZSBhaXIgcG9sbHV0aW9uIGV4cG9zdXJlcy4gQSBuZXR3b3JrIG9mIDQyIE5PMiBwYXNzaXZlIHNhbXBsZXJzIHdhcyBkZXBsb3llZCBmb3IgMTIgdHdvIHdlZWsgcGVyaW9kcyBvdmVyIHRocmVlIHllYXJzLiBBIG1peGVkIGVmZmVjdHMgbW9kZWwgd2FzIHRlc3RlZCB1c2luZyBhIGNvbWJpbmF0aW9uIG9mIHNwYXRpYWwgcHJlZGljdG9ycywgYW5kIHJlYWRpbmdzIGZyb20gZml4ZWQgc2l0ZSBjb250aW51b3VzIG1vbml0b3JzLCBpbiBvcmRlciB0byBwcmVkaWN0IE5PMiB2YWx1ZXMgZm9yIGFueSB0d28gd2VlayBwZXJpb2Qgb3ZlciB0aHJlZSB5ZWFycyBpbiB0aGUgZGVmaW5lZCBzdHVkeSBhcmVhLiBUaGUgZmluYWwgbW9kZWwsIGluY2x1ZGluZyB0ZXJtcyBiYXNlZCBvbiB0cmFmZmljIGRlbnNpdHkgYXQgNTAgYW5kIDE1MCBtLCBwb3B1bGF0aW9uIGRlbnNpdHkgd2l0aGluIDUwMCBtLCBjb21tZXJjaWFsIGxhbmQgdXNlIGFyZWEgd2l0aGluIDc1MCBtLCBhbmQgTk8yIGNvbmNlbnRyYXRpb25zIGF0IGEgY2VudHJhbCBmaXhlZCBzaXRlIG1vbml0b3IsIGV4cGxhaW5lZCBvdmVyIDgwJSBvZiB0aGUgb3ZlcmFsbCB2YXJpYXRpb24gaW4gTk8yIGNvbmNlbnRyYXRpb25zLiBXZSBzdWdnZXN0IHRoYXQgc3VjaCBhIG1vZGVsIGNhbiBiZSB1c2VkIHRvIHN0dWR5IHRoZSBhc3NvY2lhdGlvbiBiZXR3ZWVuIHZhcmlhYmxlIGFpciBwb2xsdXRhbnQgZXhwb3N1cmVzIGFuZCBoZWFsdGggZWZmZWN0cyBpbiBlcGlkZW1pb2xvZ2ljYWwgc3R1ZGllcy4gwqkgMjAxMCBBbWVyaWNhbiBDaGVtaWNhbCBTb2NpZXR5LiIsImF1dGhvciI6W3siZHJvcHBpbmctcGFydGljbGUiOiIiLCJmYW1pbHkiOiJSb3NlIiwiZ2l2ZW4iOiJOZWN0YXJpb3MiLCJub24tZHJvcHBpbmctcGFydGljbGUiOiIiLCJwYXJzZS1uYW1lcyI6ZmFsc2UsInN1ZmZpeCI6IiJ9LHsiZHJvcHBpbmctcGFydGljbGUiOiIiLCJmYW1pbHkiOiJDb3dpZSIsImdpdmVuIjoiQ2hyaXN0aW5lIiwibm9uLWRyb3BwaW5nLXBhcnRpY2xlIjoiIiwicGFyc2UtbmFtZXMiOmZhbHNlLCJzdWZmaXgiOiIifSx7ImRyb3BwaW5nLXBhcnRpY2xlIjoiIiwiZmFtaWx5IjoiR2lsbGV0dCIsImdpdmVuIjoiUm9iZXJ0Iiwibm9uLWRyb3BwaW5nLXBhcnRpY2xlIjoiIiwicGFyc2UtbmFtZXMiOmZhbHNlLCJzdWZmaXgiOiIifSx7ImRyb3BwaW5nLXBhcnRpY2xlIjoiIiwiZmFtaWx5IjoiTWFya3MiLCJnaXZlbiI6Ikd1eSBCLiIsIm5vbi1kcm9wcGluZy1wYXJ0aWNsZSI6IiIsInBhcnNlLW5hbWVzIjpmYWxzZSwic3VmZml4IjoiIn1dLCJjb250YWluZXItdGl0bGUiOiJFbnZpcm9ubWVudGFsIFNjaWVuY2UgYW5kIFRlY2hub2xvZ3kiLCJpZCI6IjFjOWQxNTY1LWMyMWEtMzk4My1iYzkyLTljZTU4OTA5OWUwMiIsImlzc3VlIjoiMSIsImlzc3VlZCI6eyJkYXRlLXBhcnRzIjpbWyIyMDExIiwiMSIsIjEiXV19LCJwYWdlIjoiMjk0LTI5OSIsInB1Ymxpc2hlciI6IiBBbWVyaWNhbiBDaGVtaWNhbCBTb2NpZXR5IiwidGl0bGUiOiJWYWxpZGF0aW9uIG9mIGEgc3BhdGlvdGVtcG9yYWwgbGFuZCB1c2UgcmVncmVzc2lvbiBtb2RlbCBpbmNvcnBvcmF0aW5nIGZpeGVkIHNpdGUgbW9uaXRvcnMiLCJ0eXBlIjoiYXJ0aWNsZS1qb3VybmFsIiwidm9sdW1lIjoiNDUifSwidXJpcyI6WyJodHRwOi8vd3d3Lm1lbmRlbGV5LmNvbS9kb2N1bWVudHMvP3V1aWQ9MWM5ZDE1NjUtYzIxYS0zOTgzLWJjOTItOWNlNTg5MDk5ZTAyIl0sImlzVGVtcG9yYXJ5IjpmYWxzZSwibGVnYWN5RGVza3RvcElkIjoiMWM5ZDE1NjUtYzIxYS0zOTgzLWJjOTItOWNlNTg5MDk5ZTAyIn0seyJpZCI6IjBiYWNlMTA3LTFmYTMtMzQ3Yi1hZTQyLTk3OTI2Nzc4NzE1YyIsIml0ZW1EYXRhIjp7IkRPSSI6IjEwLjEyODkvZWhwLjEwMDI5NzYiLCJJU0JOIjoiMDA5MS02NzY1IiwiSVNTTiI6IjAwOTE2NzY1IiwiUE1JRCI6IjIxNDU0MTQ3IiwiYWJzdHJhY3QiOiJCYWNrZ3JvdW5kOiBQb3B1bGF0aW9uIGV4cG9zdXJlIGFzc2Vzc21lbnQgbWV0aG9kcyB0aGF0IGNhcHR1cmUgbG9jYWwtc2NhbGUgcG9sbHV0YW50IHZhcmlhYmlsaXR5IGFyZSBuZWVkZWQgZm9yIGxhcmdlLXNjYWxlIGVwaWRlbWlvbG9naWNhbCBzdHVkaWVzIGFuZCBzdXJ2ZWlsbGFuY2UsIHBvbGljeSwgYW5kIHJlZ3VsYXRvcnkgcHVycG9zZXMuIEN1cnJlbnRseSwgc3VjaCBleHBvc3VyZSBtZXRob2RzIGFyZSBsaW1pdGVkLiBNZXRob2RzOiBXZSBjcmVhdGVkIDIwMDYgbmF0aW9uYWwgcG9sbHV0YW50IG1vZGVscyBmb3IgZmluZSBwYXJ0aWN1bGF0ZSBtYXR0ZXIgW1BNIHdpdGggYWVyb2R5bmFtaWMgZGlhbWV0ZXIg4omkIDIuNSDOvG0gKFBNIDIuNSldLCBuaXRyb2dlbiBkaW94aWRlIChOTyAyKSwgYmVuemVuZSwgZXRoeWxiZW56ZW5lLCBhbmQgMSwzLWJ1dGFkaWVuZSBmcm9tIHJvdXRpbmVseSBjb2xsZWN0ZWQgZml4ZWQtc2l0ZSBtb25pdG9yaW5nIGRhdGEgaW4gQ2FuYWRhLiBJbiBtdWx0aXBsZSByZWdyZXNzaW9uIG1vZGVscywgd2UgaW5jb3Jwb3JhdGVkIHNhdGVsbGl0ZSBlc3RpbWF0ZXMgYW5kIGdlb2dyYXBoaWMgcHJlZGljdG9yIHZhcmlhYmxlcyB0byBjYXB0dXJlIGJhY2tncm91bmQgYW5kIHJlZ2lvbmFsIHBvbGx1dGFudCB2YXJpYXRpb24gYW5kIHVzZWQgZGV0ZXJtaW5pc3RpYyBncmFkaWVudHMgdG8gY2FwdHVyZSBsb2NhbC1zY2FsZSB2YXJpYXRpb24uIFRoZSBuYXRpb25hbCBOTyAyIGFuZCBiZW56ZW5lIG1vZGVscyBhcmUgZXZhbHVhdGVkIHdpdGggaW5kZXBlbmRlbnQgbWVhc3VyZW1lbnRzIGZyb20gcHJldmlvdXMgbGFuZCB1c2UgcmVncmVzc2lvbiBtb2RlbHMgdGhhdCB3ZXJlIGNvbmR1Y3RlZCBpbiBzZXZlbiBDYW5hZGlhbiBjaXRpZXMuIE5hdGlvbmFsIG1vZGVscyBhcmUgYXBwbGllZCB0byBjZW5zdXMgYmxvY2stZmFjZSBwb2ludHMsIGVhY2ggb2Ygd2hpY2ggcmVwcmVzZW50cyB0aGUgbG9jYXRpb24gb2YgYXBwcm94aW1hdGVseSA4OSBpbmRpdmlkdWFscywgdG8gcHJvZHVjZSBlc3RpbWF0ZXMgb2YgcG9wdWxhdGlvbiBleHBvc3VyZS4gUmVzdWx0czogVGhlIG5hdGlvbmFsIE5PIDIgbW9kZWwgZXhwbGFpbmVkIDczJSBvZiB0aGUgdmFyaWFiaWxpdHkgaW4gZml4ZWQtc2l0ZSBtb25pdG9yIGNvbmNlbnRyYXRpb25zLCBQTSAyLjUgNDYlLCBiZW56ZW5lIDYyJSwgZXRoeWxiZW56ZW5lIDY3JSwgYW5kIDEsMy1idXRhZGllbmUgNjglLiBUaGUgTk8gMiBtb2RlbCBwcmVkaWN0ZWQsIG9uIGF2ZXJhZ2UsIDQzJSBvZiB0aGUgd2l0aGluLWNpdHkgdmFyaWFiaWxpdHkgaW4gdGhlIGluZGVwZW5kZW50IE5PIDIgZGF0YSBjb21wYXJlZCB3aXRoIDE4JSB3aGVuIHVzaW5nIGludmVyc2UgZGlzdGFuY2Ugd2VpZ2h0aW5nIG9mIGZpeGVkLXNpdGUgbW9uaXRvcmluZyBkYXRhLiBCZW56ZW5lIG1vZGVscyBwZXJmb3JtZWQgcG9vcmx5IGluIHByZWRpY3Rpbmcgd2l0aGluLWNpdHkgYmVuemVuZSB2YXJpYWJpbGl0eS4gQmFzZWQgb24gb3VyIG5hdGlvbmFsIG1vZGVscywgd2UgZXN0aW1hdGVkIENhbmFkaWFuIGFtYmllbnQgYW5udWFsIGF2ZXJhZ2UgcG9wdWxhdGlvbi13ZWlnaHRlZCBleHBvc3VyZXMgKGluIG1pY3JvZ3JhbXMgcGVyIGN1YmljIG1ldGVyKSBvZiA4LjM5IGZvciBQTSAyLjUsIDIzLjM3IGZvciBOTyAyLCAxLjA0IGZvciBiZW56ZW5lLCAwLjYzIGZvciBldGh5bGJlbnplbmUsIGFuZCAwLjA5IGZvciAxLDMtYnV0YWRpZW5lLiBDb25jbHVzaW9uczogVGhlIG5hdGlvbmFsIHBvbGx1dGFudCBtb2RlbHMgY3JlYXRlZCBoZXJlIGltcHJvdmUgZXhwb3N1cmUgYXNzZXNzbWVudCBjb21wYXJlZCB3aXRoIHRyYWRpdGlvbmFsIG1vbml0b3ItYmFzZWQgYXBwcm9hY2hlcyBieSBjYXB0dXJpbmcgYm90aCByZWdpb25hbCBhbmQgbG9jYWwtc2NhbGUgcG9sbHV0aW9uIHZhcmlhdGlvbi4gQXBwbHlpbmcgbmF0aW9uYWwgbW9kZWxzIHRvIHJvdXRpbmVseSBjb2xsZWN0ZWQgcG9wdWxhdGlvbiBsb2NhdGlvbiBkYXRhIGNhbiBleHRlbmQgbGFuZCB1c2UgbW9kZWxpbmcgdGVjaG5pcXVlcyB0byBwb3B1bGF0aW9uIGV4cG9zdXJlIGFzc2Vzc21lbnQgYW5kIHRvIGluZm9ybWluZyBzdXJ2ZWlsbGFuY2UsIHBvbGljeSwgYW5kIHJlZ3VsYXRpb24uIiwiYXV0aG9yIjpbeyJkcm9wcGluZy1wYXJ0aWNsZSI6IiIsImZhbWlseSI6Ikh5c3RhZCIsImdpdmVuIjoiUGVycnkiLCJub24tZHJvcHBpbmctcGFydGljbGUiOiIiLCJwYXJzZS1uYW1lcyI6ZmFsc2UsInN1ZmZpeCI6IiJ9LHsiZHJvcHBpbmctcGFydGljbGUiOiIiLCJmYW1pbHkiOiJTZXR0b24iLCJnaXZlbiI6IkVsZWFub3IiLCJub24tZHJvcHBpbmctcGFydGljbGUiOiIiLCJwYXJzZS1uYW1lcyI6ZmFsc2UsInN1ZmZpeCI6IiJ9LHsiZHJvcHBpbmctcGFydGljbGUiOiIiLCJmYW1pbHkiOiJDZXJ2YW50ZXMiLCJnaXZlbiI6IkFsZWphbmRybyIsIm5vbi1kcm9wcGluZy1wYXJ0aWNsZSI6IiIsInBhcnNlLW5hbWVzIjpmYWxzZSwic3VmZml4IjoiIn0seyJkcm9wcGluZy1wYXJ0aWNsZSI6IiIsImZhbWlseSI6IlBvcGxhd3NraSIsImdpdmVuIjoiS2FybGEiLCJub24tZHJvcHBpbmctcGFydGljbGUiOiIiLCJwYXJzZS1uYW1lcyI6ZmFsc2UsInN1ZmZpeCI6IiJ9LHsiZHJvcHBpbmctcGFydGljbGUiOiIiLCJmYW1pbHkiOiJEZXNjaGVuZXMiLCJnaXZlbiI6IlN0ZWV2ZSIsIm5vbi1kcm9wcGluZy1wYXJ0aWNsZSI6IiIsInBhcnNlLW5hbWVzIjpmYWxzZSwic3VmZml4IjoiIn0seyJkcm9wcGluZy1wYXJ0aWNsZSI6IiIsImZhbWlseSI6IkJyYXVlciIsImdpdmVuIjoiTWljaGFlbCIsIm5vbi1kcm9wcGluZy1wYXJ0aWNsZSI6IiIsInBhcnNlLW5hbWVzIjpmYWxzZSwic3VmZml4IjoiIn0seyJkcm9wcGluZy1wYXJ0aWNsZSI6IiIsImZhbWlseSI6IkRvbmtlbGFhciIsImdpdmVuIjoiQWFyb24iLCJub24tZHJvcHBpbmctcGFydGljbGUiOiJ2YW4iLCJwYXJzZS1uYW1lcyI6ZmFsc2UsInN1ZmZpeCI6IiJ9LHsiZHJvcHBpbmctcGFydGljbGUiOiIiLCJmYW1pbHkiOiJMYW1zYSIsImdpdmVuIjoiTG9rIiwibm9uLWRyb3BwaW5nLXBhcnRpY2xlIjoiIiwicGFyc2UtbmFtZXMiOmZhbHNlLCJzdWZmaXgiOiIifSx7ImRyb3BwaW5nLXBhcnRpY2xlIjoiIiwiZmFtaWx5IjoiTWFydGluIiwiZ2l2ZW4iOiJSYW5kYWxsIiwibm9uLWRyb3BwaW5nLXBhcnRpY2xlIjoiIiwicGFyc2UtbmFtZXMiOmZhbHNlLCJzdWZmaXgiOiIifSx7ImRyb3BwaW5nLXBhcnRpY2xlIjoiIiwiZmFtaWx5IjoiSmVycmV0dCIsImdpdmVuIjoiTWljaGFlbCIsIm5vbi1kcm9wcGluZy1wYXJ0aWNsZSI6IiIsInBhcnNlLW5hbWVzIjpmYWxzZSwic3VmZml4IjoiIn0seyJkcm9wcGluZy1wYXJ0aWNsZSI6IiIsImZhbWlseSI6IkRlbWVycyIsImdpdmVuIjoiUGF1bCIsIm5vbi1kcm9wcGluZy1wYXJ0aWNsZSI6IiIsInBhcnNlLW5hbWVzIjpmYWxzZSwic3VmZml4IjoiIn1dLCJjb250YWluZXItdGl0bGUiOiJFbnZpcm9ubWVudGFsIEhlYWx0aCBQZXJzcGVjdGl2ZXMiLCJpZCI6IjBiYWNlMTA3LTFmYTMtMzQ3Yi1hZTQyLTk3OTI2Nzc4NzE1YyIsImlzc3VlIjoiOCIsImlzc3VlZCI6eyJkYXRlLXBhcnRzIjpbWyIyMDExIiwiOCJdXX0sInBhZ2UiOiIxMTIzLTExMjkiLCJ0aXRsZSI6IkNyZWF0aW5nIG5hdGlvbmFsIGFpciBwb2xsdXRpb24gbW9kZWxzIGZvciBwb3B1bGF0aW9uIGV4cG9zdXJlIGFzc2Vzc21lbnQgaW4gQ2FuYWRhIiwidHlwZSI6ImFydGljbGUtam91cm5hbCIsInZvbHVtZSI6IjExOSJ9LCJ1cmlzIjpbImh0dHA6Ly93d3cubWVuZGVsZXkuY29tL2RvY3VtZW50cy8/dXVpZD0wYmFjZTEwNy0xZmEzLTM0N2ItYWU0Mi05NzkyNjc3ODcxNWMiXSwiaXNUZW1wb3JhcnkiOmZhbHNlLCJsZWdhY3lEZXNrdG9wSWQiOiIwYmFjZTEwNy0xZmEzLTM0N2ItYWU0Mi05NzkyNjc3ODcxNWMifV0sInByb3BlcnRpZXMiOnsibm90ZUluZGV4IjowfSwiaXNFZGl0ZWQiOmZhbHNlLCJtYW51YWxPdmVycmlkZSI6eyJjaXRlcHJvY1RleHQiOiIoQmVlbGVuIGV0IGFsLiwgMjAxMzsgSHlzdGFkIGV0IGFsLiwgMjAxMTsgTWVuZyBldCBhbC4sIDIwMTY7IE11dHRvbyBldCBhbC4sIDIwMTg7IFJvc2UgZXQgYWwuLCAyMDExOyB2YW4gTnVuZW4gZXQgYWwuLCAyMDE3KSIsImlzTWFudWFsbHlPdmVycmlkZGVuIjpmYWxzZSwibWFudWFsT3ZlcnJpZGVUZXh0IjoiIn19&quot;},{&quot;citationID&quot;:&quot;MENDELEY_CITATION_8c318222-e54d-41dc-acf6-bbb65f4c6887&quot;,&quot;citationItems&quot;:[{&quot;id&quot;:&quot;c80c5c1e-9ec3-3930-8cc9-ceeddeaf920e&quot;,&quot;itemData&quot;:{&quot;ISBN&quot;:&quot;13528505&quot;,&quot;ISSN&quot;:&quot;13528505&quot;,&quot;PMID&quot;:&quot;25264424&quot;,&quot;abstract&quot;:&quot;The development of models that provide accurate spatio-temporal predic-tions of ambient air pollution at small spatial scales is of great importance for the assess-ment of potential health effects of air pollution. Here we present a spatio-temporal framework that predicts ambient air pollution by combining data from several different monitoring networks and deterministic air pollution model(s) with geographic infor-mation system covariates. The model presented in this paper has been implemented in an R package, SpatioTemporal, available on CRAN. The model is used by the EPA funded Multi-Ethnic Study of Atherosclerosis and Air Pollution (MESA Air) to produce estimates of ambient air pollution; MESA Air uses the estimates to investigate the relationship between chronic exposure to air pollution and cardiovascular disease. In this paper we use the model to predict long-term average concentrations of NO x in the Los Angeles area during a 10 year period. Predictions are based on measurements from the EPA Air Quality System, MESA Air specific monitoring, and output from a source dispersion model for traffic related air pollution (Caline3QHCR). Accuracy in predicting long-term average concentrations is evaluated using an elaborate cross-validation setup that accounts for a sparse spatio-temporal sampling pattern in the data, and adjusts for temporal effects. The predictive ability of the model is good with cross-validated R 2 of approximately 0.7 at subject sites. Replacing four geographic covariate indicators of traffic density with the Caline3QHCR dispersion model out-put resulted in very similar prediction accuracy from a more parsimonious and more Handling Editor: Pierre Dutilleul. 123 412 Environ Ecol Stat (2014) 21:411–433 interpretable model. Adding traffic-related geographic covariates to the model that included Caline3QHCR did not further improve the prediction accuracy.&quot;,&quot;author&quot;:[{&quot;dropping-particle&quot;:&quot;&quot;,&quot;family&quot;:&quot;Lindström&quot;,&quot;given&quot;:&quot;Johan&quot;,&quot;non-dropping-particle&quot;:&quot;&quot;,&quot;parse-names&quot;:false,&quot;suffix&quot;:&quot;&quot;},{&quot;dropping-particle&quot;:&quot;&quot;,&quot;family&quot;:&quot;Szpiro&quot;,&quot;given&quot;:&quot;Adam A&quot;,&quot;non-dropping-particle&quot;:&quot;&quot;,&quot;parse-names&quot;:false,&quot;suffix&quot;:&quot;&quot;},{&quot;dropping-particle&quot;:&quot;&quot;,&quot;family&quot;:&quot;Sampson&quot;,&quot;given&quot;:&quot;Paul D&quot;,&quot;non-dropping-particle&quot;:&quot;&quot;,&quot;parse-names&quot;:false,&quot;suffix&quot;:&quot;&quot;},{&quot;dropping-particle&quot;:&quot;&quot;,&quot;family&quot;:&quot;Oron&quot;,&quot;given&quot;:&quot;Assaf P&quot;,&quot;non-dropping-particle&quot;:&quot;&quot;,&quot;parse-names&quot;:false,&quot;suffix&quot;:&quot;&quot;},{&quot;dropping-particle&quot;:&quot;&quot;,&quot;family&quot;:&quot;Richards&quot;,&quot;given&quot;:&quot;Mark&quot;,&quot;non-dropping-particle&quot;:&quot;&quot;,&quot;parse-names&quot;:false,&quot;suffix&quot;:&quot;&quot;},{&quot;dropping-particle&quot;:&quot;V&quot;,&quot;family&quot;:&quot;Larson&quot;,&quot;given&quot;:&quot;Tim&quot;,&quot;non-dropping-particle&quot;:&quot;&quot;,&quot;parse-names&quot;:false,&quot;suffix&quot;:&quot;&quot;},{&quot;dropping-particle&quot;:&quot;&quot;,&quot;family&quot;:&quot;Sheppard&quot;,&quot;given&quot;:&quot;Lianne&quot;,&quot;non-dropping-particle&quot;:&quot;&quot;,&quot;parse-names&quot;:false,&quot;suffix&quot;:&quot;&quot;}],&quot;container-title&quot;:&quot;Environmental and Ecological Statistics&quot;,&quot;id&quot;:&quot;c80c5c1e-9ec3-3930-8cc9-ceeddeaf920e&quot;,&quot;issue&quot;:&quot;3&quot;,&quot;issued&quot;:{&quot;date-parts&quot;:[[&quot;2014&quot;,&quot;9&quot;]]},&quot;page&quot;:&quot;411-433&quot;,&quot;title&quot;:&quot;A flexible spatio-temporal model for air pollution with spatial and spatio-temporal covariates&quot;,&quot;type&quot;:&quot;article-journal&quot;,&quot;volume&quot;:&quot;21&quot;},&quot;uris&quot;:[&quot;http://www.mendeley.com/documents/?uuid=c80c5c1e-9ec3-3930-8cc9-ceeddeaf920e&quot;],&quot;isTemporary&quot;:false,&quot;legacyDesktopId&quot;:&quot;c80c5c1e-9ec3-3930-8cc9-ceeddeaf920e&quot;},{&quot;id&quot;:&quot;5ecb7567-ff6b-3da3-9e62-95fa2dea753b&quot;,&quot;itemData&quot;:{&quot;DOI&quot;:&quot;10.1186/1476-069X-13-63&quot;,&quot;ISSN&quot;:&quot;1476069X&quot;,&quot;PMID&quot;:&quot;25097007&quot;,&quot;abstract&quot;:&quot;Background: Exposure to atmospheric particulate matter (PM) remains an important public health concern, although it remains difficult to quantify accurately across large geographic areas with sufficiently high spatial resolution. Recent epidemiologic analyses have demonstrated the importance of spatially- and temporally-resolved exposure estimates, which show larger PM-mediated health effects as compared to nearest monitor or county-specific ambient concentrations. Methods. We developed generalized additive mixed models that describe regional and small-scale spatial and temporal gradients (and corresponding uncertainties) in monthly mass concentrations of fine (PM2.5), inhalable (PM10), and coarse mode particle mass (PM2.5-10) for the conterminous United States (U.S.). These models expand our previously developed models for the Northeastern and Midwestern U.S. by virtue of their larger spatial domain, their inclusion of an additional 5 years of PM data to develop predictions through 2007, and their use of refined geographic covariates for population density and point-source PM emissions. Covariate selection and model validation were performed using 10-fold cross-validation (CV). Results: The PM2.5 models had high predictive accuracy (CV R2=0.77 for both 1988-1998 and 1999-2007). While model performance remained strong, the predictive ability of models for PM10 (CV R2=0.58 for both 1988-1998 and 1999-2007) and PM2.5-10 (CV R2=0.46 and 0.52 for 1988-1998 and 1999-2007, respectively) was somewhat lower. Regional variation was found in the effects of geographic and meteorological covariates. Models generally performed well in both urban and rural areas and across seasons, though predictive performance varied somewhat by region (CV R2=0.81, 0.81, 0.83, 0.72, 0.69, 0.50, and 0.60 for the Northeast, Midwest, Southeast, Southcentral, Southwest, Northwest, and Central Plains regions, respectively, for PM2.5 from 1999-2007). Conclusions: Our models provide estimates of monthly-average outdoor concentrations of PM2.5, PM10, and PM2.5-10 with high spatial resolution and low bias. Thus, these models are suitable for estimating chronic exposures of populations living in the conterminous U.S. from 1988 to 2007.&quot;,&quot;author&quot;:[{&quot;dropping-particle&quot;:&quot;&quot;,&quot;family&quot;:&quot;Yanosky&quot;,&quot;given&quot;:&quot;Jeff D.&quot;,&quot;non-dropping-particle&quot;:&quot;&quot;,&quot;parse-names&quot;:false,&quot;suffix&quot;:&quot;&quot;},{&quot;dropping-particle&quot;:&quot;&quot;,&quot;family&quot;:&quot;Paciorek&quot;,&quot;given&quot;:&quot;Christopher J.&quot;,&quot;non-dropping-particle&quot;:&quot;&quot;,&quot;parse-names&quot;:false,&quot;suffix&quot;:&quot;&quot;},{&quot;dropping-particle&quot;:&quot;&quot;,&quot;family&quot;:&quot;Laden&quot;,&quot;given&quot;:&quot;Francine&quot;,&quot;non-dropping-particle&quot;:&quot;&quot;,&quot;parse-names&quot;:false,&quot;suffix&quot;:&quot;&quot;},{&quot;dropping-particle&quot;:&quot;&quot;,&quot;family&quot;:&quot;Hart&quot;,&quot;given&quot;:&quot;Jaime E.&quot;,&quot;non-dropping-particle&quot;:&quot;&quot;,&quot;parse-names&quot;:false,&quot;suffix&quot;:&quot;&quot;},{&quot;dropping-particle&quot;:&quot;&quot;,&quot;family&quot;:&quot;Puett&quot;,&quot;given&quot;:&quot;Robin C.&quot;,&quot;non-dropping-particle&quot;:&quot;&quot;,&quot;parse-names&quot;:false,&quot;suffix&quot;:&quot;&quot;},{&quot;dropping-particle&quot;:&quot;&quot;,&quot;family&quot;:&quot;Liao&quot;,&quot;given&quot;:&quot;Duanping&quot;,&quot;non-dropping-particle&quot;:&quot;&quot;,&quot;parse-names&quot;:false,&quot;suffix&quot;:&quot;&quot;},{&quot;dropping-particle&quot;:&quot;&quot;,&quot;family&quot;:&quot;Suh&quot;,&quot;given&quot;:&quot;Helen H.&quot;,&quot;non-dropping-particle&quot;:&quot;&quot;,&quot;parse-names&quot;:false,&quot;suffix&quot;:&quot;&quot;}],&quot;container-title&quot;:&quot;Environmental Health: A Global Access Science Source&quot;,&quot;id&quot;:&quot;5ecb7567-ff6b-3da3-9e62-95fa2dea753b&quot;,&quot;issue&quot;:&quot;1&quot;,&quot;issued&quot;:{&quot;date-parts&quot;:[[&quot;2014&quot;,&quot;8&quot;,&quot;5&quot;]]},&quot;publisher&quot;:&quot;BioMed Central Ltd.&quot;,&quot;title&quot;:&quot;Spatio-temporal modeling of particulate air pollution in the conterminous United States using geographic and meteorological predictors&quot;,&quot;type&quot;:&quot;article-journal&quot;,&quot;volume&quot;:&quot;13&quot;},&quot;uris&quot;:[&quot;http://www.mendeley.com/documents/?uuid=5ecb7567-ff6b-3da3-9e62-95fa2dea753b&quot;],&quot;isTemporary&quot;:false,&quot;legacyDesktopId&quot;:&quot;5ecb7567-ff6b-3da3-9e62-95fa2dea753b&quot;},{&quot;id&quot;:&quot;b81e1792-9c37-34d5-a666-5c53523165c9&quot;,&quot;itemData&quot;:{&quot;DOI&quot;:&quot;10.1016/J.ENVINT.2016.11.024&quot;,&quot;ISSN&quot;:&quot;0160-4120&quot;,&quot;abstract&quot;:&quot;Health effects of air pollution, especially particulate matter (PM), have been widely investigated. However, most of the studies rely on few monitors located in urban areas for short-term assessments, or land use/dispersion modelling for long-term evaluations, again mostly in cities. Recently, the availability of finely resolved satellite data provides an opportunity to estimate daily concentrations of air pollutants over wide spatio-temporal domains. Italy lacks a robust and validated high resolution spatio-temporally resolved model of particulate matter. The complex topography and the air mixture from both natural and anthropogenic sources are great challenges difficult to be addressed. We combined finely resolved data on Aerosol Optical Depth (AOD) from the Multi-Angle Implementation of Atmospheric Correction (MAIAC) algorithm, ground-level PM10 measurements, land-use variables and meteorological parameters into a four-stage mixed model framework to derive estimates of daily PM10 concentrations at 1-km2 grid over Italy, for the years 2006–2012. We checked performance of our models by applying 10-fold cross-validation (CV) for each year. Our models displayed good fitting, with mean CV-R2=0.65 and little bias (average slope of predicted VS observed PM10=0.99). Out-of-sample predictions were more accurate in Northern Italy (Po valley) and large conurbations (e.g. Rome), for background monitoring stations, and in the winter season. Resulting concentration maps showed highest average PM10 levels in specific areas (Po river valley, main industrial and metropolitan areas) with decreasing trends over time. Our daily predictions of PM10 concentrations across the whole Italy will allow, for the first time, estimation of long-term and short-term effects of air pollution nationwide, even in areas lacking monitoring data.&quot;,&quot;author&quot;:[{&quot;dropping-particle&quot;:&quot;&quot;,&quot;family&quot;:&quot;Stafoggia&quot;,&quot;given&quot;:&quot;Massimo&quot;,&quot;non-dropping-particle&quot;:&quot;&quot;,&quot;parse-names&quot;:false,&quot;suffix&quot;:&quot;&quot;},{&quot;dropping-particle&quot;:&quot;&quot;,&quot;family&quot;:&quot;Schwartz&quot;,&quot;given&quot;:&quot;Joel&quot;,&quot;non-dropping-particle&quot;:&quot;&quot;,&quot;parse-names&quot;:false,&quot;suffix&quot;:&quot;&quot;},{&quot;dropping-particle&quot;:&quot;&quot;,&quot;family&quot;:&quot;Badaloni&quot;,&quot;given&quot;:&quot;Chiara&quot;,&quot;non-dropping-particle&quot;:&quot;&quot;,&quot;parse-names&quot;:false,&quot;suffix&quot;:&quot;&quot;},{&quot;dropping-particle&quot;:&quot;&quot;,&quot;family&quot;:&quot;Bellander&quot;,&quot;given&quot;:&quot;Tom&quot;,&quot;non-dropping-particle&quot;:&quot;&quot;,&quot;parse-names&quot;:false,&quot;suffix&quot;:&quot;&quot;},{&quot;dropping-particle&quot;:&quot;&quot;,&quot;family&quot;:&quot;Alessandrini&quot;,&quot;given&quot;:&quot;Ester&quot;,&quot;non-dropping-particle&quot;:&quot;&quot;,&quot;parse-names&quot;:false,&quot;suffix&quot;:&quot;&quot;},{&quot;dropping-particle&quot;:&quot;&quot;,&quot;family&quot;:&quot;Cattani&quot;,&quot;given&quot;:&quot;Giorgio&quot;,&quot;non-dropping-particle&quot;:&quot;&quot;,&quot;parse-names&quot;:false,&quot;suffix&quot;:&quot;&quot;},{&quot;dropping-particle&quot;:&quot;&quot;,&quot;family&quot;:&quot;de' Donato&quot;,&quot;given&quot;:&quot;Francesca&quot;,&quot;non-dropping-particle&quot;:&quot;&quot;,&quot;parse-names&quot;:false,&quot;suffix&quot;:&quot;&quot;},{&quot;dropping-particle&quot;:&quot;&quot;,&quot;family&quot;:&quot;Gaeta&quot;,&quot;given&quot;:&quot;Alessandra&quot;,&quot;non-dropping-particle&quot;:&quot;&quot;,&quot;parse-names&quot;:false,&quot;suffix&quot;:&quot;&quot;},{&quot;dropping-particle&quot;:&quot;&quot;,&quot;family&quot;:&quot;Leone&quot;,&quot;given&quot;:&quot;Gianluca&quot;,&quot;non-dropping-particle&quot;:&quot;&quot;,&quot;parse-names&quot;:false,&quot;suffix&quot;:&quot;&quot;},{&quot;dropping-particle&quot;:&quot;&quot;,&quot;family&quot;:&quot;Lyapustin&quot;,&quot;given&quot;:&quot;Alexei&quot;,&quot;non-dropping-particle&quot;:&quot;&quot;,&quot;parse-names&quot;:false,&quot;suffix&quot;:&quot;&quot;},{&quot;dropping-particle&quot;:&quot;&quot;,&quot;family&quot;:&quot;Sorek-Hamer&quot;,&quot;given&quot;:&quot;Meytar&quot;,&quot;non-dropping-particle&quot;:&quot;&quot;,&quot;parse-names&quot;:false,&quot;suffix&quot;:&quot;&quot;},{&quot;dropping-particle&quot;:&quot;&quot;,&quot;family&quot;:&quot;Hoogh&quot;,&quot;given&quot;:&quot;Kees&quot;,&quot;non-dropping-particle&quot;:&quot;de&quot;,&quot;parse-names&quot;:false,&quot;suffix&quot;:&quot;&quot;},{&quot;dropping-particle&quot;:&quot;&quot;,&quot;family&quot;:&quot;Di&quot;,&quot;given&quot;:&quot;Qian&quot;,&quot;non-dropping-particle&quot;:&quot;&quot;,&quot;parse-names&quot;:false,&quot;suffix&quot;:&quot;&quot;},{&quot;dropping-particle&quot;:&quot;&quot;,&quot;family&quot;:&quot;Forastiere&quot;,&quot;given&quot;:&quot;Francesco&quot;,&quot;non-dropping-particle&quot;:&quot;&quot;,&quot;parse-names&quot;:false,&quot;suffix&quot;:&quot;&quot;},{&quot;dropping-particle&quot;:&quot;&quot;,&quot;family&quot;:&quot;Kloog&quot;,&quot;given&quot;:&quot;Itai&quot;,&quot;non-dropping-particle&quot;:&quot;&quot;,&quot;parse-names&quot;:false,&quot;suffix&quot;:&quot;&quot;}],&quot;container-title&quot;:&quot;Environment International&quot;,&quot;id&quot;:&quot;b81e1792-9c37-34d5-a666-5c53523165c9&quot;,&quot;issued&quot;:{&quot;date-parts&quot;:[[&quot;2017&quot;,&quot;2&quot;,&quot;1&quot;]]},&quot;page&quot;:&quot;234-244&quot;,&quot;publisher&quot;:&quot;Pergamon&quot;,&quot;title&quot;:&quot;Estimation of daily PM10 concentrations in Italy (2006–2012) using finely resolved satellite data, land use variables and meteorology&quot;,&quot;type&quot;:&quot;article-journal&quot;,&quot;volume&quot;:&quot;99&quot;},&quot;uris&quot;:[&quot;http://www.mendeley.com/documents/?uuid=b81e1792-9c37-34d5-a666-5c53523165c9&quot;],&quot;isTemporary&quot;:false,&quot;legacyDesktopId&quot;:&quot;b81e1792-9c37-34d5-a666-5c53523165c9&quot;},{&quot;id&quot;:&quot;2976d31a-48fd-3aae-890e-64cb9024e08a&quot;,&quot;itemData&quot;:{&quot;DOI&quot;:&quot;10.1016/j.atmosenv.2018.08.046&quot;,&quot;ISSN&quot;:&quot;18732844&quot;,&quot;abstract&quot;:&quot;Background: Air pollution epidemiological studies increasingly rely on high-resolution exposure prediction models. However, to date, few models of this type exist for use in China. Objectives: We produced a national land-use regression model (LUR) to estimate monthly average PM2.5, PM10 and NO2 from 2014 to 2016 in China. Methods: We developed a spatiotemporal semi-parametric model using generalized additive mixed models. A variety of predictor variables were included in model: time varying meteorological data, high resolution land cover data from Globaland30, satellite measures of aerosol optical depth, and Geographic Information System (GIS)-derived predictors. We assessed model performance with two cross-validation (CV) approaches, including hold-out CV, and 10-fold CV. Results: Over 22,000 monthly observations at 1382 monitoring locations were included to estimate the air pollution exposure. The time-varying spatial terms explained 87%, 71%, and 69% of variability with a hold-out cross-validated R2 of 0.85, 0.62, and 0.62 for PM2.5, PM10 and NO2 models, respectively. Models show that meteorological variables, population density, elevation, distance to road, and land cover types were important predictors for air pollution exposure. Conclusions: we have developed a new nationwide model to estimate residence-level air pollution exposures, which can be used in studies of the chronic adverse effects of air pollution.&quot;,&quot;author&quot;:[{&quot;dropping-particle&quot;:&quot;&quot;,&quot;family&quot;:&quot;Zhang&quot;,&quot;given&quot;:&quot;Zhenyu&quot;,&quot;non-dropping-particle&quot;:&quot;&quot;,&quot;parse-names&quot;:false,&quot;suffix&quot;:&quot;&quot;},{&quot;dropping-particle&quot;:&quot;&quot;,&quot;family&quot;:&quot;Wang&quot;,&quot;given&quot;:&quot;Jianbing&quot;,&quot;non-dropping-particle&quot;:&quot;&quot;,&quot;parse-names&quot;:false,&quot;suffix&quot;:&quot;&quot;},{&quot;dropping-particle&quot;:&quot;&quot;,&quot;family&quot;:&quot;Hart&quot;,&quot;given&quot;:&quot;Jaime E.&quot;,&quot;non-dropping-particle&quot;:&quot;&quot;,&quot;parse-names&quot;:false,&quot;suffix&quot;:&quot;&quot;},{&quot;dropping-particle&quot;:&quot;&quot;,&quot;family&quot;:&quot;Laden&quot;,&quot;given&quot;:&quot;Francine&quot;,&quot;non-dropping-particle&quot;:&quot;&quot;,&quot;parse-names&quot;:false,&quot;suffix&quot;:&quot;&quot;},{&quot;dropping-particle&quot;:&quot;&quot;,&quot;family&quot;:&quot;Zhao&quot;,&quot;given&quot;:&quot;Chen&quot;,&quot;non-dropping-particle&quot;:&quot;&quot;,&quot;parse-names&quot;:false,&quot;suffix&quot;:&quot;&quot;},{&quot;dropping-particle&quot;:&quot;&quot;,&quot;family&quot;:&quot;Li&quot;,&quot;given&quot;:&quot;Tiantian&quot;,&quot;non-dropping-particle&quot;:&quot;&quot;,&quot;parse-names&quot;:false,&quot;suffix&quot;:&quot;&quot;},{&quot;dropping-particle&quot;:&quot;&quot;,&quot;family&quot;:&quot;Zheng&quot;,&quot;given&quot;:&quot;Peiwen&quot;,&quot;non-dropping-particle&quot;:&quot;&quot;,&quot;parse-names&quot;:false,&quot;suffix&quot;:&quot;&quot;},{&quot;dropping-particle&quot;:&quot;&quot;,&quot;family&quot;:&quot;Li&quot;,&quot;given&quot;:&quot;Die&quot;,&quot;non-dropping-particle&quot;:&quot;&quot;,&quot;parse-names&quot;:false,&quot;suffix&quot;:&quot;&quot;},{&quot;dropping-particle&quot;:&quot;&quot;,&quot;family&quot;:&quot;Ye&quot;,&quot;given&quot;:&quot;Zhenhua&quot;,&quot;non-dropping-particle&quot;:&quot;&quot;,&quot;parse-names&quot;:false,&quot;suffix&quot;:&quot;&quot;},{&quot;dropping-particle&quot;:&quot;&quot;,&quot;family&quot;:&quot;Chen&quot;,&quot;given&quot;:&quot;Kun&quot;,&quot;non-dropping-particle&quot;:&quot;&quot;,&quot;parse-names&quot;:false,&quot;suffix&quot;:&quot;&quot;}],&quot;container-title&quot;:&quot;Atmospheric Environment&quot;,&quot;id&quot;:&quot;2976d31a-48fd-3aae-890e-64cb9024e08a&quot;,&quot;issued&quot;:{&quot;date-parts&quot;:[[&quot;2018&quot;,&quot;11&quot;,&quot;1&quot;]]},&quot;page&quot;:&quot;48-54&quot;,&quot;publisher&quot;:&quot;Elsevier Ltd&quot;,&quot;title&quot;:&quot;National scale spatiotemporal land-use regression model for PM2.5, PM10 and NO2 concentration in China&quot;,&quot;type&quot;:&quot;article-journal&quot;,&quot;volume&quot;:&quot;192&quot;},&quot;uris&quot;:[&quot;http://www.mendeley.com/documents/?uuid=2976d31a-48fd-3aae-890e-64cb9024e08a&quot;],&quot;isTemporary&quot;:false,&quot;legacyDesktopId&quot;:&quot;2976d31a-48fd-3aae-890e-64cb9024e08a&quot;}],&quot;properties&quot;:{&quot;noteIndex&quot;:0},&quot;isEdited&quot;:false,&quot;manualOverride&quot;:{&quot;citeprocText&quot;:&quot;(Lindström et al., 2014; Stafoggia et al., 2017; Yanosky et al., 2014; Zhang et al., 2018)&quot;,&quot;isManuallyOverridden&quot;:false,&quot;manualOverrideText&quot;:&quot;&quot;},&quot;citationTag&quot;:&quot;MENDELEY_CITATION_v3_eyJjaXRhdGlvbklEIjoiTUVOREVMRVlfQ0lUQVRJT05fOGMzMTgyMjItZTU0ZC00MWRjLWFjZjYtYmJiNjVmNGM2ODg3IiwiY2l0YXRpb25JdGVtcyI6W3siaWQiOiJjODBjNWMxZS05ZWMzLTM5MzAtOGNjOS1jZWVkZGVhZjkyMGUiLCJpdGVtRGF0YSI6eyJJU0JOIjoiMTM1Mjg1MDUiLCJJU1NOIjoiMTM1Mjg1MDUiLCJQTUlEIjoiMjUyNjQ0MjQiLCJhYnN0cmFjdCI6IlRoZSBkZXZlbG9wbWVudCBvZiBtb2RlbHMgdGhhdCBwcm92aWRlIGFjY3VyYXRlIHNwYXRpby10ZW1wb3JhbCBwcmVkaWMtdGlvbnMgb2YgYW1iaWVudCBhaXIgcG9sbHV0aW9uIGF0IHNtYWxsIHNwYXRpYWwgc2NhbGVzIGlzIG9mIGdyZWF0IGltcG9ydGFuY2UgZm9yIHRoZSBhc3Nlc3MtbWVudCBvZiBwb3RlbnRpYWwgaGVhbHRoIGVmZmVjdHMgb2YgYWlyIHBvbGx1dGlvbi4gSGVyZSB3ZSBwcmVzZW50IGEgc3BhdGlvLXRlbXBvcmFsIGZyYW1ld29yayB0aGF0IHByZWRpY3RzIGFtYmllbnQgYWlyIHBvbGx1dGlvbiBieSBjb21iaW5pbmcgZGF0YSBmcm9tIHNldmVyYWwgZGlmZmVyZW50IG1vbml0b3JpbmcgbmV0d29ya3MgYW5kIGRldGVybWluaXN0aWMgYWlyIHBvbGx1dGlvbiBtb2RlbChzKSB3aXRoIGdlb2dyYXBoaWMgaW5mb3ItbWF0aW9uIHN5c3RlbSBjb3ZhcmlhdGVzLiBUaGUgbW9kZWwgcHJlc2VudGVkIGluIHRoaXMgcGFwZXIgaGFzIGJlZW4gaW1wbGVtZW50ZWQgaW4gYW4gUiBwYWNrYWdlLCBTcGF0aW9UZW1wb3JhbCwgYXZhaWxhYmxlIG9uIENSQU4uIFRoZSBtb2RlbCBpcyB1c2VkIGJ5IHRoZSBFUEEgZnVuZGVkIE11bHRpLUV0aG5pYyBTdHVkeSBvZiBBdGhlcm9zY2xlcm9zaXMgYW5kIEFpciBQb2xsdXRpb24gKE1FU0EgQWlyKSB0byBwcm9kdWNlIGVzdGltYXRlcyBvZiBhbWJpZW50IGFpciBwb2xsdXRpb247IE1FU0EgQWlyIHVzZXMgdGhlIGVzdGltYXRlcyB0byBpbnZlc3RpZ2F0ZSB0aGUgcmVsYXRpb25zaGlwIGJldHdlZW4gY2hyb25pYyBleHBvc3VyZSB0byBhaXIgcG9sbHV0aW9uIGFuZCBjYXJkaW92YXNjdWxhciBkaXNlYXNlLiBJbiB0aGlzIHBhcGVyIHdlIHVzZSB0aGUgbW9kZWwgdG8gcHJlZGljdCBsb25nLXRlcm0gYXZlcmFnZSBjb25jZW50cmF0aW9ucyBvZiBOTyB4IGluIHRoZSBMb3MgQW5nZWxlcyBhcmVhIGR1cmluZyBhIDEwIHllYXIgcGVyaW9kLiBQcmVkaWN0aW9ucyBhcmUgYmFzZWQgb24gbWVhc3VyZW1lbnRzIGZyb20gdGhlIEVQQSBBaXIgUXVhbGl0eSBTeXN0ZW0sIE1FU0EgQWlyIHNwZWNpZmljIG1vbml0b3JpbmcsIGFuZCBvdXRwdXQgZnJvbSBhIHNvdXJjZSBkaXNwZXJzaW9uIG1vZGVsIGZvciB0cmFmZmljIHJlbGF0ZWQgYWlyIHBvbGx1dGlvbiAoQ2FsaW5lM1FIQ1IpLiBBY2N1cmFjeSBpbiBwcmVkaWN0aW5nIGxvbmctdGVybSBhdmVyYWdlIGNvbmNlbnRyYXRpb25zIGlzIGV2YWx1YXRlZCB1c2luZyBhbiBlbGFib3JhdGUgY3Jvc3MtdmFsaWRhdGlvbiBzZXR1cCB0aGF0IGFjY291bnRzIGZvciBhIHNwYXJzZSBzcGF0aW8tdGVtcG9yYWwgc2FtcGxpbmcgcGF0dGVybiBpbiB0aGUgZGF0YSwgYW5kIGFkanVzdHMgZm9yIHRlbXBvcmFsIGVmZmVjdHMuIFRoZSBwcmVkaWN0aXZlIGFiaWxpdHkgb2YgdGhlIG1vZGVsIGlzIGdvb2Qgd2l0aCBjcm9zcy12YWxpZGF0ZWQgUiAyIG9mIGFwcHJveGltYXRlbHkgMC43IGF0IHN1YmplY3Qgc2l0ZXMuIFJlcGxhY2luZyBmb3VyIGdlb2dyYXBoaWMgY292YXJpYXRlIGluZGljYXRvcnMgb2YgdHJhZmZpYyBkZW5zaXR5IHdpdGggdGhlIENhbGluZTNRSENSIGRpc3BlcnNpb24gbW9kZWwgb3V0LXB1dCByZXN1bHRlZCBpbiB2ZXJ5IHNpbWlsYXIgcHJlZGljdGlvbiBhY2N1cmFjeSBmcm9tIGEgbW9yZSBwYXJzaW1vbmlvdXMgYW5kIG1vcmUgSGFuZGxpbmcgRWRpdG9yOiBQaWVycmUgRHV0aWxsZXVsLiAxMjMgNDEyIEVudmlyb24gRWNvbCBTdGF0ICgyMDE0KSAyMTo0MTHigJM0MzMgaW50ZXJwcmV0YWJsZSBtb2RlbC4gQWRkaW5nIHRyYWZmaWMtcmVsYXRlZCBnZW9ncmFwaGljIGNvdmFyaWF0ZXMgdG8gdGhlIG1vZGVsIHRoYXQgaW5jbHVkZWQgQ2FsaW5lM1FIQ1IgZGlkIG5vdCBmdXJ0aGVyIGltcHJvdmUgdGhlIHByZWRpY3Rpb24gYWNjdXJhY3kuIiwiYXV0aG9yIjpbeyJkcm9wcGluZy1wYXJ0aWNsZSI6IiIsImZhbWlseSI6IkxpbmRzdHLDtm0iLCJnaXZlbiI6IkpvaGFuIiwibm9uLWRyb3BwaW5nLXBhcnRpY2xlIjoiIiwicGFyc2UtbmFtZXMiOmZhbHNlLCJzdWZmaXgiOiIifSx7ImRyb3BwaW5nLXBhcnRpY2xlIjoiIiwiZmFtaWx5IjoiU3pwaXJvIiwiZ2l2ZW4iOiJBZGFtIEEiLCJub24tZHJvcHBpbmctcGFydGljbGUiOiIiLCJwYXJzZS1uYW1lcyI6ZmFsc2UsInN1ZmZpeCI6IiJ9LHsiZHJvcHBpbmctcGFydGljbGUiOiIiLCJmYW1pbHkiOiJTYW1wc29uIiwiZ2l2ZW4iOiJQYXVsIEQiLCJub24tZHJvcHBpbmctcGFydGljbGUiOiIiLCJwYXJzZS1uYW1lcyI6ZmFsc2UsInN1ZmZpeCI6IiJ9LHsiZHJvcHBpbmctcGFydGljbGUiOiIiLCJmYW1pbHkiOiJPcm9uIiwiZ2l2ZW4iOiJBc3NhZiBQIiwibm9uLWRyb3BwaW5nLXBhcnRpY2xlIjoiIiwicGFyc2UtbmFtZXMiOmZhbHNlLCJzdWZmaXgiOiIifSx7ImRyb3BwaW5nLXBhcnRpY2xlIjoiIiwiZmFtaWx5IjoiUmljaGFyZHMiLCJnaXZlbiI6Ik1hcmsiLCJub24tZHJvcHBpbmctcGFydGljbGUiOiIiLCJwYXJzZS1uYW1lcyI6ZmFsc2UsInN1ZmZpeCI6IiJ9LHsiZHJvcHBpbmctcGFydGljbGUiOiJWIiwiZmFtaWx5IjoiTGFyc29uIiwiZ2l2ZW4iOiJUaW0iLCJub24tZHJvcHBpbmctcGFydGljbGUiOiIiLCJwYXJzZS1uYW1lcyI6ZmFsc2UsInN1ZmZpeCI6IiJ9LHsiZHJvcHBpbmctcGFydGljbGUiOiIiLCJmYW1pbHkiOiJTaGVwcGFyZCIsImdpdmVuIjoiTGlhbm5lIiwibm9uLWRyb3BwaW5nLXBhcnRpY2xlIjoiIiwicGFyc2UtbmFtZXMiOmZhbHNlLCJzdWZmaXgiOiIifV0sImNvbnRhaW5lci10aXRsZSI6IkVudmlyb25tZW50YWwgYW5kIEVjb2xvZ2ljYWwgU3RhdGlzdGljcyIsImlkIjoiYzgwYzVjMWUtOWVjMy0zOTMwLThjYzktY2VlZGRlYWY5MjBlIiwiaXNzdWUiOiIzIiwiaXNzdWVkIjp7ImRhdGUtcGFydHMiOltbIjIwMTQiLCI5Il1dfSwicGFnZSI6IjQxMS00MzMiLCJ0aXRsZSI6IkEgZmxleGlibGUgc3BhdGlvLXRlbXBvcmFsIG1vZGVsIGZvciBhaXIgcG9sbHV0aW9uIHdpdGggc3BhdGlhbCBhbmQgc3BhdGlvLXRlbXBvcmFsIGNvdmFyaWF0ZXMiLCJ0eXBlIjoiYXJ0aWNsZS1qb3VybmFsIiwidm9sdW1lIjoiMjEifSwidXJpcyI6WyJodHRwOi8vd3d3Lm1lbmRlbGV5LmNvbS9kb2N1bWVudHMvP3V1aWQ9YzgwYzVjMWUtOWVjMy0zOTMwLThjYzktY2VlZGRlYWY5MjBlIl0sImlzVGVtcG9yYXJ5IjpmYWxzZSwibGVnYWN5RGVza3RvcElkIjoiYzgwYzVjMWUtOWVjMy0zOTMwLThjYzktY2VlZGRlYWY5MjBlIn0seyJpZCI6IjVlY2I3NTY3LWZmNmItM2RhMy05ZTYyLTk1ZmEyZGVhNzUzYiIsIml0ZW1EYXRhIjp7IkRPSSI6IjEwLjExODYvMTQ3Ni0wNjlYLTEzLTYzIiwiSVNTTiI6IjE0NzYwNjlYIiwiUE1JRCI6IjI1MDk3MDA3IiwiYWJzdHJhY3QiOiJCYWNrZ3JvdW5kOiBFeHBvc3VyZSB0byBhdG1vc3BoZXJpYyBwYXJ0aWN1bGF0ZSBtYXR0ZXIgKFBNKSByZW1haW5zIGFuIGltcG9ydGFudCBwdWJsaWMgaGVhbHRoIGNvbmNlcm4sIGFsdGhvdWdoIGl0IHJlbWFpbnMgZGlmZmljdWx0IHRvIHF1YW50aWZ5IGFjY3VyYXRlbHkgYWNyb3NzIGxhcmdlIGdlb2dyYXBoaWMgYXJlYXMgd2l0aCBzdWZmaWNpZW50bHkgaGlnaCBzcGF0aWFsIHJlc29sdXRpb24uIFJlY2VudCBlcGlkZW1pb2xvZ2ljIGFuYWx5c2VzIGhhdmUgZGVtb25zdHJhdGVkIHRoZSBpbXBvcnRhbmNlIG9mIHNwYXRpYWxseS0gYW5kIHRlbXBvcmFsbHktcmVzb2x2ZWQgZXhwb3N1cmUgZXN0aW1hdGVzLCB3aGljaCBzaG93IGxhcmdlciBQTS1tZWRpYXRlZCBoZWFsdGggZWZmZWN0cyBhcyBjb21wYXJlZCB0byBuZWFyZXN0IG1vbml0b3Igb3IgY291bnR5LXNwZWNpZmljIGFtYmllbnQgY29uY2VudHJhdGlvbnMuIE1ldGhvZHMuIFdlIGRldmVsb3BlZCBnZW5lcmFsaXplZCBhZGRpdGl2ZSBtaXhlZCBtb2RlbHMgdGhhdCBkZXNjcmliZSByZWdpb25hbCBhbmQgc21hbGwtc2NhbGUgc3BhdGlhbCBhbmQgdGVtcG9yYWwgZ3JhZGllbnRzIChhbmQgY29ycmVzcG9uZGluZyB1bmNlcnRhaW50aWVzKSBpbiBtb250aGx5IG1hc3MgY29uY2VudHJhdGlvbnMgb2YgZmluZSAoUE0yLjUpLCBpbmhhbGFibGUgKFBNMTApLCBhbmQgY29hcnNlIG1vZGUgcGFydGljbGUgbWFzcyAoUE0yLjUtMTApIGZvciB0aGUgY29udGVybWlub3VzIFVuaXRlZCBTdGF0ZXMgKFUuUy4pLiBUaGVzZSBtb2RlbHMgZXhwYW5kIG91ciBwcmV2aW91c2x5IGRldmVsb3BlZCBtb2RlbHMgZm9yIHRoZSBOb3J0aGVhc3Rlcm4gYW5kIE1pZHdlc3Rlcm4gVS5TLiBieSB2aXJ0dWUgb2YgdGhlaXIgbGFyZ2VyIHNwYXRpYWwgZG9tYWluLCB0aGVpciBpbmNsdXNpb24gb2YgYW4gYWRkaXRpb25hbCA1IHllYXJzIG9mIFBNIGRhdGEgdG8gZGV2ZWxvcCBwcmVkaWN0aW9ucyB0aHJvdWdoIDIwMDcsIGFuZCB0aGVpciB1c2Ugb2YgcmVmaW5lZCBnZW9ncmFwaGljIGNvdmFyaWF0ZXMgZm9yIHBvcHVsYXRpb24gZGVuc2l0eSBhbmQgcG9pbnQtc291cmNlIFBNIGVtaXNzaW9ucy4gQ292YXJpYXRlIHNlbGVjdGlvbiBhbmQgbW9kZWwgdmFsaWRhdGlvbiB3ZXJlIHBlcmZvcm1lZCB1c2luZyAxMC1mb2xkIGNyb3NzLXZhbGlkYXRpb24gKENWKS4gUmVzdWx0czogVGhlIFBNMi41IG1vZGVscyBoYWQgaGlnaCBwcmVkaWN0aXZlIGFjY3VyYWN5IChDViBSMj0wLjc3IGZvciBib3RoIDE5ODgtMTk5OCBhbmQgMTk5OS0yMDA3KS4gV2hpbGUgbW9kZWwgcGVyZm9ybWFuY2UgcmVtYWluZWQgc3Ryb25nLCB0aGUgcHJlZGljdGl2ZSBhYmlsaXR5IG9mIG1vZGVscyBmb3IgUE0xMCAoQ1YgUjI9MC41OCBmb3IgYm90aCAxOTg4LTE5OTggYW5kIDE5OTktMjAwNykgYW5kIFBNMi41LTEwIChDViBSMj0wLjQ2IGFuZCAwLjUyIGZvciAxOTg4LTE5OTggYW5kIDE5OTktMjAwNywgcmVzcGVjdGl2ZWx5KSB3YXMgc29tZXdoYXQgbG93ZXIuIFJlZ2lvbmFsIHZhcmlhdGlvbiB3YXMgZm91bmQgaW4gdGhlIGVmZmVjdHMgb2YgZ2VvZ3JhcGhpYyBhbmQgbWV0ZW9yb2xvZ2ljYWwgY292YXJpYXRlcy4gTW9kZWxzIGdlbmVyYWxseSBwZXJmb3JtZWQgd2VsbCBpbiBib3RoIHVyYmFuIGFuZCBydXJhbCBhcmVhcyBhbmQgYWNyb3NzIHNlYXNvbnMsIHRob3VnaCBwcmVkaWN0aXZlIHBlcmZvcm1hbmNlIHZhcmllZCBzb21ld2hhdCBieSByZWdpb24gKENWIFIyPTAuODEsIDAuODEsIDAuODMsIDAuNzIsIDAuNjksIDAuNTAsIGFuZCAwLjYwIGZvciB0aGUgTm9ydGhlYXN0LCBNaWR3ZXN0LCBTb3V0aGVhc3QsIFNvdXRoY2VudHJhbCwgU291dGh3ZXN0LCBOb3J0aHdlc3QsIGFuZCBDZW50cmFsIFBsYWlucyByZWdpb25zLCByZXNwZWN0aXZlbHksIGZvciBQTTIuNSBmcm9tIDE5OTktMjAwNykuIENvbmNsdXNpb25zOiBPdXIgbW9kZWxzIHByb3ZpZGUgZXN0aW1hdGVzIG9mIG1vbnRobHktYXZlcmFnZSBvdXRkb29yIGNvbmNlbnRyYXRpb25zIG9mIFBNMi41LCBQTTEwLCBhbmQgUE0yLjUtMTAgd2l0aCBoaWdoIHNwYXRpYWwgcmVzb2x1dGlvbiBhbmQgbG93IGJpYXMuIFRodXMsIHRoZXNlIG1vZGVscyBhcmUgc3VpdGFibGUgZm9yIGVzdGltYXRpbmcgY2hyb25pYyBleHBvc3VyZXMgb2YgcG9wdWxhdGlvbnMgbGl2aW5nIGluIHRoZSBjb250ZXJtaW5vdXMgVS5TLiBmcm9tIDE5ODggdG8gMjAwNy4iLCJhdXRob3IiOlt7ImRyb3BwaW5nLXBhcnRpY2xlIjoiIiwiZmFtaWx5IjoiWWFub3NreSIsImdpdmVuIjoiSmVmZiBELiIsIm5vbi1kcm9wcGluZy1wYXJ0aWNsZSI6IiIsInBhcnNlLW5hbWVzIjpmYWxzZSwic3VmZml4IjoiIn0seyJkcm9wcGluZy1wYXJ0aWNsZSI6IiIsImZhbWlseSI6IlBhY2lvcmVrIiwiZ2l2ZW4iOiJDaHJpc3RvcGhlciBKLiIsIm5vbi1kcm9wcGluZy1wYXJ0aWNsZSI6IiIsInBhcnNlLW5hbWVzIjpmYWxzZSwic3VmZml4IjoiIn0seyJkcm9wcGluZy1wYXJ0aWNsZSI6IiIsImZhbWlseSI6IkxhZGVuIiwiZ2l2ZW4iOiJGcmFuY2luZSIsIm5vbi1kcm9wcGluZy1wYXJ0aWNsZSI6IiIsInBhcnNlLW5hbWVzIjpmYWxzZSwic3VmZml4IjoiIn0seyJkcm9wcGluZy1wYXJ0aWNsZSI6IiIsImZhbWlseSI6IkhhcnQiLCJnaXZlbiI6IkphaW1lIEUuIiwibm9uLWRyb3BwaW5nLXBhcnRpY2xlIjoiIiwicGFyc2UtbmFtZXMiOmZhbHNlLCJzdWZmaXgiOiIifSx7ImRyb3BwaW5nLXBhcnRpY2xlIjoiIiwiZmFtaWx5IjoiUHVldHQiLCJnaXZlbiI6IlJvYmluIEMuIiwibm9uLWRyb3BwaW5nLXBhcnRpY2xlIjoiIiwicGFyc2UtbmFtZXMiOmZhbHNlLCJzdWZmaXgiOiIifSx7ImRyb3BwaW5nLXBhcnRpY2xlIjoiIiwiZmFtaWx5IjoiTGlhbyIsImdpdmVuIjoiRHVhbnBpbmciLCJub24tZHJvcHBpbmctcGFydGljbGUiOiIiLCJwYXJzZS1uYW1lcyI6ZmFsc2UsInN1ZmZpeCI6IiJ9LHsiZHJvcHBpbmctcGFydGljbGUiOiIiLCJmYW1pbHkiOiJTdWgiLCJnaXZlbiI6IkhlbGVuIEguIiwibm9uLWRyb3BwaW5nLXBhcnRpY2xlIjoiIiwicGFyc2UtbmFtZXMiOmZhbHNlLCJzdWZmaXgiOiIifV0sImNvbnRhaW5lci10aXRsZSI6IkVudmlyb25tZW50YWwgSGVhbHRoOiBBIEdsb2JhbCBBY2Nlc3MgU2NpZW5jZSBTb3VyY2UiLCJpZCI6IjVlY2I3NTY3LWZmNmItM2RhMy05ZTYyLTk1ZmEyZGVhNzUzYiIsImlzc3VlIjoiMSIsImlzc3VlZCI6eyJkYXRlLXBhcnRzIjpbWyIyMDE0IiwiOCIsIjUiXV19LCJwdWJsaXNoZXIiOiJCaW9NZWQgQ2VudHJhbCBMdGQuIiwidGl0bGUiOiJTcGF0aW8tdGVtcG9yYWwgbW9kZWxpbmcgb2YgcGFydGljdWxhdGUgYWlyIHBvbGx1dGlvbiBpbiB0aGUgY29udGVybWlub3VzIFVuaXRlZCBTdGF0ZXMgdXNpbmcgZ2VvZ3JhcGhpYyBhbmQgbWV0ZW9yb2xvZ2ljYWwgcHJlZGljdG9ycyIsInR5cGUiOiJhcnRpY2xlLWpvdXJuYWwiLCJ2b2x1bWUiOiIxMyJ9LCJ1cmlzIjpbImh0dHA6Ly93d3cubWVuZGVsZXkuY29tL2RvY3VtZW50cy8/dXVpZD01ZWNiNzU2Ny1mZjZiLTNkYTMtOWU2Mi05NWZhMmRlYTc1M2IiXSwiaXNUZW1wb3JhcnkiOmZhbHNlLCJsZWdhY3lEZXNrdG9wSWQiOiI1ZWNiNzU2Ny1mZjZiLTNkYTMtOWU2Mi05NWZhMmRlYTc1M2IifSx7ImlkIjoiYjgxZTE3OTItOWMzNy0zNGQ1LWE2NjYtNWM1MzUyMzE2NWM5IiwiaXRlbURhdGEiOnsiRE9JIjoiMTAuMTAxNi9KLkVOVklOVC4yMDE2LjExLjAyNCIsIklTU04iOiIwMTYwLTQxMjAiLCJhYnN0cmFjdCI6IkhlYWx0aCBlZmZlY3RzIG9mIGFpciBwb2xsdXRpb24sIGVzcGVjaWFsbHkgcGFydGljdWxhdGUgbWF0dGVyIChQTSksIGhhdmUgYmVlbiB3aWRlbHkgaW52ZXN0aWdhdGVkLiBIb3dldmVyLCBtb3N0IG9mIHRoZSBzdHVkaWVzIHJlbHkgb24gZmV3IG1vbml0b3JzIGxvY2F0ZWQgaW4gdXJiYW4gYXJlYXMgZm9yIHNob3J0LXRlcm0gYXNzZXNzbWVudHMsIG9yIGxhbmQgdXNlL2Rpc3BlcnNpb24gbW9kZWxsaW5nIGZvciBsb25nLXRlcm0gZXZhbHVhdGlvbnMsIGFnYWluIG1vc3RseSBpbiBjaXRpZXMuIFJlY2VudGx5LCB0aGUgYXZhaWxhYmlsaXR5IG9mIGZpbmVseSByZXNvbHZlZCBzYXRlbGxpdGUgZGF0YSBwcm92aWRlcyBhbiBvcHBvcnR1bml0eSB0byBlc3RpbWF0ZSBkYWlseSBjb25jZW50cmF0aW9ucyBvZiBhaXIgcG9sbHV0YW50cyBvdmVyIHdpZGUgc3BhdGlvLXRlbXBvcmFsIGRvbWFpbnMuIEl0YWx5IGxhY2tzIGEgcm9idXN0IGFuZCB2YWxpZGF0ZWQgaGlnaCByZXNvbHV0aW9uIHNwYXRpby10ZW1wb3JhbGx5IHJlc29sdmVkIG1vZGVsIG9mIHBhcnRpY3VsYXRlIG1hdHRlci4gVGhlIGNvbXBsZXggdG9wb2dyYXBoeSBhbmQgdGhlIGFpciBtaXh0dXJlIGZyb20gYm90aCBuYXR1cmFsIGFuZCBhbnRocm9wb2dlbmljIHNvdXJjZXMgYXJlIGdyZWF0IGNoYWxsZW5nZXMgZGlmZmljdWx0IHRvIGJlIGFkZHJlc3NlZC4gV2UgY29tYmluZWQgZmluZWx5IHJlc29sdmVkIGRhdGEgb24gQWVyb3NvbCBPcHRpY2FsIERlcHRoIChBT0QpIGZyb20gdGhlIE11bHRpLUFuZ2xlIEltcGxlbWVudGF0aW9uIG9mIEF0bW9zcGhlcmljIENvcnJlY3Rpb24gKE1BSUFDKSBhbGdvcml0aG0sIGdyb3VuZC1sZXZlbCBQTTEwIG1lYXN1cmVtZW50cywgbGFuZC11c2UgdmFyaWFibGVzIGFuZCBtZXRlb3JvbG9naWNhbCBwYXJhbWV0ZXJzIGludG8gYSBmb3VyLXN0YWdlIG1peGVkIG1vZGVsIGZyYW1ld29yayB0byBkZXJpdmUgZXN0aW1hdGVzIG9mIGRhaWx5IFBNMTAgY29uY2VudHJhdGlvbnMgYXQgMS1rbTIgZ3JpZCBvdmVyIEl0YWx5LCBmb3IgdGhlIHllYXJzIDIwMDbigJMyMDEyLiBXZSBjaGVja2VkIHBlcmZvcm1hbmNlIG9mIG91ciBtb2RlbHMgYnkgYXBwbHlpbmcgMTAtZm9sZCBjcm9zcy12YWxpZGF0aW9uIChDVikgZm9yIGVhY2ggeWVhci4gT3VyIG1vZGVscyBkaXNwbGF5ZWQgZ29vZCBmaXR0aW5nLCB3aXRoIG1lYW4gQ1YtUjI9MC42NSBhbmQgbGl0dGxlIGJpYXMgKGF2ZXJhZ2Ugc2xvcGUgb2YgcHJlZGljdGVkIFZTIG9ic2VydmVkIFBNMTA9MC45OSkuIE91dC1vZi1zYW1wbGUgcHJlZGljdGlvbnMgd2VyZSBtb3JlIGFjY3VyYXRlIGluIE5vcnRoZXJuIEl0YWx5IChQbyB2YWxsZXkpIGFuZCBsYXJnZSBjb251cmJhdGlvbnMgKGUuZy4gUm9tZSksIGZvciBiYWNrZ3JvdW5kIG1vbml0b3Jpbmcgc3RhdGlvbnMsIGFuZCBpbiB0aGUgd2ludGVyIHNlYXNvbi4gUmVzdWx0aW5nIGNvbmNlbnRyYXRpb24gbWFwcyBzaG93ZWQgaGlnaGVzdCBhdmVyYWdlIFBNMTAgbGV2ZWxzIGluIHNwZWNpZmljIGFyZWFzIChQbyByaXZlciB2YWxsZXksIG1haW4gaW5kdXN0cmlhbCBhbmQgbWV0cm9wb2xpdGFuIGFyZWFzKSB3aXRoIGRlY3JlYXNpbmcgdHJlbmRzIG92ZXIgdGltZS4gT3VyIGRhaWx5IHByZWRpY3Rpb25zIG9mIFBNMTAgY29uY2VudHJhdGlvbnMgYWNyb3NzIHRoZSB3aG9sZSBJdGFseSB3aWxsIGFsbG93LCBmb3IgdGhlIGZpcnN0IHRpbWUsIGVzdGltYXRpb24gb2YgbG9uZy10ZXJtIGFuZCBzaG9ydC10ZXJtIGVmZmVjdHMgb2YgYWlyIHBvbGx1dGlvbiBuYXRpb253aWRlLCBldmVuIGluIGFyZWFzIGxhY2tpbmcgbW9uaXRvcmluZyBkYXRhLiIsImF1dGhvciI6W3siZHJvcHBpbmctcGFydGljbGUiOiIiLCJmYW1pbHkiOiJTdGFmb2dnaWEiLCJnaXZlbiI6Ik1hc3NpbW8iLCJub24tZHJvcHBpbmctcGFydGljbGUiOiIiLCJwYXJzZS1uYW1lcyI6ZmFsc2UsInN1ZmZpeCI6IiJ9LHsiZHJvcHBpbmctcGFydGljbGUiOiIiLCJmYW1pbHkiOiJTY2h3YXJ0eiIsImdpdmVuIjoiSm9lbCIsIm5vbi1kcm9wcGluZy1wYXJ0aWNsZSI6IiIsInBhcnNlLW5hbWVzIjpmYWxzZSwic3VmZml4IjoiIn0seyJkcm9wcGluZy1wYXJ0aWNsZSI6IiIsImZhbWlseSI6IkJhZGFsb25pIiwiZ2l2ZW4iOiJDaGlhcmEiLCJub24tZHJvcHBpbmctcGFydGljbGUiOiIiLCJwYXJzZS1uYW1lcyI6ZmFsc2UsInN1ZmZpeCI6IiJ9LHsiZHJvcHBpbmctcGFydGljbGUiOiIiLCJmYW1pbHkiOiJCZWxsYW5kZXIiLCJnaXZlbiI6IlRvbSIsIm5vbi1kcm9wcGluZy1wYXJ0aWNsZSI6IiIsInBhcnNlLW5hbWVzIjpmYWxzZSwic3VmZml4IjoiIn0seyJkcm9wcGluZy1wYXJ0aWNsZSI6IiIsImZhbWlseSI6IkFsZXNzYW5kcmluaSIsImdpdmVuIjoiRXN0ZXIiLCJub24tZHJvcHBpbmctcGFydGljbGUiOiIiLCJwYXJzZS1uYW1lcyI6ZmFsc2UsInN1ZmZpeCI6IiJ9LHsiZHJvcHBpbmctcGFydGljbGUiOiIiLCJmYW1pbHkiOiJDYXR0YW5pIiwiZ2l2ZW4iOiJHaW9yZ2lvIiwibm9uLWRyb3BwaW5nLXBhcnRpY2xlIjoiIiwicGFyc2UtbmFtZXMiOmZhbHNlLCJzdWZmaXgiOiIifSx7ImRyb3BwaW5nLXBhcnRpY2xlIjoiIiwiZmFtaWx5IjoiZGUnIERvbmF0byIsImdpdmVuIjoiRnJhbmNlc2NhIiwibm9uLWRyb3BwaW5nLXBhcnRpY2xlIjoiIiwicGFyc2UtbmFtZXMiOmZhbHNlLCJzdWZmaXgiOiIifSx7ImRyb3BwaW5nLXBhcnRpY2xlIjoiIiwiZmFtaWx5IjoiR2FldGEiLCJnaXZlbiI6IkFsZXNzYW5kcmEiLCJub24tZHJvcHBpbmctcGFydGljbGUiOiIiLCJwYXJzZS1uYW1lcyI6ZmFsc2UsInN1ZmZpeCI6IiJ9LHsiZHJvcHBpbmctcGFydGljbGUiOiIiLCJmYW1pbHkiOiJMZW9uZSIsImdpdmVuIjoiR2lhbmx1Y2EiLCJub24tZHJvcHBpbmctcGFydGljbGUiOiIiLCJwYXJzZS1uYW1lcyI6ZmFsc2UsInN1ZmZpeCI6IiJ9LHsiZHJvcHBpbmctcGFydGljbGUiOiIiLCJmYW1pbHkiOiJMeWFwdXN0aW4iLCJnaXZlbiI6IkFsZXhlaSIsIm5vbi1kcm9wcGluZy1wYXJ0aWNsZSI6IiIsInBhcnNlLW5hbWVzIjpmYWxzZSwic3VmZml4IjoiIn0seyJkcm9wcGluZy1wYXJ0aWNsZSI6IiIsImZhbWlseSI6IlNvcmVrLUhhbWVyIiwiZ2l2ZW4iOiJNZXl0YXIiLCJub24tZHJvcHBpbmctcGFydGljbGUiOiIiLCJwYXJzZS1uYW1lcyI6ZmFsc2UsInN1ZmZpeCI6IiJ9LHsiZHJvcHBpbmctcGFydGljbGUiOiIiLCJmYW1pbHkiOiJIb29naCIsImdpdmVuIjoiS2VlcyIsIm5vbi1kcm9wcGluZy1wYXJ0aWNsZSI6ImRlIiwicGFyc2UtbmFtZXMiOmZhbHNlLCJzdWZmaXgiOiIifSx7ImRyb3BwaW5nLXBhcnRpY2xlIjoiIiwiZmFtaWx5IjoiRGkiLCJnaXZlbiI6IlFpYW4iLCJub24tZHJvcHBpbmctcGFydGljbGUiOiIiLCJwYXJzZS1uYW1lcyI6ZmFsc2UsInN1ZmZpeCI6IiJ9LHsiZHJvcHBpbmctcGFydGljbGUiOiIiLCJmYW1pbHkiOiJGb3Jhc3RpZXJlIiwiZ2l2ZW4iOiJGcmFuY2VzY28iLCJub24tZHJvcHBpbmctcGFydGljbGUiOiIiLCJwYXJzZS1uYW1lcyI6ZmFsc2UsInN1ZmZpeCI6IiJ9LHsiZHJvcHBpbmctcGFydGljbGUiOiIiLCJmYW1pbHkiOiJLbG9vZyIsImdpdmVuIjoiSXRhaSIsIm5vbi1kcm9wcGluZy1wYXJ0aWNsZSI6IiIsInBhcnNlLW5hbWVzIjpmYWxzZSwic3VmZml4IjoiIn1dLCJjb250YWluZXItdGl0bGUiOiJFbnZpcm9ubWVudCBJbnRlcm5hdGlvbmFsIiwiaWQiOiJiODFlMTc5Mi05YzM3LTM0ZDUtYTY2Ni01YzUzNTIzMTY1YzkiLCJpc3N1ZWQiOnsiZGF0ZS1wYXJ0cyI6W1siMjAxNyIsIjIiLCIxIl1dfSwicGFnZSI6IjIzNC0yNDQiLCJwdWJsaXNoZXIiOiJQZXJnYW1vbiIsInRpdGxlIjoiRXN0aW1hdGlvbiBvZiBkYWlseSBQTTEwIGNvbmNlbnRyYXRpb25zIGluIEl0YWx5ICgyMDA24oCTMjAxMikgdXNpbmcgZmluZWx5IHJlc29sdmVkIHNhdGVsbGl0ZSBkYXRhLCBsYW5kIHVzZSB2YXJpYWJsZXMgYW5kIG1ldGVvcm9sb2d5IiwidHlwZSI6ImFydGljbGUtam91cm5hbCIsInZvbHVtZSI6Ijk5In0sInVyaXMiOlsiaHR0cDovL3d3dy5tZW5kZWxleS5jb20vZG9jdW1lbnRzLz91dWlkPWI4MWUxNzkyLTljMzctMzRkNS1hNjY2LTVjNTM1MjMxNjVjOSJdLCJpc1RlbXBvcmFyeSI6ZmFsc2UsImxlZ2FjeURlc2t0b3BJZCI6ImI4MWUxNzkyLTljMzctMzRkNS1hNjY2LTVjNTM1MjMxNjVjOSJ9LHsiaWQiOiIyOTc2ZDMxYS00OGZkLTNhYWUtODkwZS02NGNiOTAyNGUwOGEiLCJpdGVtRGF0YSI6eyJET0kiOiIxMC4xMDE2L2ouYXRtb3NlbnYuMjAxOC4wOC4wNDYiLCJJU1NOIjoiMTg3MzI4NDQiLCJhYnN0cmFjdCI6IkJhY2tncm91bmQ6IEFpciBwb2xsdXRpb24gZXBpZGVtaW9sb2dpY2FsIHN0dWRpZXMgaW5jcmVhc2luZ2x5IHJlbHkgb24gaGlnaC1yZXNvbHV0aW9uIGV4cG9zdXJlIHByZWRpY3Rpb24gbW9kZWxzLiBIb3dldmVyLCB0byBkYXRlLCBmZXcgbW9kZWxzIG9mIHRoaXMgdHlwZSBleGlzdCBmb3IgdXNlIGluIENoaW5hLiBPYmplY3RpdmVzOiBXZSBwcm9kdWNlZCBhIG5hdGlvbmFsIGxhbmQtdXNlIHJlZ3Jlc3Npb24gbW9kZWwgKExVUikgdG8gZXN0aW1hdGUgbW9udGhseSBhdmVyYWdlIFBNMi41LCBQTTEwIGFuZCBOTzIgZnJvbSAyMDE0IHRvIDIwMTYgaW4gQ2hpbmEuIE1ldGhvZHM6IFdlIGRldmVsb3BlZCBhIHNwYXRpb3RlbXBvcmFsIHNlbWktcGFyYW1ldHJpYyBtb2RlbCB1c2luZyBnZW5lcmFsaXplZCBhZGRpdGl2ZSBtaXhlZCBtb2RlbHMuIEEgdmFyaWV0eSBvZiBwcmVkaWN0b3IgdmFyaWFibGVzIHdlcmUgaW5jbHVkZWQgaW4gbW9kZWw6IHRpbWUgdmFyeWluZyBtZXRlb3JvbG9naWNhbCBkYXRhLCBoaWdoIHJlc29sdXRpb24gbGFuZCBjb3ZlciBkYXRhIGZyb20gR2xvYmFsYW5kMzAsIHNhdGVsbGl0ZSBtZWFzdXJlcyBvZiBhZXJvc29sIG9wdGljYWwgZGVwdGgsIGFuZCBHZW9ncmFwaGljIEluZm9ybWF0aW9uIFN5c3RlbSAoR0lTKS1kZXJpdmVkIHByZWRpY3RvcnMuIFdlIGFzc2Vzc2VkIG1vZGVsIHBlcmZvcm1hbmNlIHdpdGggdHdvIGNyb3NzLXZhbGlkYXRpb24gKENWKSBhcHByb2FjaGVzLCBpbmNsdWRpbmcgaG9sZC1vdXQgQ1YsIGFuZCAxMC1mb2xkIENWLiBSZXN1bHRzOiBPdmVyIDIyLDAwMCBtb250aGx5IG9ic2VydmF0aW9ucyBhdCAxMzgyIG1vbml0b3JpbmcgbG9jYXRpb25zIHdlcmUgaW5jbHVkZWQgdG8gZXN0aW1hdGUgdGhlIGFpciBwb2xsdXRpb24gZXhwb3N1cmUuIFRoZSB0aW1lLXZhcnlpbmcgc3BhdGlhbCB0ZXJtcyBleHBsYWluZWQgODclLCA3MSUsIGFuZCA2OSUgb2YgdmFyaWFiaWxpdHkgd2l0aCBhIGhvbGQtb3V0IGNyb3NzLXZhbGlkYXRlZCBSMiBvZiAwLjg1LCAwLjYyLCBhbmQgMC42MiBmb3IgUE0yLjUsIFBNMTAgYW5kIE5PMiBtb2RlbHMsIHJlc3BlY3RpdmVseS4gTW9kZWxzIHNob3cgdGhhdCBtZXRlb3JvbG9naWNhbCB2YXJpYWJsZXMsIHBvcHVsYXRpb24gZGVuc2l0eSwgZWxldmF0aW9uLCBkaXN0YW5jZSB0byByb2FkLCBhbmQgbGFuZCBjb3ZlciB0eXBlcyB3ZXJlIGltcG9ydGFudCBwcmVkaWN0b3JzIGZvciBhaXIgcG9sbHV0aW9uIGV4cG9zdXJlLiBDb25jbHVzaW9uczogd2UgaGF2ZSBkZXZlbG9wZWQgYSBuZXcgbmF0aW9ud2lkZSBtb2RlbCB0byBlc3RpbWF0ZSByZXNpZGVuY2UtbGV2ZWwgYWlyIHBvbGx1dGlvbiBleHBvc3VyZXMsIHdoaWNoIGNhbiBiZSB1c2VkIGluIHN0dWRpZXMgb2YgdGhlIGNocm9uaWMgYWR2ZXJzZSBlZmZlY3RzIG9mIGFpciBwb2xsdXRpb24uIiwiYXV0aG9yIjpbeyJkcm9wcGluZy1wYXJ0aWNsZSI6IiIsImZhbWlseSI6IlpoYW5nIiwiZ2l2ZW4iOiJaaGVueXUiLCJub24tZHJvcHBpbmctcGFydGljbGUiOiIiLCJwYXJzZS1uYW1lcyI6ZmFsc2UsInN1ZmZpeCI6IiJ9LHsiZHJvcHBpbmctcGFydGljbGUiOiIiLCJmYW1pbHkiOiJXYW5nIiwiZ2l2ZW4iOiJKaWFuYmluZyIsIm5vbi1kcm9wcGluZy1wYXJ0aWNsZSI6IiIsInBhcnNlLW5hbWVzIjpmYWxzZSwic3VmZml4IjoiIn0seyJkcm9wcGluZy1wYXJ0aWNsZSI6IiIsImZhbWlseSI6IkhhcnQiLCJnaXZlbiI6IkphaW1lIEUuIiwibm9uLWRyb3BwaW5nLXBhcnRpY2xlIjoiIiwicGFyc2UtbmFtZXMiOmZhbHNlLCJzdWZmaXgiOiIifSx7ImRyb3BwaW5nLXBhcnRpY2xlIjoiIiwiZmFtaWx5IjoiTGFkZW4iLCJnaXZlbiI6IkZyYW5jaW5lIiwibm9uLWRyb3BwaW5nLXBhcnRpY2xlIjoiIiwicGFyc2UtbmFtZXMiOmZhbHNlLCJzdWZmaXgiOiIifSx7ImRyb3BwaW5nLXBhcnRpY2xlIjoiIiwiZmFtaWx5IjoiWmhhbyIsImdpdmVuIjoiQ2hlbiIsIm5vbi1kcm9wcGluZy1wYXJ0aWNsZSI6IiIsInBhcnNlLW5hbWVzIjpmYWxzZSwic3VmZml4IjoiIn0seyJkcm9wcGluZy1wYXJ0aWNsZSI6IiIsImZhbWlseSI6IkxpIiwiZ2l2ZW4iOiJUaWFudGlhbiIsIm5vbi1kcm9wcGluZy1wYXJ0aWNsZSI6IiIsInBhcnNlLW5hbWVzIjpmYWxzZSwic3VmZml4IjoiIn0seyJkcm9wcGluZy1wYXJ0aWNsZSI6IiIsImZhbWlseSI6IlpoZW5nIiwiZ2l2ZW4iOiJQZWl3ZW4iLCJub24tZHJvcHBpbmctcGFydGljbGUiOiIiLCJwYXJzZS1uYW1lcyI6ZmFsc2UsInN1ZmZpeCI6IiJ9LHsiZHJvcHBpbmctcGFydGljbGUiOiIiLCJmYW1pbHkiOiJMaSIsImdpdmVuIjoiRGllIiwibm9uLWRyb3BwaW5nLXBhcnRpY2xlIjoiIiwicGFyc2UtbmFtZXMiOmZhbHNlLCJzdWZmaXgiOiIifSx7ImRyb3BwaW5nLXBhcnRpY2xlIjoiIiwiZmFtaWx5IjoiWWUiLCJnaXZlbiI6IlpoZW5odWEiLCJub24tZHJvcHBpbmctcGFydGljbGUiOiIiLCJwYXJzZS1uYW1lcyI6ZmFsc2UsInN1ZmZpeCI6IiJ9LHsiZHJvcHBpbmctcGFydGljbGUiOiIiLCJmYW1pbHkiOiJDaGVuIiwiZ2l2ZW4iOiJLdW4iLCJub24tZHJvcHBpbmctcGFydGljbGUiOiIiLCJwYXJzZS1uYW1lcyI6ZmFsc2UsInN1ZmZpeCI6IiJ9XSwiY29udGFpbmVyLXRpdGxlIjoiQXRtb3NwaGVyaWMgRW52aXJvbm1lbnQiLCJpZCI6IjI5NzZkMzFhLTQ4ZmQtM2FhZS04OTBlLTY0Y2I5MDI0ZTA4YSIsImlzc3VlZCI6eyJkYXRlLXBhcnRzIjpbWyIyMDE4IiwiMTEiLCIxIl1dfSwicGFnZSI6IjQ4LTU0IiwicHVibGlzaGVyIjoiRWxzZXZpZXIgTHRkIiwidGl0bGUiOiJOYXRpb25hbCBzY2FsZSBzcGF0aW90ZW1wb3JhbCBsYW5kLXVzZSByZWdyZXNzaW9uIG1vZGVsIGZvciBQTTIuNSwgUE0xMCBhbmQgTk8yIGNvbmNlbnRyYXRpb24gaW4gQ2hpbmEiLCJ0eXBlIjoiYXJ0aWNsZS1qb3VybmFsIiwidm9sdW1lIjoiMTkyIn0sInVyaXMiOlsiaHR0cDovL3d3dy5tZW5kZWxleS5jb20vZG9jdW1lbnRzLz91dWlkPTI5NzZkMzFhLTQ4ZmQtM2FhZS04OTBlLTY0Y2I5MDI0ZTA4YSJdLCJpc1RlbXBvcmFyeSI6ZmFsc2UsImxlZ2FjeURlc2t0b3BJZCI6IjI5NzZkMzFhLTQ4ZmQtM2FhZS04OTBlLTY0Y2I5MDI0ZTA4YSJ9XSwicHJvcGVydGllcyI6eyJub3RlSW5kZXgiOjB9LCJpc0VkaXRlZCI6ZmFsc2UsIm1hbnVhbE92ZXJyaWRlIjp7ImNpdGVwcm9jVGV4dCI6IihMaW5kc3Ryw7ZtIGV0IGFsLiwgMjAxNDsgU3RhZm9nZ2lhIGV0IGFsLiwgMjAxNzsgWWFub3NreSBldCBhbC4sIDIwMTQ7IFpoYW5nIGV0IGFsLiwgMjAxOCkiLCJpc01hbnVhbGx5T3ZlcnJpZGRlbiI6ZmFsc2UsIm1hbnVhbE92ZXJyaWRlVGV4dCI6IiJ9fQ==&quot;},{&quot;citationID&quot;:&quot;MENDELEY_CITATION_5ec48e6e-b121-40b1-b25f-60d9a94271f5&quot;,&quot;citationItems&quot;:[{&quot;id&quot;:&quot;c47246d9-c100-39eb-b86d-c43115402b6e&quot;,&quot;itemData&quot;:{&quot;DOI&quot;:&quot;10.1021/es405390e&quot;,&quot;ISBN&quot;:&quot;0013-936X\\r1520-5851&quot;,&quot;ISSN&quot;:&quot;ISSN 0013-936X EISSN 1520-5851&quot;,&quot;PMID&quot;:&quot;24621302&quot;,&quot;abstract&quot;:&quot;In recognition that intra-urban exposure gradients may be as large as between-city variations, recent air pollution epidemiologic studies have become increasingly interested in capturing within-city exposure gradients. In addition, because of the rapidly accumulating health data, recent studies also need to handle large study populations distributed over large geographic domains. Even though several modeling approaches have been introduced, a consistent modeling framework capturing within-city exposure variability and applicable to large geographic domains is still missing. To address these needs, we proposed a modeling framework based on the Bayesian Maximum Entropy (BME) method that integrates monitoring data and outputs from existing air quality models based on Land Use Regression (LUR) and Chemical Transport Models (CTM). The framework was applied to estimate the yearly average NO2 concentrations over the region of Catalunya in Spain. By jointly accounting for the global scale variability in the concentration from the output of CTM and the intra-urban scale variability through LUR model output, the proposed framework outperformed more conventional approaches.&quot;,&quot;author&quot;:[{&quot;dropping-particle&quot;:&quot;&quot;,&quot;family&quot;:&quot;Akita&quot;,&quot;given&quot;:&quot;Y&quot;,&quot;non-dropping-particle&quot;:&quot;&quot;,&quot;parse-names&quot;:false,&quot;suffix&quot;:&quot;&quot;},{&quot;dropping-particle&quot;:&quot;&quot;,&quot;family&quot;:&quot;Baldasano&quot;,&quot;given&quot;:&quot;J M&quot;,&quot;non-dropping-particle&quot;:&quot;&quot;,&quot;parse-names&quot;:false,&quot;suffix&quot;:&quot;&quot;},{&quot;dropping-particle&quot;:&quot;&quot;,&quot;family&quot;:&quot;Beelen&quot;,&quot;given&quot;:&quot;Rob&quot;,&quot;non-dropping-particle&quot;:&quot;&quot;,&quot;parse-names&quot;:false,&quot;suffix&quot;:&quot;&quot;},{&quot;dropping-particle&quot;:&quot;&quot;,&quot;family&quot;:&quot;Cirach&quot;,&quot;given&quot;:&quot;M&quot;,&quot;non-dropping-particle&quot;:&quot;&quot;,&quot;parse-names&quot;:false,&quot;suffix&quot;:&quot;&quot;},{&quot;dropping-particle&quot;:&quot;&quot;,&quot;family&quot;:&quot;Hoogh&quot;,&quot;given&quot;:&quot;Kees&quot;,&quot;non-dropping-particle&quot;:&quot;de&quot;,&quot;parse-names&quot;:false,&quot;suffix&quot;:&quot;&quot;},{&quot;dropping-particle&quot;:&quot;&quot;,&quot;family&quot;:&quot;Hoek&quot;,&quot;given&quot;:&quot;Gerard&quot;,&quot;non-dropping-particle&quot;:&quot;&quot;,&quot;parse-names&quot;:false,&quot;suffix&quot;:&quot;&quot;},{&quot;dropping-particle&quot;:&quot;&quot;,&quot;family&quot;:&quot;Nieuwenhuijsen&quot;,&quot;given&quot;:&quot;Mark&quot;,&quot;non-dropping-particle&quot;:&quot;&quot;,&quot;parse-names&quot;:false,&quot;suffix&quot;:&quot;&quot;},{&quot;dropping-particle&quot;:&quot;&quot;,&quot;family&quot;:&quot;Serre&quot;,&quot;given&quot;:&quot;M L&quot;,&quot;non-dropping-particle&quot;:&quot;&quot;,&quot;parse-names&quot;:false,&quot;suffix&quot;:&quot;&quot;},{&quot;dropping-particle&quot;:&quot;&quot;,&quot;family&quot;:&quot;Nazelle&quot;,&quot;given&quot;:&quot;Audrey&quot;,&quot;non-dropping-particle&quot;:&quot;de&quot;,&quot;parse-names&quot;:false,&quot;suffix&quot;:&quot;&quot;}],&quot;container-title&quot;:&quot;Environmental Science and Technology&quot;,&quot;id&quot;:&quot;c47246d9-c100-39eb-b86d-c43115402b6e&quot;,&quot;issued&quot;:{&quot;date-parts&quot;:[[&quot;2014&quot;]]},&quot;page&quot;:&quot;4452-4459&quot;,&quot;title&quot;:&quot;A large scale air pollution estimation method combining Land Use Regression and Chemical Transport Modeling in a geostatistical framework&quot;,&quot;type&quot;:&quot;article-journal&quot;,&quot;volume&quot;:&quot;48&quot;},&quot;uris&quot;:[&quot;http://www.mendeley.com/documents/?uuid=2f6abcf0-5644-4bc7-b983-2e49811aaf6a&quot;],&quot;isTemporary&quot;:false,&quot;legacyDesktopId&quot;:&quot;2f6abcf0-5644-4bc7-b983-2e49811aaf6a&quot;}],&quot;properties&quot;:{&quot;noteIndex&quot;:0},&quot;isEdited&quot;:false,&quot;manualOverride&quot;:{&quot;citeprocText&quot;:&quot;(Akita et al., 2014)&quot;,&quot;isManuallyOverridden&quot;:false,&quot;manualOverrideText&quot;:&quot;&quot;},&quot;citationTag&quot;:&quot;MENDELEY_CITATION_v3_eyJjaXRhdGlvbklEIjoiTUVOREVMRVlfQ0lUQVRJT05fNWVjNDhlNmUtYjEyMS00MGIxLWIyNWYtNjBkOWE5NDI3MWY1IiwiY2l0YXRpb25JdGVtcyI6W3siaWQiOiJjNDcyNDZkOS1jMTAwLTM5ZWItYjg2ZC1jNDMxMTU0MDJiNmUiLCJpdGVtRGF0YSI6eyJET0kiOiIxMC4xMDIxL2VzNDA1MzkwZSIsIklTQk4iOiIwMDEzLTkzNlhcXHIxNTIwLTU4NTEiLCJJU1NOIjoiSVNTTiAwMDEzLTkzNlggRUlTU04gMTUyMC01ODUxIiwiUE1JRCI6IjI0NjIxMzAyIiwiYWJzdHJhY3QiOiJJbiByZWNvZ25pdGlvbiB0aGF0IGludHJhLXVyYmFuIGV4cG9zdXJlIGdyYWRpZW50cyBtYXkgYmUgYXMgbGFyZ2UgYXMgYmV0d2Vlbi1jaXR5IHZhcmlhdGlvbnMsIHJlY2VudCBhaXIgcG9sbHV0aW9uIGVwaWRlbWlvbG9naWMgc3R1ZGllcyBoYXZlIGJlY29tZSBpbmNyZWFzaW5nbHkgaW50ZXJlc3RlZCBpbiBjYXB0dXJpbmcgd2l0aGluLWNpdHkgZXhwb3N1cmUgZ3JhZGllbnRzLiBJbiBhZGRpdGlvbiwgYmVjYXVzZSBvZiB0aGUgcmFwaWRseSBhY2N1bXVsYXRpbmcgaGVhbHRoIGRhdGEsIHJlY2VudCBzdHVkaWVzIGFsc28gbmVlZCB0byBoYW5kbGUgbGFyZ2Ugc3R1ZHkgcG9wdWxhdGlvbnMgZGlzdHJpYnV0ZWQgb3ZlciBsYXJnZSBnZW9ncmFwaGljIGRvbWFpbnMuIEV2ZW4gdGhvdWdoIHNldmVyYWwgbW9kZWxpbmcgYXBwcm9hY2hlcyBoYXZlIGJlZW4gaW50cm9kdWNlZCwgYSBjb25zaXN0ZW50IG1vZGVsaW5nIGZyYW1ld29yayBjYXB0dXJpbmcgd2l0aGluLWNpdHkgZXhwb3N1cmUgdmFyaWFiaWxpdHkgYW5kIGFwcGxpY2FibGUgdG8gbGFyZ2UgZ2VvZ3JhcGhpYyBkb21haW5zIGlzIHN0aWxsIG1pc3NpbmcuIFRvIGFkZHJlc3MgdGhlc2UgbmVlZHMsIHdlIHByb3Bvc2VkIGEgbW9kZWxpbmcgZnJhbWV3b3JrIGJhc2VkIG9uIHRoZSBCYXllc2lhbiBNYXhpbXVtIEVudHJvcHkgKEJNRSkgbWV0aG9kIHRoYXQgaW50ZWdyYXRlcyBtb25pdG9yaW5nIGRhdGEgYW5kIG91dHB1dHMgZnJvbSBleGlzdGluZyBhaXIgcXVhbGl0eSBtb2RlbHMgYmFzZWQgb24gTGFuZCBVc2UgUmVncmVzc2lvbiAoTFVSKSBhbmQgQ2hlbWljYWwgVHJhbnNwb3J0IE1vZGVscyAoQ1RNKS4gVGhlIGZyYW1ld29yayB3YXMgYXBwbGllZCB0byBlc3RpbWF0ZSB0aGUgeWVhcmx5IGF2ZXJhZ2UgTk8yIGNvbmNlbnRyYXRpb25zIG92ZXIgdGhlIHJlZ2lvbiBvZiBDYXRhbHVueWEgaW4gU3BhaW4uIEJ5IGpvaW50bHkgYWNjb3VudGluZyBmb3IgdGhlIGdsb2JhbCBzY2FsZSB2YXJpYWJpbGl0eSBpbiB0aGUgY29uY2VudHJhdGlvbiBmcm9tIHRoZSBvdXRwdXQgb2YgQ1RNIGFuZCB0aGUgaW50cmEtdXJiYW4gc2NhbGUgdmFyaWFiaWxpdHkgdGhyb3VnaCBMVVIgbW9kZWwgb3V0cHV0LCB0aGUgcHJvcG9zZWQgZnJhbWV3b3JrIG91dHBlcmZvcm1lZCBtb3JlIGNvbnZlbnRpb25hbCBhcHByb2FjaGVzLiIsImF1dGhvciI6W3siZHJvcHBpbmctcGFydGljbGUiOiIiLCJmYW1pbHkiOiJBa2l0YSIsImdpdmVuIjoiWSIsIm5vbi1kcm9wcGluZy1wYXJ0aWNsZSI6IiIsInBhcnNlLW5hbWVzIjpmYWxzZSwic3VmZml4IjoiIn0seyJkcm9wcGluZy1wYXJ0aWNsZSI6IiIsImZhbWlseSI6IkJhbGRhc2FubyIsImdpdmVuIjoiSiBNIiwibm9uLWRyb3BwaW5nLXBhcnRpY2xlIjoiIiwicGFyc2UtbmFtZXMiOmZhbHNlLCJzdWZmaXgiOiIifSx7ImRyb3BwaW5nLXBhcnRpY2xlIjoiIiwiZmFtaWx5IjoiQmVlbGVuIiwiZ2l2ZW4iOiJSb2IiLCJub24tZHJvcHBpbmctcGFydGljbGUiOiIiLCJwYXJzZS1uYW1lcyI6ZmFsc2UsInN1ZmZpeCI6IiJ9LHsiZHJvcHBpbmctcGFydGljbGUiOiIiLCJmYW1pbHkiOiJDaXJhY2giLCJnaXZlbiI6Ik0iLCJub24tZHJvcHBpbmctcGFydGljbGUiOiIiLCJwYXJzZS1uYW1lcyI6ZmFsc2UsInN1ZmZpeCI6IiJ9LHsiZHJvcHBpbmctcGFydGljbGUiOiIiLCJmYW1pbHkiOiJIb29naCIsImdpdmVuIjoiS2VlcyIsIm5vbi1kcm9wcGluZy1wYXJ0aWNsZSI6ImRlIiwicGFyc2UtbmFtZXMiOmZhbHNlLCJzdWZmaXgiOiIifSx7ImRyb3BwaW5nLXBhcnRpY2xlIjoiIiwiZmFtaWx5IjoiSG9layIsImdpdmVuIjoiR2VyYXJkIiwibm9uLWRyb3BwaW5nLXBhcnRpY2xlIjoiIiwicGFyc2UtbmFtZXMiOmZhbHNlLCJzdWZmaXgiOiIifSx7ImRyb3BwaW5nLXBhcnRpY2xlIjoiIiwiZmFtaWx5IjoiTmlldXdlbmh1aWpzZW4iLCJnaXZlbiI6Ik1hcmsiLCJub24tZHJvcHBpbmctcGFydGljbGUiOiIiLCJwYXJzZS1uYW1lcyI6ZmFsc2UsInN1ZmZpeCI6IiJ9LHsiZHJvcHBpbmctcGFydGljbGUiOiIiLCJmYW1pbHkiOiJTZXJyZSIsImdpdmVuIjoiTSBMIiwibm9uLWRyb3BwaW5nLXBhcnRpY2xlIjoiIiwicGFyc2UtbmFtZXMiOmZhbHNlLCJzdWZmaXgiOiIifSx7ImRyb3BwaW5nLXBhcnRpY2xlIjoiIiwiZmFtaWx5IjoiTmF6ZWxsZSIsImdpdmVuIjoiQXVkcmV5Iiwibm9uLWRyb3BwaW5nLXBhcnRpY2xlIjoiZGUiLCJwYXJzZS1uYW1lcyI6ZmFsc2UsInN1ZmZpeCI6IiJ9XSwiY29udGFpbmVyLXRpdGxlIjoiRW52aXJvbm1lbnRhbCBTY2llbmNlIGFuZCBUZWNobm9sb2d5IiwiaWQiOiJjNDcyNDZkOS1jMTAwLTM5ZWItYjg2ZC1jNDMxMTU0MDJiNmUiLCJpc3N1ZWQiOnsiZGF0ZS1wYXJ0cyI6W1siMjAxNCJdXX0sInBhZ2UiOiI0NDUyLTQ0NTkiLCJ0aXRsZSI6IkEgbGFyZ2Ugc2NhbGUgYWlyIHBvbGx1dGlvbiBlc3RpbWF0aW9uIG1ldGhvZCBjb21iaW5pbmcgTGFuZCBVc2UgUmVncmVzc2lvbiBhbmQgQ2hlbWljYWwgVHJhbnNwb3J0IE1vZGVsaW5nIGluIGEgZ2Vvc3RhdGlzdGljYWwgZnJhbWV3b3JrIiwidHlwZSI6ImFydGljbGUtam91cm5hbCIsInZvbHVtZSI6IjQ4In0sInVyaXMiOlsiaHR0cDovL3d3dy5tZW5kZWxleS5jb20vZG9jdW1lbnRzLz91dWlkPTJmNmFiY2YwLTU2NDQtNGJjNy1iOTgzLTJlNDk4MTFhYWY2YSJdLCJpc1RlbXBvcmFyeSI6ZmFsc2UsImxlZ2FjeURlc2t0b3BJZCI6IjJmNmFiY2YwLTU2NDQtNGJjNy1iOTgzLTJlNDk4MTFhYWY2YSJ9XSwicHJvcGVydGllcyI6eyJub3RlSW5kZXgiOjB9LCJpc0VkaXRlZCI6ZmFsc2UsIm1hbnVhbE92ZXJyaWRlIjp7ImNpdGVwcm9jVGV4dCI6IihBa2l0YSBldCBhbC4sIDIwMTQpIiwiaXNNYW51YWxseU92ZXJyaWRkZW4iOmZhbHNlLCJtYW51YWxPdmVycmlkZVRleHQiOiIifX0=&quot;},{&quot;citationID&quot;:&quot;MENDELEY_CITATION_1dcb8f63-fec6-40d0-ad7d-641d0a0d2f41&quot;,&quot;citationItems&quot;:[{&quot;id&quot;:&quot;1fc4c35a-bbf5-331d-ab4f-782f50b3610c&quot;,&quot;itemData&quot;:{&quot;DOI&quot;:&quot;10.5194/gmd-8-2777-2015&quot;,&quot;ISSN&quot;:&quot;1991-9603&quot;,&quot;abstract&quot;:&quot;&lt;p&gt;Abstract. This paper describes the pre-operational analysis and forecasting system developed during MACC (Monitoring Atmospheric Composition and Climate) and continued in the MACC-II (Monitoring Atmospheric Composition and Climate: Interim Implementation) European projects to provide air quality services for the European continent. This system is based on seven state-of-the art models developed and run in Europe (CHIMERE, EMEP, EURAD-IM, LOTOS-EUROS, MATCH, MOCAGE and SILAM). These models are used to calculate multi-model ensemble products. The paper gives an overall picture of its status at the end of MACC-II (summer 2014) and analyses the performance of the multi-model ensemble. The MACC-II system provides daily 96 h forecasts with hourly outputs of 10 chemical species/aerosols (O3, NO2, SO2, CO, PM10, PM2.5, NO, NH3, total NMVOCs (non-methane volatile organic compounds) and PAN+PAN precursors) over eight vertical levels from the surface to 5 km height. The hourly analysis at the surface is done a posteriori for the past day using a selection of representative air quality data from European monitoring stations. The performance of the system is assessed daily, weekly and every 3 months (seasonally) through statistical indicators calculated using the available representative air quality data from European monitoring stations. Results for a case study show the ability of the ensemble median to forecast regional ozone pollution events. The seasonal performances of the individual models and of the multi-model ensemble have been monitored since September 2009 for ozone, NO2 and PM10. The statistical indicators for ozone in summer 2014 show that the ensemble median gives on average the best performances compared to the seven models. There is very little degradation of the scores with the forecast day but there is a marked diurnal cycle, similarly to the individual models, that can be related partly to the prescribed diurnal variations of anthropogenic emissions in the models. During summer 2014, the diurnal ozone maximum is underestimated by the ensemble median by about 4 μg m−3 on average. Locally, during the studied ozone episodes, the maxima from the ensemble median are often lower than observations by 30–50 μg m−3. Overall, ozone scores are generally good with average values for the normalised indicators of 0.14 for the modified normalised mean bias and of 0.30 for the fractional gross error. Tests have also shown that the ensemble median is robust to…&quot;,&quot;author&quot;:[{&quot;dropping-particle&quot;:&quot;&quot;,&quot;family&quot;:&quot;Marécal&quot;,&quot;given&quot;:&quot;V.&quot;,&quot;non-dropping-particle&quot;:&quot;&quot;,&quot;parse-names&quot;:false,&quot;suffix&quot;:&quot;&quot;},{&quot;dropping-particle&quot;:&quot;&quot;,&quot;family&quot;:&quot;Peuch&quot;,&quot;given&quot;:&quot;V.-H.&quot;,&quot;non-dropping-particle&quot;:&quot;&quot;,&quot;parse-names&quot;:false,&quot;suffix&quot;:&quot;&quot;},{&quot;dropping-particle&quot;:&quot;&quot;,&quot;family&quot;:&quot;Andersson&quot;,&quot;given&quot;:&quot;C.&quot;,&quot;non-dropping-particle&quot;:&quot;&quot;,&quot;parse-names&quot;:false,&quot;suffix&quot;:&quot;&quot;},{&quot;dropping-particle&quot;:&quot;&quot;,&quot;family&quot;:&quot;Andersson&quot;,&quot;given&quot;:&quot;S.&quot;,&quot;non-dropping-particle&quot;:&quot;&quot;,&quot;parse-names&quot;:false,&quot;suffix&quot;:&quot;&quot;},{&quot;dropping-particle&quot;:&quot;&quot;,&quot;family&quot;:&quot;Arteta&quot;,&quot;given&quot;:&quot;J.&quot;,&quot;non-dropping-particle&quot;:&quot;&quot;,&quot;parse-names&quot;:false,&quot;suffix&quot;:&quot;&quot;},{&quot;dropping-particle&quot;:&quot;&quot;,&quot;family&quot;:&quot;Beekmann&quot;,&quot;given&quot;:&quot;M.&quot;,&quot;non-dropping-particle&quot;:&quot;&quot;,&quot;parse-names&quot;:false,&quot;suffix&quot;:&quot;&quot;},{&quot;dropping-particle&quot;:&quot;&quot;,&quot;family&quot;:&quot;Benedictow&quot;,&quot;given&quot;:&quot;A.&quot;,&quot;non-dropping-particle&quot;:&quot;&quot;,&quot;parse-names&quot;:false,&quot;suffix&quot;:&quot;&quot;},{&quot;dropping-particle&quot;:&quot;&quot;,&quot;family&quot;:&quot;Bergström&quot;,&quot;given&quot;:&quot;R.&quot;,&quot;non-dropping-particle&quot;:&quot;&quot;,&quot;parse-names&quot;:false,&quot;suffix&quot;:&quot;&quot;},{&quot;dropping-particle&quot;:&quot;&quot;,&quot;family&quot;:&quot;Bessagnet&quot;,&quot;given&quot;:&quot;B.&quot;,&quot;non-dropping-particle&quot;:&quot;&quot;,&quot;parse-names&quot;:false,&quot;suffix&quot;:&quot;&quot;},{&quot;dropping-particle&quot;:&quot;&quot;,&quot;family&quot;:&quot;Cansado&quot;,&quot;given&quot;:&quot;A.&quot;,&quot;non-dropping-particle&quot;:&quot;&quot;,&quot;parse-names&quot;:false,&quot;suffix&quot;:&quot;&quot;},{&quot;dropping-particle&quot;:&quot;&quot;,&quot;family&quot;:&quot;Chéroux&quot;,&quot;given&quot;:&quot;F.&quot;,&quot;non-dropping-particle&quot;:&quot;&quot;,&quot;parse-names&quot;:false,&quot;suffix&quot;:&quot;&quot;},{&quot;dropping-particle&quot;:&quot;&quot;,&quot;family&quot;:&quot;Colette&quot;,&quot;given&quot;:&quot;A.&quot;,&quot;non-dropping-particle&quot;:&quot;&quot;,&quot;parse-names&quot;:false,&quot;suffix&quot;:&quot;&quot;},{&quot;dropping-particle&quot;:&quot;&quot;,&quot;family&quot;:&quot;Coman&quot;,&quot;given&quot;:&quot;A.&quot;,&quot;non-dropping-particle&quot;:&quot;&quot;,&quot;parse-names&quot;:false,&quot;suffix&quot;:&quot;&quot;},{&quot;dropping-particle&quot;:&quot;&quot;,&quot;family&quot;:&quot;Curier&quot;,&quot;given&quot;:&quot;R. L.&quot;,&quot;non-dropping-particle&quot;:&quot;&quot;,&quot;parse-names&quot;:false,&quot;suffix&quot;:&quot;&quot;},{&quot;dropping-particle&quot;:&quot;&quot;,&quot;family&quot;:&quot;Denier van der Gon&quot;,&quot;given&quot;:&quot;H. A. C.&quot;,&quot;non-dropping-particle&quot;:&quot;&quot;,&quot;parse-names&quot;:false,&quot;suffix&quot;:&quot;&quot;},{&quot;dropping-particle&quot;:&quot;&quot;,&quot;family&quot;:&quot;Drouin&quot;,&quot;given&quot;:&quot;A.&quot;,&quot;non-dropping-particle&quot;:&quot;&quot;,&quot;parse-names&quot;:false,&quot;suffix&quot;:&quot;&quot;},{&quot;dropping-particle&quot;:&quot;&quot;,&quot;family&quot;:&quot;Elbern&quot;,&quot;given&quot;:&quot;H.&quot;,&quot;non-dropping-particle&quot;:&quot;&quot;,&quot;parse-names&quot;:false,&quot;suffix&quot;:&quot;&quot;},{&quot;dropping-particle&quot;:&quot;&quot;,&quot;family&quot;:&quot;Emili&quot;,&quot;given&quot;:&quot;E.&quot;,&quot;non-dropping-particle&quot;:&quot;&quot;,&quot;parse-names&quot;:false,&quot;suffix&quot;:&quot;&quot;},{&quot;dropping-particle&quot;:&quot;&quot;,&quot;family&quot;:&quot;Engelen&quot;,&quot;given&quot;:&quot;R. J.&quot;,&quot;non-dropping-particle&quot;:&quot;&quot;,&quot;parse-names&quot;:false,&quot;suffix&quot;:&quot;&quot;},{&quot;dropping-particle&quot;:&quot;&quot;,&quot;family&quot;:&quot;Eskes&quot;,&quot;given&quot;:&quot;H. J.&quot;,&quot;non-dropping-particle&quot;:&quot;&quot;,&quot;parse-names&quot;:false,&quot;suffix&quot;:&quot;&quot;},{&quot;dropping-particle&quot;:&quot;&quot;,&quot;family&quot;:&quot;Foret&quot;,&quot;given&quot;:&quot;G.&quot;,&quot;non-dropping-particle&quot;:&quot;&quot;,&quot;parse-names&quot;:false,&quot;suffix&quot;:&quot;&quot;},{&quot;dropping-particle&quot;:&quot;&quot;,&quot;family&quot;:&quot;Friese&quot;,&quot;given&quot;:&quot;E.&quot;,&quot;non-dropping-particle&quot;:&quot;&quot;,&quot;parse-names&quot;:false,&quot;suffix&quot;:&quot;&quot;},{&quot;dropping-particle&quot;:&quot;&quot;,&quot;family&quot;:&quot;Gauss&quot;,&quot;given&quot;:&quot;M.&quot;,&quot;non-dropping-particle&quot;:&quot;&quot;,&quot;parse-names&quot;:false,&quot;suffix&quot;:&quot;&quot;},{&quot;dropping-particle&quot;:&quot;&quot;,&quot;family&quot;:&quot;Giannaros&quot;,&quot;given&quot;:&quot;C.&quot;,&quot;non-dropping-particle&quot;:&quot;&quot;,&quot;parse-names&quot;:false,&quot;suffix&quot;:&quot;&quot;},{&quot;dropping-particle&quot;:&quot;&quot;,&quot;family&quot;:&quot;Guth&quot;,&quot;given&quot;:&quot;J.&quot;,&quot;non-dropping-particle&quot;:&quot;&quot;,&quot;parse-names&quot;:false,&quot;suffix&quot;:&quot;&quot;},{&quot;dropping-particle&quot;:&quot;&quot;,&quot;family&quot;:&quot;Joly&quot;,&quot;given&quot;:&quot;M.&quot;,&quot;non-dropping-particle&quot;:&quot;&quot;,&quot;parse-names&quot;:false,&quot;suffix&quot;:&quot;&quot;},{&quot;dropping-particle&quot;:&quot;&quot;,&quot;family&quot;:&quot;Jaumouillé&quot;,&quot;given&quot;:&quot;E.&quot;,&quot;non-dropping-particle&quot;:&quot;&quot;,&quot;parse-names&quot;:false,&quot;suffix&quot;:&quot;&quot;},{&quot;dropping-particle&quot;:&quot;&quot;,&quot;family&quot;:&quot;Josse&quot;,&quot;given&quot;:&quot;B.&quot;,&quot;non-dropping-particle&quot;:&quot;&quot;,&quot;parse-names&quot;:false,&quot;suffix&quot;:&quot;&quot;},{&quot;dropping-particle&quot;:&quot;&quot;,&quot;family&quot;:&quot;Kadygrov&quot;,&quot;given&quot;:&quot;N.&quot;,&quot;non-dropping-particle&quot;:&quot;&quot;,&quot;parse-names&quot;:false,&quot;suffix&quot;:&quot;&quot;},{&quot;dropping-particle&quot;:&quot;&quot;,&quot;family&quot;:&quot;Kaiser&quot;,&quot;given&quot;:&quot;J. W.&quot;,&quot;non-dropping-particle&quot;:&quot;&quot;,&quot;parse-names&quot;:false,&quot;suffix&quot;:&quot;&quot;},{&quot;dropping-particle&quot;:&quot;&quot;,&quot;family&quot;:&quot;Krajsek&quot;,&quot;given&quot;:&quot;K.&quot;,&quot;non-dropping-particle&quot;:&quot;&quot;,&quot;parse-names&quot;:false,&quot;suffix&quot;:&quot;&quot;},{&quot;dropping-particle&quot;:&quot;&quot;,&quot;family&quot;:&quot;Kuenen&quot;,&quot;given&quot;:&quot;J.&quot;,&quot;non-dropping-particle&quot;:&quot;&quot;,&quot;parse-names&quot;:false,&quot;suffix&quot;:&quot;&quot;},{&quot;dropping-particle&quot;:&quot;&quot;,&quot;family&quot;:&quot;Kumar&quot;,&quot;given&quot;:&quot;U.&quot;,&quot;non-dropping-particle&quot;:&quot;&quot;,&quot;parse-names&quot;:false,&quot;suffix&quot;:&quot;&quot;},{&quot;dropping-particle&quot;:&quot;&quot;,&quot;family&quot;:&quot;Liora&quot;,&quot;given&quot;:&quot;N.&quot;,&quot;non-dropping-particle&quot;:&quot;&quot;,&quot;parse-names&quot;:false,&quot;suffix&quot;:&quot;&quot;},{&quot;dropping-particle&quot;:&quot;&quot;,&quot;family&quot;:&quot;Lopez&quot;,&quot;given&quot;:&quot;E.&quot;,&quot;non-dropping-particle&quot;:&quot;&quot;,&quot;parse-names&quot;:false,&quot;suffix&quot;:&quot;&quot;},{&quot;dropping-particle&quot;:&quot;&quot;,&quot;family&quot;:&quot;Malherbe&quot;,&quot;given&quot;:&quot;L.&quot;,&quot;non-dropping-particle&quot;:&quot;&quot;,&quot;parse-names&quot;:false,&quot;suffix&quot;:&quot;&quot;},{&quot;dropping-particle&quot;:&quot;&quot;,&quot;family&quot;:&quot;Martinez&quot;,&quot;given&quot;:&quot;I.&quot;,&quot;non-dropping-particle&quot;:&quot;&quot;,&quot;parse-names&quot;:false,&quot;suffix&quot;:&quot;&quot;},{&quot;dropping-particle&quot;:&quot;&quot;,&quot;family&quot;:&quot;Melas&quot;,&quot;given&quot;:&quot;D.&quot;,&quot;non-dropping-particle&quot;:&quot;&quot;,&quot;parse-names&quot;:false,&quot;suffix&quot;:&quot;&quot;},{&quot;dropping-particle&quot;:&quot;&quot;,&quot;family&quot;:&quot;Meleux&quot;,&quot;given&quot;:&quot;F.&quot;,&quot;non-dropping-particle&quot;:&quot;&quot;,&quot;parse-names&quot;:false,&quot;suffix&quot;:&quot;&quot;},{&quot;dropping-particle&quot;:&quot;&quot;,&quot;family&quot;:&quot;Menut&quot;,&quot;given&quot;:&quot;L.&quot;,&quot;non-dropping-particle&quot;:&quot;&quot;,&quot;parse-names&quot;:false,&quot;suffix&quot;:&quot;&quot;},{&quot;dropping-particle&quot;:&quot;&quot;,&quot;family&quot;:&quot;Moinat&quot;,&quot;given&quot;:&quot;P.&quot;,&quot;non-dropping-particle&quot;:&quot;&quot;,&quot;parse-names&quot;:false,&quot;suffix&quot;:&quot;&quot;},{&quot;dropping-particle&quot;:&quot;&quot;,&quot;family&quot;:&quot;Morales&quot;,&quot;given&quot;:&quot;T.&quot;,&quot;non-dropping-particle&quot;:&quot;&quot;,&quot;parse-names&quot;:false,&quot;suffix&quot;:&quot;&quot;},{&quot;dropping-particle&quot;:&quot;&quot;,&quot;family&quot;:&quot;Parmentier&quot;,&quot;given&quot;:&quot;J.&quot;,&quot;non-dropping-particle&quot;:&quot;&quot;,&quot;parse-names&quot;:false,&quot;suffix&quot;:&quot;&quot;},{&quot;dropping-particle&quot;:&quot;&quot;,&quot;family&quot;:&quot;Piacentini&quot;,&quot;given&quot;:&quot;A.&quot;,&quot;non-dropping-particle&quot;:&quot;&quot;,&quot;parse-names&quot;:false,&quot;suffix&quot;:&quot;&quot;},{&quot;dropping-particle&quot;:&quot;&quot;,&quot;family&quot;:&quot;Plu&quot;,&quot;given&quot;:&quot;M.&quot;,&quot;non-dropping-particle&quot;:&quot;&quot;,&quot;parse-names&quot;:false,&quot;suffix&quot;:&quot;&quot;},{&quot;dropping-particle&quot;:&quot;&quot;,&quot;family&quot;:&quot;Poupkou&quot;,&quot;given&quot;:&quot;A.&quot;,&quot;non-dropping-particle&quot;:&quot;&quot;,&quot;parse-names&quot;:false,&quot;suffix&quot;:&quot;&quot;},{&quot;dropping-particle&quot;:&quot;&quot;,&quot;family&quot;:&quot;Queguiner&quot;,&quot;given&quot;:&quot;S.&quot;,&quot;non-dropping-particle&quot;:&quot;&quot;,&quot;parse-names&quot;:false,&quot;suffix&quot;:&quot;&quot;},{&quot;dropping-particle&quot;:&quot;&quot;,&quot;family&quot;:&quot;Robertson&quot;,&quot;given&quot;:&quot;L.&quot;,&quot;non-dropping-particle&quot;:&quot;&quot;,&quot;parse-names&quot;:false,&quot;suffix&quot;:&quot;&quot;},{&quot;dropping-particle&quot;:&quot;&quot;,&quot;family&quot;:&quot;Rouïl&quot;,&quot;given&quot;:&quot;L.&quot;,&quot;non-dropping-particle&quot;:&quot;&quot;,&quot;parse-names&quot;:false,&quot;suffix&quot;:&quot;&quot;},{&quot;dropping-particle&quot;:&quot;&quot;,&quot;family&quot;:&quot;Schaap&quot;,&quot;given&quot;:&quot;M.&quot;,&quot;non-dropping-particle&quot;:&quot;&quot;,&quot;parse-names&quot;:false,&quot;suffix&quot;:&quot;&quot;},{&quot;dropping-particle&quot;:&quot;&quot;,&quot;family&quot;:&quot;Segers&quot;,&quot;given&quot;:&quot;A.&quot;,&quot;non-dropping-particle&quot;:&quot;&quot;,&quot;parse-names&quot;:false,&quot;suffix&quot;:&quot;&quot;},{&quot;dropping-particle&quot;:&quot;&quot;,&quot;family&quot;:&quot;Sofiev&quot;,&quot;given&quot;:&quot;M.&quot;,&quot;non-dropping-particle&quot;:&quot;&quot;,&quot;parse-names&quot;:false,&quot;suffix&quot;:&quot;&quot;},{&quot;dropping-particle&quot;:&quot;&quot;,&quot;family&quot;:&quot;Tarasson&quot;,&quot;given&quot;:&quot;L.&quot;,&quot;non-dropping-particle&quot;:&quot;&quot;,&quot;parse-names&quot;:false,&quot;suffix&quot;:&quot;&quot;},{&quot;dropping-particle&quot;:&quot;&quot;,&quot;family&quot;:&quot;Thomas&quot;,&quot;given&quot;:&quot;M.&quot;,&quot;non-dropping-particle&quot;:&quot;&quot;,&quot;parse-names&quot;:false,&quot;suffix&quot;:&quot;&quot;},{&quot;dropping-particle&quot;:&quot;&quot;,&quot;family&quot;:&quot;Timmermans&quot;,&quot;given&quot;:&quot;R.&quot;,&quot;non-dropping-particle&quot;:&quot;&quot;,&quot;parse-names&quot;:false,&quot;suffix&quot;:&quot;&quot;},{&quot;dropping-particle&quot;:&quot;&quot;,&quot;family&quot;:&quot;Valdebenito&quot;,&quot;given&quot;:&quot;Á.&quot;,&quot;non-dropping-particle&quot;:&quot;&quot;,&quot;parse-names&quot;:false,&quot;suffix&quot;:&quot;&quot;},{&quot;dropping-particle&quot;:&quot;&quot;,&quot;family&quot;:&quot;Velthoven&quot;,&quot;given&quot;:&quot;P.&quot;,&quot;non-dropping-particle&quot;:&quot;van&quot;,&quot;parse-names&quot;:false,&quot;suffix&quot;:&quot;&quot;},{&quot;dropping-particle&quot;:&quot;&quot;,&quot;family&quot;:&quot;Versendaal&quot;,&quot;given&quot;:&quot;R.&quot;,&quot;non-dropping-particle&quot;:&quot;van&quot;,&quot;parse-names&quot;:false,&quot;suffix&quot;:&quot;&quot;},{&quot;dropping-particle&quot;:&quot;&quot;,&quot;family&quot;:&quot;Vira&quot;,&quot;given&quot;:&quot;J.&quot;,&quot;non-dropping-particle&quot;:&quot;&quot;,&quot;parse-names&quot;:false,&quot;suffix&quot;:&quot;&quot;},{&quot;dropping-particle&quot;:&quot;&quot;,&quot;family&quot;:&quot;Ung&quot;,&quot;given&quot;:&quot;A.&quot;,&quot;non-dropping-particle&quot;:&quot;&quot;,&quot;parse-names&quot;:false,&quot;suffix&quot;:&quot;&quot;}],&quot;container-title&quot;:&quot;Geoscientific Model Development&quot;,&quot;id&quot;:&quot;1fc4c35a-bbf5-331d-ab4f-782f50b3610c&quot;,&quot;issue&quot;:&quot;9&quot;,&quot;issued&quot;:{&quot;date-parts&quot;:[[&quot;2015&quot;,&quot;9&quot;,&quot;8&quot;]]},&quot;page&quot;:&quot;2777-2813&quot;,&quot;publisher&quot;:&quot;Copernicus GmbH&quot;,&quot;title&quot;:&quot;A regional air quality forecasting system over Europe: the MACC-II daily ensemble production&quot;,&quot;type&quot;:&quot;article-journal&quot;,&quot;volume&quot;:&quot;8&quot;},&quot;uris&quot;:[&quot;http://www.mendeley.com/documents/?uuid=1fc4c35a-bbf5-331d-ab4f-782f50b3610c&quot;],&quot;isTemporary&quot;:false,&quot;legacyDesktopId&quot;:&quot;1fc4c35a-bbf5-331d-ab4f-782f50b3610c&quot;}],&quot;properties&quot;:{&quot;noteIndex&quot;:0},&quot;isEdited&quot;:false,&quot;manualOverride&quot;:{&quot;citeprocText&quot;:&quot;(Marécal et al., 2015)&quot;,&quot;isManuallyOverridden&quot;:false,&quot;manualOverrideText&quot;:&quot;&quot;},&quot;citationTag&quot;:&quot;MENDELEY_CITATION_v3_eyJjaXRhdGlvbklEIjoiTUVOREVMRVlfQ0lUQVRJT05fMWRjYjhmNjMtZmVjNi00MGQwLWFkN2QtNjQxZDBhMGQyZjQxIiwiY2l0YXRpb25JdGVtcyI6W3siaWQiOiIxZmM0YzM1YS1iYmY1LTMzMWQtYWI0Zi03ODJmNTBiMzYxMGMiLCJpdGVtRGF0YSI6eyJET0kiOiIxMC41MTk0L2dtZC04LTI3NzctMjAxNSIsIklTU04iOiIxOTkxLTk2MDMiLCJhYnN0cmFjdCI6IjxwPkFic3RyYWN0LiBUaGlzIHBhcGVyIGRlc2NyaWJlcyB0aGUgcHJlLW9wZXJhdGlvbmFsIGFuYWx5c2lzIGFuZCBmb3JlY2FzdGluZyBzeXN0ZW0gZGV2ZWxvcGVkIGR1cmluZyBNQUNDIChNb25pdG9yaW5nIEF0bW9zcGhlcmljIENvbXBvc2l0aW9uIGFuZCBDbGltYXRlKSBhbmQgY29udGludWVkIGluIHRoZSBNQUNDLUlJIChNb25pdG9yaW5nIEF0bW9zcGhlcmljIENvbXBvc2l0aW9uIGFuZCBDbGltYXRlOiBJbnRlcmltIEltcGxlbWVudGF0aW9uKSBFdXJvcGVhbiBwcm9qZWN0cyB0byBwcm92aWRlIGFpciBxdWFsaXR5IHNlcnZpY2VzIGZvciB0aGUgRXVyb3BlYW4gY29udGluZW50LiBUaGlzIHN5c3RlbSBpcyBiYXNlZCBvbiBzZXZlbiBzdGF0ZS1vZi10aGUgYXJ0IG1vZGVscyBkZXZlbG9wZWQgYW5kIHJ1biBpbiBFdXJvcGUgKENISU1FUkUsIEVNRVAsIEVVUkFELUlNLCBMT1RPUy1FVVJPUywgTUFUQ0gsIE1PQ0FHRSBhbmQgU0lMQU0pLiBUaGVzZSBtb2RlbHMgYXJlIHVzZWQgdG8gY2FsY3VsYXRlIG11bHRpLW1vZGVsIGVuc2VtYmxlIHByb2R1Y3RzLiBUaGUgcGFwZXIgZ2l2ZXMgYW4gb3ZlcmFsbCBwaWN0dXJlIG9mIGl0cyBzdGF0dXMgYXQgdGhlIGVuZCBvZiBNQUNDLUlJIChzdW1tZXIgMjAxNCkgYW5kIGFuYWx5c2VzIHRoZSBwZXJmb3JtYW5jZSBvZiB0aGUgbXVsdGktbW9kZWwgZW5zZW1ibGUuIFRoZSBNQUNDLUlJIHN5c3RlbSBwcm92aWRlcyBkYWlseSA5NiBoIGZvcmVjYXN0cyB3aXRoIGhvdXJseSBvdXRwdXRzIG9mIDEwIGNoZW1pY2FsIHNwZWNpZXMvYWVyb3NvbHMgKE8zLCBOTzIsIFNPMiwgQ08sIFBNMTAsIFBNMi41LCBOTywgTkgzLCB0b3RhbCBOTVZPQ3MgKG5vbi1tZXRoYW5lIHZvbGF0aWxlIG9yZ2FuaWMgY29tcG91bmRzKSBhbmQgUEFOK1BBTiBwcmVjdXJzb3JzKSBvdmVyIGVpZ2h0IHZlcnRpY2FsIGxldmVscyBmcm9tIHRoZSBzdXJmYWNlIHRvIDUga20gaGVpZ2h0LiBUaGUgaG91cmx5IGFuYWx5c2lzIGF0IHRoZSBzdXJmYWNlIGlzIGRvbmUgYSBwb3N0ZXJpb3JpIGZvciB0aGUgcGFzdCBkYXkgdXNpbmcgYSBzZWxlY3Rpb24gb2YgcmVwcmVzZW50YXRpdmUgYWlyIHF1YWxpdHkgZGF0YSBmcm9tIEV1cm9wZWFuIG1vbml0b3Jpbmcgc3RhdGlvbnMuIFRoZSBwZXJmb3JtYW5jZSBvZiB0aGUgc3lzdGVtIGlzIGFzc2Vzc2VkIGRhaWx5LCB3ZWVrbHkgYW5kIGV2ZXJ5IDMgbW9udGhzIChzZWFzb25hbGx5KSB0aHJvdWdoIHN0YXRpc3RpY2FsIGluZGljYXRvcnMgY2FsY3VsYXRlZCB1c2luZyB0aGUgYXZhaWxhYmxlIHJlcHJlc2VudGF0aXZlIGFpciBxdWFsaXR5IGRhdGEgZnJvbSBFdXJvcGVhbiBtb25pdG9yaW5nIHN0YXRpb25zLiBSZXN1bHRzIGZvciBhIGNhc2Ugc3R1ZHkgc2hvdyB0aGUgYWJpbGl0eSBvZiB0aGUgZW5zZW1ibGUgbWVkaWFuIHRvIGZvcmVjYXN0IHJlZ2lvbmFsIG96b25lIHBvbGx1dGlvbiBldmVudHMuIFRoZSBzZWFzb25hbCBwZXJmb3JtYW5jZXMgb2YgdGhlIGluZGl2aWR1YWwgbW9kZWxzIGFuZCBvZiB0aGUgbXVsdGktbW9kZWwgZW5zZW1ibGUgaGF2ZSBiZWVuIG1vbml0b3JlZCBzaW5jZSBTZXB0ZW1iZXIgMjAwOSBmb3Igb3pvbmUsIE5PMiBhbmQgUE0xMC4gVGhlIHN0YXRpc3RpY2FsIGluZGljYXRvcnMgZm9yIG96b25lIGluIHN1bW1lciAyMDE0IHNob3cgdGhhdCB0aGUgZW5zZW1ibGUgbWVkaWFuIGdpdmVzIG9uIGF2ZXJhZ2UgdGhlIGJlc3QgcGVyZm9ybWFuY2VzIGNvbXBhcmVkIHRvIHRoZSBzZXZlbiBtb2RlbHMuIFRoZXJlIGlzIHZlcnkgbGl0dGxlIGRlZ3JhZGF0aW9uIG9mIHRoZSBzY29yZXMgd2l0aCB0aGUgZm9yZWNhc3QgZGF5IGJ1dCB0aGVyZSBpcyBhIG1hcmtlZCBkaXVybmFsIGN5Y2xlLCBzaW1pbGFybHkgdG8gdGhlIGluZGl2aWR1YWwgbW9kZWxzLCB0aGF0IGNhbiBiZSByZWxhdGVkIHBhcnRseSB0byB0aGUgcHJlc2NyaWJlZCBkaXVybmFsIHZhcmlhdGlvbnMgb2YgYW50aHJvcG9nZW5pYyBlbWlzc2lvbnMgaW4gdGhlIG1vZGVscy4gRHVyaW5nIHN1bW1lciAyMDE0LCB0aGUgZGl1cm5hbCBvem9uZSBtYXhpbXVtIGlzIHVuZGVyZXN0aW1hdGVkIGJ5IHRoZSBlbnNlbWJsZSBtZWRpYW4gYnkgYWJvdXQgNCDOvGcgbeKIkjMgb24gYXZlcmFnZS4gTG9jYWxseSwgZHVyaW5nIHRoZSBzdHVkaWVkIG96b25lIGVwaXNvZGVzLCB0aGUgbWF4aW1hIGZyb20gdGhlIGVuc2VtYmxlIG1lZGlhbiBhcmUgb2Z0ZW4gbG93ZXIgdGhhbiBvYnNlcnZhdGlvbnMgYnkgMzDigJM1MCDOvGcgbeKIkjMuIE92ZXJhbGwsIG96b25lIHNjb3JlcyBhcmUgZ2VuZXJhbGx5IGdvb2Qgd2l0aCBhdmVyYWdlIHZhbHVlcyBmb3IgdGhlIG5vcm1hbGlzZWQgaW5kaWNhdG9ycyBvZiAwLjE0IGZvciB0aGUgbW9kaWZpZWQgbm9ybWFsaXNlZCBtZWFuIGJpYXMgYW5kIG9mIDAuMzAgZm9yIHRoZSBmcmFjdGlvbmFsIGdyb3NzIGVycm9yLiBUZXN0cyBoYXZlIGFsc28gc2hvd24gdGhhdCB0aGUgZW5zZW1ibGUgbWVkaWFuIGlzIHJvYnVzdCB0b+KApiIsImF1dGhvciI6W3siZHJvcHBpbmctcGFydGljbGUiOiIiLCJmYW1pbHkiOiJNYXLDqWNhbCIsImdpdmVuIjoiVi4iLCJub24tZHJvcHBpbmctcGFydGljbGUiOiIiLCJwYXJzZS1uYW1lcyI6ZmFsc2UsInN1ZmZpeCI6IiJ9LHsiZHJvcHBpbmctcGFydGljbGUiOiIiLCJmYW1pbHkiOiJQZXVjaCIsImdpdmVuIjoiVi4tSC4iLCJub24tZHJvcHBpbmctcGFydGljbGUiOiIiLCJwYXJzZS1uYW1lcyI6ZmFsc2UsInN1ZmZpeCI6IiJ9LHsiZHJvcHBpbmctcGFydGljbGUiOiIiLCJmYW1pbHkiOiJBbmRlcnNzb24iLCJnaXZlbiI6IkMuIiwibm9uLWRyb3BwaW5nLXBhcnRpY2xlIjoiIiwicGFyc2UtbmFtZXMiOmZhbHNlLCJzdWZmaXgiOiIifSx7ImRyb3BwaW5nLXBhcnRpY2xlIjoiIiwiZmFtaWx5IjoiQW5kZXJzc29uIiwiZ2l2ZW4iOiJTLiIsIm5vbi1kcm9wcGluZy1wYXJ0aWNsZSI6IiIsInBhcnNlLW5hbWVzIjpmYWxzZSwic3VmZml4IjoiIn0seyJkcm9wcGluZy1wYXJ0aWNsZSI6IiIsImZhbWlseSI6IkFydGV0YSIsImdpdmVuIjoiSi4iLCJub24tZHJvcHBpbmctcGFydGljbGUiOiIiLCJwYXJzZS1uYW1lcyI6ZmFsc2UsInN1ZmZpeCI6IiJ9LHsiZHJvcHBpbmctcGFydGljbGUiOiIiLCJmYW1pbHkiOiJCZWVrbWFubiIsImdpdmVuIjoiTS4iLCJub24tZHJvcHBpbmctcGFydGljbGUiOiIiLCJwYXJzZS1uYW1lcyI6ZmFsc2UsInN1ZmZpeCI6IiJ9LHsiZHJvcHBpbmctcGFydGljbGUiOiIiLCJmYW1pbHkiOiJCZW5lZGljdG93IiwiZ2l2ZW4iOiJBLiIsIm5vbi1kcm9wcGluZy1wYXJ0aWNsZSI6IiIsInBhcnNlLW5hbWVzIjpmYWxzZSwic3VmZml4IjoiIn0seyJkcm9wcGluZy1wYXJ0aWNsZSI6IiIsImZhbWlseSI6IkJlcmdzdHLDtm0iLCJnaXZlbiI6IlIuIiwibm9uLWRyb3BwaW5nLXBhcnRpY2xlIjoiIiwicGFyc2UtbmFtZXMiOmZhbHNlLCJzdWZmaXgiOiIifSx7ImRyb3BwaW5nLXBhcnRpY2xlIjoiIiwiZmFtaWx5IjoiQmVzc2FnbmV0IiwiZ2l2ZW4iOiJCLiIsIm5vbi1kcm9wcGluZy1wYXJ0aWNsZSI6IiIsInBhcnNlLW5hbWVzIjpmYWxzZSwic3VmZml4IjoiIn0seyJkcm9wcGluZy1wYXJ0aWNsZSI6IiIsImZhbWlseSI6IkNhbnNhZG8iLCJnaXZlbiI6IkEuIiwibm9uLWRyb3BwaW5nLXBhcnRpY2xlIjoiIiwicGFyc2UtbmFtZXMiOmZhbHNlLCJzdWZmaXgiOiIifSx7ImRyb3BwaW5nLXBhcnRpY2xlIjoiIiwiZmFtaWx5IjoiQ2jDqXJvdXgiLCJnaXZlbiI6IkYuIiwibm9uLWRyb3BwaW5nLXBhcnRpY2xlIjoiIiwicGFyc2UtbmFtZXMiOmZhbHNlLCJzdWZmaXgiOiIifSx7ImRyb3BwaW5nLXBhcnRpY2xlIjoiIiwiZmFtaWx5IjoiQ29sZXR0ZSIsImdpdmVuIjoiQS4iLCJub24tZHJvcHBpbmctcGFydGljbGUiOiIiLCJwYXJzZS1uYW1lcyI6ZmFsc2UsInN1ZmZpeCI6IiJ9LHsiZHJvcHBpbmctcGFydGljbGUiOiIiLCJmYW1pbHkiOiJDb21hbiIsImdpdmVuIjoiQS4iLCJub24tZHJvcHBpbmctcGFydGljbGUiOiIiLCJwYXJzZS1uYW1lcyI6ZmFsc2UsInN1ZmZpeCI6IiJ9LHsiZHJvcHBpbmctcGFydGljbGUiOiIiLCJmYW1pbHkiOiJDdXJpZXIiLCJnaXZlbiI6IlIuIEwuIiwibm9uLWRyb3BwaW5nLXBhcnRpY2xlIjoiIiwicGFyc2UtbmFtZXMiOmZhbHNlLCJzdWZmaXgiOiIifSx7ImRyb3BwaW5nLXBhcnRpY2xlIjoiIiwiZmFtaWx5IjoiRGVuaWVyIHZhbiBkZXIgR29uIiwiZ2l2ZW4iOiJILiBBLiBDLiIsIm5vbi1kcm9wcGluZy1wYXJ0aWNsZSI6IiIsInBhcnNlLW5hbWVzIjpmYWxzZSwic3VmZml4IjoiIn0seyJkcm9wcGluZy1wYXJ0aWNsZSI6IiIsImZhbWlseSI6IkRyb3VpbiIsImdpdmVuIjoiQS4iLCJub24tZHJvcHBpbmctcGFydGljbGUiOiIiLCJwYXJzZS1uYW1lcyI6ZmFsc2UsInN1ZmZpeCI6IiJ9LHsiZHJvcHBpbmctcGFydGljbGUiOiIiLCJmYW1pbHkiOiJFbGJlcm4iLCJnaXZlbiI6IkguIiwibm9uLWRyb3BwaW5nLXBhcnRpY2xlIjoiIiwicGFyc2UtbmFtZXMiOmZhbHNlLCJzdWZmaXgiOiIifSx7ImRyb3BwaW5nLXBhcnRpY2xlIjoiIiwiZmFtaWx5IjoiRW1pbGkiLCJnaXZlbiI6IkUuIiwibm9uLWRyb3BwaW5nLXBhcnRpY2xlIjoiIiwicGFyc2UtbmFtZXMiOmZhbHNlLCJzdWZmaXgiOiIifSx7ImRyb3BwaW5nLXBhcnRpY2xlIjoiIiwiZmFtaWx5IjoiRW5nZWxlbiIsImdpdmVuIjoiUi4gSi4iLCJub24tZHJvcHBpbmctcGFydGljbGUiOiIiLCJwYXJzZS1uYW1lcyI6ZmFsc2UsInN1ZmZpeCI6IiJ9LHsiZHJvcHBpbmctcGFydGljbGUiOiIiLCJmYW1pbHkiOiJFc2tlcyIsImdpdmVuIjoiSC4gSi4iLCJub24tZHJvcHBpbmctcGFydGljbGUiOiIiLCJwYXJzZS1uYW1lcyI6ZmFsc2UsInN1ZmZpeCI6IiJ9LHsiZHJvcHBpbmctcGFydGljbGUiOiIiLCJmYW1pbHkiOiJGb3JldCIsImdpdmVuIjoiRy4iLCJub24tZHJvcHBpbmctcGFydGljbGUiOiIiLCJwYXJzZS1uYW1lcyI6ZmFsc2UsInN1ZmZpeCI6IiJ9LHsiZHJvcHBpbmctcGFydGljbGUiOiIiLCJmYW1pbHkiOiJGcmllc2UiLCJnaXZlbiI6IkUuIiwibm9uLWRyb3BwaW5nLXBhcnRpY2xlIjoiIiwicGFyc2UtbmFtZXMiOmZhbHNlLCJzdWZmaXgiOiIifSx7ImRyb3BwaW5nLXBhcnRpY2xlIjoiIiwiZmFtaWx5IjoiR2F1c3MiLCJnaXZlbiI6Ik0uIiwibm9uLWRyb3BwaW5nLXBhcnRpY2xlIjoiIiwicGFyc2UtbmFtZXMiOmZhbHNlLCJzdWZmaXgiOiIifSx7ImRyb3BwaW5nLXBhcnRpY2xlIjoiIiwiZmFtaWx5IjoiR2lhbm5hcm9zIiwiZ2l2ZW4iOiJDLiIsIm5vbi1kcm9wcGluZy1wYXJ0aWNsZSI6IiIsInBhcnNlLW5hbWVzIjpmYWxzZSwic3VmZml4IjoiIn0seyJkcm9wcGluZy1wYXJ0aWNsZSI6IiIsImZhbWlseSI6Ikd1dGgiLCJnaXZlbiI6IkouIiwibm9uLWRyb3BwaW5nLXBhcnRpY2xlIjoiIiwicGFyc2UtbmFtZXMiOmZhbHNlLCJzdWZmaXgiOiIifSx7ImRyb3BwaW5nLXBhcnRpY2xlIjoiIiwiZmFtaWx5IjoiSm9seSIsImdpdmVuIjoiTS4iLCJub24tZHJvcHBpbmctcGFydGljbGUiOiIiLCJwYXJzZS1uYW1lcyI6ZmFsc2UsInN1ZmZpeCI6IiJ9LHsiZHJvcHBpbmctcGFydGljbGUiOiIiLCJmYW1pbHkiOiJKYXVtb3VpbGzDqSIsImdpdmVuIjoiRS4iLCJub24tZHJvcHBpbmctcGFydGljbGUiOiIiLCJwYXJzZS1uYW1lcyI6ZmFsc2UsInN1ZmZpeCI6IiJ9LHsiZHJvcHBpbmctcGFydGljbGUiOiIiLCJmYW1pbHkiOiJKb3NzZSIsImdpdmVuIjoiQi4iLCJub24tZHJvcHBpbmctcGFydGljbGUiOiIiLCJwYXJzZS1uYW1lcyI6ZmFsc2UsInN1ZmZpeCI6IiJ9LHsiZHJvcHBpbmctcGFydGljbGUiOiIiLCJmYW1pbHkiOiJLYWR5Z3JvdiIsImdpdmVuIjoiTi4iLCJub24tZHJvcHBpbmctcGFydGljbGUiOiIiLCJwYXJzZS1uYW1lcyI6ZmFsc2UsInN1ZmZpeCI6IiJ9LHsiZHJvcHBpbmctcGFydGljbGUiOiIiLCJmYW1pbHkiOiJLYWlzZXIiLCJnaXZlbiI6IkouIFcuIiwibm9uLWRyb3BwaW5nLXBhcnRpY2xlIjoiIiwicGFyc2UtbmFtZXMiOmZhbHNlLCJzdWZmaXgiOiIifSx7ImRyb3BwaW5nLXBhcnRpY2xlIjoiIiwiZmFtaWx5IjoiS3JhanNlayIsImdpdmVuIjoiSy4iLCJub24tZHJvcHBpbmctcGFydGljbGUiOiIiLCJwYXJzZS1uYW1lcyI6ZmFsc2UsInN1ZmZpeCI6IiJ9LHsiZHJvcHBpbmctcGFydGljbGUiOiIiLCJmYW1pbHkiOiJLdWVuZW4iLCJnaXZlbiI6IkouIiwibm9uLWRyb3BwaW5nLXBhcnRpY2xlIjoiIiwicGFyc2UtbmFtZXMiOmZhbHNlLCJzdWZmaXgiOiIifSx7ImRyb3BwaW5nLXBhcnRpY2xlIjoiIiwiZmFtaWx5IjoiS3VtYXIiLCJnaXZlbiI6IlUuIiwibm9uLWRyb3BwaW5nLXBhcnRpY2xlIjoiIiwicGFyc2UtbmFtZXMiOmZhbHNlLCJzdWZmaXgiOiIifSx7ImRyb3BwaW5nLXBhcnRpY2xlIjoiIiwiZmFtaWx5IjoiTGlvcmEiLCJnaXZlbiI6Ik4uIiwibm9uLWRyb3BwaW5nLXBhcnRpY2xlIjoiIiwicGFyc2UtbmFtZXMiOmZhbHNlLCJzdWZmaXgiOiIifSx7ImRyb3BwaW5nLXBhcnRpY2xlIjoiIiwiZmFtaWx5IjoiTG9wZXoiLCJnaXZlbiI6IkUuIiwibm9uLWRyb3BwaW5nLXBhcnRpY2xlIjoiIiwicGFyc2UtbmFtZXMiOmZhbHNlLCJzdWZmaXgiOiIifSx7ImRyb3BwaW5nLXBhcnRpY2xlIjoiIiwiZmFtaWx5IjoiTWFsaGVyYmUiLCJnaXZlbiI6IkwuIiwibm9uLWRyb3BwaW5nLXBhcnRpY2xlIjoiIiwicGFyc2UtbmFtZXMiOmZhbHNlLCJzdWZmaXgiOiIifSx7ImRyb3BwaW5nLXBhcnRpY2xlIjoiIiwiZmFtaWx5IjoiTWFydGluZXoiLCJnaXZlbiI6IkkuIiwibm9uLWRyb3BwaW5nLXBhcnRpY2xlIjoiIiwicGFyc2UtbmFtZXMiOmZhbHNlLCJzdWZmaXgiOiIifSx7ImRyb3BwaW5nLXBhcnRpY2xlIjoiIiwiZmFtaWx5IjoiTWVsYXMiLCJnaXZlbiI6IkQuIiwibm9uLWRyb3BwaW5nLXBhcnRpY2xlIjoiIiwicGFyc2UtbmFtZXMiOmZhbHNlLCJzdWZmaXgiOiIifSx7ImRyb3BwaW5nLXBhcnRpY2xlIjoiIiwiZmFtaWx5IjoiTWVsZXV4IiwiZ2l2ZW4iOiJGLiIsIm5vbi1kcm9wcGluZy1wYXJ0aWNsZSI6IiIsInBhcnNlLW5hbWVzIjpmYWxzZSwic3VmZml4IjoiIn0seyJkcm9wcGluZy1wYXJ0aWNsZSI6IiIsImZhbWlseSI6Ik1lbnV0IiwiZ2l2ZW4iOiJMLiIsIm5vbi1kcm9wcGluZy1wYXJ0aWNsZSI6IiIsInBhcnNlLW5hbWVzIjpmYWxzZSwic3VmZml4IjoiIn0seyJkcm9wcGluZy1wYXJ0aWNsZSI6IiIsImZhbWlseSI6Ik1vaW5hdCIsImdpdmVuIjoiUC4iLCJub24tZHJvcHBpbmctcGFydGljbGUiOiIiLCJwYXJzZS1uYW1lcyI6ZmFsc2UsInN1ZmZpeCI6IiJ9LHsiZHJvcHBpbmctcGFydGljbGUiOiIiLCJmYW1pbHkiOiJNb3JhbGVzIiwiZ2l2ZW4iOiJULiIsIm5vbi1kcm9wcGluZy1wYXJ0aWNsZSI6IiIsInBhcnNlLW5hbWVzIjpmYWxzZSwic3VmZml4IjoiIn0seyJkcm9wcGluZy1wYXJ0aWNsZSI6IiIsImZhbWlseSI6IlBhcm1lbnRpZXIiLCJnaXZlbiI6IkouIiwibm9uLWRyb3BwaW5nLXBhcnRpY2xlIjoiIiwicGFyc2UtbmFtZXMiOmZhbHNlLCJzdWZmaXgiOiIifSx7ImRyb3BwaW5nLXBhcnRpY2xlIjoiIiwiZmFtaWx5IjoiUGlhY2VudGluaSIsImdpdmVuIjoiQS4iLCJub24tZHJvcHBpbmctcGFydGljbGUiOiIiLCJwYXJzZS1uYW1lcyI6ZmFsc2UsInN1ZmZpeCI6IiJ9LHsiZHJvcHBpbmctcGFydGljbGUiOiIiLCJmYW1pbHkiOiJQbHUiLCJnaXZlbiI6Ik0uIiwibm9uLWRyb3BwaW5nLXBhcnRpY2xlIjoiIiwicGFyc2UtbmFtZXMiOmZhbHNlLCJzdWZmaXgiOiIifSx7ImRyb3BwaW5nLXBhcnRpY2xlIjoiIiwiZmFtaWx5IjoiUG91cGtvdSIsImdpdmVuIjoiQS4iLCJub24tZHJvcHBpbmctcGFydGljbGUiOiIiLCJwYXJzZS1uYW1lcyI6ZmFsc2UsInN1ZmZpeCI6IiJ9LHsiZHJvcHBpbmctcGFydGljbGUiOiIiLCJmYW1pbHkiOiJRdWVndWluZXIiLCJnaXZlbiI6IlMuIiwibm9uLWRyb3BwaW5nLXBhcnRpY2xlIjoiIiwicGFyc2UtbmFtZXMiOmZhbHNlLCJzdWZmaXgiOiIifSx7ImRyb3BwaW5nLXBhcnRpY2xlIjoiIiwiZmFtaWx5IjoiUm9iZXJ0c29uIiwiZ2l2ZW4iOiJMLiIsIm5vbi1kcm9wcGluZy1wYXJ0aWNsZSI6IiIsInBhcnNlLW5hbWVzIjpmYWxzZSwic3VmZml4IjoiIn0seyJkcm9wcGluZy1wYXJ0aWNsZSI6IiIsImZhbWlseSI6IlJvdcOvbCIsImdpdmVuIjoiTC4iLCJub24tZHJvcHBpbmctcGFydGljbGUiOiIiLCJwYXJzZS1uYW1lcyI6ZmFsc2UsInN1ZmZpeCI6IiJ9LHsiZHJvcHBpbmctcGFydGljbGUiOiIiLCJmYW1pbHkiOiJTY2hhYXAiLCJnaXZlbiI6Ik0uIiwibm9uLWRyb3BwaW5nLXBhcnRpY2xlIjoiIiwicGFyc2UtbmFtZXMiOmZhbHNlLCJzdWZmaXgiOiIifSx7ImRyb3BwaW5nLXBhcnRpY2xlIjoiIiwiZmFtaWx5IjoiU2VnZXJzIiwiZ2l2ZW4iOiJBLiIsIm5vbi1kcm9wcGluZy1wYXJ0aWNsZSI6IiIsInBhcnNlLW5hbWVzIjpmYWxzZSwic3VmZml4IjoiIn0seyJkcm9wcGluZy1wYXJ0aWNsZSI6IiIsImZhbWlseSI6IlNvZmlldiIsImdpdmVuIjoiTS4iLCJub24tZHJvcHBpbmctcGFydGljbGUiOiIiLCJwYXJzZS1uYW1lcyI6ZmFsc2UsInN1ZmZpeCI6IiJ9LHsiZHJvcHBpbmctcGFydGljbGUiOiIiLCJmYW1pbHkiOiJUYXJhc3NvbiIsImdpdmVuIjoiTC4iLCJub24tZHJvcHBpbmctcGFydGljbGUiOiIiLCJwYXJzZS1uYW1lcyI6ZmFsc2UsInN1ZmZpeCI6IiJ9LHsiZHJvcHBpbmctcGFydGljbGUiOiIiLCJmYW1pbHkiOiJUaG9tYXMiLCJnaXZlbiI6Ik0uIiwibm9uLWRyb3BwaW5nLXBhcnRpY2xlIjoiIiwicGFyc2UtbmFtZXMiOmZhbHNlLCJzdWZmaXgiOiIifSx7ImRyb3BwaW5nLXBhcnRpY2xlIjoiIiwiZmFtaWx5IjoiVGltbWVybWFucyIsImdpdmVuIjoiUi4iLCJub24tZHJvcHBpbmctcGFydGljbGUiOiIiLCJwYXJzZS1uYW1lcyI6ZmFsc2UsInN1ZmZpeCI6IiJ9LHsiZHJvcHBpbmctcGFydGljbGUiOiIiLCJmYW1pbHkiOiJWYWxkZWJlbml0byIsImdpdmVuIjoiw4EuIiwibm9uLWRyb3BwaW5nLXBhcnRpY2xlIjoiIiwicGFyc2UtbmFtZXMiOmZhbHNlLCJzdWZmaXgiOiIifSx7ImRyb3BwaW5nLXBhcnRpY2xlIjoiIiwiZmFtaWx5IjoiVmVsdGhvdmVuIiwiZ2l2ZW4iOiJQLiIsIm5vbi1kcm9wcGluZy1wYXJ0aWNsZSI6InZhbiIsInBhcnNlLW5hbWVzIjpmYWxzZSwic3VmZml4IjoiIn0seyJkcm9wcGluZy1wYXJ0aWNsZSI6IiIsImZhbWlseSI6IlZlcnNlbmRhYWwiLCJnaXZlbiI6IlIuIiwibm9uLWRyb3BwaW5nLXBhcnRpY2xlIjoidmFuIiwicGFyc2UtbmFtZXMiOmZhbHNlLCJzdWZmaXgiOiIifSx7ImRyb3BwaW5nLXBhcnRpY2xlIjoiIiwiZmFtaWx5IjoiVmlyYSIsImdpdmVuIjoiSi4iLCJub24tZHJvcHBpbmctcGFydGljbGUiOiIiLCJwYXJzZS1uYW1lcyI6ZmFsc2UsInN1ZmZpeCI6IiJ9LHsiZHJvcHBpbmctcGFydGljbGUiOiIiLCJmYW1pbHkiOiJVbmciLCJnaXZlbiI6IkEuIiwibm9uLWRyb3BwaW5nLXBhcnRpY2xlIjoiIiwicGFyc2UtbmFtZXMiOmZhbHNlLCJzdWZmaXgiOiIifV0sImNvbnRhaW5lci10aXRsZSI6Ikdlb3NjaWVudGlmaWMgTW9kZWwgRGV2ZWxvcG1lbnQiLCJpZCI6IjFmYzRjMzVhLWJiZjUtMzMxZC1hYjRmLTc4MmY1MGIzNjEwYyIsImlzc3VlIjoiOSIsImlzc3VlZCI6eyJkYXRlLXBhcnRzIjpbWyIyMDE1IiwiOSIsIjgiXV19LCJwYWdlIjoiMjc3Ny0yODEzIiwicHVibGlzaGVyIjoiQ29wZXJuaWN1cyBHbWJIIiwidGl0bGUiOiJBIHJlZ2lvbmFsIGFpciBxdWFsaXR5IGZvcmVjYXN0aW5nIHN5c3RlbSBvdmVyIEV1cm9wZTogdGhlIE1BQ0MtSUkgZGFpbHkgZW5zZW1ibGUgcHJvZHVjdGlvbiIsInR5cGUiOiJhcnRpY2xlLWpvdXJuYWwiLCJ2b2x1bWUiOiI4In0sInVyaXMiOlsiaHR0cDovL3d3dy5tZW5kZWxleS5jb20vZG9jdW1lbnRzLz91dWlkPTFmYzRjMzVhLWJiZjUtMzMxZC1hYjRmLTc4MmY1MGIzNjEwYyJdLCJpc1RlbXBvcmFyeSI6ZmFsc2UsImxlZ2FjeURlc2t0b3BJZCI6IjFmYzRjMzVhLWJiZjUtMzMxZC1hYjRmLTc4MmY1MGIzNjEwYyJ9XSwicHJvcGVydGllcyI6eyJub3RlSW5kZXgiOjB9LCJpc0VkaXRlZCI6ZmFsc2UsIm1hbnVhbE92ZXJyaWRlIjp7ImNpdGVwcm9jVGV4dCI6IihNYXLDqWNhbCBldCBhbC4sIDIwMTUpIiwiaXNNYW51YWxseU92ZXJyaWRkZW4iOmZhbHNlLCJtYW51YWxPdmVycmlkZVRleHQiOiIifX0=&quot;},{&quot;citationID&quot;:&quot;MENDELEY_CITATION_50f5c748-3255-44fd-91f7-e646f2f33527&quot;,&quot;citationItems&quot;:[{&quot;id&quot;:&quot;3f7f9400-ff6a-30d9-80cc-e69d42a5b072&quot;,&quot;itemData&quot;:{&quot;DOI&quot;:&quot;10.1016/j.envsoft.2014.03.013&quot;,&quot;ISBN&quot;:&quot;1364-8152&quot;,&quot;ISSN&quot;:&quot;13648152&quot;,&quot;abstract&quot;:&quot;This paper introduces an urban simulation model for environmental health analysis (SIENA). SIENA is a novel tool to explore urban interactions and processes with regard to exposure assessments. It is based on urban structures and relationships observed in real-world cities making it a realistic representation of a functioning city. The development of SIENA involved identifying and quantifying fundamental processes and similarities in urban areas in Great Britain and using those to guide the building of SIENA within a GIS. An internal validation confirmed SIENA's realism. Its generality, achieved through the pooling of information from different real-world cities, makes it particularly useful for developing and testing spatial epidemiological concepts and models; simulating processes and interactions relating to environmental exposure; and exploring theoretical and methodological problems in the spatial analysis of environmental health. SIENA ultimately provides a much needed tool in the form of a controlled, simplified urban simulation model.&quot;,&quot;author&quot;:[{&quot;dropping-particle&quot;:&quot;&quot;,&quot;family&quot;:&quot;Fecht&quot;,&quot;given&quot;:&quot;Daniela&quot;,&quot;non-dropping-particle&quot;:&quot;&quot;,&quot;parse-names&quot;:false,&quot;suffix&quot;:&quot;&quot;},{&quot;dropping-particle&quot;:&quot;&quot;,&quot;family&quot;:&quot;Beale&quot;,&quot;given&quot;:&quot;Linda&quot;,&quot;non-dropping-particle&quot;:&quot;&quot;,&quot;parse-names&quot;:false,&quot;suffix&quot;:&quot;&quot;},{&quot;dropping-particle&quot;:&quot;&quot;,&quot;family&quot;:&quot;Briggs&quot;,&quot;given&quot;:&quot;David&quot;,&quot;non-dropping-particle&quot;:&quot;&quot;,&quot;parse-names&quot;:false,&quot;suffix&quot;:&quot;&quot;}],&quot;container-title&quot;:&quot;Environmental Modelling &amp; Software&quot;,&quot;id&quot;:&quot;3f7f9400-ff6a-30d9-80cc-e69d42a5b072&quot;,&quot;issued&quot;:{&quot;date-parts&quot;:[[&quot;2014&quot;]]},&quot;page&quot;:&quot;1-11&quot;,&quot;title&quot;:&quot;A GIS-based urban simulation model for environmental health analysis&quot;,&quot;type&quot;:&quot;article-journal&quot;,&quot;volume&quot;:&quot;58&quot;},&quot;uris&quot;:[&quot;http://www.mendeley.com/documents/?uuid=3f7f9400-ff6a-30d9-80cc-e69d42a5b072&quot;],&quot;isTemporary&quot;:false,&quot;legacyDesktopId&quot;:&quot;3f7f9400-ff6a-30d9-80cc-e69d42a5b072&quot;}],&quot;properties&quot;:{&quot;noteIndex&quot;:0},&quot;isEdited&quot;:false,&quot;manualOverride&quot;:{&quot;citeprocText&quot;:&quot;(Fecht et al., 2014)&quot;,&quot;isManuallyOverridden&quot;:false,&quot;manualOverrideText&quot;:&quot;&quot;},&quot;citationTag&quot;:&quot;MENDELEY_CITATION_v3_eyJjaXRhdGlvbklEIjoiTUVOREVMRVlfQ0lUQVRJT05fNTBmNWM3NDgtMzI1NS00NGZkLTkxZjctZTY0NmYyZjMzNTI3IiwiY2l0YXRpb25JdGVtcyI6W3siaWQiOiIzZjdmOTQwMC1mZjZhLTMwZDktODBjYy1lNjlkNDJhNWIwNzIiLCJpdGVtRGF0YSI6eyJET0kiOiIxMC4xMDE2L2ouZW52c29mdC4yMDE0LjAzLjAxMyIsIklTQk4iOiIxMzY0LTgxNTIiLCJJU1NOIjoiMTM2NDgxNTIiLCJhYnN0cmFjdCI6IlRoaXMgcGFwZXIgaW50cm9kdWNlcyBhbiB1cmJhbiBzaW11bGF0aW9uIG1vZGVsIGZvciBlbnZpcm9ubWVudGFsIGhlYWx0aCBhbmFseXNpcyAoU0lFTkEpLiBTSUVOQSBpcyBhIG5vdmVsIHRvb2wgdG8gZXhwbG9yZSB1cmJhbiBpbnRlcmFjdGlvbnMgYW5kIHByb2Nlc3NlcyB3aXRoIHJlZ2FyZCB0byBleHBvc3VyZSBhc3Nlc3NtZW50cy4gSXQgaXMgYmFzZWQgb24gdXJiYW4gc3RydWN0dXJlcyBhbmQgcmVsYXRpb25zaGlwcyBvYnNlcnZlZCBpbiByZWFsLXdvcmxkIGNpdGllcyBtYWtpbmcgaXQgYSByZWFsaXN0aWMgcmVwcmVzZW50YXRpb24gb2YgYSBmdW5jdGlvbmluZyBjaXR5LiBUaGUgZGV2ZWxvcG1lbnQgb2YgU0lFTkEgaW52b2x2ZWQgaWRlbnRpZnlpbmcgYW5kIHF1YW50aWZ5aW5nIGZ1bmRhbWVudGFsIHByb2Nlc3NlcyBhbmQgc2ltaWxhcml0aWVzIGluIHVyYmFuIGFyZWFzIGluIEdyZWF0IEJyaXRhaW4gYW5kIHVzaW5nIHRob3NlIHRvIGd1aWRlIHRoZSBidWlsZGluZyBvZiBTSUVOQSB3aXRoaW4gYSBHSVMuIEFuIGludGVybmFsIHZhbGlkYXRpb24gY29uZmlybWVkIFNJRU5BJ3MgcmVhbGlzbS4gSXRzIGdlbmVyYWxpdHksIGFjaGlldmVkIHRocm91Z2ggdGhlIHBvb2xpbmcgb2YgaW5mb3JtYXRpb24gZnJvbSBkaWZmZXJlbnQgcmVhbC13b3JsZCBjaXRpZXMsIG1ha2VzIGl0IHBhcnRpY3VsYXJseSB1c2VmdWwgZm9yIGRldmVsb3BpbmcgYW5kIHRlc3Rpbmcgc3BhdGlhbCBlcGlkZW1pb2xvZ2ljYWwgY29uY2VwdHMgYW5kIG1vZGVsczsgc2ltdWxhdGluZyBwcm9jZXNzZXMgYW5kIGludGVyYWN0aW9ucyByZWxhdGluZyB0byBlbnZpcm9ubWVudGFsIGV4cG9zdXJlOyBhbmQgZXhwbG9yaW5nIHRoZW9yZXRpY2FsIGFuZCBtZXRob2RvbG9naWNhbCBwcm9ibGVtcyBpbiB0aGUgc3BhdGlhbCBhbmFseXNpcyBvZiBlbnZpcm9ubWVudGFsIGhlYWx0aC4gU0lFTkEgdWx0aW1hdGVseSBwcm92aWRlcyBhIG11Y2ggbmVlZGVkIHRvb2wgaW4gdGhlIGZvcm0gb2YgYSBjb250cm9sbGVkLCBzaW1wbGlmaWVkIHVyYmFuIHNpbXVsYXRpb24gbW9kZWwuIiwiYXV0aG9yIjpbeyJkcm9wcGluZy1wYXJ0aWNsZSI6IiIsImZhbWlseSI6IkZlY2h0IiwiZ2l2ZW4iOiJEYW5pZWxhIiwibm9uLWRyb3BwaW5nLXBhcnRpY2xlIjoiIiwicGFyc2UtbmFtZXMiOmZhbHNlLCJzdWZmaXgiOiIifSx7ImRyb3BwaW5nLXBhcnRpY2xlIjoiIiwiZmFtaWx5IjoiQmVhbGUiLCJnaXZlbiI6IkxpbmRhIiwibm9uLWRyb3BwaW5nLXBhcnRpY2xlIjoiIiwicGFyc2UtbmFtZXMiOmZhbHNlLCJzdWZmaXgiOiIifSx7ImRyb3BwaW5nLXBhcnRpY2xlIjoiIiwiZmFtaWx5IjoiQnJpZ2dzIiwiZ2l2ZW4iOiJEYXZpZCIsIm5vbi1kcm9wcGluZy1wYXJ0aWNsZSI6IiIsInBhcnNlLW5hbWVzIjpmYWxzZSwic3VmZml4IjoiIn1dLCJjb250YWluZXItdGl0bGUiOiJFbnZpcm9ubWVudGFsIE1vZGVsbGluZyAmIFNvZnR3YXJlIiwiaWQiOiIzZjdmOTQwMC1mZjZhLTMwZDktODBjYy1lNjlkNDJhNWIwNzIiLCJpc3N1ZWQiOnsiZGF0ZS1wYXJ0cyI6W1siMjAxNCJdXX0sInBhZ2UiOiIxLTExIiwidGl0bGUiOiJBIEdJUy1iYXNlZCB1cmJhbiBzaW11bGF0aW9uIG1vZGVsIGZvciBlbnZpcm9ubWVudGFsIGhlYWx0aCBhbmFseXNpcyIsInR5cGUiOiJhcnRpY2xlLWpvdXJuYWwiLCJ2b2x1bWUiOiI1OCJ9LCJ1cmlzIjpbImh0dHA6Ly93d3cubWVuZGVsZXkuY29tL2RvY3VtZW50cy8/dXVpZD0zZjdmOTQwMC1mZjZhLTMwZDktODBjYy1lNjlkNDJhNWIwNzIiXSwiaXNUZW1wb3JhcnkiOmZhbHNlLCJsZWdhY3lEZXNrdG9wSWQiOiIzZjdmOTQwMC1mZjZhLTMwZDktODBjYy1lNjlkNDJhNWIwNzIifV0sInByb3BlcnRpZXMiOnsibm90ZUluZGV4IjowfSwiaXNFZGl0ZWQiOmZhbHNlLCJtYW51YWxPdmVycmlkZSI6eyJjaXRlcHJvY1RleHQiOiIoRmVjaHQgZXQgYWwuLCAyMDE0KSIsImlzTWFudWFsbHlPdmVycmlkZGVuIjpmYWxzZSwibWFudWFsT3ZlcnJpZGVUZXh0IjoiIn19&quot;},{&quot;citationID&quot;:&quot;MENDELEY_CITATION_285b7e15-e127-4b79-907d-758692807b30&quot;,&quot;citationItems&quot;:[{&quot;id&quot;:&quot;5d5342fe-a69b-39cf-9915-e12bd1e077c5&quot;,&quot;itemData&quot;:{&quot;author&quot;:[{&quot;dropping-particle&quot;:&quot;&quot;,&quot;family&quot;:&quot;Ordnance Survey&quot;,&quot;given&quot;:&quot;&quot;,&quot;non-dropping-particle&quot;:&quot;&quot;,&quot;parse-names&quot;:false,&quot;suffix&quot;:&quot;&quot;}],&quot;id&quot;:&quot;5d5342fe-a69b-39cf-9915-e12bd1e077c5&quot;,&quot;issued&quot;:{&quot;date-parts&quot;:[[&quot;2013&quot;]]},&quot;title&quot;:&quot;Meridian 2: User Guide and Technical Specification&quot;,&quot;type&quot;:&quot;report&quot;},&quot;uris&quot;:[&quot;http://www.mendeley.com/documents/?uuid=5d5342fe-a69b-39cf-9915-e12bd1e077c5&quot;],&quot;isTemporary&quot;:false,&quot;legacyDesktopId&quot;:&quot;5d5342fe-a69b-39cf-9915-e12bd1e077c5&quot;}],&quot;properties&quot;:{&quot;noteIndex&quot;:0},&quot;isEdited&quot;:false,&quot;manualOverride&quot;:{&quot;citeprocText&quot;:&quot;(Ordnance Survey, 2013)&quot;,&quot;isManuallyOverridden&quot;:false,&quot;manualOverrideText&quot;:&quot;&quot;},&quot;citationTag&quot;:&quot;MENDELEY_CITATION_v3_eyJjaXRhdGlvbklEIjoiTUVOREVMRVlfQ0lUQVRJT05fMjg1YjdlMTUtZTEyNy00Yjc5LTkwN2QtNzU4NjkyODA3YjMwIiwiY2l0YXRpb25JdGVtcyI6W3siaWQiOiI1ZDUzNDJmZS1hNjliLTM5Y2YtOTkxNS1lMTJiZDFlMDc3YzUiLCJpdGVtRGF0YSI6eyJhdXRob3IiOlt7ImRyb3BwaW5nLXBhcnRpY2xlIjoiIiwiZmFtaWx5IjoiT3JkbmFuY2UgU3VydmV5IiwiZ2l2ZW4iOiIiLCJub24tZHJvcHBpbmctcGFydGljbGUiOiIiLCJwYXJzZS1uYW1lcyI6ZmFsc2UsInN1ZmZpeCI6IiJ9XSwiaWQiOiI1ZDUzNDJmZS1hNjliLTM5Y2YtOTkxNS1lMTJiZDFlMDc3YzUiLCJpc3N1ZWQiOnsiZGF0ZS1wYXJ0cyI6W1siMjAxMyJdXX0sInRpdGxlIjoiTWVyaWRpYW4gMjogVXNlciBHdWlkZSBhbmQgVGVjaG5pY2FsIFNwZWNpZmljYXRpb24iLCJ0eXBlIjoicmVwb3J0In0sInVyaXMiOlsiaHR0cDovL3d3dy5tZW5kZWxleS5jb20vZG9jdW1lbnRzLz91dWlkPTVkNTM0MmZlLWE2OWItMzljZi05OTE1LWUxMmJkMWUwNzdjNSJdLCJpc1RlbXBvcmFyeSI6ZmFsc2UsImxlZ2FjeURlc2t0b3BJZCI6IjVkNTM0MmZlLWE2OWItMzljZi05OTE1LWUxMmJkMWUwNzdjNSJ9XSwicHJvcGVydGllcyI6eyJub3RlSW5kZXgiOjB9LCJpc0VkaXRlZCI6ZmFsc2UsIm1hbnVhbE92ZXJyaWRlIjp7ImNpdGVwcm9jVGV4dCI6IihPcmRuYW5jZSBTdXJ2ZXksIDIwMTMpIiwiaXNNYW51YWxseU92ZXJyaWRkZW4iOmZhbHNlLCJtYW51YWxPdmVycmlkZVRleHQiOiIifX0=&quot;},{&quot;citationID&quot;:&quot;MENDELEY_CITATION_e1992df0-dbb2-448c-b22c-14406800af44&quot;,&quot;citationItems&quot;:[{&quot;id&quot;:&quot;4ab9fff2-0c1f-37d8-bcfe-ed09f1a0ad69&quot;,&quot;itemData&quot;:{&quot;DOI&quot;:&quot;10.1016/j.envpol.2016.06.042&quot;,&quot;ISSN&quot;:&quot;02697491&quot;,&quot;abstract&quot;:&quot;Address-level estimates of exposure to road traffic noise for epidemiological studies are dependent on obtaining data on annual average daily traffic (AADT) flows that is both accurate and with good geographical coverage. National agencies often have reliable traffic count data for major roads, but for residential areas served by minor roads, especially at national scale, such information is often not available or incomplete. Here we present a method to predict AADT at the national scale for minor roads, using a routing algorithm within a geographical information system (GIS) to rank roads by importance based on simulated journeys through the road network. From a training set of known minor road AADT, routing importance is used to predict AADT on all UK minor roads in a regression model along with the road class, urban or rural location and AADT on the nearest major road. Validation with both independent traffic counts and noise measurements show that this method gives a considerable improvement in noise prediction capability when compared to models that do not give adequate consideration to minor road variability (Spearman's rho. increases from 0.46 to 0.72). This has significance for epidemiological cohort studies attempting to link noise exposure to adverse health outcomes.&quot;,&quot;author&quot;:[{&quot;dropping-particle&quot;:&quot;&quot;,&quot;family&quot;:&quot;Morley&quot;,&quot;given&quot;:&quot;David W.&quot;,&quot;non-dropping-particle&quot;:&quot;&quot;,&quot;parse-names&quot;:false,&quot;suffix&quot;:&quot;&quot;},{&quot;dropping-particle&quot;:&quot;&quot;,&quot;family&quot;:&quot;Gulliver&quot;,&quot;given&quot;:&quot;John&quot;,&quot;non-dropping-particle&quot;:&quot;&quot;,&quot;parse-names&quot;:false,&quot;suffix&quot;:&quot;&quot;}],&quot;container-title&quot;:&quot;Environmental Pollution&quot;,&quot;id&quot;:&quot;4ab9fff2-0c1f-37d8-bcfe-ed09f1a0ad69&quot;,&quot;issued&quot;:{&quot;date-parts&quot;:[[&quot;2016&quot;]]},&quot;page&quot;:&quot;746-754&quot;,&quot;publisher&quot;:&quot;Elsevier Ltd&quot;,&quot;title&quot;:&quot;Methods to improve traffic flow and noise exposure estimation on minor roads&quot;,&quot;type&quot;:&quot;article-newspaper&quot;,&quot;volume&quot;:&quot;216&quot;},&quot;suppress-author&quot;:1,&quot;uris&quot;:[&quot;http://www.mendeley.com/documents/?uuid=3c41a779-d317-43e9-962b-c98b385fe81b&quot;],&quot;isTemporary&quot;:false,&quot;legacyDesktopId&quot;:&quot;3c41a779-d317-43e9-962b-c98b385fe81b&quot;}],&quot;properties&quot;:{&quot;noteIndex&quot;:0},&quot;isEdited&quot;:true,&quot;manualOverride&quot;:{&quot;citeprocText&quot;:&quot;(2016)&quot;,&quot;isManuallyOverridden&quot;:false,&quot;manualOverrideText&quot;:&quot;&quot;},&quot;citationTag&quot;:&quot;MENDELEY_CITATION_v3_eyJjaXRhdGlvbklEIjoiTUVOREVMRVlfQ0lUQVRJT05fZTE5OTJkZjAtZGJiMi00NDhjLWIyMmMtMTQ0MDY4MDBhZjQ0IiwiY2l0YXRpb25JdGVtcyI6W3siaWQiOiI0YWI5ZmZmMi0wYzFmLTM3ZDgtYmNmZS1lZDA5ZjFhMGFkNjkiLCJpdGVtRGF0YSI6eyJET0kiOiIxMC4xMDE2L2ouZW52cG9sLjIwMTYuMDYuMDQyIiwiSVNTTiI6IjAyNjk3NDkxIiwiYWJzdHJhY3QiOiJBZGRyZXNzLWxldmVsIGVzdGltYXRlcyBvZiBleHBvc3VyZSB0byByb2FkIHRyYWZmaWMgbm9pc2UgZm9yIGVwaWRlbWlvbG9naWNhbCBzdHVkaWVzIGFyZSBkZXBlbmRlbnQgb24gb2J0YWluaW5nIGRhdGEgb24gYW5udWFsIGF2ZXJhZ2UgZGFpbHkgdHJhZmZpYyAoQUFEVCkgZmxvd3MgdGhhdCBpcyBib3RoIGFjY3VyYXRlIGFuZCB3aXRoIGdvb2QgZ2VvZ3JhcGhpY2FsIGNvdmVyYWdlLiBOYXRpb25hbCBhZ2VuY2llcyBvZnRlbiBoYXZlIHJlbGlhYmxlIHRyYWZmaWMgY291bnQgZGF0YSBmb3IgbWFqb3Igcm9hZHMsIGJ1dCBmb3IgcmVzaWRlbnRpYWwgYXJlYXMgc2VydmVkIGJ5IG1pbm9yIHJvYWRzLCBlc3BlY2lhbGx5IGF0IG5hdGlvbmFsIHNjYWxlLCBzdWNoIGluZm9ybWF0aW9uIGlzIG9mdGVuIG5vdCBhdmFpbGFibGUgb3IgaW5jb21wbGV0ZS4gSGVyZSB3ZSBwcmVzZW50IGEgbWV0aG9kIHRvIHByZWRpY3QgQUFEVCBhdCB0aGUgbmF0aW9uYWwgc2NhbGUgZm9yIG1pbm9yIHJvYWRzLCB1c2luZyBhIHJvdXRpbmcgYWxnb3JpdGhtIHdpdGhpbiBhIGdlb2dyYXBoaWNhbCBpbmZvcm1hdGlvbiBzeXN0ZW0gKEdJUykgdG8gcmFuayByb2FkcyBieSBpbXBvcnRhbmNlIGJhc2VkIG9uIHNpbXVsYXRlZCBqb3VybmV5cyB0aHJvdWdoIHRoZSByb2FkIG5ldHdvcmsuIEZyb20gYSB0cmFpbmluZyBzZXQgb2Yga25vd24gbWlub3Igcm9hZCBBQURULCByb3V0aW5nIGltcG9ydGFuY2UgaXMgdXNlZCB0byBwcmVkaWN0IEFBRFQgb24gYWxsIFVLIG1pbm9yIHJvYWRzIGluIGEgcmVncmVzc2lvbiBtb2RlbCBhbG9uZyB3aXRoIHRoZSByb2FkIGNsYXNzLCB1cmJhbiBvciBydXJhbCBsb2NhdGlvbiBhbmQgQUFEVCBvbiB0aGUgbmVhcmVzdCBtYWpvciByb2FkLiBWYWxpZGF0aW9uIHdpdGggYm90aCBpbmRlcGVuZGVudCB0cmFmZmljIGNvdW50cyBhbmQgbm9pc2UgbWVhc3VyZW1lbnRzIHNob3cgdGhhdCB0aGlzIG1ldGhvZCBnaXZlcyBhIGNvbnNpZGVyYWJsZSBpbXByb3ZlbWVudCBpbiBub2lzZSBwcmVkaWN0aW9uIGNhcGFiaWxpdHkgd2hlbiBjb21wYXJlZCB0byBtb2RlbHMgdGhhdCBkbyBub3QgZ2l2ZSBhZGVxdWF0ZSBjb25zaWRlcmF0aW9uIHRvIG1pbm9yIHJvYWQgdmFyaWFiaWxpdHkgKFNwZWFybWFuJ3MgcmhvLiBpbmNyZWFzZXMgZnJvbSAwLjQ2IHRvIDAuNzIpLiBUaGlzIGhhcyBzaWduaWZpY2FuY2UgZm9yIGVwaWRlbWlvbG9naWNhbCBjb2hvcnQgc3R1ZGllcyBhdHRlbXB0aW5nIHRvIGxpbmsgbm9pc2UgZXhwb3N1cmUgdG8gYWR2ZXJzZSBoZWFsdGggb3V0Y29tZXMuIiwiYXV0aG9yIjpbeyJkcm9wcGluZy1wYXJ0aWNsZSI6IiIsImZhbWlseSI6Ik1vcmxleSIsImdpdmVuIjoiRGF2aWQgVy4iLCJub24tZHJvcHBpbmctcGFydGljbGUiOiIiLCJwYXJzZS1uYW1lcyI6ZmFsc2UsInN1ZmZpeCI6IiJ9LHsiZHJvcHBpbmctcGFydGljbGUiOiIiLCJmYW1pbHkiOiJHdWxsaXZlciIsImdpdmVuIjoiSm9obiIsIm5vbi1kcm9wcGluZy1wYXJ0aWNsZSI6IiIsInBhcnNlLW5hbWVzIjpmYWxzZSwic3VmZml4IjoiIn1dLCJjb250YWluZXItdGl0bGUiOiJFbnZpcm9ubWVudGFsIFBvbGx1dGlvbiIsImlkIjoiNGFiOWZmZjItMGMxZi0zN2Q4LWJjZmUtZWQwOWYxYTBhZDY5IiwiaXNzdWVkIjp7ImRhdGUtcGFydHMiOltbIjIwMTYiXV19LCJwYWdlIjoiNzQ2LTc1NCIsInB1Ymxpc2hlciI6IkVsc2V2aWVyIEx0ZCIsInRpdGxlIjoiTWV0aG9kcyB0byBpbXByb3ZlIHRyYWZmaWMgZmxvdyBhbmQgbm9pc2UgZXhwb3N1cmUgZXN0aW1hdGlvbiBvbiBtaW5vciByb2FkcyIsInR5cGUiOiJhcnRpY2xlLW5ld3NwYXBlciIsInZvbHVtZSI6IjIxNiJ9LCJzdXBwcmVzcy1hdXRob3IiOjEsInVyaXMiOlsiaHR0cDovL3d3dy5tZW5kZWxleS5jb20vZG9jdW1lbnRzLz91dWlkPTNjNDFhNzc5LWQzMTctNDNlOS05NjJiLWM5OGIzODVmZTgxYiJdLCJpc1RlbXBvcmFyeSI6ZmFsc2UsImxlZ2FjeURlc2t0b3BJZCI6IjNjNDFhNzc5LWQzMTctNDNlOS05NjJiLWM5OGIzODVmZTgxYiJ9XSwicHJvcGVydGllcyI6eyJub3RlSW5kZXgiOjB9LCJpc0VkaXRlZCI6dHJ1ZSwibWFudWFsT3ZlcnJpZGUiOnsiY2l0ZXByb2NUZXh0IjoiKDIwMTYpIiwiaXNNYW51YWxseU92ZXJyaWRkZW4iOmZhbHNlLCJtYW51YWxPdmVycmlkZVRleHQiOiIifX0=&quot;},{&quot;citationID&quot;:&quot;MENDELEY_CITATION_0fe747f0-32ca-4699-9931-cb6b1fb2ad82&quot;,&quot;citationItems&quot;:[{&quot;id&quot;:&quot;4ab9fff2-0c1f-37d8-bcfe-ed09f1a0ad69&quot;,&quot;itemData&quot;:{&quot;DOI&quot;:&quot;10.1016/j.envpol.2016.06.042&quot;,&quot;ISSN&quot;:&quot;02697491&quot;,&quot;abstract&quot;:&quot;Address-level estimates of exposure to road traffic noise for epidemiological studies are dependent on obtaining data on annual average daily traffic (AADT) flows that is both accurate and with good geographical coverage. National agencies often have reliable traffic count data for major roads, but for residential areas served by minor roads, especially at national scale, such information is often not available or incomplete. Here we present a method to predict AADT at the national scale for minor roads, using a routing algorithm within a geographical information system (GIS) to rank roads by importance based on simulated journeys through the road network. From a training set of known minor road AADT, routing importance is used to predict AADT on all UK minor roads in a regression model along with the road class, urban or rural location and AADT on the nearest major road. Validation with both independent traffic counts and noise measurements show that this method gives a considerable improvement in noise prediction capability when compared to models that do not give adequate consideration to minor road variability (Spearman's rho. increases from 0.46 to 0.72). This has significance for epidemiological cohort studies attempting to link noise exposure to adverse health outcomes.&quot;,&quot;author&quot;:[{&quot;dropping-particle&quot;:&quot;&quot;,&quot;family&quot;:&quot;Morley&quot;,&quot;given&quot;:&quot;David W.&quot;,&quot;non-dropping-particle&quot;:&quot;&quot;,&quot;parse-names&quot;:false,&quot;suffix&quot;:&quot;&quot;},{&quot;dropping-particle&quot;:&quot;&quot;,&quot;family&quot;:&quot;Gulliver&quot;,&quot;given&quot;:&quot;John&quot;,&quot;non-dropping-particle&quot;:&quot;&quot;,&quot;parse-names&quot;:false,&quot;suffix&quot;:&quot;&quot;}],&quot;container-title&quot;:&quot;Environmental Pollution&quot;,&quot;id&quot;:&quot;4ab9fff2-0c1f-37d8-bcfe-ed09f1a0ad69&quot;,&quot;issued&quot;:{&quot;date-parts&quot;:[[&quot;2016&quot;]]},&quot;page&quot;:&quot;746-754&quot;,&quot;publisher&quot;:&quot;Elsevier Ltd&quot;,&quot;title&quot;:&quot;Methods to improve traffic flow and noise exposure estimation on minor roads&quot;,&quot;type&quot;:&quot;article-newspaper&quot;,&quot;volume&quot;:&quot;216&quot;},&quot;uris&quot;:[&quot;http://www.mendeley.com/documents/?uuid=3c41a779-d317-43e9-962b-c98b385fe81b&quot;],&quot;isTemporary&quot;:false,&quot;legacyDesktopId&quot;:&quot;3c41a779-d317-43e9-962b-c98b385fe81b&quot;}],&quot;properties&quot;:{&quot;noteIndex&quot;:0},&quot;isEdited&quot;:false,&quot;manualOverride&quot;:{&quot;citeprocText&quot;:&quot;(Morley &amp;#38; Gulliver, 2016)&quot;,&quot;isManuallyOverridden&quot;:false,&quot;manualOverrideText&quot;:&quot;&quot;},&quot;citationTag&quot;:&quot;MENDELEY_CITATION_v3_eyJjaXRhdGlvbklEIjoiTUVOREVMRVlfQ0lUQVRJT05fMGZlNzQ3ZjAtMzJjYS00Njk5LTk5MzEtY2I2YjFmYjJhZDgyIiwiY2l0YXRpb25JdGVtcyI6W3siaWQiOiI0YWI5ZmZmMi0wYzFmLTM3ZDgtYmNmZS1lZDA5ZjFhMGFkNjkiLCJpdGVtRGF0YSI6eyJET0kiOiIxMC4xMDE2L2ouZW52cG9sLjIwMTYuMDYuMDQyIiwiSVNTTiI6IjAyNjk3NDkxIiwiYWJzdHJhY3QiOiJBZGRyZXNzLWxldmVsIGVzdGltYXRlcyBvZiBleHBvc3VyZSB0byByb2FkIHRyYWZmaWMgbm9pc2UgZm9yIGVwaWRlbWlvbG9naWNhbCBzdHVkaWVzIGFyZSBkZXBlbmRlbnQgb24gb2J0YWluaW5nIGRhdGEgb24gYW5udWFsIGF2ZXJhZ2UgZGFpbHkgdHJhZmZpYyAoQUFEVCkgZmxvd3MgdGhhdCBpcyBib3RoIGFjY3VyYXRlIGFuZCB3aXRoIGdvb2QgZ2VvZ3JhcGhpY2FsIGNvdmVyYWdlLiBOYXRpb25hbCBhZ2VuY2llcyBvZnRlbiBoYXZlIHJlbGlhYmxlIHRyYWZmaWMgY291bnQgZGF0YSBmb3IgbWFqb3Igcm9hZHMsIGJ1dCBmb3IgcmVzaWRlbnRpYWwgYXJlYXMgc2VydmVkIGJ5IG1pbm9yIHJvYWRzLCBlc3BlY2lhbGx5IGF0IG5hdGlvbmFsIHNjYWxlLCBzdWNoIGluZm9ybWF0aW9uIGlzIG9mdGVuIG5vdCBhdmFpbGFibGUgb3IgaW5jb21wbGV0ZS4gSGVyZSB3ZSBwcmVzZW50IGEgbWV0aG9kIHRvIHByZWRpY3QgQUFEVCBhdCB0aGUgbmF0aW9uYWwgc2NhbGUgZm9yIG1pbm9yIHJvYWRzLCB1c2luZyBhIHJvdXRpbmcgYWxnb3JpdGhtIHdpdGhpbiBhIGdlb2dyYXBoaWNhbCBpbmZvcm1hdGlvbiBzeXN0ZW0gKEdJUykgdG8gcmFuayByb2FkcyBieSBpbXBvcnRhbmNlIGJhc2VkIG9uIHNpbXVsYXRlZCBqb3VybmV5cyB0aHJvdWdoIHRoZSByb2FkIG5ldHdvcmsuIEZyb20gYSB0cmFpbmluZyBzZXQgb2Yga25vd24gbWlub3Igcm9hZCBBQURULCByb3V0aW5nIGltcG9ydGFuY2UgaXMgdXNlZCB0byBwcmVkaWN0IEFBRFQgb24gYWxsIFVLIG1pbm9yIHJvYWRzIGluIGEgcmVncmVzc2lvbiBtb2RlbCBhbG9uZyB3aXRoIHRoZSByb2FkIGNsYXNzLCB1cmJhbiBvciBydXJhbCBsb2NhdGlvbiBhbmQgQUFEVCBvbiB0aGUgbmVhcmVzdCBtYWpvciByb2FkLiBWYWxpZGF0aW9uIHdpdGggYm90aCBpbmRlcGVuZGVudCB0cmFmZmljIGNvdW50cyBhbmQgbm9pc2UgbWVhc3VyZW1lbnRzIHNob3cgdGhhdCB0aGlzIG1ldGhvZCBnaXZlcyBhIGNvbnNpZGVyYWJsZSBpbXByb3ZlbWVudCBpbiBub2lzZSBwcmVkaWN0aW9uIGNhcGFiaWxpdHkgd2hlbiBjb21wYXJlZCB0byBtb2RlbHMgdGhhdCBkbyBub3QgZ2l2ZSBhZGVxdWF0ZSBjb25zaWRlcmF0aW9uIHRvIG1pbm9yIHJvYWQgdmFyaWFiaWxpdHkgKFNwZWFybWFuJ3MgcmhvLiBpbmNyZWFzZXMgZnJvbSAwLjQ2IHRvIDAuNzIpLiBUaGlzIGhhcyBzaWduaWZpY2FuY2UgZm9yIGVwaWRlbWlvbG9naWNhbCBjb2hvcnQgc3R1ZGllcyBhdHRlbXB0aW5nIHRvIGxpbmsgbm9pc2UgZXhwb3N1cmUgdG8gYWR2ZXJzZSBoZWFsdGggb3V0Y29tZXMuIiwiYXV0aG9yIjpbeyJkcm9wcGluZy1wYXJ0aWNsZSI6IiIsImZhbWlseSI6Ik1vcmxleSIsImdpdmVuIjoiRGF2aWQgVy4iLCJub24tZHJvcHBpbmctcGFydGljbGUiOiIiLCJwYXJzZS1uYW1lcyI6ZmFsc2UsInN1ZmZpeCI6IiJ9LHsiZHJvcHBpbmctcGFydGljbGUiOiIiLCJmYW1pbHkiOiJHdWxsaXZlciIsImdpdmVuIjoiSm9obiIsIm5vbi1kcm9wcGluZy1wYXJ0aWNsZSI6IiIsInBhcnNlLW5hbWVzIjpmYWxzZSwic3VmZml4IjoiIn1dLCJjb250YWluZXItdGl0bGUiOiJFbnZpcm9ubWVudGFsIFBvbGx1dGlvbiIsImlkIjoiNGFiOWZmZjItMGMxZi0zN2Q4LWJjZmUtZWQwOWYxYTBhZDY5IiwiaXNzdWVkIjp7ImRhdGUtcGFydHMiOltbIjIwMTYiXV19LCJwYWdlIjoiNzQ2LTc1NCIsInB1Ymxpc2hlciI6IkVsc2V2aWVyIEx0ZCIsInRpdGxlIjoiTWV0aG9kcyB0byBpbXByb3ZlIHRyYWZmaWMgZmxvdyBhbmQgbm9pc2UgZXhwb3N1cmUgZXN0aW1hdGlvbiBvbiBtaW5vciByb2FkcyIsInR5cGUiOiJhcnRpY2xlLW5ld3NwYXBlciIsInZvbHVtZSI6IjIxNiJ9LCJ1cmlzIjpbImh0dHA6Ly93d3cubWVuZGVsZXkuY29tL2RvY3VtZW50cy8/dXVpZD0zYzQxYTc3OS1kMzE3LTQzZTktOTYyYi1jOThiMzg1ZmU4MWIiXSwiaXNUZW1wb3JhcnkiOmZhbHNlLCJsZWdhY3lEZXNrdG9wSWQiOiIzYzQxYTc3OS1kMzE3LTQzZTktOTYyYi1jOThiMzg1ZmU4MWIifV0sInByb3BlcnRpZXMiOnsibm90ZUluZGV4IjowfSwiaXNFZGl0ZWQiOmZhbHNlLCJtYW51YWxPdmVycmlkZSI6eyJjaXRlcHJvY1RleHQiOiIoTW9ybGV5ICYjMzg7IEd1bGxpdmVyLCAyMDE2KSIsImlzTWFudWFsbHlPdmVycmlkZGVuIjpmYWxzZSwibWFudWFsT3ZlcnJpZGVUZXh0IjoiIn19&quot;},{&quot;citationID&quot;:&quot;MENDELEY_CITATION_8ec0940e-08d6-4865-9407-c7b9908e1899&quot;,&quot;citationItems&quot;:[{&quot;id&quot;:&quot;f8265eb2-086a-3d5f-a058-3ffde6927b60&quot;,&quot;itemData&quot;:{&quot;DOI&quot;:&quot;10.1021/es402156g&quot;,&quot;ISSN&quot;:&quot;0013936X&quot;,&quot;PMID&quot;:&quot;24001269&quot;,&quot;abstract&quot;:&quot;Land use regression (LUR) models have been widely used to provide long-term air pollution exposure assessment in epidemiological studies. However, models have rarely offered variables that account for the dispersion environment close to the source (e.g., street canyons, position and dimensions of buildings, road width). This study used newly available data on building heights and geometry to enhance the representation of land use and the dispersion field in LUR. Models were developed for PM10, NOX, and NO2 for 2008-2011 for London, U.K. A separate set of models using \&quot; traditional\&quot; land use and traffic indicators (e.g., distance from road, area of housing within circular buffers) were also developed and their performance was compared with \&quot;enhanced\&quot; models. Models were evaluated using leave-one-out (n - 1) (LOOCV) and grouped (n - 25%) cross-validation (GCV). LOOCV R2 values were 0.71, 0.50, 0.66 and 0.73, 0.79, 0.78 for traditional and enhanced PM10, NOX, and NO2 models, respectively. GCV R2 values were 0.71, 0.53, 0.64 and 0.68, 0.77, 0.77 for traditional and enhanced PM10, NOX, and NO2 models, respectively. Data on building volume within the area common to a 20 m road buffer within a 25 m circular buffer substantially improved the performance (R2 &gt; 13%) of NOX and NO 2 LUR models. © 2013 American Chemical Society.&quot;,&quot;author&quot;:[{&quot;dropping-particle&quot;:&quot;&quot;,&quot;family&quot;:&quot;Tang&quot;,&quot;given&quot;:&quot;Robert&quot;,&quot;non-dropping-particle&quot;:&quot;&quot;,&quot;parse-names&quot;:false,&quot;suffix&quot;:&quot;&quot;},{&quot;dropping-particle&quot;:&quot;&quot;,&quot;family&quot;:&quot;Blangiardo&quot;,&quot;given&quot;:&quot;Marta&quot;,&quot;non-dropping-particle&quot;:&quot;&quot;,&quot;parse-names&quot;:false,&quot;suffix&quot;:&quot;&quot;},{&quot;dropping-particle&quot;:&quot;&quot;,&quot;family&quot;:&quot;Gulliver&quot;,&quot;given&quot;:&quot;John&quot;,&quot;non-dropping-particle&quot;:&quot;&quot;,&quot;parse-names&quot;:false,&quot;suffix&quot;:&quot;&quot;}],&quot;container-title&quot;:&quot;Environmental Science and Technology&quot;,&quot;id&quot;:&quot;f8265eb2-086a-3d5f-a058-3ffde6927b60&quot;,&quot;issue&quot;:&quot;20&quot;,&quot;issued&quot;:{&quot;date-parts&quot;:[[&quot;2013&quot;]]},&quot;page&quot;:&quot;11643-11650&quot;,&quot;title&quot;:&quot;Using building heights and street configuration to enhance intraurban PM10, NOX, and NO2 land use regression models&quot;,&quot;type&quot;:&quot;article-journal&quot;,&quot;volume&quot;:&quot;47&quot;},&quot;uris&quot;:[&quot;http://www.mendeley.com/documents/?uuid=f8265eb2-086a-3d5f-a058-3ffde6927b60&quot;],&quot;isTemporary&quot;:false,&quot;legacyDesktopId&quot;:&quot;f8265eb2-086a-3d5f-a058-3ffde6927b60&quot;},{&quot;id&quot;:&quot;acd25cd0-0e60-31cb-8f2a-111e3cdef487&quot;,&quot;itemData&quot;:{&quot;DOI&quot;:&quot;10.1186/s12940-016-0137-9&quot;,&quot;abstract&quot;:&quot;Background: Land Use Regression (LUR) is a popular method to explain and\npredict spatial contrasts in air pollution concentrations, but LUR\nmodels for ultrafine particles, such as particle number concentration\n(PNC) are especially scarce. Moreover, no models have been previously\npresented for the lung deposited surface area (LDSA) of ultrafine\nparticles. The additional value of ultrafine particle metrics has not\nbeen well investigated due to lack of exposure measurements and models.\nMethods: Air pollution measurements were performed in 2011 and 2012 in\nthe eight areas of the Swiss SAPALDIA study at up to 40 sites per area\nfor NO2 and at 20 sites in four areas for markers of particulate air\npollution. We developed multi-area LUR models for biannual average\nconcentrations of PM2.5, PM2.5 absorbance, PM10, PMcoarse, PNC and LDSA,\nas well as alpine, non-alpine and study area specific models for NO2,\nusing predictor variables which were available at a national level.\nModels were validated using leave-one-out cross-validation, as well as\nindependent external validation with routine monitoring data.\nResults: Model explained variance (R-2) was moderate for the various PM\nmass fractions PM2.5 (0.57), PM10 (0.63) and PMcoarse (0.45), and was\nhigh for PM2.5 absorbance (0.81), PNC (0.87) and LDSA (0.91). Study-area\nspecific LUR models for NO2 (R-2 range 0.52-0.89) outperformed\ncombined-area alpine (R-2 = 0.53) and non-alpine (R-2 = 0.65) models in\nterms of both cross-validation and independent external validation, and\nwere better able to account for between-area variability. Predictor\nvariables related to traffic and national dispersion model estimates\nwere important predictors.\nConclusions: LUR models for all pollutants captured spatial variability\nof long-term average concentrations, performed adequately in validation,\nand could be successfully applied to the SAPALDIA cohort. Dispersion\nmodel predictions or area indicators served well to capture the between\narea variance. For NO2, applying study-area specific models was\npreferable over applying combined-area alpine/non-alpine models.\nCorrelations between pollutants were higher in the model predictions\nthan in the measurements, so it will remain challenging to disentangle\ntheir health effects.&quot;,&quot;author&quot;:[{&quot;dropping-particle&quot;:&quot;&quot;,&quot;family&quot;:&quot;Eeftens&quot;,&quot;given&quot;:&quot;Marloes&quot;,&quot;non-dropping-particle&quot;:&quot;&quot;,&quot;parse-names&quot;:false,&quot;suffix&quot;:&quot;&quot;},{&quot;dropping-particle&quot;:&quot;&quot;,&quot;family&quot;:&quot;Meier&quot;,&quot;given&quot;:&quot;Reto&quot;,&quot;non-dropping-particle&quot;:&quot;&quot;,&quot;parse-names&quot;:false,&quot;suffix&quot;:&quot;&quot;},{&quot;dropping-particle&quot;:&quot;&quot;,&quot;family&quot;:&quot;Schindler&quot;,&quot;given&quot;:&quot;Christian&quot;,&quot;non-dropping-particle&quot;:&quot;&quot;,&quot;parse-names&quot;:false,&quot;suffix&quot;:&quot;&quot;},{&quot;dropping-particle&quot;:&quot;&quot;,&quot;family&quot;:&quot;Aguilera&quot;,&quot;given&quot;:&quot;Inmaculada&quot;,&quot;non-dropping-particle&quot;:&quot;&quot;,&quot;parse-names&quot;:false,&quot;suffix&quot;:&quot;&quot;},{&quot;dropping-particle&quot;:&quot;&quot;,&quot;family&quot;:&quot;Phuleria&quot;,&quot;given&quot;:&quot;Harish&quot;,&quot;non-dropping-particle&quot;:&quot;&quot;,&quot;parse-names&quot;:false,&quot;suffix&quot;:&quot;&quot;},{&quot;dropping-particle&quot;:&quot;&quot;,&quot;family&quot;:&quot;Ineichen&quot;,&quot;given&quot;:&quot;Alex&quot;,&quot;non-dropping-particle&quot;:&quot;&quot;,&quot;parse-names&quot;:false,&quot;suffix&quot;:&quot;&quot;},{&quot;dropping-particle&quot;:&quot;&quot;,&quot;family&quot;:&quot;Davey&quot;,&quot;given&quot;:&quot;Mark&quot;,&quot;non-dropping-particle&quot;:&quot;&quot;,&quot;parse-names&quot;:false,&quot;suffix&quot;:&quot;&quot;},{&quot;dropping-particle&quot;:&quot;&quot;,&quot;family&quot;:&quot;Ducret-Stich&quot;,&quot;given&quot;:&quot;Regina&quot;,&quot;non-dropping-particle&quot;:&quot;&quot;,&quot;parse-names&quot;:false,&quot;suffix&quot;:&quot;&quot;},{&quot;dropping-particle&quot;:&quot;&quot;,&quot;family&quot;:&quot;Keidel&quot;,&quot;given&quot;:&quot;Dirk&quot;,&quot;non-dropping-particle&quot;:&quot;&quot;,&quot;parse-names&quot;:false,&quot;suffix&quot;:&quot;&quot;},{&quot;dropping-particle&quot;:&quot;&quot;,&quot;family&quot;:&quot;Probst-Hensch&quot;,&quot;given&quot;:&quot;Nicole&quot;,&quot;non-dropping-particle&quot;:&quot;&quot;,&quot;parse-names&quot;:false,&quot;suffix&quot;:&quot;&quot;},{&quot;dropping-particle&quot;:&quot;&quot;,&quot;family&quot;:&quot;Kunzli&quot;,&quot;given&quot;:&quot;Nino&quot;,&quot;non-dropping-particle&quot;:&quot;&quot;,&quot;parse-names&quot;:false,&quot;suffix&quot;:&quot;&quot;},{&quot;dropping-particle&quot;:&quot;&quot;,&quot;family&quot;:&quot;Tsai&quot;,&quot;given&quot;:&quot;Ming-Yi&quot;,&quot;non-dropping-particle&quot;:&quot;&quot;,&quot;parse-names&quot;:false,&quot;suffix&quot;:&quot;&quot;}],&quot;container-title&quot;:&quot;ENVIRONMENTAL HEALTH&quot;,&quot;id&quot;:&quot;acd25cd0-0e60-31cb-8f2a-111e3cdef487&quot;,&quot;issued&quot;:{&quot;date-parts&quot;:[[&quot;2016&quot;,&quot;4&quot;]]},&quot;language&quot;:&quot;English&quot;,&quot;publisher&quot;:&quot;BMC&quot;,&quot;publisher-place&quot;:&quot;CAMPUS, 4 CRINAN ST, LONDON N1 9XW, ENGLAND&quot;,&quot;title&quot;:&quot;Development of land use regression models for nitrogen dioxide,\nultrafine particles, lung deposited surface area, and four other markers\nof particulate matter pollution in the Swiss SAPALDIA regions&quot;,&quot;type&quot;:&quot;article-journal&quot;,&quot;volume&quot;:&quot;15&quot;},&quot;uris&quot;:[&quot;http://www.mendeley.com/documents/?uuid=acd25cd0-0e60-31cb-8f2a-111e3cdef487&quot;],&quot;isTemporary&quot;:false,&quot;legacyDesktopId&quot;:&quot;acd25cd0-0e60-31cb-8f2a-111e3cdef487&quot;}],&quot;properties&quot;:{&quot;noteIndex&quot;:0},&quot;isEdited&quot;:false,&quot;manualOverride&quot;:{&quot;citeprocText&quot;:&quot;(Eeftens et al., 2016; Tang et al., 2013)&quot;,&quot;isManuallyOverridden&quot;:false,&quot;manualOverrideText&quot;:&quot;&quot;},&quot;citationTag&quot;:&quot;MENDELEY_CITATION_v3_eyJjaXRhdGlvbklEIjoiTUVOREVMRVlfQ0lUQVRJT05fOGVjMDk0MGUtMDhkNi00ODY1LTk0MDctYzdiOTkwOGUxODk5IiwiY2l0YXRpb25JdGVtcyI6W3siaWQiOiJmODI2NWViMi0wODZhLTNkNWYtYTA1OC0zZmZkZTY5MjdiNjAiLCJpdGVtRGF0YSI6eyJET0kiOiIxMC4xMDIxL2VzNDAyMTU2ZyIsIklTU04iOiIwMDEzOTM2WCIsIlBNSUQiOiIyNDAwMTI2OSIsImFic3RyYWN0IjoiTGFuZCB1c2UgcmVncmVzc2lvbiAoTFVSKSBtb2RlbHMgaGF2ZSBiZWVuIHdpZGVseSB1c2VkIHRvIHByb3ZpZGUgbG9uZy10ZXJtIGFpciBwb2xsdXRpb24gZXhwb3N1cmUgYXNzZXNzbWVudCBpbiBlcGlkZW1pb2xvZ2ljYWwgc3R1ZGllcy4gSG93ZXZlciwgbW9kZWxzIGhhdmUgcmFyZWx5IG9mZmVyZWQgdmFyaWFibGVzIHRoYXQgYWNjb3VudCBmb3IgdGhlIGRpc3BlcnNpb24gZW52aXJvbm1lbnQgY2xvc2UgdG8gdGhlIHNvdXJjZSAoZS5nLiwgc3RyZWV0IGNhbnlvbnMsIHBvc2l0aW9uIGFuZCBkaW1lbnNpb25zIG9mIGJ1aWxkaW5ncywgcm9hZCB3aWR0aCkuIFRoaXMgc3R1ZHkgdXNlZCBuZXdseSBhdmFpbGFibGUgZGF0YSBvbiBidWlsZGluZyBoZWlnaHRzIGFuZCBnZW9tZXRyeSB0byBlbmhhbmNlIHRoZSByZXByZXNlbnRhdGlvbiBvZiBsYW5kIHVzZSBhbmQgdGhlIGRpc3BlcnNpb24gZmllbGQgaW4gTFVSLiBNb2RlbHMgd2VyZSBkZXZlbG9wZWQgZm9yIFBNMTAsIE5PWCwgYW5kIE5PMiBmb3IgMjAwOC0yMDExIGZvciBMb25kb24sIFUuSy4gQSBzZXBhcmF0ZSBzZXQgb2YgbW9kZWxzIHVzaW5nIFwiIHRyYWRpdGlvbmFsXCIgbGFuZCB1c2UgYW5kIHRyYWZmaWMgaW5kaWNhdG9ycyAoZS5nLiwgZGlzdGFuY2UgZnJvbSByb2FkLCBhcmVhIG9mIGhvdXNpbmcgd2l0aGluIGNpcmN1bGFyIGJ1ZmZlcnMpIHdlcmUgYWxzbyBkZXZlbG9wZWQgYW5kIHRoZWlyIHBlcmZvcm1hbmNlIHdhcyBjb21wYXJlZCB3aXRoIFwiZW5oYW5jZWRcIiBtb2RlbHMuIE1vZGVscyB3ZXJlIGV2YWx1YXRlZCB1c2luZyBsZWF2ZS1vbmUtb3V0IChuIC0gMSkgKExPT0NWKSBhbmQgZ3JvdXBlZCAobiAtIDI1JSkgY3Jvc3MtdmFsaWRhdGlvbiAoR0NWKS4gTE9PQ1YgUjIgdmFsdWVzIHdlcmUgMC43MSwgMC41MCwgMC42NiBhbmQgMC43MywgMC43OSwgMC43OCBmb3IgdHJhZGl0aW9uYWwgYW5kIGVuaGFuY2VkIFBNMTAsIE5PWCwgYW5kIE5PMiBtb2RlbHMsIHJlc3BlY3RpdmVseS4gR0NWIFIyIHZhbHVlcyB3ZXJlIDAuNzEsIDAuNTMsIDAuNjQgYW5kIDAuNjgsIDAuNzcsIDAuNzcgZm9yIHRyYWRpdGlvbmFsIGFuZCBlbmhhbmNlZCBQTTEwLCBOT1gsIGFuZCBOTzIgbW9kZWxzLCByZXNwZWN0aXZlbHkuIERhdGEgb24gYnVpbGRpbmcgdm9sdW1lIHdpdGhpbiB0aGUgYXJlYSBjb21tb24gdG8gYSAyMCBtIHJvYWQgYnVmZmVyIHdpdGhpbiBhIDI1IG0gY2lyY3VsYXIgYnVmZmVyIHN1YnN0YW50aWFsbHkgaW1wcm92ZWQgdGhlIHBlcmZvcm1hbmNlIChSMiA+IDEzJSkgb2YgTk9YIGFuZCBOTyAyIExVUiBtb2RlbHMuIMKpIDIwMTMgQW1lcmljYW4gQ2hlbWljYWwgU29jaWV0eS4iLCJhdXRob3IiOlt7ImRyb3BwaW5nLXBhcnRpY2xlIjoiIiwiZmFtaWx5IjoiVGFuZyIsImdpdmVuIjoiUm9iZXJ0Iiwibm9uLWRyb3BwaW5nLXBhcnRpY2xlIjoiIiwicGFyc2UtbmFtZXMiOmZhbHNlLCJzdWZmaXgiOiIifSx7ImRyb3BwaW5nLXBhcnRpY2xlIjoiIiwiZmFtaWx5IjoiQmxhbmdpYXJkbyIsImdpdmVuIjoiTWFydGEiLCJub24tZHJvcHBpbmctcGFydGljbGUiOiIiLCJwYXJzZS1uYW1lcyI6ZmFsc2UsInN1ZmZpeCI6IiJ9LHsiZHJvcHBpbmctcGFydGljbGUiOiIiLCJmYW1pbHkiOiJHdWxsaXZlciIsImdpdmVuIjoiSm9obiIsIm5vbi1kcm9wcGluZy1wYXJ0aWNsZSI6IiIsInBhcnNlLW5hbWVzIjpmYWxzZSwic3VmZml4IjoiIn1dLCJjb250YWluZXItdGl0bGUiOiJFbnZpcm9ubWVudGFsIFNjaWVuY2UgYW5kIFRlY2hub2xvZ3kiLCJpZCI6ImY4MjY1ZWIyLTA4NmEtM2Q1Zi1hMDU4LTNmZmRlNjkyN2I2MCIsImlzc3VlIjoiMjAiLCJpc3N1ZWQiOnsiZGF0ZS1wYXJ0cyI6W1siMjAxMyJdXX0sInBhZ2UiOiIxMTY0My0xMTY1MCIsInRpdGxlIjoiVXNpbmcgYnVpbGRpbmcgaGVpZ2h0cyBhbmQgc3RyZWV0IGNvbmZpZ3VyYXRpb24gdG8gZW5oYW5jZSBpbnRyYXVyYmFuIFBNMTAsIE5PWCwgYW5kIE5PMiBsYW5kIHVzZSByZWdyZXNzaW9uIG1vZGVscyIsInR5cGUiOiJhcnRpY2xlLWpvdXJuYWwiLCJ2b2x1bWUiOiI0NyJ9LCJ1cmlzIjpbImh0dHA6Ly93d3cubWVuZGVsZXkuY29tL2RvY3VtZW50cy8/dXVpZD1mODI2NWViMi0wODZhLTNkNWYtYTA1OC0zZmZkZTY5MjdiNjAiXSwiaXNUZW1wb3JhcnkiOmZhbHNlLCJsZWdhY3lEZXNrdG9wSWQiOiJmODI2NWViMi0wODZhLTNkNWYtYTA1OC0zZmZkZTY5MjdiNjAifSx7ImlkIjoiYWNkMjVjZDAtMGU2MC0zMWNiLThmMmEtMTExZTNjZGVmNDg3IiwiaXRlbURhdGEiOnsiRE9JIjoiMTAuMTE4Ni9zMTI5NDAtMDE2LTAxMzctOSIsImFic3RyYWN0IjoiQmFja2dyb3VuZDogTGFuZCBVc2UgUmVncmVzc2lvbiAoTFVSKSBpcyBhIHBvcHVsYXIgbWV0aG9kIHRvIGV4cGxhaW4gYW5kXG5wcmVkaWN0IHNwYXRpYWwgY29udHJhc3RzIGluIGFpciBwb2xsdXRpb24gY29uY2VudHJhdGlvbnMsIGJ1dCBMVVJcbm1vZGVscyBmb3IgdWx0cmFmaW5lIHBhcnRpY2xlcywgc3VjaCBhcyBwYXJ0aWNsZSBudW1iZXIgY29uY2VudHJhdGlvblxuKFBOQykgYXJlIGVzcGVjaWFsbHkgc2NhcmNlLiBNb3Jlb3Zlciwgbm8gbW9kZWxzIGhhdmUgYmVlbiBwcmV2aW91c2x5XG5wcmVzZW50ZWQgZm9yIHRoZSBsdW5nIGRlcG9zaXRlZCBzdXJmYWNlIGFyZWEgKExEU0EpIG9mIHVsdHJhZmluZVxucGFydGljbGVzLiBUaGUgYWRkaXRpb25hbCB2YWx1ZSBvZiB1bHRyYWZpbmUgcGFydGljbGUgbWV0cmljcyBoYXMgbm90XG5iZWVuIHdlbGwgaW52ZXN0aWdhdGVkIGR1ZSB0byBsYWNrIG9mIGV4cG9zdXJlIG1lYXN1cmVtZW50cyBhbmQgbW9kZWxzLlxuTWV0aG9kczogQWlyIHBvbGx1dGlvbiBtZWFzdXJlbWVudHMgd2VyZSBwZXJmb3JtZWQgaW4gMjAxMSBhbmQgMjAxMiBpblxudGhlIGVpZ2h0IGFyZWFzIG9mIHRoZSBTd2lzcyBTQVBBTERJQSBzdHVkeSBhdCB1cCB0byA0MCBzaXRlcyBwZXIgYXJlYVxuZm9yIE5PMiBhbmQgYXQgMjAgc2l0ZXMgaW4gZm91ciBhcmVhcyBmb3IgbWFya2VycyBvZiBwYXJ0aWN1bGF0ZSBhaXJcbnBvbGx1dGlvbi4gV2UgZGV2ZWxvcGVkIG11bHRpLWFyZWEgTFVSIG1vZGVscyBmb3IgYmlhbm51YWwgYXZlcmFnZVxuY29uY2VudHJhdGlvbnMgb2YgUE0yLjUsIFBNMi41IGFic29yYmFuY2UsIFBNMTAsIFBNY29hcnNlLCBQTkMgYW5kIExEU0EsXG5hcyB3ZWxsIGFzIGFscGluZSwgbm9uLWFscGluZSBhbmQgc3R1ZHkgYXJlYSBzcGVjaWZpYyBtb2RlbHMgZm9yIE5PMixcbnVzaW5nIHByZWRpY3RvciB2YXJpYWJsZXMgd2hpY2ggd2VyZSBhdmFpbGFibGUgYXQgYSBuYXRpb25hbCBsZXZlbC5cbk1vZGVscyB3ZXJlIHZhbGlkYXRlZCB1c2luZyBsZWF2ZS1vbmUtb3V0IGNyb3NzLXZhbGlkYXRpb24sIGFzIHdlbGwgYXNcbmluZGVwZW5kZW50IGV4dGVybmFsIHZhbGlkYXRpb24gd2l0aCByb3V0aW5lIG1vbml0b3JpbmcgZGF0YS5cblJlc3VsdHM6IE1vZGVsIGV4cGxhaW5lZCB2YXJpYW5jZSAoUi0yKSB3YXMgbW9kZXJhdGUgZm9yIHRoZSB2YXJpb3VzIFBNXG5tYXNzIGZyYWN0aW9ucyBQTTIuNSAoMC41NyksIFBNMTAgKDAuNjMpIGFuZCBQTWNvYXJzZSAoMC40NSksIGFuZCB3YXNcbmhpZ2ggZm9yIFBNMi41IGFic29yYmFuY2UgKDAuODEpLCBQTkMgKDAuODcpIGFuZCBMRFNBICgwLjkxKS4gU3R1ZHktYXJlYVxuc3BlY2lmaWMgTFVSIG1vZGVscyBmb3IgTk8yIChSLTIgcmFuZ2UgMC41Mi0wLjg5KSBvdXRwZXJmb3JtZWRcbmNvbWJpbmVkLWFyZWEgYWxwaW5lIChSLTIgPSAwLjUzKSBhbmQgbm9uLWFscGluZSAoUi0yID0gMC42NSkgbW9kZWxzIGluXG50ZXJtcyBvZiBib3RoIGNyb3NzLXZhbGlkYXRpb24gYW5kIGluZGVwZW5kZW50IGV4dGVybmFsIHZhbGlkYXRpb24sIGFuZFxud2VyZSBiZXR0ZXIgYWJsZSB0byBhY2NvdW50IGZvciBiZXR3ZWVuLWFyZWEgdmFyaWFiaWxpdHkuIFByZWRpY3RvclxudmFyaWFibGVzIHJlbGF0ZWQgdG8gdHJhZmZpYyBhbmQgbmF0aW9uYWwgZGlzcGVyc2lvbiBtb2RlbCBlc3RpbWF0ZXNcbndlcmUgaW1wb3J0YW50IHByZWRpY3RvcnMuXG5Db25jbHVzaW9uczogTFVSIG1vZGVscyBmb3IgYWxsIHBvbGx1dGFudHMgY2FwdHVyZWQgc3BhdGlhbCB2YXJpYWJpbGl0eVxub2YgbG9uZy10ZXJtIGF2ZXJhZ2UgY29uY2VudHJhdGlvbnMsIHBlcmZvcm1lZCBhZGVxdWF0ZWx5IGluIHZhbGlkYXRpb24sXG5hbmQgY291bGQgYmUgc3VjY2Vzc2Z1bGx5IGFwcGxpZWQgdG8gdGhlIFNBUEFMRElBIGNvaG9ydC4gRGlzcGVyc2lvblxubW9kZWwgcHJlZGljdGlvbnMgb3IgYXJlYSBpbmRpY2F0b3JzIHNlcnZlZCB3ZWxsIHRvIGNhcHR1cmUgdGhlIGJldHdlZW5cbmFyZWEgdmFyaWFuY2UuIEZvciBOTzIsIGFwcGx5aW5nIHN0dWR5LWFyZWEgc3BlY2lmaWMgbW9kZWxzIHdhc1xucHJlZmVyYWJsZSBvdmVyIGFwcGx5aW5nIGNvbWJpbmVkLWFyZWEgYWxwaW5lL25vbi1hbHBpbmUgbW9kZWxzLlxuQ29ycmVsYXRpb25zIGJldHdlZW4gcG9sbHV0YW50cyB3ZXJlIGhpZ2hlciBpbiB0aGUgbW9kZWwgcHJlZGljdGlvbnNcbnRoYW4gaW4gdGhlIG1lYXN1cmVtZW50cywgc28gaXQgd2lsbCByZW1haW4gY2hhbGxlbmdpbmcgdG8gZGlzZW50YW5nbGVcbnRoZWlyIGhlYWx0aCBlZmZlY3RzLiIsImF1dGhvciI6W3siZHJvcHBpbmctcGFydGljbGUiOiIiLCJmYW1pbHkiOiJFZWZ0ZW5zIiwiZ2l2ZW4iOiJNYXJsb2VzIiwibm9uLWRyb3BwaW5nLXBhcnRpY2xlIjoiIiwicGFyc2UtbmFtZXMiOmZhbHNlLCJzdWZmaXgiOiIifSx7ImRyb3BwaW5nLXBhcnRpY2xlIjoiIiwiZmFtaWx5IjoiTWVpZXIiLCJnaXZlbiI6IlJldG8iLCJub24tZHJvcHBpbmctcGFydGljbGUiOiIiLCJwYXJzZS1uYW1lcyI6ZmFsc2UsInN1ZmZpeCI6IiJ9LHsiZHJvcHBpbmctcGFydGljbGUiOiIiLCJmYW1pbHkiOiJTY2hpbmRsZXIiLCJnaXZlbiI6IkNocmlzdGlhbiIsIm5vbi1kcm9wcGluZy1wYXJ0aWNsZSI6IiIsInBhcnNlLW5hbWVzIjpmYWxzZSwic3VmZml4IjoiIn0seyJkcm9wcGluZy1wYXJ0aWNsZSI6IiIsImZhbWlseSI6IkFndWlsZXJhIiwiZ2l2ZW4iOiJJbm1hY3VsYWRhIiwibm9uLWRyb3BwaW5nLXBhcnRpY2xlIjoiIiwicGFyc2UtbmFtZXMiOmZhbHNlLCJzdWZmaXgiOiIifSx7ImRyb3BwaW5nLXBhcnRpY2xlIjoiIiwiZmFtaWx5IjoiUGh1bGVyaWEiLCJnaXZlbiI6IkhhcmlzaCIsIm5vbi1kcm9wcGluZy1wYXJ0aWNsZSI6IiIsInBhcnNlLW5hbWVzIjpmYWxzZSwic3VmZml4IjoiIn0seyJkcm9wcGluZy1wYXJ0aWNsZSI6IiIsImZhbWlseSI6IkluZWljaGVuIiwiZ2l2ZW4iOiJBbGV4Iiwibm9uLWRyb3BwaW5nLXBhcnRpY2xlIjoiIiwicGFyc2UtbmFtZXMiOmZhbHNlLCJzdWZmaXgiOiIifSx7ImRyb3BwaW5nLXBhcnRpY2xlIjoiIiwiZmFtaWx5IjoiRGF2ZXkiLCJnaXZlbiI6Ik1hcmsiLCJub24tZHJvcHBpbmctcGFydGljbGUiOiIiLCJwYXJzZS1uYW1lcyI6ZmFsc2UsInN1ZmZpeCI6IiJ9LHsiZHJvcHBpbmctcGFydGljbGUiOiIiLCJmYW1pbHkiOiJEdWNyZXQtU3RpY2giLCJnaXZlbiI6IlJlZ2luYSIsIm5vbi1kcm9wcGluZy1wYXJ0aWNsZSI6IiIsInBhcnNlLW5hbWVzIjpmYWxzZSwic3VmZml4IjoiIn0seyJkcm9wcGluZy1wYXJ0aWNsZSI6IiIsImZhbWlseSI6IktlaWRlbCIsImdpdmVuIjoiRGlyayIsIm5vbi1kcm9wcGluZy1wYXJ0aWNsZSI6IiIsInBhcnNlLW5hbWVzIjpmYWxzZSwic3VmZml4IjoiIn0seyJkcm9wcGluZy1wYXJ0aWNsZSI6IiIsImZhbWlseSI6IlByb2JzdC1IZW5zY2giLCJnaXZlbiI6Ik5pY29sZSIsIm5vbi1kcm9wcGluZy1wYXJ0aWNsZSI6IiIsInBhcnNlLW5hbWVzIjpmYWxzZSwic3VmZml4IjoiIn0seyJkcm9wcGluZy1wYXJ0aWNsZSI6IiIsImZhbWlseSI6Ikt1bnpsaSIsImdpdmVuIjoiTmlubyIsIm5vbi1kcm9wcGluZy1wYXJ0aWNsZSI6IiIsInBhcnNlLW5hbWVzIjpmYWxzZSwic3VmZml4IjoiIn0seyJkcm9wcGluZy1wYXJ0aWNsZSI6IiIsImZhbWlseSI6IlRzYWkiLCJnaXZlbiI6Ik1pbmctWWkiLCJub24tZHJvcHBpbmctcGFydGljbGUiOiIiLCJwYXJzZS1uYW1lcyI6ZmFsc2UsInN1ZmZpeCI6IiJ9XSwiY29udGFpbmVyLXRpdGxlIjoiRU5WSVJPTk1FTlRBTCBIRUFMVEgiLCJpZCI6ImFjZDI1Y2QwLTBlNjAtMzFjYi04ZjJhLTExMWUzY2RlZjQ4NyIsImlzc3VlZCI6eyJkYXRlLXBhcnRzIjpbWyIyMDE2IiwiNCJdXX0sImxhbmd1YWdlIjoiRW5nbGlzaCIsInB1Ymxpc2hlciI6IkJNQyIsInB1Ymxpc2hlci1wbGFjZSI6IkNBTVBVUywgNCBDUklOQU4gU1QsIExPTkRPTiBOMSA5WFcsIEVOR0xBTkQiLCJ0aXRsZSI6IkRldmVsb3BtZW50IG9mIGxhbmQgdXNlIHJlZ3Jlc3Npb24gbW9kZWxzIGZvciBuaXRyb2dlbiBkaW94aWRlLFxudWx0cmFmaW5lIHBhcnRpY2xlcywgbHVuZyBkZXBvc2l0ZWQgc3VyZmFjZSBhcmVhLCBhbmQgZm91ciBvdGhlciBtYXJrZXJzXG5vZiBwYXJ0aWN1bGF0ZSBtYXR0ZXIgcG9sbHV0aW9uIGluIHRoZSBTd2lzcyBTQVBBTERJQSByZWdpb25zIiwidHlwZSI6ImFydGljbGUtam91cm5hbCIsInZvbHVtZSI6IjE1In0sInVyaXMiOlsiaHR0cDovL3d3dy5tZW5kZWxleS5jb20vZG9jdW1lbnRzLz91dWlkPWFjZDI1Y2QwLTBlNjAtMzFjYi04ZjJhLTExMWUzY2RlZjQ4NyJdLCJpc1RlbXBvcmFyeSI6ZmFsc2UsImxlZ2FjeURlc2t0b3BJZCI6ImFjZDI1Y2QwLTBlNjAtMzFjYi04ZjJhLTExMWUzY2RlZjQ4NyJ9XSwicHJvcGVydGllcyI6eyJub3RlSW5kZXgiOjB9LCJpc0VkaXRlZCI6ZmFsc2UsIm1hbnVhbE92ZXJyaWRlIjp7ImNpdGVwcm9jVGV4dCI6IihFZWZ0ZW5zIGV0IGFsLiwgMjAxNjsgVGFuZyBldCBhbC4sIDIwMTMpIiwiaXNNYW51YWxseU92ZXJyaWRkZW4iOmZhbHNlLCJtYW51YWxPdmVycmlkZVRleHQiOiIifX0=&quot;},{&quot;citationID&quot;:&quot;MENDELEY_CITATION_29506fab-6f74-4f6e-9efe-79f1ac5f8414&quot;,&quot;citationItems&quot;:[{&quot;id&quot;:&quot;3eab9f09-c642-3ac2-a1f9-68ec4bfa3873&quot;,&quot;itemData&quot;:{&quot;DOI&quot;:&quot;10.1021/es301948k&quot;,&quot;ISBN&quot;:&quot;9780080966342&quot;,&quot;ISSN&quot;:&quot;0013936X&quot;,&quot;PMID&quot;:&quot;22963366&quot;,&quot;abstract&quot;:&quot;Land Use Regression (LUR) models have been used increasingly for modeling small-scale spatial variation in air pollution concentrations and estimating individual exposure for participants of cohort studies. Within the ESCAPE project, concentrations of PM2.5, PM2.5 absorbance, PM10, and PMcoarse were measured in 20 European study areas at 20 sites per area. GIS-derived predictor variables (e.g., traffic intensity, population, and land-use) were evaluated to model spatial variation of annual average concentrations for each study area. The median model explained variance (R2) was 71% for PM2.5 (range across study areas 35-94%). Model R2 was higher for PM2.5 absorbance (median 89%, range 56-97%) and lower for PMcoarse (median 68%, range 32- 81%). Models included between two and five predictor variables, with various traffic indicators as the most common predictors. Lower R2 was related to small concentration variability or limited availability of predictor variables, especially traffic intensity. Cross validation R2 results were on average 8-11% lower than model R2. Careful selection of monitoring sites, examination of influential observations and skewed variable distributions were essential for developing stable LUR models. The final LUR models are used to estimate air pollution concentrations at the home addresses of participants in the health studies involved in ESCAPE. © 2012 American Chemical Society.&quot;,&quot;author&quot;:[{&quot;dropping-particle&quot;:&quot;&quot;,&quot;family&quot;:&quot;Eeftens&quot;,&quot;given&quot;:&quot;Marloes&quot;,&quot;non-dropping-particle&quot;:&quot;&quot;,&quot;parse-names&quot;:false,&quot;suffix&quot;:&quot;&quot;},{&quot;dropping-particle&quot;:&quot;&quot;,&quot;family&quot;:&quot;Beelen&quot;,&quot;given&quot;:&quot;Rob&quot;,&quot;non-dropping-particle&quot;:&quot;&quot;,&quot;parse-names&quot;:false,&quot;suffix&quot;:&quot;&quot;},{&quot;dropping-particle&quot;:&quot;&quot;,&quot;family&quot;:&quot;Hoogh&quot;,&quot;given&quot;:&quot;Kees&quot;,&quot;non-dropping-particle&quot;:&quot;De&quot;,&quot;parse-names&quot;:false,&quot;suffix&quot;:&quot;&quot;},{&quot;dropping-particle&quot;:&quot;&quot;,&quot;family&quot;:&quot;Bellander&quot;,&quot;given&quot;:&quot;Tom&quot;,&quot;non-dropping-particle&quot;:&quot;&quot;,&quot;parse-names&quot;:false,&quot;suffix&quot;:&quot;&quot;},{&quot;dropping-particle&quot;:&quot;&quot;,&quot;family&quot;:&quot;Cesaroni&quot;,&quot;given&quot;:&quot;Giulia&quot;,&quot;non-dropping-particle&quot;:&quot;&quot;,&quot;parse-names&quot;:false,&quot;suffix&quot;:&quot;&quot;},{&quot;dropping-particle&quot;:&quot;&quot;,&quot;family&quot;:&quot;Cirach&quot;,&quot;given&quot;:&quot;Marta&quot;,&quot;non-dropping-particle&quot;:&quot;&quot;,&quot;parse-names&quot;:false,&quot;suffix&quot;:&quot;&quot;},{&quot;dropping-particle&quot;:&quot;&quot;,&quot;family&quot;:&quot;Declercq&quot;,&quot;given&quot;:&quot;Christophe&quot;,&quot;non-dropping-particle&quot;:&quot;&quot;,&quot;parse-names&quot;:false,&quot;suffix&quot;:&quot;&quot;},{&quot;dropping-particle&quot;:&quot;&quot;,&quot;family&quot;:&quot;Dedele&quot;,&quot;given&quot;:&quot;Audrius&quot;,&quot;non-dropping-particle&quot;:&quot;&quot;,&quot;parse-names&quot;:false,&quot;suffix&quot;:&quot;&quot;},{&quot;dropping-particle&quot;:&quot;&quot;,&quot;family&quot;:&quot;Dons&quot;,&quot;given&quot;:&quot;Evi&quot;,&quot;non-dropping-particle&quot;:&quot;&quot;,&quot;parse-names&quot;:false,&quot;suffix&quot;:&quot;&quot;},{&quot;dropping-particle&quot;:&quot;&quot;,&quot;family&quot;:&quot;Nazelle&quot;,&quot;given&quot;:&quot;Audrey&quot;,&quot;non-dropping-particle&quot;:&quot;De&quot;,&quot;parse-names&quot;:false,&quot;suffix&quot;:&quot;&quot;},{&quot;dropping-particle&quot;:&quot;&quot;,&quot;family&quot;:&quot;Dimakopoulou&quot;,&quot;given&quot;:&quot;Konstantina&quot;,&quot;non-dropping-particle&quot;:&quot;&quot;,&quot;parse-names&quot;:false,&quot;suffix&quot;:&quot;&quot;},{&quot;dropping-particle&quot;:&quot;&quot;,&quot;family&quot;:&quot;Eriksen&quot;,&quot;given&quot;:&quot;Kirsten&quot;,&quot;non-dropping-particle&quot;:&quot;&quot;,&quot;parse-names&quot;:false,&quot;suffix&quot;:&quot;&quot;},{&quot;dropping-particle&quot;:&quot;&quot;,&quot;family&quot;:&quot;Falq&quot;,&quot;given&quot;:&quot;Grégoire&quot;,&quot;non-dropping-particle&quot;:&quot;&quot;,&quot;parse-names&quot;:false,&quot;suffix&quot;:&quot;&quot;},{&quot;dropping-particle&quot;:&quot;&quot;,&quot;family&quot;:&quot;Fischer&quot;,&quot;given&quot;:&quot;Paul&quot;,&quot;non-dropping-particle&quot;:&quot;&quot;,&quot;parse-names&quot;:false,&quot;suffix&quot;:&quot;&quot;},{&quot;dropping-particle&quot;:&quot;&quot;,&quot;family&quot;:&quot;Galassi&quot;,&quot;given&quot;:&quot;Claudia&quot;,&quot;non-dropping-particle&quot;:&quot;&quot;,&quot;parse-names&quot;:false,&quot;suffix&quot;:&quot;&quot;},{&quot;dropping-particle&quot;:&quot;&quot;,&quot;family&quot;:&quot;Gražulevičiene&quot;,&quot;given&quot;:&quot;Regina&quot;,&quot;non-dropping-particle&quot;:&quot;&quot;,&quot;parse-names&quot;:false,&quot;suffix&quot;:&quot;&quot;},{&quot;dropping-particle&quot;:&quot;&quot;,&quot;family&quot;:&quot;Heinrich&quot;,&quot;given&quot;:&quot;Joachim&quot;,&quot;non-dropping-particle&quot;:&quot;&quot;,&quot;parse-names&quot;:false,&quot;suffix&quot;:&quot;&quot;},{&quot;dropping-particle&quot;:&quot;&quot;,&quot;family&quot;:&quot;Hoffmann&quot;,&quot;given&quot;:&quot;Barbara&quot;,&quot;non-dropping-particle&quot;:&quot;&quot;,&quot;parse-names&quot;:false,&quot;suffix&quot;:&quot;&quot;},{&quot;dropping-particle&quot;:&quot;&quot;,&quot;family&quot;:&quot;Jerrett&quot;,&quot;given&quot;:&quot;Michael&quot;,&quot;non-dropping-particle&quot;:&quot;&quot;,&quot;parse-names&quot;:false,&quot;suffix&quot;:&quot;&quot;},{&quot;dropping-particle&quot;:&quot;&quot;,&quot;family&quot;:&quot;Keidel&quot;,&quot;given&quot;:&quot;Dirk&quot;,&quot;non-dropping-particle&quot;:&quot;&quot;,&quot;parse-names&quot;:false,&quot;suffix&quot;:&quot;&quot;},{&quot;dropping-particle&quot;:&quot;&quot;,&quot;family&quot;:&quot;Korek&quot;,&quot;given&quot;:&quot;Michal&quot;,&quot;non-dropping-particle&quot;:&quot;&quot;,&quot;parse-names&quot;:false,&quot;suffix&quot;:&quot;&quot;},{&quot;dropping-particle&quot;:&quot;&quot;,&quot;family&quot;:&quot;Lanki&quot;,&quot;given&quot;:&quot;Timo&quot;,&quot;non-dropping-particle&quot;:&quot;&quot;,&quot;parse-names&quot;:false,&quot;suffix&quot;:&quot;&quot;},{&quot;dropping-particle&quot;:&quot;&quot;,&quot;family&quot;:&quot;Lindley&quot;,&quot;given&quot;:&quot;Sarah&quot;,&quot;non-dropping-particle&quot;:&quot;&quot;,&quot;parse-names&quot;:false,&quot;suffix&quot;:&quot;&quot;},{&quot;dropping-particle&quot;:&quot;&quot;,&quot;family&quot;:&quot;Madsen&quot;,&quot;given&quot;:&quot;Christian&quot;,&quot;non-dropping-particle&quot;:&quot;&quot;,&quot;parse-names&quot;:false,&quot;suffix&quot;:&quot;&quot;},{&quot;dropping-particle&quot;:&quot;&quot;,&quot;family&quot;:&quot;Mölter&quot;,&quot;given&quot;:&quot;Anna&quot;,&quot;non-dropping-particle&quot;:&quot;&quot;,&quot;parse-names&quot;:false,&quot;suffix&quot;:&quot;&quot;},{&quot;dropping-particle&quot;:&quot;&quot;,&quot;family&quot;:&quot;Nádor&quot;,&quot;given&quot;:&quot;Gizella&quot;,&quot;non-dropping-particle&quot;:&quot;&quot;,&quot;parse-names&quot;:false,&quot;suffix&quot;:&quot;&quot;},{&quot;dropping-particle&quot;:&quot;&quot;,&quot;family&quot;:&quot;Nieuwenhuijsen&quot;,&quot;given&quot;:&quot;Mark&quot;,&quot;non-dropping-particle&quot;:&quot;&quot;,&quot;parse-names&quot;:false,&quot;suffix&quot;:&quot;&quot;},{&quot;dropping-particle&quot;:&quot;&quot;,&quot;family&quot;:&quot;Nonnemacher&quot;,&quot;given&quot;:&quot;Michael&quot;,&quot;non-dropping-particle&quot;:&quot;&quot;,&quot;parse-names&quot;:false,&quot;suffix&quot;:&quot;&quot;},{&quot;dropping-particle&quot;:&quot;&quot;,&quot;family&quot;:&quot;Pedeli&quot;,&quot;given&quot;:&quot;Xanthi&quot;,&quot;non-dropping-particle&quot;:&quot;&quot;,&quot;parse-names&quot;:false,&quot;suffix&quot;:&quot;&quot;},{&quot;dropping-particle&quot;:&quot;&quot;,&quot;family&quot;:&quot;Raaschou-Nielsen&quot;,&quot;given&quot;:&quot;Ole&quot;,&quot;non-dropping-particle&quot;:&quot;&quot;,&quot;parse-names&quot;:false,&quot;suffix&quot;:&quot;&quot;},{&quot;dropping-particle&quot;:&quot;&quot;,&quot;family&quot;:&quot;Patelarou&quot;,&quot;given&quot;:&quot;Evridiki&quot;,&quot;non-dropping-particle&quot;:&quot;&quot;,&quot;parse-names&quot;:false,&quot;suffix&quot;:&quot;&quot;},{&quot;dropping-particle&quot;:&quot;&quot;,&quot;family&quot;:&quot;Quass&quot;,&quot;given&quot;:&quot;Ulrich&quot;,&quot;non-dropping-particle&quot;:&quot;&quot;,&quot;parse-names&quot;:false,&quot;suffix&quot;:&quot;&quot;},{&quot;dropping-particle&quot;:&quot;&quot;,&quot;family&quot;:&quot;Ranzi&quot;,&quot;given&quot;:&quot;Andrea&quot;,&quot;non-dropping-particle&quot;:&quot;&quot;,&quot;parse-names&quot;:false,&quot;suffix&quot;:&quot;&quot;},{&quot;dropping-particle&quot;:&quot;&quot;,&quot;family&quot;:&quot;Schindler&quot;,&quot;given&quot;:&quot;Christian&quot;,&quot;non-dropping-particle&quot;:&quot;&quot;,&quot;parse-names&quot;:false,&quot;suffix&quot;:&quot;&quot;},{&quot;dropping-particle&quot;:&quot;&quot;,&quot;family&quot;:&quot;Stempfelet&quot;,&quot;given&quot;:&quot;Morgane&quot;,&quot;non-dropping-particle&quot;:&quot;&quot;,&quot;parse-names&quot;:false,&quot;suffix&quot;:&quot;&quot;},{&quot;dropping-particle&quot;:&quot;&quot;,&quot;family&quot;:&quot;Stephanou&quot;,&quot;given&quot;:&quot;Euripides&quot;,&quot;non-dropping-particle&quot;:&quot;&quot;,&quot;parse-names&quot;:false,&quot;suffix&quot;:&quot;&quot;},{&quot;dropping-particle&quot;:&quot;&quot;,&quot;family&quot;:&quot;Sugiri&quot;,&quot;given&quot;:&quot;Dorothea&quot;,&quot;non-dropping-particle&quot;:&quot;&quot;,&quot;parse-names&quot;:false,&quot;suffix&quot;:&quot;&quot;},{&quot;dropping-particle&quot;:&quot;&quot;,&quot;family&quot;:&quot;Tsai&quot;,&quot;given&quot;:&quot;Ming Yi&quot;,&quot;non-dropping-particle&quot;:&quot;&quot;,&quot;parse-names&quot;:false,&quot;suffix&quot;:&quot;&quot;},{&quot;dropping-particle&quot;:&quot;&quot;,&quot;family&quot;:&quot;Yli-Tuomi&quot;,&quot;given&quot;:&quot;Tarja&quot;,&quot;non-dropping-particle&quot;:&quot;&quot;,&quot;parse-names&quot;:false,&quot;suffix&quot;:&quot;&quot;},{&quot;dropping-particle&quot;:&quot;&quot;,&quot;family&quot;:&quot;Varró&quot;,&quot;given&quot;:&quot;Mihály J.&quot;,&quot;non-dropping-particle&quot;:&quot;&quot;,&quot;parse-names&quot;:false,&quot;suffix&quot;:&quot;&quot;},{&quot;dropping-particle&quot;:&quot;&quot;,&quot;family&quot;:&quot;Vienneau&quot;,&quot;given&quot;:&quot;Danielle&quot;,&quot;non-dropping-particle&quot;:&quot;&quot;,&quot;parse-names&quot;:false,&quot;suffix&quot;:&quot;&quot;},{&quot;dropping-particle&quot;:&quot;Von&quot;,&quot;family&quot;:&quot;Klot&quot;,&quot;given&quot;:&quot;Stephanie&quot;,&quot;non-dropping-particle&quot;:&quot;&quot;,&quot;parse-names&quot;:false,&quot;suffix&quot;:&quot;&quot;},{&quot;dropping-particle&quot;:&quot;&quot;,&quot;family&quot;:&quot;Wolf&quot;,&quot;given&quot;:&quot;Kathrin&quot;,&quot;non-dropping-particle&quot;:&quot;&quot;,&quot;parse-names&quot;:false,&quot;suffix&quot;:&quot;&quot;},{&quot;dropping-particle&quot;:&quot;&quot;,&quot;family&quot;:&quot;Brunekreef&quot;,&quot;given&quot;:&quot;Bert&quot;,&quot;non-dropping-particle&quot;:&quot;&quot;,&quot;parse-names&quot;:false,&quot;suffix&quot;:&quot;&quot;},{&quot;dropping-particle&quot;:&quot;&quot;,&quot;family&quot;:&quot;Hoek&quot;,&quot;given&quot;:&quot;Gerard&quot;,&quot;non-dropping-particle&quot;:&quot;&quot;,&quot;parse-names&quot;:false,&quot;suffix&quot;:&quot;&quot;}],&quot;container-title&quot;:&quot;Environmental Science and Technology&quot;,&quot;id&quot;:&quot;3eab9f09-c642-3ac2-a1f9-68ec4bfa3873&quot;,&quot;issue&quot;:&quot;20&quot;,&quot;issued&quot;:{&quot;date-parts&quot;:[[&quot;2012&quot;]]},&quot;page&quot;:&quot;11195-11205&quot;,&quot;title&quot;:&quot;Development of land use regression models for PM2.5, PM 2.5 absorbance, PM10 and PMcoarse in 20 European study areas; Results of the ESCAPE project&quot;,&quot;type&quot;:&quot;article-journal&quot;,&quot;volume&quot;:&quot;46&quot;},&quot;suppress-author&quot;:1,&quot;uris&quot;:[&quot;http://www.mendeley.com/documents/?uuid=3eab9f09-c642-3ac2-a1f9-68ec4bfa3873&quot;],&quot;isTemporary&quot;:false,&quot;legacyDesktopId&quot;:&quot;3eab9f09-c642-3ac2-a1f9-68ec4bfa3873&quot;}],&quot;properties&quot;:{&quot;noteIndex&quot;:0},&quot;isEdited&quot;:true,&quot;manualOverride&quot;:{&quot;citeprocText&quot;:&quot;(2012)&quot;,&quot;isManuallyOverridden&quot;:false,&quot;manualOverrideText&quot;:&quot;&quot;},&quot;citationTag&quot;:&quot;MENDELEY_CITATION_v3_eyJjaXRhdGlvbklEIjoiTUVOREVMRVlfQ0lUQVRJT05fMjk1MDZmYWItNmY3NC00ZjZlLTllZmUtNzlmMWFjNWY4NDE0IiwiY2l0YXRpb25JdGVtcyI6W3siaWQiOiIzZWFiOWYwOS1jNjQyLTNhYzItYTFmOS02OGVjNGJmYTM4NzMiLCJpdGVtRGF0YSI6eyJET0kiOiIxMC4xMDIxL2VzMzAxOTQ4ayIsIklTQk4iOiI5NzgwMDgwOTY2MzQyIiwiSVNTTiI6IjAwMTM5MzZYIiwiUE1JRCI6IjIyOTYzMzY2IiwiYWJzdHJhY3QiOiJMYW5kIFVzZSBSZWdyZXNzaW9uIChMVVIpIG1vZGVscyBoYXZlIGJlZW4gdXNlZCBpbmNyZWFzaW5nbHkgZm9yIG1vZGVsaW5nIHNtYWxsLXNjYWxlIHNwYXRpYWwgdmFyaWF0aW9uIGluIGFpciBwb2xsdXRpb24gY29uY2VudHJhdGlvbnMgYW5kIGVzdGltYXRpbmcgaW5kaXZpZHVhbCBleHBvc3VyZSBmb3IgcGFydGljaXBhbnRzIG9mIGNvaG9ydCBzdHVkaWVzLiBXaXRoaW4gdGhlIEVTQ0FQRSBwcm9qZWN0LCBjb25jZW50cmF0aW9ucyBvZiBQTTIuNSwgUE0yLjUgYWJzb3JiYW5jZSwgUE0xMCwgYW5kIFBNY29hcnNlIHdlcmUgbWVhc3VyZWQgaW4gMjAgRXVyb3BlYW4gc3R1ZHkgYXJlYXMgYXQgMjAgc2l0ZXMgcGVyIGFyZWEuIEdJUy1kZXJpdmVkIHByZWRpY3RvciB2YXJpYWJsZXMgKGUuZy4sIHRyYWZmaWMgaW50ZW5zaXR5LCBwb3B1bGF0aW9uLCBhbmQgbGFuZC11c2UpIHdlcmUgZXZhbHVhdGVkIHRvIG1vZGVsIHNwYXRpYWwgdmFyaWF0aW9uIG9mIGFubnVhbCBhdmVyYWdlIGNvbmNlbnRyYXRpb25zIGZvciBlYWNoIHN0dWR5IGFyZWEuIFRoZSBtZWRpYW4gbW9kZWwgZXhwbGFpbmVkIHZhcmlhbmNlIChSMikgd2FzIDcxJSBmb3IgUE0yLjUgKHJhbmdlIGFjcm9zcyBzdHVkeSBhcmVhcyAzNS05NCUpLiBNb2RlbCBSMiB3YXMgaGlnaGVyIGZvciBQTTIuNSBhYnNvcmJhbmNlIChtZWRpYW4gODklLCByYW5nZSA1Ni05NyUpIGFuZCBsb3dlciBmb3IgUE1jb2Fyc2UgKG1lZGlhbiA2OCUsIHJhbmdlIDMyLSA4MSUpLiBNb2RlbHMgaW5jbHVkZWQgYmV0d2VlbiB0d28gYW5kIGZpdmUgcHJlZGljdG9yIHZhcmlhYmxlcywgd2l0aCB2YXJpb3VzIHRyYWZmaWMgaW5kaWNhdG9ycyBhcyB0aGUgbW9zdCBjb21tb24gcHJlZGljdG9ycy4gTG93ZXIgUjIgd2FzIHJlbGF0ZWQgdG8gc21hbGwgY29uY2VudHJhdGlvbiB2YXJpYWJpbGl0eSBvciBsaW1pdGVkIGF2YWlsYWJpbGl0eSBvZiBwcmVkaWN0b3IgdmFyaWFibGVzLCBlc3BlY2lhbGx5IHRyYWZmaWMgaW50ZW5zaXR5LiBDcm9zcyB2YWxpZGF0aW9uIFIyIHJlc3VsdHMgd2VyZSBvbiBhdmVyYWdlIDgtMTElIGxvd2VyIHRoYW4gbW9kZWwgUjIuIENhcmVmdWwgc2VsZWN0aW9uIG9mIG1vbml0b3Jpbmcgc2l0ZXMsIGV4YW1pbmF0aW9uIG9mIGluZmx1ZW50aWFsIG9ic2VydmF0aW9ucyBhbmQgc2tld2VkIHZhcmlhYmxlIGRpc3RyaWJ1dGlvbnMgd2VyZSBlc3NlbnRpYWwgZm9yIGRldmVsb3Bpbmcgc3RhYmxlIExVUiBtb2RlbHMuIFRoZSBmaW5hbCBMVVIgbW9kZWxzIGFyZSB1c2VkIHRvIGVzdGltYXRlIGFpciBwb2xsdXRpb24gY29uY2VudHJhdGlvbnMgYXQgdGhlIGhvbWUgYWRkcmVzc2VzIG9mIHBhcnRpY2lwYW50cyBpbiB0aGUgaGVhbHRoIHN0dWRpZXMgaW52b2x2ZWQgaW4gRVNDQVBFLiDCqSAyMDEyIEFtZXJpY2FuIENoZW1pY2FsIFNvY2lldHkuIiwiYXV0aG9yIjpbeyJkcm9wcGluZy1wYXJ0aWNsZSI6IiIsImZhbWlseSI6IkVlZnRlbnMiLCJnaXZlbiI6Ik1hcmxvZXMiLCJub24tZHJvcHBpbmctcGFydGljbGUiOiIiLCJwYXJzZS1uYW1lcyI6ZmFsc2UsInN1ZmZpeCI6IiJ9LHsiZHJvcHBpbmctcGFydGljbGUiOiIiLCJmYW1pbHkiOiJCZWVsZW4iLCJnaXZlbiI6IlJvYiIsIm5vbi1kcm9wcGluZy1wYXJ0aWNsZSI6IiIsInBhcnNlLW5hbWVzIjpmYWxzZSwic3VmZml4IjoiIn0seyJkcm9wcGluZy1wYXJ0aWNsZSI6IiIsImZhbWlseSI6Ikhvb2doIiwiZ2l2ZW4iOiJLZWVzIiwibm9uLWRyb3BwaW5nLXBhcnRpY2xlIjoiRGUiLCJwYXJzZS1uYW1lcyI6ZmFsc2UsInN1ZmZpeCI6IiJ9LHsiZHJvcHBpbmctcGFydGljbGUiOiIiLCJmYW1pbHkiOiJCZWxsYW5kZXIiLCJnaXZlbiI6IlRvbSIsIm5vbi1kcm9wcGluZy1wYXJ0aWNsZSI6IiIsInBhcnNlLW5hbWVzIjpmYWxzZSwic3VmZml4IjoiIn0seyJkcm9wcGluZy1wYXJ0aWNsZSI6IiIsImZhbWlseSI6IkNlc2Fyb25pIiwiZ2l2ZW4iOiJHaXVsaWEiLCJub24tZHJvcHBpbmctcGFydGljbGUiOiIiLCJwYXJzZS1uYW1lcyI6ZmFsc2UsInN1ZmZpeCI6IiJ9LHsiZHJvcHBpbmctcGFydGljbGUiOiIiLCJmYW1pbHkiOiJDaXJhY2giLCJnaXZlbiI6Ik1hcnRhIiwibm9uLWRyb3BwaW5nLXBhcnRpY2xlIjoiIiwicGFyc2UtbmFtZXMiOmZhbHNlLCJzdWZmaXgiOiIifSx7ImRyb3BwaW5nLXBhcnRpY2xlIjoiIiwiZmFtaWx5IjoiRGVjbGVyY3EiLCJnaXZlbiI6IkNocmlzdG9waGUiLCJub24tZHJvcHBpbmctcGFydGljbGUiOiIiLCJwYXJzZS1uYW1lcyI6ZmFsc2UsInN1ZmZpeCI6IiJ9LHsiZHJvcHBpbmctcGFydGljbGUiOiIiLCJmYW1pbHkiOiJEZWRlbGUiLCJnaXZlbiI6IkF1ZHJpdXMiLCJub24tZHJvcHBpbmctcGFydGljbGUiOiIiLCJwYXJzZS1uYW1lcyI6ZmFsc2UsInN1ZmZpeCI6IiJ9LHsiZHJvcHBpbmctcGFydGljbGUiOiIiLCJmYW1pbHkiOiJEb25zIiwiZ2l2ZW4iOiJFdmkiLCJub24tZHJvcHBpbmctcGFydGljbGUiOiIiLCJwYXJzZS1uYW1lcyI6ZmFsc2UsInN1ZmZpeCI6IiJ9LHsiZHJvcHBpbmctcGFydGljbGUiOiIiLCJmYW1pbHkiOiJOYXplbGxlIiwiZ2l2ZW4iOiJBdWRyZXkiLCJub24tZHJvcHBpbmctcGFydGljbGUiOiJEZSIsInBhcnNlLW5hbWVzIjpmYWxzZSwic3VmZml4IjoiIn0seyJkcm9wcGluZy1wYXJ0aWNsZSI6IiIsImZhbWlseSI6IkRpbWFrb3BvdWxvdSIsImdpdmVuIjoiS29uc3RhbnRpbmEiLCJub24tZHJvcHBpbmctcGFydGljbGUiOiIiLCJwYXJzZS1uYW1lcyI6ZmFsc2UsInN1ZmZpeCI6IiJ9LHsiZHJvcHBpbmctcGFydGljbGUiOiIiLCJmYW1pbHkiOiJFcmlrc2VuIiwiZ2l2ZW4iOiJLaXJzdGVuIiwibm9uLWRyb3BwaW5nLXBhcnRpY2xlIjoiIiwicGFyc2UtbmFtZXMiOmZhbHNlLCJzdWZmaXgiOiIifSx7ImRyb3BwaW5nLXBhcnRpY2xlIjoiIiwiZmFtaWx5IjoiRmFscSIsImdpdmVuIjoiR3LDqWdvaXJlIiwibm9uLWRyb3BwaW5nLXBhcnRpY2xlIjoiIiwicGFyc2UtbmFtZXMiOmZhbHNlLCJzdWZmaXgiOiIifSx7ImRyb3BwaW5nLXBhcnRpY2xlIjoiIiwiZmFtaWx5IjoiRmlzY2hlciIsImdpdmVuIjoiUGF1bCIsIm5vbi1kcm9wcGluZy1wYXJ0aWNsZSI6IiIsInBhcnNlLW5hbWVzIjpmYWxzZSwic3VmZml4IjoiIn0seyJkcm9wcGluZy1wYXJ0aWNsZSI6IiIsImZhbWlseSI6IkdhbGFzc2kiLCJnaXZlbiI6IkNsYXVkaWEiLCJub24tZHJvcHBpbmctcGFydGljbGUiOiIiLCJwYXJzZS1uYW1lcyI6ZmFsc2UsInN1ZmZpeCI6IiJ9LHsiZHJvcHBpbmctcGFydGljbGUiOiIiLCJmYW1pbHkiOiJHcmHFvnVsZXZpxI1pZW5lIiwiZ2l2ZW4iOiJSZWdpbmEiLCJub24tZHJvcHBpbmctcGFydGljbGUiOiIiLCJwYXJzZS1uYW1lcyI6ZmFsc2UsInN1ZmZpeCI6IiJ9LHsiZHJvcHBpbmctcGFydGljbGUiOiIiLCJmYW1pbHkiOiJIZWlucmljaCIsImdpdmVuIjoiSm9hY2hpbSIsIm5vbi1kcm9wcGluZy1wYXJ0aWNsZSI6IiIsInBhcnNlLW5hbWVzIjpmYWxzZSwic3VmZml4IjoiIn0seyJkcm9wcGluZy1wYXJ0aWNsZSI6IiIsImZhbWlseSI6IkhvZmZtYW5uIiwiZ2l2ZW4iOiJCYXJiYXJhIiwibm9uLWRyb3BwaW5nLXBhcnRpY2xlIjoiIiwicGFyc2UtbmFtZXMiOmZhbHNlLCJzdWZmaXgiOiIifSx7ImRyb3BwaW5nLXBhcnRpY2xlIjoiIiwiZmFtaWx5IjoiSmVycmV0dCIsImdpdmVuIjoiTWljaGFlbCIsIm5vbi1kcm9wcGluZy1wYXJ0aWNsZSI6IiIsInBhcnNlLW5hbWVzIjpmYWxzZSwic3VmZml4IjoiIn0seyJkcm9wcGluZy1wYXJ0aWNsZSI6IiIsImZhbWlseSI6IktlaWRlbCIsImdpdmVuIjoiRGlyayIsIm5vbi1kcm9wcGluZy1wYXJ0aWNsZSI6IiIsInBhcnNlLW5hbWVzIjpmYWxzZSwic3VmZml4IjoiIn0seyJkcm9wcGluZy1wYXJ0aWNsZSI6IiIsImZhbWlseSI6IktvcmVrIiwiZ2l2ZW4iOiJNaWNoYWwiLCJub24tZHJvcHBpbmctcGFydGljbGUiOiIiLCJwYXJzZS1uYW1lcyI6ZmFsc2UsInN1ZmZpeCI6IiJ9LHsiZHJvcHBpbmctcGFydGljbGUiOiIiLCJmYW1pbHkiOiJMYW5raSIsImdpdmVuIjoiVGltbyIsIm5vbi1kcm9wcGluZy1wYXJ0aWNsZSI6IiIsInBhcnNlLW5hbWVzIjpmYWxzZSwic3VmZml4IjoiIn0seyJkcm9wcGluZy1wYXJ0aWNsZSI6IiIsImZhbWlseSI6IkxpbmRsZXkiLCJnaXZlbiI6IlNhcmFoIiwibm9uLWRyb3BwaW5nLXBhcnRpY2xlIjoiIiwicGFyc2UtbmFtZXMiOmZhbHNlLCJzdWZmaXgiOiIifSx7ImRyb3BwaW5nLXBhcnRpY2xlIjoiIiwiZmFtaWx5IjoiTWFkc2VuIiwiZ2l2ZW4iOiJDaHJpc3RpYW4iLCJub24tZHJvcHBpbmctcGFydGljbGUiOiIiLCJwYXJzZS1uYW1lcyI6ZmFsc2UsInN1ZmZpeCI6IiJ9LHsiZHJvcHBpbmctcGFydGljbGUiOiIiLCJmYW1pbHkiOiJNw7ZsdGVyIiwiZ2l2ZW4iOiJBbm5hIiwibm9uLWRyb3BwaW5nLXBhcnRpY2xlIjoiIiwicGFyc2UtbmFtZXMiOmZhbHNlLCJzdWZmaXgiOiIifSx7ImRyb3BwaW5nLXBhcnRpY2xlIjoiIiwiZmFtaWx5IjoiTsOhZG9yIiwiZ2l2ZW4iOiJHaXplbGxhIiwibm9uLWRyb3BwaW5nLXBhcnRpY2xlIjoiIiwicGFyc2UtbmFtZXMiOmZhbHNlLCJzdWZmaXgiOiIifSx7ImRyb3BwaW5nLXBhcnRpY2xlIjoiIiwiZmFtaWx5IjoiTmlldXdlbmh1aWpzZW4iLCJnaXZlbiI6Ik1hcmsiLCJub24tZHJvcHBpbmctcGFydGljbGUiOiIiLCJwYXJzZS1uYW1lcyI6ZmFsc2UsInN1ZmZpeCI6IiJ9LHsiZHJvcHBpbmctcGFydGljbGUiOiIiLCJmYW1pbHkiOiJOb25uZW1hY2hlciIsImdpdmVuIjoiTWljaGFlbCIsIm5vbi1kcm9wcGluZy1wYXJ0aWNsZSI6IiIsInBhcnNlLW5hbWVzIjpmYWxzZSwic3VmZml4IjoiIn0seyJkcm9wcGluZy1wYXJ0aWNsZSI6IiIsImZhbWlseSI6IlBlZGVsaSIsImdpdmVuIjoiWGFudGhpIiwibm9uLWRyb3BwaW5nLXBhcnRpY2xlIjoiIiwicGFyc2UtbmFtZXMiOmZhbHNlLCJzdWZmaXgiOiIifSx7ImRyb3BwaW5nLXBhcnRpY2xlIjoiIiwiZmFtaWx5IjoiUmFhc2Nob3UtTmllbHNlbiIsImdpdmVuIjoiT2xlIiwibm9uLWRyb3BwaW5nLXBhcnRpY2xlIjoiIiwicGFyc2UtbmFtZXMiOmZhbHNlLCJzdWZmaXgiOiIifSx7ImRyb3BwaW5nLXBhcnRpY2xlIjoiIiwiZmFtaWx5IjoiUGF0ZWxhcm91IiwiZ2l2ZW4iOiJFdnJpZGlraSIsIm5vbi1kcm9wcGluZy1wYXJ0aWNsZSI6IiIsInBhcnNlLW5hbWVzIjpmYWxzZSwic3VmZml4IjoiIn0seyJkcm9wcGluZy1wYXJ0aWNsZSI6IiIsImZhbWlseSI6IlF1YXNzIiwiZ2l2ZW4iOiJVbHJpY2giLCJub24tZHJvcHBpbmctcGFydGljbGUiOiIiLCJwYXJzZS1uYW1lcyI6ZmFsc2UsInN1ZmZpeCI6IiJ9LHsiZHJvcHBpbmctcGFydGljbGUiOiIiLCJmYW1pbHkiOiJSYW56aSIsImdpdmVuIjoiQW5kcmVhIiwibm9uLWRyb3BwaW5nLXBhcnRpY2xlIjoiIiwicGFyc2UtbmFtZXMiOmZhbHNlLCJzdWZmaXgiOiIifSx7ImRyb3BwaW5nLXBhcnRpY2xlIjoiIiwiZmFtaWx5IjoiU2NoaW5kbGVyIiwiZ2l2ZW4iOiJDaHJpc3RpYW4iLCJub24tZHJvcHBpbmctcGFydGljbGUiOiIiLCJwYXJzZS1uYW1lcyI6ZmFsc2UsInN1ZmZpeCI6IiJ9LHsiZHJvcHBpbmctcGFydGljbGUiOiIiLCJmYW1pbHkiOiJTdGVtcGZlbGV0IiwiZ2l2ZW4iOiJNb3JnYW5lIiwibm9uLWRyb3BwaW5nLXBhcnRpY2xlIjoiIiwicGFyc2UtbmFtZXMiOmZhbHNlLCJzdWZmaXgiOiIifSx7ImRyb3BwaW5nLXBhcnRpY2xlIjoiIiwiZmFtaWx5IjoiU3RlcGhhbm91IiwiZ2l2ZW4iOiJFdXJpcGlkZXMiLCJub24tZHJvcHBpbmctcGFydGljbGUiOiIiLCJwYXJzZS1uYW1lcyI6ZmFsc2UsInN1ZmZpeCI6IiJ9LHsiZHJvcHBpbmctcGFydGljbGUiOiIiLCJmYW1pbHkiOiJTdWdpcmkiLCJnaXZlbiI6IkRvcm90aGVhIiwibm9uLWRyb3BwaW5nLXBhcnRpY2xlIjoiIiwicGFyc2UtbmFtZXMiOmZhbHNlLCJzdWZmaXgiOiIifSx7ImRyb3BwaW5nLXBhcnRpY2xlIjoiIiwiZmFtaWx5IjoiVHNhaSIsImdpdmVuIjoiTWluZyBZaSIsIm5vbi1kcm9wcGluZy1wYXJ0aWNsZSI6IiIsInBhcnNlLW5hbWVzIjpmYWxzZSwic3VmZml4IjoiIn0seyJkcm9wcGluZy1wYXJ0aWNsZSI6IiIsImZhbWlseSI6IllsaS1UdW9taSIsImdpdmVuIjoiVGFyamEiLCJub24tZHJvcHBpbmctcGFydGljbGUiOiIiLCJwYXJzZS1uYW1lcyI6ZmFsc2UsInN1ZmZpeCI6IiJ9LHsiZHJvcHBpbmctcGFydGljbGUiOiIiLCJmYW1pbHkiOiJWYXJyw7MiLCJnaXZlbiI6Ik1paMOhbHkgSi4iLCJub24tZHJvcHBpbmctcGFydGljbGUiOiIiLCJwYXJzZS1uYW1lcyI6ZmFsc2UsInN1ZmZpeCI6IiJ9LHsiZHJvcHBpbmctcGFydGljbGUiOiIiLCJmYW1pbHkiOiJWaWVubmVhdSIsImdpdmVuIjoiRGFuaWVsbGUiLCJub24tZHJvcHBpbmctcGFydGljbGUiOiIiLCJwYXJzZS1uYW1lcyI6ZmFsc2UsInN1ZmZpeCI6IiJ9LHsiZHJvcHBpbmctcGFydGljbGUiOiJWb24iLCJmYW1pbHkiOiJLbG90IiwiZ2l2ZW4iOiJTdGVwaGFuaWUiLCJub24tZHJvcHBpbmctcGFydGljbGUiOiIiLCJwYXJzZS1uYW1lcyI6ZmFsc2UsInN1ZmZpeCI6IiJ9LHsiZHJvcHBpbmctcGFydGljbGUiOiIiLCJmYW1pbHkiOiJXb2xmIiwiZ2l2ZW4iOiJLYXRocmluIiwibm9uLWRyb3BwaW5nLXBhcnRpY2xlIjoiIiwicGFyc2UtbmFtZXMiOmZhbHNlLCJzdWZmaXgiOiIifSx7ImRyb3BwaW5nLXBhcnRpY2xlIjoiIiwiZmFtaWx5IjoiQnJ1bmVrcmVlZiIsImdpdmVuIjoiQmVydCIsIm5vbi1kcm9wcGluZy1wYXJ0aWNsZSI6IiIsInBhcnNlLW5hbWVzIjpmYWxzZSwic3VmZml4IjoiIn0seyJkcm9wcGluZy1wYXJ0aWNsZSI6IiIsImZhbWlseSI6IkhvZWsiLCJnaXZlbiI6IkdlcmFyZCIsIm5vbi1kcm9wcGluZy1wYXJ0aWNsZSI6IiIsInBhcnNlLW5hbWVzIjpmYWxzZSwic3VmZml4IjoiIn1dLCJjb250YWluZXItdGl0bGUiOiJFbnZpcm9ubWVudGFsIFNjaWVuY2UgYW5kIFRlY2hub2xvZ3kiLCJpZCI6IjNlYWI5ZjA5LWM2NDItM2FjMi1hMWY5LTY4ZWM0YmZhMzg3MyIsImlzc3VlIjoiMjAiLCJpc3N1ZWQiOnsiZGF0ZS1wYXJ0cyI6W1siMjAxMiJdXX0sInBhZ2UiOiIxMTE5NS0xMTIwNSIsInRpdGxlIjoiRGV2ZWxvcG1lbnQgb2YgbGFuZCB1c2UgcmVncmVzc2lvbiBtb2RlbHMgZm9yIFBNMi41LCBQTSAyLjUgYWJzb3JiYW5jZSwgUE0xMCBhbmQgUE1jb2Fyc2UgaW4gMjAgRXVyb3BlYW4gc3R1ZHkgYXJlYXM7IFJlc3VsdHMgb2YgdGhlIEVTQ0FQRSBwcm9qZWN0IiwidHlwZSI6ImFydGljbGUtam91cm5hbCIsInZvbHVtZSI6IjQ2In0sInN1cHByZXNzLWF1dGhvciI6MSwidXJpcyI6WyJodHRwOi8vd3d3Lm1lbmRlbGV5LmNvbS9kb2N1bWVudHMvP3V1aWQ9M2VhYjlmMDktYzY0Mi0zYWMyLWExZjktNjhlYzRiZmEzODczIl0sImlzVGVtcG9yYXJ5IjpmYWxzZSwibGVnYWN5RGVza3RvcElkIjoiM2VhYjlmMDktYzY0Mi0zYWMyLWExZjktNjhlYzRiZmEzODczIn1dLCJwcm9wZXJ0aWVzIjp7Im5vdGVJbmRleCI6MH0sImlzRWRpdGVkIjp0cnVlLCJtYW51YWxPdmVycmlkZSI6eyJjaXRlcHJvY1RleHQiOiIoMjAxMikiLCJpc01hbnVhbGx5T3ZlcnJpZGRlbiI6ZmFsc2UsIm1hbnVhbE92ZXJyaWRlVGV4dCI6IiJ9fQ==&quot;},{&quot;citationID&quot;:&quot;MENDELEY_CITATION_716cc638-eeeb-41e4-bd47-4dd7a26c93d5&quot;,&quot;citationItems&quot;:[{&quot;id&quot;:&quot;11542067-42af-3d8c-a767-5ab92c448abe&quot;,&quot;itemData&quot;:{&quot;DOI&quot;:&quot;10.1016/j.atmosenv.2013.02.037&quot;,&quot;ISSN&quot;:&quot;13522310&quot;,&quot;abstract&quot;:&quot;Estimating within-city variability in air pollution concentrations is important. Land use regression (LUR) models are able to explain such small-scale within-city variations. Transparency in LUR model development methods is important to facilitate comparison of methods between different studies. We therefore developed LUR models in a standardized way in 36 study areas in Europe for the ESCAPE (European Study of Cohorts for Air Pollution Effects) project.Nitrogen dioxide (NO2) and nitrogen oxides (NOx) were measured with Ogawa passive samplers at 40 or 80 sites in each of the 36 study areas. The spatial variation in each area was explained by LUR modelling. Centrally and locally available Geographic Information System (GIS) variables were used as potential predictors. A leave-one out cross-validation procedure was used to evaluate the model performance.There was substantial contrast in annual average NO2 and NOx concentrations within the study areas. The model explained variances (R2) of the LUR models ranged from 55% to 92% (median 82%) for NO2 and from 49% to 91% (median 78%) for NOx. For most areas the cross-validation R2 was less than 10% lower than the model R2. Small-scale traffic and population/household density were the most common predictors. The magnitude of the explained variance depended on the contrast in measured concentrations as well as availability of GIS predictors, especially traffic intensity data were important. In an additional evaluation, models in which local traffic intensity was not offered had 10% lower R2 compared to models in the same areas in which these variables were offered.Within the ESCAPE project it was possible to develop LUR models that explained a large fraction of the spatial variance in measured annual average NO2 and NOx concentrations. These LUR models are being used to estimate outdoor concentrations at the home addresses of participants in over 30 cohort studies. © 2013 Elsevier Ltd.&quot;,&quot;author&quot;:[{&quot;dropping-particle&quot;:&quot;&quot;,&quot;family&quot;:&quot;Beelen&quot;,&quot;given&quot;:&quot;Rob&quot;,&quot;non-dropping-particle&quot;:&quot;&quot;,&quot;parse-names&quot;:false,&quot;suffix&quot;:&quot;&quot;},{&quot;dropping-particle&quot;:&quot;&quot;,&quot;family&quot;:&quot;Hoek&quot;,&quot;given&quot;:&quot;Gerard&quot;,&quot;non-dropping-particle&quot;:&quot;&quot;,&quot;parse-names&quot;:false,&quot;suffix&quot;:&quot;&quot;},{&quot;dropping-particle&quot;:&quot;&quot;,&quot;family&quot;:&quot;Vienneau&quot;,&quot;given&quot;:&quot;Danielle&quot;,&quot;non-dropping-particle&quot;:&quot;&quot;,&quot;parse-names&quot;:false,&quot;suffix&quot;:&quot;&quot;},{&quot;dropping-particle&quot;:&quot;&quot;,&quot;family&quot;:&quot;Eeftens&quot;,&quot;given&quot;:&quot;Marloes&quot;,&quot;non-dropping-particle&quot;:&quot;&quot;,&quot;parse-names&quot;:false,&quot;suffix&quot;:&quot;&quot;},{&quot;dropping-particle&quot;:&quot;&quot;,&quot;family&quot;:&quot;Dimakopoulou&quot;,&quot;given&quot;:&quot;Konstantina&quot;,&quot;non-dropping-particle&quot;:&quot;&quot;,&quot;parse-names&quot;:false,&quot;suffix&quot;:&quot;&quot;},{&quot;dropping-particle&quot;:&quot;&quot;,&quot;family&quot;:&quot;Pedeli&quot;,&quot;given&quot;:&quot;Xanthi&quot;,&quot;non-dropping-particle&quot;:&quot;&quot;,&quot;parse-names&quot;:false,&quot;suffix&quot;:&quot;&quot;},{&quot;dropping-particle&quot;:&quot;&quot;,&quot;family&quot;:&quot;Tsai&quot;,&quot;given&quot;:&quot;Ming Yi&quot;,&quot;non-dropping-particle&quot;:&quot;&quot;,&quot;parse-names&quot;:false,&quot;suffix&quot;:&quot;&quot;},{&quot;dropping-particle&quot;:&quot;&quot;,&quot;family&quot;:&quot;Künzli&quot;,&quot;given&quot;:&quot;Nino&quot;,&quot;non-dropping-particle&quot;:&quot;&quot;,&quot;parse-names&quot;:false,&quot;suffix&quot;:&quot;&quot;},{&quot;dropping-particle&quot;:&quot;&quot;,&quot;family&quot;:&quot;Schikowski&quot;,&quot;given&quot;:&quot;Tamara&quot;,&quot;non-dropping-particle&quot;:&quot;&quot;,&quot;parse-names&quot;:false,&quot;suffix&quot;:&quot;&quot;},{&quot;dropping-particle&quot;:&quot;&quot;,&quot;family&quot;:&quot;Marcon&quot;,&quot;given&quot;:&quot;Alessandro&quot;,&quot;non-dropping-particle&quot;:&quot;&quot;,&quot;parse-names&quot;:false,&quot;suffix&quot;:&quot;&quot;},{&quot;dropping-particle&quot;:&quot;&quot;,&quot;family&quot;:&quot;Eriksen&quot;,&quot;given&quot;:&quot;Kirsten T.&quot;,&quot;non-dropping-particle&quot;:&quot;&quot;,&quot;parse-names&quot;:false,&quot;suffix&quot;:&quot;&quot;},{&quot;dropping-particle&quot;:&quot;&quot;,&quot;family&quot;:&quot;Raaschou-Nielsen&quot;,&quot;given&quot;:&quot;Ole&quot;,&quot;non-dropping-particle&quot;:&quot;&quot;,&quot;parse-names&quot;:false,&quot;suffix&quot;:&quot;&quot;},{&quot;dropping-particle&quot;:&quot;&quot;,&quot;family&quot;:&quot;Stephanou&quot;,&quot;given&quot;:&quot;Euripides&quot;,&quot;non-dropping-particle&quot;:&quot;&quot;,&quot;parse-names&quot;:false,&quot;suffix&quot;:&quot;&quot;},{&quot;dropping-particle&quot;:&quot;&quot;,&quot;family&quot;:&quot;Patelarou&quot;,&quot;given&quot;:&quot;Evridiki&quot;,&quot;non-dropping-particle&quot;:&quot;&quot;,&quot;parse-names&quot;:false,&quot;suffix&quot;:&quot;&quot;},{&quot;dropping-particle&quot;:&quot;&quot;,&quot;family&quot;:&quot;Lanki&quot;,&quot;given&quot;:&quot;Timo&quot;,&quot;non-dropping-particle&quot;:&quot;&quot;,&quot;parse-names&quot;:false,&quot;suffix&quot;:&quot;&quot;},{&quot;dropping-particle&quot;:&quot;&quot;,&quot;family&quot;:&quot;Yli-Tuomi&quot;,&quot;given&quot;:&quot;Tarja&quot;,&quot;non-dropping-particle&quot;:&quot;&quot;,&quot;parse-names&quot;:false,&quot;suffix&quot;:&quot;&quot;},{&quot;dropping-particle&quot;:&quot;&quot;,&quot;family&quot;:&quot;Declercq&quot;,&quot;given&quot;:&quot;Christophe&quot;,&quot;non-dropping-particle&quot;:&quot;&quot;,&quot;parse-names&quot;:false,&quot;suffix&quot;:&quot;&quot;},{&quot;dropping-particle&quot;:&quot;&quot;,&quot;family&quot;:&quot;Falq&quot;,&quot;given&quot;:&quot;Grégoire&quot;,&quot;non-dropping-particle&quot;:&quot;&quot;,&quot;parse-names&quot;:false,&quot;suffix&quot;:&quot;&quot;},{&quot;dropping-particle&quot;:&quot;&quot;,&quot;family&quot;:&quot;Stempfelet&quot;,&quot;given&quot;:&quot;Morgane&quot;,&quot;non-dropping-particle&quot;:&quot;&quot;,&quot;parse-names&quot;:false,&quot;suffix&quot;:&quot;&quot;},{&quot;dropping-particle&quot;:&quot;&quot;,&quot;family&quot;:&quot;Birk&quot;,&quot;given&quot;:&quot;Matthias&quot;,&quot;non-dropping-particle&quot;:&quot;&quot;,&quot;parse-names&quot;:false,&quot;suffix&quot;:&quot;&quot;},{&quot;dropping-particle&quot;:&quot;&quot;,&quot;family&quot;:&quot;Cyrys&quot;,&quot;given&quot;:&quot;Josef&quot;,&quot;non-dropping-particle&quot;:&quot;&quot;,&quot;parse-names&quot;:false,&quot;suffix&quot;:&quot;&quot;},{&quot;dropping-particle&quot;:&quot;&quot;,&quot;family&quot;:&quot;Klot&quot;,&quot;given&quot;:&quot;Stephanie&quot;,&quot;non-dropping-particle&quot;:&quot;von&quot;,&quot;parse-names&quot;:false,&quot;suffix&quot;:&quot;&quot;},{&quot;dropping-particle&quot;:&quot;&quot;,&quot;family&quot;:&quot;Nádor&quot;,&quot;given&quot;:&quot;Gizella&quot;,&quot;non-dropping-particle&quot;:&quot;&quot;,&quot;parse-names&quot;:false,&quot;suffix&quot;:&quot;&quot;},{&quot;dropping-particle&quot;:&quot;&quot;,&quot;family&quot;:&quot;Varró&quot;,&quot;given&quot;:&quot;Mihály János&quot;,&quot;non-dropping-particle&quot;:&quot;&quot;,&quot;parse-names&quot;:false,&quot;suffix&quot;:&quot;&quot;},{&quot;dropping-particle&quot;:&quot;&quot;,&quot;family&quot;:&quot;Dedele&quot;,&quot;given&quot;:&quot;Audrius&quot;,&quot;non-dropping-particle&quot;:&quot;&quot;,&quot;parse-names&quot;:false,&quot;suffix&quot;:&quot;&quot;},{&quot;dropping-particle&quot;:&quot;&quot;,&quot;family&quot;:&quot;Gražulevičiene&quot;,&quot;given&quot;:&quot;Regina&quot;,&quot;non-dropping-particle&quot;:&quot;&quot;,&quot;parse-names&quot;:false,&quot;suffix&quot;:&quot;&quot;},{&quot;dropping-particle&quot;:&quot;&quot;,&quot;family&quot;:&quot;Mölter&quot;,&quot;given&quot;:&quot;Anna&quot;,&quot;non-dropping-particle&quot;:&quot;&quot;,&quot;parse-names&quot;:false,&quot;suffix&quot;:&quot;&quot;},{&quot;dropping-particle&quot;:&quot;&quot;,&quot;family&quot;:&quot;Lindley&quot;,&quot;given&quot;:&quot;Sarah&quot;,&quot;non-dropping-particle&quot;:&quot;&quot;,&quot;parse-names&quot;:false,&quot;suffix&quot;:&quot;&quot;},{&quot;dropping-particle&quot;:&quot;&quot;,&quot;family&quot;:&quot;Madsen&quot;,&quot;given&quot;:&quot;Christian&quot;,&quot;non-dropping-particle&quot;:&quot;&quot;,&quot;parse-names&quot;:false,&quot;suffix&quot;:&quot;&quot;},{&quot;dropping-particle&quot;:&quot;&quot;,&quot;family&quot;:&quot;Cesaroni&quot;,&quot;given&quot;:&quot;Giulia&quot;,&quot;non-dropping-particle&quot;:&quot;&quot;,&quot;parse-names&quot;:false,&quot;suffix&quot;:&quot;&quot;},{&quot;dropping-particle&quot;:&quot;&quot;,&quot;family&quot;:&quot;Ranzi&quot;,&quot;given&quot;:&quot;Andrea&quot;,&quot;non-dropping-particle&quot;:&quot;&quot;,&quot;parse-names&quot;:false,&quot;suffix&quot;:&quot;&quot;},{&quot;dropping-particle&quot;:&quot;&quot;,&quot;family&quot;:&quot;Badaloni&quot;,&quot;given&quot;:&quot;Chiara&quot;,&quot;non-dropping-particle&quot;:&quot;&quot;,&quot;parse-names&quot;:false,&quot;suffix&quot;:&quot;&quot;},{&quot;dropping-particle&quot;:&quot;&quot;,&quot;family&quot;:&quot;Hoffmann&quot;,&quot;given&quot;:&quot;Barbara&quot;,&quot;non-dropping-particle&quot;:&quot;&quot;,&quot;parse-names&quot;:false,&quot;suffix&quot;:&quot;&quot;},{&quot;dropping-particle&quot;:&quot;&quot;,&quot;family&quot;:&quot;Nonnemacher&quot;,&quot;given&quot;:&quot;Michael&quot;,&quot;non-dropping-particle&quot;:&quot;&quot;,&quot;parse-names&quot;:false,&quot;suffix&quot;:&quot;&quot;},{&quot;dropping-particle&quot;:&quot;&quot;,&quot;family&quot;:&quot;Krämer&quot;,&quot;given&quot;:&quot;Ursula&quot;,&quot;non-dropping-particle&quot;:&quot;&quot;,&quot;parse-names&quot;:false,&quot;suffix&quot;:&quot;&quot;},{&quot;dropping-particle&quot;:&quot;&quot;,&quot;family&quot;:&quot;Kuhlbusch&quot;,&quot;given&quot;:&quot;Thomas&quot;,&quot;non-dropping-particle&quot;:&quot;&quot;,&quot;parse-names&quot;:false,&quot;suffix&quot;:&quot;&quot;},{&quot;dropping-particle&quot;:&quot;&quot;,&quot;family&quot;:&quot;Cirach&quot;,&quot;given&quot;:&quot;Marta&quot;,&quot;non-dropping-particle&quot;:&quot;&quot;,&quot;parse-names&quot;:false,&quot;suffix&quot;:&quot;&quot;},{&quot;dropping-particle&quot;:&quot;&quot;,&quot;family&quot;:&quot;Nazelle&quot;,&quot;given&quot;:&quot;Audrey&quot;,&quot;non-dropping-particle&quot;:&quot;de&quot;,&quot;parse-names&quot;:false,&quot;suffix&quot;:&quot;&quot;},{&quot;dropping-particle&quot;:&quot;&quot;,&quot;family&quot;:&quot;Nieuwenhuijsen&quot;,&quot;given&quot;:&quot;Mark&quot;,&quot;non-dropping-particle&quot;:&quot;&quot;,&quot;parse-names&quot;:false,&quot;suffix&quot;:&quot;&quot;},{&quot;dropping-particle&quot;:&quot;&quot;,&quot;family&quot;:&quot;Bellander&quot;,&quot;given&quot;:&quot;Tom&quot;,&quot;non-dropping-particle&quot;:&quot;&quot;,&quot;parse-names&quot;:false,&quot;suffix&quot;:&quot;&quot;},{&quot;dropping-particle&quot;:&quot;&quot;,&quot;family&quot;:&quot;Korek&quot;,&quot;given&quot;:&quot;Michal&quot;,&quot;non-dropping-particle&quot;:&quot;&quot;,&quot;parse-names&quot;:false,&quot;suffix&quot;:&quot;&quot;},{&quot;dropping-particle&quot;:&quot;&quot;,&quot;family&quot;:&quot;Olsson&quot;,&quot;given&quot;:&quot;David&quot;,&quot;non-dropping-particle&quot;:&quot;&quot;,&quot;parse-names&quot;:false,&quot;suffix&quot;:&quot;&quot;},{&quot;dropping-particle&quot;:&quot;&quot;,&quot;family&quot;:&quot;Strömgren&quot;,&quot;given&quot;:&quot;Magnus&quot;,&quot;non-dropping-particle&quot;:&quot;&quot;,&quot;parse-names&quot;:false,&quot;suffix&quot;:&quot;&quot;},{&quot;dropping-particle&quot;:&quot;&quot;,&quot;family&quot;:&quot;Dons&quot;,&quot;given&quot;:&quot;Evi&quot;,&quot;non-dropping-particle&quot;:&quot;&quot;,&quot;parse-names&quot;:false,&quot;suffix&quot;:&quot;&quot;},{&quot;dropping-particle&quot;:&quot;&quot;,&quot;family&quot;:&quot;Jerrett&quot;,&quot;given&quot;:&quot;Michael&quot;,&quot;non-dropping-particle&quot;:&quot;&quot;,&quot;parse-names&quot;:false,&quot;suffix&quot;:&quot;&quot;},{&quot;dropping-particle&quot;:&quot;&quot;,&quot;family&quot;:&quot;Fischer&quot;,&quot;given&quot;:&quot;Paul&quot;,&quot;non-dropping-particle&quot;:&quot;&quot;,&quot;parse-names&quot;:false,&quot;suffix&quot;:&quot;&quot;},{&quot;dropping-particle&quot;:&quot;&quot;,&quot;family&quot;:&quot;Wang&quot;,&quot;given&quot;:&quot;Meng&quot;,&quot;non-dropping-particle&quot;:&quot;&quot;,&quot;parse-names&quot;:false,&quot;suffix&quot;:&quot;&quot;},{&quot;dropping-particle&quot;:&quot;&quot;,&quot;family&quot;:&quot;Brunekreef&quot;,&quot;given&quot;:&quot;Bert&quot;,&quot;non-dropping-particle&quot;:&quot;&quot;,&quot;parse-names&quot;:false,&quot;suffix&quot;:&quot;&quot;},{&quot;dropping-particle&quot;:&quot;&quot;,&quot;family&quot;:&quot;Hoogh&quot;,&quot;given&quot;:&quot;Kees&quot;,&quot;non-dropping-particle&quot;:&quot;de&quot;,&quot;parse-names&quot;:false,&quot;suffix&quot;:&quot;&quot;}],&quot;container-title&quot;:&quot;Atmospheric Environment&quot;,&quot;id&quot;:&quot;11542067-42af-3d8c-a767-5ab92c448abe&quot;,&quot;issued&quot;:{&quot;date-parts&quot;:[[&quot;2013&quot;,&quot;6&quot;,&quot;1&quot;]]},&quot;page&quot;:&quot;10-23&quot;,&quot;publisher&quot;:&quot;Pergamon&quot;,&quot;title&quot;:&quot;Development of NO2 and NOx land use regression models for estimating air pollution exposure in 36 study areas in Europe - The ESCAPE project&quot;,&quot;type&quot;:&quot;article-journal&quot;,&quot;volume&quot;:&quot;72&quot;},&quot;uris&quot;:[&quot;http://www.mendeley.com/documents/?uuid=11542067-42af-3d8c-a767-5ab92c448abe&quot;],&quot;isTemporary&quot;:false,&quot;legacyDesktopId&quot;:&quot;11542067-42af-3d8c-a767-5ab92c448abe&quot;}],&quot;properties&quot;:{&quot;noteIndex&quot;:0},&quot;isEdited&quot;:false,&quot;manualOverride&quot;:{&quot;citeprocText&quot;:&quot;(Beelen et al., 2013)&quot;,&quot;isManuallyOverridden&quot;:false,&quot;manualOverrideText&quot;:&quot;&quot;},&quot;citationTag&quot;:&quot;MENDELEY_CITATION_v3_eyJjaXRhdGlvbklEIjoiTUVOREVMRVlfQ0lUQVRJT05fNzE2Y2M2MzgtZWVlYi00MWU0LWJkNDctNGRkN2EyNmM5M2Q1IiwiY2l0YXRpb25JdGVtcyI6W3siaWQiOiIxMTU0MjA2Ny00MmFmLTNkOGMtYTc2Ny01YWI5MmM0NDhhYmUiLCJpdGVtRGF0YSI6eyJET0kiOiIxMC4xMDE2L2ouYXRtb3NlbnYuMjAxMy4wMi4wMzciLCJJU1NOIjoiMTM1MjIzMTAiLCJhYnN0cmFjdCI6IkVzdGltYXRpbmcgd2l0aGluLWNpdHkgdmFyaWFiaWxpdHkgaW4gYWlyIHBvbGx1dGlvbiBjb25jZW50cmF0aW9ucyBpcyBpbXBvcnRhbnQuIExhbmQgdXNlIHJlZ3Jlc3Npb24gKExVUikgbW9kZWxzIGFyZSBhYmxlIHRvIGV4cGxhaW4gc3VjaCBzbWFsbC1zY2FsZSB3aXRoaW4tY2l0eSB2YXJpYXRpb25zLiBUcmFuc3BhcmVuY3kgaW4gTFVSIG1vZGVsIGRldmVsb3BtZW50IG1ldGhvZHMgaXMgaW1wb3J0YW50IHRvIGZhY2lsaXRhdGUgY29tcGFyaXNvbiBvZiBtZXRob2RzIGJldHdlZW4gZGlmZmVyZW50IHN0dWRpZXMuIFdlIHRoZXJlZm9yZSBkZXZlbG9wZWQgTFVSIG1vZGVscyBpbiBhIHN0YW5kYXJkaXplZCB3YXkgaW4gMzYgc3R1ZHkgYXJlYXMgaW4gRXVyb3BlIGZvciB0aGUgRVNDQVBFIChFdXJvcGVhbiBTdHVkeSBvZiBDb2hvcnRzIGZvciBBaXIgUG9sbHV0aW9uIEVmZmVjdHMpIHByb2plY3QuTml0cm9nZW4gZGlveGlkZSAoTk8yKSBhbmQgbml0cm9nZW4gb3hpZGVzIChOT3gpIHdlcmUgbWVhc3VyZWQgd2l0aCBPZ2F3YSBwYXNzaXZlIHNhbXBsZXJzIGF0IDQwIG9yIDgwIHNpdGVzIGluIGVhY2ggb2YgdGhlIDM2IHN0dWR5IGFyZWFzLiBUaGUgc3BhdGlhbCB2YXJpYXRpb24gaW4gZWFjaCBhcmVhIHdhcyBleHBsYWluZWQgYnkgTFVSIG1vZGVsbGluZy4gQ2VudHJhbGx5IGFuZCBsb2NhbGx5IGF2YWlsYWJsZSBHZW9ncmFwaGljIEluZm9ybWF0aW9uIFN5c3RlbSAoR0lTKSB2YXJpYWJsZXMgd2VyZSB1c2VkIGFzIHBvdGVudGlhbCBwcmVkaWN0b3JzLiBBIGxlYXZlLW9uZSBvdXQgY3Jvc3MtdmFsaWRhdGlvbiBwcm9jZWR1cmUgd2FzIHVzZWQgdG8gZXZhbHVhdGUgdGhlIG1vZGVsIHBlcmZvcm1hbmNlLlRoZXJlIHdhcyBzdWJzdGFudGlhbCBjb250cmFzdCBpbiBhbm51YWwgYXZlcmFnZSBOTzIgYW5kIE5PeCBjb25jZW50cmF0aW9ucyB3aXRoaW4gdGhlIHN0dWR5IGFyZWFzLiBUaGUgbW9kZWwgZXhwbGFpbmVkIHZhcmlhbmNlcyAoUjIpIG9mIHRoZSBMVVIgbW9kZWxzIHJhbmdlZCBmcm9tIDU1JSB0byA5MiUgKG1lZGlhbiA4MiUpIGZvciBOTzIgYW5kIGZyb20gNDklIHRvIDkxJSAobWVkaWFuIDc4JSkgZm9yIE5PeC4gRm9yIG1vc3QgYXJlYXMgdGhlIGNyb3NzLXZhbGlkYXRpb24gUjIgd2FzIGxlc3MgdGhhbiAxMCUgbG93ZXIgdGhhbiB0aGUgbW9kZWwgUjIuIFNtYWxsLXNjYWxlIHRyYWZmaWMgYW5kIHBvcHVsYXRpb24vaG91c2Vob2xkIGRlbnNpdHkgd2VyZSB0aGUgbW9zdCBjb21tb24gcHJlZGljdG9ycy4gVGhlIG1hZ25pdHVkZSBvZiB0aGUgZXhwbGFpbmVkIHZhcmlhbmNlIGRlcGVuZGVkIG9uIHRoZSBjb250cmFzdCBpbiBtZWFzdXJlZCBjb25jZW50cmF0aW9ucyBhcyB3ZWxsIGFzIGF2YWlsYWJpbGl0eSBvZiBHSVMgcHJlZGljdG9ycywgZXNwZWNpYWxseSB0cmFmZmljIGludGVuc2l0eSBkYXRhIHdlcmUgaW1wb3J0YW50LiBJbiBhbiBhZGRpdGlvbmFsIGV2YWx1YXRpb24sIG1vZGVscyBpbiB3aGljaCBsb2NhbCB0cmFmZmljIGludGVuc2l0eSB3YXMgbm90IG9mZmVyZWQgaGFkIDEwJSBsb3dlciBSMiBjb21wYXJlZCB0byBtb2RlbHMgaW4gdGhlIHNhbWUgYXJlYXMgaW4gd2hpY2ggdGhlc2UgdmFyaWFibGVzIHdlcmUgb2ZmZXJlZC5XaXRoaW4gdGhlIEVTQ0FQRSBwcm9qZWN0IGl0IHdhcyBwb3NzaWJsZSB0byBkZXZlbG9wIExVUiBtb2RlbHMgdGhhdCBleHBsYWluZWQgYSBsYXJnZSBmcmFjdGlvbiBvZiB0aGUgc3BhdGlhbCB2YXJpYW5jZSBpbiBtZWFzdXJlZCBhbm51YWwgYXZlcmFnZSBOTzIgYW5kIE5PeCBjb25jZW50cmF0aW9ucy4gVGhlc2UgTFVSIG1vZGVscyBhcmUgYmVpbmcgdXNlZCB0byBlc3RpbWF0ZSBvdXRkb29yIGNvbmNlbnRyYXRpb25zIGF0IHRoZSBob21lIGFkZHJlc3NlcyBvZiBwYXJ0aWNpcGFudHMgaW4gb3ZlciAzMCBjb2hvcnQgc3R1ZGllcy4gwqkgMjAxMyBFbHNldmllciBMdGQuIiwiYXV0aG9yIjpbeyJkcm9wcGluZy1wYXJ0aWNsZSI6IiIsImZhbWlseSI6IkJlZWxlbiIsImdpdmVuIjoiUm9iIiwibm9uLWRyb3BwaW5nLXBhcnRpY2xlIjoiIiwicGFyc2UtbmFtZXMiOmZhbHNlLCJzdWZmaXgiOiIifSx7ImRyb3BwaW5nLXBhcnRpY2xlIjoiIiwiZmFtaWx5IjoiSG9layIsImdpdmVuIjoiR2VyYXJkIiwibm9uLWRyb3BwaW5nLXBhcnRpY2xlIjoiIiwicGFyc2UtbmFtZXMiOmZhbHNlLCJzdWZmaXgiOiIifSx7ImRyb3BwaW5nLXBhcnRpY2xlIjoiIiwiZmFtaWx5IjoiVmllbm5lYXUiLCJnaXZlbiI6IkRhbmllbGxlIiwibm9uLWRyb3BwaW5nLXBhcnRpY2xlIjoiIiwicGFyc2UtbmFtZXMiOmZhbHNlLCJzdWZmaXgiOiIifSx7ImRyb3BwaW5nLXBhcnRpY2xlIjoiIiwiZmFtaWx5IjoiRWVmdGVucyIsImdpdmVuIjoiTWFybG9lcyIsIm5vbi1kcm9wcGluZy1wYXJ0aWNsZSI6IiIsInBhcnNlLW5hbWVzIjpmYWxzZSwic3VmZml4IjoiIn0seyJkcm9wcGluZy1wYXJ0aWNsZSI6IiIsImZhbWlseSI6IkRpbWFrb3BvdWxvdSIsImdpdmVuIjoiS29uc3RhbnRpbmEiLCJub24tZHJvcHBpbmctcGFydGljbGUiOiIiLCJwYXJzZS1uYW1lcyI6ZmFsc2UsInN1ZmZpeCI6IiJ9LHsiZHJvcHBpbmctcGFydGljbGUiOiIiLCJmYW1pbHkiOiJQZWRlbGkiLCJnaXZlbiI6IlhhbnRoaSIsIm5vbi1kcm9wcGluZy1wYXJ0aWNsZSI6IiIsInBhcnNlLW5hbWVzIjpmYWxzZSwic3VmZml4IjoiIn0seyJkcm9wcGluZy1wYXJ0aWNsZSI6IiIsImZhbWlseSI6IlRzYWkiLCJnaXZlbiI6Ik1pbmcgWWkiLCJub24tZHJvcHBpbmctcGFydGljbGUiOiIiLCJwYXJzZS1uYW1lcyI6ZmFsc2UsInN1ZmZpeCI6IiJ9LHsiZHJvcHBpbmctcGFydGljbGUiOiIiLCJmYW1pbHkiOiJLw7xuemxpIiwiZ2l2ZW4iOiJOaW5vIiwibm9uLWRyb3BwaW5nLXBhcnRpY2xlIjoiIiwicGFyc2UtbmFtZXMiOmZhbHNlLCJzdWZmaXgiOiIifSx7ImRyb3BwaW5nLXBhcnRpY2xlIjoiIiwiZmFtaWx5IjoiU2NoaWtvd3NraSIsImdpdmVuIjoiVGFtYXJhIiwibm9uLWRyb3BwaW5nLXBhcnRpY2xlIjoiIiwicGFyc2UtbmFtZXMiOmZhbHNlLCJzdWZmaXgiOiIifSx7ImRyb3BwaW5nLXBhcnRpY2xlIjoiIiwiZmFtaWx5IjoiTWFyY29uIiwiZ2l2ZW4iOiJBbGVzc2FuZHJvIiwibm9uLWRyb3BwaW5nLXBhcnRpY2xlIjoiIiwicGFyc2UtbmFtZXMiOmZhbHNlLCJzdWZmaXgiOiIifSx7ImRyb3BwaW5nLXBhcnRpY2xlIjoiIiwiZmFtaWx5IjoiRXJpa3NlbiIsImdpdmVuIjoiS2lyc3RlbiBULiIsIm5vbi1kcm9wcGluZy1wYXJ0aWNsZSI6IiIsInBhcnNlLW5hbWVzIjpmYWxzZSwic3VmZml4IjoiIn0seyJkcm9wcGluZy1wYXJ0aWNsZSI6IiIsImZhbWlseSI6IlJhYXNjaG91LU5pZWxzZW4iLCJnaXZlbiI6Ik9sZSIsIm5vbi1kcm9wcGluZy1wYXJ0aWNsZSI6IiIsInBhcnNlLW5hbWVzIjpmYWxzZSwic3VmZml4IjoiIn0seyJkcm9wcGluZy1wYXJ0aWNsZSI6IiIsImZhbWlseSI6IlN0ZXBoYW5vdSIsImdpdmVuIjoiRXVyaXBpZGVzIiwibm9uLWRyb3BwaW5nLXBhcnRpY2xlIjoiIiwicGFyc2UtbmFtZXMiOmZhbHNlLCJzdWZmaXgiOiIifSx7ImRyb3BwaW5nLXBhcnRpY2xlIjoiIiwiZmFtaWx5IjoiUGF0ZWxhcm91IiwiZ2l2ZW4iOiJFdnJpZGlraSIsIm5vbi1kcm9wcGluZy1wYXJ0aWNsZSI6IiIsInBhcnNlLW5hbWVzIjpmYWxzZSwic3VmZml4IjoiIn0seyJkcm9wcGluZy1wYXJ0aWNsZSI6IiIsImZhbWlseSI6IkxhbmtpIiwiZ2l2ZW4iOiJUaW1vIiwibm9uLWRyb3BwaW5nLXBhcnRpY2xlIjoiIiwicGFyc2UtbmFtZXMiOmZhbHNlLCJzdWZmaXgiOiIifSx7ImRyb3BwaW5nLXBhcnRpY2xlIjoiIiwiZmFtaWx5IjoiWWxpLVR1b21pIiwiZ2l2ZW4iOiJUYXJqYSIsIm5vbi1kcm9wcGluZy1wYXJ0aWNsZSI6IiIsInBhcnNlLW5hbWVzIjpmYWxzZSwic3VmZml4IjoiIn0seyJkcm9wcGluZy1wYXJ0aWNsZSI6IiIsImZhbWlseSI6IkRlY2xlcmNxIiwiZ2l2ZW4iOiJDaHJpc3RvcGhlIiwibm9uLWRyb3BwaW5nLXBhcnRpY2xlIjoiIiwicGFyc2UtbmFtZXMiOmZhbHNlLCJzdWZmaXgiOiIifSx7ImRyb3BwaW5nLXBhcnRpY2xlIjoiIiwiZmFtaWx5IjoiRmFscSIsImdpdmVuIjoiR3LDqWdvaXJlIiwibm9uLWRyb3BwaW5nLXBhcnRpY2xlIjoiIiwicGFyc2UtbmFtZXMiOmZhbHNlLCJzdWZmaXgiOiIifSx7ImRyb3BwaW5nLXBhcnRpY2xlIjoiIiwiZmFtaWx5IjoiU3RlbXBmZWxldCIsImdpdmVuIjoiTW9yZ2FuZSIsIm5vbi1kcm9wcGluZy1wYXJ0aWNsZSI6IiIsInBhcnNlLW5hbWVzIjpmYWxzZSwic3VmZml4IjoiIn0seyJkcm9wcGluZy1wYXJ0aWNsZSI6IiIsImZhbWlseSI6IkJpcmsiLCJnaXZlbiI6Ik1hdHRoaWFzIiwibm9uLWRyb3BwaW5nLXBhcnRpY2xlIjoiIiwicGFyc2UtbmFtZXMiOmZhbHNlLCJzdWZmaXgiOiIifSx7ImRyb3BwaW5nLXBhcnRpY2xlIjoiIiwiZmFtaWx5IjoiQ3lyeXMiLCJnaXZlbiI6Ikpvc2VmIiwibm9uLWRyb3BwaW5nLXBhcnRpY2xlIjoiIiwicGFyc2UtbmFtZXMiOmZhbHNlLCJzdWZmaXgiOiIifSx7ImRyb3BwaW5nLXBhcnRpY2xlIjoiIiwiZmFtaWx5IjoiS2xvdCIsImdpdmVuIjoiU3RlcGhhbmllIiwibm9uLWRyb3BwaW5nLXBhcnRpY2xlIjoidm9uIiwicGFyc2UtbmFtZXMiOmZhbHNlLCJzdWZmaXgiOiIifSx7ImRyb3BwaW5nLXBhcnRpY2xlIjoiIiwiZmFtaWx5IjoiTsOhZG9yIiwiZ2l2ZW4iOiJHaXplbGxhIiwibm9uLWRyb3BwaW5nLXBhcnRpY2xlIjoiIiwicGFyc2UtbmFtZXMiOmZhbHNlLCJzdWZmaXgiOiIifSx7ImRyb3BwaW5nLXBhcnRpY2xlIjoiIiwiZmFtaWx5IjoiVmFycsOzIiwiZ2l2ZW4iOiJNaWjDoWx5IErDoW5vcyIsIm5vbi1kcm9wcGluZy1wYXJ0aWNsZSI6IiIsInBhcnNlLW5hbWVzIjpmYWxzZSwic3VmZml4IjoiIn0seyJkcm9wcGluZy1wYXJ0aWNsZSI6IiIsImZhbWlseSI6IkRlZGVsZSIsImdpdmVuIjoiQXVkcml1cyIsIm5vbi1kcm9wcGluZy1wYXJ0aWNsZSI6IiIsInBhcnNlLW5hbWVzIjpmYWxzZSwic3VmZml4IjoiIn0seyJkcm9wcGluZy1wYXJ0aWNsZSI6IiIsImZhbWlseSI6IkdyYcW+dWxldmnEjWllbmUiLCJnaXZlbiI6IlJlZ2luYSIsIm5vbi1kcm9wcGluZy1wYXJ0aWNsZSI6IiIsInBhcnNlLW5hbWVzIjpmYWxzZSwic3VmZml4IjoiIn0seyJkcm9wcGluZy1wYXJ0aWNsZSI6IiIsImZhbWlseSI6Ik3Dtmx0ZXIiLCJnaXZlbiI6IkFubmEiLCJub24tZHJvcHBpbmctcGFydGljbGUiOiIiLCJwYXJzZS1uYW1lcyI6ZmFsc2UsInN1ZmZpeCI6IiJ9LHsiZHJvcHBpbmctcGFydGljbGUiOiIiLCJmYW1pbHkiOiJMaW5kbGV5IiwiZ2l2ZW4iOiJTYXJhaCIsIm5vbi1kcm9wcGluZy1wYXJ0aWNsZSI6IiIsInBhcnNlLW5hbWVzIjpmYWxzZSwic3VmZml4IjoiIn0seyJkcm9wcGluZy1wYXJ0aWNsZSI6IiIsImZhbWlseSI6Ik1hZHNlbiIsImdpdmVuIjoiQ2hyaXN0aWFuIiwibm9uLWRyb3BwaW5nLXBhcnRpY2xlIjoiIiwicGFyc2UtbmFtZXMiOmZhbHNlLCJzdWZmaXgiOiIifSx7ImRyb3BwaW5nLXBhcnRpY2xlIjoiIiwiZmFtaWx5IjoiQ2VzYXJvbmkiLCJnaXZlbiI6IkdpdWxpYSIsIm5vbi1kcm9wcGluZy1wYXJ0aWNsZSI6IiIsInBhcnNlLW5hbWVzIjpmYWxzZSwic3VmZml4IjoiIn0seyJkcm9wcGluZy1wYXJ0aWNsZSI6IiIsImZhbWlseSI6IlJhbnppIiwiZ2l2ZW4iOiJBbmRyZWEiLCJub24tZHJvcHBpbmctcGFydGljbGUiOiIiLCJwYXJzZS1uYW1lcyI6ZmFsc2UsInN1ZmZpeCI6IiJ9LHsiZHJvcHBpbmctcGFydGljbGUiOiIiLCJmYW1pbHkiOiJCYWRhbG9uaSIsImdpdmVuIjoiQ2hpYXJhIiwibm9uLWRyb3BwaW5nLXBhcnRpY2xlIjoiIiwicGFyc2UtbmFtZXMiOmZhbHNlLCJzdWZmaXgiOiIifSx7ImRyb3BwaW5nLXBhcnRpY2xlIjoiIiwiZmFtaWx5IjoiSG9mZm1hbm4iLCJnaXZlbiI6IkJhcmJhcmEiLCJub24tZHJvcHBpbmctcGFydGljbGUiOiIiLCJwYXJzZS1uYW1lcyI6ZmFsc2UsInN1ZmZpeCI6IiJ9LHsiZHJvcHBpbmctcGFydGljbGUiOiIiLCJmYW1pbHkiOiJOb25uZW1hY2hlciIsImdpdmVuIjoiTWljaGFlbCIsIm5vbi1kcm9wcGluZy1wYXJ0aWNsZSI6IiIsInBhcnNlLW5hbWVzIjpmYWxzZSwic3VmZml4IjoiIn0seyJkcm9wcGluZy1wYXJ0aWNsZSI6IiIsImZhbWlseSI6Iktyw6RtZXIiLCJnaXZlbiI6IlVyc3VsYSIsIm5vbi1kcm9wcGluZy1wYXJ0aWNsZSI6IiIsInBhcnNlLW5hbWVzIjpmYWxzZSwic3VmZml4IjoiIn0seyJkcm9wcGluZy1wYXJ0aWNsZSI6IiIsImZhbWlseSI6Ikt1aGxidXNjaCIsImdpdmVuIjoiVGhvbWFzIiwibm9uLWRyb3BwaW5nLXBhcnRpY2xlIjoiIiwicGFyc2UtbmFtZXMiOmZhbHNlLCJzdWZmaXgiOiIifSx7ImRyb3BwaW5nLXBhcnRpY2xlIjoiIiwiZmFtaWx5IjoiQ2lyYWNoIiwiZ2l2ZW4iOiJNYXJ0YSIsIm5vbi1kcm9wcGluZy1wYXJ0aWNsZSI6IiIsInBhcnNlLW5hbWVzIjpmYWxzZSwic3VmZml4IjoiIn0seyJkcm9wcGluZy1wYXJ0aWNsZSI6IiIsImZhbWlseSI6Ik5hemVsbGUiLCJnaXZlbiI6IkF1ZHJleSIsIm5vbi1kcm9wcGluZy1wYXJ0aWNsZSI6ImRlIiwicGFyc2UtbmFtZXMiOmZhbHNlLCJzdWZmaXgiOiIifSx7ImRyb3BwaW5nLXBhcnRpY2xlIjoiIiwiZmFtaWx5IjoiTmlldXdlbmh1aWpzZW4iLCJnaXZlbiI6Ik1hcmsiLCJub24tZHJvcHBpbmctcGFydGljbGUiOiIiLCJwYXJzZS1uYW1lcyI6ZmFsc2UsInN1ZmZpeCI6IiJ9LHsiZHJvcHBpbmctcGFydGljbGUiOiIiLCJmYW1pbHkiOiJCZWxsYW5kZXIiLCJnaXZlbiI6IlRvbSIsIm5vbi1kcm9wcGluZy1wYXJ0aWNsZSI6IiIsInBhcnNlLW5hbWVzIjpmYWxzZSwic3VmZml4IjoiIn0seyJkcm9wcGluZy1wYXJ0aWNsZSI6IiIsImZhbWlseSI6IktvcmVrIiwiZ2l2ZW4iOiJNaWNoYWwiLCJub24tZHJvcHBpbmctcGFydGljbGUiOiIiLCJwYXJzZS1uYW1lcyI6ZmFsc2UsInN1ZmZpeCI6IiJ9LHsiZHJvcHBpbmctcGFydGljbGUiOiIiLCJmYW1pbHkiOiJPbHNzb24iLCJnaXZlbiI6IkRhdmlkIiwibm9uLWRyb3BwaW5nLXBhcnRpY2xlIjoiIiwicGFyc2UtbmFtZXMiOmZhbHNlLCJzdWZmaXgiOiIifSx7ImRyb3BwaW5nLXBhcnRpY2xlIjoiIiwiZmFtaWx5IjoiU3Ryw7ZtZ3JlbiIsImdpdmVuIjoiTWFnbnVzIiwibm9uLWRyb3BwaW5nLXBhcnRpY2xlIjoiIiwicGFyc2UtbmFtZXMiOmZhbHNlLCJzdWZmaXgiOiIifSx7ImRyb3BwaW5nLXBhcnRpY2xlIjoiIiwiZmFtaWx5IjoiRG9ucyIsImdpdmVuIjoiRXZpIiwibm9uLWRyb3BwaW5nLXBhcnRpY2xlIjoiIiwicGFyc2UtbmFtZXMiOmZhbHNlLCJzdWZmaXgiOiIifSx7ImRyb3BwaW5nLXBhcnRpY2xlIjoiIiwiZmFtaWx5IjoiSmVycmV0dCIsImdpdmVuIjoiTWljaGFlbCIsIm5vbi1kcm9wcGluZy1wYXJ0aWNsZSI6IiIsInBhcnNlLW5hbWVzIjpmYWxzZSwic3VmZml4IjoiIn0seyJkcm9wcGluZy1wYXJ0aWNsZSI6IiIsImZhbWlseSI6IkZpc2NoZXIiLCJnaXZlbiI6IlBhdWwiLCJub24tZHJvcHBpbmctcGFydGljbGUiOiIiLCJwYXJzZS1uYW1lcyI6ZmFsc2UsInN1ZmZpeCI6IiJ9LHsiZHJvcHBpbmctcGFydGljbGUiOiIiLCJmYW1pbHkiOiJXYW5nIiwiZ2l2ZW4iOiJNZW5nIiwibm9uLWRyb3BwaW5nLXBhcnRpY2xlIjoiIiwicGFyc2UtbmFtZXMiOmZhbHNlLCJzdWZmaXgiOiIifSx7ImRyb3BwaW5nLXBhcnRpY2xlIjoiIiwiZmFtaWx5IjoiQnJ1bmVrcmVlZiIsImdpdmVuIjoiQmVydCIsIm5vbi1kcm9wcGluZy1wYXJ0aWNsZSI6IiIsInBhcnNlLW5hbWVzIjpmYWxzZSwic3VmZml4IjoiIn0seyJkcm9wcGluZy1wYXJ0aWNsZSI6IiIsImZhbWlseSI6Ikhvb2doIiwiZ2l2ZW4iOiJLZWVzIiwibm9uLWRyb3BwaW5nLXBhcnRpY2xlIjoiZGUiLCJwYXJzZS1uYW1lcyI6ZmFsc2UsInN1ZmZpeCI6IiJ9XSwiY29udGFpbmVyLXRpdGxlIjoiQXRtb3NwaGVyaWMgRW52aXJvbm1lbnQiLCJpZCI6IjExNTQyMDY3LTQyYWYtM2Q4Yy1hNzY3LTVhYjkyYzQ0OGFiZSIsImlzc3VlZCI6eyJkYXRlLXBhcnRzIjpbWyIyMDEzIiwiNiIsIjEiXV19LCJwYWdlIjoiMTAtMjMiLCJwdWJsaXNoZXIiOiJQZXJnYW1vbiIsInRpdGxlIjoiRGV2ZWxvcG1lbnQgb2YgTk8yIGFuZCBOT3ggbGFuZCB1c2UgcmVncmVzc2lvbiBtb2RlbHMgZm9yIGVzdGltYXRpbmcgYWlyIHBvbGx1dGlvbiBleHBvc3VyZSBpbiAzNiBzdHVkeSBhcmVhcyBpbiBFdXJvcGUgLSBUaGUgRVNDQVBFIHByb2plY3QiLCJ0eXBlIjoiYXJ0aWNsZS1qb3VybmFsIiwidm9sdW1lIjoiNzIifSwidXJpcyI6WyJodHRwOi8vd3d3Lm1lbmRlbGV5LmNvbS9kb2N1bWVudHMvP3V1aWQ9MTE1NDIwNjctNDJhZi0zZDhjLWE3NjctNWFiOTJjNDQ4YWJlIl0sImlzVGVtcG9yYXJ5IjpmYWxzZSwibGVnYWN5RGVza3RvcElkIjoiMTE1NDIwNjctNDJhZi0zZDhjLWE3NjctNWFiOTJjNDQ4YWJlIn1dLCJwcm9wZXJ0aWVzIjp7Im5vdGVJbmRleCI6MH0sImlzRWRpdGVkIjpmYWxzZSwibWFudWFsT3ZlcnJpZGUiOnsiY2l0ZXByb2NUZXh0IjoiKEJlZWxlbiBldCBhbC4sIDIwMTMpIiwiaXNNYW51YWxseU92ZXJyaWRkZW4iOmZhbHNlLCJtYW51YWxPdmVycmlkZVRleHQiOiIifX0=&quot;},{&quot;citationID&quot;:&quot;MENDELEY_CITATION_cad37a53-53b5-4739-94dc-0644aba5e46e&quot;,&quot;citationItems&quot;:[{&quot;id&quot;:&quot;e3ce8ff0-d746-3748-8a16-55455c8a7f6c&quot;,&quot;itemData&quot;:{&quot;DOI&quot;:&quot;10.1016/j.envres.2015.04.014&quot;,&quot;ISBN&quot;:&quot;00139351&quot;,&quot;ISSN&quot;:&quot;10960953&quot;,&quot;PMID&quot;:&quot;25978345&quot;,&quot;abstract&quot;:&quot;Uncertainty about health effects of long-term ozone exposure remains. Land use regression (LUR) models have been used successfully for modeling fine scale spatial variation of primary pollutants but very limited for ozone.Our objective was to assess the feasibility of developing a national LUR model for ozone at a fine spatial scale. Ozone concentrations were measured with passive samplers at 90 locations across the Netherlands (19 regional background, 36 urban background, 35 traffic). All sites were measured simultaneously during four 2-weekly campaigns spread over the seasons. LUR models were developed for the summer average as the primary exposure and annual average using predictor variables obtained with Geographic Information Systems.Summer average ozone concentrations varied between 32 and 61μg/m3. Ozone concentrations at traffic sites were on average 9μg/m3 lower compared to regional background sites. Ozone correlated highly negatively with nitrogen dioxide and moderately with fine particles. A LUR model including small-scale traffic, large-scale address density, urban green and a region indicator explained 71% of the spatial variation in summer average ozone concentrations.Land use regression modeling is a promising method to assess ozone spatial variation, but the high correlation with NO2 limits application in epidemiology.&quot;,&quot;author&quot;:[{&quot;dropping-particle&quot;:&quot;&quot;,&quot;family&quot;:&quot;Kerckhoffs&quot;,&quot;given&quot;:&quot;Jules&quot;,&quot;non-dropping-particle&quot;:&quot;&quot;,&quot;parse-names&quot;:false,&quot;suffix&quot;:&quot;&quot;},{&quot;dropping-particle&quot;:&quot;&quot;,&quot;family&quot;:&quot;Wang&quot;,&quot;given&quot;:&quot;Meng&quot;,&quot;non-dropping-particle&quot;:&quot;&quot;,&quot;parse-names&quot;:false,&quot;suffix&quot;:&quot;&quot;},{&quot;dropping-particle&quot;:&quot;&quot;,&quot;family&quot;:&quot;Meliefste&quot;,&quot;given&quot;:&quot;Kees&quot;,&quot;non-dropping-particle&quot;:&quot;&quot;,&quot;parse-names&quot;:false,&quot;suffix&quot;:&quot;&quot;},{&quot;dropping-particle&quot;:&quot;&quot;,&quot;family&quot;:&quot;Malmqvist&quot;,&quot;given&quot;:&quot;Ebba&quot;,&quot;non-dropping-particle&quot;:&quot;&quot;,&quot;parse-names&quot;:false,&quot;suffix&quot;:&quot;&quot;},{&quot;dropping-particle&quot;:&quot;&quot;,&quot;family&quot;:&quot;Fischer&quot;,&quot;given&quot;:&quot;Paul&quot;,&quot;non-dropping-particle&quot;:&quot;&quot;,&quot;parse-names&quot;:false,&quot;suffix&quot;:&quot;&quot;},{&quot;dropping-particle&quot;:&quot;&quot;,&quot;family&quot;:&quot;Janssen&quot;,&quot;given&quot;:&quot;Nicole A H&quot;,&quot;non-dropping-particle&quot;:&quot;&quot;,&quot;parse-names&quot;:false,&quot;suffix&quot;:&quot;&quot;},{&quot;dropping-particle&quot;:&quot;&quot;,&quot;family&quot;:&quot;Beelen&quot;,&quot;given&quot;:&quot;Rob&quot;,&quot;non-dropping-particle&quot;:&quot;&quot;,&quot;parse-names&quot;:false,&quot;suffix&quot;:&quot;&quot;},{&quot;dropping-particle&quot;:&quot;&quot;,&quot;family&quot;:&quot;Hoek&quot;,&quot;given&quot;:&quot;Gerard&quot;,&quot;non-dropping-particle&quot;:&quot;&quot;,&quot;parse-names&quot;:false,&quot;suffix&quot;:&quot;&quot;}],&quot;container-title&quot;:&quot;Environmental Research&quot;,&quot;id&quot;:&quot;e3ce8ff0-d746-3748-8a16-55455c8a7f6c&quot;,&quot;issued&quot;:{&quot;date-parts&quot;:[[&quot;2015&quot;]]},&quot;page&quot;:&quot;440-448&quot;,&quot;title&quot;:&quot;A national fine spatial scale land-use regression model for ozone&quot;,&quot;type&quot;:&quot;article-journal&quot;,&quot;volume&quot;:&quot;140&quot;},&quot;uris&quot;:[&quot;http://www.mendeley.com/documents/?uuid=40e1d9a8-cef1-45d2-8c9d-5dbe5fc7e422&quot;],&quot;isTemporary&quot;:false,&quot;legacyDesktopId&quot;:&quot;40e1d9a8-cef1-45d2-8c9d-5dbe5fc7e422&quot;}],&quot;properties&quot;:{&quot;noteIndex&quot;:0},&quot;isEdited&quot;:false,&quot;manualOverride&quot;:{&quot;citeprocText&quot;:&quot;(Kerckhoffs et al., 2015)&quot;,&quot;isManuallyOverridden&quot;:false,&quot;manualOverrideText&quot;:&quot;&quot;},&quot;citationTag&quot;:&quot;MENDELEY_CITATION_v3_eyJjaXRhdGlvbklEIjoiTUVOREVMRVlfQ0lUQVRJT05fY2FkMzdhNTMtNTNiNS00NzM5LTk0ZGMtMDY0NGFiYTVlNDZlIiwiY2l0YXRpb25JdGVtcyI6W3siaWQiOiJlM2NlOGZmMC1kNzQ2LTM3NDgtOGExNi01NTQ1NWM4YTdmNmMiLCJpdGVtRGF0YSI6eyJET0kiOiIxMC4xMDE2L2ouZW52cmVzLjIwMTUuMDQuMDE0IiwiSVNCTiI6IjAwMTM5MzUxIiwiSVNTTiI6IjEwOTYwOTUzIiwiUE1JRCI6IjI1OTc4MzQ1IiwiYWJzdHJhY3QiOiJVbmNlcnRhaW50eSBhYm91dCBoZWFsdGggZWZmZWN0cyBvZiBsb25nLXRlcm0gb3pvbmUgZXhwb3N1cmUgcmVtYWlucy4gTGFuZCB1c2UgcmVncmVzc2lvbiAoTFVSKSBtb2RlbHMgaGF2ZSBiZWVuIHVzZWQgc3VjY2Vzc2Z1bGx5IGZvciBtb2RlbGluZyBmaW5lIHNjYWxlIHNwYXRpYWwgdmFyaWF0aW9uIG9mIHByaW1hcnkgcG9sbHV0YW50cyBidXQgdmVyeSBsaW1pdGVkIGZvciBvem9uZS5PdXIgb2JqZWN0aXZlIHdhcyB0byBhc3Nlc3MgdGhlIGZlYXNpYmlsaXR5IG9mIGRldmVsb3BpbmcgYSBuYXRpb25hbCBMVVIgbW9kZWwgZm9yIG96b25lIGF0IGEgZmluZSBzcGF0aWFsIHNjYWxlLiBPem9uZSBjb25jZW50cmF0aW9ucyB3ZXJlIG1lYXN1cmVkIHdpdGggcGFzc2l2ZSBzYW1wbGVycyBhdCA5MCBsb2NhdGlvbnMgYWNyb3NzIHRoZSBOZXRoZXJsYW5kcyAoMTkgcmVnaW9uYWwgYmFja2dyb3VuZCwgMzYgdXJiYW4gYmFja2dyb3VuZCwgMzUgdHJhZmZpYykuIEFsbCBzaXRlcyB3ZXJlIG1lYXN1cmVkIHNpbXVsdGFuZW91c2x5IGR1cmluZyBmb3VyIDItd2Vla2x5IGNhbXBhaWducyBzcHJlYWQgb3ZlciB0aGUgc2Vhc29ucy4gTFVSIG1vZGVscyB3ZXJlIGRldmVsb3BlZCBmb3IgdGhlIHN1bW1lciBhdmVyYWdlIGFzIHRoZSBwcmltYXJ5IGV4cG9zdXJlIGFuZCBhbm51YWwgYXZlcmFnZSB1c2luZyBwcmVkaWN0b3IgdmFyaWFibGVzIG9idGFpbmVkIHdpdGggR2VvZ3JhcGhpYyBJbmZvcm1hdGlvbiBTeXN0ZW1zLlN1bW1lciBhdmVyYWdlIG96b25lIGNvbmNlbnRyYXRpb25zIHZhcmllZCBiZXR3ZWVuIDMyIGFuZCA2Mc68Zy9tMy4gT3pvbmUgY29uY2VudHJhdGlvbnMgYXQgdHJhZmZpYyBzaXRlcyB3ZXJlIG9uIGF2ZXJhZ2UgOc68Zy9tMyBsb3dlciBjb21wYXJlZCB0byByZWdpb25hbCBiYWNrZ3JvdW5kIHNpdGVzLiBPem9uZSBjb3JyZWxhdGVkIGhpZ2hseSBuZWdhdGl2ZWx5IHdpdGggbml0cm9nZW4gZGlveGlkZSBhbmQgbW9kZXJhdGVseSB3aXRoIGZpbmUgcGFydGljbGVzLiBBIExVUiBtb2RlbCBpbmNsdWRpbmcgc21hbGwtc2NhbGUgdHJhZmZpYywgbGFyZ2Utc2NhbGUgYWRkcmVzcyBkZW5zaXR5LCB1cmJhbiBncmVlbiBhbmQgYSByZWdpb24gaW5kaWNhdG9yIGV4cGxhaW5lZCA3MSUgb2YgdGhlIHNwYXRpYWwgdmFyaWF0aW9uIGluIHN1bW1lciBhdmVyYWdlIG96b25lIGNvbmNlbnRyYXRpb25zLkxhbmQgdXNlIHJlZ3Jlc3Npb24gbW9kZWxpbmcgaXMgYSBwcm9taXNpbmcgbWV0aG9kIHRvIGFzc2VzcyBvem9uZSBzcGF0aWFsIHZhcmlhdGlvbiwgYnV0IHRoZSBoaWdoIGNvcnJlbGF0aW9uIHdpdGggTk8yIGxpbWl0cyBhcHBsaWNhdGlvbiBpbiBlcGlkZW1pb2xvZ3kuIiwiYXV0aG9yIjpbeyJkcm9wcGluZy1wYXJ0aWNsZSI6IiIsImZhbWlseSI6IktlcmNraG9mZnMiLCJnaXZlbiI6Ikp1bGVzIiwibm9uLWRyb3BwaW5nLXBhcnRpY2xlIjoiIiwicGFyc2UtbmFtZXMiOmZhbHNlLCJzdWZmaXgiOiIifSx7ImRyb3BwaW5nLXBhcnRpY2xlIjoiIiwiZmFtaWx5IjoiV2FuZyIsImdpdmVuIjoiTWVuZyIsIm5vbi1kcm9wcGluZy1wYXJ0aWNsZSI6IiIsInBhcnNlLW5hbWVzIjpmYWxzZSwic3VmZml4IjoiIn0seyJkcm9wcGluZy1wYXJ0aWNsZSI6IiIsImZhbWlseSI6Ik1lbGllZnN0ZSIsImdpdmVuIjoiS2VlcyIsIm5vbi1kcm9wcGluZy1wYXJ0aWNsZSI6IiIsInBhcnNlLW5hbWVzIjpmYWxzZSwic3VmZml4IjoiIn0seyJkcm9wcGluZy1wYXJ0aWNsZSI6IiIsImZhbWlseSI6Ik1hbG1xdmlzdCIsImdpdmVuIjoiRWJiYSIsIm5vbi1kcm9wcGluZy1wYXJ0aWNsZSI6IiIsInBhcnNlLW5hbWVzIjpmYWxzZSwic3VmZml4IjoiIn0seyJkcm9wcGluZy1wYXJ0aWNsZSI6IiIsImZhbWlseSI6IkZpc2NoZXIiLCJnaXZlbiI6IlBhdWwiLCJub24tZHJvcHBpbmctcGFydGljbGUiOiIiLCJwYXJzZS1uYW1lcyI6ZmFsc2UsInN1ZmZpeCI6IiJ9LHsiZHJvcHBpbmctcGFydGljbGUiOiIiLCJmYW1pbHkiOiJKYW5zc2VuIiwiZ2l2ZW4iOiJOaWNvbGUgQSBIIiwibm9uLWRyb3BwaW5nLXBhcnRpY2xlIjoiIiwicGFyc2UtbmFtZXMiOmZhbHNlLCJzdWZmaXgiOiIifSx7ImRyb3BwaW5nLXBhcnRpY2xlIjoiIiwiZmFtaWx5IjoiQmVlbGVuIiwiZ2l2ZW4iOiJSb2IiLCJub24tZHJvcHBpbmctcGFydGljbGUiOiIiLCJwYXJzZS1uYW1lcyI6ZmFsc2UsInN1ZmZpeCI6IiJ9LHsiZHJvcHBpbmctcGFydGljbGUiOiIiLCJmYW1pbHkiOiJIb2VrIiwiZ2l2ZW4iOiJHZXJhcmQiLCJub24tZHJvcHBpbmctcGFydGljbGUiOiIiLCJwYXJzZS1uYW1lcyI6ZmFsc2UsInN1ZmZpeCI6IiJ9XSwiY29udGFpbmVyLXRpdGxlIjoiRW52aXJvbm1lbnRhbCBSZXNlYXJjaCIsImlkIjoiZTNjZThmZjAtZDc0Ni0zNzQ4LThhMTYtNTU0NTVjOGE3ZjZjIiwiaXNzdWVkIjp7ImRhdGUtcGFydHMiOltbIjIwMTUiXV19LCJwYWdlIjoiNDQwLTQ0OCIsInRpdGxlIjoiQSBuYXRpb25hbCBmaW5lIHNwYXRpYWwgc2NhbGUgbGFuZC11c2UgcmVncmVzc2lvbiBtb2RlbCBmb3Igb3pvbmUiLCJ0eXBlIjoiYXJ0aWNsZS1qb3VybmFsIiwidm9sdW1lIjoiMTQwIn0sInVyaXMiOlsiaHR0cDovL3d3dy5tZW5kZWxleS5jb20vZG9jdW1lbnRzLz91dWlkPTQwZTFkOWE4LWNlZjEtNDVkMi04YzlkLTVkYmU1ZmM3ZTQyMiJdLCJpc1RlbXBvcmFyeSI6ZmFsc2UsImxlZ2FjeURlc2t0b3BJZCI6IjQwZTFkOWE4LWNlZjEtNDVkMi04YzlkLTVkYmU1ZmM3ZTQyMiJ9XSwicHJvcGVydGllcyI6eyJub3RlSW5kZXgiOjB9LCJpc0VkaXRlZCI6ZmFsc2UsIm1hbnVhbE92ZXJyaWRlIjp7ImNpdGVwcm9jVGV4dCI6IihLZXJja2hvZmZzIGV0IGFsLiwgMjAxNSkiLCJpc01hbnVhbGx5T3ZlcnJpZGRlbiI6ZmFsc2UsIm1hbnVhbE92ZXJyaWRlVGV4dCI6IiJ9fQ==&quot;},{&quot;citationID&quot;:&quot;MENDELEY_CITATION_f957d85d-af1a-40ad-803f-0ab51c547bc2&quot;,&quot;citationItems&quot;:[{&quot;id&quot;:&quot;5ecb7567-ff6b-3da3-9e62-95fa2dea753b&quot;,&quot;itemData&quot;:{&quot;DOI&quot;:&quot;10.1186/1476-069X-13-63&quot;,&quot;ISSN&quot;:&quot;1476069X&quot;,&quot;PMID&quot;:&quot;25097007&quot;,&quot;abstract&quot;:&quot;Background: Exposure to atmospheric particulate matter (PM) remains an important public health concern, although it remains difficult to quantify accurately across large geographic areas with sufficiently high spatial resolution. Recent epidemiologic analyses have demonstrated the importance of spatially- and temporally-resolved exposure estimates, which show larger PM-mediated health effects as compared to nearest monitor or county-specific ambient concentrations. Methods. We developed generalized additive mixed models that describe regional and small-scale spatial and temporal gradients (and corresponding uncertainties) in monthly mass concentrations of fine (PM2.5), inhalable (PM10), and coarse mode particle mass (PM2.5-10) for the conterminous United States (U.S.). These models expand our previously developed models for the Northeastern and Midwestern U.S. by virtue of their larger spatial domain, their inclusion of an additional 5 years of PM data to develop predictions through 2007, and their use of refined geographic covariates for population density and point-source PM emissions. Covariate selection and model validation were performed using 10-fold cross-validation (CV). Results: The PM2.5 models had high predictive accuracy (CV R2=0.77 for both 1988-1998 and 1999-2007). While model performance remained strong, the predictive ability of models for PM10 (CV R2=0.58 for both 1988-1998 and 1999-2007) and PM2.5-10 (CV R2=0.46 and 0.52 for 1988-1998 and 1999-2007, respectively) was somewhat lower. Regional variation was found in the effects of geographic and meteorological covariates. Models generally performed well in both urban and rural areas and across seasons, though predictive performance varied somewhat by region (CV R2=0.81, 0.81, 0.83, 0.72, 0.69, 0.50, and 0.60 for the Northeast, Midwest, Southeast, Southcentral, Southwest, Northwest, and Central Plains regions, respectively, for PM2.5 from 1999-2007). Conclusions: Our models provide estimates of monthly-average outdoor concentrations of PM2.5, PM10, and PM2.5-10 with high spatial resolution and low bias. Thus, these models are suitable for estimating chronic exposures of populations living in the conterminous U.S. from 1988 to 2007.&quot;,&quot;author&quot;:[{&quot;dropping-particle&quot;:&quot;&quot;,&quot;family&quot;:&quot;Yanosky&quot;,&quot;given&quot;:&quot;Jeff D.&quot;,&quot;non-dropping-particle&quot;:&quot;&quot;,&quot;parse-names&quot;:false,&quot;suffix&quot;:&quot;&quot;},{&quot;dropping-particle&quot;:&quot;&quot;,&quot;family&quot;:&quot;Paciorek&quot;,&quot;given&quot;:&quot;Christopher J.&quot;,&quot;non-dropping-particle&quot;:&quot;&quot;,&quot;parse-names&quot;:false,&quot;suffix&quot;:&quot;&quot;},{&quot;dropping-particle&quot;:&quot;&quot;,&quot;family&quot;:&quot;Laden&quot;,&quot;given&quot;:&quot;Francine&quot;,&quot;non-dropping-particle&quot;:&quot;&quot;,&quot;parse-names&quot;:false,&quot;suffix&quot;:&quot;&quot;},{&quot;dropping-particle&quot;:&quot;&quot;,&quot;family&quot;:&quot;Hart&quot;,&quot;given&quot;:&quot;Jaime E.&quot;,&quot;non-dropping-particle&quot;:&quot;&quot;,&quot;parse-names&quot;:false,&quot;suffix&quot;:&quot;&quot;},{&quot;dropping-particle&quot;:&quot;&quot;,&quot;family&quot;:&quot;Puett&quot;,&quot;given&quot;:&quot;Robin C.&quot;,&quot;non-dropping-particle&quot;:&quot;&quot;,&quot;parse-names&quot;:false,&quot;suffix&quot;:&quot;&quot;},{&quot;dropping-particle&quot;:&quot;&quot;,&quot;family&quot;:&quot;Liao&quot;,&quot;given&quot;:&quot;Duanping&quot;,&quot;non-dropping-particle&quot;:&quot;&quot;,&quot;parse-names&quot;:false,&quot;suffix&quot;:&quot;&quot;},{&quot;dropping-particle&quot;:&quot;&quot;,&quot;family&quot;:&quot;Suh&quot;,&quot;given&quot;:&quot;Helen H.&quot;,&quot;non-dropping-particle&quot;:&quot;&quot;,&quot;parse-names&quot;:false,&quot;suffix&quot;:&quot;&quot;}],&quot;container-title&quot;:&quot;Environmental Health: A Global Access Science Source&quot;,&quot;id&quot;:&quot;5ecb7567-ff6b-3da3-9e62-95fa2dea753b&quot;,&quot;issue&quot;:&quot;1&quot;,&quot;issued&quot;:{&quot;date-parts&quot;:[[&quot;2014&quot;,&quot;8&quot;,&quot;5&quot;]]},&quot;publisher&quot;:&quot;BioMed Central Ltd.&quot;,&quot;title&quot;:&quot;Spatio-temporal modeling of particulate air pollution in the conterminous United States using geographic and meteorological predictors&quot;,&quot;type&quot;:&quot;article-journal&quot;,&quot;volume&quot;:&quot;13&quot;},&quot;suppress-author&quot;:1,&quot;uris&quot;:[&quot;http://www.mendeley.com/documents/?uuid=5ecb7567-ff6b-3da3-9e62-95fa2dea753b&quot;],&quot;isTemporary&quot;:false,&quot;legacyDesktopId&quot;:&quot;5ecb7567-ff6b-3da3-9e62-95fa2dea753b&quot;}],&quot;properties&quot;:{&quot;noteIndex&quot;:0},&quot;isEdited&quot;:true,&quot;manualOverride&quot;:{&quot;citeprocText&quot;:&quot;(2014)&quot;,&quot;isManuallyOverridden&quot;:false,&quot;manualOverrideText&quot;:&quot;&quot;},&quot;citationTag&quot;:&quot;MENDELEY_CITATION_v3_eyJjaXRhdGlvbklEIjoiTUVOREVMRVlfQ0lUQVRJT05fZjk1N2Q4NWQtYWYxYS00MGFkLTgwM2YtMGFiNTFjNTQ3YmMyIiwiY2l0YXRpb25JdGVtcyI6W3siaWQiOiI1ZWNiNzU2Ny1mZjZiLTNkYTMtOWU2Mi05NWZhMmRlYTc1M2IiLCJpdGVtRGF0YSI6eyJET0kiOiIxMC4xMTg2LzE0NzYtMDY5WC0xMy02MyIsIklTU04iOiIxNDc2MDY5WCIsIlBNSUQiOiIyNTA5NzAwNyIsImFic3RyYWN0IjoiQmFja2dyb3VuZDogRXhwb3N1cmUgdG8gYXRtb3NwaGVyaWMgcGFydGljdWxhdGUgbWF0dGVyIChQTSkgcmVtYWlucyBhbiBpbXBvcnRhbnQgcHVibGljIGhlYWx0aCBjb25jZXJuLCBhbHRob3VnaCBpdCByZW1haW5zIGRpZmZpY3VsdCB0byBxdWFudGlmeSBhY2N1cmF0ZWx5IGFjcm9zcyBsYXJnZSBnZW9ncmFwaGljIGFyZWFzIHdpdGggc3VmZmljaWVudGx5IGhpZ2ggc3BhdGlhbCByZXNvbHV0aW9uLiBSZWNlbnQgZXBpZGVtaW9sb2dpYyBhbmFseXNlcyBoYXZlIGRlbW9uc3RyYXRlZCB0aGUgaW1wb3J0YW5jZSBvZiBzcGF0aWFsbHktIGFuZCB0ZW1wb3JhbGx5LXJlc29sdmVkIGV4cG9zdXJlIGVzdGltYXRlcywgd2hpY2ggc2hvdyBsYXJnZXIgUE0tbWVkaWF0ZWQgaGVhbHRoIGVmZmVjdHMgYXMgY29tcGFyZWQgdG8gbmVhcmVzdCBtb25pdG9yIG9yIGNvdW50eS1zcGVjaWZpYyBhbWJpZW50IGNvbmNlbnRyYXRpb25zLiBNZXRob2RzLiBXZSBkZXZlbG9wZWQgZ2VuZXJhbGl6ZWQgYWRkaXRpdmUgbWl4ZWQgbW9kZWxzIHRoYXQgZGVzY3JpYmUgcmVnaW9uYWwgYW5kIHNtYWxsLXNjYWxlIHNwYXRpYWwgYW5kIHRlbXBvcmFsIGdyYWRpZW50cyAoYW5kIGNvcnJlc3BvbmRpbmcgdW5jZXJ0YWludGllcykgaW4gbW9udGhseSBtYXNzIGNvbmNlbnRyYXRpb25zIG9mIGZpbmUgKFBNMi41KSwgaW5oYWxhYmxlIChQTTEwKSwgYW5kIGNvYXJzZSBtb2RlIHBhcnRpY2xlIG1hc3MgKFBNMi41LTEwKSBmb3IgdGhlIGNvbnRlcm1pbm91cyBVbml0ZWQgU3RhdGVzIChVLlMuKS4gVGhlc2UgbW9kZWxzIGV4cGFuZCBvdXIgcHJldmlvdXNseSBkZXZlbG9wZWQgbW9kZWxzIGZvciB0aGUgTm9ydGhlYXN0ZXJuIGFuZCBNaWR3ZXN0ZXJuIFUuUy4gYnkgdmlydHVlIG9mIHRoZWlyIGxhcmdlciBzcGF0aWFsIGRvbWFpbiwgdGhlaXIgaW5jbHVzaW9uIG9mIGFuIGFkZGl0aW9uYWwgNSB5ZWFycyBvZiBQTSBkYXRhIHRvIGRldmVsb3AgcHJlZGljdGlvbnMgdGhyb3VnaCAyMDA3LCBhbmQgdGhlaXIgdXNlIG9mIHJlZmluZWQgZ2VvZ3JhcGhpYyBjb3ZhcmlhdGVzIGZvciBwb3B1bGF0aW9uIGRlbnNpdHkgYW5kIHBvaW50LXNvdXJjZSBQTSBlbWlzc2lvbnMuIENvdmFyaWF0ZSBzZWxlY3Rpb24gYW5kIG1vZGVsIHZhbGlkYXRpb24gd2VyZSBwZXJmb3JtZWQgdXNpbmcgMTAtZm9sZCBjcm9zcy12YWxpZGF0aW9uIChDVikuIFJlc3VsdHM6IFRoZSBQTTIuNSBtb2RlbHMgaGFkIGhpZ2ggcHJlZGljdGl2ZSBhY2N1cmFjeSAoQ1YgUjI9MC43NyBmb3IgYm90aCAxOTg4LTE5OTggYW5kIDE5OTktMjAwNykuIFdoaWxlIG1vZGVsIHBlcmZvcm1hbmNlIHJlbWFpbmVkIHN0cm9uZywgdGhlIHByZWRpY3RpdmUgYWJpbGl0eSBvZiBtb2RlbHMgZm9yIFBNMTAgKENWIFIyPTAuNTggZm9yIGJvdGggMTk4OC0xOTk4IGFuZCAxOTk5LTIwMDcpIGFuZCBQTTIuNS0xMCAoQ1YgUjI9MC40NiBhbmQgMC41MiBmb3IgMTk4OC0xOTk4IGFuZCAxOTk5LTIwMDcsIHJlc3BlY3RpdmVseSkgd2FzIHNvbWV3aGF0IGxvd2VyLiBSZWdpb25hbCB2YXJpYXRpb24gd2FzIGZvdW5kIGluIHRoZSBlZmZlY3RzIG9mIGdlb2dyYXBoaWMgYW5kIG1ldGVvcm9sb2dpY2FsIGNvdmFyaWF0ZXMuIE1vZGVscyBnZW5lcmFsbHkgcGVyZm9ybWVkIHdlbGwgaW4gYm90aCB1cmJhbiBhbmQgcnVyYWwgYXJlYXMgYW5kIGFjcm9zcyBzZWFzb25zLCB0aG91Z2ggcHJlZGljdGl2ZSBwZXJmb3JtYW5jZSB2YXJpZWQgc29tZXdoYXQgYnkgcmVnaW9uIChDViBSMj0wLjgxLCAwLjgxLCAwLjgzLCAwLjcyLCAwLjY5LCAwLjUwLCBhbmQgMC42MCBmb3IgdGhlIE5vcnRoZWFzdCwgTWlkd2VzdCwgU291dGhlYXN0LCBTb3V0aGNlbnRyYWwsIFNvdXRod2VzdCwgTm9ydGh3ZXN0LCBhbmQgQ2VudHJhbCBQbGFpbnMgcmVnaW9ucywgcmVzcGVjdGl2ZWx5LCBmb3IgUE0yLjUgZnJvbSAxOTk5LTIwMDcpLiBDb25jbHVzaW9uczogT3VyIG1vZGVscyBwcm92aWRlIGVzdGltYXRlcyBvZiBtb250aGx5LWF2ZXJhZ2Ugb3V0ZG9vciBjb25jZW50cmF0aW9ucyBvZiBQTTIuNSwgUE0xMCwgYW5kIFBNMi41LTEwIHdpdGggaGlnaCBzcGF0aWFsIHJlc29sdXRpb24gYW5kIGxvdyBiaWFzLiBUaHVzLCB0aGVzZSBtb2RlbHMgYXJlIHN1aXRhYmxlIGZvciBlc3RpbWF0aW5nIGNocm9uaWMgZXhwb3N1cmVzIG9mIHBvcHVsYXRpb25zIGxpdmluZyBpbiB0aGUgY29udGVybWlub3VzIFUuUy4gZnJvbSAxOTg4IHRvIDIwMDcuIiwiYXV0aG9yIjpbeyJkcm9wcGluZy1wYXJ0aWNsZSI6IiIsImZhbWlseSI6Illhbm9za3kiLCJnaXZlbiI6IkplZmYgRC4iLCJub24tZHJvcHBpbmctcGFydGljbGUiOiIiLCJwYXJzZS1uYW1lcyI6ZmFsc2UsInN1ZmZpeCI6IiJ9LHsiZHJvcHBpbmctcGFydGljbGUiOiIiLCJmYW1pbHkiOiJQYWNpb3JlayIsImdpdmVuIjoiQ2hyaXN0b3BoZXIgSi4iLCJub24tZHJvcHBpbmctcGFydGljbGUiOiIiLCJwYXJzZS1uYW1lcyI6ZmFsc2UsInN1ZmZpeCI6IiJ9LHsiZHJvcHBpbmctcGFydGljbGUiOiIiLCJmYW1pbHkiOiJMYWRlbiIsImdpdmVuIjoiRnJhbmNpbmUiLCJub24tZHJvcHBpbmctcGFydGljbGUiOiIiLCJwYXJzZS1uYW1lcyI6ZmFsc2UsInN1ZmZpeCI6IiJ9LHsiZHJvcHBpbmctcGFydGljbGUiOiIiLCJmYW1pbHkiOiJIYXJ0IiwiZ2l2ZW4iOiJKYWltZSBFLiIsIm5vbi1kcm9wcGluZy1wYXJ0aWNsZSI6IiIsInBhcnNlLW5hbWVzIjpmYWxzZSwic3VmZml4IjoiIn0seyJkcm9wcGluZy1wYXJ0aWNsZSI6IiIsImZhbWlseSI6IlB1ZXR0IiwiZ2l2ZW4iOiJSb2JpbiBDLiIsIm5vbi1kcm9wcGluZy1wYXJ0aWNsZSI6IiIsInBhcnNlLW5hbWVzIjpmYWxzZSwic3VmZml4IjoiIn0seyJkcm9wcGluZy1wYXJ0aWNsZSI6IiIsImZhbWlseSI6IkxpYW8iLCJnaXZlbiI6IkR1YW5waW5nIiwibm9uLWRyb3BwaW5nLXBhcnRpY2xlIjoiIiwicGFyc2UtbmFtZXMiOmZhbHNlLCJzdWZmaXgiOiIifSx7ImRyb3BwaW5nLXBhcnRpY2xlIjoiIiwiZmFtaWx5IjoiU3VoIiwiZ2l2ZW4iOiJIZWxlbiBILiIsIm5vbi1kcm9wcGluZy1wYXJ0aWNsZSI6IiIsInBhcnNlLW5hbWVzIjpmYWxzZSwic3VmZml4IjoiIn1dLCJjb250YWluZXItdGl0bGUiOiJFbnZpcm9ubWVudGFsIEhlYWx0aDogQSBHbG9iYWwgQWNjZXNzIFNjaWVuY2UgU291cmNlIiwiaWQiOiI1ZWNiNzU2Ny1mZjZiLTNkYTMtOWU2Mi05NWZhMmRlYTc1M2IiLCJpc3N1ZSI6IjEiLCJpc3N1ZWQiOnsiZGF0ZS1wYXJ0cyI6W1siMjAxNCIsIjgiLCI1Il1dfSwicHVibGlzaGVyIjoiQmlvTWVkIENlbnRyYWwgTHRkLiIsInRpdGxlIjoiU3BhdGlvLXRlbXBvcmFsIG1vZGVsaW5nIG9mIHBhcnRpY3VsYXRlIGFpciBwb2xsdXRpb24gaW4gdGhlIGNvbnRlcm1pbm91cyBVbml0ZWQgU3RhdGVzIHVzaW5nIGdlb2dyYXBoaWMgYW5kIG1ldGVvcm9sb2dpY2FsIHByZWRpY3RvcnMiLCJ0eXBlIjoiYXJ0aWNsZS1qb3VybmFsIiwidm9sdW1lIjoiMTMifSwic3VwcHJlc3MtYXV0aG9yIjoxLCJ1cmlzIjpbImh0dHA6Ly93d3cubWVuZGVsZXkuY29tL2RvY3VtZW50cy8/dXVpZD01ZWNiNzU2Ny1mZjZiLTNkYTMtOWU2Mi05NWZhMmRlYTc1M2IiXSwiaXNUZW1wb3JhcnkiOmZhbHNlLCJsZWdhY3lEZXNrdG9wSWQiOiI1ZWNiNzU2Ny1mZjZiLTNkYTMtOWU2Mi05NWZhMmRlYTc1M2IifV0sInByb3BlcnRpZXMiOnsibm90ZUluZGV4IjowfSwiaXNFZGl0ZWQiOnRydWUsIm1hbnVhbE92ZXJyaWRlIjp7ImNpdGVwcm9jVGV4dCI6IigyMDE0KSIsImlzTWFudWFsbHlPdmVycmlkZGVuIjpmYWxzZSwibWFudWFsT3ZlcnJpZGVUZXh0IjoiIn19&quot;},{&quot;citationID&quot;:&quot;MENDELEY_CITATION_fb07999b-f0f7-4c1e-859a-aa57e3103146&quot;,&quot;citationItems&quot;:[{&quot;id&quot;:&quot;8e42f95d-2549-39c1-b5dd-2bc72cd85325&quot;,&quot;itemData&quot;:{&quot;abstract&quot;:&quot;Description Generalized additive (mixed) models, some of their extensions and other generalized ridge regression with multiple smoothing parameter estimation by (Restricted) Marginal Likelihood, Generalized Cross Validation and similar. Includes a gam() function, a wide variety of smoothers, JAGS support and distributions beyond the exponential family.&quot;,&quot;author&quot;:[{&quot;dropping-particle&quot;:&quot;&quot;,&quot;family&quot;:&quot;Wood&quot;,&quot;given&quot;:&quot;Simon&quot;,&quot;non-dropping-particle&quot;:&quot;&quot;,&quot;parse-names&quot;:false,&quot;suffix&quot;:&quot;&quot;}],&quot;id&quot;:&quot;8e42f95d-2549-39c1-b5dd-2bc72cd85325&quot;,&quot;issued&quot;:{&quot;date-parts&quot;:[[&quot;2018&quot;]]},&quot;title&quot;:&quot;Package 'mgcv' Title Mixed GAM Computation Vehicle with Automatic Smoothness Estimation&quot;,&quot;type&quot;:&quot;report&quot;},&quot;uris&quot;:[&quot;http://www.mendeley.com/documents/?uuid=8e42f95d-2549-39c1-b5dd-2bc72cd85325&quot;],&quot;isTemporary&quot;:false,&quot;legacyDesktopId&quot;:&quot;8e42f95d-2549-39c1-b5dd-2bc72cd85325&quot;}],&quot;properties&quot;:{&quot;noteIndex&quot;:0},&quot;isEdited&quot;:false,&quot;manualOverride&quot;:{&quot;citeprocText&quot;:&quot;(Wood, 2018)&quot;,&quot;isManuallyOverridden&quot;:false,&quot;manualOverrideText&quot;:&quot;&quot;},&quot;citationTag&quot;:&quot;MENDELEY_CITATION_v3_eyJjaXRhdGlvbklEIjoiTUVOREVMRVlfQ0lUQVRJT05fZmIwNzk5OWItZjBmNy00YzFlLTg1OWEtYWE1N2UzMTAzMTQ2IiwiY2l0YXRpb25JdGVtcyI6W3siaWQiOiI4ZTQyZjk1ZC0yNTQ5LTM5YzEtYjVkZC0yYmM3MmNkODUzMjUiLCJpdGVtRGF0YSI6eyJhYnN0cmFjdCI6IkRlc2NyaXB0aW9uIEdlbmVyYWxpemVkIGFkZGl0aXZlIChtaXhlZCkgbW9kZWxzLCBzb21lIG9mIHRoZWlyIGV4dGVuc2lvbnMgYW5kIG90aGVyIGdlbmVyYWxpemVkIHJpZGdlIHJlZ3Jlc3Npb24gd2l0aCBtdWx0aXBsZSBzbW9vdGhpbmcgcGFyYW1ldGVyIGVzdGltYXRpb24gYnkgKFJlc3RyaWN0ZWQpIE1hcmdpbmFsIExpa2VsaWhvb2QsIEdlbmVyYWxpemVkIENyb3NzIFZhbGlkYXRpb24gYW5kIHNpbWlsYXIuIEluY2x1ZGVzIGEgZ2FtKCkgZnVuY3Rpb24sIGEgd2lkZSB2YXJpZXR5IG9mIHNtb290aGVycywgSkFHUyBzdXBwb3J0IGFuZCBkaXN0cmlidXRpb25zIGJleW9uZCB0aGUgZXhwb25lbnRpYWwgZmFtaWx5LiIsImF1dGhvciI6W3siZHJvcHBpbmctcGFydGljbGUiOiIiLCJmYW1pbHkiOiJXb29kIiwiZ2l2ZW4iOiJTaW1vbiIsIm5vbi1kcm9wcGluZy1wYXJ0aWNsZSI6IiIsInBhcnNlLW5hbWVzIjpmYWxzZSwic3VmZml4IjoiIn1dLCJpZCI6IjhlNDJmOTVkLTI1NDktMzljMS1iNWRkLTJiYzcyY2Q4NTMyNSIsImlzc3VlZCI6eyJkYXRlLXBhcnRzIjpbWyIyMDE4Il1dfSwidGl0bGUiOiJQYWNrYWdlICdtZ2N2JyBUaXRsZSBNaXhlZCBHQU0gQ29tcHV0YXRpb24gVmVoaWNsZSB3aXRoIEF1dG9tYXRpYyBTbW9vdGhuZXNzIEVzdGltYXRpb24iLCJ0eXBlIjoicmVwb3J0In0sInVyaXMiOlsiaHR0cDovL3d3dy5tZW5kZWxleS5jb20vZG9jdW1lbnRzLz91dWlkPThlNDJmOTVkLTI1NDktMzljMS1iNWRkLTJiYzcyY2Q4NTMyNSJdLCJpc1RlbXBvcmFyeSI6ZmFsc2UsImxlZ2FjeURlc2t0b3BJZCI6IjhlNDJmOTVkLTI1NDktMzljMS1iNWRkLTJiYzcyY2Q4NTMyNSJ9XSwicHJvcGVydGllcyI6eyJub3RlSW5kZXgiOjB9LCJpc0VkaXRlZCI6ZmFsc2UsIm1hbnVhbE92ZXJyaWRlIjp7ImNpdGVwcm9jVGV4dCI6IihXb29kLCAyMDE4KSIsImlzTWFudWFsbHlPdmVycmlkZGVuIjpmYWxzZSwibWFudWFsT3ZlcnJpZGVUZXh0IjoiIn19&quot;},{&quot;citationID&quot;:&quot;MENDELEY_CITATION_d8e54d60-f0a7-4e67-8269-73e207353333&quot;,&quot;citationItems&quot;:[{&quot;id&quot;:&quot;15b593c8-8929-3dce-bd38-58cbe69354cf&quot;,&quot;itemData&quot;:{&quot;DOI&quot;:&quot;10.1038/jes.2012.125&quot;,&quot;ISBN&quot;:&quot;1559-064X (Electronic)\\n1559-0631 (Linking)&quot;,&quot;ISSN&quot;:&quot;1559-064X&quot;,&quot;PMID&quot;:&quot;23361442&quot;,&quot;abstract&quot;:&quot;Although intra-urban air pollution differs by season, few monitoring networks provide adequate geographic density and year-round coverage to fully characterize seasonal patterns. Here, we report winter intra-urban monitoring and land-use regression (LUR) results from the New York City Community Air Survey (NYCCAS). Two-week integrated samples of fine particles (PM(2.5)), black carbon (BC), nitrogen oxides (NO(x)) and sulfur dioxide (SO(2)) were collected at 155 city-wide street-level locations during winter 2008-2009. Sites were selected using stratified random sampling, randomized across sampling sessions to minimize spatio-temporal confounding. LUR was used to identify GIS-based source indicators associated with higher concentrations. Prediction surfaces were produced using kriging with external drift. Each pollutant varied twofold or more across sites, with higher concentrations near midtown Manhattan. All pollutants were positively correlated, particularly PM(2.5) and BC (Spearman's r=0.84). Density of oil-burning boilers, total and truck traffic density, and temporality explained 84% of PM(2.5) variation. Densities of total traffic, truck traffic, oil-burning boilers and industrial space, with temporality, explained 65% of BC variation. Temporality, built space, bus route location, and traffic density described 67% of nitrogen dioxide variation. Residual oil-burning units, nighttime population and temporality explained 77% of SO(2) variation. Spatial variation in combustion-related pollutants in New York City was strongly associated with oil-burning and traffic density. Chronic exposure disparities and unique local sources can be identified through year-round saturation monitoring.&quot;,&quot;author&quot;:[{&quot;dropping-particle&quot;:&quot;&quot;,&quot;family&quot;:&quot;Clougherty&quot;,&quot;given&quot;:&quot;Jane E.&quot;,&quot;non-dropping-particle&quot;:&quot;&quot;,&quot;parse-names&quot;:false,&quot;suffix&quot;:&quot;&quot;},{&quot;dropping-particle&quot;:&quot;&quot;,&quot;family&quot;:&quot;Kheirbek&quot;,&quot;given&quot;:&quot;Iyad&quot;,&quot;non-dropping-particle&quot;:&quot;&quot;,&quot;parse-names&quot;:false,&quot;suffix&quot;:&quot;&quot;},{&quot;dropping-particle&quot;:&quot;&quot;,&quot;family&quot;:&quot;Eisl&quot;,&quot;given&quot;:&quot;Holger M&quot;,&quot;non-dropping-particle&quot;:&quot;&quot;,&quot;parse-names&quot;:false,&quot;suffix&quot;:&quot;&quot;},{&quot;dropping-particle&quot;:&quot;&quot;,&quot;family&quot;:&quot;Ross&quot;,&quot;given&quot;:&quot;Zev&quot;,&quot;non-dropping-particle&quot;:&quot;&quot;,&quot;parse-names&quot;:false,&quot;suffix&quot;:&quot;&quot;},{&quot;dropping-particle&quot;:&quot;&quot;,&quot;family&quot;:&quot;Pezeshki&quot;,&quot;given&quot;:&quot;Grant&quot;,&quot;non-dropping-particle&quot;:&quot;&quot;,&quot;parse-names&quot;:false,&quot;suffix&quot;:&quot;&quot;},{&quot;dropping-particle&quot;:&quot;&quot;,&quot;family&quot;:&quot;Gorczynski&quot;,&quot;given&quot;:&quot;John E&quot;,&quot;non-dropping-particle&quot;:&quot;&quot;,&quot;parse-names&quot;:false,&quot;suffix&quot;:&quot;&quot;},{&quot;dropping-particle&quot;:&quot;&quot;,&quot;family&quot;:&quot;Johnson&quot;,&quot;given&quot;:&quot;Sarah&quot;,&quot;non-dropping-particle&quot;:&quot;&quot;,&quot;parse-names&quot;:false,&quot;suffix&quot;:&quot;&quot;},{&quot;dropping-particle&quot;:&quot;&quot;,&quot;family&quot;:&quot;Markowitz&quot;,&quot;given&quot;:&quot;Steven&quot;,&quot;non-dropping-particle&quot;:&quot;&quot;,&quot;parse-names&quot;:false,&quot;suffix&quot;:&quot;&quot;},{&quot;dropping-particle&quot;:&quot;&quot;,&quot;family&quot;:&quot;Kass&quot;,&quot;given&quot;:&quot;Daniel&quot;,&quot;non-dropping-particle&quot;:&quot;&quot;,&quot;parse-names&quot;:false,&quot;suffix&quot;:&quot;&quot;},{&quot;dropping-particle&quot;:&quot;&quot;,&quot;family&quot;:&quot;Matte&quot;,&quot;given&quot;:&quot;Thomas&quot;,&quot;non-dropping-particle&quot;:&quot;&quot;,&quot;parse-names&quot;:false,&quot;suffix&quot;:&quot;&quot;}],&quot;container-title&quot;:&quot;Journal of exposure science &amp; environmental epidemiology&quot;,&quot;id&quot;:&quot;15b593c8-8929-3dce-bd38-58cbe69354cf&quot;,&quot;issue&quot;:&quot;3&quot;,&quot;issued&quot;:{&quot;date-parts&quot;:[[&quot;2013&quot;]]},&quot;note&quot;:&quot;Good reference for methodology design and write-up&quot;,&quot;page&quot;:&quot;232-40&quot;,&quot;publisher&quot;:&quot;Nature Publishing Group&quot;,&quot;title&quot;:&quot;Intra-urban spatial variability in wintertime street-level concentrations of multiple combustion-related air pollutants: the New York City Community Air Survey (NYCCAS).&quot;,&quot;type&quot;:&quot;article-journal&quot;,&quot;volume&quot;:&quot;23&quot;},&quot;uris&quot;:[&quot;http://www.mendeley.com/documents/?uuid=4956e976-b5c2-4be3-a138-95d0abcdfe5a&quot;],&quot;isTemporary&quot;:false,&quot;legacyDesktopId&quot;:&quot;4956e976-b5c2-4be3-a138-95d0abcdfe5a&quot;},{&quot;id&quot;:&quot;fc140443-98db-30d8-bc67-d2d6fb283de3&quot;,&quot;itemData&quot;:{&quot;DOI&quot;:&quot;10.1021/es403089q&quot;,&quot;ISBN&quot;:&quot;1520-5851 (Electronic)\\n0013-936X (Linking)&quot;,&quot;ISSN&quot;:&quot;0013936X&quot;,&quot;PMID&quot;:&quot;24156783&quot;,&quot;abstract&quot;:&quot;Land use regression (LUR) models typically investigate within-urban variability in air pollution. Recent improvements in data quality and availability, including satellite-derived pollutant measurements, support fine-scale LUR modeling for larger areas. Here, we describe NO2 and PM10 LUR models for Western Europe (years: 2005-2007) based on &gt;1500 EuroAirnet monitoring sites covering background, industrial, and traffic environments. Predictor variables include land use characteristics, population density, and length of major and minor roads in zones from 0.1 km to 10 km, altitude, and distance to sea. We explore models with and without satellite-based NO2 and PM2.5 as predictor variables, and we compare two available land cover data sets (global; European). Model performance (adjusted R(2)) is 0.48-0.58 for NO2 and 0.22-0.50 for PM10. Inclusion of satellite data improved model performance (adjusted R(2)) by, on average, 0.05 for NO2 and 0.11 for PM10. Models were applied on a 100 m grid across Western Europe; to support future research, these data sets are publicly available.&quot;,&quot;author&quot;:[{&quot;dropping-particle&quot;:&quot;&quot;,&quot;family&quot;:&quot;Vienneau&quot;,&quot;given&quot;:&quot;Danielle&quot;,&quot;non-dropping-particle&quot;:&quot;&quot;,&quot;parse-names&quot;:false,&quot;suffix&quot;:&quot;&quot;},{&quot;dropping-particle&quot;:&quot;&quot;,&quot;family&quot;:&quot;Hoogh&quot;,&quot;given&quot;:&quot;Kees&quot;,&quot;non-dropping-particle&quot;:&quot;De&quot;,&quot;parse-names&quot;:false,&quot;suffix&quot;:&quot;&quot;},{&quot;dropping-particle&quot;:&quot;&quot;,&quot;family&quot;:&quot;Bechle&quot;,&quot;given&quot;:&quot;Matthew J.&quot;,&quot;non-dropping-particle&quot;:&quot;&quot;,&quot;parse-names&quot;:false,&quot;suffix&quot;:&quot;&quot;},{&quot;dropping-particle&quot;:&quot;&quot;,&quot;family&quot;:&quot;Beelen&quot;,&quot;given&quot;:&quot;Rob&quot;,&quot;non-dropping-particle&quot;:&quot;&quot;,&quot;parse-names&quot;:false,&quot;suffix&quot;:&quot;&quot;},{&quot;dropping-particle&quot;:&quot;&quot;,&quot;family&quot;:&quot;Donkelaar&quot;,&quot;given&quot;:&quot;Aaron&quot;,&quot;non-dropping-particle&quot;:&quot;Van&quot;,&quot;parse-names&quot;:false,&quot;suffix&quot;:&quot;&quot;},{&quot;dropping-particle&quot;:&quot;V.&quot;,&quot;family&quot;:&quot;Martin&quot;,&quot;given&quot;:&quot;Randall&quot;,&quot;non-dropping-particle&quot;:&quot;&quot;,&quot;parse-names&quot;:false,&quot;suffix&quot;:&quot;&quot;},{&quot;dropping-particle&quot;:&quot;&quot;,&quot;family&quot;:&quot;Millet&quot;,&quot;given&quot;:&quot;Dylan B.&quot;,&quot;non-dropping-particle&quot;:&quot;&quot;,&quot;parse-names&quot;:false,&quot;suffix&quot;:&quot;&quot;},{&quot;dropping-particle&quot;:&quot;&quot;,&quot;family&quot;:&quot;Hoek&quot;,&quot;given&quot;:&quot;Gerard&quot;,&quot;non-dropping-particle&quot;:&quot;&quot;,&quot;parse-names&quot;:false,&quot;suffix&quot;:&quot;&quot;},{&quot;dropping-particle&quot;:&quot;&quot;,&quot;family&quot;:&quot;Marshall&quot;,&quot;given&quot;:&quot;Julian D.&quot;,&quot;non-dropping-particle&quot;:&quot;&quot;,&quot;parse-names&quot;:false,&quot;suffix&quot;:&quot;&quot;}],&quot;container-title&quot;:&quot;Environmental Science and Technology&quot;,&quot;id&quot;:&quot;fc140443-98db-30d8-bc67-d2d6fb283de3&quot;,&quot;issue&quot;:&quot;23&quot;,&quot;issued&quot;:{&quot;date-parts&quot;:[[&quot;2013&quot;]]},&quot;page&quot;:&quot;13555-13564&quot;,&quot;title&quot;:&quot;Western european land use regression incorporating satellite- and ground-based measurements of NO2 and PM10&quot;,&quot;type&quot;:&quot;article-journal&quot;,&quot;volume&quot;:&quot;47&quot;},&quot;uris&quot;:[&quot;http://www.mendeley.com/documents/?uuid=b2a142b9-4bdf-4216-a8fc-223f1b0fc826&quot;],&quot;isTemporary&quot;:false,&quot;legacyDesktopId&quot;:&quot;b2a142b9-4bdf-4216-a8fc-223f1b0fc826&quot;},{&quot;id&quot;:&quot;6bcc19f9-eb1e-3294-80f0-c30dfb7849cd&quot;,&quot;itemData&quot;:{&quot;DOI&quot;:&quot;10.1016/j.envint.2018.07.036&quot;,&quot;ISSN&quot;:&quot;18736750&quot;,&quot;abstract&quot;:&quot;Background: In order to investigate associations between air pollution and adverse health effects consistent fine spatial air pollution surfaces are needed across large areas to provide cohorts with comparable exposures. The aim of this paper is to develop and evaluate fine spatial scale land use regression models for four major health relevant air pollutants (PM2.5, NO2, BC, O3) across Europe. Methods: We developed West-European land use regression models (LUR) for 2010 estimating annual mean PM2.5, NO2, BC and O3concentrations (including cold and warm season estimates for O3). The models were based on AirBase routine monitoring data (PM2.5, NO2and O3) and ESCAPE monitoring data (BC), and incorporated satellite observations, dispersion model estimates, land use and traffic data. Kriging was performed on the residual spatial variation from the LUR models and added to the exposure estimates. One model was developed using all sites (100%). Robustness of the models was evaluated by performing a five-fold hold-out validation and for PM2.5and NO2additionally with independent comparison at ESCAPE measurements. To evaluate the stability of each model's spatial structure over time, separate models were developed for different years (NO2and O3: 2000 and 2005; PM2.5: 2013). Results: The PM2.5, BC, NO2, O3annual, O3warm season and O3cold season models explained respectively 72%, 54%, 59%, 65%, 69% and 83% of spatial variation in the measured concentrations. Kriging proved an efficient technique to explain a part of residual spatial variation for the pollutants with a strong regional component explaining respectively 10%, 24% and 16% of the R2in the PM2.5, O3warm and O3cold models. Explained variance at fully independent sites vs the internal hold-out validation was slightly lower for PM2.5(65% vs 66%) and lower for NO2(49% vs 57%). Predictions from the 2010 model correlated highly with models developed in other years at the overall European scale. Conclusions: We developed robust PM2.5, NO2, O3and BC hybrid LUR models. At the West-European scale models were robust in time, becoming less robust at smaller spatial scales. Models were applied to 100 × 100 m surfaces across Western Europe to allow for exposure assignment for 35 million participants from 18 European cohorts participating in the ELAPSE study.&quot;,&quot;author&quot;:[{&quot;dropping-particle&quot;:&quot;&quot;,&quot;family&quot;:&quot;Hoogh&quot;,&quot;given&quot;:&quot;Kees&quot;,&quot;non-dropping-particle&quot;:&quot;de&quot;,&quot;parse-names&quot;:false,&quot;suffix&quot;:&quot;&quot;},{&quot;dropping-particle&quot;:&quot;&quot;,&quot;family&quot;:&quot;Chen&quot;,&quot;given&quot;:&quot;Jie&quot;,&quot;non-dropping-particle&quot;:&quot;&quot;,&quot;parse-names&quot;:false,&quot;suffix&quot;:&quot;&quot;},{&quot;dropping-particle&quot;:&quot;&quot;,&quot;family&quot;:&quot;Gulliver&quot;,&quot;given&quot;:&quot;John&quot;,&quot;non-dropping-particle&quot;:&quot;&quot;,&quot;parse-names&quot;:false,&quot;suffix&quot;:&quot;&quot;},{&quot;dropping-particle&quot;:&quot;&quot;,&quot;family&quot;:&quot;Hoffmann&quot;,&quot;given&quot;:&quot;Barbara&quot;,&quot;non-dropping-particle&quot;:&quot;&quot;,&quot;parse-names&quot;:false,&quot;suffix&quot;:&quot;&quot;},{&quot;dropping-particle&quot;:&quot;&quot;,&quot;family&quot;:&quot;Hertel&quot;,&quot;given&quot;:&quot;Ole&quot;,&quot;non-dropping-particle&quot;:&quot;&quot;,&quot;parse-names&quot;:false,&quot;suffix&quot;:&quot;&quot;},{&quot;dropping-particle&quot;:&quot;&quot;,&quot;family&quot;:&quot;Ketzel&quot;,&quot;given&quot;:&quot;Matthias&quot;,&quot;non-dropping-particle&quot;:&quot;&quot;,&quot;parse-names&quot;:false,&quot;suffix&quot;:&quot;&quot;},{&quot;dropping-particle&quot;:&quot;&quot;,&quot;family&quot;:&quot;Bauwelinck&quot;,&quot;given&quot;:&quot;Mariska&quot;,&quot;non-dropping-particle&quot;:&quot;&quot;,&quot;parse-names&quot;:false,&quot;suffix&quot;:&quot;&quot;},{&quot;dropping-particle&quot;:&quot;&quot;,&quot;family&quot;:&quot;Donkelaar&quot;,&quot;given&quot;:&quot;Aaron&quot;,&quot;non-dropping-particle&quot;:&quot;van&quot;,&quot;parse-names&quot;:false,&quot;suffix&quot;:&quot;&quot;},{&quot;dropping-particle&quot;:&quot;&quot;,&quot;family&quot;:&quot;Hvidtfeldt&quot;,&quot;given&quot;:&quot;Ulla A.&quot;,&quot;non-dropping-particle&quot;:&quot;&quot;,&quot;parse-names&quot;:false,&quot;suffix&quot;:&quot;&quot;},{&quot;dropping-particle&quot;:&quot;&quot;,&quot;family&quot;:&quot;Katsouyanni&quot;,&quot;given&quot;:&quot;Klea&quot;,&quot;non-dropping-particle&quot;:&quot;&quot;,&quot;parse-names&quot;:false,&quot;suffix&quot;:&quot;&quot;},{&quot;dropping-particle&quot;:&quot;&quot;,&quot;family&quot;:&quot;Klompmaker&quot;,&quot;given&quot;:&quot;Jochem&quot;,&quot;non-dropping-particle&quot;:&quot;&quot;,&quot;parse-names&quot;:false,&quot;suffix&quot;:&quot;&quot;},{&quot;dropping-particle&quot;:&quot;V.&quot;,&quot;family&quot;:&quot;Martin&quot;,&quot;given&quot;:&quot;Randal&quot;,&quot;non-dropping-particle&quot;:&quot;&quot;,&quot;parse-names&quot;:false,&quot;suffix&quot;:&quot;&quot;},{&quot;dropping-particle&quot;:&quot;&quot;,&quot;family&quot;:&quot;Samoli&quot;,&quot;given&quot;:&quot;Evangelia&quot;,&quot;non-dropping-particle&quot;:&quot;&quot;,&quot;parse-names&quot;:false,&quot;suffix&quot;:&quot;&quot;},{&quot;dropping-particle&quot;:&quot;&quot;,&quot;family&quot;:&quot;Schwartz&quot;,&quot;given&quot;:&quot;Per E.&quot;,&quot;non-dropping-particle&quot;:&quot;&quot;,&quot;parse-names&quot;:false,&quot;suffix&quot;:&quot;&quot;},{&quot;dropping-particle&quot;:&quot;&quot;,&quot;family&quot;:&quot;Stafoggia&quot;,&quot;given&quot;:&quot;Massimo&quot;,&quot;non-dropping-particle&quot;:&quot;&quot;,&quot;parse-names&quot;:false,&quot;suffix&quot;:&quot;&quot;},{&quot;dropping-particle&quot;:&quot;&quot;,&quot;family&quot;:&quot;Bellander&quot;,&quot;given&quot;:&quot;Tom&quot;,&quot;non-dropping-particle&quot;:&quot;&quot;,&quot;parse-names&quot;:false,&quot;suffix&quot;:&quot;&quot;},{&quot;dropping-particle&quot;:&quot;&quot;,&quot;family&quot;:&quot;Strak&quot;,&quot;given&quot;:&quot;Maciej&quot;,&quot;non-dropping-particle&quot;:&quot;&quot;,&quot;parse-names&quot;:false,&quot;suffix&quot;:&quot;&quot;},{&quot;dropping-particle&quot;:&quot;&quot;,&quot;family&quot;:&quot;Wolf&quot;,&quot;given&quot;:&quot;Kathrin&quot;,&quot;non-dropping-particle&quot;:&quot;&quot;,&quot;parse-names&quot;:false,&quot;suffix&quot;:&quot;&quot;},{&quot;dropping-particle&quot;:&quot;&quot;,&quot;family&quot;:&quot;Vienneau&quot;,&quot;given&quot;:&quot;Danielle&quot;,&quot;non-dropping-particle&quot;:&quot;&quot;,&quot;parse-names&quot;:false,&quot;suffix&quot;:&quot;&quot;},{&quot;dropping-particle&quot;:&quot;&quot;,&quot;family&quot;:&quot;Brunekreef&quot;,&quot;given&quot;:&quot;Bert&quot;,&quot;non-dropping-particle&quot;:&quot;&quot;,&quot;parse-names&quot;:false,&quot;suffix&quot;:&quot;&quot;},{&quot;dropping-particle&quot;:&quot;&quot;,&quot;family&quot;:&quot;Hoek&quot;,&quot;given&quot;:&quot;Gerard&quot;,&quot;non-dropping-particle&quot;:&quot;&quot;,&quot;parse-names&quot;:false,&quot;suffix&quot;:&quot;&quot;}],&quot;container-title&quot;:&quot;Environment International&quot;,&quot;id&quot;:&quot;6bcc19f9-eb1e-3294-80f0-c30dfb7849cd&quot;,&quot;issued&quot;:{&quot;date-parts&quot;:[[&quot;2018&quot;,&quot;11&quot;,&quot;1&quot;]]},&quot;page&quot;:&quot;81-92&quot;,&quot;publisher&quot;:&quot;Pergamon&quot;,&quot;title&quot;:&quot;Spatial PM2.5, NO2, O3 and BC models for Western Europe – Evaluation of spatiotemporal stability&quot;,&quot;type&quot;:&quot;article-journal&quot;,&quot;volume&quot;:&quot;120&quot;},&quot;uris&quot;:[&quot;http://www.mendeley.com/documents/?uuid=6bcc19f9-eb1e-3294-80f0-c30dfb7849cd&quot;],&quot;isTemporary&quot;:false,&quot;legacyDesktopId&quot;:&quot;6bcc19f9-eb1e-3294-80f0-c30dfb7849cd&quot;}],&quot;properties&quot;:{&quot;noteIndex&quot;:0},&quot;isEdited&quot;:false,&quot;manualOverride&quot;:{&quot;citeprocText&quot;:&quot;(Clougherty et al., 2013; de Hoogh et al., 2018; Vienneau et al., 2013)&quot;,&quot;isManuallyOverridden&quot;:false,&quot;manualOverrideText&quot;:&quot;&quot;},&quot;citationTag&quot;:&quot;MENDELEY_CITATION_v3_eyJjaXRhdGlvbklEIjoiTUVOREVMRVlfQ0lUQVRJT05fZDhlNTRkNjAtZjBhNy00ZTY3LTgyNjktNzNlMjA3MzUzMzMzIiwiY2l0YXRpb25JdGVtcyI6W3siaWQiOiIxNWI1OTNjOC04OTI5LTNkY2UtYmQzOC01OGNiZTY5MzU0Y2YiLCJpdGVtRGF0YSI6eyJET0kiOiIxMC4xMDM4L2plcy4yMDEyLjEyNSIsIklTQk4iOiIxNTU5LTA2NFggKEVsZWN0cm9uaWMpXFxuMTU1OS0wNjMxIChMaW5raW5nKSIsIklTU04iOiIxNTU5LTA2NFgiLCJQTUlEIjoiMjMzNjE0NDIiLCJhYnN0cmFjdCI6IkFsdGhvdWdoIGludHJhLXVyYmFuIGFpciBwb2xsdXRpb24gZGlmZmVycyBieSBzZWFzb24sIGZldyBtb25pdG9yaW5nIG5ldHdvcmtzIHByb3ZpZGUgYWRlcXVhdGUgZ2VvZ3JhcGhpYyBkZW5zaXR5IGFuZCB5ZWFyLXJvdW5kIGNvdmVyYWdlIHRvIGZ1bGx5IGNoYXJhY3Rlcml6ZSBzZWFzb25hbCBwYXR0ZXJucy4gSGVyZSwgd2UgcmVwb3J0IHdpbnRlciBpbnRyYS11cmJhbiBtb25pdG9yaW5nIGFuZCBsYW5kLXVzZSByZWdyZXNzaW9uIChMVVIpIHJlc3VsdHMgZnJvbSB0aGUgTmV3IFlvcmsgQ2l0eSBDb21tdW5pdHkgQWlyIFN1cnZleSAoTllDQ0FTKS4gVHdvLXdlZWsgaW50ZWdyYXRlZCBzYW1wbGVzIG9mIGZpbmUgcGFydGljbGVzIChQTSgyLjUpKSwgYmxhY2sgY2FyYm9uIChCQyksIG5pdHJvZ2VuIG94aWRlcyAoTk8oeCkpIGFuZCBzdWxmdXIgZGlveGlkZSAoU08oMikpIHdlcmUgY29sbGVjdGVkIGF0IDE1NSBjaXR5LXdpZGUgc3RyZWV0LWxldmVsIGxvY2F0aW9ucyBkdXJpbmcgd2ludGVyIDIwMDgtMjAwOS4gU2l0ZXMgd2VyZSBzZWxlY3RlZCB1c2luZyBzdHJhdGlmaWVkIHJhbmRvbSBzYW1wbGluZywgcmFuZG9taXplZCBhY3Jvc3Mgc2FtcGxpbmcgc2Vzc2lvbnMgdG8gbWluaW1pemUgc3BhdGlvLXRlbXBvcmFsIGNvbmZvdW5kaW5nLiBMVVIgd2FzIHVzZWQgdG8gaWRlbnRpZnkgR0lTLWJhc2VkIHNvdXJjZSBpbmRpY2F0b3JzIGFzc29jaWF0ZWQgd2l0aCBoaWdoZXIgY29uY2VudHJhdGlvbnMuIFByZWRpY3Rpb24gc3VyZmFjZXMgd2VyZSBwcm9kdWNlZCB1c2luZyBrcmlnaW5nIHdpdGggZXh0ZXJuYWwgZHJpZnQuIEVhY2ggcG9sbHV0YW50IHZhcmllZCB0d29mb2xkIG9yIG1vcmUgYWNyb3NzIHNpdGVzLCB3aXRoIGhpZ2hlciBjb25jZW50cmF0aW9ucyBuZWFyIG1pZHRvd24gTWFuaGF0dGFuLiBBbGwgcG9sbHV0YW50cyB3ZXJlIHBvc2l0aXZlbHkgY29ycmVsYXRlZCwgcGFydGljdWxhcmx5IFBNKDIuNSkgYW5kIEJDIChTcGVhcm1hbidzIHI9MC44NCkuIERlbnNpdHkgb2Ygb2lsLWJ1cm5pbmcgYm9pbGVycywgdG90YWwgYW5kIHRydWNrIHRyYWZmaWMgZGVuc2l0eSwgYW5kIHRlbXBvcmFsaXR5IGV4cGxhaW5lZCA4NCUgb2YgUE0oMi41KSB2YXJpYXRpb24uIERlbnNpdGllcyBvZiB0b3RhbCB0cmFmZmljLCB0cnVjayB0cmFmZmljLCBvaWwtYnVybmluZyBib2lsZXJzIGFuZCBpbmR1c3RyaWFsIHNwYWNlLCB3aXRoIHRlbXBvcmFsaXR5LCBleHBsYWluZWQgNjUlIG9mIEJDIHZhcmlhdGlvbi4gVGVtcG9yYWxpdHksIGJ1aWx0IHNwYWNlLCBidXMgcm91dGUgbG9jYXRpb24sIGFuZCB0cmFmZmljIGRlbnNpdHkgZGVzY3JpYmVkIDY3JSBvZiBuaXRyb2dlbiBkaW94aWRlIHZhcmlhdGlvbi4gUmVzaWR1YWwgb2lsLWJ1cm5pbmcgdW5pdHMsIG5pZ2h0dGltZSBwb3B1bGF0aW9uIGFuZCB0ZW1wb3JhbGl0eSBleHBsYWluZWQgNzclIG9mIFNPKDIpIHZhcmlhdGlvbi4gU3BhdGlhbCB2YXJpYXRpb24gaW4gY29tYnVzdGlvbi1yZWxhdGVkIHBvbGx1dGFudHMgaW4gTmV3IFlvcmsgQ2l0eSB3YXMgc3Ryb25nbHkgYXNzb2NpYXRlZCB3aXRoIG9pbC1idXJuaW5nIGFuZCB0cmFmZmljIGRlbnNpdHkuIENocm9uaWMgZXhwb3N1cmUgZGlzcGFyaXRpZXMgYW5kIHVuaXF1ZSBsb2NhbCBzb3VyY2VzIGNhbiBiZSBpZGVudGlmaWVkIHRocm91Z2ggeWVhci1yb3VuZCBzYXR1cmF0aW9uIG1vbml0b3JpbmcuIiwiYXV0aG9yIjpbeyJkcm9wcGluZy1wYXJ0aWNsZSI6IiIsImZhbWlseSI6IkNsb3VnaGVydHkiLCJnaXZlbiI6IkphbmUgRS4iLCJub24tZHJvcHBpbmctcGFydGljbGUiOiIiLCJwYXJzZS1uYW1lcyI6ZmFsc2UsInN1ZmZpeCI6IiJ9LHsiZHJvcHBpbmctcGFydGljbGUiOiIiLCJmYW1pbHkiOiJLaGVpcmJlayIsImdpdmVuIjoiSXlhZCIsIm5vbi1kcm9wcGluZy1wYXJ0aWNsZSI6IiIsInBhcnNlLW5hbWVzIjpmYWxzZSwic3VmZml4IjoiIn0seyJkcm9wcGluZy1wYXJ0aWNsZSI6IiIsImZhbWlseSI6IkVpc2wiLCJnaXZlbiI6IkhvbGdlciBNIiwibm9uLWRyb3BwaW5nLXBhcnRpY2xlIjoiIiwicGFyc2UtbmFtZXMiOmZhbHNlLCJzdWZmaXgiOiIifSx7ImRyb3BwaW5nLXBhcnRpY2xlIjoiIiwiZmFtaWx5IjoiUm9zcyIsImdpdmVuIjoiWmV2Iiwibm9uLWRyb3BwaW5nLXBhcnRpY2xlIjoiIiwicGFyc2UtbmFtZXMiOmZhbHNlLCJzdWZmaXgiOiIifSx7ImRyb3BwaW5nLXBhcnRpY2xlIjoiIiwiZmFtaWx5IjoiUGV6ZXNoa2kiLCJnaXZlbiI6IkdyYW50Iiwibm9uLWRyb3BwaW5nLXBhcnRpY2xlIjoiIiwicGFyc2UtbmFtZXMiOmZhbHNlLCJzdWZmaXgiOiIifSx7ImRyb3BwaW5nLXBhcnRpY2xlIjoiIiwiZmFtaWx5IjoiR29yY3p5bnNraSIsImdpdmVuIjoiSm9obiBFIiwibm9uLWRyb3BwaW5nLXBhcnRpY2xlIjoiIiwicGFyc2UtbmFtZXMiOmZhbHNlLCJzdWZmaXgiOiIifSx7ImRyb3BwaW5nLXBhcnRpY2xlIjoiIiwiZmFtaWx5IjoiSm9obnNvbiIsImdpdmVuIjoiU2FyYWgiLCJub24tZHJvcHBpbmctcGFydGljbGUiOiIiLCJwYXJzZS1uYW1lcyI6ZmFsc2UsInN1ZmZpeCI6IiJ9LHsiZHJvcHBpbmctcGFydGljbGUiOiIiLCJmYW1pbHkiOiJNYXJrb3dpdHoiLCJnaXZlbiI6IlN0ZXZlbiIsIm5vbi1kcm9wcGluZy1wYXJ0aWNsZSI6IiIsInBhcnNlLW5hbWVzIjpmYWxzZSwic3VmZml4IjoiIn0seyJkcm9wcGluZy1wYXJ0aWNsZSI6IiIsImZhbWlseSI6Ikthc3MiLCJnaXZlbiI6IkRhbmllbCIsIm5vbi1kcm9wcGluZy1wYXJ0aWNsZSI6IiIsInBhcnNlLW5hbWVzIjpmYWxzZSwic3VmZml4IjoiIn0seyJkcm9wcGluZy1wYXJ0aWNsZSI6IiIsImZhbWlseSI6Ik1hdHRlIiwiZ2l2ZW4iOiJUaG9tYXMiLCJub24tZHJvcHBpbmctcGFydGljbGUiOiIiLCJwYXJzZS1uYW1lcyI6ZmFsc2UsInN1ZmZpeCI6IiJ9XSwiY29udGFpbmVyLXRpdGxlIjoiSm91cm5hbCBvZiBleHBvc3VyZSBzY2llbmNlICYgZW52aXJvbm1lbnRhbCBlcGlkZW1pb2xvZ3kiLCJpZCI6IjE1YjU5M2M4LTg5MjktM2RjZS1iZDM4LTU4Y2JlNjkzNTRjZiIsImlzc3VlIjoiMyIsImlzc3VlZCI6eyJkYXRlLXBhcnRzIjpbWyIyMDEzIl1dfSwibm90ZSI6Ikdvb2QgcmVmZXJlbmNlIGZvciBtZXRob2RvbG9neSBkZXNpZ24gYW5kIHdyaXRlLXVwIiwicGFnZSI6IjIzMi00MCIsInB1Ymxpc2hlciI6Ik5hdHVyZSBQdWJsaXNoaW5nIEdyb3VwIiwidGl0bGUiOiJJbnRyYS11cmJhbiBzcGF0aWFsIHZhcmlhYmlsaXR5IGluIHdpbnRlcnRpbWUgc3RyZWV0LWxldmVsIGNvbmNlbnRyYXRpb25zIG9mIG11bHRpcGxlIGNvbWJ1c3Rpb24tcmVsYXRlZCBhaXIgcG9sbHV0YW50czogdGhlIE5ldyBZb3JrIENpdHkgQ29tbXVuaXR5IEFpciBTdXJ2ZXkgKE5ZQ0NBUykuIiwidHlwZSI6ImFydGljbGUtam91cm5hbCIsInZvbHVtZSI6IjIzIn0sInVyaXMiOlsiaHR0cDovL3d3dy5tZW5kZWxleS5jb20vZG9jdW1lbnRzLz91dWlkPTQ5NTZlOTc2LWI1YzItNGJlMy1hMTM4LTk1ZDBhYmNkZmU1YSJdLCJpc1RlbXBvcmFyeSI6ZmFsc2UsImxlZ2FjeURlc2t0b3BJZCI6IjQ5NTZlOTc2LWI1YzItNGJlMy1hMTM4LTk1ZDBhYmNkZmU1YSJ9LHsiaWQiOiJmYzE0MDQ0My05OGRiLTMwZDgtYmM2Ny1kMmQ2ZmIyODNkZTMiLCJpdGVtRGF0YSI6eyJET0kiOiIxMC4xMDIxL2VzNDAzMDg5cSIsIklTQk4iOiIxNTIwLTU4NTEgKEVsZWN0cm9uaWMpXFxuMDAxMy05MzZYIChMaW5raW5nKSIsIklTU04iOiIwMDEzOTM2WCIsIlBNSUQiOiIyNDE1Njc4MyIsImFic3RyYWN0IjoiTGFuZCB1c2UgcmVncmVzc2lvbiAoTFVSKSBtb2RlbHMgdHlwaWNhbGx5IGludmVzdGlnYXRlIHdpdGhpbi11cmJhbiB2YXJpYWJpbGl0eSBpbiBhaXIgcG9sbHV0aW9uLiBSZWNlbnQgaW1wcm92ZW1lbnRzIGluIGRhdGEgcXVhbGl0eSBhbmQgYXZhaWxhYmlsaXR5LCBpbmNsdWRpbmcgc2F0ZWxsaXRlLWRlcml2ZWQgcG9sbHV0YW50IG1lYXN1cmVtZW50cywgc3VwcG9ydCBmaW5lLXNjYWxlIExVUiBtb2RlbGluZyBmb3IgbGFyZ2VyIGFyZWFzLiBIZXJlLCB3ZSBkZXNjcmliZSBOTzIgYW5kIFBNMTAgTFVSIG1vZGVscyBmb3IgV2VzdGVybiBFdXJvcGUgKHllYXJzOiAyMDA1LTIwMDcpIGJhc2VkIG9uID4xNTAwIEV1cm9BaXJuZXQgbW9uaXRvcmluZyBzaXRlcyBjb3ZlcmluZyBiYWNrZ3JvdW5kLCBpbmR1c3RyaWFsLCBhbmQgdHJhZmZpYyBlbnZpcm9ubWVudHMuIFByZWRpY3RvciB2YXJpYWJsZXMgaW5jbHVkZSBsYW5kIHVzZSBjaGFyYWN0ZXJpc3RpY3MsIHBvcHVsYXRpb24gZGVuc2l0eSwgYW5kIGxlbmd0aCBvZiBtYWpvciBhbmQgbWlub3Igcm9hZHMgaW4gem9uZXMgZnJvbSAwLjEga20gdG8gMTAga20sIGFsdGl0dWRlLCBhbmQgZGlzdGFuY2UgdG8gc2VhLiBXZSBleHBsb3JlIG1vZGVscyB3aXRoIGFuZCB3aXRob3V0IHNhdGVsbGl0ZS1iYXNlZCBOTzIgYW5kIFBNMi41IGFzIHByZWRpY3RvciB2YXJpYWJsZXMsIGFuZCB3ZSBjb21wYXJlIHR3byBhdmFpbGFibGUgbGFuZCBjb3ZlciBkYXRhIHNldHMgKGdsb2JhbDsgRXVyb3BlYW4pLiBNb2RlbCBwZXJmb3JtYW5jZSAoYWRqdXN0ZWQgUigyKSkgaXMgMC40OC0wLjU4IGZvciBOTzIgYW5kIDAuMjItMC41MCBmb3IgUE0xMC4gSW5jbHVzaW9uIG9mIHNhdGVsbGl0ZSBkYXRhIGltcHJvdmVkIG1vZGVsIHBlcmZvcm1hbmNlIChhZGp1c3RlZCBSKDIpKSBieSwgb24gYXZlcmFnZSwgMC4wNSBmb3IgTk8yIGFuZCAwLjExIGZvciBQTTEwLiBNb2RlbHMgd2VyZSBhcHBsaWVkIG9uIGEgMTAwIG0gZ3JpZCBhY3Jvc3MgV2VzdGVybiBFdXJvcGU7IHRvIHN1cHBvcnQgZnV0dXJlIHJlc2VhcmNoLCB0aGVzZSBkYXRhIHNldHMgYXJlIHB1YmxpY2x5IGF2YWlsYWJsZS4iLCJhdXRob3IiOlt7ImRyb3BwaW5nLXBhcnRpY2xlIjoiIiwiZmFtaWx5IjoiVmllbm5lYXUiLCJnaXZlbiI6IkRhbmllbGxlIiwibm9uLWRyb3BwaW5nLXBhcnRpY2xlIjoiIiwicGFyc2UtbmFtZXMiOmZhbHNlLCJzdWZmaXgiOiIifSx7ImRyb3BwaW5nLXBhcnRpY2xlIjoiIiwiZmFtaWx5IjoiSG9vZ2giLCJnaXZlbiI6IktlZXMiLCJub24tZHJvcHBpbmctcGFydGljbGUiOiJEZSIsInBhcnNlLW5hbWVzIjpmYWxzZSwic3VmZml4IjoiIn0seyJkcm9wcGluZy1wYXJ0aWNsZSI6IiIsImZhbWlseSI6IkJlY2hsZSIsImdpdmVuIjoiTWF0dGhldyBKLiIsIm5vbi1kcm9wcGluZy1wYXJ0aWNsZSI6IiIsInBhcnNlLW5hbWVzIjpmYWxzZSwic3VmZml4IjoiIn0seyJkcm9wcGluZy1wYXJ0aWNsZSI6IiIsImZhbWlseSI6IkJlZWxlbiIsImdpdmVuIjoiUm9iIiwibm9uLWRyb3BwaW5nLXBhcnRpY2xlIjoiIiwicGFyc2UtbmFtZXMiOmZhbHNlLCJzdWZmaXgiOiIifSx7ImRyb3BwaW5nLXBhcnRpY2xlIjoiIiwiZmFtaWx5IjoiRG9ua2VsYWFyIiwiZ2l2ZW4iOiJBYXJvbiIsIm5vbi1kcm9wcGluZy1wYXJ0aWNsZSI6IlZhbiIsInBhcnNlLW5hbWVzIjpmYWxzZSwic3VmZml4IjoiIn0seyJkcm9wcGluZy1wYXJ0aWNsZSI6IlYuIiwiZmFtaWx5IjoiTWFydGluIiwiZ2l2ZW4iOiJSYW5kYWxsIiwibm9uLWRyb3BwaW5nLXBhcnRpY2xlIjoiIiwicGFyc2UtbmFtZXMiOmZhbHNlLCJzdWZmaXgiOiIifSx7ImRyb3BwaW5nLXBhcnRpY2xlIjoiIiwiZmFtaWx5IjoiTWlsbGV0IiwiZ2l2ZW4iOiJEeWxhbiBCLiIsIm5vbi1kcm9wcGluZy1wYXJ0aWNsZSI6IiIsInBhcnNlLW5hbWVzIjpmYWxzZSwic3VmZml4IjoiIn0seyJkcm9wcGluZy1wYXJ0aWNsZSI6IiIsImZhbWlseSI6IkhvZWsiLCJnaXZlbiI6IkdlcmFyZCIsIm5vbi1kcm9wcGluZy1wYXJ0aWNsZSI6IiIsInBhcnNlLW5hbWVzIjpmYWxzZSwic3VmZml4IjoiIn0seyJkcm9wcGluZy1wYXJ0aWNsZSI6IiIsImZhbWlseSI6Ik1hcnNoYWxsIiwiZ2l2ZW4iOiJKdWxpYW4gRC4iLCJub24tZHJvcHBpbmctcGFydGljbGUiOiIiLCJwYXJzZS1uYW1lcyI6ZmFsc2UsInN1ZmZpeCI6IiJ9XSwiY29udGFpbmVyLXRpdGxlIjoiRW52aXJvbm1lbnRhbCBTY2llbmNlIGFuZCBUZWNobm9sb2d5IiwiaWQiOiJmYzE0MDQ0My05OGRiLTMwZDgtYmM2Ny1kMmQ2ZmIyODNkZTMiLCJpc3N1ZSI6IjIzIiwiaXNzdWVkIjp7ImRhdGUtcGFydHMiOltbIjIwMTMiXV19LCJwYWdlIjoiMTM1NTUtMTM1NjQiLCJ0aXRsZSI6Ildlc3Rlcm4gZXVyb3BlYW4gbGFuZCB1c2UgcmVncmVzc2lvbiBpbmNvcnBvcmF0aW5nIHNhdGVsbGl0ZS0gYW5kIGdyb3VuZC1iYXNlZCBtZWFzdXJlbWVudHMgb2YgTk8yIGFuZCBQTTEwIiwidHlwZSI6ImFydGljbGUtam91cm5hbCIsInZvbHVtZSI6IjQ3In0sInVyaXMiOlsiaHR0cDovL3d3dy5tZW5kZWxleS5jb20vZG9jdW1lbnRzLz91dWlkPWIyYTE0MmI5LTRiZGYtNDIxNi1hOGZjLTIyM2YxYjBmYzgyNiJdLCJpc1RlbXBvcmFyeSI6ZmFsc2UsImxlZ2FjeURlc2t0b3BJZCI6ImIyYTE0MmI5LTRiZGYtNDIxNi1hOGZjLTIyM2YxYjBmYzgyNiJ9LHsiaWQiOiI2YmNjMTlmOS1lYjFlLTMyOTQtODBmMC1jMzBkZmI3ODQ5Y2QiLCJpdGVtRGF0YSI6eyJET0kiOiIxMC4xMDE2L2ouZW52aW50LjIwMTguMDcuMDM2IiwiSVNTTiI6IjE4NzM2NzUwIiwiYWJzdHJhY3QiOiJCYWNrZ3JvdW5kOiBJbiBvcmRlciB0byBpbnZlc3RpZ2F0ZSBhc3NvY2lhdGlvbnMgYmV0d2VlbiBhaXIgcG9sbHV0aW9uIGFuZCBhZHZlcnNlIGhlYWx0aCBlZmZlY3RzIGNvbnNpc3RlbnQgZmluZSBzcGF0aWFsIGFpciBwb2xsdXRpb24gc3VyZmFjZXMgYXJlIG5lZWRlZCBhY3Jvc3MgbGFyZ2UgYXJlYXMgdG8gcHJvdmlkZSBjb2hvcnRzIHdpdGggY29tcGFyYWJsZSBleHBvc3VyZXMuIFRoZSBhaW0gb2YgdGhpcyBwYXBlciBpcyB0byBkZXZlbG9wIGFuZCBldmFsdWF0ZSBmaW5lIHNwYXRpYWwgc2NhbGUgbGFuZCB1c2UgcmVncmVzc2lvbiBtb2RlbHMgZm9yIGZvdXIgbWFqb3IgaGVhbHRoIHJlbGV2YW50IGFpciBwb2xsdXRhbnRzIChQTTIuNSwgTk8yLCBCQywgTzMpIGFjcm9zcyBFdXJvcGUuIE1ldGhvZHM6IFdlIGRldmVsb3BlZCBXZXN0LUV1cm9wZWFuIGxhbmQgdXNlIHJlZ3Jlc3Npb24gbW9kZWxzIChMVVIpIGZvciAyMDEwIGVzdGltYXRpbmcgYW5udWFsIG1lYW4gUE0yLjUsIE5PMiwgQkMgYW5kIE8zY29uY2VudHJhdGlvbnMgKGluY2x1ZGluZyBjb2xkIGFuZCB3YXJtIHNlYXNvbiBlc3RpbWF0ZXMgZm9yIE8zKS4gVGhlIG1vZGVscyB3ZXJlIGJhc2VkIG9uIEFpckJhc2Ugcm91dGluZSBtb25pdG9yaW5nIGRhdGEgKFBNMi41LCBOTzJhbmQgTzMpIGFuZCBFU0NBUEUgbW9uaXRvcmluZyBkYXRhIChCQyksIGFuZCBpbmNvcnBvcmF0ZWQgc2F0ZWxsaXRlIG9ic2VydmF0aW9ucywgZGlzcGVyc2lvbiBtb2RlbCBlc3RpbWF0ZXMsIGxhbmQgdXNlIGFuZCB0cmFmZmljIGRhdGEuIEtyaWdpbmcgd2FzIHBlcmZvcm1lZCBvbiB0aGUgcmVzaWR1YWwgc3BhdGlhbCB2YXJpYXRpb24gZnJvbSB0aGUgTFVSIG1vZGVscyBhbmQgYWRkZWQgdG8gdGhlIGV4cG9zdXJlIGVzdGltYXRlcy4gT25lIG1vZGVsIHdhcyBkZXZlbG9wZWQgdXNpbmcgYWxsIHNpdGVzICgxMDAlKS4gUm9idXN0bmVzcyBvZiB0aGUgbW9kZWxzIHdhcyBldmFsdWF0ZWQgYnkgcGVyZm9ybWluZyBhIGZpdmUtZm9sZCBob2xkLW91dCB2YWxpZGF0aW9uIGFuZCBmb3IgUE0yLjVhbmQgTk8yYWRkaXRpb25hbGx5IHdpdGggaW5kZXBlbmRlbnQgY29tcGFyaXNvbiBhdCBFU0NBUEUgbWVhc3VyZW1lbnRzLiBUbyBldmFsdWF0ZSB0aGUgc3RhYmlsaXR5IG9mIGVhY2ggbW9kZWwncyBzcGF0aWFsIHN0cnVjdHVyZSBvdmVyIHRpbWUsIHNlcGFyYXRlIG1vZGVscyB3ZXJlIGRldmVsb3BlZCBmb3IgZGlmZmVyZW50IHllYXJzIChOTzJhbmQgTzM6IDIwMDAgYW5kIDIwMDU7IFBNMi41OiAyMDEzKS4gUmVzdWx0czogVGhlIFBNMi41LCBCQywgTk8yLCBPM2FubnVhbCwgTzN3YXJtIHNlYXNvbiBhbmQgTzNjb2xkIHNlYXNvbiBtb2RlbHMgZXhwbGFpbmVkIHJlc3BlY3RpdmVseSA3MiUsIDU0JSwgNTklLCA2NSUsIDY5JSBhbmQgODMlIG9mIHNwYXRpYWwgdmFyaWF0aW9uIGluIHRoZSBtZWFzdXJlZCBjb25jZW50cmF0aW9ucy4gS3JpZ2luZyBwcm92ZWQgYW4gZWZmaWNpZW50IHRlY2huaXF1ZSB0byBleHBsYWluIGEgcGFydCBvZiByZXNpZHVhbCBzcGF0aWFsIHZhcmlhdGlvbiBmb3IgdGhlIHBvbGx1dGFudHMgd2l0aCBhIHN0cm9uZyByZWdpb25hbCBjb21wb25lbnQgZXhwbGFpbmluZyByZXNwZWN0aXZlbHkgMTAlLCAyNCUgYW5kIDE2JSBvZiB0aGUgUjJpbiB0aGUgUE0yLjUsIE8zd2FybSBhbmQgTzNjb2xkIG1vZGVscy4gRXhwbGFpbmVkIHZhcmlhbmNlIGF0IGZ1bGx5IGluZGVwZW5kZW50IHNpdGVzIHZzIHRoZSBpbnRlcm5hbCBob2xkLW91dCB2YWxpZGF0aW9uIHdhcyBzbGlnaHRseSBsb3dlciBmb3IgUE0yLjUoNjUlIHZzIDY2JSkgYW5kIGxvd2VyIGZvciBOTzIoNDklIHZzIDU3JSkuIFByZWRpY3Rpb25zIGZyb20gdGhlIDIwMTAgbW9kZWwgY29ycmVsYXRlZCBoaWdobHkgd2l0aCBtb2RlbHMgZGV2ZWxvcGVkIGluIG90aGVyIHllYXJzIGF0IHRoZSBvdmVyYWxsIEV1cm9wZWFuIHNjYWxlLiBDb25jbHVzaW9uczogV2UgZGV2ZWxvcGVkIHJvYnVzdCBQTTIuNSwgTk8yLCBPM2FuZCBCQyBoeWJyaWQgTFVSIG1vZGVscy4gQXQgdGhlIFdlc3QtRXVyb3BlYW4gc2NhbGUgbW9kZWxzIHdlcmUgcm9idXN0IGluIHRpbWUsIGJlY29taW5nIGxlc3Mgcm9idXN0IGF0IHNtYWxsZXIgc3BhdGlhbCBzY2FsZXMuIE1vZGVscyB3ZXJlIGFwcGxpZWQgdG8gMTAwIMOXIDEwMCBtIHN1cmZhY2VzIGFjcm9zcyBXZXN0ZXJuIEV1cm9wZSB0byBhbGxvdyBmb3IgZXhwb3N1cmUgYXNzaWdubWVudCBmb3IgMzUgbWlsbGlvbiBwYXJ0aWNpcGFudHMgZnJvbSAxOCBFdXJvcGVhbiBjb2hvcnRzIHBhcnRpY2lwYXRpbmcgaW4gdGhlIEVMQVBTRSBzdHVkeS4iLCJhdXRob3IiOlt7ImRyb3BwaW5nLXBhcnRpY2xlIjoiIiwiZmFtaWx5IjoiSG9vZ2giLCJnaXZlbiI6IktlZXMiLCJub24tZHJvcHBpbmctcGFydGljbGUiOiJkZSIsInBhcnNlLW5hbWVzIjpmYWxzZSwic3VmZml4IjoiIn0seyJkcm9wcGluZy1wYXJ0aWNsZSI6IiIsImZhbWlseSI6IkNoZW4iLCJnaXZlbiI6IkppZSIsIm5vbi1kcm9wcGluZy1wYXJ0aWNsZSI6IiIsInBhcnNlLW5hbWVzIjpmYWxzZSwic3VmZml4IjoiIn0seyJkcm9wcGluZy1wYXJ0aWNsZSI6IiIsImZhbWlseSI6Ikd1bGxpdmVyIiwiZ2l2ZW4iOiJKb2huIiwibm9uLWRyb3BwaW5nLXBhcnRpY2xlIjoiIiwicGFyc2UtbmFtZXMiOmZhbHNlLCJzdWZmaXgiOiIifSx7ImRyb3BwaW5nLXBhcnRpY2xlIjoiIiwiZmFtaWx5IjoiSG9mZm1hbm4iLCJnaXZlbiI6IkJhcmJhcmEiLCJub24tZHJvcHBpbmctcGFydGljbGUiOiIiLCJwYXJzZS1uYW1lcyI6ZmFsc2UsInN1ZmZpeCI6IiJ9LHsiZHJvcHBpbmctcGFydGljbGUiOiIiLCJmYW1pbHkiOiJIZXJ0ZWwiLCJnaXZlbiI6Ik9sZSIsIm5vbi1kcm9wcGluZy1wYXJ0aWNsZSI6IiIsInBhcnNlLW5hbWVzIjpmYWxzZSwic3VmZml4IjoiIn0seyJkcm9wcGluZy1wYXJ0aWNsZSI6IiIsImZhbWlseSI6IktldHplbCIsImdpdmVuIjoiTWF0dGhpYXMiLCJub24tZHJvcHBpbmctcGFydGljbGUiOiIiLCJwYXJzZS1uYW1lcyI6ZmFsc2UsInN1ZmZpeCI6IiJ9LHsiZHJvcHBpbmctcGFydGljbGUiOiIiLCJmYW1pbHkiOiJCYXV3ZWxpbmNrIiwiZ2l2ZW4iOiJNYXJpc2thIiwibm9uLWRyb3BwaW5nLXBhcnRpY2xlIjoiIiwicGFyc2UtbmFtZXMiOmZhbHNlLCJzdWZmaXgiOiIifSx7ImRyb3BwaW5nLXBhcnRpY2xlIjoiIiwiZmFtaWx5IjoiRG9ua2VsYWFyIiwiZ2l2ZW4iOiJBYXJvbiIsIm5vbi1kcm9wcGluZy1wYXJ0aWNsZSI6InZhbiIsInBhcnNlLW5hbWVzIjpmYWxzZSwic3VmZml4IjoiIn0seyJkcm9wcGluZy1wYXJ0aWNsZSI6IiIsImZhbWlseSI6Ikh2aWR0ZmVsZHQiLCJnaXZlbiI6IlVsbGEgQS4iLCJub24tZHJvcHBpbmctcGFydGljbGUiOiIiLCJwYXJzZS1uYW1lcyI6ZmFsc2UsInN1ZmZpeCI6IiJ9LHsiZHJvcHBpbmctcGFydGljbGUiOiIiLCJmYW1pbHkiOiJLYXRzb3V5YW5uaSIsImdpdmVuIjoiS2xlYSIsIm5vbi1kcm9wcGluZy1wYXJ0aWNsZSI6IiIsInBhcnNlLW5hbWVzIjpmYWxzZSwic3VmZml4IjoiIn0seyJkcm9wcGluZy1wYXJ0aWNsZSI6IiIsImZhbWlseSI6Iktsb21wbWFrZXIiLCJnaXZlbiI6IkpvY2hlbSIsIm5vbi1kcm9wcGluZy1wYXJ0aWNsZSI6IiIsInBhcnNlLW5hbWVzIjpmYWxzZSwic3VmZml4IjoiIn0seyJkcm9wcGluZy1wYXJ0aWNsZSI6IlYuIiwiZmFtaWx5IjoiTWFydGluIiwiZ2l2ZW4iOiJSYW5kYWwiLCJub24tZHJvcHBpbmctcGFydGljbGUiOiIiLCJwYXJzZS1uYW1lcyI6ZmFsc2UsInN1ZmZpeCI6IiJ9LHsiZHJvcHBpbmctcGFydGljbGUiOiIiLCJmYW1pbHkiOiJTYW1vbGkiLCJnaXZlbiI6IkV2YW5nZWxpYSIsIm5vbi1kcm9wcGluZy1wYXJ0aWNsZSI6IiIsInBhcnNlLW5hbWVzIjpmYWxzZSwic3VmZml4IjoiIn0seyJkcm9wcGluZy1wYXJ0aWNsZSI6IiIsImZhbWlseSI6IlNjaHdhcnR6IiwiZ2l2ZW4iOiJQZXIgRS4iLCJub24tZHJvcHBpbmctcGFydGljbGUiOiIiLCJwYXJzZS1uYW1lcyI6ZmFsc2UsInN1ZmZpeCI6IiJ9LHsiZHJvcHBpbmctcGFydGljbGUiOiIiLCJmYW1pbHkiOiJTdGFmb2dnaWEiLCJnaXZlbiI6Ik1hc3NpbW8iLCJub24tZHJvcHBpbmctcGFydGljbGUiOiIiLCJwYXJzZS1uYW1lcyI6ZmFsc2UsInN1ZmZpeCI6IiJ9LHsiZHJvcHBpbmctcGFydGljbGUiOiIiLCJmYW1pbHkiOiJCZWxsYW5kZXIiLCJnaXZlbiI6IlRvbSIsIm5vbi1kcm9wcGluZy1wYXJ0aWNsZSI6IiIsInBhcnNlLW5hbWVzIjpmYWxzZSwic3VmZml4IjoiIn0seyJkcm9wcGluZy1wYXJ0aWNsZSI6IiIsImZhbWlseSI6IlN0cmFrIiwiZ2l2ZW4iOiJNYWNpZWoiLCJub24tZHJvcHBpbmctcGFydGljbGUiOiIiLCJwYXJzZS1uYW1lcyI6ZmFsc2UsInN1ZmZpeCI6IiJ9LHsiZHJvcHBpbmctcGFydGljbGUiOiIiLCJmYW1pbHkiOiJXb2xmIiwiZ2l2ZW4iOiJLYXRocmluIiwibm9uLWRyb3BwaW5nLXBhcnRpY2xlIjoiIiwicGFyc2UtbmFtZXMiOmZhbHNlLCJzdWZmaXgiOiIifSx7ImRyb3BwaW5nLXBhcnRpY2xlIjoiIiwiZmFtaWx5IjoiVmllbm5lYXUiLCJnaXZlbiI6IkRhbmllbGxlIiwibm9uLWRyb3BwaW5nLXBhcnRpY2xlIjoiIiwicGFyc2UtbmFtZXMiOmZhbHNlLCJzdWZmaXgiOiIifSx7ImRyb3BwaW5nLXBhcnRpY2xlIjoiIiwiZmFtaWx5IjoiQnJ1bmVrcmVlZiIsImdpdmVuIjoiQmVydCIsIm5vbi1kcm9wcGluZy1wYXJ0aWNsZSI6IiIsInBhcnNlLW5hbWVzIjpmYWxzZSwic3VmZml4IjoiIn0seyJkcm9wcGluZy1wYXJ0aWNsZSI6IiIsImZhbWlseSI6IkhvZWsiLCJnaXZlbiI6IkdlcmFyZCIsIm5vbi1kcm9wcGluZy1wYXJ0aWNsZSI6IiIsInBhcnNlLW5hbWVzIjpmYWxzZSwic3VmZml4IjoiIn1dLCJjb250YWluZXItdGl0bGUiOiJFbnZpcm9ubWVudCBJbnRlcm5hdGlvbmFsIiwiaWQiOiI2YmNjMTlmOS1lYjFlLTMyOTQtODBmMC1jMzBkZmI3ODQ5Y2QiLCJpc3N1ZWQiOnsiZGF0ZS1wYXJ0cyI6W1siMjAxOCIsIjExIiwiMSJdXX0sInBhZ2UiOiI4MS05MiIsInB1Ymxpc2hlciI6IlBlcmdhbW9uIiwidGl0bGUiOiJTcGF0aWFsIFBNMi41LCBOTzIsIE8zIGFuZCBCQyBtb2RlbHMgZm9yIFdlc3Rlcm4gRXVyb3BlIOKAkyBFdmFsdWF0aW9uIG9mIHNwYXRpb3RlbXBvcmFsIHN0YWJpbGl0eSIsInR5cGUiOiJhcnRpY2xlLWpvdXJuYWwiLCJ2b2x1bWUiOiIxMjAifSwidXJpcyI6WyJodHRwOi8vd3d3Lm1lbmRlbGV5LmNvbS9kb2N1bWVudHMvP3V1aWQ9NmJjYzE5ZjktZWIxZS0zMjk0LTgwZjAtYzMwZGZiNzg0OWNkIl0sImlzVGVtcG9yYXJ5IjpmYWxzZSwibGVnYWN5RGVza3RvcElkIjoiNmJjYzE5ZjktZWIxZS0zMjk0LTgwZjAtYzMwZGZiNzg0OWNkIn1dLCJwcm9wZXJ0aWVzIjp7Im5vdGVJbmRleCI6MH0sImlzRWRpdGVkIjpmYWxzZSwibWFudWFsT3ZlcnJpZGUiOnsiY2l0ZXByb2NUZXh0IjoiKENsb3VnaGVydHkgZXQgYWwuLCAyMDEzOyBkZSBIb29naCBldCBhbC4sIDIwMTg7IFZpZW5uZWF1IGV0IGFsLiwgMjAxMykiLCJpc01hbnVhbGx5T3ZlcnJpZGRlbiI6ZmFsc2UsIm1hbnVhbE92ZXJyaWRlVGV4dCI6IiJ9fQ==&quot;},{&quot;citationID&quot;:&quot;MENDELEY_CITATION_f1f174c0-a8c4-4619-b629-e6159a81b24a&quot;,&quot;citationItems&quot;:[{&quot;id&quot;:&quot;31bbaf62-438d-3212-b2cf-0c5a8e07fc2e&quot;,&quot;itemData&quot;:{&quot;DOI&quot;:&quot;10.1021/acs.est.9b03358&quot;,&quot;ISSN&quot;:&quot;15205851&quot;,&quot;PMID&quot;:&quot;31851499&quot;,&quot;abstract&quot;:&quot;NO2 is a combustion byproduct that has been associated with multiple adverse health outcomes. To assess NO2 levels with high accuracy, we propose the use of an ensemble model to integrate multiple machine learning algorithms, including neural network, random forest, and gradient boosting, with a variety of predictor variables, including chemical transport models. This NO2 model covers the entire contiguous U.S. with daily predictions on 1-km-level grid cells from 2000 to 2016. The ensemble produced a cross-validated R2 of 0.788 overall, a spatial R2 of 0.844, and a temporal R2 of 0.729. The relationship between daily monitored and predicted NO2 is almost linear. We also estimated the associated monthly uncertainty level for the predictions and address-specific NO2 levels. This NO2 estimation has a very high spatiotemporal resolution and allows the examination of the health effects of NO2 in unmonitored areas. We found the highest NO2 levels along highways and in cities. We also observed that nationwide NO2 levels declined in early years and stagnated after 2007, in contrast to the trend at monitoring sites in urban areas, where the decline continued. Our research indicates that the integration of different predictor variables and fitting algorithms can achieve an improved air pollution modeling framework.&quot;,&quot;author&quot;:[{&quot;dropping-particle&quot;:&quot;&quot;,&quot;family&quot;:&quot;Di&quot;,&quot;given&quot;:&quot;Qian&quot;,&quot;non-dropping-particle&quot;:&quot;&quot;,&quot;parse-names&quot;:false,&quot;suffix&quot;:&quot;&quot;},{&quot;dropping-particle&quot;:&quot;&quot;,&quot;family&quot;:&quot;Amini&quot;,&quot;given&quot;:&quot;Heresh&quot;,&quot;non-dropping-particle&quot;:&quot;&quot;,&quot;parse-names&quot;:false,&quot;suffix&quot;:&quot;&quot;},{&quot;dropping-particle&quot;:&quot;&quot;,&quot;family&quot;:&quot;Shi&quot;,&quot;given&quot;:&quot;Liuhua&quot;,&quot;non-dropping-particle&quot;:&quot;&quot;,&quot;parse-names&quot;:false,&quot;suffix&quot;:&quot;&quot;},{&quot;dropping-particle&quot;:&quot;&quot;,&quot;family&quot;:&quot;Kloog&quot;,&quot;given&quot;:&quot;Itai&quot;,&quot;non-dropping-particle&quot;:&quot;&quot;,&quot;parse-names&quot;:false,&quot;suffix&quot;:&quot;&quot;},{&quot;dropping-particle&quot;:&quot;&quot;,&quot;family&quot;:&quot;Silvern&quot;,&quot;given&quot;:&quot;Rachel&quot;,&quot;non-dropping-particle&quot;:&quot;&quot;,&quot;parse-names&quot;:false,&quot;suffix&quot;:&quot;&quot;},{&quot;dropping-particle&quot;:&quot;&quot;,&quot;family&quot;:&quot;Kelly&quot;,&quot;given&quot;:&quot;James&quot;,&quot;non-dropping-particle&quot;:&quot;&quot;,&quot;parse-names&quot;:false,&quot;suffix&quot;:&quot;&quot;},{&quot;dropping-particle&quot;:&quot;&quot;,&quot;family&quot;:&quot;Sabath&quot;,&quot;given&quot;:&quot;M. Benjamin&quot;,&quot;non-dropping-particle&quot;:&quot;&quot;,&quot;parse-names&quot;:false,&quot;suffix&quot;:&quot;&quot;},{&quot;dropping-particle&quot;:&quot;&quot;,&quot;family&quot;:&quot;Choirat&quot;,&quot;given&quot;:&quot;Christine&quot;,&quot;non-dropping-particle&quot;:&quot;&quot;,&quot;parse-names&quot;:false,&quot;suffix&quot;:&quot;&quot;},{&quot;dropping-particle&quot;:&quot;&quot;,&quot;family&quot;:&quot;Koutrakis&quot;,&quot;given&quot;:&quot;Petros&quot;,&quot;non-dropping-particle&quot;:&quot;&quot;,&quot;parse-names&quot;:false,&quot;suffix&quot;:&quot;&quot;},{&quot;dropping-particle&quot;:&quot;&quot;,&quot;family&quot;:&quot;Lyapustin&quot;,&quot;given&quot;:&quot;Alexei&quot;,&quot;non-dropping-particle&quot;:&quot;&quot;,&quot;parse-names&quot;:false,&quot;suffix&quot;:&quot;&quot;},{&quot;dropping-particle&quot;:&quot;&quot;,&quot;family&quot;:&quot;Wang&quot;,&quot;given&quot;:&quot;Yujie&quot;,&quot;non-dropping-particle&quot;:&quot;&quot;,&quot;parse-names&quot;:false,&quot;suffix&quot;:&quot;&quot;},{&quot;dropping-particle&quot;:&quot;&quot;,&quot;family&quot;:&quot;Mickley&quot;,&quot;given&quot;:&quot;Loretta J.&quot;,&quot;non-dropping-particle&quot;:&quot;&quot;,&quot;parse-names&quot;:false,&quot;suffix&quot;:&quot;&quot;},{&quot;dropping-particle&quot;:&quot;&quot;,&quot;family&quot;:&quot;Schwartz&quot;,&quot;given&quot;:&quot;Joel&quot;,&quot;non-dropping-particle&quot;:&quot;&quot;,&quot;parse-names&quot;:false,&quot;suffix&quot;:&quot;&quot;}],&quot;container-title&quot;:&quot;Environmental Science and Technology&quot;,&quot;id&quot;:&quot;31bbaf62-438d-3212-b2cf-0c5a8e07fc2e&quot;,&quot;issue&quot;:&quot;3&quot;,&quot;issued&quot;:{&quot;date-parts&quot;:[[&quot;2020&quot;,&quot;2&quot;,&quot;4&quot;]]},&quot;page&quot;:&quot;1372-1384&quot;,&quot;publisher&quot;:&quot;American Chemical Society&quot;,&quot;title&quot;:&quot;Assessing NO2 concentration and model uncertainty with high spatiotemporal resolution across the contiguous united states using ensemble model averaging&quot;,&quot;type&quot;:&quot;article-journal&quot;,&quot;volume&quot;:&quot;54&quot;},&quot;uris&quot;:[&quot;http://www.mendeley.com/documents/?uuid=31bbaf62-438d-3212-b2cf-0c5a8e07fc2e&quot;],&quot;isTemporary&quot;:false,&quot;legacyDesktopId&quot;:&quot;31bbaf62-438d-3212-b2cf-0c5a8e07fc2e&quot;},{&quot;id&quot;:&quot;5ecb7567-ff6b-3da3-9e62-95fa2dea753b&quot;,&quot;itemData&quot;:{&quot;DOI&quot;:&quot;10.1186/1476-069X-13-63&quot;,&quot;ISSN&quot;:&quot;1476069X&quot;,&quot;PMID&quot;:&quot;25097007&quot;,&quot;abstract&quot;:&quot;Background: Exposure to atmospheric particulate matter (PM) remains an important public health concern, although it remains difficult to quantify accurately across large geographic areas with sufficiently high spatial resolution. Recent epidemiologic analyses have demonstrated the importance of spatially- and temporally-resolved exposure estimates, which show larger PM-mediated health effects as compared to nearest monitor or county-specific ambient concentrations. Methods. We developed generalized additive mixed models that describe regional and small-scale spatial and temporal gradients (and corresponding uncertainties) in monthly mass concentrations of fine (PM2.5), inhalable (PM10), and coarse mode particle mass (PM2.5-10) for the conterminous United States (U.S.). These models expand our previously developed models for the Northeastern and Midwestern U.S. by virtue of their larger spatial domain, their inclusion of an additional 5 years of PM data to develop predictions through 2007, and their use of refined geographic covariates for population density and point-source PM emissions. Covariate selection and model validation were performed using 10-fold cross-validation (CV). Results: The PM2.5 models had high predictive accuracy (CV R2=0.77 for both 1988-1998 and 1999-2007). While model performance remained strong, the predictive ability of models for PM10 (CV R2=0.58 for both 1988-1998 and 1999-2007) and PM2.5-10 (CV R2=0.46 and 0.52 for 1988-1998 and 1999-2007, respectively) was somewhat lower. Regional variation was found in the effects of geographic and meteorological covariates. Models generally performed well in both urban and rural areas and across seasons, though predictive performance varied somewhat by region (CV R2=0.81, 0.81, 0.83, 0.72, 0.69, 0.50, and 0.60 for the Northeast, Midwest, Southeast, Southcentral, Southwest, Northwest, and Central Plains regions, respectively, for PM2.5 from 1999-2007). Conclusions: Our models provide estimates of monthly-average outdoor concentrations of PM2.5, PM10, and PM2.5-10 with high spatial resolution and low bias. Thus, these models are suitable for estimating chronic exposures of populations living in the conterminous U.S. from 1988 to 2007.&quot;,&quot;author&quot;:[{&quot;dropping-particle&quot;:&quot;&quot;,&quot;family&quot;:&quot;Yanosky&quot;,&quot;given&quot;:&quot;Jeff D.&quot;,&quot;non-dropping-particle&quot;:&quot;&quot;,&quot;parse-names&quot;:false,&quot;suffix&quot;:&quot;&quot;},{&quot;dropping-particle&quot;:&quot;&quot;,&quot;family&quot;:&quot;Paciorek&quot;,&quot;given&quot;:&quot;Christopher J.&quot;,&quot;non-dropping-particle&quot;:&quot;&quot;,&quot;parse-names&quot;:false,&quot;suffix&quot;:&quot;&quot;},{&quot;dropping-particle&quot;:&quot;&quot;,&quot;family&quot;:&quot;Laden&quot;,&quot;given&quot;:&quot;Francine&quot;,&quot;non-dropping-particle&quot;:&quot;&quot;,&quot;parse-names&quot;:false,&quot;suffix&quot;:&quot;&quot;},{&quot;dropping-particle&quot;:&quot;&quot;,&quot;family&quot;:&quot;Hart&quot;,&quot;given&quot;:&quot;Jaime E.&quot;,&quot;non-dropping-particle&quot;:&quot;&quot;,&quot;parse-names&quot;:false,&quot;suffix&quot;:&quot;&quot;},{&quot;dropping-particle&quot;:&quot;&quot;,&quot;family&quot;:&quot;Puett&quot;,&quot;given&quot;:&quot;Robin C.&quot;,&quot;non-dropping-particle&quot;:&quot;&quot;,&quot;parse-names&quot;:false,&quot;suffix&quot;:&quot;&quot;},{&quot;dropping-particle&quot;:&quot;&quot;,&quot;family&quot;:&quot;Liao&quot;,&quot;given&quot;:&quot;Duanping&quot;,&quot;non-dropping-particle&quot;:&quot;&quot;,&quot;parse-names&quot;:false,&quot;suffix&quot;:&quot;&quot;},{&quot;dropping-particle&quot;:&quot;&quot;,&quot;family&quot;:&quot;Suh&quot;,&quot;given&quot;:&quot;Helen H.&quot;,&quot;non-dropping-particle&quot;:&quot;&quot;,&quot;parse-names&quot;:false,&quot;suffix&quot;:&quot;&quot;}],&quot;container-title&quot;:&quot;Environmental Health: A Global Access Science Source&quot;,&quot;id&quot;:&quot;5ecb7567-ff6b-3da3-9e62-95fa2dea753b&quot;,&quot;issue&quot;:&quot;1&quot;,&quot;issued&quot;:{&quot;date-parts&quot;:[[&quot;2014&quot;,&quot;8&quot;,&quot;5&quot;]]},&quot;publisher&quot;:&quot;BioMed Central Ltd.&quot;,&quot;title&quot;:&quot;Spatio-temporal modeling of particulate air pollution in the conterminous United States using geographic and meteorological predictors&quot;,&quot;type&quot;:&quot;article-journal&quot;,&quot;volume&quot;:&quot;13&quot;},&quot;uris&quot;:[&quot;http://www.mendeley.com/documents/?uuid=5ecb7567-ff6b-3da3-9e62-95fa2dea753b&quot;],&quot;isTemporary&quot;:false,&quot;legacyDesktopId&quot;:&quot;5ecb7567-ff6b-3da3-9e62-95fa2dea753b&quot;},{&quot;id&quot;:&quot;d044d2d7-f98b-3d53-bfc0-0f69d718eafa&quot;,&quot;itemData&quot;:{&quot;DOI&quot;:&quot;10.1289/ehp.1408145&quot;,&quot;ISSN&quot;:&quot;15529924&quot;,&quot;PMID&quot;:&quot;25398188&quot;,&quot;abstract&quot;:&quot;Background: Cohort studies of the relationship between air pollution exposure and chronic health effects require predictions of exposure over long periods of time. oBjectives: We developed a unified modeling approach for predicting fine particulate matter, nitrogen dioxide, oxides of nitrogen, and black carbon (as measured by light absorption coefficient) in six U.S. metropolitan regions from 1999 through early 2012 as part of the Multi-Ethnic Study of Atherosclerosis and Air Pollution (MESA Air). Methods: We obtained monitoring data from regulatory networks and supplemented those data with study-specific measurements collected from MESA Air community locations and participants’ homes. In each region, we applied a spatiotemporal model that included a long-term spatial mean, time trends with spatially varying coefficients, and a spatiotemporal residual. The mean structure was derived from a large set of geographic covariates that was reduced using partial least-squares regression. We estimated time trends from observed time series and used spatial smoothing methods to borrow strength between observations. results: Prediction accuracy was high for most models, with cross-validation R2 (R2CV) &gt; 0.80 at regulatory and fixed sites for most regions and pollutants. At home sites, overall R2CV ranged from 0.45 to 0.92, and temporally adjusted R2CV ranged from 0.23 to 0.92. conclusions: This novel spatiotemporal modeling approach provides accurate fine-scale predictions in multiple regions for four pollutants. We have generated participant-specific predictions for MESA Air to investigate health effects of long-term air pollution exposures. These successes highlight modeling advances that can be adopted more widely in modern cohort studies.&quot;,&quot;author&quot;:[{&quot;dropping-particle&quot;:&quot;&quot;,&quot;family&quot;:&quot;Keller&quot;,&quot;given&quot;:&quot;Joshua P.&quot;,&quot;non-dropping-particle&quot;:&quot;&quot;,&quot;parse-names&quot;:false,&quot;suffix&quot;:&quot;&quot;},{&quot;dropping-particle&quot;:&quot;&quot;,&quot;family&quot;:&quot;Olives&quot;,&quot;given&quot;:&quot;Casey&quot;,&quot;non-dropping-particle&quot;:&quot;&quot;,&quot;parse-names&quot;:false,&quot;suffix&quot;:&quot;&quot;},{&quot;dropping-particle&quot;:&quot;&quot;,&quot;family&quot;:&quot;Kim&quot;,&quot;given&quot;:&quot;Sun Young&quot;,&quot;non-dropping-particle&quot;:&quot;&quot;,&quot;parse-names&quot;:false,&quot;suffix&quot;:&quot;&quot;},{&quot;dropping-particle&quot;:&quot;&quot;,&quot;family&quot;:&quot;Sheppard&quot;,&quot;given&quot;:&quot;Lianne&quot;,&quot;non-dropping-particle&quot;:&quot;&quot;,&quot;parse-names&quot;:false,&quot;suffix&quot;:&quot;&quot;},{&quot;dropping-particle&quot;:&quot;&quot;,&quot;family&quot;:&quot;Sampson&quot;,&quot;given&quot;:&quot;Paul D.&quot;,&quot;non-dropping-particle&quot;:&quot;&quot;,&quot;parse-names&quot;:false,&quot;suffix&quot;:&quot;&quot;},{&quot;dropping-particle&quot;:&quot;&quot;,&quot;family&quot;:&quot;Szpiro&quot;,&quot;given&quot;:&quot;Adam A.&quot;,&quot;non-dropping-particle&quot;:&quot;&quot;,&quot;parse-names&quot;:false,&quot;suffix&quot;:&quot;&quot;},{&quot;dropping-particle&quot;:&quot;&quot;,&quot;family&quot;:&quot;Oron&quot;,&quot;given&quot;:&quot;Assaf P.&quot;,&quot;non-dropping-particle&quot;:&quot;&quot;,&quot;parse-names&quot;:false,&quot;suffix&quot;:&quot;&quot;},{&quot;dropping-particle&quot;:&quot;&quot;,&quot;family&quot;:&quot;Lindström&quot;,&quot;given&quot;:&quot;Johan&quot;,&quot;non-dropping-particle&quot;:&quot;&quot;,&quot;parse-names&quot;:false,&quot;suffix&quot;:&quot;&quot;},{&quot;dropping-particle&quot;:&quot;&quot;,&quot;family&quot;:&quot;Vedal&quot;,&quot;given&quot;:&quot;Sverre&quot;,&quot;non-dropping-particle&quot;:&quot;&quot;,&quot;parse-names&quot;:false,&quot;suffix&quot;:&quot;&quot;},{&quot;dropping-particle&quot;:&quot;&quot;,&quot;family&quot;:&quot;Kaufman&quot;,&quot;given&quot;:&quot;Joel D.&quot;,&quot;non-dropping-particle&quot;:&quot;&quot;,&quot;parse-names&quot;:false,&quot;suffix&quot;:&quot;&quot;}],&quot;container-title&quot;:&quot;Environmental Health Perspectives&quot;,&quot;id&quot;:&quot;d044d2d7-f98b-3d53-bfc0-0f69d718eafa&quot;,&quot;issue&quot;:&quot;4&quot;,&quot;issued&quot;:{&quot;date-parts&quot;:[[&quot;2015&quot;]]},&quot;page&quot;:&quot;301-309&quot;,&quot;publisher&quot;:&quot;Public Health Services, US Dept of Health and Human Services&quot;,&quot;title&quot;:&quot;A unified spatiotemporal modeling approach for predicting concentrations of multiple air pollutants in the multi-ethnic study of atherosclerosis and air pollution&quot;,&quot;type&quot;:&quot;article-journal&quot;,&quot;volume&quot;:&quot;123&quot;},&quot;uris&quot;:[&quot;http://www.mendeley.com/documents/?uuid=d044d2d7-f98b-3d53-bfc0-0f69d718eafa&quot;],&quot;isTemporary&quot;:false,&quot;legacyDesktopId&quot;:&quot;d044d2d7-f98b-3d53-bfc0-0f69d718eafa&quot;},{&quot;id&quot;:&quot;43b03b4d-60ad-39de-8b23-7556992007fd&quot;,&quot;itemData&quot;:{&quot;DOI&quot;:&quot;10.1016/j.envres.2015.01.003&quot;,&quot;ISSN&quot;:&quot;10960953&quot;,&quot;PMID&quot;:&quot;25601733&quot;,&quot;abstract&quot;:&quot;Limited by data accessibility, few exposure assessment studies of air pollutants have been conducted in China. There is an urgent need to develop models for assessing the intra-urban concentration of key air pollutants in Chinese cities. In this study, a land use regression (LUR) model was established to estimate NO2 during 2008-2011 in Shanghai. Four predictor variables were left in the final LUR model: the length of major road within the 2-km buffer around monitoring sites, the number of industrial sources (excluding power plants) within a 10-km buffer, the agricultural land area within a 5-km buffer, and the population counts. The model R2 and the leave-one-out-cross-validation (LOOCV) R2 of the NO2 LUR models were 0.82 and 0.75, respectively. The prediction surface of the NO2 concentration based on the LUR model was of high spatial resolution. The 1-year predicted concentration based on the ratio and the difference methods fitted well with the measured NO2 concentration. The LUR model of NO2 outperformed the kriging and inverse distance weighed (IDW) interpolation methods in Shanghai. Our findings suggest that the LUR model may provide a cost-effective method of air pollution exposure assessment in a developing country.&quot;,&quot;author&quot;:[{&quot;dropping-particle&quot;:&quot;&quot;,&quot;family&quot;:&quot;Meng&quot;,&quot;given&quot;:&quot;Xia&quot;,&quot;non-dropping-particle&quot;:&quot;&quot;,&quot;parse-names&quot;:false,&quot;suffix&quot;:&quot;&quot;},{&quot;dropping-particle&quot;:&quot;&quot;,&quot;family&quot;:&quot;Chen&quot;,&quot;given&quot;:&quot;Li&quot;,&quot;non-dropping-particle&quot;:&quot;&quot;,&quot;parse-names&quot;:false,&quot;suffix&quot;:&quot;&quot;},{&quot;dropping-particle&quot;:&quot;&quot;,&quot;family&quot;:&quot;Cai&quot;,&quot;given&quot;:&quot;Jing&quot;,&quot;non-dropping-particle&quot;:&quot;&quot;,&quot;parse-names&quot;:false,&quot;suffix&quot;:&quot;&quot;},{&quot;dropping-particle&quot;:&quot;&quot;,&quot;family&quot;:&quot;Zou&quot;,&quot;given&quot;:&quot;Bin&quot;,&quot;non-dropping-particle&quot;:&quot;&quot;,&quot;parse-names&quot;:false,&quot;suffix&quot;:&quot;&quot;},{&quot;dropping-particle&quot;:&quot;&quot;,&quot;family&quot;:&quot;Wu&quot;,&quot;given&quot;:&quot;Chang Fu&quot;,&quot;non-dropping-particle&quot;:&quot;&quot;,&quot;parse-names&quot;:false,&quot;suffix&quot;:&quot;&quot;},{&quot;dropping-particle&quot;:&quot;&quot;,&quot;family&quot;:&quot;Fu&quot;,&quot;given&quot;:&quot;Qingyan&quot;,&quot;non-dropping-particle&quot;:&quot;&quot;,&quot;parse-names&quot;:false,&quot;suffix&quot;:&quot;&quot;},{&quot;dropping-particle&quot;:&quot;&quot;,&quot;family&quot;:&quot;Zhang&quot;,&quot;given&quot;:&quot;Yan&quot;,&quot;non-dropping-particle&quot;:&quot;&quot;,&quot;parse-names&quot;:false,&quot;suffix&quot;:&quot;&quot;},{&quot;dropping-particle&quot;:&quot;&quot;,&quot;family&quot;:&quot;Liu&quot;,&quot;given&quot;:&quot;Yang&quot;,&quot;non-dropping-particle&quot;:&quot;&quot;,&quot;parse-names&quot;:false,&quot;suffix&quot;:&quot;&quot;},{&quot;dropping-particle&quot;:&quot;&quot;,&quot;family&quot;:&quot;Kan&quot;,&quot;given&quot;:&quot;Haidong&quot;,&quot;non-dropping-particle&quot;:&quot;&quot;,&quot;parse-names&quot;:false,&quot;suffix&quot;:&quot;&quot;}],&quot;container-title&quot;:&quot;Environmental Research&quot;,&quot;id&quot;:&quot;43b03b4d-60ad-39de-8b23-7556992007fd&quot;,&quot;issued&quot;:{&quot;date-parts&quot;:[[&quot;2015&quot;,&quot;2&quot;,&quot;1&quot;]]},&quot;page&quot;:&quot;308-315&quot;,&quot;publisher&quot;:&quot;Academic Press Inc.&quot;,&quot;title&quot;:&quot;A land use regression model for estimating the NO2 concentration in shanghai, China&quot;,&quot;type&quot;:&quot;article-journal&quot;,&quot;volume&quot;:&quot;137&quot;},&quot;uris&quot;:[&quot;http://www.mendeley.com/documents/?uuid=43b03b4d-60ad-39de-8b23-7556992007fd&quot;],&quot;isTemporary&quot;:false,&quot;legacyDesktopId&quot;:&quot;43b03b4d-60ad-39de-8b23-7556992007fd&quot;},{&quot;id&quot;:&quot;485eb805-f500-3d29-9d96-b4089e50cb4b&quot;,&quot;itemData&quot;:{&quot;DOI&quot;:&quot;10.1038/jes.2016.40&quot;,&quot;ISSN&quot;:&quot;1559064X&quot;,&quot;PMID&quot;:&quot;27485990&quot;,&quot;abstract&quot;:&quot;Both dispersion modeling (DM) and land-use regression modeling (LUR) are often used for assessment of long-term air pollution exposure in epidemiological studies, but seldom in combination. We developed a hybrid DM-LUR model using 93 biweekly observations of NOx at 31 sites in greater Stockholm (Sweden). The DM was based on spatially resolved topographic, physiographic and emission data, and hourly meteorological data from a diagnostic wind model. Other data were from land use, meteorology and routine monitoring of NOx. We built a linear regression model for NOx, using a stepwise forward selection of covariates. The resulting model predicted observed NOx (R(2)=0.89) better than the DM without covariates (R(2)=0.68, P-interaction &lt;0.001) and with minimal apparent bias. The model included (in descending order of importance) DM, traffic intensity on the nearest street, population (number of inhabitants) within 100 m radius, global radiation (direct sunlight plus diffuse or scattered light) and urban contribution to NOx levels (routine urban NOx, less routine rural NOx). Our results indicate that there is a potential for improving estimates of air pollutant concentrations based on DM, by incorporating further spatial characteristics of the immediate surroundings, possibly accounting for imperfections in the emission data.Journal of Exposure Science and Environmental Epidemiology advance online publication, 3 August 2016; doi:10.1038/jes.2016.40.&quot;,&quot;author&quot;:[{&quot;dropping-particle&quot;:&quot;&quot;,&quot;family&quot;:&quot;Korek&quot;,&quot;given&quot;:&quot;Michal&quot;,&quot;non-dropping-particle&quot;:&quot;&quot;,&quot;parse-names&quot;:false,&quot;suffix&quot;:&quot;&quot;},{&quot;dropping-particle&quot;:&quot;&quot;,&quot;family&quot;:&quot;Johansson&quot;,&quot;given&quot;:&quot;Christer&quot;,&quot;non-dropping-particle&quot;:&quot;&quot;,&quot;parse-names&quot;:false,&quot;suffix&quot;:&quot;&quot;},{&quot;dropping-particle&quot;:&quot;&quot;,&quot;family&quot;:&quot;Svensson&quot;,&quot;given&quot;:&quot;Nina&quot;,&quot;non-dropping-particle&quot;:&quot;&quot;,&quot;parse-names&quot;:false,&quot;suffix&quot;:&quot;&quot;},{&quot;dropping-particle&quot;:&quot;&quot;,&quot;family&quot;:&quot;Lind&quot;,&quot;given&quot;:&quot;Tomas&quot;,&quot;non-dropping-particle&quot;:&quot;&quot;,&quot;parse-names&quot;:false,&quot;suffix&quot;:&quot;&quot;},{&quot;dropping-particle&quot;:&quot;&quot;,&quot;family&quot;:&quot;Beelen&quot;,&quot;given&quot;:&quot;Rob&quot;,&quot;non-dropping-particle&quot;:&quot;&quot;,&quot;parse-names&quot;:false,&quot;suffix&quot;:&quot;&quot;},{&quot;dropping-particle&quot;:&quot;&quot;,&quot;family&quot;:&quot;Hoek&quot;,&quot;given&quot;:&quot;Gerard&quot;,&quot;non-dropping-particle&quot;:&quot;&quot;,&quot;parse-names&quot;:false,&quot;suffix&quot;:&quot;&quot;},{&quot;dropping-particle&quot;:&quot;&quot;,&quot;family&quot;:&quot;Pershagen&quot;,&quot;given&quot;:&quot;Göran&quot;,&quot;non-dropping-particle&quot;:&quot;&quot;,&quot;parse-names&quot;:false,&quot;suffix&quot;:&quot;&quot;},{&quot;dropping-particle&quot;:&quot;&quot;,&quot;family&quot;:&quot;Bellander&quot;,&quot;given&quot;:&quot;Tom&quot;,&quot;non-dropping-particle&quot;:&quot;&quot;,&quot;parse-names&quot;:false,&quot;suffix&quot;:&quot;&quot;}],&quot;container-title&quot;:&quot;Journal of exposure science &amp; environmental epidemiology&quot;,&quot;id&quot;:&quot;485eb805-f500-3d29-9d96-b4089e50cb4b&quot;,&quot;issue&quot;:&quot;December 2015&quot;,&quot;issued&quot;:{&quot;date-parts&quot;:[[&quot;2016&quot;]]},&quot;page&quot;:&quot;1-7&quot;,&quot;title&quot;:&quot;Can dispersion modeling of air pollution be improved by land-use regression? An example from Stockholm, Sweden.&quot;,&quot;type&quot;:&quot;article-journal&quot;},&quot;uris&quot;:[&quot;http://www.mendeley.com/documents/?uuid=863c69d1-3f15-4666-95d5-eceb77e45341&quot;],&quot;isTemporary&quot;:false,&quot;legacyDesktopId&quot;:&quot;863c69d1-3f15-4666-95d5-eceb77e45341&quot;},{&quot;id&quot;:&quot;b81e1792-9c37-34d5-a666-5c53523165c9&quot;,&quot;itemData&quot;:{&quot;DOI&quot;:&quot;10.1016/J.ENVINT.2016.11.024&quot;,&quot;ISSN&quot;:&quot;0160-4120&quot;,&quot;abstract&quot;:&quot;Health effects of air pollution, especially particulate matter (PM), have been widely investigated. However, most of the studies rely on few monitors located in urban areas for short-term assessments, or land use/dispersion modelling for long-term evaluations, again mostly in cities. Recently, the availability of finely resolved satellite data provides an opportunity to estimate daily concentrations of air pollutants over wide spatio-temporal domains. Italy lacks a robust and validated high resolution spatio-temporally resolved model of particulate matter. The complex topography and the air mixture from both natural and anthropogenic sources are great challenges difficult to be addressed. We combined finely resolved data on Aerosol Optical Depth (AOD) from the Multi-Angle Implementation of Atmospheric Correction (MAIAC) algorithm, ground-level PM10 measurements, land-use variables and meteorological parameters into a four-stage mixed model framework to derive estimates of daily PM10 concentrations at 1-km2 grid over Italy, for the years 2006–2012. We checked performance of our models by applying 10-fold cross-validation (CV) for each year. Our models displayed good fitting, with mean CV-R2=0.65 and little bias (average slope of predicted VS observed PM10=0.99). Out-of-sample predictions were more accurate in Northern Italy (Po valley) and large conurbations (e.g. Rome), for background monitoring stations, and in the winter season. Resulting concentration maps showed highest average PM10 levels in specific areas (Po river valley, main industrial and metropolitan areas) with decreasing trends over time. Our daily predictions of PM10 concentrations across the whole Italy will allow, for the first time, estimation of long-term and short-term effects of air pollution nationwide, even in areas lacking monitoring data.&quot;,&quot;author&quot;:[{&quot;dropping-particle&quot;:&quot;&quot;,&quot;family&quot;:&quot;Stafoggia&quot;,&quot;given&quot;:&quot;Massimo&quot;,&quot;non-dropping-particle&quot;:&quot;&quot;,&quot;parse-names&quot;:false,&quot;suffix&quot;:&quot;&quot;},{&quot;dropping-particle&quot;:&quot;&quot;,&quot;family&quot;:&quot;Schwartz&quot;,&quot;given&quot;:&quot;Joel&quot;,&quot;non-dropping-particle&quot;:&quot;&quot;,&quot;parse-names&quot;:false,&quot;suffix&quot;:&quot;&quot;},{&quot;dropping-particle&quot;:&quot;&quot;,&quot;family&quot;:&quot;Badaloni&quot;,&quot;given&quot;:&quot;Chiara&quot;,&quot;non-dropping-particle&quot;:&quot;&quot;,&quot;parse-names&quot;:false,&quot;suffix&quot;:&quot;&quot;},{&quot;dropping-particle&quot;:&quot;&quot;,&quot;family&quot;:&quot;Bellander&quot;,&quot;given&quot;:&quot;Tom&quot;,&quot;non-dropping-particle&quot;:&quot;&quot;,&quot;parse-names&quot;:false,&quot;suffix&quot;:&quot;&quot;},{&quot;dropping-particle&quot;:&quot;&quot;,&quot;family&quot;:&quot;Alessandrini&quot;,&quot;given&quot;:&quot;Ester&quot;,&quot;non-dropping-particle&quot;:&quot;&quot;,&quot;parse-names&quot;:false,&quot;suffix&quot;:&quot;&quot;},{&quot;dropping-particle&quot;:&quot;&quot;,&quot;family&quot;:&quot;Cattani&quot;,&quot;given&quot;:&quot;Giorgio&quot;,&quot;non-dropping-particle&quot;:&quot;&quot;,&quot;parse-names&quot;:false,&quot;suffix&quot;:&quot;&quot;},{&quot;dropping-particle&quot;:&quot;&quot;,&quot;family&quot;:&quot;de' Donato&quot;,&quot;given&quot;:&quot;Francesca&quot;,&quot;non-dropping-particle&quot;:&quot;&quot;,&quot;parse-names&quot;:false,&quot;suffix&quot;:&quot;&quot;},{&quot;dropping-particle&quot;:&quot;&quot;,&quot;family&quot;:&quot;Gaeta&quot;,&quot;given&quot;:&quot;Alessandra&quot;,&quot;non-dropping-particle&quot;:&quot;&quot;,&quot;parse-names&quot;:false,&quot;suffix&quot;:&quot;&quot;},{&quot;dropping-particle&quot;:&quot;&quot;,&quot;family&quot;:&quot;Leone&quot;,&quot;given&quot;:&quot;Gianluca&quot;,&quot;non-dropping-particle&quot;:&quot;&quot;,&quot;parse-names&quot;:false,&quot;suffix&quot;:&quot;&quot;},{&quot;dropping-particle&quot;:&quot;&quot;,&quot;family&quot;:&quot;Lyapustin&quot;,&quot;given&quot;:&quot;Alexei&quot;,&quot;non-dropping-particle&quot;:&quot;&quot;,&quot;parse-names&quot;:false,&quot;suffix&quot;:&quot;&quot;},{&quot;dropping-particle&quot;:&quot;&quot;,&quot;family&quot;:&quot;Sorek-Hamer&quot;,&quot;given&quot;:&quot;Meytar&quot;,&quot;non-dropping-particle&quot;:&quot;&quot;,&quot;parse-names&quot;:false,&quot;suffix&quot;:&quot;&quot;},{&quot;dropping-particle&quot;:&quot;&quot;,&quot;family&quot;:&quot;Hoogh&quot;,&quot;given&quot;:&quot;Kees&quot;,&quot;non-dropping-particle&quot;:&quot;de&quot;,&quot;parse-names&quot;:false,&quot;suffix&quot;:&quot;&quot;},{&quot;dropping-particle&quot;:&quot;&quot;,&quot;family&quot;:&quot;Di&quot;,&quot;given&quot;:&quot;Qian&quot;,&quot;non-dropping-particle&quot;:&quot;&quot;,&quot;parse-names&quot;:false,&quot;suffix&quot;:&quot;&quot;},{&quot;dropping-particle&quot;:&quot;&quot;,&quot;family&quot;:&quot;Forastiere&quot;,&quot;given&quot;:&quot;Francesco&quot;,&quot;non-dropping-particle&quot;:&quot;&quot;,&quot;parse-names&quot;:false,&quot;suffix&quot;:&quot;&quot;},{&quot;dropping-particle&quot;:&quot;&quot;,&quot;family&quot;:&quot;Kloog&quot;,&quot;given&quot;:&quot;Itai&quot;,&quot;non-dropping-particle&quot;:&quot;&quot;,&quot;parse-names&quot;:false,&quot;suffix&quot;:&quot;&quot;}],&quot;container-title&quot;:&quot;Environment International&quot;,&quot;id&quot;:&quot;b81e1792-9c37-34d5-a666-5c53523165c9&quot;,&quot;issued&quot;:{&quot;date-parts&quot;:[[&quot;2017&quot;,&quot;2&quot;,&quot;1&quot;]]},&quot;page&quot;:&quot;234-244&quot;,&quot;publisher&quot;:&quot;Pergamon&quot;,&quot;title&quot;:&quot;Estimation of daily PM10 concentrations in Italy (2006–2012) using finely resolved satellite data, land use variables and meteorology&quot;,&quot;type&quot;:&quot;article-journal&quot;,&quot;volume&quot;:&quot;99&quot;},&quot;uris&quot;:[&quot;http://www.mendeley.com/documents/?uuid=b81e1792-9c37-34d5-a666-5c53523165c9&quot;],&quot;isTemporary&quot;:false,&quot;legacyDesktopId&quot;:&quot;b81e1792-9c37-34d5-a666-5c53523165c9&quot;},{&quot;id&quot;:&quot;a9419f4a-d689-332a-bf4c-dc16eedad8cd&quot;,&quot;itemData&quot;:{&quot;DOI&quot;:&quot;10.1016/J.ENVINT.2021.106445&quot;,&quot;ISSN&quot;:&quot;0160-4120&quot;,&quot;PMID&quot;:&quot;33618328&quot;,&quot;abstract&quot;:&quot;Iraq and Kuwait are in a region of the world known to be impacted by high levels of fine particulate matter (PM2.5) attributable to sources that include desert dust and ambient pollution, but historically have had limited pollution monitoring networks. The inability to assess PM2.5 concentrations have limited the assessment of the health impact of these exposures, both in the native populations and previously deployed military personnel. As part of a Department of Veterans Affairs Cooperative Studies Program health study of land-based U.S. military personnel who were previously deployed to these countries, we developed a novel approach to estimate spatially and temporarily resolved daily PM2.5 exposures 2001–2018. Since visibility is proportional to ground-level particulate matter concentrations, we were able to take advantage of extensive airport visibility data that became available as a result of regional military operations over this time period. First, we combined a random forest machine learning and a generalized additive mixed model to estimate daily high resolution (1 km × 1 km) visibility over the region using satellite-based aerosol optical depth (AOD) and airport visibility data. The spatially and temporarily resolved visibility data were then used to estimate PM2.5 concentrations from 2001 to 2018 by converting visibility to PM2.5 using empirical relationships derived from available regional PM2.5 monitoring stations. We adjusted for spatially resolved meteorological parameters, land use variables, including the Normalized Difference Vegetation Index, and satellite-derived estimates of surface dust as a measure of sandstorm activity. Cross validation indicated good model predictive ability (R2 = 0.71), and there were considerable spatial and temporal differences in PM2.5 across the region. Annual average PM2.5 predictions for Iraq and Kuwait were 37 and 41 μg/m3, respectively, which are greater than current U.S. and WHO standards. PM2.5 concentrations in many U.S. bases and large cities (e.g. Bagdad, Balad, Kuwait city, Karbala, Najaf, and Diwaniya) had annual average PM2.5 concentrations above 45 μg/m3 with weekly averages as high as 150 μg/m3 depending on calendar year. The highest annual PM2.5 concentration for both Kuwait and Iraq were observed in 2008, followed by 2009, which was associated with extreme drought in these years. The lowest PM2.5 values were observed in 2014. On average, July had the highest concentrations, and November ha…&quot;,&quot;author&quot;:[{&quot;dropping-particle&quot;:&quot;&quot;,&quot;family&quot;:&quot;Li&quot;,&quot;given&quot;:&quot;Jing&quot;,&quot;non-dropping-particle&quot;:&quot;&quot;,&quot;parse-names&quot;:false,&quot;suffix&quot;:&quot;&quot;},{&quot;dropping-particle&quot;:&quot;&quot;,&quot;family&quot;:&quot;Garshick&quot;,&quot;given&quot;:&quot;Eric&quot;,&quot;non-dropping-particle&quot;:&quot;&quot;,&quot;parse-names&quot;:false,&quot;suffix&quot;:&quot;&quot;},{&quot;dropping-particle&quot;:&quot;&quot;,&quot;family&quot;:&quot;Hart&quot;,&quot;given&quot;:&quot;Jaime E.&quot;,&quot;non-dropping-particle&quot;:&quot;&quot;,&quot;parse-names&quot;:false,&quot;suffix&quot;:&quot;&quot;},{&quot;dropping-particle&quot;:&quot;&quot;,&quot;family&quot;:&quot;Li&quot;,&quot;given&quot;:&quot;Longxiang&quot;,&quot;non-dropping-particle&quot;:&quot;&quot;,&quot;parse-names&quot;:false,&quot;suffix&quot;:&quot;&quot;},{&quot;dropping-particle&quot;:&quot;&quot;,&quot;family&quot;:&quot;Shi&quot;,&quot;given&quot;:&quot;Liuhua&quot;,&quot;non-dropping-particle&quot;:&quot;&quot;,&quot;parse-names&quot;:false,&quot;suffix&quot;:&quot;&quot;},{&quot;dropping-particle&quot;:&quot;&quot;,&quot;family&quot;:&quot;Al-Hemoud&quot;,&quot;given&quot;:&quot;Ali&quot;,&quot;non-dropping-particle&quot;:&quot;&quot;,&quot;parse-names&quot;:false,&quot;suffix&quot;:&quot;&quot;},{&quot;dropping-particle&quot;:&quot;&quot;,&quot;family&quot;:&quot;Huang&quot;,&quot;given&quot;:&quot;Shaodan&quot;,&quot;non-dropping-particle&quot;:&quot;&quot;,&quot;parse-names&quot;:false,&quot;suffix&quot;:&quot;&quot;},{&quot;dropping-particle&quot;:&quot;&quot;,&quot;family&quot;:&quot;Koutrakis&quot;,&quot;given&quot;:&quot;Petros&quot;,&quot;non-dropping-particle&quot;:&quot;&quot;,&quot;parse-names&quot;:false,&quot;suffix&quot;:&quot;&quot;}],&quot;container-title&quot;:&quot;Environment International&quot;,&quot;id&quot;:&quot;a9419f4a-d689-332a-bf4c-dc16eedad8cd&quot;,&quot;issued&quot;:{&quot;date-parts&quot;:[[&quot;2021&quot;,&quot;6&quot;,&quot;1&quot;]]},&quot;page&quot;:&quot;106445&quot;,&quot;publisher&quot;:&quot;Pergamon&quot;,&quot;title&quot;:&quot;Estimation of ambient PM2.5 in Iraq and Kuwait from 2001 to 2018 using machine learning and remote sensing&quot;,&quot;type&quot;:&quot;article-journal&quot;,&quot;volume&quot;:&quot;151&quot;},&quot;uris&quot;:[&quot;http://www.mendeley.com/documents/?uuid=a9419f4a-d689-332a-bf4c-dc16eedad8cd&quot;],&quot;isTemporary&quot;:false,&quot;legacyDesktopId&quot;:&quot;a9419f4a-d689-332a-bf4c-dc16eedad8cd&quot;},{&quot;id&quot;:&quot;d15480b5-8cd4-3c2b-8822-0b0b798b67d1&quot;,&quot;itemData&quot;:{&quot;DOI&quot;:&quot;10.1021/acs.est.9b03107&quot;,&quot;ISSN&quot;:&quot;15205851&quot;,&quot;PMID&quot;:&quot;31415154&quot;,&quot;abstract&quot;:&quot;Nitrogen dioxide (NO2) remains an important traffic-related pollutant associated with both short- A nd long-term health effects. We aim to model daily average NO2 concentrations in Switzerland in a multistage framework with mixed-effect and random forest models to respectively downscale satellite measurements and incorporate local sources. Spatial and temporal predictor variables include data from the Ozone Monitoring Instrument, Copernicus Atmosphere Monitoring Service, land use, and meteorological variables. We derived robust models explaining â58% (R2 range, 0.56-0.64) of the variation in measured NO2 concentrations using mixed-effect models at a 1 × 1 km resolution. The random forest models explained â73% (R2 range, 0.70-0.75) of the overall variation in the residuals at a 100 × 100 m resolution. This is one of the first studies showing the potential of using earth observation data to develop robust models with fine-scale spatial (100 × 100 m) and temporal (daily) variation of NO2 across Switzerland from 2005 to 2016. The novelty of this study is in demonstrating that methods originally developed for particulate matter can also successfully be applied to NO2. The predicted NO2 concentrations will be made available to facilitate health research in Switzerland.&quot;,&quot;author&quot;:[{&quot;dropping-particle&quot;:&quot;&quot;,&quot;family&quot;:&quot;Hoogh&quot;,&quot;given&quot;:&quot;Kees&quot;,&quot;non-dropping-particle&quot;:&quot;de&quot;,&quot;parse-names&quot;:false,&quot;suffix&quot;:&quot;&quot;},{&quot;dropping-particle&quot;:&quot;&quot;,&quot;family&quot;:&quot;Saucy&quot;,&quot;given&quot;:&quot;Apolline&quot;,&quot;non-dropping-particle&quot;:&quot;&quot;,&quot;parse-names&quot;:false,&quot;suffix&quot;:&quot;&quot;},{&quot;dropping-particle&quot;:&quot;&quot;,&quot;family&quot;:&quot;Shtein&quot;,&quot;given&quot;:&quot;Alexandra&quot;,&quot;non-dropping-particle&quot;:&quot;&quot;,&quot;parse-names&quot;:false,&quot;suffix&quot;:&quot;&quot;},{&quot;dropping-particle&quot;:&quot;&quot;,&quot;family&quot;:&quot;Schwartz&quot;,&quot;given&quot;:&quot;Joel&quot;,&quot;non-dropping-particle&quot;:&quot;&quot;,&quot;parse-names&quot;:false,&quot;suffix&quot;:&quot;&quot;},{&quot;dropping-particle&quot;:&quot;&quot;,&quot;family&quot;:&quot;West&quot;,&quot;given&quot;:&quot;Erin A.&quot;,&quot;non-dropping-particle&quot;:&quot;&quot;,&quot;parse-names&quot;:false,&quot;suffix&quot;:&quot;&quot;},{&quot;dropping-particle&quot;:&quot;&quot;,&quot;family&quot;:&quot;Strassmann&quot;,&quot;given&quot;:&quot;Alexandra&quot;,&quot;non-dropping-particle&quot;:&quot;&quot;,&quot;parse-names&quot;:false,&quot;suffix&quot;:&quot;&quot;},{&quot;dropping-particle&quot;:&quot;&quot;,&quot;family&quot;:&quot;Puhan&quot;,&quot;given&quot;:&quot;Milo&quot;,&quot;non-dropping-particle&quot;:&quot;&quot;,&quot;parse-names&quot;:false,&quot;suffix&quot;:&quot;&quot;},{&quot;dropping-particle&quot;:&quot;&quot;,&quot;family&quot;:&quot;Roösli&quot;,&quot;given&quot;:&quot;Martin&quot;,&quot;non-dropping-particle&quot;:&quot;&quot;,&quot;parse-names&quot;:false,&quot;suffix&quot;:&quot;&quot;},{&quot;dropping-particle&quot;:&quot;&quot;,&quot;family&quot;:&quot;Stafoggia&quot;,&quot;given&quot;:&quot;Massimo&quot;,&quot;non-dropping-particle&quot;:&quot;&quot;,&quot;parse-names&quot;:false,&quot;suffix&quot;:&quot;&quot;},{&quot;dropping-particle&quot;:&quot;&quot;,&quot;family&quot;:&quot;Kloog&quot;,&quot;given&quot;:&quot;Itai&quot;,&quot;non-dropping-particle&quot;:&quot;&quot;,&quot;parse-names&quot;:false,&quot;suffix&quot;:&quot;&quot;}],&quot;container-title&quot;:&quot;Environmental Science and Technology&quot;,&quot;id&quot;:&quot;d15480b5-8cd4-3c2b-8822-0b0b798b67d1&quot;,&quot;issue&quot;:&quot;17&quot;,&quot;issued&quot;:{&quot;date-parts&quot;:[[&quot;2019&quot;,&quot;5&quot;,&quot;24&quot;]]},&quot;page&quot;:&quot;10279-10287&quot;,&quot;publisher&quot;:&quot;American Chemical Society&quot;,&quot;title&quot;:&quot;Predicting Fine-Scale Daily NO2 for 2005-2016 Incorporating OMI Satellite Data Across Switzerland&quot;,&quot;type&quot;:&quot;article&quot;,&quot;volume&quot;:&quot;53&quot;},&quot;uris&quot;:[&quot;http://www.mendeley.com/documents/?uuid=d15480b5-8cd4-3c2b-8822-0b0b798b67d1&quot;],&quot;isTemporary&quot;:false,&quot;legacyDesktopId&quot;:&quot;d15480b5-8cd4-3c2b-8822-0b0b798b67d1&quot;}],&quot;properties&quot;:{&quot;noteIndex&quot;:0},&quot;isEdited&quot;:false,&quot;manualOverride&quot;:{&quot;citeprocText&quot;:&quot;(de Hoogh et al., 2019; Di et al., 2020; Keller et al., 2015; Korek et al., 2016; Li et al., 2021; Meng et al., 2015; Stafoggia et al., 2017; Yanosky et al., 2014)&quot;,&quot;isManuallyOverridden&quot;:false,&quot;manualOverrideText&quot;:&quot;&quot;},&quot;citationTag&quot;:&quot;MENDELEY_CITATION_v3_eyJjaXRhdGlvbklEIjoiTUVOREVMRVlfQ0lUQVRJT05fZjFmMTc0YzAtYThjNC00NjE5LWI2MjktZTYxNTlhODFiMjRhIiwiY2l0YXRpb25JdGVtcyI6W3siaWQiOiIzMWJiYWY2Mi00MzhkLTMyMTItYjJjZi0wYzVhOGUwN2ZjMmUiLCJpdGVtRGF0YSI6eyJET0kiOiIxMC4xMDIxL2Fjcy5lc3QuOWIwMzM1OCIsIklTU04iOiIxNTIwNTg1MSIsIlBNSUQiOiIzMTg1MTQ5OSIsImFic3RyYWN0IjoiTk8yIGlzIGEgY29tYnVzdGlvbiBieXByb2R1Y3QgdGhhdCBoYXMgYmVlbiBhc3NvY2lhdGVkIHdpdGggbXVsdGlwbGUgYWR2ZXJzZSBoZWFsdGggb3V0Y29tZXMuIFRvIGFzc2VzcyBOTzIgbGV2ZWxzIHdpdGggaGlnaCBhY2N1cmFjeSwgd2UgcHJvcG9zZSB0aGUgdXNlIG9mIGFuIGVuc2VtYmxlIG1vZGVsIHRvIGludGVncmF0ZSBtdWx0aXBsZSBtYWNoaW5lIGxlYXJuaW5nIGFsZ29yaXRobXMsIGluY2x1ZGluZyBuZXVyYWwgbmV0d29yaywgcmFuZG9tIGZvcmVzdCwgYW5kIGdyYWRpZW50IGJvb3N0aW5nLCB3aXRoIGEgdmFyaWV0eSBvZiBwcmVkaWN0b3IgdmFyaWFibGVzLCBpbmNsdWRpbmcgY2hlbWljYWwgdHJhbnNwb3J0IG1vZGVscy4gVGhpcyBOTzIgbW9kZWwgY292ZXJzIHRoZSBlbnRpcmUgY29udGlndW91cyBVLlMuIHdpdGggZGFpbHkgcHJlZGljdGlvbnMgb24gMS1rbS1sZXZlbCBncmlkIGNlbGxzIGZyb20gMjAwMCB0byAyMDE2LiBUaGUgZW5zZW1ibGUgcHJvZHVjZWQgYSBjcm9zcy12YWxpZGF0ZWQgUjIgb2YgMC43ODggb3ZlcmFsbCwgYSBzcGF0aWFsIFIyIG9mIDAuODQ0LCBhbmQgYSB0ZW1wb3JhbCBSMiBvZiAwLjcyOS4gVGhlIHJlbGF0aW9uc2hpcCBiZXR3ZWVuIGRhaWx5IG1vbml0b3JlZCBhbmQgcHJlZGljdGVkIE5PMiBpcyBhbG1vc3QgbGluZWFyLiBXZSBhbHNvIGVzdGltYXRlZCB0aGUgYXNzb2NpYXRlZCBtb250aGx5IHVuY2VydGFpbnR5IGxldmVsIGZvciB0aGUgcHJlZGljdGlvbnMgYW5kIGFkZHJlc3Mtc3BlY2lmaWMgTk8yIGxldmVscy4gVGhpcyBOTzIgZXN0aW1hdGlvbiBoYXMgYSB2ZXJ5IGhpZ2ggc3BhdGlvdGVtcG9yYWwgcmVzb2x1dGlvbiBhbmQgYWxsb3dzIHRoZSBleGFtaW5hdGlvbiBvZiB0aGUgaGVhbHRoIGVmZmVjdHMgb2YgTk8yIGluIHVubW9uaXRvcmVkIGFyZWFzLiBXZSBmb3VuZCB0aGUgaGlnaGVzdCBOTzIgbGV2ZWxzIGFsb25nIGhpZ2h3YXlzIGFuZCBpbiBjaXRpZXMuIFdlIGFsc28gb2JzZXJ2ZWQgdGhhdCBuYXRpb253aWRlIE5PMiBsZXZlbHMgZGVjbGluZWQgaW4gZWFybHkgeWVhcnMgYW5kIHN0YWduYXRlZCBhZnRlciAyMDA3LCBpbiBjb250cmFzdCB0byB0aGUgdHJlbmQgYXQgbW9uaXRvcmluZyBzaXRlcyBpbiB1cmJhbiBhcmVhcywgd2hlcmUgdGhlIGRlY2xpbmUgY29udGludWVkLiBPdXIgcmVzZWFyY2ggaW5kaWNhdGVzIHRoYXQgdGhlIGludGVncmF0aW9uIG9mIGRpZmZlcmVudCBwcmVkaWN0b3IgdmFyaWFibGVzIGFuZCBmaXR0aW5nIGFsZ29yaXRobXMgY2FuIGFjaGlldmUgYW4gaW1wcm92ZWQgYWlyIHBvbGx1dGlvbiBtb2RlbGluZyBmcmFtZXdvcmsuIiwiYXV0aG9yIjpbeyJkcm9wcGluZy1wYXJ0aWNsZSI6IiIsImZhbWlseSI6IkRpIiwiZ2l2ZW4iOiJRaWFuIiwibm9uLWRyb3BwaW5nLXBhcnRpY2xlIjoiIiwicGFyc2UtbmFtZXMiOmZhbHNlLCJzdWZmaXgiOiIifSx7ImRyb3BwaW5nLXBhcnRpY2xlIjoiIiwiZmFtaWx5IjoiQW1pbmkiLCJnaXZlbiI6IkhlcmVzaCIsIm5vbi1kcm9wcGluZy1wYXJ0aWNsZSI6IiIsInBhcnNlLW5hbWVzIjpmYWxzZSwic3VmZml4IjoiIn0seyJkcm9wcGluZy1wYXJ0aWNsZSI6IiIsImZhbWlseSI6IlNoaSIsImdpdmVuIjoiTGl1aHVhIiwibm9uLWRyb3BwaW5nLXBhcnRpY2xlIjoiIiwicGFyc2UtbmFtZXMiOmZhbHNlLCJzdWZmaXgiOiIifSx7ImRyb3BwaW5nLXBhcnRpY2xlIjoiIiwiZmFtaWx5IjoiS2xvb2ciLCJnaXZlbiI6Ikl0YWkiLCJub24tZHJvcHBpbmctcGFydGljbGUiOiIiLCJwYXJzZS1uYW1lcyI6ZmFsc2UsInN1ZmZpeCI6IiJ9LHsiZHJvcHBpbmctcGFydGljbGUiOiIiLCJmYW1pbHkiOiJTaWx2ZXJuIiwiZ2l2ZW4iOiJSYWNoZWwiLCJub24tZHJvcHBpbmctcGFydGljbGUiOiIiLCJwYXJzZS1uYW1lcyI6ZmFsc2UsInN1ZmZpeCI6IiJ9LHsiZHJvcHBpbmctcGFydGljbGUiOiIiLCJmYW1pbHkiOiJLZWxseSIsImdpdmVuIjoiSmFtZXMiLCJub24tZHJvcHBpbmctcGFydGljbGUiOiIiLCJwYXJzZS1uYW1lcyI6ZmFsc2UsInN1ZmZpeCI6IiJ9LHsiZHJvcHBpbmctcGFydGljbGUiOiIiLCJmYW1pbHkiOiJTYWJhdGgiLCJnaXZlbiI6Ik0uIEJlbmphbWluIiwibm9uLWRyb3BwaW5nLXBhcnRpY2xlIjoiIiwicGFyc2UtbmFtZXMiOmZhbHNlLCJzdWZmaXgiOiIifSx7ImRyb3BwaW5nLXBhcnRpY2xlIjoiIiwiZmFtaWx5IjoiQ2hvaXJhdCIsImdpdmVuIjoiQ2hyaXN0aW5lIiwibm9uLWRyb3BwaW5nLXBhcnRpY2xlIjoiIiwicGFyc2UtbmFtZXMiOmZhbHNlLCJzdWZmaXgiOiIifSx7ImRyb3BwaW5nLXBhcnRpY2xlIjoiIiwiZmFtaWx5IjoiS291dHJha2lzIiwiZ2l2ZW4iOiJQZXRyb3MiLCJub24tZHJvcHBpbmctcGFydGljbGUiOiIiLCJwYXJzZS1uYW1lcyI6ZmFsc2UsInN1ZmZpeCI6IiJ9LHsiZHJvcHBpbmctcGFydGljbGUiOiIiLCJmYW1pbHkiOiJMeWFwdXN0aW4iLCJnaXZlbiI6IkFsZXhlaSIsIm5vbi1kcm9wcGluZy1wYXJ0aWNsZSI6IiIsInBhcnNlLW5hbWVzIjpmYWxzZSwic3VmZml4IjoiIn0seyJkcm9wcGluZy1wYXJ0aWNsZSI6IiIsImZhbWlseSI6IldhbmciLCJnaXZlbiI6Ill1amllIiwibm9uLWRyb3BwaW5nLXBhcnRpY2xlIjoiIiwicGFyc2UtbmFtZXMiOmZhbHNlLCJzdWZmaXgiOiIifSx7ImRyb3BwaW5nLXBhcnRpY2xlIjoiIiwiZmFtaWx5IjoiTWlja2xleSIsImdpdmVuIjoiTG9yZXR0YSBKLiIsIm5vbi1kcm9wcGluZy1wYXJ0aWNsZSI6IiIsInBhcnNlLW5hbWVzIjpmYWxzZSwic3VmZml4IjoiIn0seyJkcm9wcGluZy1wYXJ0aWNsZSI6IiIsImZhbWlseSI6IlNjaHdhcnR6IiwiZ2l2ZW4iOiJKb2VsIiwibm9uLWRyb3BwaW5nLXBhcnRpY2xlIjoiIiwicGFyc2UtbmFtZXMiOmZhbHNlLCJzdWZmaXgiOiIifV0sImNvbnRhaW5lci10aXRsZSI6IkVudmlyb25tZW50YWwgU2NpZW5jZSBhbmQgVGVjaG5vbG9neSIsImlkIjoiMzFiYmFmNjItNDM4ZC0zMjEyLWIyY2YtMGM1YThlMDdmYzJlIiwiaXNzdWUiOiIzIiwiaXNzdWVkIjp7ImRhdGUtcGFydHMiOltbIjIwMjAiLCIyIiwiNCJdXX0sInBhZ2UiOiIxMzcyLTEzODQiLCJwdWJsaXNoZXIiOiJBbWVyaWNhbiBDaGVtaWNhbCBTb2NpZXR5IiwidGl0bGUiOiJBc3Nlc3NpbmcgTk8yIGNvbmNlbnRyYXRpb24gYW5kIG1vZGVsIHVuY2VydGFpbnR5IHdpdGggaGlnaCBzcGF0aW90ZW1wb3JhbCByZXNvbHV0aW9uIGFjcm9zcyB0aGUgY29udGlndW91cyB1bml0ZWQgc3RhdGVzIHVzaW5nIGVuc2VtYmxlIG1vZGVsIGF2ZXJhZ2luZyIsInR5cGUiOiJhcnRpY2xlLWpvdXJuYWwiLCJ2b2x1bWUiOiI1NCJ9LCJ1cmlzIjpbImh0dHA6Ly93d3cubWVuZGVsZXkuY29tL2RvY3VtZW50cy8/dXVpZD0zMWJiYWY2Mi00MzhkLTMyMTItYjJjZi0wYzVhOGUwN2ZjMmUiXSwiaXNUZW1wb3JhcnkiOmZhbHNlLCJsZWdhY3lEZXNrdG9wSWQiOiIzMWJiYWY2Mi00MzhkLTMyMTItYjJjZi0wYzVhOGUwN2ZjMmUifSx7ImlkIjoiNWVjYjc1NjctZmY2Yi0zZGEzLTllNjItOTVmYTJkZWE3NTNiIiwiaXRlbURhdGEiOnsiRE9JIjoiMTAuMTE4Ni8xNDc2LTA2OVgtMTMtNjMiLCJJU1NOIjoiMTQ3NjA2OVgiLCJQTUlEIjoiMjUwOTcwMDciLCJhYnN0cmFjdCI6IkJhY2tncm91bmQ6IEV4cG9zdXJlIHRvIGF0bW9zcGhlcmljIHBhcnRpY3VsYXRlIG1hdHRlciAoUE0pIHJlbWFpbnMgYW4gaW1wb3J0YW50IHB1YmxpYyBoZWFsdGggY29uY2VybiwgYWx0aG91Z2ggaXQgcmVtYWlucyBkaWZmaWN1bHQgdG8gcXVhbnRpZnkgYWNjdXJhdGVseSBhY3Jvc3MgbGFyZ2UgZ2VvZ3JhcGhpYyBhcmVhcyB3aXRoIHN1ZmZpY2llbnRseSBoaWdoIHNwYXRpYWwgcmVzb2x1dGlvbi4gUmVjZW50IGVwaWRlbWlvbG9naWMgYW5hbHlzZXMgaGF2ZSBkZW1vbnN0cmF0ZWQgdGhlIGltcG9ydGFuY2Ugb2Ygc3BhdGlhbGx5LSBhbmQgdGVtcG9yYWxseS1yZXNvbHZlZCBleHBvc3VyZSBlc3RpbWF0ZXMsIHdoaWNoIHNob3cgbGFyZ2VyIFBNLW1lZGlhdGVkIGhlYWx0aCBlZmZlY3RzIGFzIGNvbXBhcmVkIHRvIG5lYXJlc3QgbW9uaXRvciBvciBjb3VudHktc3BlY2lmaWMgYW1iaWVudCBjb25jZW50cmF0aW9ucy4gTWV0aG9kcy4gV2UgZGV2ZWxvcGVkIGdlbmVyYWxpemVkIGFkZGl0aXZlIG1peGVkIG1vZGVscyB0aGF0IGRlc2NyaWJlIHJlZ2lvbmFsIGFuZCBzbWFsbC1zY2FsZSBzcGF0aWFsIGFuZCB0ZW1wb3JhbCBncmFkaWVudHMgKGFuZCBjb3JyZXNwb25kaW5nIHVuY2VydGFpbnRpZXMpIGluIG1vbnRobHkgbWFzcyBjb25jZW50cmF0aW9ucyBvZiBmaW5lIChQTTIuNSksIGluaGFsYWJsZSAoUE0xMCksIGFuZCBjb2Fyc2UgbW9kZSBwYXJ0aWNsZSBtYXNzIChQTTIuNS0xMCkgZm9yIHRoZSBjb250ZXJtaW5vdXMgVW5pdGVkIFN0YXRlcyAoVS5TLikuIFRoZXNlIG1vZGVscyBleHBhbmQgb3VyIHByZXZpb3VzbHkgZGV2ZWxvcGVkIG1vZGVscyBmb3IgdGhlIE5vcnRoZWFzdGVybiBhbmQgTWlkd2VzdGVybiBVLlMuIGJ5IHZpcnR1ZSBvZiB0aGVpciBsYXJnZXIgc3BhdGlhbCBkb21haW4sIHRoZWlyIGluY2x1c2lvbiBvZiBhbiBhZGRpdGlvbmFsIDUgeWVhcnMgb2YgUE0gZGF0YSB0byBkZXZlbG9wIHByZWRpY3Rpb25zIHRocm91Z2ggMjAwNywgYW5kIHRoZWlyIHVzZSBvZiByZWZpbmVkIGdlb2dyYXBoaWMgY292YXJpYXRlcyBmb3IgcG9wdWxhdGlvbiBkZW5zaXR5IGFuZCBwb2ludC1zb3VyY2UgUE0gZW1pc3Npb25zLiBDb3ZhcmlhdGUgc2VsZWN0aW9uIGFuZCBtb2RlbCB2YWxpZGF0aW9uIHdlcmUgcGVyZm9ybWVkIHVzaW5nIDEwLWZvbGQgY3Jvc3MtdmFsaWRhdGlvbiAoQ1YpLiBSZXN1bHRzOiBUaGUgUE0yLjUgbW9kZWxzIGhhZCBoaWdoIHByZWRpY3RpdmUgYWNjdXJhY3kgKENWIFIyPTAuNzcgZm9yIGJvdGggMTk4OC0xOTk4IGFuZCAxOTk5LTIwMDcpLiBXaGlsZSBtb2RlbCBwZXJmb3JtYW5jZSByZW1haW5lZCBzdHJvbmcsIHRoZSBwcmVkaWN0aXZlIGFiaWxpdHkgb2YgbW9kZWxzIGZvciBQTTEwIChDViBSMj0wLjU4IGZvciBib3RoIDE5ODgtMTk5OCBhbmQgMTk5OS0yMDA3KSBhbmQgUE0yLjUtMTAgKENWIFIyPTAuNDYgYW5kIDAuNTIgZm9yIDE5ODgtMTk5OCBhbmQgMTk5OS0yMDA3LCByZXNwZWN0aXZlbHkpIHdhcyBzb21ld2hhdCBsb3dlci4gUmVnaW9uYWwgdmFyaWF0aW9uIHdhcyBmb3VuZCBpbiB0aGUgZWZmZWN0cyBvZiBnZW9ncmFwaGljIGFuZCBtZXRlb3JvbG9naWNhbCBjb3ZhcmlhdGVzLiBNb2RlbHMgZ2VuZXJhbGx5IHBlcmZvcm1lZCB3ZWxsIGluIGJvdGggdXJiYW4gYW5kIHJ1cmFsIGFyZWFzIGFuZCBhY3Jvc3Mgc2Vhc29ucywgdGhvdWdoIHByZWRpY3RpdmUgcGVyZm9ybWFuY2UgdmFyaWVkIHNvbWV3aGF0IGJ5IHJlZ2lvbiAoQ1YgUjI9MC44MSwgMC44MSwgMC44MywgMC43MiwgMC42OSwgMC41MCwgYW5kIDAuNjAgZm9yIHRoZSBOb3J0aGVhc3QsIE1pZHdlc3QsIFNvdXRoZWFzdCwgU291dGhjZW50cmFsLCBTb3V0aHdlc3QsIE5vcnRod2VzdCwgYW5kIENlbnRyYWwgUGxhaW5zIHJlZ2lvbnMsIHJlc3BlY3RpdmVseSwgZm9yIFBNMi41IGZyb20gMTk5OS0yMDA3KS4gQ29uY2x1c2lvbnM6IE91ciBtb2RlbHMgcHJvdmlkZSBlc3RpbWF0ZXMgb2YgbW9udGhseS1hdmVyYWdlIG91dGRvb3IgY29uY2VudHJhdGlvbnMgb2YgUE0yLjUsIFBNMTAsIGFuZCBQTTIuNS0xMCB3aXRoIGhpZ2ggc3BhdGlhbCByZXNvbHV0aW9uIGFuZCBsb3cgYmlhcy4gVGh1cywgdGhlc2UgbW9kZWxzIGFyZSBzdWl0YWJsZSBmb3IgZXN0aW1hdGluZyBjaHJvbmljIGV4cG9zdXJlcyBvZiBwb3B1bGF0aW9ucyBsaXZpbmcgaW4gdGhlIGNvbnRlcm1pbm91cyBVLlMuIGZyb20gMTk4OCB0byAyMDA3LiIsImF1dGhvciI6W3siZHJvcHBpbmctcGFydGljbGUiOiIiLCJmYW1pbHkiOiJZYW5vc2t5IiwiZ2l2ZW4iOiJKZWZmIEQuIiwibm9uLWRyb3BwaW5nLXBhcnRpY2xlIjoiIiwicGFyc2UtbmFtZXMiOmZhbHNlLCJzdWZmaXgiOiIifSx7ImRyb3BwaW5nLXBhcnRpY2xlIjoiIiwiZmFtaWx5IjoiUGFjaW9yZWsiLCJnaXZlbiI6IkNocmlzdG9waGVyIEouIiwibm9uLWRyb3BwaW5nLXBhcnRpY2xlIjoiIiwicGFyc2UtbmFtZXMiOmZhbHNlLCJzdWZmaXgiOiIifSx7ImRyb3BwaW5nLXBhcnRpY2xlIjoiIiwiZmFtaWx5IjoiTGFkZW4iLCJnaXZlbiI6IkZyYW5jaW5lIiwibm9uLWRyb3BwaW5nLXBhcnRpY2xlIjoiIiwicGFyc2UtbmFtZXMiOmZhbHNlLCJzdWZmaXgiOiIifSx7ImRyb3BwaW5nLXBhcnRpY2xlIjoiIiwiZmFtaWx5IjoiSGFydCIsImdpdmVuIjoiSmFpbWUgRS4iLCJub24tZHJvcHBpbmctcGFydGljbGUiOiIiLCJwYXJzZS1uYW1lcyI6ZmFsc2UsInN1ZmZpeCI6IiJ9LHsiZHJvcHBpbmctcGFydGljbGUiOiIiLCJmYW1pbHkiOiJQdWV0dCIsImdpdmVuIjoiUm9iaW4gQy4iLCJub24tZHJvcHBpbmctcGFydGljbGUiOiIiLCJwYXJzZS1uYW1lcyI6ZmFsc2UsInN1ZmZpeCI6IiJ9LHsiZHJvcHBpbmctcGFydGljbGUiOiIiLCJmYW1pbHkiOiJMaWFvIiwiZ2l2ZW4iOiJEdWFucGluZyIsIm5vbi1kcm9wcGluZy1wYXJ0aWNsZSI6IiIsInBhcnNlLW5hbWVzIjpmYWxzZSwic3VmZml4IjoiIn0seyJkcm9wcGluZy1wYXJ0aWNsZSI6IiIsImZhbWlseSI6IlN1aCIsImdpdmVuIjoiSGVsZW4gSC4iLCJub24tZHJvcHBpbmctcGFydGljbGUiOiIiLCJwYXJzZS1uYW1lcyI6ZmFsc2UsInN1ZmZpeCI6IiJ9XSwiY29udGFpbmVyLXRpdGxlIjoiRW52aXJvbm1lbnRhbCBIZWFsdGg6IEEgR2xvYmFsIEFjY2VzcyBTY2llbmNlIFNvdXJjZSIsImlkIjoiNWVjYjc1NjctZmY2Yi0zZGEzLTllNjItOTVmYTJkZWE3NTNiIiwiaXNzdWUiOiIxIiwiaXNzdWVkIjp7ImRhdGUtcGFydHMiOltbIjIwMTQiLCI4IiwiNSJdXX0sInB1Ymxpc2hlciI6IkJpb01lZCBDZW50cmFsIEx0ZC4iLCJ0aXRsZSI6IlNwYXRpby10ZW1wb3JhbCBtb2RlbGluZyBvZiBwYXJ0aWN1bGF0ZSBhaXIgcG9sbHV0aW9uIGluIHRoZSBjb250ZXJtaW5vdXMgVW5pdGVkIFN0YXRlcyB1c2luZyBnZW9ncmFwaGljIGFuZCBtZXRlb3JvbG9naWNhbCBwcmVkaWN0b3JzIiwidHlwZSI6ImFydGljbGUtam91cm5hbCIsInZvbHVtZSI6IjEzIn0sInVyaXMiOlsiaHR0cDovL3d3dy5tZW5kZWxleS5jb20vZG9jdW1lbnRzLz91dWlkPTVlY2I3NTY3LWZmNmItM2RhMy05ZTYyLTk1ZmEyZGVhNzUzYiJdLCJpc1RlbXBvcmFyeSI6ZmFsc2UsImxlZ2FjeURlc2t0b3BJZCI6IjVlY2I3NTY3LWZmNmItM2RhMy05ZTYyLTk1ZmEyZGVhNzUzYiJ9LHsiaWQiOiJkMDQ0ZDJkNy1mOThiLTNkNTMtYmZjMC0wZjY5ZDcxOGVhZmEiLCJpdGVtRGF0YSI6eyJET0kiOiIxMC4xMjg5L2VocC4xNDA4MTQ1IiwiSVNTTiI6IjE1NTI5OTI0IiwiUE1JRCI6IjI1Mzk4MTg4IiwiYWJzdHJhY3QiOiJCYWNrZ3JvdW5kOiBDb2hvcnQgc3R1ZGllcyBvZiB0aGUgcmVsYXRpb25zaGlwIGJldHdlZW4gYWlyIHBvbGx1dGlvbiBleHBvc3VyZSBhbmQgY2hyb25pYyBoZWFsdGggZWZmZWN0cyByZXF1aXJlIHByZWRpY3Rpb25zIG9mIGV4cG9zdXJlIG92ZXIgbG9uZyBwZXJpb2RzIG9mIHRpbWUuIG9CamVjdGl2ZXM6IFdlIGRldmVsb3BlZCBhIHVuaWZpZWQgbW9kZWxpbmcgYXBwcm9hY2ggZm9yIHByZWRpY3RpbmcgZmluZSBwYXJ0aWN1bGF0ZSBtYXR0ZXIsIG5pdHJvZ2VuIGRpb3hpZGUsIG94aWRlcyBvZiBuaXRyb2dlbiwgYW5kIGJsYWNrIGNhcmJvbiAoYXMgbWVhc3VyZWQgYnkgbGlnaHQgYWJzb3JwdGlvbiBjb2VmZmljaWVudCkgaW4gc2l4IFUuUy4gbWV0cm9wb2xpdGFuIHJlZ2lvbnMgZnJvbSAxOTk5IHRocm91Z2ggZWFybHkgMjAxMiBhcyBwYXJ0IG9mIHRoZSBNdWx0aS1FdGhuaWMgU3R1ZHkgb2YgQXRoZXJvc2NsZXJvc2lzIGFuZCBBaXIgUG9sbHV0aW9uIChNRVNBIEFpcikuIE1ldGhvZHM6IFdlIG9idGFpbmVkIG1vbml0b3JpbmcgZGF0YSBmcm9tIHJlZ3VsYXRvcnkgbmV0d29ya3MgYW5kIHN1cHBsZW1lbnRlZCB0aG9zZSBkYXRhIHdpdGggc3R1ZHktc3BlY2lmaWMgbWVhc3VyZW1lbnRzIGNvbGxlY3RlZCBmcm9tIE1FU0EgQWlyIGNvbW11bml0eSBsb2NhdGlvbnMgYW5kIHBhcnRpY2lwYW50c+KAmSBob21lcy4gSW4gZWFjaCByZWdpb24sIHdlIGFwcGxpZWQgYSBzcGF0aW90ZW1wb3JhbCBtb2RlbCB0aGF0IGluY2x1ZGVkIGEgbG9uZy10ZXJtIHNwYXRpYWwgbWVhbiwgdGltZSB0cmVuZHMgd2l0aCBzcGF0aWFsbHkgdmFyeWluZyBjb2VmZmljaWVudHMsIGFuZCBhIHNwYXRpb3RlbXBvcmFsIHJlc2lkdWFsLiBUaGUgbWVhbiBzdHJ1Y3R1cmUgd2FzIGRlcml2ZWQgZnJvbSBhIGxhcmdlIHNldCBvZiBnZW9ncmFwaGljIGNvdmFyaWF0ZXMgdGhhdCB3YXMgcmVkdWNlZCB1c2luZyBwYXJ0aWFsIGxlYXN0LXNxdWFyZXMgcmVncmVzc2lvbi4gV2UgZXN0aW1hdGVkIHRpbWUgdHJlbmRzIGZyb20gb2JzZXJ2ZWQgdGltZSBzZXJpZXMgYW5kIHVzZWQgc3BhdGlhbCBzbW9vdGhpbmcgbWV0aG9kcyB0byBib3Jyb3cgc3RyZW5ndGggYmV0d2VlbiBvYnNlcnZhdGlvbnMuIHJlc3VsdHM6IFByZWRpY3Rpb24gYWNjdXJhY3kgd2FzIGhpZ2ggZm9yIG1vc3QgbW9kZWxzLCB3aXRoIGNyb3NzLXZhbGlkYXRpb24gUjIgKFIyQ1YpID4gMC44MCBhdCByZWd1bGF0b3J5IGFuZCBmaXhlZCBzaXRlcyBmb3IgbW9zdCByZWdpb25zIGFuZCBwb2xsdXRhbnRzLiBBdCBob21lIHNpdGVzLCBvdmVyYWxsIFIyQ1YgcmFuZ2VkIGZyb20gMC40NSB0byAwLjkyLCBhbmQgdGVtcG9yYWxseSBhZGp1c3RlZCBSMkNWIHJhbmdlZCBmcm9tIDAuMjMgdG8gMC45Mi4gY29uY2x1c2lvbnM6IFRoaXMgbm92ZWwgc3BhdGlvdGVtcG9yYWwgbW9kZWxpbmcgYXBwcm9hY2ggcHJvdmlkZXMgYWNjdXJhdGUgZmluZS1zY2FsZSBwcmVkaWN0aW9ucyBpbiBtdWx0aXBsZSByZWdpb25zIGZvciBmb3VyIHBvbGx1dGFudHMuIFdlIGhhdmUgZ2VuZXJhdGVkIHBhcnRpY2lwYW50LXNwZWNpZmljIHByZWRpY3Rpb25zIGZvciBNRVNBIEFpciB0byBpbnZlc3RpZ2F0ZSBoZWFsdGggZWZmZWN0cyBvZiBsb25nLXRlcm0gYWlyIHBvbGx1dGlvbiBleHBvc3VyZXMuIFRoZXNlIHN1Y2Nlc3NlcyBoaWdobGlnaHQgbW9kZWxpbmcgYWR2YW5jZXMgdGhhdCBjYW4gYmUgYWRvcHRlZCBtb3JlIHdpZGVseSBpbiBtb2Rlcm4gY29ob3J0IHN0dWRpZXMuIiwiYXV0aG9yIjpbeyJkcm9wcGluZy1wYXJ0aWNsZSI6IiIsImZhbWlseSI6IktlbGxlciIsImdpdmVuIjoiSm9zaHVhIFAuIiwibm9uLWRyb3BwaW5nLXBhcnRpY2xlIjoiIiwicGFyc2UtbmFtZXMiOmZhbHNlLCJzdWZmaXgiOiIifSx7ImRyb3BwaW5nLXBhcnRpY2xlIjoiIiwiZmFtaWx5IjoiT2xpdmVzIiwiZ2l2ZW4iOiJDYXNleSIsIm5vbi1kcm9wcGluZy1wYXJ0aWNsZSI6IiIsInBhcnNlLW5hbWVzIjpmYWxzZSwic3VmZml4IjoiIn0seyJkcm9wcGluZy1wYXJ0aWNsZSI6IiIsImZhbWlseSI6IktpbSIsImdpdmVuIjoiU3VuIFlvdW5nIiwibm9uLWRyb3BwaW5nLXBhcnRpY2xlIjoiIiwicGFyc2UtbmFtZXMiOmZhbHNlLCJzdWZmaXgiOiIifSx7ImRyb3BwaW5nLXBhcnRpY2xlIjoiIiwiZmFtaWx5IjoiU2hlcHBhcmQiLCJnaXZlbiI6IkxpYW5uZSIsIm5vbi1kcm9wcGluZy1wYXJ0aWNsZSI6IiIsInBhcnNlLW5hbWVzIjpmYWxzZSwic3VmZml4IjoiIn0seyJkcm9wcGluZy1wYXJ0aWNsZSI6IiIsImZhbWlseSI6IlNhbXBzb24iLCJnaXZlbiI6IlBhdWwgRC4iLCJub24tZHJvcHBpbmctcGFydGljbGUiOiIiLCJwYXJzZS1uYW1lcyI6ZmFsc2UsInN1ZmZpeCI6IiJ9LHsiZHJvcHBpbmctcGFydGljbGUiOiIiLCJmYW1pbHkiOiJTenBpcm8iLCJnaXZlbiI6IkFkYW0gQS4iLCJub24tZHJvcHBpbmctcGFydGljbGUiOiIiLCJwYXJzZS1uYW1lcyI6ZmFsc2UsInN1ZmZpeCI6IiJ9LHsiZHJvcHBpbmctcGFydGljbGUiOiIiLCJmYW1pbHkiOiJPcm9uIiwiZ2l2ZW4iOiJBc3NhZiBQLiIsIm5vbi1kcm9wcGluZy1wYXJ0aWNsZSI6IiIsInBhcnNlLW5hbWVzIjpmYWxzZSwic3VmZml4IjoiIn0seyJkcm9wcGluZy1wYXJ0aWNsZSI6IiIsImZhbWlseSI6IkxpbmRzdHLDtm0iLCJnaXZlbiI6IkpvaGFuIiwibm9uLWRyb3BwaW5nLXBhcnRpY2xlIjoiIiwicGFyc2UtbmFtZXMiOmZhbHNlLCJzdWZmaXgiOiIifSx7ImRyb3BwaW5nLXBhcnRpY2xlIjoiIiwiZmFtaWx5IjoiVmVkYWwiLCJnaXZlbiI6IlN2ZXJyZSIsIm5vbi1kcm9wcGluZy1wYXJ0aWNsZSI6IiIsInBhcnNlLW5hbWVzIjpmYWxzZSwic3VmZml4IjoiIn0seyJkcm9wcGluZy1wYXJ0aWNsZSI6IiIsImZhbWlseSI6IkthdWZtYW4iLCJnaXZlbiI6IkpvZWwgRC4iLCJub24tZHJvcHBpbmctcGFydGljbGUiOiIiLCJwYXJzZS1uYW1lcyI6ZmFsc2UsInN1ZmZpeCI6IiJ9XSwiY29udGFpbmVyLXRpdGxlIjoiRW52aXJvbm1lbnRhbCBIZWFsdGggUGVyc3BlY3RpdmVzIiwiaWQiOiJkMDQ0ZDJkNy1mOThiLTNkNTMtYmZjMC0wZjY5ZDcxOGVhZmEiLCJpc3N1ZSI6IjQiLCJpc3N1ZWQiOnsiZGF0ZS1wYXJ0cyI6W1siMjAxNSJdXX0sInBhZ2UiOiIzMDEtMzA5IiwicHVibGlzaGVyIjoiUHVibGljIEhlYWx0aCBTZXJ2aWNlcywgVVMgRGVwdCBvZiBIZWFsdGggYW5kIEh1bWFuIFNlcnZpY2VzIiwidGl0bGUiOiJBIHVuaWZpZWQgc3BhdGlvdGVtcG9yYWwgbW9kZWxpbmcgYXBwcm9hY2ggZm9yIHByZWRpY3RpbmcgY29uY2VudHJhdGlvbnMgb2YgbXVsdGlwbGUgYWlyIHBvbGx1dGFudHMgaW4gdGhlIG11bHRpLWV0aG5pYyBzdHVkeSBvZiBhdGhlcm9zY2xlcm9zaXMgYW5kIGFpciBwb2xsdXRpb24iLCJ0eXBlIjoiYXJ0aWNsZS1qb3VybmFsIiwidm9sdW1lIjoiMTIzIn0sInVyaXMiOlsiaHR0cDovL3d3dy5tZW5kZWxleS5jb20vZG9jdW1lbnRzLz91dWlkPWQwNDRkMmQ3LWY5OGItM2Q1My1iZmMwLTBmNjlkNzE4ZWFmYSJdLCJpc1RlbXBvcmFyeSI6ZmFsc2UsImxlZ2FjeURlc2t0b3BJZCI6ImQwNDRkMmQ3LWY5OGItM2Q1My1iZmMwLTBmNjlkNzE4ZWFmYSJ9LHsiaWQiOiI0M2IwM2I0ZC02MGFkLTM5ZGUtOGIyMy03NTU2OTkyMDA3ZmQiLCJpdGVtRGF0YSI6eyJET0kiOiIxMC4xMDE2L2ouZW52cmVzLjIwMTUuMDEuMDAzIiwiSVNTTiI6IjEwOTYwOTUzIiwiUE1JRCI6IjI1NjAxNzMzIiwiYWJzdHJhY3QiOiJMaW1pdGVkIGJ5IGRhdGEgYWNjZXNzaWJpbGl0eSwgZmV3IGV4cG9zdXJlIGFzc2Vzc21lbnQgc3R1ZGllcyBvZiBhaXIgcG9sbHV0YW50cyBoYXZlIGJlZW4gY29uZHVjdGVkIGluIENoaW5hLiBUaGVyZSBpcyBhbiB1cmdlbnQgbmVlZCB0byBkZXZlbG9wIG1vZGVscyBmb3IgYXNzZXNzaW5nIHRoZSBpbnRyYS11cmJhbiBjb25jZW50cmF0aW9uIG9mIGtleSBhaXIgcG9sbHV0YW50cyBpbiBDaGluZXNlIGNpdGllcy4gSW4gdGhpcyBzdHVkeSwgYSBsYW5kIHVzZSByZWdyZXNzaW9uIChMVVIpIG1vZGVsIHdhcyBlc3RhYmxpc2hlZCB0byBlc3RpbWF0ZSBOTzIgZHVyaW5nIDIwMDgtMjAxMSBpbiBTaGFuZ2hhaS4gRm91ciBwcmVkaWN0b3IgdmFyaWFibGVzIHdlcmUgbGVmdCBpbiB0aGUgZmluYWwgTFVSIG1vZGVsOiB0aGUgbGVuZ3RoIG9mIG1ham9yIHJvYWQgd2l0aGluIHRoZSAyLWttIGJ1ZmZlciBhcm91bmQgbW9uaXRvcmluZyBzaXRlcywgdGhlIG51bWJlciBvZiBpbmR1c3RyaWFsIHNvdXJjZXMgKGV4Y2x1ZGluZyBwb3dlciBwbGFudHMpIHdpdGhpbiBhIDEwLWttIGJ1ZmZlciwgdGhlIGFncmljdWx0dXJhbCBsYW5kIGFyZWEgd2l0aGluIGEgNS1rbSBidWZmZXIsIGFuZCB0aGUgcG9wdWxhdGlvbiBjb3VudHMuIFRoZSBtb2RlbCBSMiBhbmQgdGhlIGxlYXZlLW9uZS1vdXQtY3Jvc3MtdmFsaWRhdGlvbiAoTE9PQ1YpIFIyIG9mIHRoZSBOTzIgTFVSIG1vZGVscyB3ZXJlIDAuODIgYW5kIDAuNzUsIHJlc3BlY3RpdmVseS4gVGhlIHByZWRpY3Rpb24gc3VyZmFjZSBvZiB0aGUgTk8yIGNvbmNlbnRyYXRpb24gYmFzZWQgb24gdGhlIExVUiBtb2RlbCB3YXMgb2YgaGlnaCBzcGF0aWFsIHJlc29sdXRpb24uIFRoZSAxLXllYXIgcHJlZGljdGVkIGNvbmNlbnRyYXRpb24gYmFzZWQgb24gdGhlIHJhdGlvIGFuZCB0aGUgZGlmZmVyZW5jZSBtZXRob2RzIGZpdHRlZCB3ZWxsIHdpdGggdGhlIG1lYXN1cmVkIE5PMiBjb25jZW50cmF0aW9uLiBUaGUgTFVSIG1vZGVsIG9mIE5PMiBvdXRwZXJmb3JtZWQgdGhlIGtyaWdpbmcgYW5kIGludmVyc2UgZGlzdGFuY2Ugd2VpZ2hlZCAoSURXKSBpbnRlcnBvbGF0aW9uIG1ldGhvZHMgaW4gU2hhbmdoYWkuIE91ciBmaW5kaW5ncyBzdWdnZXN0IHRoYXQgdGhlIExVUiBtb2RlbCBtYXkgcHJvdmlkZSBhIGNvc3QtZWZmZWN0aXZlIG1ldGhvZCBvZiBhaXIgcG9sbHV0aW9uIGV4cG9zdXJlIGFzc2Vzc21lbnQgaW4gYSBkZXZlbG9waW5nIGNvdW50cnkuIiwiYXV0aG9yIjpbeyJkcm9wcGluZy1wYXJ0aWNsZSI6IiIsImZhbWlseSI6Ik1lbmciLCJnaXZlbiI6IlhpYSIsIm5vbi1kcm9wcGluZy1wYXJ0aWNsZSI6IiIsInBhcnNlLW5hbWVzIjpmYWxzZSwic3VmZml4IjoiIn0seyJkcm9wcGluZy1wYXJ0aWNsZSI6IiIsImZhbWlseSI6IkNoZW4iLCJnaXZlbiI6IkxpIiwibm9uLWRyb3BwaW5nLXBhcnRpY2xlIjoiIiwicGFyc2UtbmFtZXMiOmZhbHNlLCJzdWZmaXgiOiIifSx7ImRyb3BwaW5nLXBhcnRpY2xlIjoiIiwiZmFtaWx5IjoiQ2FpIiwiZ2l2ZW4iOiJKaW5nIiwibm9uLWRyb3BwaW5nLXBhcnRpY2xlIjoiIiwicGFyc2UtbmFtZXMiOmZhbHNlLCJzdWZmaXgiOiIifSx7ImRyb3BwaW5nLXBhcnRpY2xlIjoiIiwiZmFtaWx5IjoiWm91IiwiZ2l2ZW4iOiJCaW4iLCJub24tZHJvcHBpbmctcGFydGljbGUiOiIiLCJwYXJzZS1uYW1lcyI6ZmFsc2UsInN1ZmZpeCI6IiJ9LHsiZHJvcHBpbmctcGFydGljbGUiOiIiLCJmYW1pbHkiOiJXdSIsImdpdmVuIjoiQ2hhbmcgRnUiLCJub24tZHJvcHBpbmctcGFydGljbGUiOiIiLCJwYXJzZS1uYW1lcyI6ZmFsc2UsInN1ZmZpeCI6IiJ9LHsiZHJvcHBpbmctcGFydGljbGUiOiIiLCJmYW1pbHkiOiJGdSIsImdpdmVuIjoiUWluZ3lhbiIsIm5vbi1kcm9wcGluZy1wYXJ0aWNsZSI6IiIsInBhcnNlLW5hbWVzIjpmYWxzZSwic3VmZml4IjoiIn0seyJkcm9wcGluZy1wYXJ0aWNsZSI6IiIsImZhbWlseSI6IlpoYW5nIiwiZ2l2ZW4iOiJZYW4iLCJub24tZHJvcHBpbmctcGFydGljbGUiOiIiLCJwYXJzZS1uYW1lcyI6ZmFsc2UsInN1ZmZpeCI6IiJ9LHsiZHJvcHBpbmctcGFydGljbGUiOiIiLCJmYW1pbHkiOiJMaXUiLCJnaXZlbiI6IllhbmciLCJub24tZHJvcHBpbmctcGFydGljbGUiOiIiLCJwYXJzZS1uYW1lcyI6ZmFsc2UsInN1ZmZpeCI6IiJ9LHsiZHJvcHBpbmctcGFydGljbGUiOiIiLCJmYW1pbHkiOiJLYW4iLCJnaXZlbiI6IkhhaWRvbmciLCJub24tZHJvcHBpbmctcGFydGljbGUiOiIiLCJwYXJzZS1uYW1lcyI6ZmFsc2UsInN1ZmZpeCI6IiJ9XSwiY29udGFpbmVyLXRpdGxlIjoiRW52aXJvbm1lbnRhbCBSZXNlYXJjaCIsImlkIjoiNDNiMDNiNGQtNjBhZC0zOWRlLThiMjMtNzU1Njk5MjAwN2ZkIiwiaXNzdWVkIjp7ImRhdGUtcGFydHMiOltbIjIwMTUiLCIyIiwiMSJdXX0sInBhZ2UiOiIzMDgtMzE1IiwicHVibGlzaGVyIjoiQWNhZGVtaWMgUHJlc3MgSW5jLiIsInRpdGxlIjoiQSBsYW5kIHVzZSByZWdyZXNzaW9uIG1vZGVsIGZvciBlc3RpbWF0aW5nIHRoZSBOTzIgY29uY2VudHJhdGlvbiBpbiBzaGFuZ2hhaSwgQ2hpbmEiLCJ0eXBlIjoiYXJ0aWNsZS1qb3VybmFsIiwidm9sdW1lIjoiMTM3In0sInVyaXMiOlsiaHR0cDovL3d3dy5tZW5kZWxleS5jb20vZG9jdW1lbnRzLz91dWlkPTQzYjAzYjRkLTYwYWQtMzlkZS04YjIzLTc1NTY5OTIwMDdmZCJdLCJpc1RlbXBvcmFyeSI6ZmFsc2UsImxlZ2FjeURlc2t0b3BJZCI6IjQzYjAzYjRkLTYwYWQtMzlkZS04YjIzLTc1NTY5OTIwMDdmZCJ9LHsiaWQiOiI0ODVlYjgwNS1mNTAwLTNkMjktOWQ5Ni1iNDA4OWU1MGNiNGIiLCJpdGVtRGF0YSI6eyJET0kiOiIxMC4xMDM4L2plcy4yMDE2LjQwIiwiSVNTTiI6IjE1NTkwNjRYIiwiUE1JRCI6IjI3NDg1OTkwIiwiYWJzdHJhY3QiOiJCb3RoIGRpc3BlcnNpb24gbW9kZWxpbmcgKERNKSBhbmQgbGFuZC11c2UgcmVncmVzc2lvbiBtb2RlbGluZyAoTFVSKSBhcmUgb2Z0ZW4gdXNlZCBmb3IgYXNzZXNzbWVudCBvZiBsb25nLXRlcm0gYWlyIHBvbGx1dGlvbiBleHBvc3VyZSBpbiBlcGlkZW1pb2xvZ2ljYWwgc3R1ZGllcywgYnV0IHNlbGRvbSBpbiBjb21iaW5hdGlvbi4gV2UgZGV2ZWxvcGVkIGEgaHlicmlkIERNLUxVUiBtb2RlbCB1c2luZyA5MyBiaXdlZWtseSBvYnNlcnZhdGlvbnMgb2YgTk94IGF0IDMxIHNpdGVzIGluIGdyZWF0ZXIgU3RvY2tob2xtIChTd2VkZW4pLiBUaGUgRE0gd2FzIGJhc2VkIG9uIHNwYXRpYWxseSByZXNvbHZlZCB0b3BvZ3JhcGhpYywgcGh5c2lvZ3JhcGhpYyBhbmQgZW1pc3Npb24gZGF0YSwgYW5kIGhvdXJseSBtZXRlb3JvbG9naWNhbCBkYXRhIGZyb20gYSBkaWFnbm9zdGljIHdpbmQgbW9kZWwuIE90aGVyIGRhdGEgd2VyZSBmcm9tIGxhbmQgdXNlLCBtZXRlb3JvbG9neSBhbmQgcm91dGluZSBtb25pdG9yaW5nIG9mIE5PeC4gV2UgYnVpbHQgYSBsaW5lYXIgcmVncmVzc2lvbiBtb2RlbCBmb3IgTk94LCB1c2luZyBhIHN0ZXB3aXNlIGZvcndhcmQgc2VsZWN0aW9uIG9mIGNvdmFyaWF0ZXMuIFRoZSByZXN1bHRpbmcgbW9kZWwgcHJlZGljdGVkIG9ic2VydmVkIE5PeCAoUigyKT0wLjg5KSBiZXR0ZXIgdGhhbiB0aGUgRE0gd2l0aG91dCBjb3ZhcmlhdGVzIChSKDIpPTAuNjgsIFAtaW50ZXJhY3Rpb24gPDAuMDAxKSBhbmQgd2l0aCBtaW5pbWFsIGFwcGFyZW50IGJpYXMuIFRoZSBtb2RlbCBpbmNsdWRlZCAoaW4gZGVzY2VuZGluZyBvcmRlciBvZiBpbXBvcnRhbmNlKSBETSwgdHJhZmZpYyBpbnRlbnNpdHkgb24gdGhlIG5lYXJlc3Qgc3RyZWV0LCBwb3B1bGF0aW9uIChudW1iZXIgb2YgaW5oYWJpdGFudHMpIHdpdGhpbiAxMDAgbSByYWRpdXMsIGdsb2JhbCByYWRpYXRpb24gKGRpcmVjdCBzdW5saWdodCBwbHVzIGRpZmZ1c2Ugb3Igc2NhdHRlcmVkIGxpZ2h0KSBhbmQgdXJiYW4gY29udHJpYnV0aW9uIHRvIE5PeCBsZXZlbHMgKHJvdXRpbmUgdXJiYW4gTk94LCBsZXNzIHJvdXRpbmUgcnVyYWwgTk94KS4gT3VyIHJlc3VsdHMgaW5kaWNhdGUgdGhhdCB0aGVyZSBpcyBhIHBvdGVudGlhbCBmb3IgaW1wcm92aW5nIGVzdGltYXRlcyBvZiBhaXIgcG9sbHV0YW50IGNvbmNlbnRyYXRpb25zIGJhc2VkIG9uIERNLCBieSBpbmNvcnBvcmF0aW5nIGZ1cnRoZXIgc3BhdGlhbCBjaGFyYWN0ZXJpc3RpY3Mgb2YgdGhlIGltbWVkaWF0ZSBzdXJyb3VuZGluZ3MsIHBvc3NpYmx5IGFjY291bnRpbmcgZm9yIGltcGVyZmVjdGlvbnMgaW4gdGhlIGVtaXNzaW9uIGRhdGEuSm91cm5hbCBvZiBFeHBvc3VyZSBTY2llbmNlIGFuZCBFbnZpcm9ubWVudGFsIEVwaWRlbWlvbG9neSBhZHZhbmNlIG9ubGluZSBwdWJsaWNhdGlvbiwgMyBBdWd1c3QgMjAxNjsgZG9pOjEwLjEwMzgvamVzLjIwMTYuNDAuIiwiYXV0aG9yIjpbeyJkcm9wcGluZy1wYXJ0aWNsZSI6IiIsImZhbWlseSI6IktvcmVrIiwiZ2l2ZW4iOiJNaWNoYWwiLCJub24tZHJvcHBpbmctcGFydGljbGUiOiIiLCJwYXJzZS1uYW1lcyI6ZmFsc2UsInN1ZmZpeCI6IiJ9LHsiZHJvcHBpbmctcGFydGljbGUiOiIiLCJmYW1pbHkiOiJKb2hhbnNzb24iLCJnaXZlbiI6IkNocmlzdGVyIiwibm9uLWRyb3BwaW5nLXBhcnRpY2xlIjoiIiwicGFyc2UtbmFtZXMiOmZhbHNlLCJzdWZmaXgiOiIifSx7ImRyb3BwaW5nLXBhcnRpY2xlIjoiIiwiZmFtaWx5IjoiU3ZlbnNzb24iLCJnaXZlbiI6Ik5pbmEiLCJub24tZHJvcHBpbmctcGFydGljbGUiOiIiLCJwYXJzZS1uYW1lcyI6ZmFsc2UsInN1ZmZpeCI6IiJ9LHsiZHJvcHBpbmctcGFydGljbGUiOiIiLCJmYW1pbHkiOiJMaW5kIiwiZ2l2ZW4iOiJUb21hcyIsIm5vbi1kcm9wcGluZy1wYXJ0aWNsZSI6IiIsInBhcnNlLW5hbWVzIjpmYWxzZSwic3VmZml4IjoiIn0seyJkcm9wcGluZy1wYXJ0aWNsZSI6IiIsImZhbWlseSI6IkJlZWxlbiIsImdpdmVuIjoiUm9iIiwibm9uLWRyb3BwaW5nLXBhcnRpY2xlIjoiIiwicGFyc2UtbmFtZXMiOmZhbHNlLCJzdWZmaXgiOiIifSx7ImRyb3BwaW5nLXBhcnRpY2xlIjoiIiwiZmFtaWx5IjoiSG9layIsImdpdmVuIjoiR2VyYXJkIiwibm9uLWRyb3BwaW5nLXBhcnRpY2xlIjoiIiwicGFyc2UtbmFtZXMiOmZhbHNlLCJzdWZmaXgiOiIifSx7ImRyb3BwaW5nLXBhcnRpY2xlIjoiIiwiZmFtaWx5IjoiUGVyc2hhZ2VuIiwiZ2l2ZW4iOiJHw7ZyYW4iLCJub24tZHJvcHBpbmctcGFydGljbGUiOiIiLCJwYXJzZS1uYW1lcyI6ZmFsc2UsInN1ZmZpeCI6IiJ9LHsiZHJvcHBpbmctcGFydGljbGUiOiIiLCJmYW1pbHkiOiJCZWxsYW5kZXIiLCJnaXZlbiI6IlRvbSIsIm5vbi1kcm9wcGluZy1wYXJ0aWNsZSI6IiIsInBhcnNlLW5hbWVzIjpmYWxzZSwic3VmZml4IjoiIn1dLCJjb250YWluZXItdGl0bGUiOiJKb3VybmFsIG9mIGV4cG9zdXJlIHNjaWVuY2UgJiBlbnZpcm9ubWVudGFsIGVwaWRlbWlvbG9neSIsImlkIjoiNDg1ZWI4MDUtZjUwMC0zZDI5LTlkOTYtYjQwODllNTBjYjRiIiwiaXNzdWUiOiJEZWNlbWJlciAyMDE1IiwiaXNzdWVkIjp7ImRhdGUtcGFydHMiOltbIjIwMTYiXV19LCJwYWdlIjoiMS03IiwidGl0bGUiOiJDYW4gZGlzcGVyc2lvbiBtb2RlbGluZyBvZiBhaXIgcG9sbHV0aW9uIGJlIGltcHJvdmVkIGJ5IGxhbmQtdXNlIHJlZ3Jlc3Npb24/IEFuIGV4YW1wbGUgZnJvbSBTdG9ja2hvbG0sIFN3ZWRlbi4iLCJ0eXBlIjoiYXJ0aWNsZS1qb3VybmFsIn0sInVyaXMiOlsiaHR0cDovL3d3dy5tZW5kZWxleS5jb20vZG9jdW1lbnRzLz91dWlkPTg2M2M2OWQxLTNmMTUtNDY2Ni05NWQ1LWVjZWI3N2U0NTM0MSJdLCJpc1RlbXBvcmFyeSI6ZmFsc2UsImxlZ2FjeURlc2t0b3BJZCI6Ijg2M2M2OWQxLTNmMTUtNDY2Ni05NWQ1LWVjZWI3N2U0NTM0MSJ9LHsiaWQiOiJiODFlMTc5Mi05YzM3LTM0ZDUtYTY2Ni01YzUzNTIzMTY1YzkiLCJpdGVtRGF0YSI6eyJET0kiOiIxMC4xMDE2L0ouRU5WSU5ULjIwMTYuMTEuMDI0IiwiSVNTTiI6IjAxNjAtNDEyMCIsImFic3RyYWN0IjoiSGVhbHRoIGVmZmVjdHMgb2YgYWlyIHBvbGx1dGlvbiwgZXNwZWNpYWxseSBwYXJ0aWN1bGF0ZSBtYXR0ZXIgKFBNKSwgaGF2ZSBiZWVuIHdpZGVseSBpbnZlc3RpZ2F0ZWQuIEhvd2V2ZXIsIG1vc3Qgb2YgdGhlIHN0dWRpZXMgcmVseSBvbiBmZXcgbW9uaXRvcnMgbG9jYXRlZCBpbiB1cmJhbiBhcmVhcyBmb3Igc2hvcnQtdGVybSBhc3Nlc3NtZW50cywgb3IgbGFuZCB1c2UvZGlzcGVyc2lvbiBtb2RlbGxpbmcgZm9yIGxvbmctdGVybSBldmFsdWF0aW9ucywgYWdhaW4gbW9zdGx5IGluIGNpdGllcy4gUmVjZW50bHksIHRoZSBhdmFpbGFiaWxpdHkgb2YgZmluZWx5IHJlc29sdmVkIHNhdGVsbGl0ZSBkYXRhIHByb3ZpZGVzIGFuIG9wcG9ydHVuaXR5IHRvIGVzdGltYXRlIGRhaWx5IGNvbmNlbnRyYXRpb25zIG9mIGFpciBwb2xsdXRhbnRzIG92ZXIgd2lkZSBzcGF0aW8tdGVtcG9yYWwgZG9tYWlucy4gSXRhbHkgbGFja3MgYSByb2J1c3QgYW5kIHZhbGlkYXRlZCBoaWdoIHJlc29sdXRpb24gc3BhdGlvLXRlbXBvcmFsbHkgcmVzb2x2ZWQgbW9kZWwgb2YgcGFydGljdWxhdGUgbWF0dGVyLiBUaGUgY29tcGxleCB0b3BvZ3JhcGh5IGFuZCB0aGUgYWlyIG1peHR1cmUgZnJvbSBib3RoIG5hdHVyYWwgYW5kIGFudGhyb3BvZ2VuaWMgc291cmNlcyBhcmUgZ3JlYXQgY2hhbGxlbmdlcyBkaWZmaWN1bHQgdG8gYmUgYWRkcmVzc2VkLiBXZSBjb21iaW5lZCBmaW5lbHkgcmVzb2x2ZWQgZGF0YSBvbiBBZXJvc29sIE9wdGljYWwgRGVwdGggKEFPRCkgZnJvbSB0aGUgTXVsdGktQW5nbGUgSW1wbGVtZW50YXRpb24gb2YgQXRtb3NwaGVyaWMgQ29ycmVjdGlvbiAoTUFJQUMpIGFsZ29yaXRobSwgZ3JvdW5kLWxldmVsIFBNMTAgbWVhc3VyZW1lbnRzLCBsYW5kLXVzZSB2YXJpYWJsZXMgYW5kIG1ldGVvcm9sb2dpY2FsIHBhcmFtZXRlcnMgaW50byBhIGZvdXItc3RhZ2UgbWl4ZWQgbW9kZWwgZnJhbWV3b3JrIHRvIGRlcml2ZSBlc3RpbWF0ZXMgb2YgZGFpbHkgUE0xMCBjb25jZW50cmF0aW9ucyBhdCAxLWttMiBncmlkIG92ZXIgSXRhbHksIGZvciB0aGUgeWVhcnMgMjAwNuKAkzIwMTIuIFdlIGNoZWNrZWQgcGVyZm9ybWFuY2Ugb2Ygb3VyIG1vZGVscyBieSBhcHBseWluZyAxMC1mb2xkIGNyb3NzLXZhbGlkYXRpb24gKENWKSBmb3IgZWFjaCB5ZWFyLiBPdXIgbW9kZWxzIGRpc3BsYXllZCBnb29kIGZpdHRpbmcsIHdpdGggbWVhbiBDVi1SMj0wLjY1IGFuZCBsaXR0bGUgYmlhcyAoYXZlcmFnZSBzbG9wZSBvZiBwcmVkaWN0ZWQgVlMgb2JzZXJ2ZWQgUE0xMD0wLjk5KS4gT3V0LW9mLXNhbXBsZSBwcmVkaWN0aW9ucyB3ZXJlIG1vcmUgYWNjdXJhdGUgaW4gTm9ydGhlcm4gSXRhbHkgKFBvIHZhbGxleSkgYW5kIGxhcmdlIGNvbnVyYmF0aW9ucyAoZS5nLiBSb21lKSwgZm9yIGJhY2tncm91bmQgbW9uaXRvcmluZyBzdGF0aW9ucywgYW5kIGluIHRoZSB3aW50ZXIgc2Vhc29uLiBSZXN1bHRpbmcgY29uY2VudHJhdGlvbiBtYXBzIHNob3dlZCBoaWdoZXN0IGF2ZXJhZ2UgUE0xMCBsZXZlbHMgaW4gc3BlY2lmaWMgYXJlYXMgKFBvIHJpdmVyIHZhbGxleSwgbWFpbiBpbmR1c3RyaWFsIGFuZCBtZXRyb3BvbGl0YW4gYXJlYXMpIHdpdGggZGVjcmVhc2luZyB0cmVuZHMgb3ZlciB0aW1lLiBPdXIgZGFpbHkgcHJlZGljdGlvbnMgb2YgUE0xMCBjb25jZW50cmF0aW9ucyBhY3Jvc3MgdGhlIHdob2xlIEl0YWx5IHdpbGwgYWxsb3csIGZvciB0aGUgZmlyc3QgdGltZSwgZXN0aW1hdGlvbiBvZiBsb25nLXRlcm0gYW5kIHNob3J0LXRlcm0gZWZmZWN0cyBvZiBhaXIgcG9sbHV0aW9uIG5hdGlvbndpZGUsIGV2ZW4gaW4gYXJlYXMgbGFja2luZyBtb25pdG9yaW5nIGRhdGEuIiwiYXV0aG9yIjpbeyJkcm9wcGluZy1wYXJ0aWNsZSI6IiIsImZhbWlseSI6IlN0YWZvZ2dpYSIsImdpdmVuIjoiTWFzc2ltbyIsIm5vbi1kcm9wcGluZy1wYXJ0aWNsZSI6IiIsInBhcnNlLW5hbWVzIjpmYWxzZSwic3VmZml4IjoiIn0seyJkcm9wcGluZy1wYXJ0aWNsZSI6IiIsImZhbWlseSI6IlNjaHdhcnR6IiwiZ2l2ZW4iOiJKb2VsIiwibm9uLWRyb3BwaW5nLXBhcnRpY2xlIjoiIiwicGFyc2UtbmFtZXMiOmZhbHNlLCJzdWZmaXgiOiIifSx7ImRyb3BwaW5nLXBhcnRpY2xlIjoiIiwiZmFtaWx5IjoiQmFkYWxvbmkiLCJnaXZlbiI6IkNoaWFyYSIsIm5vbi1kcm9wcGluZy1wYXJ0aWNsZSI6IiIsInBhcnNlLW5hbWVzIjpmYWxzZSwic3VmZml4IjoiIn0seyJkcm9wcGluZy1wYXJ0aWNsZSI6IiIsImZhbWlseSI6IkJlbGxhbmRlciIsImdpdmVuIjoiVG9tIiwibm9uLWRyb3BwaW5nLXBhcnRpY2xlIjoiIiwicGFyc2UtbmFtZXMiOmZhbHNlLCJzdWZmaXgiOiIifSx7ImRyb3BwaW5nLXBhcnRpY2xlIjoiIiwiZmFtaWx5IjoiQWxlc3NhbmRyaW5pIiwiZ2l2ZW4iOiJFc3RlciIsIm5vbi1kcm9wcGluZy1wYXJ0aWNsZSI6IiIsInBhcnNlLW5hbWVzIjpmYWxzZSwic3VmZml4IjoiIn0seyJkcm9wcGluZy1wYXJ0aWNsZSI6IiIsImZhbWlseSI6IkNhdHRhbmkiLCJnaXZlbiI6Ikdpb3JnaW8iLCJub24tZHJvcHBpbmctcGFydGljbGUiOiIiLCJwYXJzZS1uYW1lcyI6ZmFsc2UsInN1ZmZpeCI6IiJ9LHsiZHJvcHBpbmctcGFydGljbGUiOiIiLCJmYW1pbHkiOiJkZScgRG9uYXRvIiwiZ2l2ZW4iOiJGcmFuY2VzY2EiLCJub24tZHJvcHBpbmctcGFydGljbGUiOiIiLCJwYXJzZS1uYW1lcyI6ZmFsc2UsInN1ZmZpeCI6IiJ9LHsiZHJvcHBpbmctcGFydGljbGUiOiIiLCJmYW1pbHkiOiJHYWV0YSIsImdpdmVuIjoiQWxlc3NhbmRyYSIsIm5vbi1kcm9wcGluZy1wYXJ0aWNsZSI6IiIsInBhcnNlLW5hbWVzIjpmYWxzZSwic3VmZml4IjoiIn0seyJkcm9wcGluZy1wYXJ0aWNsZSI6IiIsImZhbWlseSI6Ikxlb25lIiwiZ2l2ZW4iOiJHaWFubHVjYSIsIm5vbi1kcm9wcGluZy1wYXJ0aWNsZSI6IiIsInBhcnNlLW5hbWVzIjpmYWxzZSwic3VmZml4IjoiIn0seyJkcm9wcGluZy1wYXJ0aWNsZSI6IiIsImZhbWlseSI6Ikx5YXB1c3RpbiIsImdpdmVuIjoiQWxleGVpIiwibm9uLWRyb3BwaW5nLXBhcnRpY2xlIjoiIiwicGFyc2UtbmFtZXMiOmZhbHNlLCJzdWZmaXgiOiIifSx7ImRyb3BwaW5nLXBhcnRpY2xlIjoiIiwiZmFtaWx5IjoiU29yZWstSGFtZXIiLCJnaXZlbiI6Ik1leXRhciIsIm5vbi1kcm9wcGluZy1wYXJ0aWNsZSI6IiIsInBhcnNlLW5hbWVzIjpmYWxzZSwic3VmZml4IjoiIn0seyJkcm9wcGluZy1wYXJ0aWNsZSI6IiIsImZhbWlseSI6Ikhvb2doIiwiZ2l2ZW4iOiJLZWVzIiwibm9uLWRyb3BwaW5nLXBhcnRpY2xlIjoiZGUiLCJwYXJzZS1uYW1lcyI6ZmFsc2UsInN1ZmZpeCI6IiJ9LHsiZHJvcHBpbmctcGFydGljbGUiOiIiLCJmYW1pbHkiOiJEaSIsImdpdmVuIjoiUWlhbiIsIm5vbi1kcm9wcGluZy1wYXJ0aWNsZSI6IiIsInBhcnNlLW5hbWVzIjpmYWxzZSwic3VmZml4IjoiIn0seyJkcm9wcGluZy1wYXJ0aWNsZSI6IiIsImZhbWlseSI6IkZvcmFzdGllcmUiLCJnaXZlbiI6IkZyYW5jZXNjbyIsIm5vbi1kcm9wcGluZy1wYXJ0aWNsZSI6IiIsInBhcnNlLW5hbWVzIjpmYWxzZSwic3VmZml4IjoiIn0seyJkcm9wcGluZy1wYXJ0aWNsZSI6IiIsImZhbWlseSI6Iktsb29nIiwiZ2l2ZW4iOiJJdGFpIiwibm9uLWRyb3BwaW5nLXBhcnRpY2xlIjoiIiwicGFyc2UtbmFtZXMiOmZhbHNlLCJzdWZmaXgiOiIifV0sImNvbnRhaW5lci10aXRsZSI6IkVudmlyb25tZW50IEludGVybmF0aW9uYWwiLCJpZCI6ImI4MWUxNzkyLTljMzctMzRkNS1hNjY2LTVjNTM1MjMxNjVjOSIsImlzc3VlZCI6eyJkYXRlLXBhcnRzIjpbWyIyMDE3IiwiMiIsIjEiXV19LCJwYWdlIjoiMjM0LTI0NCIsInB1Ymxpc2hlciI6IlBlcmdhbW9uIiwidGl0bGUiOiJFc3RpbWF0aW9uIG9mIGRhaWx5IFBNMTAgY29uY2VudHJhdGlvbnMgaW4gSXRhbHkgKDIwMDbigJMyMDEyKSB1c2luZyBmaW5lbHkgcmVzb2x2ZWQgc2F0ZWxsaXRlIGRhdGEsIGxhbmQgdXNlIHZhcmlhYmxlcyBhbmQgbWV0ZW9yb2xvZ3kiLCJ0eXBlIjoiYXJ0aWNsZS1qb3VybmFsIiwidm9sdW1lIjoiOTkifSwidXJpcyI6WyJodHRwOi8vd3d3Lm1lbmRlbGV5LmNvbS9kb2N1bWVudHMvP3V1aWQ9YjgxZTE3OTItOWMzNy0zNGQ1LWE2NjYtNWM1MzUyMzE2NWM5Il0sImlzVGVtcG9yYXJ5IjpmYWxzZSwibGVnYWN5RGVza3RvcElkIjoiYjgxZTE3OTItOWMzNy0zNGQ1LWE2NjYtNWM1MzUyMzE2NWM5In0seyJpZCI6ImE5NDE5ZjRhLWQ2ODktMzMyYS1iZjRjLWRjMTZlZWRhZDhjZCIsIml0ZW1EYXRhIjp7IkRPSSI6IjEwLjEwMTYvSi5FTlZJTlQuMjAyMS4xMDY0NDUiLCJJU1NOIjoiMDE2MC00MTIwIiwiUE1JRCI6IjMzNjE4MzI4IiwiYWJzdHJhY3QiOiJJcmFxIGFuZCBLdXdhaXQgYXJlIGluIGEgcmVnaW9uIG9mIHRoZSB3b3JsZCBrbm93biB0byBiZSBpbXBhY3RlZCBieSBoaWdoIGxldmVscyBvZiBmaW5lIHBhcnRpY3VsYXRlIG1hdHRlciAoUE0yLjUpIGF0dHJpYnV0YWJsZSB0byBzb3VyY2VzIHRoYXQgaW5jbHVkZSBkZXNlcnQgZHVzdCBhbmQgYW1iaWVudCBwb2xsdXRpb24sIGJ1dCBoaXN0b3JpY2FsbHkgaGF2ZSBoYWQgbGltaXRlZCBwb2xsdXRpb24gbW9uaXRvcmluZyBuZXR3b3Jrcy4gVGhlIGluYWJpbGl0eSB0byBhc3Nlc3MgUE0yLjUgY29uY2VudHJhdGlvbnMgaGF2ZSBsaW1pdGVkIHRoZSBhc3Nlc3NtZW50IG9mIHRoZSBoZWFsdGggaW1wYWN0IG9mIHRoZXNlIGV4cG9zdXJlcywgYm90aCBpbiB0aGUgbmF0aXZlIHBvcHVsYXRpb25zIGFuZCBwcmV2aW91c2x5IGRlcGxveWVkIG1pbGl0YXJ5IHBlcnNvbm5lbC4gQXMgcGFydCBvZiBhIERlcGFydG1lbnQgb2YgVmV0ZXJhbnMgQWZmYWlycyBDb29wZXJhdGl2ZSBTdHVkaWVzIFByb2dyYW0gaGVhbHRoIHN0dWR5IG9mIGxhbmQtYmFzZWQgVS5TLiBtaWxpdGFyeSBwZXJzb25uZWwgd2hvIHdlcmUgcHJldmlvdXNseSBkZXBsb3llZCB0byB0aGVzZSBjb3VudHJpZXMsIHdlIGRldmVsb3BlZCBhIG5vdmVsIGFwcHJvYWNoIHRvIGVzdGltYXRlIHNwYXRpYWxseSBhbmQgdGVtcG9yYXJpbHkgcmVzb2x2ZWQgZGFpbHkgUE0yLjUgZXhwb3N1cmVzIDIwMDHigJMyMDE4LiBTaW5jZSB2aXNpYmlsaXR5IGlzIHByb3BvcnRpb25hbCB0byBncm91bmQtbGV2ZWwgcGFydGljdWxhdGUgbWF0dGVyIGNvbmNlbnRyYXRpb25zLCB3ZSB3ZXJlIGFibGUgdG8gdGFrZSBhZHZhbnRhZ2Ugb2YgZXh0ZW5zaXZlIGFpcnBvcnQgdmlzaWJpbGl0eSBkYXRhIHRoYXQgYmVjYW1lIGF2YWlsYWJsZSBhcyBhIHJlc3VsdCBvZiByZWdpb25hbCBtaWxpdGFyeSBvcGVyYXRpb25zIG92ZXIgdGhpcyB0aW1lIHBlcmlvZC4gRmlyc3QsIHdlIGNvbWJpbmVkIGEgcmFuZG9tIGZvcmVzdCBtYWNoaW5lIGxlYXJuaW5nIGFuZCBhIGdlbmVyYWxpemVkIGFkZGl0aXZlIG1peGVkIG1vZGVsIHRvIGVzdGltYXRlIGRhaWx5IGhpZ2ggcmVzb2x1dGlvbiAoMSBrbSDDlyAxIGttKSB2aXNpYmlsaXR5IG92ZXIgdGhlIHJlZ2lvbiB1c2luZyBzYXRlbGxpdGUtYmFzZWQgYWVyb3NvbCBvcHRpY2FsIGRlcHRoIChBT0QpIGFuZCBhaXJwb3J0IHZpc2liaWxpdHkgZGF0YS4gVGhlIHNwYXRpYWxseSBhbmQgdGVtcG9yYXJpbHkgcmVzb2x2ZWQgdmlzaWJpbGl0eSBkYXRhIHdlcmUgdGhlbiB1c2VkIHRvIGVzdGltYXRlIFBNMi41IGNvbmNlbnRyYXRpb25zIGZyb20gMjAwMSB0byAyMDE4IGJ5IGNvbnZlcnRpbmcgdmlzaWJpbGl0eSB0byBQTTIuNSB1c2luZyBlbXBpcmljYWwgcmVsYXRpb25zaGlwcyBkZXJpdmVkIGZyb20gYXZhaWxhYmxlIHJlZ2lvbmFsIFBNMi41IG1vbml0b3Jpbmcgc3RhdGlvbnMuIFdlIGFkanVzdGVkIGZvciBzcGF0aWFsbHkgcmVzb2x2ZWQgbWV0ZW9yb2xvZ2ljYWwgcGFyYW1ldGVycywgbGFuZCB1c2UgdmFyaWFibGVzLCBpbmNsdWRpbmcgdGhlIE5vcm1hbGl6ZWQgRGlmZmVyZW5jZSBWZWdldGF0aW9uIEluZGV4LCBhbmQgc2F0ZWxsaXRlLWRlcml2ZWQgZXN0aW1hdGVzIG9mIHN1cmZhY2UgZHVzdCBhcyBhIG1lYXN1cmUgb2Ygc2FuZHN0b3JtIGFjdGl2aXR5LiBDcm9zcyB2YWxpZGF0aW9uIGluZGljYXRlZCBnb29kIG1vZGVsIHByZWRpY3RpdmUgYWJpbGl0eSAoUjIgPSAwLjcxKSwgYW5kIHRoZXJlIHdlcmUgY29uc2lkZXJhYmxlIHNwYXRpYWwgYW5kIHRlbXBvcmFsIGRpZmZlcmVuY2VzIGluIFBNMi41IGFjcm9zcyB0aGUgcmVnaW9uLiBBbm51YWwgYXZlcmFnZSBQTTIuNSBwcmVkaWN0aW9ucyBmb3IgSXJhcSBhbmQgS3V3YWl0IHdlcmUgMzcgYW5kIDQxIM68Zy9tMywgcmVzcGVjdGl2ZWx5LCB3aGljaCBhcmUgZ3JlYXRlciB0aGFuIGN1cnJlbnQgVS5TLiBhbmQgV0hPIHN0YW5kYXJkcy4gUE0yLjUgY29uY2VudHJhdGlvbnMgaW4gbWFueSBVLlMuIGJhc2VzIGFuZCBsYXJnZSBjaXRpZXMgKGUuZy4gQmFnZGFkLCBCYWxhZCwgS3V3YWl0IGNpdHksIEthcmJhbGEsIE5hamFmLCBhbmQgRGl3YW5peWEpIGhhZCBhbm51YWwgYXZlcmFnZSBQTTIuNSBjb25jZW50cmF0aW9ucyBhYm92ZSA0NSDOvGcvbTMgd2l0aCB3ZWVrbHkgYXZlcmFnZXMgYXMgaGlnaCBhcyAxNTAgzrxnL20zIGRlcGVuZGluZyBvbiBjYWxlbmRhciB5ZWFyLiBUaGUgaGlnaGVzdCBhbm51YWwgUE0yLjUgY29uY2VudHJhdGlvbiBmb3IgYm90aCBLdXdhaXQgYW5kIElyYXEgd2VyZSBvYnNlcnZlZCBpbiAyMDA4LCBmb2xsb3dlZCBieSAyMDA5LCB3aGljaCB3YXMgYXNzb2NpYXRlZCB3aXRoIGV4dHJlbWUgZHJvdWdodCBpbiB0aGVzZSB5ZWFycy4gVGhlIGxvd2VzdCBQTTIuNSB2YWx1ZXMgd2VyZSBvYnNlcnZlZCBpbiAyMDE0LiBPbiBhdmVyYWdlLCBKdWx5IGhhZCB0aGUgaGlnaGVzdCBjb25jZW50cmF0aW9ucywgYW5kIE5vdmVtYmVyIGhh4oCmIiwiYXV0aG9yIjpbeyJkcm9wcGluZy1wYXJ0aWNsZSI6IiIsImZhbWlseSI6IkxpIiwiZ2l2ZW4iOiJKaW5nIiwibm9uLWRyb3BwaW5nLXBhcnRpY2xlIjoiIiwicGFyc2UtbmFtZXMiOmZhbHNlLCJzdWZmaXgiOiIifSx7ImRyb3BwaW5nLXBhcnRpY2xlIjoiIiwiZmFtaWx5IjoiR2Fyc2hpY2siLCJnaXZlbiI6IkVyaWMiLCJub24tZHJvcHBpbmctcGFydGljbGUiOiIiLCJwYXJzZS1uYW1lcyI6ZmFsc2UsInN1ZmZpeCI6IiJ9LHsiZHJvcHBpbmctcGFydGljbGUiOiIiLCJmYW1pbHkiOiJIYXJ0IiwiZ2l2ZW4iOiJKYWltZSBFLiIsIm5vbi1kcm9wcGluZy1wYXJ0aWNsZSI6IiIsInBhcnNlLW5hbWVzIjpmYWxzZSwic3VmZml4IjoiIn0seyJkcm9wcGluZy1wYXJ0aWNsZSI6IiIsImZhbWlseSI6IkxpIiwiZ2l2ZW4iOiJMb25neGlhbmciLCJub24tZHJvcHBpbmctcGFydGljbGUiOiIiLCJwYXJzZS1uYW1lcyI6ZmFsc2UsInN1ZmZpeCI6IiJ9LHsiZHJvcHBpbmctcGFydGljbGUiOiIiLCJmYW1pbHkiOiJTaGkiLCJnaXZlbiI6IkxpdWh1YSIsIm5vbi1kcm9wcGluZy1wYXJ0aWNsZSI6IiIsInBhcnNlLW5hbWVzIjpmYWxzZSwic3VmZml4IjoiIn0seyJkcm9wcGluZy1wYXJ0aWNsZSI6IiIsImZhbWlseSI6IkFsLUhlbW91ZCIsImdpdmVuIjoiQWxpIiwibm9uLWRyb3BwaW5nLXBhcnRpY2xlIjoiIiwicGFyc2UtbmFtZXMiOmZhbHNlLCJzdWZmaXgiOiIifSx7ImRyb3BwaW5nLXBhcnRpY2xlIjoiIiwiZmFtaWx5IjoiSHVhbmciLCJnaXZlbiI6IlNoYW9kYW4iLCJub24tZHJvcHBpbmctcGFydGljbGUiOiIiLCJwYXJzZS1uYW1lcyI6ZmFsc2UsInN1ZmZpeCI6IiJ9LHsiZHJvcHBpbmctcGFydGljbGUiOiIiLCJmYW1pbHkiOiJLb3V0cmFraXMiLCJnaXZlbiI6IlBldHJvcyIsIm5vbi1kcm9wcGluZy1wYXJ0aWNsZSI6IiIsInBhcnNlLW5hbWVzIjpmYWxzZSwic3VmZml4IjoiIn1dLCJjb250YWluZXItdGl0bGUiOiJFbnZpcm9ubWVudCBJbnRlcm5hdGlvbmFsIiwiaWQiOiJhOTQxOWY0YS1kNjg5LTMzMmEtYmY0Yy1kYzE2ZWVkYWQ4Y2QiLCJpc3N1ZWQiOnsiZGF0ZS1wYXJ0cyI6W1siMjAyMSIsIjYiLCIxIl1dfSwicGFnZSI6IjEwNjQ0NSIsInB1Ymxpc2hlciI6IlBlcmdhbW9uIiwidGl0bGUiOiJFc3RpbWF0aW9uIG9mIGFtYmllbnQgUE0yLjUgaW4gSXJhcSBhbmQgS3V3YWl0IGZyb20gMjAwMSB0byAyMDE4IHVzaW5nIG1hY2hpbmUgbGVhcm5pbmcgYW5kIHJlbW90ZSBzZW5zaW5nIiwidHlwZSI6ImFydGljbGUtam91cm5hbCIsInZvbHVtZSI6IjE1MSJ9LCJ1cmlzIjpbImh0dHA6Ly93d3cubWVuZGVsZXkuY29tL2RvY3VtZW50cy8/dXVpZD1hOTQxOWY0YS1kNjg5LTMzMmEtYmY0Yy1kYzE2ZWVkYWQ4Y2QiXSwiaXNUZW1wb3JhcnkiOmZhbHNlLCJsZWdhY3lEZXNrdG9wSWQiOiJhOTQxOWY0YS1kNjg5LTMzMmEtYmY0Yy1kYzE2ZWVkYWQ4Y2QifSx7ImlkIjoiZDE1NDgwYjUtOGNkNC0zYzJiLTg4MjItMGIwYjc5OGI2N2QxIiwiaXRlbURhdGEiOnsiRE9JIjoiMTAuMTAyMS9hY3MuZXN0LjliMDMxMDciLCJJU1NOIjoiMTUyMDU4NTEiLCJQTUlEIjoiMzE0MTUxNTQiLCJhYnN0cmFjdCI6Ik5pdHJvZ2VuIGRpb3hpZGUgKE5PMikgcmVtYWlucyBhbiBpbXBvcnRhbnQgdHJhZmZpYy1yZWxhdGVkIHBvbGx1dGFudCBhc3NvY2lhdGVkIHdpdGggYm90aCBzaG9ydC0gQSBuZCBsb25nLXRlcm0gaGVhbHRoIGVmZmVjdHMuIFdlIGFpbSB0byBtb2RlbCBkYWlseSBhdmVyYWdlIE5PMiBjb25jZW50cmF0aW9ucyBpbiBTd2l0emVybGFuZCBpbiBhIG11bHRpc3RhZ2UgZnJhbWV3b3JrIHdpdGggbWl4ZWQtZWZmZWN0IGFuZCByYW5kb20gZm9yZXN0IG1vZGVscyB0byByZXNwZWN0aXZlbHkgZG93bnNjYWxlIHNhdGVsbGl0ZSBtZWFzdXJlbWVudHMgYW5kIGluY29ycG9yYXRlIGxvY2FsIHNvdXJjZXMuIFNwYXRpYWwgYW5kIHRlbXBvcmFsIHByZWRpY3RvciB2YXJpYWJsZXMgaW5jbHVkZSBkYXRhIGZyb20gdGhlIE96b25lIE1vbml0b3JpbmcgSW5zdHJ1bWVudCwgQ29wZXJuaWN1cyBBdG1vc3BoZXJlIE1vbml0b3JpbmcgU2VydmljZSwgbGFuZCB1c2UsIGFuZCBtZXRlb3JvbG9naWNhbCB2YXJpYWJsZXMuIFdlIGRlcml2ZWQgcm9idXN0IG1vZGVscyBleHBsYWluaW5nIMOiNTglIChSMiByYW5nZSwgMC41Ni0wLjY0KSBvZiB0aGUgdmFyaWF0aW9uIGluIG1lYXN1cmVkIE5PMiBjb25jZW50cmF0aW9ucyB1c2luZyBtaXhlZC1lZmZlY3QgbW9kZWxzIGF0IGEgMSDDlyAxIGttIHJlc29sdXRpb24uIFRoZSByYW5kb20gZm9yZXN0IG1vZGVscyBleHBsYWluZWQgw6I3MyUgKFIyIHJhbmdlLCAwLjcwLTAuNzUpIG9mIHRoZSBvdmVyYWxsIHZhcmlhdGlvbiBpbiB0aGUgcmVzaWR1YWxzIGF0IGEgMTAwIMOXIDEwMCBtIHJlc29sdXRpb24uIFRoaXMgaXMgb25lIG9mIHRoZSBmaXJzdCBzdHVkaWVzIHNob3dpbmcgdGhlIHBvdGVudGlhbCBvZiB1c2luZyBlYXJ0aCBvYnNlcnZhdGlvbiBkYXRhIHRvIGRldmVsb3Agcm9idXN0IG1vZGVscyB3aXRoIGZpbmUtc2NhbGUgc3BhdGlhbCAoMTAwIMOXIDEwMCBtKSBhbmQgdGVtcG9yYWwgKGRhaWx5KSB2YXJpYXRpb24gb2YgTk8yIGFjcm9zcyBTd2l0emVybGFuZCBmcm9tIDIwMDUgdG8gMjAxNi4gVGhlIG5vdmVsdHkgb2YgdGhpcyBzdHVkeSBpcyBpbiBkZW1vbnN0cmF0aW5nIHRoYXQgbWV0aG9kcyBvcmlnaW5hbGx5IGRldmVsb3BlZCBmb3IgcGFydGljdWxhdGUgbWF0dGVyIGNhbiBhbHNvIHN1Y2Nlc3NmdWxseSBiZSBhcHBsaWVkIHRvIE5PMi4gVGhlIHByZWRpY3RlZCBOTzIgY29uY2VudHJhdGlvbnMgd2lsbCBiZSBtYWRlIGF2YWlsYWJsZSB0byBmYWNpbGl0YXRlIGhlYWx0aCByZXNlYXJjaCBpbiBTd2l0emVybGFuZC4iLCJhdXRob3IiOlt7ImRyb3BwaW5nLXBhcnRpY2xlIjoiIiwiZmFtaWx5IjoiSG9vZ2giLCJnaXZlbiI6IktlZXMiLCJub24tZHJvcHBpbmctcGFydGljbGUiOiJkZSIsInBhcnNlLW5hbWVzIjpmYWxzZSwic3VmZml4IjoiIn0seyJkcm9wcGluZy1wYXJ0aWNsZSI6IiIsImZhbWlseSI6IlNhdWN5IiwiZ2l2ZW4iOiJBcG9sbGluZSIsIm5vbi1kcm9wcGluZy1wYXJ0aWNsZSI6IiIsInBhcnNlLW5hbWVzIjpmYWxzZSwic3VmZml4IjoiIn0seyJkcm9wcGluZy1wYXJ0aWNsZSI6IiIsImZhbWlseSI6IlNodGVpbiIsImdpdmVuIjoiQWxleGFuZHJhIiwibm9uLWRyb3BwaW5nLXBhcnRpY2xlIjoiIiwicGFyc2UtbmFtZXMiOmZhbHNlLCJzdWZmaXgiOiIifSx7ImRyb3BwaW5nLXBhcnRpY2xlIjoiIiwiZmFtaWx5IjoiU2Nod2FydHoiLCJnaXZlbiI6IkpvZWwiLCJub24tZHJvcHBpbmctcGFydGljbGUiOiIiLCJwYXJzZS1uYW1lcyI6ZmFsc2UsInN1ZmZpeCI6IiJ9LHsiZHJvcHBpbmctcGFydGljbGUiOiIiLCJmYW1pbHkiOiJXZXN0IiwiZ2l2ZW4iOiJFcmluIEEuIiwibm9uLWRyb3BwaW5nLXBhcnRpY2xlIjoiIiwicGFyc2UtbmFtZXMiOmZhbHNlLCJzdWZmaXgiOiIifSx7ImRyb3BwaW5nLXBhcnRpY2xlIjoiIiwiZmFtaWx5IjoiU3RyYXNzbWFubiIsImdpdmVuIjoiQWxleGFuZHJhIiwibm9uLWRyb3BwaW5nLXBhcnRpY2xlIjoiIiwicGFyc2UtbmFtZXMiOmZhbHNlLCJzdWZmaXgiOiIifSx7ImRyb3BwaW5nLXBhcnRpY2xlIjoiIiwiZmFtaWx5IjoiUHVoYW4iLCJnaXZlbiI6Ik1pbG8iLCJub24tZHJvcHBpbmctcGFydGljbGUiOiIiLCJwYXJzZS1uYW1lcyI6ZmFsc2UsInN1ZmZpeCI6IiJ9LHsiZHJvcHBpbmctcGFydGljbGUiOiIiLCJmYW1pbHkiOiJSb8O2c2xpIiwiZ2l2ZW4iOiJNYXJ0aW4iLCJub24tZHJvcHBpbmctcGFydGljbGUiOiIiLCJwYXJzZS1uYW1lcyI6ZmFsc2UsInN1ZmZpeCI6IiJ9LHsiZHJvcHBpbmctcGFydGljbGUiOiIiLCJmYW1pbHkiOiJTdGFmb2dnaWEiLCJnaXZlbiI6Ik1hc3NpbW8iLCJub24tZHJvcHBpbmctcGFydGljbGUiOiIiLCJwYXJzZS1uYW1lcyI6ZmFsc2UsInN1ZmZpeCI6IiJ9LHsiZHJvcHBpbmctcGFydGljbGUiOiIiLCJmYW1pbHkiOiJLbG9vZyIsImdpdmVuIjoiSXRhaSIsIm5vbi1kcm9wcGluZy1wYXJ0aWNsZSI6IiIsInBhcnNlLW5hbWVzIjpmYWxzZSwic3VmZml4IjoiIn1dLCJjb250YWluZXItdGl0bGUiOiJFbnZpcm9ubWVudGFsIFNjaWVuY2UgYW5kIFRlY2hub2xvZ3kiLCJpZCI6ImQxNTQ4MGI1LThjZDQtM2MyYi04ODIyLTBiMGI3OThiNjdkMSIsImlzc3VlIjoiMTciLCJpc3N1ZWQiOnsiZGF0ZS1wYXJ0cyI6W1siMjAxOSIsIjUiLCIyNCJdXX0sInBhZ2UiOiIxMDI3OS0xMDI4NyIsInB1Ymxpc2hlciI6IkFtZXJpY2FuIENoZW1pY2FsIFNvY2lldHkiLCJ0aXRsZSI6IlByZWRpY3RpbmcgRmluZS1TY2FsZSBEYWlseSBOTzIgZm9yIDIwMDUtMjAxNiBJbmNvcnBvcmF0aW5nIE9NSSBTYXRlbGxpdGUgRGF0YSBBY3Jvc3MgU3dpdHplcmxhbmQiLCJ0eXBlIjoiYXJ0aWNsZSIsInZvbHVtZSI6IjUzIn0sInVyaXMiOlsiaHR0cDovL3d3dy5tZW5kZWxleS5jb20vZG9jdW1lbnRzLz91dWlkPWQxNTQ4MGI1LThjZDQtM2MyYi04ODIyLTBiMGI3OThiNjdkMSJdLCJpc1RlbXBvcmFyeSI6ZmFsc2UsImxlZ2FjeURlc2t0b3BJZCI6ImQxNTQ4MGI1LThjZDQtM2MyYi04ODIyLTBiMGI3OThiNjdkMSJ9XSwicHJvcGVydGllcyI6eyJub3RlSW5kZXgiOjB9LCJpc0VkaXRlZCI6ZmFsc2UsIm1hbnVhbE92ZXJyaWRlIjp7ImNpdGVwcm9jVGV4dCI6IihkZSBIb29naCBldCBhbC4sIDIwMTk7IERpIGV0IGFsLiwgMjAyMDsgS2VsbGVyIGV0IGFsLiwgMjAxNTsgS29yZWsgZXQgYWwuLCAyMDE2OyBMaSBldCBhbC4sIDIwMjE7IE1lbmcgZXQgYWwuLCAyMDE1OyBTdGFmb2dnaWEgZXQgYWwuLCAyMDE3OyBZYW5vc2t5IGV0IGFsLiwgMjAxNCkiLCJpc01hbnVhbGx5T3ZlcnJpZGRlbiI6ZmFsc2UsIm1hbnVhbE92ZXJyaWRlVGV4dCI6IiJ9fQ==&quot;},{&quot;citationID&quot;:&quot;MENDELEY_CITATION_7b5ba489-fb2f-4b9a-8dd3-5396194afdd3&quot;,&quot;citationItems&quot;:[{&quot;id&quot;:&quot;5ecb7567-ff6b-3da3-9e62-95fa2dea753b&quot;,&quot;itemData&quot;:{&quot;DOI&quot;:&quot;10.1186/1476-069X-13-63&quot;,&quot;ISSN&quot;:&quot;1476069X&quot;,&quot;PMID&quot;:&quot;25097007&quot;,&quot;abstract&quot;:&quot;Background: Exposure to atmospheric particulate matter (PM) remains an important public health concern, although it remains difficult to quantify accurately across large geographic areas with sufficiently high spatial resolution. Recent epidemiologic analyses have demonstrated the importance of spatially- and temporally-resolved exposure estimates, which show larger PM-mediated health effects as compared to nearest monitor or county-specific ambient concentrations. Methods. We developed generalized additive mixed models that describe regional and small-scale spatial and temporal gradients (and corresponding uncertainties) in monthly mass concentrations of fine (PM2.5), inhalable (PM10), and coarse mode particle mass (PM2.5-10) for the conterminous United States (U.S.). These models expand our previously developed models for the Northeastern and Midwestern U.S. by virtue of their larger spatial domain, their inclusion of an additional 5 years of PM data to develop predictions through 2007, and their use of refined geographic covariates for population density and point-source PM emissions. Covariate selection and model validation were performed using 10-fold cross-validation (CV). Results: The PM2.5 models had high predictive accuracy (CV R2=0.77 for both 1988-1998 and 1999-2007). While model performance remained strong, the predictive ability of models for PM10 (CV R2=0.58 for both 1988-1998 and 1999-2007) and PM2.5-10 (CV R2=0.46 and 0.52 for 1988-1998 and 1999-2007, respectively) was somewhat lower. Regional variation was found in the effects of geographic and meteorological covariates. Models generally performed well in both urban and rural areas and across seasons, though predictive performance varied somewhat by region (CV R2=0.81, 0.81, 0.83, 0.72, 0.69, 0.50, and 0.60 for the Northeast, Midwest, Southeast, Southcentral, Southwest, Northwest, and Central Plains regions, respectively, for PM2.5 from 1999-2007). Conclusions: Our models provide estimates of monthly-average outdoor concentrations of PM2.5, PM10, and PM2.5-10 with high spatial resolution and low bias. Thus, these models are suitable for estimating chronic exposures of populations living in the conterminous U.S. from 1988 to 2007.&quot;,&quot;author&quot;:[{&quot;dropping-particle&quot;:&quot;&quot;,&quot;family&quot;:&quot;Yanosky&quot;,&quot;given&quot;:&quot;Jeff D.&quot;,&quot;non-dropping-particle&quot;:&quot;&quot;,&quot;parse-names&quot;:false,&quot;suffix&quot;:&quot;&quot;},{&quot;dropping-particle&quot;:&quot;&quot;,&quot;family&quot;:&quot;Paciorek&quot;,&quot;given&quot;:&quot;Christopher J.&quot;,&quot;non-dropping-particle&quot;:&quot;&quot;,&quot;parse-names&quot;:false,&quot;suffix&quot;:&quot;&quot;},{&quot;dropping-particle&quot;:&quot;&quot;,&quot;family&quot;:&quot;Laden&quot;,&quot;given&quot;:&quot;Francine&quot;,&quot;non-dropping-particle&quot;:&quot;&quot;,&quot;parse-names&quot;:false,&quot;suffix&quot;:&quot;&quot;},{&quot;dropping-particle&quot;:&quot;&quot;,&quot;family&quot;:&quot;Hart&quot;,&quot;given&quot;:&quot;Jaime E.&quot;,&quot;non-dropping-particle&quot;:&quot;&quot;,&quot;parse-names&quot;:false,&quot;suffix&quot;:&quot;&quot;},{&quot;dropping-particle&quot;:&quot;&quot;,&quot;family&quot;:&quot;Puett&quot;,&quot;given&quot;:&quot;Robin C.&quot;,&quot;non-dropping-particle&quot;:&quot;&quot;,&quot;parse-names&quot;:false,&quot;suffix&quot;:&quot;&quot;},{&quot;dropping-particle&quot;:&quot;&quot;,&quot;family&quot;:&quot;Liao&quot;,&quot;given&quot;:&quot;Duanping&quot;,&quot;non-dropping-particle&quot;:&quot;&quot;,&quot;parse-names&quot;:false,&quot;suffix&quot;:&quot;&quot;},{&quot;dropping-particle&quot;:&quot;&quot;,&quot;family&quot;:&quot;Suh&quot;,&quot;given&quot;:&quot;Helen H.&quot;,&quot;non-dropping-particle&quot;:&quot;&quot;,&quot;parse-names&quot;:false,&quot;suffix&quot;:&quot;&quot;}],&quot;container-title&quot;:&quot;Environmental Health: A Global Access Science Source&quot;,&quot;id&quot;:&quot;5ecb7567-ff6b-3da3-9e62-95fa2dea753b&quot;,&quot;issue&quot;:&quot;1&quot;,&quot;issued&quot;:{&quot;date-parts&quot;:[[&quot;2014&quot;,&quot;8&quot;,&quot;5&quot;]]},&quot;publisher&quot;:&quot;BioMed Central Ltd.&quot;,&quot;title&quot;:&quot;Spatio-temporal modeling of particulate air pollution in the conterminous United States using geographic and meteorological predictors&quot;,&quot;type&quot;:&quot;article-journal&quot;,&quot;volume&quot;:&quot;13&quot;},&quot;uris&quot;:[&quot;http://www.mendeley.com/documents/?uuid=5ecb7567-ff6b-3da3-9e62-95fa2dea753b&quot;],&quot;isTemporary&quot;:false,&quot;legacyDesktopId&quot;:&quot;5ecb7567-ff6b-3da3-9e62-95fa2dea753b&quot;},{&quot;id&quot;:&quot;16de6ebf-d1e0-385e-99f1-a4de295cf0e5&quot;,&quot;itemData&quot;:{&quot;DOI&quot;:&quot;10.1016/j.scitotenv.2008.11.048&quot;,&quot;ISBN&quot;:&quot;0048-9697 (Print)\\n0048-9697 (Linking)&quot;,&quot;ISSN&quot;:&quot;00489697&quot;,&quot;PMID&quot;:&quot;19152957&quot;,&quot;abstract&quot;:&quot;Background: There is a need to understand much more about the geographic variation of air pollutants. This requires the ability to extrapolate from monitoring stations to unsampled locations. The aim was to assess methods to develop accurate and high resolution maps of background air pollution across the EU. Methods: We compared the validity of ordinary kriging, universal kriging and regression mapping in developing EU-wide maps of air pollution on a 1 ?? 1??km resolution. Predictions were made for the year 2001 for nitrogen dioxide (NO2), fine particles &lt; 10????m (PM10), ozone (O3), sulphur dioxide (SO2) and carbon monoxide (CO) using routine monitoring data in Airbase. Predictor variables from EU-wide databases were land use, road traffic, population density, meteorology, altitude, topography and distance to sea. Models were developed for the global, rural and urban scale separately. The best method to model concentrations was selected on the basis of predefined performance measures (R2, Root Mean Square Error (RMSE)). Results: For NO2, PM10 and O3 universal kriging performed better than regression mapping and ordinary kriging. Validation of the final universal kriging estimates with results from all validation sites gave R2-values and RMSE-values of 0.61 and 6.73????g/m3 for NO2; 0.45 and 5.19????g/m3 for PM10; and 0.70 and 7.69????g/m3 for O3. For SO2 and CO none of the three methods was able to provide a satisfactory prediction. Conclusion: Reasonable prediction models were developed for NO2, PM10 and O3 on an EU-wide scale. Our study illustrates that it is possible to develop detailed maps of background air pollution using EU-wide databases. ?? 2008 Elsevier B.V. All rights reserved.&quot;,&quot;author&quot;:[{&quot;dropping-particle&quot;:&quot;&quot;,&quot;family&quot;:&quot;Beelen&quot;,&quot;given&quot;:&quot;Rob&quot;,&quot;non-dropping-particle&quot;:&quot;&quot;,&quot;parse-names&quot;:false,&quot;suffix&quot;:&quot;&quot;},{&quot;dropping-particle&quot;:&quot;&quot;,&quot;family&quot;:&quot;Hoek&quot;,&quot;given&quot;:&quot;Gerard&quot;,&quot;non-dropping-particle&quot;:&quot;&quot;,&quot;parse-names&quot;:false,&quot;suffix&quot;:&quot;&quot;},{&quot;dropping-particle&quot;:&quot;&quot;,&quot;family&quot;:&quot;Pebesma&quot;,&quot;given&quot;:&quot;Edzer&quot;,&quot;non-dropping-particle&quot;:&quot;&quot;,&quot;parse-names&quot;:false,&quot;suffix&quot;:&quot;&quot;},{&quot;dropping-particle&quot;:&quot;&quot;,&quot;family&quot;:&quot;Vienneau&quot;,&quot;given&quot;:&quot;Danielle&quot;,&quot;non-dropping-particle&quot;:&quot;&quot;,&quot;parse-names&quot;:false,&quot;suffix&quot;:&quot;&quot;},{&quot;dropping-particle&quot;:&quot;&quot;,&quot;family&quot;:&quot;Hoogh&quot;,&quot;given&quot;:&quot;Kees&quot;,&quot;non-dropping-particle&quot;:&quot;de&quot;,&quot;parse-names&quot;:false,&quot;suffix&quot;:&quot;&quot;},{&quot;dropping-particle&quot;:&quot;&quot;,&quot;family&quot;:&quot;Briggs&quot;,&quot;given&quot;:&quot;David J&quot;,&quot;non-dropping-particle&quot;:&quot;&quot;,&quot;parse-names&quot;:false,&quot;suffix&quot;:&quot;&quot;}],&quot;container-title&quot;:&quot;Science of the Total Environment&quot;,&quot;id&quot;:&quot;16de6ebf-d1e0-385e-99f1-a4de295cf0e5&quot;,&quot;issue&quot;:&quot;6&quot;,&quot;issued&quot;:{&quot;date-parts&quot;:[[&quot;2009&quot;]]},&quot;page&quot;:&quot;1852-1867&quot;,&quot;title&quot;:&quot;Mapping of background air pollution at a fine spatial scale across the European Union&quot;,&quot;type&quot;:&quot;article-journal&quot;,&quot;volume&quot;:&quot;407&quot;},&quot;uris&quot;:[&quot;http://www.mendeley.com/documents/?uuid=16de6ebf-d1e0-385e-99f1-a4de295cf0e5&quot;],&quot;isTemporary&quot;:false,&quot;legacyDesktopId&quot;:&quot;16de6ebf-d1e0-385e-99f1-a4de295cf0e5&quot;},{&quot;id&quot;:&quot;c47246d9-c100-39eb-b86d-c43115402b6e&quot;,&quot;itemData&quot;:{&quot;DOI&quot;:&quot;10.1021/es405390e&quot;,&quot;ISBN&quot;:&quot;0013-936X\\r1520-5851&quot;,&quot;ISSN&quot;:&quot;ISSN 0013-936X EISSN 1520-5851&quot;,&quot;PMID&quot;:&quot;24621302&quot;,&quot;abstract&quot;:&quot;In recognition that intra-urban exposure gradients may be as large as between-city variations, recent air pollution epidemiologic studies have become increasingly interested in capturing within-city exposure gradients. In addition, because of the rapidly accumulating health data, recent studies also need to handle large study populations distributed over large geographic domains. Even though several modeling approaches have been introduced, a consistent modeling framework capturing within-city exposure variability and applicable to large geographic domains is still missing. To address these needs, we proposed a modeling framework based on the Bayesian Maximum Entropy (BME) method that integrates monitoring data and outputs from existing air quality models based on Land Use Regression (LUR) and Chemical Transport Models (CTM). The framework was applied to estimate the yearly average NO2 concentrations over the region of Catalunya in Spain. By jointly accounting for the global scale variability in the concentration from the output of CTM and the intra-urban scale variability through LUR model output, the proposed framework outperformed more conventional approaches.&quot;,&quot;author&quot;:[{&quot;dropping-particle&quot;:&quot;&quot;,&quot;family&quot;:&quot;Akita&quot;,&quot;given&quot;:&quot;Y&quot;,&quot;non-dropping-particle&quot;:&quot;&quot;,&quot;parse-names&quot;:false,&quot;suffix&quot;:&quot;&quot;},{&quot;dropping-particle&quot;:&quot;&quot;,&quot;family&quot;:&quot;Baldasano&quot;,&quot;given&quot;:&quot;J M&quot;,&quot;non-dropping-particle&quot;:&quot;&quot;,&quot;parse-names&quot;:false,&quot;suffix&quot;:&quot;&quot;},{&quot;dropping-particle&quot;:&quot;&quot;,&quot;family&quot;:&quot;Beelen&quot;,&quot;given&quot;:&quot;Rob&quot;,&quot;non-dropping-particle&quot;:&quot;&quot;,&quot;parse-names&quot;:false,&quot;suffix&quot;:&quot;&quot;},{&quot;dropping-particle&quot;:&quot;&quot;,&quot;family&quot;:&quot;Cirach&quot;,&quot;given&quot;:&quot;M&quot;,&quot;non-dropping-particle&quot;:&quot;&quot;,&quot;parse-names&quot;:false,&quot;suffix&quot;:&quot;&quot;},{&quot;dropping-particle&quot;:&quot;&quot;,&quot;family&quot;:&quot;Hoogh&quot;,&quot;given&quot;:&quot;Kees&quot;,&quot;non-dropping-particle&quot;:&quot;de&quot;,&quot;parse-names&quot;:false,&quot;suffix&quot;:&quot;&quot;},{&quot;dropping-particle&quot;:&quot;&quot;,&quot;family&quot;:&quot;Hoek&quot;,&quot;given&quot;:&quot;Gerard&quot;,&quot;non-dropping-particle&quot;:&quot;&quot;,&quot;parse-names&quot;:false,&quot;suffix&quot;:&quot;&quot;},{&quot;dropping-particle&quot;:&quot;&quot;,&quot;family&quot;:&quot;Nieuwenhuijsen&quot;,&quot;given&quot;:&quot;Mark&quot;,&quot;non-dropping-particle&quot;:&quot;&quot;,&quot;parse-names&quot;:false,&quot;suffix&quot;:&quot;&quot;},{&quot;dropping-particle&quot;:&quot;&quot;,&quot;family&quot;:&quot;Serre&quot;,&quot;given&quot;:&quot;M L&quot;,&quot;non-dropping-particle&quot;:&quot;&quot;,&quot;parse-names&quot;:false,&quot;suffix&quot;:&quot;&quot;},{&quot;dropping-particle&quot;:&quot;&quot;,&quot;family&quot;:&quot;Nazelle&quot;,&quot;given&quot;:&quot;Audrey&quot;,&quot;non-dropping-particle&quot;:&quot;de&quot;,&quot;parse-names&quot;:false,&quot;suffix&quot;:&quot;&quot;}],&quot;container-title&quot;:&quot;Environmental Science and Technology&quot;,&quot;id&quot;:&quot;c47246d9-c100-39eb-b86d-c43115402b6e&quot;,&quot;issued&quot;:{&quot;date-parts&quot;:[[&quot;2014&quot;]]},&quot;page&quot;:&quot;4452-4459&quot;,&quot;title&quot;:&quot;A large scale air pollution estimation method combining Land Use Regression and Chemical Transport Modeling in a geostatistical framework&quot;,&quot;type&quot;:&quot;article-journal&quot;,&quot;volume&quot;:&quot;48&quot;},&quot;uris&quot;:[&quot;http://www.mendeley.com/documents/?uuid=2f6abcf0-5644-4bc7-b983-2e49811aaf6a&quot;],&quot;isTemporary&quot;:false,&quot;legacyDesktopId&quot;:&quot;2f6abcf0-5644-4bc7-b983-2e49811aaf6a&quot;}],&quot;properties&quot;:{&quot;noteIndex&quot;:0},&quot;isEdited&quot;:false,&quot;manualOverride&quot;:{&quot;citeprocText&quot;:&quot;(Akita et al., 2014; Beelen et al., 2009; Yanosky et al., 2014)&quot;,&quot;isManuallyOverridden&quot;:false,&quot;manualOverrideText&quot;:&quot;&quot;},&quot;citationTag&quot;:&quot;MENDELEY_CITATION_v3_eyJjaXRhdGlvbklEIjoiTUVOREVMRVlfQ0lUQVRJT05fN2I1YmE0ODktZmIyZi00YjlhLThkZDMtNTM5NjE5NGFmZGQzIiwiY2l0YXRpb25JdGVtcyI6W3siaWQiOiI1ZWNiNzU2Ny1mZjZiLTNkYTMtOWU2Mi05NWZhMmRlYTc1M2IiLCJpdGVtRGF0YSI6eyJET0kiOiIxMC4xMTg2LzE0NzYtMDY5WC0xMy02MyIsIklTU04iOiIxNDc2MDY5WCIsIlBNSUQiOiIyNTA5NzAwNyIsImFic3RyYWN0IjoiQmFja2dyb3VuZDogRXhwb3N1cmUgdG8gYXRtb3NwaGVyaWMgcGFydGljdWxhdGUgbWF0dGVyIChQTSkgcmVtYWlucyBhbiBpbXBvcnRhbnQgcHVibGljIGhlYWx0aCBjb25jZXJuLCBhbHRob3VnaCBpdCByZW1haW5zIGRpZmZpY3VsdCB0byBxdWFudGlmeSBhY2N1cmF0ZWx5IGFjcm9zcyBsYXJnZSBnZW9ncmFwaGljIGFyZWFzIHdpdGggc3VmZmljaWVudGx5IGhpZ2ggc3BhdGlhbCByZXNvbHV0aW9uLiBSZWNlbnQgZXBpZGVtaW9sb2dpYyBhbmFseXNlcyBoYXZlIGRlbW9uc3RyYXRlZCB0aGUgaW1wb3J0YW5jZSBvZiBzcGF0aWFsbHktIGFuZCB0ZW1wb3JhbGx5LXJlc29sdmVkIGV4cG9zdXJlIGVzdGltYXRlcywgd2hpY2ggc2hvdyBsYXJnZXIgUE0tbWVkaWF0ZWQgaGVhbHRoIGVmZmVjdHMgYXMgY29tcGFyZWQgdG8gbmVhcmVzdCBtb25pdG9yIG9yIGNvdW50eS1zcGVjaWZpYyBhbWJpZW50IGNvbmNlbnRyYXRpb25zLiBNZXRob2RzLiBXZSBkZXZlbG9wZWQgZ2VuZXJhbGl6ZWQgYWRkaXRpdmUgbWl4ZWQgbW9kZWxzIHRoYXQgZGVzY3JpYmUgcmVnaW9uYWwgYW5kIHNtYWxsLXNjYWxlIHNwYXRpYWwgYW5kIHRlbXBvcmFsIGdyYWRpZW50cyAoYW5kIGNvcnJlc3BvbmRpbmcgdW5jZXJ0YWludGllcykgaW4gbW9udGhseSBtYXNzIGNvbmNlbnRyYXRpb25zIG9mIGZpbmUgKFBNMi41KSwgaW5oYWxhYmxlIChQTTEwKSwgYW5kIGNvYXJzZSBtb2RlIHBhcnRpY2xlIG1hc3MgKFBNMi41LTEwKSBmb3IgdGhlIGNvbnRlcm1pbm91cyBVbml0ZWQgU3RhdGVzIChVLlMuKS4gVGhlc2UgbW9kZWxzIGV4cGFuZCBvdXIgcHJldmlvdXNseSBkZXZlbG9wZWQgbW9kZWxzIGZvciB0aGUgTm9ydGhlYXN0ZXJuIGFuZCBNaWR3ZXN0ZXJuIFUuUy4gYnkgdmlydHVlIG9mIHRoZWlyIGxhcmdlciBzcGF0aWFsIGRvbWFpbiwgdGhlaXIgaW5jbHVzaW9uIG9mIGFuIGFkZGl0aW9uYWwgNSB5ZWFycyBvZiBQTSBkYXRhIHRvIGRldmVsb3AgcHJlZGljdGlvbnMgdGhyb3VnaCAyMDA3LCBhbmQgdGhlaXIgdXNlIG9mIHJlZmluZWQgZ2VvZ3JhcGhpYyBjb3ZhcmlhdGVzIGZvciBwb3B1bGF0aW9uIGRlbnNpdHkgYW5kIHBvaW50LXNvdXJjZSBQTSBlbWlzc2lvbnMuIENvdmFyaWF0ZSBzZWxlY3Rpb24gYW5kIG1vZGVsIHZhbGlkYXRpb24gd2VyZSBwZXJmb3JtZWQgdXNpbmcgMTAtZm9sZCBjcm9zcy12YWxpZGF0aW9uIChDVikuIFJlc3VsdHM6IFRoZSBQTTIuNSBtb2RlbHMgaGFkIGhpZ2ggcHJlZGljdGl2ZSBhY2N1cmFjeSAoQ1YgUjI9MC43NyBmb3IgYm90aCAxOTg4LTE5OTggYW5kIDE5OTktMjAwNykuIFdoaWxlIG1vZGVsIHBlcmZvcm1hbmNlIHJlbWFpbmVkIHN0cm9uZywgdGhlIHByZWRpY3RpdmUgYWJpbGl0eSBvZiBtb2RlbHMgZm9yIFBNMTAgKENWIFIyPTAuNTggZm9yIGJvdGggMTk4OC0xOTk4IGFuZCAxOTk5LTIwMDcpIGFuZCBQTTIuNS0xMCAoQ1YgUjI9MC40NiBhbmQgMC41MiBmb3IgMTk4OC0xOTk4IGFuZCAxOTk5LTIwMDcsIHJlc3BlY3RpdmVseSkgd2FzIHNvbWV3aGF0IGxvd2VyLiBSZWdpb25hbCB2YXJpYXRpb24gd2FzIGZvdW5kIGluIHRoZSBlZmZlY3RzIG9mIGdlb2dyYXBoaWMgYW5kIG1ldGVvcm9sb2dpY2FsIGNvdmFyaWF0ZXMuIE1vZGVscyBnZW5lcmFsbHkgcGVyZm9ybWVkIHdlbGwgaW4gYm90aCB1cmJhbiBhbmQgcnVyYWwgYXJlYXMgYW5kIGFjcm9zcyBzZWFzb25zLCB0aG91Z2ggcHJlZGljdGl2ZSBwZXJmb3JtYW5jZSB2YXJpZWQgc29tZXdoYXQgYnkgcmVnaW9uIChDViBSMj0wLjgxLCAwLjgxLCAwLjgzLCAwLjcyLCAwLjY5LCAwLjUwLCBhbmQgMC42MCBmb3IgdGhlIE5vcnRoZWFzdCwgTWlkd2VzdCwgU291dGhlYXN0LCBTb3V0aGNlbnRyYWwsIFNvdXRod2VzdCwgTm9ydGh3ZXN0LCBhbmQgQ2VudHJhbCBQbGFpbnMgcmVnaW9ucywgcmVzcGVjdGl2ZWx5LCBmb3IgUE0yLjUgZnJvbSAxOTk5LTIwMDcpLiBDb25jbHVzaW9uczogT3VyIG1vZGVscyBwcm92aWRlIGVzdGltYXRlcyBvZiBtb250aGx5LWF2ZXJhZ2Ugb3V0ZG9vciBjb25jZW50cmF0aW9ucyBvZiBQTTIuNSwgUE0xMCwgYW5kIFBNMi41LTEwIHdpdGggaGlnaCBzcGF0aWFsIHJlc29sdXRpb24gYW5kIGxvdyBiaWFzLiBUaHVzLCB0aGVzZSBtb2RlbHMgYXJlIHN1aXRhYmxlIGZvciBlc3RpbWF0aW5nIGNocm9uaWMgZXhwb3N1cmVzIG9mIHBvcHVsYXRpb25zIGxpdmluZyBpbiB0aGUgY29udGVybWlub3VzIFUuUy4gZnJvbSAxOTg4IHRvIDIwMDcuIiwiYXV0aG9yIjpbeyJkcm9wcGluZy1wYXJ0aWNsZSI6IiIsImZhbWlseSI6Illhbm9za3kiLCJnaXZlbiI6IkplZmYgRC4iLCJub24tZHJvcHBpbmctcGFydGljbGUiOiIiLCJwYXJzZS1uYW1lcyI6ZmFsc2UsInN1ZmZpeCI6IiJ9LHsiZHJvcHBpbmctcGFydGljbGUiOiIiLCJmYW1pbHkiOiJQYWNpb3JlayIsImdpdmVuIjoiQ2hyaXN0b3BoZXIgSi4iLCJub24tZHJvcHBpbmctcGFydGljbGUiOiIiLCJwYXJzZS1uYW1lcyI6ZmFsc2UsInN1ZmZpeCI6IiJ9LHsiZHJvcHBpbmctcGFydGljbGUiOiIiLCJmYW1pbHkiOiJMYWRlbiIsImdpdmVuIjoiRnJhbmNpbmUiLCJub24tZHJvcHBpbmctcGFydGljbGUiOiIiLCJwYXJzZS1uYW1lcyI6ZmFsc2UsInN1ZmZpeCI6IiJ9LHsiZHJvcHBpbmctcGFydGljbGUiOiIiLCJmYW1pbHkiOiJIYXJ0IiwiZ2l2ZW4iOiJKYWltZSBFLiIsIm5vbi1kcm9wcGluZy1wYXJ0aWNsZSI6IiIsInBhcnNlLW5hbWVzIjpmYWxzZSwic3VmZml4IjoiIn0seyJkcm9wcGluZy1wYXJ0aWNsZSI6IiIsImZhbWlseSI6IlB1ZXR0IiwiZ2l2ZW4iOiJSb2JpbiBDLiIsIm5vbi1kcm9wcGluZy1wYXJ0aWNsZSI6IiIsInBhcnNlLW5hbWVzIjpmYWxzZSwic3VmZml4IjoiIn0seyJkcm9wcGluZy1wYXJ0aWNsZSI6IiIsImZhbWlseSI6IkxpYW8iLCJnaXZlbiI6IkR1YW5waW5nIiwibm9uLWRyb3BwaW5nLXBhcnRpY2xlIjoiIiwicGFyc2UtbmFtZXMiOmZhbHNlLCJzdWZmaXgiOiIifSx7ImRyb3BwaW5nLXBhcnRpY2xlIjoiIiwiZmFtaWx5IjoiU3VoIiwiZ2l2ZW4iOiJIZWxlbiBILiIsIm5vbi1kcm9wcGluZy1wYXJ0aWNsZSI6IiIsInBhcnNlLW5hbWVzIjpmYWxzZSwic3VmZml4IjoiIn1dLCJjb250YWluZXItdGl0bGUiOiJFbnZpcm9ubWVudGFsIEhlYWx0aDogQSBHbG9iYWwgQWNjZXNzIFNjaWVuY2UgU291cmNlIiwiaWQiOiI1ZWNiNzU2Ny1mZjZiLTNkYTMtOWU2Mi05NWZhMmRlYTc1M2IiLCJpc3N1ZSI6IjEiLCJpc3N1ZWQiOnsiZGF0ZS1wYXJ0cyI6W1siMjAxNCIsIjgiLCI1Il1dfSwicHVibGlzaGVyIjoiQmlvTWVkIENlbnRyYWwgTHRkLiIsInRpdGxlIjoiU3BhdGlvLXRlbXBvcmFsIG1vZGVsaW5nIG9mIHBhcnRpY3VsYXRlIGFpciBwb2xsdXRpb24gaW4gdGhlIGNvbnRlcm1pbm91cyBVbml0ZWQgU3RhdGVzIHVzaW5nIGdlb2dyYXBoaWMgYW5kIG1ldGVvcm9sb2dpY2FsIHByZWRpY3RvcnMiLCJ0eXBlIjoiYXJ0aWNsZS1qb3VybmFsIiwidm9sdW1lIjoiMTMifSwidXJpcyI6WyJodHRwOi8vd3d3Lm1lbmRlbGV5LmNvbS9kb2N1bWVudHMvP3V1aWQ9NWVjYjc1NjctZmY2Yi0zZGEzLTllNjItOTVmYTJkZWE3NTNiIl0sImlzVGVtcG9yYXJ5IjpmYWxzZSwibGVnYWN5RGVza3RvcElkIjoiNWVjYjc1NjctZmY2Yi0zZGEzLTllNjItOTVmYTJkZWE3NTNiIn0seyJpZCI6IjE2ZGU2ZWJmLWQxZTAtMzg1ZS05OWYxLWE0ZGUyOTVjZjBlNSIsIml0ZW1EYXRhIjp7IkRPSSI6IjEwLjEwMTYvai5zY2l0b3RlbnYuMjAwOC4xMS4wNDgiLCJJU0JOIjoiMDA0OC05Njk3IChQcmludClcXG4wMDQ4LTk2OTcgKExpbmtpbmcpIiwiSVNTTiI6IjAwNDg5Njk3IiwiUE1JRCI6IjE5MTUyOTU3IiwiYWJzdHJhY3QiOiJCYWNrZ3JvdW5kOiBUaGVyZSBpcyBhIG5lZWQgdG8gdW5kZXJzdGFuZCBtdWNoIG1vcmUgYWJvdXQgdGhlIGdlb2dyYXBoaWMgdmFyaWF0aW9uIG9mIGFpciBwb2xsdXRhbnRzLiBUaGlzIHJlcXVpcmVzIHRoZSBhYmlsaXR5IHRvIGV4dHJhcG9sYXRlIGZyb20gbW9uaXRvcmluZyBzdGF0aW9ucyB0byB1bnNhbXBsZWQgbG9jYXRpb25zLiBUaGUgYWltIHdhcyB0byBhc3Nlc3MgbWV0aG9kcyB0byBkZXZlbG9wIGFjY3VyYXRlIGFuZCBoaWdoIHJlc29sdXRpb24gbWFwcyBvZiBiYWNrZ3JvdW5kIGFpciBwb2xsdXRpb24gYWNyb3NzIHRoZSBFVS4gTWV0aG9kczogV2UgY29tcGFyZWQgdGhlIHZhbGlkaXR5IG9mIG9yZGluYXJ5IGtyaWdpbmcsIHVuaXZlcnNhbCBrcmlnaW5nIGFuZCByZWdyZXNzaW9uIG1hcHBpbmcgaW4gZGV2ZWxvcGluZyBFVS13aWRlIG1hcHMgb2YgYWlyIHBvbGx1dGlvbiBvbiBhIDEgPz8gMT8/a20gcmVzb2x1dGlvbi4gUHJlZGljdGlvbnMgd2VyZSBtYWRlIGZvciB0aGUgeWVhciAyMDAxIGZvciBuaXRyb2dlbiBkaW94aWRlIChOTzIpLCBmaW5lIHBhcnRpY2xlcyA8IDEwPz8/P20gKFBNMTApLCBvem9uZSAoTzMpLCBzdWxwaHVyIGRpb3hpZGUgKFNPMikgYW5kIGNhcmJvbiBtb25veGlkZSAoQ08pIHVzaW5nIHJvdXRpbmUgbW9uaXRvcmluZyBkYXRhIGluIEFpcmJhc2UuIFByZWRpY3RvciB2YXJpYWJsZXMgZnJvbSBFVS13aWRlIGRhdGFiYXNlcyB3ZXJlIGxhbmQgdXNlLCByb2FkIHRyYWZmaWMsIHBvcHVsYXRpb24gZGVuc2l0eSwgbWV0ZW9yb2xvZ3ksIGFsdGl0dWRlLCB0b3BvZ3JhcGh5IGFuZCBkaXN0YW5jZSB0byBzZWEuIE1vZGVscyB3ZXJlIGRldmVsb3BlZCBmb3IgdGhlIGdsb2JhbCwgcnVyYWwgYW5kIHVyYmFuIHNjYWxlIHNlcGFyYXRlbHkuIFRoZSBiZXN0IG1ldGhvZCB0byBtb2RlbCBjb25jZW50cmF0aW9ucyB3YXMgc2VsZWN0ZWQgb24gdGhlIGJhc2lzIG9mIHByZWRlZmluZWQgcGVyZm9ybWFuY2UgbWVhc3VyZXMgKFIyLCBSb290IE1lYW4gU3F1YXJlIEVycm9yIChSTVNFKSkuIFJlc3VsdHM6IEZvciBOTzIsIFBNMTAgYW5kIE8zIHVuaXZlcnNhbCBrcmlnaW5nIHBlcmZvcm1lZCBiZXR0ZXIgdGhhbiByZWdyZXNzaW9uIG1hcHBpbmcgYW5kIG9yZGluYXJ5IGtyaWdpbmcuIFZhbGlkYXRpb24gb2YgdGhlIGZpbmFsIHVuaXZlcnNhbCBrcmlnaW5nIGVzdGltYXRlcyB3aXRoIHJlc3VsdHMgZnJvbSBhbGwgdmFsaWRhdGlvbiBzaXRlcyBnYXZlIFIyLXZhbHVlcyBhbmQgUk1TRS12YWx1ZXMgb2YgMC42MSBhbmQgNi43Mz8/Pz9nL20zIGZvciBOTzI7IDAuNDUgYW5kIDUuMTk/Pz8/Zy9tMyBmb3IgUE0xMDsgYW5kIDAuNzAgYW5kIDcuNjk/Pz8/Zy9tMyBmb3IgTzMuIEZvciBTTzIgYW5kIENPIG5vbmUgb2YgdGhlIHRocmVlIG1ldGhvZHMgd2FzIGFibGUgdG8gcHJvdmlkZSBhIHNhdGlzZmFjdG9yeSBwcmVkaWN0aW9uLiBDb25jbHVzaW9uOiBSZWFzb25hYmxlIHByZWRpY3Rpb24gbW9kZWxzIHdlcmUgZGV2ZWxvcGVkIGZvciBOTzIsIFBNMTAgYW5kIE8zIG9uIGFuIEVVLXdpZGUgc2NhbGUuIE91ciBzdHVkeSBpbGx1c3RyYXRlcyB0aGF0IGl0IGlzIHBvc3NpYmxlIHRvIGRldmVsb3AgZGV0YWlsZWQgbWFwcyBvZiBiYWNrZ3JvdW5kIGFpciBwb2xsdXRpb24gdXNpbmcgRVUtd2lkZSBkYXRhYmFzZXMuID8/IDIwMDggRWxzZXZpZXIgQi5WLiBBbGwgcmlnaHRzIHJlc2VydmVkLiIsImF1dGhvciI6W3siZHJvcHBpbmctcGFydGljbGUiOiIiLCJmYW1pbHkiOiJCZWVsZW4iLCJnaXZlbiI6IlJvYiIsIm5vbi1kcm9wcGluZy1wYXJ0aWNsZSI6IiIsInBhcnNlLW5hbWVzIjpmYWxzZSwic3VmZml4IjoiIn0seyJkcm9wcGluZy1wYXJ0aWNsZSI6IiIsImZhbWlseSI6IkhvZWsiLCJnaXZlbiI6IkdlcmFyZCIsIm5vbi1kcm9wcGluZy1wYXJ0aWNsZSI6IiIsInBhcnNlLW5hbWVzIjpmYWxzZSwic3VmZml4IjoiIn0seyJkcm9wcGluZy1wYXJ0aWNsZSI6IiIsImZhbWlseSI6IlBlYmVzbWEiLCJnaXZlbiI6IkVkemVyIiwibm9uLWRyb3BwaW5nLXBhcnRpY2xlIjoiIiwicGFyc2UtbmFtZXMiOmZhbHNlLCJzdWZmaXgiOiIifSx7ImRyb3BwaW5nLXBhcnRpY2xlIjoiIiwiZmFtaWx5IjoiVmllbm5lYXUiLCJnaXZlbiI6IkRhbmllbGxlIiwibm9uLWRyb3BwaW5nLXBhcnRpY2xlIjoiIiwicGFyc2UtbmFtZXMiOmZhbHNlLCJzdWZmaXgiOiIifSx7ImRyb3BwaW5nLXBhcnRpY2xlIjoiIiwiZmFtaWx5IjoiSG9vZ2giLCJnaXZlbiI6IktlZXMiLCJub24tZHJvcHBpbmctcGFydGljbGUiOiJkZSIsInBhcnNlLW5hbWVzIjpmYWxzZSwic3VmZml4IjoiIn0seyJkcm9wcGluZy1wYXJ0aWNsZSI6IiIsImZhbWlseSI6IkJyaWdncyIsImdpdmVuIjoiRGF2aWQgSiIsIm5vbi1kcm9wcGluZy1wYXJ0aWNsZSI6IiIsInBhcnNlLW5hbWVzIjpmYWxzZSwic3VmZml4IjoiIn1dLCJjb250YWluZXItdGl0bGUiOiJTY2llbmNlIG9mIHRoZSBUb3RhbCBFbnZpcm9ubWVudCIsImlkIjoiMTZkZTZlYmYtZDFlMC0zODVlLTk5ZjEtYTRkZTI5NWNmMGU1IiwiaXNzdWUiOiI2IiwiaXNzdWVkIjp7ImRhdGUtcGFydHMiOltbIjIwMDkiXV19LCJwYWdlIjoiMTg1Mi0xODY3IiwidGl0bGUiOiJNYXBwaW5nIG9mIGJhY2tncm91bmQgYWlyIHBvbGx1dGlvbiBhdCBhIGZpbmUgc3BhdGlhbCBzY2FsZSBhY3Jvc3MgdGhlIEV1cm9wZWFuIFVuaW9uIiwidHlwZSI6ImFydGljbGUtam91cm5hbCIsInZvbHVtZSI6IjQwNyJ9LCJ1cmlzIjpbImh0dHA6Ly93d3cubWVuZGVsZXkuY29tL2RvY3VtZW50cy8/dXVpZD0xNmRlNmViZi1kMWUwLTM4NWUtOTlmMS1hNGRlMjk1Y2YwZTUiXSwiaXNUZW1wb3JhcnkiOmZhbHNlLCJsZWdhY3lEZXNrdG9wSWQiOiIxNmRlNmViZi1kMWUwLTM4NWUtOTlmMS1hNGRlMjk1Y2YwZTUifSx7ImlkIjoiYzQ3MjQ2ZDktYzEwMC0zOWViLWI4NmQtYzQzMTE1NDAyYjZlIiwiaXRlbURhdGEiOnsiRE9JIjoiMTAuMTAyMS9lczQwNTM5MGUiLCJJU0JOIjoiMDAxMy05MzZYXFxyMTUyMC01ODUxIiwiSVNTTiI6IklTU04gMDAxMy05MzZYIEVJU1NOIDE1MjAtNTg1MSIsIlBNSUQiOiIyNDYyMTMwMiIsImFic3RyYWN0IjoiSW4gcmVjb2duaXRpb24gdGhhdCBpbnRyYS11cmJhbiBleHBvc3VyZSBncmFkaWVudHMgbWF5IGJlIGFzIGxhcmdlIGFzIGJldHdlZW4tY2l0eSB2YXJpYXRpb25zLCByZWNlbnQgYWlyIHBvbGx1dGlvbiBlcGlkZW1pb2xvZ2ljIHN0dWRpZXMgaGF2ZSBiZWNvbWUgaW5jcmVhc2luZ2x5IGludGVyZXN0ZWQgaW4gY2FwdHVyaW5nIHdpdGhpbi1jaXR5IGV4cG9zdXJlIGdyYWRpZW50cy4gSW4gYWRkaXRpb24sIGJlY2F1c2Ugb2YgdGhlIHJhcGlkbHkgYWNjdW11bGF0aW5nIGhlYWx0aCBkYXRhLCByZWNlbnQgc3R1ZGllcyBhbHNvIG5lZWQgdG8gaGFuZGxlIGxhcmdlIHN0dWR5IHBvcHVsYXRpb25zIGRpc3RyaWJ1dGVkIG92ZXIgbGFyZ2UgZ2VvZ3JhcGhpYyBkb21haW5zLiBFdmVuIHRob3VnaCBzZXZlcmFsIG1vZGVsaW5nIGFwcHJvYWNoZXMgaGF2ZSBiZWVuIGludHJvZHVjZWQsIGEgY29uc2lzdGVudCBtb2RlbGluZyBmcmFtZXdvcmsgY2FwdHVyaW5nIHdpdGhpbi1jaXR5IGV4cG9zdXJlIHZhcmlhYmlsaXR5IGFuZCBhcHBsaWNhYmxlIHRvIGxhcmdlIGdlb2dyYXBoaWMgZG9tYWlucyBpcyBzdGlsbCBtaXNzaW5nLiBUbyBhZGRyZXNzIHRoZXNlIG5lZWRzLCB3ZSBwcm9wb3NlZCBhIG1vZGVsaW5nIGZyYW1ld29yayBiYXNlZCBvbiB0aGUgQmF5ZXNpYW4gTWF4aW11bSBFbnRyb3B5IChCTUUpIG1ldGhvZCB0aGF0IGludGVncmF0ZXMgbW9uaXRvcmluZyBkYXRhIGFuZCBvdXRwdXRzIGZyb20gZXhpc3RpbmcgYWlyIHF1YWxpdHkgbW9kZWxzIGJhc2VkIG9uIExhbmQgVXNlIFJlZ3Jlc3Npb24gKExVUikgYW5kIENoZW1pY2FsIFRyYW5zcG9ydCBNb2RlbHMgKENUTSkuIFRoZSBmcmFtZXdvcmsgd2FzIGFwcGxpZWQgdG8gZXN0aW1hdGUgdGhlIHllYXJseSBhdmVyYWdlIE5PMiBjb25jZW50cmF0aW9ucyBvdmVyIHRoZSByZWdpb24gb2YgQ2F0YWx1bnlhIGluIFNwYWluLiBCeSBqb2ludGx5IGFjY291bnRpbmcgZm9yIHRoZSBnbG9iYWwgc2NhbGUgdmFyaWFiaWxpdHkgaW4gdGhlIGNvbmNlbnRyYXRpb24gZnJvbSB0aGUgb3V0cHV0IG9mIENUTSBhbmQgdGhlIGludHJhLXVyYmFuIHNjYWxlIHZhcmlhYmlsaXR5IHRocm91Z2ggTFVSIG1vZGVsIG91dHB1dCwgdGhlIHByb3Bvc2VkIGZyYW1ld29yayBvdXRwZXJmb3JtZWQgbW9yZSBjb252ZW50aW9uYWwgYXBwcm9hY2hlcy4iLCJhdXRob3IiOlt7ImRyb3BwaW5nLXBhcnRpY2xlIjoiIiwiZmFtaWx5IjoiQWtpdGEiLCJnaXZlbiI6IlkiLCJub24tZHJvcHBpbmctcGFydGljbGUiOiIiLCJwYXJzZS1uYW1lcyI6ZmFsc2UsInN1ZmZpeCI6IiJ9LHsiZHJvcHBpbmctcGFydGljbGUiOiIiLCJmYW1pbHkiOiJCYWxkYXNhbm8iLCJnaXZlbiI6IkogTSIsIm5vbi1kcm9wcGluZy1wYXJ0aWNsZSI6IiIsInBhcnNlLW5hbWVzIjpmYWxzZSwic3VmZml4IjoiIn0seyJkcm9wcGluZy1wYXJ0aWNsZSI6IiIsImZhbWlseSI6IkJlZWxlbiIsImdpdmVuIjoiUm9iIiwibm9uLWRyb3BwaW5nLXBhcnRpY2xlIjoiIiwicGFyc2UtbmFtZXMiOmZhbHNlLCJzdWZmaXgiOiIifSx7ImRyb3BwaW5nLXBhcnRpY2xlIjoiIiwiZmFtaWx5IjoiQ2lyYWNoIiwiZ2l2ZW4iOiJNIiwibm9uLWRyb3BwaW5nLXBhcnRpY2xlIjoiIiwicGFyc2UtbmFtZXMiOmZhbHNlLCJzdWZmaXgiOiIifSx7ImRyb3BwaW5nLXBhcnRpY2xlIjoiIiwiZmFtaWx5IjoiSG9vZ2giLCJnaXZlbiI6IktlZXMiLCJub24tZHJvcHBpbmctcGFydGljbGUiOiJkZSIsInBhcnNlLW5hbWVzIjpmYWxzZSwic3VmZml4IjoiIn0seyJkcm9wcGluZy1wYXJ0aWNsZSI6IiIsImZhbWlseSI6IkhvZWsiLCJnaXZlbiI6IkdlcmFyZCIsIm5vbi1kcm9wcGluZy1wYXJ0aWNsZSI6IiIsInBhcnNlLW5hbWVzIjpmYWxzZSwic3VmZml4IjoiIn0seyJkcm9wcGluZy1wYXJ0aWNsZSI6IiIsImZhbWlseSI6Ik5pZXV3ZW5odWlqc2VuIiwiZ2l2ZW4iOiJNYXJrIiwibm9uLWRyb3BwaW5nLXBhcnRpY2xlIjoiIiwicGFyc2UtbmFtZXMiOmZhbHNlLCJzdWZmaXgiOiIifSx7ImRyb3BwaW5nLXBhcnRpY2xlIjoiIiwiZmFtaWx5IjoiU2VycmUiLCJnaXZlbiI6Ik0gTCIsIm5vbi1kcm9wcGluZy1wYXJ0aWNsZSI6IiIsInBhcnNlLW5hbWVzIjpmYWxzZSwic3VmZml4IjoiIn0seyJkcm9wcGluZy1wYXJ0aWNsZSI6IiIsImZhbWlseSI6Ik5hemVsbGUiLCJnaXZlbiI6IkF1ZHJleSIsIm5vbi1kcm9wcGluZy1wYXJ0aWNsZSI6ImRlIiwicGFyc2UtbmFtZXMiOmZhbHNlLCJzdWZmaXgiOiIifV0sImNvbnRhaW5lci10aXRsZSI6IkVudmlyb25tZW50YWwgU2NpZW5jZSBhbmQgVGVjaG5vbG9neSIsImlkIjoiYzQ3MjQ2ZDktYzEwMC0zOWViLWI4NmQtYzQzMTE1NDAyYjZlIiwiaXNzdWVkIjp7ImRhdGUtcGFydHMiOltbIjIwMTQiXV19LCJwYWdlIjoiNDQ1Mi00NDU5IiwidGl0bGUiOiJBIGxhcmdlIHNjYWxlIGFpciBwb2xsdXRpb24gZXN0aW1hdGlvbiBtZXRob2QgY29tYmluaW5nIExhbmQgVXNlIFJlZ3Jlc3Npb24gYW5kIENoZW1pY2FsIFRyYW5zcG9ydCBNb2RlbGluZyBpbiBhIGdlb3N0YXRpc3RpY2FsIGZyYW1ld29yayIsInR5cGUiOiJhcnRpY2xlLWpvdXJuYWwiLCJ2b2x1bWUiOiI0OCJ9LCJ1cmlzIjpbImh0dHA6Ly93d3cubWVuZGVsZXkuY29tL2RvY3VtZW50cy8/dXVpZD0yZjZhYmNmMC01NjQ0LTRiYzctYjk4My0yZTQ5ODExYWFmNmEiXSwiaXNUZW1wb3JhcnkiOmZhbHNlLCJsZWdhY3lEZXNrdG9wSWQiOiIyZjZhYmNmMC01NjQ0LTRiYzctYjk4My0yZTQ5ODExYWFmNmEifV0sInByb3BlcnRpZXMiOnsibm90ZUluZGV4IjowfSwiaXNFZGl0ZWQiOmZhbHNlLCJtYW51YWxPdmVycmlkZSI6eyJjaXRlcHJvY1RleHQiOiIoQWtpdGEgZXQgYWwuLCAyMDE0OyBCZWVsZW4gZXQgYWwuLCAyMDA5OyBZYW5vc2t5IGV0IGFsLiwgMjAxNCkiLCJpc01hbnVhbGx5T3ZlcnJpZGRlbiI6ZmFsc2UsIm1hbnVhbE92ZXJyaWRlVGV4dCI6IiJ9fQ==&quot;},{&quot;citationID&quot;:&quot;MENDELEY_CITATION_c6d22785-7d80-4d1e-b2c0-7f6146bef5a9&quot;,&quot;citationItems&quot;:[{&quot;id&quot;:&quot;5ecb7567-ff6b-3da3-9e62-95fa2dea753b&quot;,&quot;itemData&quot;:{&quot;DOI&quot;:&quot;10.1186/1476-069X-13-63&quot;,&quot;ISSN&quot;:&quot;1476069X&quot;,&quot;PMID&quot;:&quot;25097007&quot;,&quot;abstract&quot;:&quot;Background: Exposure to atmospheric particulate matter (PM) remains an important public health concern, although it remains difficult to quantify accurately across large geographic areas with sufficiently high spatial resolution. Recent epidemiologic analyses have demonstrated the importance of spatially- and temporally-resolved exposure estimates, which show larger PM-mediated health effects as compared to nearest monitor or county-specific ambient concentrations. Methods. We developed generalized additive mixed models that describe regional and small-scale spatial and temporal gradients (and corresponding uncertainties) in monthly mass concentrations of fine (PM2.5), inhalable (PM10), and coarse mode particle mass (PM2.5-10) for the conterminous United States (U.S.). These models expand our previously developed models for the Northeastern and Midwestern U.S. by virtue of their larger spatial domain, their inclusion of an additional 5 years of PM data to develop predictions through 2007, and their use of refined geographic covariates for population density and point-source PM emissions. Covariate selection and model validation were performed using 10-fold cross-validation (CV). Results: The PM2.5 models had high predictive accuracy (CV R2=0.77 for both 1988-1998 and 1999-2007). While model performance remained strong, the predictive ability of models for PM10 (CV R2=0.58 for both 1988-1998 and 1999-2007) and PM2.5-10 (CV R2=0.46 and 0.52 for 1988-1998 and 1999-2007, respectively) was somewhat lower. Regional variation was found in the effects of geographic and meteorological covariates. Models generally performed well in both urban and rural areas and across seasons, though predictive performance varied somewhat by region (CV R2=0.81, 0.81, 0.83, 0.72, 0.69, 0.50, and 0.60 for the Northeast, Midwest, Southeast, Southcentral, Southwest, Northwest, and Central Plains regions, respectively, for PM2.5 from 1999-2007). Conclusions: Our models provide estimates of monthly-average outdoor concentrations of PM2.5, PM10, and PM2.5-10 with high spatial resolution and low bias. Thus, these models are suitable for estimating chronic exposures of populations living in the conterminous U.S. from 1988 to 2007.&quot;,&quot;author&quot;:[{&quot;dropping-particle&quot;:&quot;&quot;,&quot;family&quot;:&quot;Yanosky&quot;,&quot;given&quot;:&quot;Jeff D.&quot;,&quot;non-dropping-particle&quot;:&quot;&quot;,&quot;parse-names&quot;:false,&quot;suffix&quot;:&quot;&quot;},{&quot;dropping-particle&quot;:&quot;&quot;,&quot;family&quot;:&quot;Paciorek&quot;,&quot;given&quot;:&quot;Christopher J.&quot;,&quot;non-dropping-particle&quot;:&quot;&quot;,&quot;parse-names&quot;:false,&quot;suffix&quot;:&quot;&quot;},{&quot;dropping-particle&quot;:&quot;&quot;,&quot;family&quot;:&quot;Laden&quot;,&quot;given&quot;:&quot;Francine&quot;,&quot;non-dropping-particle&quot;:&quot;&quot;,&quot;parse-names&quot;:false,&quot;suffix&quot;:&quot;&quot;},{&quot;dropping-particle&quot;:&quot;&quot;,&quot;family&quot;:&quot;Hart&quot;,&quot;given&quot;:&quot;Jaime E.&quot;,&quot;non-dropping-particle&quot;:&quot;&quot;,&quot;parse-names&quot;:false,&quot;suffix&quot;:&quot;&quot;},{&quot;dropping-particle&quot;:&quot;&quot;,&quot;family&quot;:&quot;Puett&quot;,&quot;given&quot;:&quot;Robin C.&quot;,&quot;non-dropping-particle&quot;:&quot;&quot;,&quot;parse-names&quot;:false,&quot;suffix&quot;:&quot;&quot;},{&quot;dropping-particle&quot;:&quot;&quot;,&quot;family&quot;:&quot;Liao&quot;,&quot;given&quot;:&quot;Duanping&quot;,&quot;non-dropping-particle&quot;:&quot;&quot;,&quot;parse-names&quot;:false,&quot;suffix&quot;:&quot;&quot;},{&quot;dropping-particle&quot;:&quot;&quot;,&quot;family&quot;:&quot;Suh&quot;,&quot;given&quot;:&quot;Helen H.&quot;,&quot;non-dropping-particle&quot;:&quot;&quot;,&quot;parse-names&quot;:false,&quot;suffix&quot;:&quot;&quot;}],&quot;container-title&quot;:&quot;Environmental Health: A Global Access Science Source&quot;,&quot;id&quot;:&quot;5ecb7567-ff6b-3da3-9e62-95fa2dea753b&quot;,&quot;issue&quot;:&quot;1&quot;,&quot;issued&quot;:{&quot;date-parts&quot;:[[&quot;2014&quot;,&quot;8&quot;,&quot;5&quot;]]},&quot;publisher&quot;:&quot;BioMed Central Ltd.&quot;,&quot;title&quot;:&quot;Spatio-temporal modeling of particulate air pollution in the conterminous United States using geographic and meteorological predictors&quot;,&quot;type&quot;:&quot;article-journal&quot;,&quot;volume&quot;:&quot;13&quot;},&quot;uris&quot;:[&quot;http://www.mendeley.com/documents/?uuid=5ecb7567-ff6b-3da3-9e62-95fa2dea753b&quot;],&quot;isTemporary&quot;:false,&quot;legacyDesktopId&quot;:&quot;5ecb7567-ff6b-3da3-9e62-95fa2dea753b&quot;}],&quot;properties&quot;:{&quot;noteIndex&quot;:0},&quot;isEdited&quot;:false,&quot;manualOverride&quot;:{&quot;citeprocText&quot;:&quot;(Yanosky et al., 2014)&quot;,&quot;isManuallyOverridden&quot;:false,&quot;manualOverrideText&quot;:&quot;&quot;},&quot;citationTag&quot;:&quot;MENDELEY_CITATION_v3_eyJjaXRhdGlvbklEIjoiTUVOREVMRVlfQ0lUQVRJT05fYzZkMjI3ODUtN2Q4MC00ZDFlLWIyYzAtN2Y2MTQ2YmVmNWE5IiwiY2l0YXRpb25JdGVtcyI6W3siaWQiOiI1ZWNiNzU2Ny1mZjZiLTNkYTMtOWU2Mi05NWZhMmRlYTc1M2IiLCJpdGVtRGF0YSI6eyJET0kiOiIxMC4xMTg2LzE0NzYtMDY5WC0xMy02MyIsIklTU04iOiIxNDc2MDY5WCIsIlBNSUQiOiIyNTA5NzAwNyIsImFic3RyYWN0IjoiQmFja2dyb3VuZDogRXhwb3N1cmUgdG8gYXRtb3NwaGVyaWMgcGFydGljdWxhdGUgbWF0dGVyIChQTSkgcmVtYWlucyBhbiBpbXBvcnRhbnQgcHVibGljIGhlYWx0aCBjb25jZXJuLCBhbHRob3VnaCBpdCByZW1haW5zIGRpZmZpY3VsdCB0byBxdWFudGlmeSBhY2N1cmF0ZWx5IGFjcm9zcyBsYXJnZSBnZW9ncmFwaGljIGFyZWFzIHdpdGggc3VmZmljaWVudGx5IGhpZ2ggc3BhdGlhbCByZXNvbHV0aW9uLiBSZWNlbnQgZXBpZGVtaW9sb2dpYyBhbmFseXNlcyBoYXZlIGRlbW9uc3RyYXRlZCB0aGUgaW1wb3J0YW5jZSBvZiBzcGF0aWFsbHktIGFuZCB0ZW1wb3JhbGx5LXJlc29sdmVkIGV4cG9zdXJlIGVzdGltYXRlcywgd2hpY2ggc2hvdyBsYXJnZXIgUE0tbWVkaWF0ZWQgaGVhbHRoIGVmZmVjdHMgYXMgY29tcGFyZWQgdG8gbmVhcmVzdCBtb25pdG9yIG9yIGNvdW50eS1zcGVjaWZpYyBhbWJpZW50IGNvbmNlbnRyYXRpb25zLiBNZXRob2RzLiBXZSBkZXZlbG9wZWQgZ2VuZXJhbGl6ZWQgYWRkaXRpdmUgbWl4ZWQgbW9kZWxzIHRoYXQgZGVzY3JpYmUgcmVnaW9uYWwgYW5kIHNtYWxsLXNjYWxlIHNwYXRpYWwgYW5kIHRlbXBvcmFsIGdyYWRpZW50cyAoYW5kIGNvcnJlc3BvbmRpbmcgdW5jZXJ0YWludGllcykgaW4gbW9udGhseSBtYXNzIGNvbmNlbnRyYXRpb25zIG9mIGZpbmUgKFBNMi41KSwgaW5oYWxhYmxlIChQTTEwKSwgYW5kIGNvYXJzZSBtb2RlIHBhcnRpY2xlIG1hc3MgKFBNMi41LTEwKSBmb3IgdGhlIGNvbnRlcm1pbm91cyBVbml0ZWQgU3RhdGVzIChVLlMuKS4gVGhlc2UgbW9kZWxzIGV4cGFuZCBvdXIgcHJldmlvdXNseSBkZXZlbG9wZWQgbW9kZWxzIGZvciB0aGUgTm9ydGhlYXN0ZXJuIGFuZCBNaWR3ZXN0ZXJuIFUuUy4gYnkgdmlydHVlIG9mIHRoZWlyIGxhcmdlciBzcGF0aWFsIGRvbWFpbiwgdGhlaXIgaW5jbHVzaW9uIG9mIGFuIGFkZGl0aW9uYWwgNSB5ZWFycyBvZiBQTSBkYXRhIHRvIGRldmVsb3AgcHJlZGljdGlvbnMgdGhyb3VnaCAyMDA3LCBhbmQgdGhlaXIgdXNlIG9mIHJlZmluZWQgZ2VvZ3JhcGhpYyBjb3ZhcmlhdGVzIGZvciBwb3B1bGF0aW9uIGRlbnNpdHkgYW5kIHBvaW50LXNvdXJjZSBQTSBlbWlzc2lvbnMuIENvdmFyaWF0ZSBzZWxlY3Rpb24gYW5kIG1vZGVsIHZhbGlkYXRpb24gd2VyZSBwZXJmb3JtZWQgdXNpbmcgMTAtZm9sZCBjcm9zcy12YWxpZGF0aW9uIChDVikuIFJlc3VsdHM6IFRoZSBQTTIuNSBtb2RlbHMgaGFkIGhpZ2ggcHJlZGljdGl2ZSBhY2N1cmFjeSAoQ1YgUjI9MC43NyBmb3IgYm90aCAxOTg4LTE5OTggYW5kIDE5OTktMjAwNykuIFdoaWxlIG1vZGVsIHBlcmZvcm1hbmNlIHJlbWFpbmVkIHN0cm9uZywgdGhlIHByZWRpY3RpdmUgYWJpbGl0eSBvZiBtb2RlbHMgZm9yIFBNMTAgKENWIFIyPTAuNTggZm9yIGJvdGggMTk4OC0xOTk4IGFuZCAxOTk5LTIwMDcpIGFuZCBQTTIuNS0xMCAoQ1YgUjI9MC40NiBhbmQgMC41MiBmb3IgMTk4OC0xOTk4IGFuZCAxOTk5LTIwMDcsIHJlc3BlY3RpdmVseSkgd2FzIHNvbWV3aGF0IGxvd2VyLiBSZWdpb25hbCB2YXJpYXRpb24gd2FzIGZvdW5kIGluIHRoZSBlZmZlY3RzIG9mIGdlb2dyYXBoaWMgYW5kIG1ldGVvcm9sb2dpY2FsIGNvdmFyaWF0ZXMuIE1vZGVscyBnZW5lcmFsbHkgcGVyZm9ybWVkIHdlbGwgaW4gYm90aCB1cmJhbiBhbmQgcnVyYWwgYXJlYXMgYW5kIGFjcm9zcyBzZWFzb25zLCB0aG91Z2ggcHJlZGljdGl2ZSBwZXJmb3JtYW5jZSB2YXJpZWQgc29tZXdoYXQgYnkgcmVnaW9uIChDViBSMj0wLjgxLCAwLjgxLCAwLjgzLCAwLjcyLCAwLjY5LCAwLjUwLCBhbmQgMC42MCBmb3IgdGhlIE5vcnRoZWFzdCwgTWlkd2VzdCwgU291dGhlYXN0LCBTb3V0aGNlbnRyYWwsIFNvdXRod2VzdCwgTm9ydGh3ZXN0LCBhbmQgQ2VudHJhbCBQbGFpbnMgcmVnaW9ucywgcmVzcGVjdGl2ZWx5LCBmb3IgUE0yLjUgZnJvbSAxOTk5LTIwMDcpLiBDb25jbHVzaW9uczogT3VyIG1vZGVscyBwcm92aWRlIGVzdGltYXRlcyBvZiBtb250aGx5LWF2ZXJhZ2Ugb3V0ZG9vciBjb25jZW50cmF0aW9ucyBvZiBQTTIuNSwgUE0xMCwgYW5kIFBNMi41LTEwIHdpdGggaGlnaCBzcGF0aWFsIHJlc29sdXRpb24gYW5kIGxvdyBiaWFzLiBUaHVzLCB0aGVzZSBtb2RlbHMgYXJlIHN1aXRhYmxlIGZvciBlc3RpbWF0aW5nIGNocm9uaWMgZXhwb3N1cmVzIG9mIHBvcHVsYXRpb25zIGxpdmluZyBpbiB0aGUgY29udGVybWlub3VzIFUuUy4gZnJvbSAxOTg4IHRvIDIwMDcuIiwiYXV0aG9yIjpbeyJkcm9wcGluZy1wYXJ0aWNsZSI6IiIsImZhbWlseSI6Illhbm9za3kiLCJnaXZlbiI6IkplZmYgRC4iLCJub24tZHJvcHBpbmctcGFydGljbGUiOiIiLCJwYXJzZS1uYW1lcyI6ZmFsc2UsInN1ZmZpeCI6IiJ9LHsiZHJvcHBpbmctcGFydGljbGUiOiIiLCJmYW1pbHkiOiJQYWNpb3JlayIsImdpdmVuIjoiQ2hyaXN0b3BoZXIgSi4iLCJub24tZHJvcHBpbmctcGFydGljbGUiOiIiLCJwYXJzZS1uYW1lcyI6ZmFsc2UsInN1ZmZpeCI6IiJ9LHsiZHJvcHBpbmctcGFydGljbGUiOiIiLCJmYW1pbHkiOiJMYWRlbiIsImdpdmVuIjoiRnJhbmNpbmUiLCJub24tZHJvcHBpbmctcGFydGljbGUiOiIiLCJwYXJzZS1uYW1lcyI6ZmFsc2UsInN1ZmZpeCI6IiJ9LHsiZHJvcHBpbmctcGFydGljbGUiOiIiLCJmYW1pbHkiOiJIYXJ0IiwiZ2l2ZW4iOiJKYWltZSBFLiIsIm5vbi1kcm9wcGluZy1wYXJ0aWNsZSI6IiIsInBhcnNlLW5hbWVzIjpmYWxzZSwic3VmZml4IjoiIn0seyJkcm9wcGluZy1wYXJ0aWNsZSI6IiIsImZhbWlseSI6IlB1ZXR0IiwiZ2l2ZW4iOiJSb2JpbiBDLiIsIm5vbi1kcm9wcGluZy1wYXJ0aWNsZSI6IiIsInBhcnNlLW5hbWVzIjpmYWxzZSwic3VmZml4IjoiIn0seyJkcm9wcGluZy1wYXJ0aWNsZSI6IiIsImZhbWlseSI6IkxpYW8iLCJnaXZlbiI6IkR1YW5waW5nIiwibm9uLWRyb3BwaW5nLXBhcnRpY2xlIjoiIiwicGFyc2UtbmFtZXMiOmZhbHNlLCJzdWZmaXgiOiIifSx7ImRyb3BwaW5nLXBhcnRpY2xlIjoiIiwiZmFtaWx5IjoiU3VoIiwiZ2l2ZW4iOiJIZWxlbiBILiIsIm5vbi1kcm9wcGluZy1wYXJ0aWNsZSI6IiIsInBhcnNlLW5hbWVzIjpmYWxzZSwic3VmZml4IjoiIn1dLCJjb250YWluZXItdGl0bGUiOiJFbnZpcm9ubWVudGFsIEhlYWx0aDogQSBHbG9iYWwgQWNjZXNzIFNjaWVuY2UgU291cmNlIiwiaWQiOiI1ZWNiNzU2Ny1mZjZiLTNkYTMtOWU2Mi05NWZhMmRlYTc1M2IiLCJpc3N1ZSI6IjEiLCJpc3N1ZWQiOnsiZGF0ZS1wYXJ0cyI6W1siMjAxNCIsIjgiLCI1Il1dfSwicHVibGlzaGVyIjoiQmlvTWVkIENlbnRyYWwgTHRkLiIsInRpdGxlIjoiU3BhdGlvLXRlbXBvcmFsIG1vZGVsaW5nIG9mIHBhcnRpY3VsYXRlIGFpciBwb2xsdXRpb24gaW4gdGhlIGNvbnRlcm1pbm91cyBVbml0ZWQgU3RhdGVzIHVzaW5nIGdlb2dyYXBoaWMgYW5kIG1ldGVvcm9sb2dpY2FsIHByZWRpY3RvcnMiLCJ0eXBlIjoiYXJ0aWNsZS1qb3VybmFsIiwidm9sdW1lIjoiMTMifSwidXJpcyI6WyJodHRwOi8vd3d3Lm1lbmRlbGV5LmNvbS9kb2N1bWVudHMvP3V1aWQ9NWVjYjc1NjctZmY2Yi0zZGEzLTllNjItOTVmYTJkZWE3NTNiIl0sImlzVGVtcG9yYXJ5IjpmYWxzZSwibGVnYWN5RGVza3RvcElkIjoiNWVjYjc1NjctZmY2Yi0zZGEzLTllNjItOTVmYTJkZWE3NTNiIn1dLCJwcm9wZXJ0aWVzIjp7Im5vdGVJbmRleCI6MH0sImlzRWRpdGVkIjpmYWxzZSwibWFudWFsT3ZlcnJpZGUiOnsiY2l0ZXByb2NUZXh0IjoiKFlhbm9za3kgZXQgYWwuLCAyMDE0KSIsImlzTWFudWFsbHlPdmVycmlkZGVuIjpmYWxzZSwibWFudWFsT3ZlcnJpZGVUZXh0IjoiIn19&quot;},{&quot;citationID&quot;:&quot;MENDELEY_CITATION_278e1499-1a90-4662-a51b-3e343d06c48e&quot;,&quot;citationItems&quot;:[{&quot;id&quot;:&quot;5ecb7567-ff6b-3da3-9e62-95fa2dea753b&quot;,&quot;itemData&quot;:{&quot;DOI&quot;:&quot;10.1186/1476-069X-13-63&quot;,&quot;ISSN&quot;:&quot;1476069X&quot;,&quot;PMID&quot;:&quot;25097007&quot;,&quot;abstract&quot;:&quot;Background: Exposure to atmospheric particulate matter (PM) remains an important public health concern, although it remains difficult to quantify accurately across large geographic areas with sufficiently high spatial resolution. Recent epidemiologic analyses have demonstrated the importance of spatially- and temporally-resolved exposure estimates, which show larger PM-mediated health effects as compared to nearest monitor or county-specific ambient concentrations. Methods. We developed generalized additive mixed models that describe regional and small-scale spatial and temporal gradients (and corresponding uncertainties) in monthly mass concentrations of fine (PM2.5), inhalable (PM10), and coarse mode particle mass (PM2.5-10) for the conterminous United States (U.S.). These models expand our previously developed models for the Northeastern and Midwestern U.S. by virtue of their larger spatial domain, their inclusion of an additional 5 years of PM data to develop predictions through 2007, and their use of refined geographic covariates for population density and point-source PM emissions. Covariate selection and model validation were performed using 10-fold cross-validation (CV). Results: The PM2.5 models had high predictive accuracy (CV R2=0.77 for both 1988-1998 and 1999-2007). While model performance remained strong, the predictive ability of models for PM10 (CV R2=0.58 for both 1988-1998 and 1999-2007) and PM2.5-10 (CV R2=0.46 and 0.52 for 1988-1998 and 1999-2007, respectively) was somewhat lower. Regional variation was found in the effects of geographic and meteorological covariates. Models generally performed well in both urban and rural areas and across seasons, though predictive performance varied somewhat by region (CV R2=0.81, 0.81, 0.83, 0.72, 0.69, 0.50, and 0.60 for the Northeast, Midwest, Southeast, Southcentral, Southwest, Northwest, and Central Plains regions, respectively, for PM2.5 from 1999-2007). Conclusions: Our models provide estimates of monthly-average outdoor concentrations of PM2.5, PM10, and PM2.5-10 with high spatial resolution and low bias. Thus, these models are suitable for estimating chronic exposures of populations living in the conterminous U.S. from 1988 to 2007.&quot;,&quot;author&quot;:[{&quot;dropping-particle&quot;:&quot;&quot;,&quot;family&quot;:&quot;Yanosky&quot;,&quot;given&quot;:&quot;Jeff D.&quot;,&quot;non-dropping-particle&quot;:&quot;&quot;,&quot;parse-names&quot;:false,&quot;suffix&quot;:&quot;&quot;},{&quot;dropping-particle&quot;:&quot;&quot;,&quot;family&quot;:&quot;Paciorek&quot;,&quot;given&quot;:&quot;Christopher J.&quot;,&quot;non-dropping-particle&quot;:&quot;&quot;,&quot;parse-names&quot;:false,&quot;suffix&quot;:&quot;&quot;},{&quot;dropping-particle&quot;:&quot;&quot;,&quot;family&quot;:&quot;Laden&quot;,&quot;given&quot;:&quot;Francine&quot;,&quot;non-dropping-particle&quot;:&quot;&quot;,&quot;parse-names&quot;:false,&quot;suffix&quot;:&quot;&quot;},{&quot;dropping-particle&quot;:&quot;&quot;,&quot;family&quot;:&quot;Hart&quot;,&quot;given&quot;:&quot;Jaime E.&quot;,&quot;non-dropping-particle&quot;:&quot;&quot;,&quot;parse-names&quot;:false,&quot;suffix&quot;:&quot;&quot;},{&quot;dropping-particle&quot;:&quot;&quot;,&quot;family&quot;:&quot;Puett&quot;,&quot;given&quot;:&quot;Robin C.&quot;,&quot;non-dropping-particle&quot;:&quot;&quot;,&quot;parse-names&quot;:false,&quot;suffix&quot;:&quot;&quot;},{&quot;dropping-particle&quot;:&quot;&quot;,&quot;family&quot;:&quot;Liao&quot;,&quot;given&quot;:&quot;Duanping&quot;,&quot;non-dropping-particle&quot;:&quot;&quot;,&quot;parse-names&quot;:false,&quot;suffix&quot;:&quot;&quot;},{&quot;dropping-particle&quot;:&quot;&quot;,&quot;family&quot;:&quot;Suh&quot;,&quot;given&quot;:&quot;Helen H.&quot;,&quot;non-dropping-particle&quot;:&quot;&quot;,&quot;parse-names&quot;:false,&quot;suffix&quot;:&quot;&quot;}],&quot;container-title&quot;:&quot;Environmental Health: A Global Access Science Source&quot;,&quot;id&quot;:&quot;5ecb7567-ff6b-3da3-9e62-95fa2dea753b&quot;,&quot;issue&quot;:&quot;1&quot;,&quot;issued&quot;:{&quot;date-parts&quot;:[[&quot;2014&quot;,&quot;8&quot;,&quot;5&quot;]]},&quot;publisher&quot;:&quot;BioMed Central Ltd.&quot;,&quot;title&quot;:&quot;Spatio-temporal modeling of particulate air pollution in the conterminous United States using geographic and meteorological predictors&quot;,&quot;type&quot;:&quot;article-journal&quot;,&quot;volume&quot;:&quot;13&quot;},&quot;uris&quot;:[&quot;http://www.mendeley.com/documents/?uuid=5ecb7567-ff6b-3da3-9e62-95fa2dea753b&quot;],&quot;isTemporary&quot;:false,&quot;legacyDesktopId&quot;:&quot;5ecb7567-ff6b-3da3-9e62-95fa2dea753b&quot;}],&quot;properties&quot;:{&quot;noteIndex&quot;:0},&quot;isEdited&quot;:false,&quot;manualOverride&quot;:{&quot;citeprocText&quot;:&quot;(Yanosky et al., 2014)&quot;,&quot;isManuallyOverridden&quot;:false,&quot;manualOverrideText&quot;:&quot;&quot;},&quot;citationTag&quot;:&quot;MENDELEY_CITATION_v3_eyJjaXRhdGlvbklEIjoiTUVOREVMRVlfQ0lUQVRJT05fMjc4ZTE0OTktMWE5MC00NjYyLWE1MWItM2UzNDNkMDZjNDhlIiwiY2l0YXRpb25JdGVtcyI6W3siaWQiOiI1ZWNiNzU2Ny1mZjZiLTNkYTMtOWU2Mi05NWZhMmRlYTc1M2IiLCJpdGVtRGF0YSI6eyJET0kiOiIxMC4xMTg2LzE0NzYtMDY5WC0xMy02MyIsIklTU04iOiIxNDc2MDY5WCIsIlBNSUQiOiIyNTA5NzAwNyIsImFic3RyYWN0IjoiQmFja2dyb3VuZDogRXhwb3N1cmUgdG8gYXRtb3NwaGVyaWMgcGFydGljdWxhdGUgbWF0dGVyIChQTSkgcmVtYWlucyBhbiBpbXBvcnRhbnQgcHVibGljIGhlYWx0aCBjb25jZXJuLCBhbHRob3VnaCBpdCByZW1haW5zIGRpZmZpY3VsdCB0byBxdWFudGlmeSBhY2N1cmF0ZWx5IGFjcm9zcyBsYXJnZSBnZW9ncmFwaGljIGFyZWFzIHdpdGggc3VmZmljaWVudGx5IGhpZ2ggc3BhdGlhbCByZXNvbHV0aW9uLiBSZWNlbnQgZXBpZGVtaW9sb2dpYyBhbmFseXNlcyBoYXZlIGRlbW9uc3RyYXRlZCB0aGUgaW1wb3J0YW5jZSBvZiBzcGF0aWFsbHktIGFuZCB0ZW1wb3JhbGx5LXJlc29sdmVkIGV4cG9zdXJlIGVzdGltYXRlcywgd2hpY2ggc2hvdyBsYXJnZXIgUE0tbWVkaWF0ZWQgaGVhbHRoIGVmZmVjdHMgYXMgY29tcGFyZWQgdG8gbmVhcmVzdCBtb25pdG9yIG9yIGNvdW50eS1zcGVjaWZpYyBhbWJpZW50IGNvbmNlbnRyYXRpb25zLiBNZXRob2RzLiBXZSBkZXZlbG9wZWQgZ2VuZXJhbGl6ZWQgYWRkaXRpdmUgbWl4ZWQgbW9kZWxzIHRoYXQgZGVzY3JpYmUgcmVnaW9uYWwgYW5kIHNtYWxsLXNjYWxlIHNwYXRpYWwgYW5kIHRlbXBvcmFsIGdyYWRpZW50cyAoYW5kIGNvcnJlc3BvbmRpbmcgdW5jZXJ0YWludGllcykgaW4gbW9udGhseSBtYXNzIGNvbmNlbnRyYXRpb25zIG9mIGZpbmUgKFBNMi41KSwgaW5oYWxhYmxlIChQTTEwKSwgYW5kIGNvYXJzZSBtb2RlIHBhcnRpY2xlIG1hc3MgKFBNMi41LTEwKSBmb3IgdGhlIGNvbnRlcm1pbm91cyBVbml0ZWQgU3RhdGVzIChVLlMuKS4gVGhlc2UgbW9kZWxzIGV4cGFuZCBvdXIgcHJldmlvdXNseSBkZXZlbG9wZWQgbW9kZWxzIGZvciB0aGUgTm9ydGhlYXN0ZXJuIGFuZCBNaWR3ZXN0ZXJuIFUuUy4gYnkgdmlydHVlIG9mIHRoZWlyIGxhcmdlciBzcGF0aWFsIGRvbWFpbiwgdGhlaXIgaW5jbHVzaW9uIG9mIGFuIGFkZGl0aW9uYWwgNSB5ZWFycyBvZiBQTSBkYXRhIHRvIGRldmVsb3AgcHJlZGljdGlvbnMgdGhyb3VnaCAyMDA3LCBhbmQgdGhlaXIgdXNlIG9mIHJlZmluZWQgZ2VvZ3JhcGhpYyBjb3ZhcmlhdGVzIGZvciBwb3B1bGF0aW9uIGRlbnNpdHkgYW5kIHBvaW50LXNvdXJjZSBQTSBlbWlzc2lvbnMuIENvdmFyaWF0ZSBzZWxlY3Rpb24gYW5kIG1vZGVsIHZhbGlkYXRpb24gd2VyZSBwZXJmb3JtZWQgdXNpbmcgMTAtZm9sZCBjcm9zcy12YWxpZGF0aW9uIChDVikuIFJlc3VsdHM6IFRoZSBQTTIuNSBtb2RlbHMgaGFkIGhpZ2ggcHJlZGljdGl2ZSBhY2N1cmFjeSAoQ1YgUjI9MC43NyBmb3IgYm90aCAxOTg4LTE5OTggYW5kIDE5OTktMjAwNykuIFdoaWxlIG1vZGVsIHBlcmZvcm1hbmNlIHJlbWFpbmVkIHN0cm9uZywgdGhlIHByZWRpY3RpdmUgYWJpbGl0eSBvZiBtb2RlbHMgZm9yIFBNMTAgKENWIFIyPTAuNTggZm9yIGJvdGggMTk4OC0xOTk4IGFuZCAxOTk5LTIwMDcpIGFuZCBQTTIuNS0xMCAoQ1YgUjI9MC40NiBhbmQgMC41MiBmb3IgMTk4OC0xOTk4IGFuZCAxOTk5LTIwMDcsIHJlc3BlY3RpdmVseSkgd2FzIHNvbWV3aGF0IGxvd2VyLiBSZWdpb25hbCB2YXJpYXRpb24gd2FzIGZvdW5kIGluIHRoZSBlZmZlY3RzIG9mIGdlb2dyYXBoaWMgYW5kIG1ldGVvcm9sb2dpY2FsIGNvdmFyaWF0ZXMuIE1vZGVscyBnZW5lcmFsbHkgcGVyZm9ybWVkIHdlbGwgaW4gYm90aCB1cmJhbiBhbmQgcnVyYWwgYXJlYXMgYW5kIGFjcm9zcyBzZWFzb25zLCB0aG91Z2ggcHJlZGljdGl2ZSBwZXJmb3JtYW5jZSB2YXJpZWQgc29tZXdoYXQgYnkgcmVnaW9uIChDViBSMj0wLjgxLCAwLjgxLCAwLjgzLCAwLjcyLCAwLjY5LCAwLjUwLCBhbmQgMC42MCBmb3IgdGhlIE5vcnRoZWFzdCwgTWlkd2VzdCwgU291dGhlYXN0LCBTb3V0aGNlbnRyYWwsIFNvdXRod2VzdCwgTm9ydGh3ZXN0LCBhbmQgQ2VudHJhbCBQbGFpbnMgcmVnaW9ucywgcmVzcGVjdGl2ZWx5LCBmb3IgUE0yLjUgZnJvbSAxOTk5LTIwMDcpLiBDb25jbHVzaW9uczogT3VyIG1vZGVscyBwcm92aWRlIGVzdGltYXRlcyBvZiBtb250aGx5LWF2ZXJhZ2Ugb3V0ZG9vciBjb25jZW50cmF0aW9ucyBvZiBQTTIuNSwgUE0xMCwgYW5kIFBNMi41LTEwIHdpdGggaGlnaCBzcGF0aWFsIHJlc29sdXRpb24gYW5kIGxvdyBiaWFzLiBUaHVzLCB0aGVzZSBtb2RlbHMgYXJlIHN1aXRhYmxlIGZvciBlc3RpbWF0aW5nIGNocm9uaWMgZXhwb3N1cmVzIG9mIHBvcHVsYXRpb25zIGxpdmluZyBpbiB0aGUgY29udGVybWlub3VzIFUuUy4gZnJvbSAxOTg4IHRvIDIwMDcuIiwiYXV0aG9yIjpbeyJkcm9wcGluZy1wYXJ0aWNsZSI6IiIsImZhbWlseSI6Illhbm9za3kiLCJnaXZlbiI6IkplZmYgRC4iLCJub24tZHJvcHBpbmctcGFydGljbGUiOiIiLCJwYXJzZS1uYW1lcyI6ZmFsc2UsInN1ZmZpeCI6IiJ9LHsiZHJvcHBpbmctcGFydGljbGUiOiIiLCJmYW1pbHkiOiJQYWNpb3JlayIsImdpdmVuIjoiQ2hyaXN0b3BoZXIgSi4iLCJub24tZHJvcHBpbmctcGFydGljbGUiOiIiLCJwYXJzZS1uYW1lcyI6ZmFsc2UsInN1ZmZpeCI6IiJ9LHsiZHJvcHBpbmctcGFydGljbGUiOiIiLCJmYW1pbHkiOiJMYWRlbiIsImdpdmVuIjoiRnJhbmNpbmUiLCJub24tZHJvcHBpbmctcGFydGljbGUiOiIiLCJwYXJzZS1uYW1lcyI6ZmFsc2UsInN1ZmZpeCI6IiJ9LHsiZHJvcHBpbmctcGFydGljbGUiOiIiLCJmYW1pbHkiOiJIYXJ0IiwiZ2l2ZW4iOiJKYWltZSBFLiIsIm5vbi1kcm9wcGluZy1wYXJ0aWNsZSI6IiIsInBhcnNlLW5hbWVzIjpmYWxzZSwic3VmZml4IjoiIn0seyJkcm9wcGluZy1wYXJ0aWNsZSI6IiIsImZhbWlseSI6IlB1ZXR0IiwiZ2l2ZW4iOiJSb2JpbiBDLiIsIm5vbi1kcm9wcGluZy1wYXJ0aWNsZSI6IiIsInBhcnNlLW5hbWVzIjpmYWxzZSwic3VmZml4IjoiIn0seyJkcm9wcGluZy1wYXJ0aWNsZSI6IiIsImZhbWlseSI6IkxpYW8iLCJnaXZlbiI6IkR1YW5waW5nIiwibm9uLWRyb3BwaW5nLXBhcnRpY2xlIjoiIiwicGFyc2UtbmFtZXMiOmZhbHNlLCJzdWZmaXgiOiIifSx7ImRyb3BwaW5nLXBhcnRpY2xlIjoiIiwiZmFtaWx5IjoiU3VoIiwiZ2l2ZW4iOiJIZWxlbiBILiIsIm5vbi1kcm9wcGluZy1wYXJ0aWNsZSI6IiIsInBhcnNlLW5hbWVzIjpmYWxzZSwic3VmZml4IjoiIn1dLCJjb250YWluZXItdGl0bGUiOiJFbnZpcm9ubWVudGFsIEhlYWx0aDogQSBHbG9iYWwgQWNjZXNzIFNjaWVuY2UgU291cmNlIiwiaWQiOiI1ZWNiNzU2Ny1mZjZiLTNkYTMtOWU2Mi05NWZhMmRlYTc1M2IiLCJpc3N1ZSI6IjEiLCJpc3N1ZWQiOnsiZGF0ZS1wYXJ0cyI6W1siMjAxNCIsIjgiLCI1Il1dfSwicHVibGlzaGVyIjoiQmlvTWVkIENlbnRyYWwgTHRkLiIsInRpdGxlIjoiU3BhdGlvLXRlbXBvcmFsIG1vZGVsaW5nIG9mIHBhcnRpY3VsYXRlIGFpciBwb2xsdXRpb24gaW4gdGhlIGNvbnRlcm1pbm91cyBVbml0ZWQgU3RhdGVzIHVzaW5nIGdlb2dyYXBoaWMgYW5kIG1ldGVvcm9sb2dpY2FsIHByZWRpY3RvcnMiLCJ0eXBlIjoiYXJ0aWNsZS1qb3VybmFsIiwidm9sdW1lIjoiMTMifSwidXJpcyI6WyJodHRwOi8vd3d3Lm1lbmRlbGV5LmNvbS9kb2N1bWVudHMvP3V1aWQ9NWVjYjc1NjctZmY2Yi0zZGEzLTllNjItOTVmYTJkZWE3NTNiIl0sImlzVGVtcG9yYXJ5IjpmYWxzZSwibGVnYWN5RGVza3RvcElkIjoiNWVjYjc1NjctZmY2Yi0zZGEzLTllNjItOTVmYTJkZWE3NTNiIn1dLCJwcm9wZXJ0aWVzIjp7Im5vdGVJbmRleCI6MH0sImlzRWRpdGVkIjpmYWxzZSwibWFudWFsT3ZlcnJpZGUiOnsiY2l0ZXByb2NUZXh0IjoiKFlhbm9za3kgZXQgYWwuLCAyMDE0KSIsImlzTWFudWFsbHlPdmVycmlkZGVuIjpmYWxzZSwibWFudWFsT3ZlcnJpZGVUZXh0IjoiIn19&quot;},{&quot;citationID&quot;:&quot;MENDELEY_CITATION_cbd90a42-bf69-456a-98f3-214c7d7d1c54&quot;,&quot;citationItems&quot;:[{&quot;id&quot;:&quot;55d63532-bfcd-3a1a-8ed3-d9539f0b277a&quot;,&quot;itemData&quot;:{&quot;DOI&quot;:&quot;10.3390/rs12223803&quot;,&quot;ISSN&quot;:&quot;20724292&quot;,&quot;abstract&quot;:&quot;Epidemiological studies on the health effects of air pollution usually rely on measurements from fixed ground monitors, which provide limited spatio-temporal coverage. Data from satellites, reanalysis, and chemical transport models offer additional information used to reconstruct pollution concentrations at high spatio-temporal resolutions. This study aims to develop a multi-stage satellite-based machine learning model to estimate daily fine particulate matter (PM2.5) levels across Great Britain between 2008–2018. This high-resolution model consists of random forest (RF) algorithms applied in four stages. Stage-1 augments monitor-PM2.5 series using co-located PM10 measures. Stage-2 imputes missing satellite aerosol optical depth observations using atmospheric reanalysis models. Stage-3 integrates the output from previous stages with spatial and spatio-temporal variables to build a prediction model for PM2.5 . Stage-4 applies Stage-3 models to estimate daily PM2.5 concentrations over a 1 km grid. The RF architecture performed well in all stages, with results from Stage-3 showing an average cross-validated R2 of 0.767 and minimal bias. The model performed better over the temporal scale when compared to the spatial component, but both presented good accuracy with an R2 of 0.795 and 0.658, respectively. These findings indicate that direct satellite observations must be integrated with other satellite-based products and geospatial variables to derive reliable estimates of air pollution exposure. The high spatio-temporal resolution and the relatively high precision allow these estimates (approximately 950 million points) to be used in epidemiological analyses to assess health risks associated with both short-and long-term exposure to PM2.5 .&quot;,&quot;author&quot;:[{&quot;dropping-particle&quot;:&quot;&quot;,&quot;family&quot;:&quot;Schneider&quot;,&quot;given&quot;:&quot;Rochelle&quot;,&quot;non-dropping-particle&quot;:&quot;&quot;,&quot;parse-names&quot;:false,&quot;suffix&quot;:&quot;&quot;},{&quot;dropping-particle&quot;:&quot;&quot;,&quot;family&quot;:&quot;Vicedo-Cabrera&quot;,&quot;given&quot;:&quot;Ana M.&quot;,&quot;non-dropping-particle&quot;:&quot;&quot;,&quot;parse-names&quot;:false,&quot;suffix&quot;:&quot;&quot;},{&quot;dropping-particle&quot;:&quot;&quot;,&quot;family&quot;:&quot;Sera&quot;,&quot;given&quot;:&quot;Francesco&quot;,&quot;non-dropping-particle&quot;:&quot;&quot;,&quot;parse-names&quot;:false,&quot;suffix&quot;:&quot;&quot;},{&quot;dropping-particle&quot;:&quot;&quot;,&quot;family&quot;:&quot;Masselot&quot;,&quot;given&quot;:&quot;Pierre&quot;,&quot;non-dropping-particle&quot;:&quot;&quot;,&quot;parse-names&quot;:false,&quot;suffix&quot;:&quot;&quot;},{&quot;dropping-particle&quot;:&quot;&quot;,&quot;family&quot;:&quot;Stafoggia&quot;,&quot;given&quot;:&quot;Massimo&quot;,&quot;non-dropping-particle&quot;:&quot;&quot;,&quot;parse-names&quot;:false,&quot;suffix&quot;:&quot;&quot;},{&quot;dropping-particle&quot;:&quot;&quot;,&quot;family&quot;:&quot;Hoogh&quot;,&quot;given&quot;:&quot;Kees&quot;,&quot;non-dropping-particle&quot;:&quot;de&quot;,&quot;parse-names&quot;:false,&quot;suffix&quot;:&quot;&quot;},{&quot;dropping-particle&quot;:&quot;&quot;,&quot;family&quot;:&quot;Kloog&quot;,&quot;given&quot;:&quot;Itai&quot;,&quot;non-dropping-particle&quot;:&quot;&quot;,&quot;parse-names&quot;:false,&quot;suffix&quot;:&quot;&quot;},{&quot;dropping-particle&quot;:&quot;&quot;,&quot;family&quot;:&quot;Reis&quot;,&quot;given&quot;:&quot;Stefan&quot;,&quot;non-dropping-particle&quot;:&quot;&quot;,&quot;parse-names&quot;:false,&quot;suffix&quot;:&quot;&quot;},{&quot;dropping-particle&quot;:&quot;&quot;,&quot;family&quot;:&quot;Vieno&quot;,&quot;given&quot;:&quot;Massimo&quot;,&quot;non-dropping-particle&quot;:&quot;&quot;,&quot;parse-names&quot;:false,&quot;suffix&quot;:&quot;&quot;},{&quot;dropping-particle&quot;:&quot;&quot;,&quot;family&quot;:&quot;Gasparrini&quot;,&quot;given&quot;:&quot;Antonio&quot;,&quot;non-dropping-particle&quot;:&quot;&quot;,&quot;parse-names&quot;:false,&quot;suffix&quot;:&quot;&quot;}],&quot;container-title&quot;:&quot;Remote Sensing&quot;,&quot;id&quot;:&quot;55d63532-bfcd-3a1a-8ed3-d9539f0b277a&quot;,&quot;issue&quot;:&quot;22&quot;,&quot;issued&quot;:{&quot;date-parts&quot;:[[&quot;2020&quot;,&quot;11&quot;,&quot;2&quot;]]},&quot;page&quot;:&quot;1-19&quot;,&quot;publisher&quot;:&quot;MDPI AG&quot;,&quot;title&quot;:&quot;A satellite-based spatio-temporal machine learning model to reconstruct daily PM2.5 concentrations across great britain&quot;,&quot;type&quot;:&quot;article-journal&quot;,&quot;volume&quot;:&quot;12&quot;},&quot;suppress-author&quot;:1,&quot;uris&quot;:[&quot;http://www.mendeley.com/documents/?uuid=55d63532-bfcd-3a1a-8ed3-d9539f0b277a&quot;],&quot;isTemporary&quot;:false,&quot;legacyDesktopId&quot;:&quot;55d63532-bfcd-3a1a-8ed3-d9539f0b277a&quot;}],&quot;properties&quot;:{&quot;noteIndex&quot;:0},&quot;isEdited&quot;:true,&quot;manualOverride&quot;:{&quot;citeprocText&quot;:&quot;(2020)&quot;,&quot;isManuallyOverridden&quot;:false,&quot;manualOverrideText&quot;:&quot;&quot;},&quot;citationTag&quot;:&quot;MENDELEY_CITATION_v3_eyJjaXRhdGlvbklEIjoiTUVOREVMRVlfQ0lUQVRJT05fY2JkOTBhNDItYmY2OS00NTZhLTk4ZjMtMjE0YzdkN2QxYzU0IiwiY2l0YXRpb25JdGVtcyI6W3siaWQiOiI1NWQ2MzUzMi1iZmNkLTNhMWEtOGVkMy1kOTUzOWYwYjI3N2EiLCJpdGVtRGF0YSI6eyJET0kiOiIxMC4zMzkwL3JzMTIyMjM4MDMiLCJJU1NOIjoiMjA3MjQyOTIiLCJhYnN0cmFjdCI6IkVwaWRlbWlvbG9naWNhbCBzdHVkaWVzIG9uIHRoZSBoZWFsdGggZWZmZWN0cyBvZiBhaXIgcG9sbHV0aW9uIHVzdWFsbHkgcmVseSBvbiBtZWFzdXJlbWVudHMgZnJvbSBmaXhlZCBncm91bmQgbW9uaXRvcnMsIHdoaWNoIHByb3ZpZGUgbGltaXRlZCBzcGF0aW8tdGVtcG9yYWwgY292ZXJhZ2UuIERhdGEgZnJvbSBzYXRlbGxpdGVzLCByZWFuYWx5c2lzLCBhbmQgY2hlbWljYWwgdHJhbnNwb3J0IG1vZGVscyBvZmZlciBhZGRpdGlvbmFsIGluZm9ybWF0aW9uIHVzZWQgdG8gcmVjb25zdHJ1Y3QgcG9sbHV0aW9uIGNvbmNlbnRyYXRpb25zIGF0IGhpZ2ggc3BhdGlvLXRlbXBvcmFsIHJlc29sdXRpb25zLiBUaGlzIHN0dWR5IGFpbXMgdG8gZGV2ZWxvcCBhIG11bHRpLXN0YWdlIHNhdGVsbGl0ZS1iYXNlZCBtYWNoaW5lIGxlYXJuaW5nIG1vZGVsIHRvIGVzdGltYXRlIGRhaWx5IGZpbmUgcGFydGljdWxhdGUgbWF0dGVyIChQTTIuNSkgbGV2ZWxzIGFjcm9zcyBHcmVhdCBCcml0YWluIGJldHdlZW4gMjAwOOKAkzIwMTguIFRoaXMgaGlnaC1yZXNvbHV0aW9uIG1vZGVsIGNvbnNpc3RzIG9mIHJhbmRvbSBmb3Jlc3QgKFJGKSBhbGdvcml0aG1zIGFwcGxpZWQgaW4gZm91ciBzdGFnZXMuIFN0YWdlLTEgYXVnbWVudHMgbW9uaXRvci1QTTIuNSBzZXJpZXMgdXNpbmcgY28tbG9jYXRlZCBQTTEwIG1lYXN1cmVzLiBTdGFnZS0yIGltcHV0ZXMgbWlzc2luZyBzYXRlbGxpdGUgYWVyb3NvbCBvcHRpY2FsIGRlcHRoIG9ic2VydmF0aW9ucyB1c2luZyBhdG1vc3BoZXJpYyByZWFuYWx5c2lzIG1vZGVscy4gU3RhZ2UtMyBpbnRlZ3JhdGVzIHRoZSBvdXRwdXQgZnJvbSBwcmV2aW91cyBzdGFnZXMgd2l0aCBzcGF0aWFsIGFuZCBzcGF0aW8tdGVtcG9yYWwgdmFyaWFibGVzIHRvIGJ1aWxkIGEgcHJlZGljdGlvbiBtb2RlbCBmb3IgUE0yLjUgLiBTdGFnZS00IGFwcGxpZXMgU3RhZ2UtMyBtb2RlbHMgdG8gZXN0aW1hdGUgZGFpbHkgUE0yLjUgY29uY2VudHJhdGlvbnMgb3ZlciBhIDEga20gZ3JpZC4gVGhlIFJGIGFyY2hpdGVjdHVyZSBwZXJmb3JtZWQgd2VsbCBpbiBhbGwgc3RhZ2VzLCB3aXRoIHJlc3VsdHMgZnJvbSBTdGFnZS0zIHNob3dpbmcgYW4gYXZlcmFnZSBjcm9zcy12YWxpZGF0ZWQgUjIgb2YgMC43NjcgYW5kIG1pbmltYWwgYmlhcy4gVGhlIG1vZGVsIHBlcmZvcm1lZCBiZXR0ZXIgb3ZlciB0aGUgdGVtcG9yYWwgc2NhbGUgd2hlbiBjb21wYXJlZCB0byB0aGUgc3BhdGlhbCBjb21wb25lbnQsIGJ1dCBib3RoIHByZXNlbnRlZCBnb29kIGFjY3VyYWN5IHdpdGggYW4gUjIgb2YgMC43OTUgYW5kIDAuNjU4LCByZXNwZWN0aXZlbHkuIFRoZXNlIGZpbmRpbmdzIGluZGljYXRlIHRoYXQgZGlyZWN0IHNhdGVsbGl0ZSBvYnNlcnZhdGlvbnMgbXVzdCBiZSBpbnRlZ3JhdGVkIHdpdGggb3RoZXIgc2F0ZWxsaXRlLWJhc2VkIHByb2R1Y3RzIGFuZCBnZW9zcGF0aWFsIHZhcmlhYmxlcyB0byBkZXJpdmUgcmVsaWFibGUgZXN0aW1hdGVzIG9mIGFpciBwb2xsdXRpb24gZXhwb3N1cmUuIFRoZSBoaWdoIHNwYXRpby10ZW1wb3JhbCByZXNvbHV0aW9uIGFuZCB0aGUgcmVsYXRpdmVseSBoaWdoIHByZWNpc2lvbiBhbGxvdyB0aGVzZSBlc3RpbWF0ZXMgKGFwcHJveGltYXRlbHkgOTUwIG1pbGxpb24gcG9pbnRzKSB0byBiZSB1c2VkIGluIGVwaWRlbWlvbG9naWNhbCBhbmFseXNlcyB0byBhc3Nlc3MgaGVhbHRoIHJpc2tzIGFzc29jaWF0ZWQgd2l0aCBib3RoIHNob3J0LWFuZCBsb25nLXRlcm0gZXhwb3N1cmUgdG8gUE0yLjUgLiIsImF1dGhvciI6W3siZHJvcHBpbmctcGFydGljbGUiOiIiLCJmYW1pbHkiOiJTY2huZWlkZXIiLCJnaXZlbiI6IlJvY2hlbGxlIiwibm9uLWRyb3BwaW5nLXBhcnRpY2xlIjoiIiwicGFyc2UtbmFtZXMiOmZhbHNlLCJzdWZmaXgiOiIifSx7ImRyb3BwaW5nLXBhcnRpY2xlIjoiIiwiZmFtaWx5IjoiVmljZWRvLUNhYnJlcmEiLCJnaXZlbiI6IkFuYSBNLiIsIm5vbi1kcm9wcGluZy1wYXJ0aWNsZSI6IiIsInBhcnNlLW5hbWVzIjpmYWxzZSwic3VmZml4IjoiIn0seyJkcm9wcGluZy1wYXJ0aWNsZSI6IiIsImZhbWlseSI6IlNlcmEiLCJnaXZlbiI6IkZyYW5jZXNjbyIsIm5vbi1kcm9wcGluZy1wYXJ0aWNsZSI6IiIsInBhcnNlLW5hbWVzIjpmYWxzZSwic3VmZml4IjoiIn0seyJkcm9wcGluZy1wYXJ0aWNsZSI6IiIsImZhbWlseSI6Ik1hc3NlbG90IiwiZ2l2ZW4iOiJQaWVycmUiLCJub24tZHJvcHBpbmctcGFydGljbGUiOiIiLCJwYXJzZS1uYW1lcyI6ZmFsc2UsInN1ZmZpeCI6IiJ9LHsiZHJvcHBpbmctcGFydGljbGUiOiIiLCJmYW1pbHkiOiJTdGFmb2dnaWEiLCJnaXZlbiI6Ik1hc3NpbW8iLCJub24tZHJvcHBpbmctcGFydGljbGUiOiIiLCJwYXJzZS1uYW1lcyI6ZmFsc2UsInN1ZmZpeCI6IiJ9LHsiZHJvcHBpbmctcGFydGljbGUiOiIiLCJmYW1pbHkiOiJIb29naCIsImdpdmVuIjoiS2VlcyIsIm5vbi1kcm9wcGluZy1wYXJ0aWNsZSI6ImRlIiwicGFyc2UtbmFtZXMiOmZhbHNlLCJzdWZmaXgiOiIifSx7ImRyb3BwaW5nLXBhcnRpY2xlIjoiIiwiZmFtaWx5IjoiS2xvb2ciLCJnaXZlbiI6Ikl0YWkiLCJub24tZHJvcHBpbmctcGFydGljbGUiOiIiLCJwYXJzZS1uYW1lcyI6ZmFsc2UsInN1ZmZpeCI6IiJ9LHsiZHJvcHBpbmctcGFydGljbGUiOiIiLCJmYW1pbHkiOiJSZWlzIiwiZ2l2ZW4iOiJTdGVmYW4iLCJub24tZHJvcHBpbmctcGFydGljbGUiOiIiLCJwYXJzZS1uYW1lcyI6ZmFsc2UsInN1ZmZpeCI6IiJ9LHsiZHJvcHBpbmctcGFydGljbGUiOiIiLCJmYW1pbHkiOiJWaWVubyIsImdpdmVuIjoiTWFzc2ltbyIsIm5vbi1kcm9wcGluZy1wYXJ0aWNsZSI6IiIsInBhcnNlLW5hbWVzIjpmYWxzZSwic3VmZml4IjoiIn0seyJkcm9wcGluZy1wYXJ0aWNsZSI6IiIsImZhbWlseSI6Ikdhc3BhcnJpbmkiLCJnaXZlbiI6IkFudG9uaW8iLCJub24tZHJvcHBpbmctcGFydGljbGUiOiIiLCJwYXJzZS1uYW1lcyI6ZmFsc2UsInN1ZmZpeCI6IiJ9XSwiY29udGFpbmVyLXRpdGxlIjoiUmVtb3RlIFNlbnNpbmciLCJpZCI6IjU1ZDYzNTMyLWJmY2QtM2ExYS04ZWQzLWQ5NTM5ZjBiMjc3YSIsImlzc3VlIjoiMjIiLCJpc3N1ZWQiOnsiZGF0ZS1wYXJ0cyI6W1siMjAyMCIsIjExIiwiMiJdXX0sInBhZ2UiOiIxLTE5IiwicHVibGlzaGVyIjoiTURQSSBBRyIsInRpdGxlIjoiQSBzYXRlbGxpdGUtYmFzZWQgc3BhdGlvLXRlbXBvcmFsIG1hY2hpbmUgbGVhcm5pbmcgbW9kZWwgdG8gcmVjb25zdHJ1Y3QgZGFpbHkgUE0yLjUgY29uY2VudHJhdGlvbnMgYWNyb3NzIGdyZWF0IGJyaXRhaW4iLCJ0eXBlIjoiYXJ0aWNsZS1qb3VybmFsIiwidm9sdW1lIjoiMTIifSwic3VwcHJlc3MtYXV0aG9yIjoxLCJ1cmlzIjpbImh0dHA6Ly93d3cubWVuZGVsZXkuY29tL2RvY3VtZW50cy8/dXVpZD01NWQ2MzUzMi1iZmNkLTNhMWEtOGVkMy1kOTUzOWYwYjI3N2EiXSwiaXNUZW1wb3JhcnkiOmZhbHNlLCJsZWdhY3lEZXNrdG9wSWQiOiI1NWQ2MzUzMi1iZmNkLTNhMWEtOGVkMy1kOTUzOWYwYjI3N2EifV0sInByb3BlcnRpZXMiOnsibm90ZUluZGV4IjowfSwiaXNFZGl0ZWQiOnRydWUsIm1hbnVhbE92ZXJyaWRlIjp7ImNpdGVwcm9jVGV4dCI6IigyMDIwKSIsImlzTWFudWFsbHlPdmVycmlkZGVuIjpmYWxzZSwibWFudWFsT3ZlcnJpZGVUZXh0IjoiIn19&quot;},{&quot;citationID&quot;:&quot;MENDELEY_CITATION_0f3e3760-91d8-4d46-961d-255be43aded8&quot;,&quot;citationItems&quot;:[{&quot;id&quot;:&quot;5cbe0841-024c-3d04-adb7-1e018d10f4b6&quot;,&quot;itemData&quot;:{&quot;DOI&quot;:&quot;10.1016/j.envint.2019.104909&quot;,&quot;ISSN&quot;:&quot;18736750&quot;,&quot;PMID&quot;:&quot;31272018&quot;,&quot;abstract&quot;:&quot;Various approaches have been proposed to model PM2.5 in the recent decade, with satellite-derived aerosol optical depth, land-use variables, chemical transport model predictions, and several meteorological variables as major predictor variables. Our study used an ensemble model that integrated multiple machine learning algorithms and predictor variables to estimate daily PM2.5 at a resolution of 1 km × 1 km across the contiguous United States. We used a generalized additive model that accounted for geographic difference to combine PM2.5 estimates from neural network, random forest, and gradient boosting. The three machine learning algorithms were based on multiple predictor variables, including satellite data, meteorological variables, land-use variables, elevation, chemical transport model predictions, several reanalysis datasets, and others. The model training results from 2000 to 2015 indicated good model performance with a 10-fold cross-validated R2 of 0.86 for daily PM2.5 predictions. For annual PM2.5 estimates, the cross-validated R2 was 0.89. Our model demonstrated good performance up to 60 μg/m3. Using trained PM2.5 model and predictor variables, we predicted daily PM2.5 from 2000 to 2015 at every 1 km × 1 km grid cell in the contiguous United States. We also used localized land-use variables within 1 km × 1 km grids to downscale PM2.5 predictions to 100 m × 100 m grid cells. To characterize uncertainty, we used meteorological variables, land-use variables, and elevation to model the monthly standard deviation of the difference between daily monitored and predicted PM2.5 for every 1 km × 1 km grid cell. This PM2.5 prediction dataset, including the downscaled and uncertainty predictions, allows epidemiologists to accurately estimate the adverse health effect of PM2.5. Compared with model performance of individual base learners, an ensemble model would achieve a better overall estimation. It is worth exploring other ensemble model formats to synthesize estimations from different models or from different groups to improve overall performance.&quot;,&quot;author&quot;:[{&quot;dropping-particle&quot;:&quot;&quot;,&quot;family&quot;:&quot;Di&quot;,&quot;given&quot;:&quot;Qian&quot;,&quot;non-dropping-particle&quot;:&quot;&quot;,&quot;parse-names&quot;:false,&quot;suffix&quot;:&quot;&quot;},{&quot;dropping-particle&quot;:&quot;&quot;,&quot;family&quot;:&quot;Amini&quot;,&quot;given&quot;:&quot;Heresh&quot;,&quot;non-dropping-particle&quot;:&quot;&quot;,&quot;parse-names&quot;:false,&quot;suffix&quot;:&quot;&quot;},{&quot;dropping-particle&quot;:&quot;&quot;,&quot;family&quot;:&quot;Shi&quot;,&quot;given&quot;:&quot;Liuhua&quot;,&quot;non-dropping-particle&quot;:&quot;&quot;,&quot;parse-names&quot;:false,&quot;suffix&quot;:&quot;&quot;},{&quot;dropping-particle&quot;:&quot;&quot;,&quot;family&quot;:&quot;Kloog&quot;,&quot;given&quot;:&quot;Itai&quot;,&quot;non-dropping-particle&quot;:&quot;&quot;,&quot;parse-names&quot;:false,&quot;suffix&quot;:&quot;&quot;},{&quot;dropping-particle&quot;:&quot;&quot;,&quot;family&quot;:&quot;Silvern&quot;,&quot;given&quot;:&quot;Rachel&quot;,&quot;non-dropping-particle&quot;:&quot;&quot;,&quot;parse-names&quot;:false,&quot;suffix&quot;:&quot;&quot;},{&quot;dropping-particle&quot;:&quot;&quot;,&quot;family&quot;:&quot;Kelly&quot;,&quot;given&quot;:&quot;James&quot;,&quot;non-dropping-particle&quot;:&quot;&quot;,&quot;parse-names&quot;:false,&quot;suffix&quot;:&quot;&quot;},{&quot;dropping-particle&quot;:&quot;&quot;,&quot;family&quot;:&quot;Sabath&quot;,&quot;given&quot;:&quot;M. Benjamin&quot;,&quot;non-dropping-particle&quot;:&quot;&quot;,&quot;parse-names&quot;:false,&quot;suffix&quot;:&quot;&quot;},{&quot;dropping-particle&quot;:&quot;&quot;,&quot;family&quot;:&quot;Choirat&quot;,&quot;given&quot;:&quot;Christine&quot;,&quot;non-dropping-particle&quot;:&quot;&quot;,&quot;parse-names&quot;:false,&quot;suffix&quot;:&quot;&quot;},{&quot;dropping-particle&quot;:&quot;&quot;,&quot;family&quot;:&quot;Koutrakis&quot;,&quot;given&quot;:&quot;Petros&quot;,&quot;non-dropping-particle&quot;:&quot;&quot;,&quot;parse-names&quot;:false,&quot;suffix&quot;:&quot;&quot;},{&quot;dropping-particle&quot;:&quot;&quot;,&quot;family&quot;:&quot;Lyapustin&quot;,&quot;given&quot;:&quot;Alexei&quot;,&quot;non-dropping-particle&quot;:&quot;&quot;,&quot;parse-names&quot;:false,&quot;suffix&quot;:&quot;&quot;},{&quot;dropping-particle&quot;:&quot;&quot;,&quot;family&quot;:&quot;Wang&quot;,&quot;given&quot;:&quot;Yujie&quot;,&quot;non-dropping-particle&quot;:&quot;&quot;,&quot;parse-names&quot;:false,&quot;suffix&quot;:&quot;&quot;},{&quot;dropping-particle&quot;:&quot;&quot;,&quot;family&quot;:&quot;Mickley&quot;,&quot;given&quot;:&quot;Loretta J.&quot;,&quot;non-dropping-particle&quot;:&quot;&quot;,&quot;parse-names&quot;:false,&quot;suffix&quot;:&quot;&quot;},{&quot;dropping-particle&quot;:&quot;&quot;,&quot;family&quot;:&quot;Schwartz&quot;,&quot;given&quot;:&quot;Joel&quot;,&quot;non-dropping-particle&quot;:&quot;&quot;,&quot;parse-names&quot;:false,&quot;suffix&quot;:&quot;&quot;}],&quot;container-title&quot;:&quot;Environment International&quot;,&quot;id&quot;:&quot;5cbe0841-024c-3d04-adb7-1e018d10f4b6&quot;,&quot;issued&quot;:{&quot;date-parts&quot;:[[&quot;2019&quot;,&quot;9&quot;,&quot;1&quot;]]},&quot;page&quot;:&quot;104909&quot;,&quot;publisher&quot;:&quot;Elsevier Ltd&quot;,&quot;title&quot;:&quot;An ensemble-based model of PM2.5 concentration across the contiguous United States with high spatiotemporal resolution&quot;,&quot;type&quot;:&quot;article-journal&quot;,&quot;volume&quot;:&quot;130&quot;},&quot;suppress-author&quot;:1,&quot;uris&quot;:[&quot;http://www.mendeley.com/documents/?uuid=5cbe0841-024c-3d04-adb7-1e018d10f4b6&quot;],&quot;isTemporary&quot;:false,&quot;legacyDesktopId&quot;:&quot;5cbe0841-024c-3d04-adb7-1e018d10f4b6&quot;}],&quot;properties&quot;:{&quot;noteIndex&quot;:0},&quot;isEdited&quot;:true,&quot;manualOverride&quot;:{&quot;citeprocText&quot;:&quot;(2019)&quot;,&quot;isManuallyOverridden&quot;:false,&quot;manualOverrideText&quot;:&quot;&quot;},&quot;citationTag&quot;:&quot;MENDELEY_CITATION_v3_eyJjaXRhdGlvbklEIjoiTUVOREVMRVlfQ0lUQVRJT05fMGYzZTM3NjAtOTFkOC00ZDQ2LTk2MWQtMjU1YmU0M2FkZWQ4IiwiY2l0YXRpb25JdGVtcyI6W3siaWQiOiI1Y2JlMDg0MS0wMjRjLTNkMDQtYWRiNy0xZTAxOGQxMGY0YjYiLCJpdGVtRGF0YSI6eyJET0kiOiIxMC4xMDE2L2ouZW52aW50LjIwMTkuMTA0OTA5IiwiSVNTTiI6IjE4NzM2NzUwIiwiUE1JRCI6IjMxMjcyMDE4IiwiYWJzdHJhY3QiOiJWYXJpb3VzIGFwcHJvYWNoZXMgaGF2ZSBiZWVuIHByb3Bvc2VkIHRvIG1vZGVsIFBNMi41IGluIHRoZSByZWNlbnQgZGVjYWRlLCB3aXRoIHNhdGVsbGl0ZS1kZXJpdmVkIGFlcm9zb2wgb3B0aWNhbCBkZXB0aCwgbGFuZC11c2UgdmFyaWFibGVzLCBjaGVtaWNhbCB0cmFuc3BvcnQgbW9kZWwgcHJlZGljdGlvbnMsIGFuZCBzZXZlcmFsIG1ldGVvcm9sb2dpY2FsIHZhcmlhYmxlcyBhcyBtYWpvciBwcmVkaWN0b3IgdmFyaWFibGVzLiBPdXIgc3R1ZHkgdXNlZCBhbiBlbnNlbWJsZSBtb2RlbCB0aGF0IGludGVncmF0ZWQgbXVsdGlwbGUgbWFjaGluZSBsZWFybmluZyBhbGdvcml0aG1zIGFuZCBwcmVkaWN0b3IgdmFyaWFibGVzIHRvIGVzdGltYXRlIGRhaWx5IFBNMi41IGF0IGEgcmVzb2x1dGlvbiBvZiAxIGttIMOXIDEga20gYWNyb3NzIHRoZSBjb250aWd1b3VzIFVuaXRlZCBTdGF0ZXMuIFdlIHVzZWQgYSBnZW5lcmFsaXplZCBhZGRpdGl2ZSBtb2RlbCB0aGF0IGFjY291bnRlZCBmb3IgZ2VvZ3JhcGhpYyBkaWZmZXJlbmNlIHRvIGNvbWJpbmUgUE0yLjUgZXN0aW1hdGVzIGZyb20gbmV1cmFsIG5ldHdvcmssIHJhbmRvbSBmb3Jlc3QsIGFuZCBncmFkaWVudCBib29zdGluZy4gVGhlIHRocmVlIG1hY2hpbmUgbGVhcm5pbmcgYWxnb3JpdGhtcyB3ZXJlIGJhc2VkIG9uIG11bHRpcGxlIHByZWRpY3RvciB2YXJpYWJsZXMsIGluY2x1ZGluZyBzYXRlbGxpdGUgZGF0YSwgbWV0ZW9yb2xvZ2ljYWwgdmFyaWFibGVzLCBsYW5kLXVzZSB2YXJpYWJsZXMsIGVsZXZhdGlvbiwgY2hlbWljYWwgdHJhbnNwb3J0IG1vZGVsIHByZWRpY3Rpb25zLCBzZXZlcmFsIHJlYW5hbHlzaXMgZGF0YXNldHMsIGFuZCBvdGhlcnMuIFRoZSBtb2RlbCB0cmFpbmluZyByZXN1bHRzIGZyb20gMjAwMCB0byAyMDE1IGluZGljYXRlZCBnb29kIG1vZGVsIHBlcmZvcm1hbmNlIHdpdGggYSAxMC1mb2xkIGNyb3NzLXZhbGlkYXRlZCBSMiBvZiAwLjg2IGZvciBkYWlseSBQTTIuNSBwcmVkaWN0aW9ucy4gRm9yIGFubnVhbCBQTTIuNSBlc3RpbWF0ZXMsIHRoZSBjcm9zcy12YWxpZGF0ZWQgUjIgd2FzIDAuODkuIE91ciBtb2RlbCBkZW1vbnN0cmF0ZWQgZ29vZCBwZXJmb3JtYW5jZSB1cCB0byA2MCDOvGcvbTMuIFVzaW5nIHRyYWluZWQgUE0yLjUgbW9kZWwgYW5kIHByZWRpY3RvciB2YXJpYWJsZXMsIHdlIHByZWRpY3RlZCBkYWlseSBQTTIuNSBmcm9tIDIwMDAgdG8gMjAxNSBhdCBldmVyeSAxIGttIMOXIDEga20gZ3JpZCBjZWxsIGluIHRoZSBjb250aWd1b3VzIFVuaXRlZCBTdGF0ZXMuIFdlIGFsc28gdXNlZCBsb2NhbGl6ZWQgbGFuZC11c2UgdmFyaWFibGVzIHdpdGhpbiAxIGttIMOXIDEga20gZ3JpZHMgdG8gZG93bnNjYWxlIFBNMi41IHByZWRpY3Rpb25zIHRvIDEwMCBtIMOXIDEwMCBtIGdyaWQgY2VsbHMuIFRvIGNoYXJhY3Rlcml6ZSB1bmNlcnRhaW50eSwgd2UgdXNlZCBtZXRlb3JvbG9naWNhbCB2YXJpYWJsZXMsIGxhbmQtdXNlIHZhcmlhYmxlcywgYW5kIGVsZXZhdGlvbiB0byBtb2RlbCB0aGUgbW9udGhseSBzdGFuZGFyZCBkZXZpYXRpb24gb2YgdGhlIGRpZmZlcmVuY2UgYmV0d2VlbiBkYWlseSBtb25pdG9yZWQgYW5kIHByZWRpY3RlZCBQTTIuNSBmb3IgZXZlcnkgMSBrbSDDlyAxIGttIGdyaWQgY2VsbC4gVGhpcyBQTTIuNSBwcmVkaWN0aW9uIGRhdGFzZXQsIGluY2x1ZGluZyB0aGUgZG93bnNjYWxlZCBhbmQgdW5jZXJ0YWludHkgcHJlZGljdGlvbnMsIGFsbG93cyBlcGlkZW1pb2xvZ2lzdHMgdG8gYWNjdXJhdGVseSBlc3RpbWF0ZSB0aGUgYWR2ZXJzZSBoZWFsdGggZWZmZWN0IG9mIFBNMi41LiBDb21wYXJlZCB3aXRoIG1vZGVsIHBlcmZvcm1hbmNlIG9mIGluZGl2aWR1YWwgYmFzZSBsZWFybmVycywgYW4gZW5zZW1ibGUgbW9kZWwgd291bGQgYWNoaWV2ZSBhIGJldHRlciBvdmVyYWxsIGVzdGltYXRpb24uIEl0IGlzIHdvcnRoIGV4cGxvcmluZyBvdGhlciBlbnNlbWJsZSBtb2RlbCBmb3JtYXRzIHRvIHN5bnRoZXNpemUgZXN0aW1hdGlvbnMgZnJvbSBkaWZmZXJlbnQgbW9kZWxzIG9yIGZyb20gZGlmZmVyZW50IGdyb3VwcyB0byBpbXByb3ZlIG92ZXJhbGwgcGVyZm9ybWFuY2UuIiwiYXV0aG9yIjpbeyJkcm9wcGluZy1wYXJ0aWNsZSI6IiIsImZhbWlseSI6IkRpIiwiZ2l2ZW4iOiJRaWFuIiwibm9uLWRyb3BwaW5nLXBhcnRpY2xlIjoiIiwicGFyc2UtbmFtZXMiOmZhbHNlLCJzdWZmaXgiOiIifSx7ImRyb3BwaW5nLXBhcnRpY2xlIjoiIiwiZmFtaWx5IjoiQW1pbmkiLCJnaXZlbiI6IkhlcmVzaCIsIm5vbi1kcm9wcGluZy1wYXJ0aWNsZSI6IiIsInBhcnNlLW5hbWVzIjpmYWxzZSwic3VmZml4IjoiIn0seyJkcm9wcGluZy1wYXJ0aWNsZSI6IiIsImZhbWlseSI6IlNoaSIsImdpdmVuIjoiTGl1aHVhIiwibm9uLWRyb3BwaW5nLXBhcnRpY2xlIjoiIiwicGFyc2UtbmFtZXMiOmZhbHNlLCJzdWZmaXgiOiIifSx7ImRyb3BwaW5nLXBhcnRpY2xlIjoiIiwiZmFtaWx5IjoiS2xvb2ciLCJnaXZlbiI6Ikl0YWkiLCJub24tZHJvcHBpbmctcGFydGljbGUiOiIiLCJwYXJzZS1uYW1lcyI6ZmFsc2UsInN1ZmZpeCI6IiJ9LHsiZHJvcHBpbmctcGFydGljbGUiOiIiLCJmYW1pbHkiOiJTaWx2ZXJuIiwiZ2l2ZW4iOiJSYWNoZWwiLCJub24tZHJvcHBpbmctcGFydGljbGUiOiIiLCJwYXJzZS1uYW1lcyI6ZmFsc2UsInN1ZmZpeCI6IiJ9LHsiZHJvcHBpbmctcGFydGljbGUiOiIiLCJmYW1pbHkiOiJLZWxseSIsImdpdmVuIjoiSmFtZXMiLCJub24tZHJvcHBpbmctcGFydGljbGUiOiIiLCJwYXJzZS1uYW1lcyI6ZmFsc2UsInN1ZmZpeCI6IiJ9LHsiZHJvcHBpbmctcGFydGljbGUiOiIiLCJmYW1pbHkiOiJTYWJhdGgiLCJnaXZlbiI6Ik0uIEJlbmphbWluIiwibm9uLWRyb3BwaW5nLXBhcnRpY2xlIjoiIiwicGFyc2UtbmFtZXMiOmZhbHNlLCJzdWZmaXgiOiIifSx7ImRyb3BwaW5nLXBhcnRpY2xlIjoiIiwiZmFtaWx5IjoiQ2hvaXJhdCIsImdpdmVuIjoiQ2hyaXN0aW5lIiwibm9uLWRyb3BwaW5nLXBhcnRpY2xlIjoiIiwicGFyc2UtbmFtZXMiOmZhbHNlLCJzdWZmaXgiOiIifSx7ImRyb3BwaW5nLXBhcnRpY2xlIjoiIiwiZmFtaWx5IjoiS291dHJha2lzIiwiZ2l2ZW4iOiJQZXRyb3MiLCJub24tZHJvcHBpbmctcGFydGljbGUiOiIiLCJwYXJzZS1uYW1lcyI6ZmFsc2UsInN1ZmZpeCI6IiJ9LHsiZHJvcHBpbmctcGFydGljbGUiOiIiLCJmYW1pbHkiOiJMeWFwdXN0aW4iLCJnaXZlbiI6IkFsZXhlaSIsIm5vbi1kcm9wcGluZy1wYXJ0aWNsZSI6IiIsInBhcnNlLW5hbWVzIjpmYWxzZSwic3VmZml4IjoiIn0seyJkcm9wcGluZy1wYXJ0aWNsZSI6IiIsImZhbWlseSI6IldhbmciLCJnaXZlbiI6Ill1amllIiwibm9uLWRyb3BwaW5nLXBhcnRpY2xlIjoiIiwicGFyc2UtbmFtZXMiOmZhbHNlLCJzdWZmaXgiOiIifSx7ImRyb3BwaW5nLXBhcnRpY2xlIjoiIiwiZmFtaWx5IjoiTWlja2xleSIsImdpdmVuIjoiTG9yZXR0YSBKLiIsIm5vbi1kcm9wcGluZy1wYXJ0aWNsZSI6IiIsInBhcnNlLW5hbWVzIjpmYWxzZSwic3VmZml4IjoiIn0seyJkcm9wcGluZy1wYXJ0aWNsZSI6IiIsImZhbWlseSI6IlNjaHdhcnR6IiwiZ2l2ZW4iOiJKb2VsIiwibm9uLWRyb3BwaW5nLXBhcnRpY2xlIjoiIiwicGFyc2UtbmFtZXMiOmZhbHNlLCJzdWZmaXgiOiIifV0sImNvbnRhaW5lci10aXRsZSI6IkVudmlyb25tZW50IEludGVybmF0aW9uYWwiLCJpZCI6IjVjYmUwODQxLTAyNGMtM2QwNC1hZGI3LTFlMDE4ZDEwZjRiNiIsImlzc3VlZCI6eyJkYXRlLXBhcnRzIjpbWyIyMDE5IiwiOSIsIjEiXV19LCJwYWdlIjoiMTA0OTA5IiwicHVibGlzaGVyIjoiRWxzZXZpZXIgTHRkIiwidGl0bGUiOiJBbiBlbnNlbWJsZS1iYXNlZCBtb2RlbCBvZiBQTTIuNSBjb25jZW50cmF0aW9uIGFjcm9zcyB0aGUgY29udGlndW91cyBVbml0ZWQgU3RhdGVzIHdpdGggaGlnaCBzcGF0aW90ZW1wb3JhbCByZXNvbHV0aW9uIiwidHlwZSI6ImFydGljbGUtam91cm5hbCIsInZvbHVtZSI6IjEzMCJ9LCJzdXBwcmVzcy1hdXRob3IiOjEsInVyaXMiOlsiaHR0cDovL3d3dy5tZW5kZWxleS5jb20vZG9jdW1lbnRzLz91dWlkPTVjYmUwODQxLTAyNGMtM2QwNC1hZGI3LTFlMDE4ZDEwZjRiNiJdLCJpc1RlbXBvcmFyeSI6ZmFsc2UsImxlZ2FjeURlc2t0b3BJZCI6IjVjYmUwODQxLTAyNGMtM2QwNC1hZGI3LTFlMDE4ZDEwZjRiNiJ9XSwicHJvcGVydGllcyI6eyJub3RlSW5kZXgiOjB9LCJpc0VkaXRlZCI6dHJ1ZSwibWFudWFsT3ZlcnJpZGUiOnsiY2l0ZXByb2NUZXh0IjoiKDIwMTkpIiwiaXNNYW51YWxseU92ZXJyaWRkZW4iOmZhbHNlLCJtYW51YWxPdmVycmlkZVRleHQiOiIifX0=&quot;},{&quot;citationID&quot;:&quot;MENDELEY_CITATION_42e71a7f-259e-4532-8c32-53dfc74b44ec&quot;,&quot;citationItems&quot;:[{&quot;id&quot;:&quot;62239884-794a-3aa1-96e3-3801f792f218&quot;,&quot;itemData&quot;:{&quot;DOI&quot;:&quot;10.1021/acs.est.9b04279&quot;,&quot;ISSN&quot;:&quot;15205851&quot;,&quot;PMID&quot;:&quot;31749355&quot;,&quot;abstract&quot;:&quot;Spatiotemporally resolved particulate matter (PM) estimates are essential for reconstructing long and short-term exposures in epidemiological research. Improved estimates of PM2.5 and PM10 concentrations were produced over Italy for 2013-2015 using satellite remote-sensing data and an ensemble modeling approach. The following modeling stages were used: (1) missing values of the satellite-based aerosol optical depth (AOD) product were imputed using a spatiotemporal land-use random-forest (RF) model incorporating AOD data from atmospheric ensemble models; (2) daily PM estimations were produced using four modeling approaches: linear mixed effects, RF, extreme gradient boosting, and a chemical transport model, the flexible air quality regional model. The filled-in MAIAC AOD together with additional spatial and temporal predictors were used as inputs in the three first models; (3) a geographically weighted generalized additive model (GAM) ensemble model was used to fuse the estimations from the four models by allowing the weights of each model to vary over space and time. The GAM ensemble model outperformed the four separate models, decreasing the cross-validated root mean squared error by 1-42%, depending on the model. The spatiotemporally resolved PM estimations produced by the suggested model can be applied in future epidemiological studies across Italy.&quot;,&quot;author&quot;:[{&quot;dropping-particle&quot;:&quot;&quot;,&quot;family&quot;:&quot;Shtein&quot;,&quot;given&quot;:&quot;Alexandra&quot;,&quot;non-dropping-particle&quot;:&quot;&quot;,&quot;parse-names&quot;:false,&quot;suffix&quot;:&quot;&quot;},{&quot;dropping-particle&quot;:&quot;&quot;,&quot;family&quot;:&quot;Kloog&quot;,&quot;given&quot;:&quot;Itai&quot;,&quot;non-dropping-particle&quot;:&quot;&quot;,&quot;parse-names&quot;:false,&quot;suffix&quot;:&quot;&quot;},{&quot;dropping-particle&quot;:&quot;&quot;,&quot;family&quot;:&quot;Schwartz&quot;,&quot;given&quot;:&quot;Joel&quot;,&quot;non-dropping-particle&quot;:&quot;&quot;,&quot;parse-names&quot;:false,&quot;suffix&quot;:&quot;&quot;},{&quot;dropping-particle&quot;:&quot;&quot;,&quot;family&quot;:&quot;Silibello&quot;,&quot;given&quot;:&quot;Camillo&quot;,&quot;non-dropping-particle&quot;:&quot;&quot;,&quot;parse-names&quot;:false,&quot;suffix&quot;:&quot;&quot;},{&quot;dropping-particle&quot;:&quot;&quot;,&quot;family&quot;:&quot;Michelozzi&quot;,&quot;given&quot;:&quot;Paola&quot;,&quot;non-dropping-particle&quot;:&quot;&quot;,&quot;parse-names&quot;:false,&quot;suffix&quot;:&quot;&quot;},{&quot;dropping-particle&quot;:&quot;&quot;,&quot;family&quot;:&quot;Gariazzo&quot;,&quot;given&quot;:&quot;Claudio&quot;,&quot;non-dropping-particle&quot;:&quot;&quot;,&quot;parse-names&quot;:false,&quot;suffix&quot;:&quot;&quot;},{&quot;dropping-particle&quot;:&quot;&quot;,&quot;family&quot;:&quot;Viegi&quot;,&quot;given&quot;:&quot;Giovanni&quot;,&quot;non-dropping-particle&quot;:&quot;&quot;,&quot;parse-names&quot;:false,&quot;suffix&quot;:&quot;&quot;},{&quot;dropping-particle&quot;:&quot;&quot;,&quot;family&quot;:&quot;Forastiere&quot;,&quot;given&quot;:&quot;Francesco&quot;,&quot;non-dropping-particle&quot;:&quot;&quot;,&quot;parse-names&quot;:false,&quot;suffix&quot;:&quot;&quot;},{&quot;dropping-particle&quot;:&quot;&quot;,&quot;family&quot;:&quot;Karnieli&quot;,&quot;given&quot;:&quot;Arnon&quot;,&quot;non-dropping-particle&quot;:&quot;&quot;,&quot;parse-names&quot;:false,&quot;suffix&quot;:&quot;&quot;},{&quot;dropping-particle&quot;:&quot;&quot;,&quot;family&quot;:&quot;Just&quot;,&quot;given&quot;:&quot;Allan C&quot;,&quot;non-dropping-particle&quot;:&quot;&quot;,&quot;parse-names&quot;:false,&quot;suffix&quot;:&quot;&quot;},{&quot;dropping-particle&quot;:&quot;&quot;,&quot;family&quot;:&quot;Stafoggia&quot;,&quot;given&quot;:&quot;Massimo&quot;,&quot;non-dropping-particle&quot;:&quot;&quot;,&quot;parse-names&quot;:false,&quot;suffix&quot;:&quot;&quot;}],&quot;container-title&quot;:&quot;Environmental Science and Technology&quot;,&quot;id&quot;:&quot;62239884-794a-3aa1-96e3-3801f792f218&quot;,&quot;issued&quot;:{&quot;date-parts&quot;:[[&quot;2019&quot;]]},&quot;title&quot;:&quot;Estimating Daily PM2.5 and PM10 over Italy Using an Ensemble Model&quot;,&quot;type&quot;:&quot;article-journal&quot;},&quot;uris&quot;:[&quot;http://www.mendeley.com/documents/?uuid=62239884-794a-3aa1-96e3-3801f792f218&quot;],&quot;isTemporary&quot;:false,&quot;legacyDesktopId&quot;:&quot;62239884-794a-3aa1-96e3-3801f792f218&quot;},{&quot;id&quot;:&quot;155c9ad1-98cf-307c-b9fb-94d0de0f6bda&quot;,&quot;itemData&quot;:{&quot;DOI&quot;:&quot;10.3390/atmos11030239&quot;,&quot;ISSN&quot;:&quot;20734433&quot;,&quot;abstract&quot;:&quot;Air pollution is one of the leading causes of mortality worldwide. An accurate assessment of its spatial and temporal distribution is mandatory to conduct epidemiological studies able to estimate long-term (e.g., annual) and short-term (e.g., daily) health effects. While spatiotemporal models for particulate matter (PM) have been developed in several countries, estimates of daily nitrogen dioxide (NO2) and ozone (O3) concentrations at high spatial resolution are lacking, and no such models have been developed in Sweden. We collected data on daily air pollutant concentrations from routine monitoring networks over the period 2005-2016 and matched them with satellite data, dispersion models, meteorological parameters, and land-use variables. We developed a machine-learning approach, the random forest (RF), to estimate daily concentrations of PM10 (PM&lt;10 microns), PM2.5 (PM&lt;2.5 microns), PM2.5-10 (PM between 2.5 and 10 microns), NO2, and O3 for each squared kilometer of Sweden over the period 2005-2016. Our models were able to describe between 64% (PM10) and 78% (O3) of air pollutant variability in held-out observations, and between 37% (NO2) and 61% (O3) in held-out monitors, with no major differences across years and seasons and better performance in larger cities such as Stockholm. These estimates will allow to investigate air pollution effects across the whole of Sweden, including suburban and rural areas, previously neglected by epidemiological investigations.&quot;,&quot;author&quot;:[{&quot;dropping-particle&quot;:&quot;&quot;,&quot;family&quot;:&quot;Stafoggia&quot;,&quot;given&quot;:&quot;Massimo&quot;,&quot;non-dropping-particle&quot;:&quot;&quot;,&quot;parse-names&quot;:false,&quot;suffix&quot;:&quot;&quot;},{&quot;dropping-particle&quot;:&quot;&quot;,&quot;family&quot;:&quot;Johansson&quot;,&quot;given&quot;:&quot;Christer&quot;,&quot;non-dropping-particle&quot;:&quot;&quot;,&quot;parse-names&quot;:false,&quot;suffix&quot;:&quot;&quot;},{&quot;dropping-particle&quot;:&quot;&quot;,&quot;family&quot;:&quot;Glantz&quot;,&quot;given&quot;:&quot;Paul&quot;,&quot;non-dropping-particle&quot;:&quot;&quot;,&quot;parse-names&quot;:false,&quot;suffix&quot;:&quot;&quot;},{&quot;dropping-particle&quot;:&quot;&quot;,&quot;family&quot;:&quot;Renzi&quot;,&quot;given&quot;:&quot;Matteo&quot;,&quot;non-dropping-particle&quot;:&quot;&quot;,&quot;parse-names&quot;:false,&quot;suffix&quot;:&quot;&quot;},{&quot;dropping-particle&quot;:&quot;&quot;,&quot;family&quot;:&quot;Shtein&quot;,&quot;given&quot;:&quot;Alexandra&quot;,&quot;non-dropping-particle&quot;:&quot;&quot;,&quot;parse-names&quot;:false,&quot;suffix&quot;:&quot;&quot;},{&quot;dropping-particle&quot;:&quot;de&quot;,&quot;family&quot;:&quot;Hoogh&quot;,&quot;given&quot;:&quot;Kees&quot;,&quot;non-dropping-particle&quot;:&quot;&quot;,&quot;parse-names&quot;:false,&quot;suffix&quot;:&quot;&quot;},{&quot;dropping-particle&quot;:&quot;&quot;,&quot;family&quot;:&quot;Kloog&quot;,&quot;given&quot;:&quot;Itai&quot;,&quot;non-dropping-particle&quot;:&quot;&quot;,&quot;parse-names&quot;:false,&quot;suffix&quot;:&quot;&quot;},{&quot;dropping-particle&quot;:&quot;&quot;,&quot;family&quot;:&quot;Davoli&quot;,&quot;given&quot;:&quot;Marina&quot;,&quot;non-dropping-particle&quot;:&quot;&quot;,&quot;parse-names&quot;:false,&quot;suffix&quot;:&quot;&quot;},{&quot;dropping-particle&quot;:&quot;&quot;,&quot;family&quot;:&quot;Michelozzi&quot;,&quot;given&quot;:&quot;Paola&quot;,&quot;non-dropping-particle&quot;:&quot;&quot;,&quot;parse-names&quot;:false,&quot;suffix&quot;:&quot;&quot;},{&quot;dropping-particle&quot;:&quot;&quot;,&quot;family&quot;:&quot;Bellander&quot;,&quot;given&quot;:&quot;Tom&quot;,&quot;non-dropping-particle&quot;:&quot;&quot;,&quot;parse-names&quot;:false,&quot;suffix&quot;:&quot;&quot;}],&quot;container-title&quot;:&quot;Atmosphere&quot;,&quot;id&quot;:&quot;155c9ad1-98cf-307c-b9fb-94d0de0f6bda&quot;,&quot;issue&quot;:&quot;3&quot;,&quot;issued&quot;:{&quot;date-parts&quot;:[[&quot;2020&quot;,&quot;2&quot;,&quot;29&quot;]]},&quot;page&quot;:&quot;239&quot;,&quot;publisher&quot;:&quot;Multidisciplinary Digital Publishing Institute&quot;,&quot;title&quot;:&quot;A random forest approach to estimate daily particulate matter, nitrogen dioxide, and ozone at fine spatial resolution in Sweden&quot;,&quot;type&quot;:&quot;article-journal&quot;,&quot;volume&quot;:&quot;11&quot;},&quot;uris&quot;:[&quot;http://www.mendeley.com/documents/?uuid=155c9ad1-98cf-307c-b9fb-94d0de0f6bda&quot;],&quot;isTemporary&quot;:false,&quot;legacyDesktopId&quot;:&quot;155c9ad1-98cf-307c-b9fb-94d0de0f6bda&quot;}],&quot;properties&quot;:{&quot;noteIndex&quot;:0},&quot;isEdited&quot;:false,&quot;manualOverride&quot;:{&quot;citeprocText&quot;:&quot;(Shtein et al., 2019; Stafoggia et al., 2020)&quot;,&quot;isManuallyOverridden&quot;:false,&quot;manualOverrideText&quot;:&quot;&quot;},&quot;citationTag&quot;:&quot;MENDELEY_CITATION_v3_eyJjaXRhdGlvbklEIjoiTUVOREVMRVlfQ0lUQVRJT05fNDJlNzFhN2YtMjU5ZS00NTMyLThjMzItNTNkZmM3NGI0NGVjIiwiY2l0YXRpb25JdGVtcyI6W3siaWQiOiI2MjIzOTg4NC03OTRhLTNhYTEtOTZlMy0zODAxZjc5MmYyMTgiLCJpdGVtRGF0YSI6eyJET0kiOiIxMC4xMDIxL2Fjcy5lc3QuOWIwNDI3OSIsIklTU04iOiIxNTIwNTg1MSIsIlBNSUQiOiIzMTc0OTM1NSIsImFic3RyYWN0IjoiU3BhdGlvdGVtcG9yYWxseSByZXNvbHZlZCBwYXJ0aWN1bGF0ZSBtYXR0ZXIgKFBNKSBlc3RpbWF0ZXMgYXJlIGVzc2VudGlhbCBmb3IgcmVjb25zdHJ1Y3RpbmcgbG9uZyBhbmQgc2hvcnQtdGVybSBleHBvc3VyZXMgaW4gZXBpZGVtaW9sb2dpY2FsIHJlc2VhcmNoLiBJbXByb3ZlZCBlc3RpbWF0ZXMgb2YgUE0yLjUgYW5kIFBNMTAgY29uY2VudHJhdGlvbnMgd2VyZSBwcm9kdWNlZCBvdmVyIEl0YWx5IGZvciAyMDEzLTIwMTUgdXNpbmcgc2F0ZWxsaXRlIHJlbW90ZS1zZW5zaW5nIGRhdGEgYW5kIGFuIGVuc2VtYmxlIG1vZGVsaW5nIGFwcHJvYWNoLiBUaGUgZm9sbG93aW5nIG1vZGVsaW5nIHN0YWdlcyB3ZXJlIHVzZWQ6ICgxKSBtaXNzaW5nIHZhbHVlcyBvZiB0aGUgc2F0ZWxsaXRlLWJhc2VkIGFlcm9zb2wgb3B0aWNhbCBkZXB0aCAoQU9EKSBwcm9kdWN0IHdlcmUgaW1wdXRlZCB1c2luZyBhIHNwYXRpb3RlbXBvcmFsIGxhbmQtdXNlIHJhbmRvbS1mb3Jlc3QgKFJGKSBtb2RlbCBpbmNvcnBvcmF0aW5nIEFPRCBkYXRhIGZyb20gYXRtb3NwaGVyaWMgZW5zZW1ibGUgbW9kZWxzOyAoMikgZGFpbHkgUE0gZXN0aW1hdGlvbnMgd2VyZSBwcm9kdWNlZCB1c2luZyBmb3VyIG1vZGVsaW5nIGFwcHJvYWNoZXM6IGxpbmVhciBtaXhlZCBlZmZlY3RzLCBSRiwgZXh0cmVtZSBncmFkaWVudCBib29zdGluZywgYW5kIGEgY2hlbWljYWwgdHJhbnNwb3J0IG1vZGVsLCB0aGUgZmxleGlibGUgYWlyIHF1YWxpdHkgcmVnaW9uYWwgbW9kZWwuIFRoZSBmaWxsZWQtaW4gTUFJQUMgQU9EIHRvZ2V0aGVyIHdpdGggYWRkaXRpb25hbCBzcGF0aWFsIGFuZCB0ZW1wb3JhbCBwcmVkaWN0b3JzIHdlcmUgdXNlZCBhcyBpbnB1dHMgaW4gdGhlIHRocmVlIGZpcnN0IG1vZGVsczsgKDMpIGEgZ2VvZ3JhcGhpY2FsbHkgd2VpZ2h0ZWQgZ2VuZXJhbGl6ZWQgYWRkaXRpdmUgbW9kZWwgKEdBTSkgZW5zZW1ibGUgbW9kZWwgd2FzIHVzZWQgdG8gZnVzZSB0aGUgZXN0aW1hdGlvbnMgZnJvbSB0aGUgZm91ciBtb2RlbHMgYnkgYWxsb3dpbmcgdGhlIHdlaWdodHMgb2YgZWFjaCBtb2RlbCB0byB2YXJ5IG92ZXIgc3BhY2UgYW5kIHRpbWUuIFRoZSBHQU0gZW5zZW1ibGUgbW9kZWwgb3V0cGVyZm9ybWVkIHRoZSBmb3VyIHNlcGFyYXRlIG1vZGVscywgZGVjcmVhc2luZyB0aGUgY3Jvc3MtdmFsaWRhdGVkIHJvb3QgbWVhbiBzcXVhcmVkIGVycm9yIGJ5IDEtNDIlLCBkZXBlbmRpbmcgb24gdGhlIG1vZGVsLiBUaGUgc3BhdGlvdGVtcG9yYWxseSByZXNvbHZlZCBQTSBlc3RpbWF0aW9ucyBwcm9kdWNlZCBieSB0aGUgc3VnZ2VzdGVkIG1vZGVsIGNhbiBiZSBhcHBsaWVkIGluIGZ1dHVyZSBlcGlkZW1pb2xvZ2ljYWwgc3R1ZGllcyBhY3Jvc3MgSXRhbHkuIiwiYXV0aG9yIjpbeyJkcm9wcGluZy1wYXJ0aWNsZSI6IiIsImZhbWlseSI6IlNodGVpbiIsImdpdmVuIjoiQWxleGFuZHJhIiwibm9uLWRyb3BwaW5nLXBhcnRpY2xlIjoiIiwicGFyc2UtbmFtZXMiOmZhbHNlLCJzdWZmaXgiOiIifSx7ImRyb3BwaW5nLXBhcnRpY2xlIjoiIiwiZmFtaWx5IjoiS2xvb2ciLCJnaXZlbiI6Ikl0YWkiLCJub24tZHJvcHBpbmctcGFydGljbGUiOiIiLCJwYXJzZS1uYW1lcyI6ZmFsc2UsInN1ZmZpeCI6IiJ9LHsiZHJvcHBpbmctcGFydGljbGUiOiIiLCJmYW1pbHkiOiJTY2h3YXJ0eiIsImdpdmVuIjoiSm9lbCIsIm5vbi1kcm9wcGluZy1wYXJ0aWNsZSI6IiIsInBhcnNlLW5hbWVzIjpmYWxzZSwic3VmZml4IjoiIn0seyJkcm9wcGluZy1wYXJ0aWNsZSI6IiIsImZhbWlseSI6IlNpbGliZWxsbyIsImdpdmVuIjoiQ2FtaWxsbyIsIm5vbi1kcm9wcGluZy1wYXJ0aWNsZSI6IiIsInBhcnNlLW5hbWVzIjpmYWxzZSwic3VmZml4IjoiIn0seyJkcm9wcGluZy1wYXJ0aWNsZSI6IiIsImZhbWlseSI6Ik1pY2hlbG96emkiLCJnaXZlbiI6IlBhb2xhIiwibm9uLWRyb3BwaW5nLXBhcnRpY2xlIjoiIiwicGFyc2UtbmFtZXMiOmZhbHNlLCJzdWZmaXgiOiIifSx7ImRyb3BwaW5nLXBhcnRpY2xlIjoiIiwiZmFtaWx5IjoiR2FyaWF6em8iLCJnaXZlbiI6IkNsYXVkaW8iLCJub24tZHJvcHBpbmctcGFydGljbGUiOiIiLCJwYXJzZS1uYW1lcyI6ZmFsc2UsInN1ZmZpeCI6IiJ9LHsiZHJvcHBpbmctcGFydGljbGUiOiIiLCJmYW1pbHkiOiJWaWVnaSIsImdpdmVuIjoiR2lvdmFubmkiLCJub24tZHJvcHBpbmctcGFydGljbGUiOiIiLCJwYXJzZS1uYW1lcyI6ZmFsc2UsInN1ZmZpeCI6IiJ9LHsiZHJvcHBpbmctcGFydGljbGUiOiIiLCJmYW1pbHkiOiJGb3Jhc3RpZXJlIiwiZ2l2ZW4iOiJGcmFuY2VzY28iLCJub24tZHJvcHBpbmctcGFydGljbGUiOiIiLCJwYXJzZS1uYW1lcyI6ZmFsc2UsInN1ZmZpeCI6IiJ9LHsiZHJvcHBpbmctcGFydGljbGUiOiIiLCJmYW1pbHkiOiJLYXJuaWVsaSIsImdpdmVuIjoiQXJub24iLCJub24tZHJvcHBpbmctcGFydGljbGUiOiIiLCJwYXJzZS1uYW1lcyI6ZmFsc2UsInN1ZmZpeCI6IiJ9LHsiZHJvcHBpbmctcGFydGljbGUiOiIiLCJmYW1pbHkiOiJKdXN0IiwiZ2l2ZW4iOiJBbGxhbiBDIiwibm9uLWRyb3BwaW5nLXBhcnRpY2xlIjoiIiwicGFyc2UtbmFtZXMiOmZhbHNlLCJzdWZmaXgiOiIifSx7ImRyb3BwaW5nLXBhcnRpY2xlIjoiIiwiZmFtaWx5IjoiU3RhZm9nZ2lhIiwiZ2l2ZW4iOiJNYXNzaW1vIiwibm9uLWRyb3BwaW5nLXBhcnRpY2xlIjoiIiwicGFyc2UtbmFtZXMiOmZhbHNlLCJzdWZmaXgiOiIifV0sImNvbnRhaW5lci10aXRsZSI6IkVudmlyb25tZW50YWwgU2NpZW5jZSBhbmQgVGVjaG5vbG9neSIsImlkIjoiNjIyMzk4ODQtNzk0YS0zYWExLTk2ZTMtMzgwMWY3OTJmMjE4IiwiaXNzdWVkIjp7ImRhdGUtcGFydHMiOltbIjIwMTkiXV19LCJ0aXRsZSI6IkVzdGltYXRpbmcgRGFpbHkgUE0yLjUgYW5kIFBNMTAgb3ZlciBJdGFseSBVc2luZyBhbiBFbnNlbWJsZSBNb2RlbCIsInR5cGUiOiJhcnRpY2xlLWpvdXJuYWwifSwidXJpcyI6WyJodHRwOi8vd3d3Lm1lbmRlbGV5LmNvbS9kb2N1bWVudHMvP3V1aWQ9NjIyMzk4ODQtNzk0YS0zYWExLTk2ZTMtMzgwMWY3OTJmMjE4Il0sImlzVGVtcG9yYXJ5IjpmYWxzZSwibGVnYWN5RGVza3RvcElkIjoiNjIyMzk4ODQtNzk0YS0zYWExLTk2ZTMtMzgwMWY3OTJmMjE4In0seyJpZCI6IjE1NWM5YWQxLTk4Y2YtMzA3Yy1iOWZiLTk0ZDBkZTBmNmJkYSIsIml0ZW1EYXRhIjp7IkRPSSI6IjEwLjMzOTAvYXRtb3MxMTAzMDIzOSIsIklTU04iOiIyMDczNDQzMyIsImFic3RyYWN0IjoiQWlyIHBvbGx1dGlvbiBpcyBvbmUgb2YgdGhlIGxlYWRpbmcgY2F1c2VzIG9mIG1vcnRhbGl0eSB3b3JsZHdpZGUuIEFuIGFjY3VyYXRlIGFzc2Vzc21lbnQgb2YgaXRzIHNwYXRpYWwgYW5kIHRlbXBvcmFsIGRpc3RyaWJ1dGlvbiBpcyBtYW5kYXRvcnkgdG8gY29uZHVjdCBlcGlkZW1pb2xvZ2ljYWwgc3R1ZGllcyBhYmxlIHRvIGVzdGltYXRlIGxvbmctdGVybSAoZS5nLiwgYW5udWFsKSBhbmQgc2hvcnQtdGVybSAoZS5nLiwgZGFpbHkpIGhlYWx0aCBlZmZlY3RzLiBXaGlsZSBzcGF0aW90ZW1wb3JhbCBtb2RlbHMgZm9yIHBhcnRpY3VsYXRlIG1hdHRlciAoUE0pIGhhdmUgYmVlbiBkZXZlbG9wZWQgaW4gc2V2ZXJhbCBjb3VudHJpZXMsIGVzdGltYXRlcyBvZiBkYWlseSBuaXRyb2dlbiBkaW94aWRlIChOTzIpIGFuZCBvem9uZSAoTzMpIGNvbmNlbnRyYXRpb25zIGF0IGhpZ2ggc3BhdGlhbCByZXNvbHV0aW9uIGFyZSBsYWNraW5nLCBhbmQgbm8gc3VjaCBtb2RlbHMgaGF2ZSBiZWVuIGRldmVsb3BlZCBpbiBTd2VkZW4uIFdlIGNvbGxlY3RlZCBkYXRhIG9uIGRhaWx5IGFpciBwb2xsdXRhbnQgY29uY2VudHJhdGlvbnMgZnJvbSByb3V0aW5lIG1vbml0b3JpbmcgbmV0d29ya3Mgb3ZlciB0aGUgcGVyaW9kIDIwMDUtMjAxNiBhbmQgbWF0Y2hlZCB0aGVtIHdpdGggc2F0ZWxsaXRlIGRhdGEsIGRpc3BlcnNpb24gbW9kZWxzLCBtZXRlb3JvbG9naWNhbCBwYXJhbWV0ZXJzLCBhbmQgbGFuZC11c2UgdmFyaWFibGVzLiBXZSBkZXZlbG9wZWQgYSBtYWNoaW5lLWxlYXJuaW5nIGFwcHJvYWNoLCB0aGUgcmFuZG9tIGZvcmVzdCAoUkYpLCB0byBlc3RpbWF0ZSBkYWlseSBjb25jZW50cmF0aW9ucyBvZiBQTTEwIChQTTwxMCBtaWNyb25zKSwgUE0yLjUgKFBNPDIuNSBtaWNyb25zKSwgUE0yLjUtMTAgKFBNIGJldHdlZW4gMi41IGFuZCAxMCBtaWNyb25zKSwgTk8yLCBhbmQgTzMgZm9yIGVhY2ggc3F1YXJlZCBraWxvbWV0ZXIgb2YgU3dlZGVuIG92ZXIgdGhlIHBlcmlvZCAyMDA1LTIwMTYuIE91ciBtb2RlbHMgd2VyZSBhYmxlIHRvIGRlc2NyaWJlIGJldHdlZW4gNjQlIChQTTEwKSBhbmQgNzglIChPMykgb2YgYWlyIHBvbGx1dGFudCB2YXJpYWJpbGl0eSBpbiBoZWxkLW91dCBvYnNlcnZhdGlvbnMsIGFuZCBiZXR3ZWVuIDM3JSAoTk8yKSBhbmQgNjElIChPMykgaW4gaGVsZC1vdXQgbW9uaXRvcnMsIHdpdGggbm8gbWFqb3IgZGlmZmVyZW5jZXMgYWNyb3NzIHllYXJzIGFuZCBzZWFzb25zIGFuZCBiZXR0ZXIgcGVyZm9ybWFuY2UgaW4gbGFyZ2VyIGNpdGllcyBzdWNoIGFzIFN0b2NraG9sbS4gVGhlc2UgZXN0aW1hdGVzIHdpbGwgYWxsb3cgdG8gaW52ZXN0aWdhdGUgYWlyIHBvbGx1dGlvbiBlZmZlY3RzIGFjcm9zcyB0aGUgd2hvbGUgb2YgU3dlZGVuLCBpbmNsdWRpbmcgc3VidXJiYW4gYW5kIHJ1cmFsIGFyZWFzLCBwcmV2aW91c2x5IG5lZ2xlY3RlZCBieSBlcGlkZW1pb2xvZ2ljYWwgaW52ZXN0aWdhdGlvbnMuIiwiYXV0aG9yIjpbeyJkcm9wcGluZy1wYXJ0aWNsZSI6IiIsImZhbWlseSI6IlN0YWZvZ2dpYSIsImdpdmVuIjoiTWFzc2ltbyIsIm5vbi1kcm9wcGluZy1wYXJ0aWNsZSI6IiIsInBhcnNlLW5hbWVzIjpmYWxzZSwic3VmZml4IjoiIn0seyJkcm9wcGluZy1wYXJ0aWNsZSI6IiIsImZhbWlseSI6IkpvaGFuc3NvbiIsImdpdmVuIjoiQ2hyaXN0ZXIiLCJub24tZHJvcHBpbmctcGFydGljbGUiOiIiLCJwYXJzZS1uYW1lcyI6ZmFsc2UsInN1ZmZpeCI6IiJ9LHsiZHJvcHBpbmctcGFydGljbGUiOiIiLCJmYW1pbHkiOiJHbGFudHoiLCJnaXZlbiI6IlBhdWwiLCJub24tZHJvcHBpbmctcGFydGljbGUiOiIiLCJwYXJzZS1uYW1lcyI6ZmFsc2UsInN1ZmZpeCI6IiJ9LHsiZHJvcHBpbmctcGFydGljbGUiOiIiLCJmYW1pbHkiOiJSZW56aSIsImdpdmVuIjoiTWF0dGVvIiwibm9uLWRyb3BwaW5nLXBhcnRpY2xlIjoiIiwicGFyc2UtbmFtZXMiOmZhbHNlLCJzdWZmaXgiOiIifSx7ImRyb3BwaW5nLXBhcnRpY2xlIjoiIiwiZmFtaWx5IjoiU2h0ZWluIiwiZ2l2ZW4iOiJBbGV4YW5kcmEiLCJub24tZHJvcHBpbmctcGFydGljbGUiOiIiLCJwYXJzZS1uYW1lcyI6ZmFsc2UsInN1ZmZpeCI6IiJ9LHsiZHJvcHBpbmctcGFydGljbGUiOiJkZSIsImZhbWlseSI6Ikhvb2doIiwiZ2l2ZW4iOiJLZWVzIiwibm9uLWRyb3BwaW5nLXBhcnRpY2xlIjoiIiwicGFyc2UtbmFtZXMiOmZhbHNlLCJzdWZmaXgiOiIifSx7ImRyb3BwaW5nLXBhcnRpY2xlIjoiIiwiZmFtaWx5IjoiS2xvb2ciLCJnaXZlbiI6Ikl0YWkiLCJub24tZHJvcHBpbmctcGFydGljbGUiOiIiLCJwYXJzZS1uYW1lcyI6ZmFsc2UsInN1ZmZpeCI6IiJ9LHsiZHJvcHBpbmctcGFydGljbGUiOiIiLCJmYW1pbHkiOiJEYXZvbGkiLCJnaXZlbiI6Ik1hcmluYSIsIm5vbi1kcm9wcGluZy1wYXJ0aWNsZSI6IiIsInBhcnNlLW5hbWVzIjpmYWxzZSwic3VmZml4IjoiIn0seyJkcm9wcGluZy1wYXJ0aWNsZSI6IiIsImZhbWlseSI6Ik1pY2hlbG96emkiLCJnaXZlbiI6IlBhb2xhIiwibm9uLWRyb3BwaW5nLXBhcnRpY2xlIjoiIiwicGFyc2UtbmFtZXMiOmZhbHNlLCJzdWZmaXgiOiIifSx7ImRyb3BwaW5nLXBhcnRpY2xlIjoiIiwiZmFtaWx5IjoiQmVsbGFuZGVyIiwiZ2l2ZW4iOiJUb20iLCJub24tZHJvcHBpbmctcGFydGljbGUiOiIiLCJwYXJzZS1uYW1lcyI6ZmFsc2UsInN1ZmZpeCI6IiJ9XSwiY29udGFpbmVyLXRpdGxlIjoiQXRtb3NwaGVyZSIsImlkIjoiMTU1YzlhZDEtOThjZi0zMDdjLWI5ZmItOTRkMGRlMGY2YmRhIiwiaXNzdWUiOiIzIiwiaXNzdWVkIjp7ImRhdGUtcGFydHMiOltbIjIwMjAiLCIyIiwiMjkiXV19LCJwYWdlIjoiMjM5IiwicHVibGlzaGVyIjoiTXVsdGlkaXNjaXBsaW5hcnkgRGlnaXRhbCBQdWJsaXNoaW5nIEluc3RpdHV0ZSIsInRpdGxlIjoiQSByYW5kb20gZm9yZXN0IGFwcHJvYWNoIHRvIGVzdGltYXRlIGRhaWx5IHBhcnRpY3VsYXRlIG1hdHRlciwgbml0cm9nZW4gZGlveGlkZSwgYW5kIG96b25lIGF0IGZpbmUgc3BhdGlhbCByZXNvbHV0aW9uIGluIFN3ZWRlbiIsInR5cGUiOiJhcnRpY2xlLWpvdXJuYWwiLCJ2b2x1bWUiOiIxMSJ9LCJ1cmlzIjpbImh0dHA6Ly93d3cubWVuZGVsZXkuY29tL2RvY3VtZW50cy8/dXVpZD0xNTVjOWFkMS05OGNmLTMwN2MtYjlmYi05NGQwZGUwZjZiZGEiXSwiaXNUZW1wb3JhcnkiOmZhbHNlLCJsZWdhY3lEZXNrdG9wSWQiOiIxNTVjOWFkMS05OGNmLTMwN2MtYjlmYi05NGQwZGUwZjZiZGEifV0sInByb3BlcnRpZXMiOnsibm90ZUluZGV4IjowfSwiaXNFZGl0ZWQiOmZhbHNlLCJtYW51YWxPdmVycmlkZSI6eyJjaXRlcHJvY1RleHQiOiIoU2h0ZWluIGV0IGFsLiwgMjAxOTsgU3RhZm9nZ2lhIGV0IGFsLiwgMjAyMCkiLCJpc01hbnVhbGx5T3ZlcnJpZGRlbiI6ZmFsc2UsIm1hbnVhbE92ZXJyaWRlVGV4dCI6IiJ9fQ==&quot;},{&quot;citationID&quot;:&quot;MENDELEY_CITATION_57c7449f-f634-47dc-ad7a-f21337214897&quot;,&quot;citationItems&quot;:[{&quot;id&quot;:&quot;55d63532-bfcd-3a1a-8ed3-d9539f0b277a&quot;,&quot;itemData&quot;:{&quot;DOI&quot;:&quot;10.3390/rs12223803&quot;,&quot;ISSN&quot;:&quot;20724292&quot;,&quot;abstract&quot;:&quot;Epidemiological studies on the health effects of air pollution usually rely on measurements from fixed ground monitors, which provide limited spatio-temporal coverage. Data from satellites, reanalysis, and chemical transport models offer additional information used to reconstruct pollution concentrations at high spatio-temporal resolutions. This study aims to develop a multi-stage satellite-based machine learning model to estimate daily fine particulate matter (PM2.5) levels across Great Britain between 2008–2018. This high-resolution model consists of random forest (RF) algorithms applied in four stages. Stage-1 augments monitor-PM2.5 series using co-located PM10 measures. Stage-2 imputes missing satellite aerosol optical depth observations using atmospheric reanalysis models. Stage-3 integrates the output from previous stages with spatial and spatio-temporal variables to build a prediction model for PM2.5 . Stage-4 applies Stage-3 models to estimate daily PM2.5 concentrations over a 1 km grid. The RF architecture performed well in all stages, with results from Stage-3 showing an average cross-validated R2 of 0.767 and minimal bias. The model performed better over the temporal scale when compared to the spatial component, but both presented good accuracy with an R2 of 0.795 and 0.658, respectively. These findings indicate that direct satellite observations must be integrated with other satellite-based products and geospatial variables to derive reliable estimates of air pollution exposure. The high spatio-temporal resolution and the relatively high precision allow these estimates (approximately 950 million points) to be used in epidemiological analyses to assess health risks associated with both short-and long-term exposure to PM2.5 .&quot;,&quot;author&quot;:[{&quot;dropping-particle&quot;:&quot;&quot;,&quot;family&quot;:&quot;Schneider&quot;,&quot;given&quot;:&quot;Rochelle&quot;,&quot;non-dropping-particle&quot;:&quot;&quot;,&quot;parse-names&quot;:false,&quot;suffix&quot;:&quot;&quot;},{&quot;dropping-particle&quot;:&quot;&quot;,&quot;family&quot;:&quot;Vicedo-Cabrera&quot;,&quot;given&quot;:&quot;Ana M.&quot;,&quot;non-dropping-particle&quot;:&quot;&quot;,&quot;parse-names&quot;:false,&quot;suffix&quot;:&quot;&quot;},{&quot;dropping-particle&quot;:&quot;&quot;,&quot;family&quot;:&quot;Sera&quot;,&quot;given&quot;:&quot;Francesco&quot;,&quot;non-dropping-particle&quot;:&quot;&quot;,&quot;parse-names&quot;:false,&quot;suffix&quot;:&quot;&quot;},{&quot;dropping-particle&quot;:&quot;&quot;,&quot;family&quot;:&quot;Masselot&quot;,&quot;given&quot;:&quot;Pierre&quot;,&quot;non-dropping-particle&quot;:&quot;&quot;,&quot;parse-names&quot;:false,&quot;suffix&quot;:&quot;&quot;},{&quot;dropping-particle&quot;:&quot;&quot;,&quot;family&quot;:&quot;Stafoggia&quot;,&quot;given&quot;:&quot;Massimo&quot;,&quot;non-dropping-particle&quot;:&quot;&quot;,&quot;parse-names&quot;:false,&quot;suffix&quot;:&quot;&quot;},{&quot;dropping-particle&quot;:&quot;&quot;,&quot;family&quot;:&quot;Hoogh&quot;,&quot;given&quot;:&quot;Kees&quot;,&quot;non-dropping-particle&quot;:&quot;de&quot;,&quot;parse-names&quot;:false,&quot;suffix&quot;:&quot;&quot;},{&quot;dropping-particle&quot;:&quot;&quot;,&quot;family&quot;:&quot;Kloog&quot;,&quot;given&quot;:&quot;Itai&quot;,&quot;non-dropping-particle&quot;:&quot;&quot;,&quot;parse-names&quot;:false,&quot;suffix&quot;:&quot;&quot;},{&quot;dropping-particle&quot;:&quot;&quot;,&quot;family&quot;:&quot;Reis&quot;,&quot;given&quot;:&quot;Stefan&quot;,&quot;non-dropping-particle&quot;:&quot;&quot;,&quot;parse-names&quot;:false,&quot;suffix&quot;:&quot;&quot;},{&quot;dropping-particle&quot;:&quot;&quot;,&quot;family&quot;:&quot;Vieno&quot;,&quot;given&quot;:&quot;Massimo&quot;,&quot;non-dropping-particle&quot;:&quot;&quot;,&quot;parse-names&quot;:false,&quot;suffix&quot;:&quot;&quot;},{&quot;dropping-particle&quot;:&quot;&quot;,&quot;family&quot;:&quot;Gasparrini&quot;,&quot;given&quot;:&quot;Antonio&quot;,&quot;non-dropping-particle&quot;:&quot;&quot;,&quot;parse-names&quot;:false,&quot;suffix&quot;:&quot;&quot;}],&quot;container-title&quot;:&quot;Remote Sensing&quot;,&quot;id&quot;:&quot;55d63532-bfcd-3a1a-8ed3-d9539f0b277a&quot;,&quot;issue&quot;:&quot;22&quot;,&quot;issued&quot;:{&quot;date-parts&quot;:[[&quot;2020&quot;,&quot;11&quot;,&quot;2&quot;]]},&quot;page&quot;:&quot;1-19&quot;,&quot;publisher&quot;:&quot;MDPI AG&quot;,&quot;title&quot;:&quot;A satellite-based spatio-temporal machine learning model to reconstruct daily PM2.5 concentrations across great britain&quot;,&quot;type&quot;:&quot;article-journal&quot;,&quot;volume&quot;:&quot;12&quot;},&quot;uris&quot;:[&quot;http://www.mendeley.com/documents/?uuid=55d63532-bfcd-3a1a-8ed3-d9539f0b277a&quot;],&quot;isTemporary&quot;:false,&quot;legacyDesktopId&quot;:&quot;55d63532-bfcd-3a1a-8ed3-d9539f0b277a&quot;},{&quot;id&quot;:&quot;a9419f4a-d689-332a-bf4c-dc16eedad8cd&quot;,&quot;itemData&quot;:{&quot;DOI&quot;:&quot;10.1016/J.ENVINT.2021.106445&quot;,&quot;ISSN&quot;:&quot;0160-4120&quot;,&quot;PMID&quot;:&quot;33618328&quot;,&quot;abstract&quot;:&quot;Iraq and Kuwait are in a region of the world known to be impacted by high levels of fine particulate matter (PM2.5) attributable to sources that include desert dust and ambient pollution, but historically have had limited pollution monitoring networks. The inability to assess PM2.5 concentrations have limited the assessment of the health impact of these exposures, both in the native populations and previously deployed military personnel. As part of a Department of Veterans Affairs Cooperative Studies Program health study of land-based U.S. military personnel who were previously deployed to these countries, we developed a novel approach to estimate spatially and temporarily resolved daily PM2.5 exposures 2001–2018. Since visibility is proportional to ground-level particulate matter concentrations, we were able to take advantage of extensive airport visibility data that became available as a result of regional military operations over this time period. First, we combined a random forest machine learning and a generalized additive mixed model to estimate daily high resolution (1 km × 1 km) visibility over the region using satellite-based aerosol optical depth (AOD) and airport visibility data. The spatially and temporarily resolved visibility data were then used to estimate PM2.5 concentrations from 2001 to 2018 by converting visibility to PM2.5 using empirical relationships derived from available regional PM2.5 monitoring stations. We adjusted for spatially resolved meteorological parameters, land use variables, including the Normalized Difference Vegetation Index, and satellite-derived estimates of surface dust as a measure of sandstorm activity. Cross validation indicated good model predictive ability (R2 = 0.71), and there were considerable spatial and temporal differences in PM2.5 across the region. Annual average PM2.5 predictions for Iraq and Kuwait were 37 and 41 μg/m3, respectively, which are greater than current U.S. and WHO standards. PM2.5 concentrations in many U.S. bases and large cities (e.g. Bagdad, Balad, Kuwait city, Karbala, Najaf, and Diwaniya) had annual average PM2.5 concentrations above 45 μg/m3 with weekly averages as high as 150 μg/m3 depending on calendar year. The highest annual PM2.5 concentration for both Kuwait and Iraq were observed in 2008, followed by 2009, which was associated with extreme drought in these years. The lowest PM2.5 values were observed in 2014. On average, July had the highest concentrations, and November ha…&quot;,&quot;author&quot;:[{&quot;dropping-particle&quot;:&quot;&quot;,&quot;family&quot;:&quot;Li&quot;,&quot;given&quot;:&quot;Jing&quot;,&quot;non-dropping-particle&quot;:&quot;&quot;,&quot;parse-names&quot;:false,&quot;suffix&quot;:&quot;&quot;},{&quot;dropping-particle&quot;:&quot;&quot;,&quot;family&quot;:&quot;Garshick&quot;,&quot;given&quot;:&quot;Eric&quot;,&quot;non-dropping-particle&quot;:&quot;&quot;,&quot;parse-names&quot;:false,&quot;suffix&quot;:&quot;&quot;},{&quot;dropping-particle&quot;:&quot;&quot;,&quot;family&quot;:&quot;Hart&quot;,&quot;given&quot;:&quot;Jaime E.&quot;,&quot;non-dropping-particle&quot;:&quot;&quot;,&quot;parse-names&quot;:false,&quot;suffix&quot;:&quot;&quot;},{&quot;dropping-particle&quot;:&quot;&quot;,&quot;family&quot;:&quot;Li&quot;,&quot;given&quot;:&quot;Longxiang&quot;,&quot;non-dropping-particle&quot;:&quot;&quot;,&quot;parse-names&quot;:false,&quot;suffix&quot;:&quot;&quot;},{&quot;dropping-particle&quot;:&quot;&quot;,&quot;family&quot;:&quot;Shi&quot;,&quot;given&quot;:&quot;Liuhua&quot;,&quot;non-dropping-particle&quot;:&quot;&quot;,&quot;parse-names&quot;:false,&quot;suffix&quot;:&quot;&quot;},{&quot;dropping-particle&quot;:&quot;&quot;,&quot;family&quot;:&quot;Al-Hemoud&quot;,&quot;given&quot;:&quot;Ali&quot;,&quot;non-dropping-particle&quot;:&quot;&quot;,&quot;parse-names&quot;:false,&quot;suffix&quot;:&quot;&quot;},{&quot;dropping-particle&quot;:&quot;&quot;,&quot;family&quot;:&quot;Huang&quot;,&quot;given&quot;:&quot;Shaodan&quot;,&quot;non-dropping-particle&quot;:&quot;&quot;,&quot;parse-names&quot;:false,&quot;suffix&quot;:&quot;&quot;},{&quot;dropping-particle&quot;:&quot;&quot;,&quot;family&quot;:&quot;Koutrakis&quot;,&quot;given&quot;:&quot;Petros&quot;,&quot;non-dropping-particle&quot;:&quot;&quot;,&quot;parse-names&quot;:false,&quot;suffix&quot;:&quot;&quot;}],&quot;container-title&quot;:&quot;Environment International&quot;,&quot;id&quot;:&quot;a9419f4a-d689-332a-bf4c-dc16eedad8cd&quot;,&quot;issued&quot;:{&quot;date-parts&quot;:[[&quot;2021&quot;,&quot;6&quot;,&quot;1&quot;]]},&quot;page&quot;:&quot;106445&quot;,&quot;publisher&quot;:&quot;Pergamon&quot;,&quot;title&quot;:&quot;Estimation of ambient PM2.5 in Iraq and Kuwait from 2001 to 2018 using machine learning and remote sensing&quot;,&quot;type&quot;:&quot;article-journal&quot;,&quot;volume&quot;:&quot;151&quot;},&quot;uris&quot;:[&quot;http://www.mendeley.com/documents/?uuid=a9419f4a-d689-332a-bf4c-dc16eedad8cd&quot;],&quot;isTemporary&quot;:false,&quot;legacyDesktopId&quot;:&quot;a9419f4a-d689-332a-bf4c-dc16eedad8cd&quot;},{&quot;id&quot;:&quot;5cbe0841-024c-3d04-adb7-1e018d10f4b6&quot;,&quot;itemData&quot;:{&quot;DOI&quot;:&quot;10.1016/j.envint.2019.104909&quot;,&quot;ISSN&quot;:&quot;18736750&quot;,&quot;PMID&quot;:&quot;31272018&quot;,&quot;abstract&quot;:&quot;Various approaches have been proposed to model PM2.5 in the recent decade, with satellite-derived aerosol optical depth, land-use variables, chemical transport model predictions, and several meteorological variables as major predictor variables. Our study used an ensemble model that integrated multiple machine learning algorithms and predictor variables to estimate daily PM2.5 at a resolution of 1 km × 1 km across the contiguous United States. We used a generalized additive model that accounted for geographic difference to combine PM2.5 estimates from neural network, random forest, and gradient boosting. The three machine learning algorithms were based on multiple predictor variables, including satellite data, meteorological variables, land-use variables, elevation, chemical transport model predictions, several reanalysis datasets, and others. The model training results from 2000 to 2015 indicated good model performance with a 10-fold cross-validated R2 of 0.86 for daily PM2.5 predictions. For annual PM2.5 estimates, the cross-validated R2 was 0.89. Our model demonstrated good performance up to 60 μg/m3. Using trained PM2.5 model and predictor variables, we predicted daily PM2.5 from 2000 to 2015 at every 1 km × 1 km grid cell in the contiguous United States. We also used localized land-use variables within 1 km × 1 km grids to downscale PM2.5 predictions to 100 m × 100 m grid cells. To characterize uncertainty, we used meteorological variables, land-use variables, and elevation to model the monthly standard deviation of the difference between daily monitored and predicted PM2.5 for every 1 km × 1 km grid cell. This PM2.5 prediction dataset, including the downscaled and uncertainty predictions, allows epidemiologists to accurately estimate the adverse health effect of PM2.5. Compared with model performance of individual base learners, an ensemble model would achieve a better overall estimation. It is worth exploring other ensemble model formats to synthesize estimations from different models or from different groups to improve overall performance.&quot;,&quot;author&quot;:[{&quot;dropping-particle&quot;:&quot;&quot;,&quot;family&quot;:&quot;Di&quot;,&quot;given&quot;:&quot;Qian&quot;,&quot;non-dropping-particle&quot;:&quot;&quot;,&quot;parse-names&quot;:false,&quot;suffix&quot;:&quot;&quot;},{&quot;dropping-particle&quot;:&quot;&quot;,&quot;family&quot;:&quot;Amini&quot;,&quot;given&quot;:&quot;Heresh&quot;,&quot;non-dropping-particle&quot;:&quot;&quot;,&quot;parse-names&quot;:false,&quot;suffix&quot;:&quot;&quot;},{&quot;dropping-particle&quot;:&quot;&quot;,&quot;family&quot;:&quot;Shi&quot;,&quot;given&quot;:&quot;Liuhua&quot;,&quot;non-dropping-particle&quot;:&quot;&quot;,&quot;parse-names&quot;:false,&quot;suffix&quot;:&quot;&quot;},{&quot;dropping-particle&quot;:&quot;&quot;,&quot;family&quot;:&quot;Kloog&quot;,&quot;given&quot;:&quot;Itai&quot;,&quot;non-dropping-particle&quot;:&quot;&quot;,&quot;parse-names&quot;:false,&quot;suffix&quot;:&quot;&quot;},{&quot;dropping-particle&quot;:&quot;&quot;,&quot;family&quot;:&quot;Silvern&quot;,&quot;given&quot;:&quot;Rachel&quot;,&quot;non-dropping-particle&quot;:&quot;&quot;,&quot;parse-names&quot;:false,&quot;suffix&quot;:&quot;&quot;},{&quot;dropping-particle&quot;:&quot;&quot;,&quot;family&quot;:&quot;Kelly&quot;,&quot;given&quot;:&quot;James&quot;,&quot;non-dropping-particle&quot;:&quot;&quot;,&quot;parse-names&quot;:false,&quot;suffix&quot;:&quot;&quot;},{&quot;dropping-particle&quot;:&quot;&quot;,&quot;family&quot;:&quot;Sabath&quot;,&quot;given&quot;:&quot;M. Benjamin&quot;,&quot;non-dropping-particle&quot;:&quot;&quot;,&quot;parse-names&quot;:false,&quot;suffix&quot;:&quot;&quot;},{&quot;dropping-particle&quot;:&quot;&quot;,&quot;family&quot;:&quot;Choirat&quot;,&quot;given&quot;:&quot;Christine&quot;,&quot;non-dropping-particle&quot;:&quot;&quot;,&quot;parse-names&quot;:false,&quot;suffix&quot;:&quot;&quot;},{&quot;dropping-particle&quot;:&quot;&quot;,&quot;family&quot;:&quot;Koutrakis&quot;,&quot;given&quot;:&quot;Petros&quot;,&quot;non-dropping-particle&quot;:&quot;&quot;,&quot;parse-names&quot;:false,&quot;suffix&quot;:&quot;&quot;},{&quot;dropping-particle&quot;:&quot;&quot;,&quot;family&quot;:&quot;Lyapustin&quot;,&quot;given&quot;:&quot;Alexei&quot;,&quot;non-dropping-particle&quot;:&quot;&quot;,&quot;parse-names&quot;:false,&quot;suffix&quot;:&quot;&quot;},{&quot;dropping-particle&quot;:&quot;&quot;,&quot;family&quot;:&quot;Wang&quot;,&quot;given&quot;:&quot;Yujie&quot;,&quot;non-dropping-particle&quot;:&quot;&quot;,&quot;parse-names&quot;:false,&quot;suffix&quot;:&quot;&quot;},{&quot;dropping-particle&quot;:&quot;&quot;,&quot;family&quot;:&quot;Mickley&quot;,&quot;given&quot;:&quot;Loretta J.&quot;,&quot;non-dropping-particle&quot;:&quot;&quot;,&quot;parse-names&quot;:false,&quot;suffix&quot;:&quot;&quot;},{&quot;dropping-particle&quot;:&quot;&quot;,&quot;family&quot;:&quot;Schwartz&quot;,&quot;given&quot;:&quot;Joel&quot;,&quot;non-dropping-particle&quot;:&quot;&quot;,&quot;parse-names&quot;:false,&quot;suffix&quot;:&quot;&quot;}],&quot;container-title&quot;:&quot;Environment International&quot;,&quot;id&quot;:&quot;5cbe0841-024c-3d04-adb7-1e018d10f4b6&quot;,&quot;issued&quot;:{&quot;date-parts&quot;:[[&quot;2019&quot;,&quot;9&quot;,&quot;1&quot;]]},&quot;page&quot;:&quot;104909&quot;,&quot;publisher&quot;:&quot;Elsevier Ltd&quot;,&quot;title&quot;:&quot;An ensemble-based model of PM2.5 concentration across the contiguous United States with high spatiotemporal resolution&quot;,&quot;type&quot;:&quot;article-journal&quot;,&quot;volume&quot;:&quot;130&quot;},&quot;uris&quot;:[&quot;http://www.mendeley.com/documents/?uuid=5cbe0841-024c-3d04-adb7-1e018d10f4b6&quot;],&quot;isTemporary&quot;:false,&quot;legacyDesktopId&quot;:&quot;5cbe0841-024c-3d04-adb7-1e018d10f4b6&quot;},{&quot;id&quot;:&quot;62239884-794a-3aa1-96e3-3801f792f218&quot;,&quot;itemData&quot;:{&quot;DOI&quot;:&quot;10.1021/acs.est.9b04279&quot;,&quot;ISSN&quot;:&quot;15205851&quot;,&quot;PMID&quot;:&quot;31749355&quot;,&quot;abstract&quot;:&quot;Spatiotemporally resolved particulate matter (PM) estimates are essential for reconstructing long and short-term exposures in epidemiological research. Improved estimates of PM2.5 and PM10 concentrations were produced over Italy for 2013-2015 using satellite remote-sensing data and an ensemble modeling approach. The following modeling stages were used: (1) missing values of the satellite-based aerosol optical depth (AOD) product were imputed using a spatiotemporal land-use random-forest (RF) model incorporating AOD data from atmospheric ensemble models; (2) daily PM estimations were produced using four modeling approaches: linear mixed effects, RF, extreme gradient boosting, and a chemical transport model, the flexible air quality regional model. The filled-in MAIAC AOD together with additional spatial and temporal predictors were used as inputs in the three first models; (3) a geographically weighted generalized additive model (GAM) ensemble model was used to fuse the estimations from the four models by allowing the weights of each model to vary over space and time. The GAM ensemble model outperformed the four separate models, decreasing the cross-validated root mean squared error by 1-42%, depending on the model. The spatiotemporally resolved PM estimations produced by the suggested model can be applied in future epidemiological studies across Italy.&quot;,&quot;author&quot;:[{&quot;dropping-particle&quot;:&quot;&quot;,&quot;family&quot;:&quot;Shtein&quot;,&quot;given&quot;:&quot;Alexandra&quot;,&quot;non-dropping-particle&quot;:&quot;&quot;,&quot;parse-names&quot;:false,&quot;suffix&quot;:&quot;&quot;},{&quot;dropping-particle&quot;:&quot;&quot;,&quot;family&quot;:&quot;Kloog&quot;,&quot;given&quot;:&quot;Itai&quot;,&quot;non-dropping-particle&quot;:&quot;&quot;,&quot;parse-names&quot;:false,&quot;suffix&quot;:&quot;&quot;},{&quot;dropping-particle&quot;:&quot;&quot;,&quot;family&quot;:&quot;Schwartz&quot;,&quot;given&quot;:&quot;Joel&quot;,&quot;non-dropping-particle&quot;:&quot;&quot;,&quot;parse-names&quot;:false,&quot;suffix&quot;:&quot;&quot;},{&quot;dropping-particle&quot;:&quot;&quot;,&quot;family&quot;:&quot;Silibello&quot;,&quot;given&quot;:&quot;Camillo&quot;,&quot;non-dropping-particle&quot;:&quot;&quot;,&quot;parse-names&quot;:false,&quot;suffix&quot;:&quot;&quot;},{&quot;dropping-particle&quot;:&quot;&quot;,&quot;family&quot;:&quot;Michelozzi&quot;,&quot;given&quot;:&quot;Paola&quot;,&quot;non-dropping-particle&quot;:&quot;&quot;,&quot;parse-names&quot;:false,&quot;suffix&quot;:&quot;&quot;},{&quot;dropping-particle&quot;:&quot;&quot;,&quot;family&quot;:&quot;Gariazzo&quot;,&quot;given&quot;:&quot;Claudio&quot;,&quot;non-dropping-particle&quot;:&quot;&quot;,&quot;parse-names&quot;:false,&quot;suffix&quot;:&quot;&quot;},{&quot;dropping-particle&quot;:&quot;&quot;,&quot;family&quot;:&quot;Viegi&quot;,&quot;given&quot;:&quot;Giovanni&quot;,&quot;non-dropping-particle&quot;:&quot;&quot;,&quot;parse-names&quot;:false,&quot;suffix&quot;:&quot;&quot;},{&quot;dropping-particle&quot;:&quot;&quot;,&quot;family&quot;:&quot;Forastiere&quot;,&quot;given&quot;:&quot;Francesco&quot;,&quot;non-dropping-particle&quot;:&quot;&quot;,&quot;parse-names&quot;:false,&quot;suffix&quot;:&quot;&quot;},{&quot;dropping-particle&quot;:&quot;&quot;,&quot;family&quot;:&quot;Karnieli&quot;,&quot;given&quot;:&quot;Arnon&quot;,&quot;non-dropping-particle&quot;:&quot;&quot;,&quot;parse-names&quot;:false,&quot;suffix&quot;:&quot;&quot;},{&quot;dropping-particle&quot;:&quot;&quot;,&quot;family&quot;:&quot;Just&quot;,&quot;given&quot;:&quot;Allan C&quot;,&quot;non-dropping-particle&quot;:&quot;&quot;,&quot;parse-names&quot;:false,&quot;suffix&quot;:&quot;&quot;},{&quot;dropping-particle&quot;:&quot;&quot;,&quot;family&quot;:&quot;Stafoggia&quot;,&quot;given&quot;:&quot;Massimo&quot;,&quot;non-dropping-particle&quot;:&quot;&quot;,&quot;parse-names&quot;:false,&quot;suffix&quot;:&quot;&quot;}],&quot;container-title&quot;:&quot;Environmental Science and Technology&quot;,&quot;id&quot;:&quot;62239884-794a-3aa1-96e3-3801f792f218&quot;,&quot;issued&quot;:{&quot;date-parts&quot;:[[&quot;2019&quot;]]},&quot;title&quot;:&quot;Estimating Daily PM2.5 and PM10 over Italy Using an Ensemble Model&quot;,&quot;type&quot;:&quot;article-journal&quot;},&quot;uris&quot;:[&quot;http://www.mendeley.com/documents/?uuid=62239884-794a-3aa1-96e3-3801f792f218&quot;],&quot;isTemporary&quot;:false,&quot;legacyDesktopId&quot;:&quot;62239884-794a-3aa1-96e3-3801f792f218&quot;}],&quot;properties&quot;:{&quot;noteIndex&quot;:0},&quot;isEdited&quot;:false,&quot;manualOverride&quot;:{&quot;citeprocText&quot;:&quot;(Di et al., 2019; Li et al., 2021; Schneider et al., 2020; Shtein et al., 2019)&quot;,&quot;isManuallyOverridden&quot;:false,&quot;manualOverrideText&quot;:&quot;&quot;},&quot;citationTag&quot;:&quot;MENDELEY_CITATION_v3_eyJjaXRhdGlvbklEIjoiTUVOREVMRVlfQ0lUQVRJT05fNTdjNzQ0OWYtZjYzNC00N2RjLWFkN2EtZjIxMzM3MjE0ODk3IiwiY2l0YXRpb25JdGVtcyI6W3siaWQiOiI1NWQ2MzUzMi1iZmNkLTNhMWEtOGVkMy1kOTUzOWYwYjI3N2EiLCJpdGVtRGF0YSI6eyJET0kiOiIxMC4zMzkwL3JzMTIyMjM4MDMiLCJJU1NOIjoiMjA3MjQyOTIiLCJhYnN0cmFjdCI6IkVwaWRlbWlvbG9naWNhbCBzdHVkaWVzIG9uIHRoZSBoZWFsdGggZWZmZWN0cyBvZiBhaXIgcG9sbHV0aW9uIHVzdWFsbHkgcmVseSBvbiBtZWFzdXJlbWVudHMgZnJvbSBmaXhlZCBncm91bmQgbW9uaXRvcnMsIHdoaWNoIHByb3ZpZGUgbGltaXRlZCBzcGF0aW8tdGVtcG9yYWwgY292ZXJhZ2UuIERhdGEgZnJvbSBzYXRlbGxpdGVzLCByZWFuYWx5c2lzLCBhbmQgY2hlbWljYWwgdHJhbnNwb3J0IG1vZGVscyBvZmZlciBhZGRpdGlvbmFsIGluZm9ybWF0aW9uIHVzZWQgdG8gcmVjb25zdHJ1Y3QgcG9sbHV0aW9uIGNvbmNlbnRyYXRpb25zIGF0IGhpZ2ggc3BhdGlvLXRlbXBvcmFsIHJlc29sdXRpb25zLiBUaGlzIHN0dWR5IGFpbXMgdG8gZGV2ZWxvcCBhIG11bHRpLXN0YWdlIHNhdGVsbGl0ZS1iYXNlZCBtYWNoaW5lIGxlYXJuaW5nIG1vZGVsIHRvIGVzdGltYXRlIGRhaWx5IGZpbmUgcGFydGljdWxhdGUgbWF0dGVyIChQTTIuNSkgbGV2ZWxzIGFjcm9zcyBHcmVhdCBCcml0YWluIGJldHdlZW4gMjAwOOKAkzIwMTguIFRoaXMgaGlnaC1yZXNvbHV0aW9uIG1vZGVsIGNvbnNpc3RzIG9mIHJhbmRvbSBmb3Jlc3QgKFJGKSBhbGdvcml0aG1zIGFwcGxpZWQgaW4gZm91ciBzdGFnZXMuIFN0YWdlLTEgYXVnbWVudHMgbW9uaXRvci1QTTIuNSBzZXJpZXMgdXNpbmcgY28tbG9jYXRlZCBQTTEwIG1lYXN1cmVzLiBTdGFnZS0yIGltcHV0ZXMgbWlzc2luZyBzYXRlbGxpdGUgYWVyb3NvbCBvcHRpY2FsIGRlcHRoIG9ic2VydmF0aW9ucyB1c2luZyBhdG1vc3BoZXJpYyByZWFuYWx5c2lzIG1vZGVscy4gU3RhZ2UtMyBpbnRlZ3JhdGVzIHRoZSBvdXRwdXQgZnJvbSBwcmV2aW91cyBzdGFnZXMgd2l0aCBzcGF0aWFsIGFuZCBzcGF0aW8tdGVtcG9yYWwgdmFyaWFibGVzIHRvIGJ1aWxkIGEgcHJlZGljdGlvbiBtb2RlbCBmb3IgUE0yLjUgLiBTdGFnZS00IGFwcGxpZXMgU3RhZ2UtMyBtb2RlbHMgdG8gZXN0aW1hdGUgZGFpbHkgUE0yLjUgY29uY2VudHJhdGlvbnMgb3ZlciBhIDEga20gZ3JpZC4gVGhlIFJGIGFyY2hpdGVjdHVyZSBwZXJmb3JtZWQgd2VsbCBpbiBhbGwgc3RhZ2VzLCB3aXRoIHJlc3VsdHMgZnJvbSBTdGFnZS0zIHNob3dpbmcgYW4gYXZlcmFnZSBjcm9zcy12YWxpZGF0ZWQgUjIgb2YgMC43NjcgYW5kIG1pbmltYWwgYmlhcy4gVGhlIG1vZGVsIHBlcmZvcm1lZCBiZXR0ZXIgb3ZlciB0aGUgdGVtcG9yYWwgc2NhbGUgd2hlbiBjb21wYXJlZCB0byB0aGUgc3BhdGlhbCBjb21wb25lbnQsIGJ1dCBib3RoIHByZXNlbnRlZCBnb29kIGFjY3VyYWN5IHdpdGggYW4gUjIgb2YgMC43OTUgYW5kIDAuNjU4LCByZXNwZWN0aXZlbHkuIFRoZXNlIGZpbmRpbmdzIGluZGljYXRlIHRoYXQgZGlyZWN0IHNhdGVsbGl0ZSBvYnNlcnZhdGlvbnMgbXVzdCBiZSBpbnRlZ3JhdGVkIHdpdGggb3RoZXIgc2F0ZWxsaXRlLWJhc2VkIHByb2R1Y3RzIGFuZCBnZW9zcGF0aWFsIHZhcmlhYmxlcyB0byBkZXJpdmUgcmVsaWFibGUgZXN0aW1hdGVzIG9mIGFpciBwb2xsdXRpb24gZXhwb3N1cmUuIFRoZSBoaWdoIHNwYXRpby10ZW1wb3JhbCByZXNvbHV0aW9uIGFuZCB0aGUgcmVsYXRpdmVseSBoaWdoIHByZWNpc2lvbiBhbGxvdyB0aGVzZSBlc3RpbWF0ZXMgKGFwcHJveGltYXRlbHkgOTUwIG1pbGxpb24gcG9pbnRzKSB0byBiZSB1c2VkIGluIGVwaWRlbWlvbG9naWNhbCBhbmFseXNlcyB0byBhc3Nlc3MgaGVhbHRoIHJpc2tzIGFzc29jaWF0ZWQgd2l0aCBib3RoIHNob3J0LWFuZCBsb25nLXRlcm0gZXhwb3N1cmUgdG8gUE0yLjUgLiIsImF1dGhvciI6W3siZHJvcHBpbmctcGFydGljbGUiOiIiLCJmYW1pbHkiOiJTY2huZWlkZXIiLCJnaXZlbiI6IlJvY2hlbGxlIiwibm9uLWRyb3BwaW5nLXBhcnRpY2xlIjoiIiwicGFyc2UtbmFtZXMiOmZhbHNlLCJzdWZmaXgiOiIifSx7ImRyb3BwaW5nLXBhcnRpY2xlIjoiIiwiZmFtaWx5IjoiVmljZWRvLUNhYnJlcmEiLCJnaXZlbiI6IkFuYSBNLiIsIm5vbi1kcm9wcGluZy1wYXJ0aWNsZSI6IiIsInBhcnNlLW5hbWVzIjpmYWxzZSwic3VmZml4IjoiIn0seyJkcm9wcGluZy1wYXJ0aWNsZSI6IiIsImZhbWlseSI6IlNlcmEiLCJnaXZlbiI6IkZyYW5jZXNjbyIsIm5vbi1kcm9wcGluZy1wYXJ0aWNsZSI6IiIsInBhcnNlLW5hbWVzIjpmYWxzZSwic3VmZml4IjoiIn0seyJkcm9wcGluZy1wYXJ0aWNsZSI6IiIsImZhbWlseSI6Ik1hc3NlbG90IiwiZ2l2ZW4iOiJQaWVycmUiLCJub24tZHJvcHBpbmctcGFydGljbGUiOiIiLCJwYXJzZS1uYW1lcyI6ZmFsc2UsInN1ZmZpeCI6IiJ9LHsiZHJvcHBpbmctcGFydGljbGUiOiIiLCJmYW1pbHkiOiJTdGFmb2dnaWEiLCJnaXZlbiI6Ik1hc3NpbW8iLCJub24tZHJvcHBpbmctcGFydGljbGUiOiIiLCJwYXJzZS1uYW1lcyI6ZmFsc2UsInN1ZmZpeCI6IiJ9LHsiZHJvcHBpbmctcGFydGljbGUiOiIiLCJmYW1pbHkiOiJIb29naCIsImdpdmVuIjoiS2VlcyIsIm5vbi1kcm9wcGluZy1wYXJ0aWNsZSI6ImRlIiwicGFyc2UtbmFtZXMiOmZhbHNlLCJzdWZmaXgiOiIifSx7ImRyb3BwaW5nLXBhcnRpY2xlIjoiIiwiZmFtaWx5IjoiS2xvb2ciLCJnaXZlbiI6Ikl0YWkiLCJub24tZHJvcHBpbmctcGFydGljbGUiOiIiLCJwYXJzZS1uYW1lcyI6ZmFsc2UsInN1ZmZpeCI6IiJ9LHsiZHJvcHBpbmctcGFydGljbGUiOiIiLCJmYW1pbHkiOiJSZWlzIiwiZ2l2ZW4iOiJTdGVmYW4iLCJub24tZHJvcHBpbmctcGFydGljbGUiOiIiLCJwYXJzZS1uYW1lcyI6ZmFsc2UsInN1ZmZpeCI6IiJ9LHsiZHJvcHBpbmctcGFydGljbGUiOiIiLCJmYW1pbHkiOiJWaWVubyIsImdpdmVuIjoiTWFzc2ltbyIsIm5vbi1kcm9wcGluZy1wYXJ0aWNsZSI6IiIsInBhcnNlLW5hbWVzIjpmYWxzZSwic3VmZml4IjoiIn0seyJkcm9wcGluZy1wYXJ0aWNsZSI6IiIsImZhbWlseSI6Ikdhc3BhcnJpbmkiLCJnaXZlbiI6IkFudG9uaW8iLCJub24tZHJvcHBpbmctcGFydGljbGUiOiIiLCJwYXJzZS1uYW1lcyI6ZmFsc2UsInN1ZmZpeCI6IiJ9XSwiY29udGFpbmVyLXRpdGxlIjoiUmVtb3RlIFNlbnNpbmciLCJpZCI6IjU1ZDYzNTMyLWJmY2QtM2ExYS04ZWQzLWQ5NTM5ZjBiMjc3YSIsImlzc3VlIjoiMjIiLCJpc3N1ZWQiOnsiZGF0ZS1wYXJ0cyI6W1siMjAyMCIsIjExIiwiMiJdXX0sInBhZ2UiOiIxLTE5IiwicHVibGlzaGVyIjoiTURQSSBBRyIsInRpdGxlIjoiQSBzYXRlbGxpdGUtYmFzZWQgc3BhdGlvLXRlbXBvcmFsIG1hY2hpbmUgbGVhcm5pbmcgbW9kZWwgdG8gcmVjb25zdHJ1Y3QgZGFpbHkgUE0yLjUgY29uY2VudHJhdGlvbnMgYWNyb3NzIGdyZWF0IGJyaXRhaW4iLCJ0eXBlIjoiYXJ0aWNsZS1qb3VybmFsIiwidm9sdW1lIjoiMTIifSwidXJpcyI6WyJodHRwOi8vd3d3Lm1lbmRlbGV5LmNvbS9kb2N1bWVudHMvP3V1aWQ9NTVkNjM1MzItYmZjZC0zYTFhLThlZDMtZDk1MzlmMGIyNzdhIl0sImlzVGVtcG9yYXJ5IjpmYWxzZSwibGVnYWN5RGVza3RvcElkIjoiNTVkNjM1MzItYmZjZC0zYTFhLThlZDMtZDk1MzlmMGIyNzdhIn0seyJpZCI6ImE5NDE5ZjRhLWQ2ODktMzMyYS1iZjRjLWRjMTZlZWRhZDhjZCIsIml0ZW1EYXRhIjp7IkRPSSI6IjEwLjEwMTYvSi5FTlZJTlQuMjAyMS4xMDY0NDUiLCJJU1NOIjoiMDE2MC00MTIwIiwiUE1JRCI6IjMzNjE4MzI4IiwiYWJzdHJhY3QiOiJJcmFxIGFuZCBLdXdhaXQgYXJlIGluIGEgcmVnaW9uIG9mIHRoZSB3b3JsZCBrbm93biB0byBiZSBpbXBhY3RlZCBieSBoaWdoIGxldmVscyBvZiBmaW5lIHBhcnRpY3VsYXRlIG1hdHRlciAoUE0yLjUpIGF0dHJpYnV0YWJsZSB0byBzb3VyY2VzIHRoYXQgaW5jbHVkZSBkZXNlcnQgZHVzdCBhbmQgYW1iaWVudCBwb2xsdXRpb24sIGJ1dCBoaXN0b3JpY2FsbHkgaGF2ZSBoYWQgbGltaXRlZCBwb2xsdXRpb24gbW9uaXRvcmluZyBuZXR3b3Jrcy4gVGhlIGluYWJpbGl0eSB0byBhc3Nlc3MgUE0yLjUgY29uY2VudHJhdGlvbnMgaGF2ZSBsaW1pdGVkIHRoZSBhc3Nlc3NtZW50IG9mIHRoZSBoZWFsdGggaW1wYWN0IG9mIHRoZXNlIGV4cG9zdXJlcywgYm90aCBpbiB0aGUgbmF0aXZlIHBvcHVsYXRpb25zIGFuZCBwcmV2aW91c2x5IGRlcGxveWVkIG1pbGl0YXJ5IHBlcnNvbm5lbC4gQXMgcGFydCBvZiBhIERlcGFydG1lbnQgb2YgVmV0ZXJhbnMgQWZmYWlycyBDb29wZXJhdGl2ZSBTdHVkaWVzIFByb2dyYW0gaGVhbHRoIHN0dWR5IG9mIGxhbmQtYmFzZWQgVS5TLiBtaWxpdGFyeSBwZXJzb25uZWwgd2hvIHdlcmUgcHJldmlvdXNseSBkZXBsb3llZCB0byB0aGVzZSBjb3VudHJpZXMsIHdlIGRldmVsb3BlZCBhIG5vdmVsIGFwcHJvYWNoIHRvIGVzdGltYXRlIHNwYXRpYWxseSBhbmQgdGVtcG9yYXJpbHkgcmVzb2x2ZWQgZGFpbHkgUE0yLjUgZXhwb3N1cmVzIDIwMDHigJMyMDE4LiBTaW5jZSB2aXNpYmlsaXR5IGlzIHByb3BvcnRpb25hbCB0byBncm91bmQtbGV2ZWwgcGFydGljdWxhdGUgbWF0dGVyIGNvbmNlbnRyYXRpb25zLCB3ZSB3ZXJlIGFibGUgdG8gdGFrZSBhZHZhbnRhZ2Ugb2YgZXh0ZW5zaXZlIGFpcnBvcnQgdmlzaWJpbGl0eSBkYXRhIHRoYXQgYmVjYW1lIGF2YWlsYWJsZSBhcyBhIHJlc3VsdCBvZiByZWdpb25hbCBtaWxpdGFyeSBvcGVyYXRpb25zIG92ZXIgdGhpcyB0aW1lIHBlcmlvZC4gRmlyc3QsIHdlIGNvbWJpbmVkIGEgcmFuZG9tIGZvcmVzdCBtYWNoaW5lIGxlYXJuaW5nIGFuZCBhIGdlbmVyYWxpemVkIGFkZGl0aXZlIG1peGVkIG1vZGVsIHRvIGVzdGltYXRlIGRhaWx5IGhpZ2ggcmVzb2x1dGlvbiAoMSBrbSDDlyAxIGttKSB2aXNpYmlsaXR5IG92ZXIgdGhlIHJlZ2lvbiB1c2luZyBzYXRlbGxpdGUtYmFzZWQgYWVyb3NvbCBvcHRpY2FsIGRlcHRoIChBT0QpIGFuZCBhaXJwb3J0IHZpc2liaWxpdHkgZGF0YS4gVGhlIHNwYXRpYWxseSBhbmQgdGVtcG9yYXJpbHkgcmVzb2x2ZWQgdmlzaWJpbGl0eSBkYXRhIHdlcmUgdGhlbiB1c2VkIHRvIGVzdGltYXRlIFBNMi41IGNvbmNlbnRyYXRpb25zIGZyb20gMjAwMSB0byAyMDE4IGJ5IGNvbnZlcnRpbmcgdmlzaWJpbGl0eSB0byBQTTIuNSB1c2luZyBlbXBpcmljYWwgcmVsYXRpb25zaGlwcyBkZXJpdmVkIGZyb20gYXZhaWxhYmxlIHJlZ2lvbmFsIFBNMi41IG1vbml0b3Jpbmcgc3RhdGlvbnMuIFdlIGFkanVzdGVkIGZvciBzcGF0aWFsbHkgcmVzb2x2ZWQgbWV0ZW9yb2xvZ2ljYWwgcGFyYW1ldGVycywgbGFuZCB1c2UgdmFyaWFibGVzLCBpbmNsdWRpbmcgdGhlIE5vcm1hbGl6ZWQgRGlmZmVyZW5jZSBWZWdldGF0aW9uIEluZGV4LCBhbmQgc2F0ZWxsaXRlLWRlcml2ZWQgZXN0aW1hdGVzIG9mIHN1cmZhY2UgZHVzdCBhcyBhIG1lYXN1cmUgb2Ygc2FuZHN0b3JtIGFjdGl2aXR5LiBDcm9zcyB2YWxpZGF0aW9uIGluZGljYXRlZCBnb29kIG1vZGVsIHByZWRpY3RpdmUgYWJpbGl0eSAoUjIgPSAwLjcxKSwgYW5kIHRoZXJlIHdlcmUgY29uc2lkZXJhYmxlIHNwYXRpYWwgYW5kIHRlbXBvcmFsIGRpZmZlcmVuY2VzIGluIFBNMi41IGFjcm9zcyB0aGUgcmVnaW9uLiBBbm51YWwgYXZlcmFnZSBQTTIuNSBwcmVkaWN0aW9ucyBmb3IgSXJhcSBhbmQgS3V3YWl0IHdlcmUgMzcgYW5kIDQxIM68Zy9tMywgcmVzcGVjdGl2ZWx5LCB3aGljaCBhcmUgZ3JlYXRlciB0aGFuIGN1cnJlbnQgVS5TLiBhbmQgV0hPIHN0YW5kYXJkcy4gUE0yLjUgY29uY2VudHJhdGlvbnMgaW4gbWFueSBVLlMuIGJhc2VzIGFuZCBsYXJnZSBjaXRpZXMgKGUuZy4gQmFnZGFkLCBCYWxhZCwgS3V3YWl0IGNpdHksIEthcmJhbGEsIE5hamFmLCBhbmQgRGl3YW5peWEpIGhhZCBhbm51YWwgYXZlcmFnZSBQTTIuNSBjb25jZW50cmF0aW9ucyBhYm92ZSA0NSDOvGcvbTMgd2l0aCB3ZWVrbHkgYXZlcmFnZXMgYXMgaGlnaCBhcyAxNTAgzrxnL20zIGRlcGVuZGluZyBvbiBjYWxlbmRhciB5ZWFyLiBUaGUgaGlnaGVzdCBhbm51YWwgUE0yLjUgY29uY2VudHJhdGlvbiBmb3IgYm90aCBLdXdhaXQgYW5kIElyYXEgd2VyZSBvYnNlcnZlZCBpbiAyMDA4LCBmb2xsb3dlZCBieSAyMDA5LCB3aGljaCB3YXMgYXNzb2NpYXRlZCB3aXRoIGV4dHJlbWUgZHJvdWdodCBpbiB0aGVzZSB5ZWFycy4gVGhlIGxvd2VzdCBQTTIuNSB2YWx1ZXMgd2VyZSBvYnNlcnZlZCBpbiAyMDE0LiBPbiBhdmVyYWdlLCBKdWx5IGhhZCB0aGUgaGlnaGVzdCBjb25jZW50cmF0aW9ucywgYW5kIE5vdmVtYmVyIGhh4oCmIiwiYXV0aG9yIjpbeyJkcm9wcGluZy1wYXJ0aWNsZSI6IiIsImZhbWlseSI6IkxpIiwiZ2l2ZW4iOiJKaW5nIiwibm9uLWRyb3BwaW5nLXBhcnRpY2xlIjoiIiwicGFyc2UtbmFtZXMiOmZhbHNlLCJzdWZmaXgiOiIifSx7ImRyb3BwaW5nLXBhcnRpY2xlIjoiIiwiZmFtaWx5IjoiR2Fyc2hpY2siLCJnaXZlbiI6IkVyaWMiLCJub24tZHJvcHBpbmctcGFydGljbGUiOiIiLCJwYXJzZS1uYW1lcyI6ZmFsc2UsInN1ZmZpeCI6IiJ9LHsiZHJvcHBpbmctcGFydGljbGUiOiIiLCJmYW1pbHkiOiJIYXJ0IiwiZ2l2ZW4iOiJKYWltZSBFLiIsIm5vbi1kcm9wcGluZy1wYXJ0aWNsZSI6IiIsInBhcnNlLW5hbWVzIjpmYWxzZSwic3VmZml4IjoiIn0seyJkcm9wcGluZy1wYXJ0aWNsZSI6IiIsImZhbWlseSI6IkxpIiwiZ2l2ZW4iOiJMb25neGlhbmciLCJub24tZHJvcHBpbmctcGFydGljbGUiOiIiLCJwYXJzZS1uYW1lcyI6ZmFsc2UsInN1ZmZpeCI6IiJ9LHsiZHJvcHBpbmctcGFydGljbGUiOiIiLCJmYW1pbHkiOiJTaGkiLCJnaXZlbiI6IkxpdWh1YSIsIm5vbi1kcm9wcGluZy1wYXJ0aWNsZSI6IiIsInBhcnNlLW5hbWVzIjpmYWxzZSwic3VmZml4IjoiIn0seyJkcm9wcGluZy1wYXJ0aWNsZSI6IiIsImZhbWlseSI6IkFsLUhlbW91ZCIsImdpdmVuIjoiQWxpIiwibm9uLWRyb3BwaW5nLXBhcnRpY2xlIjoiIiwicGFyc2UtbmFtZXMiOmZhbHNlLCJzdWZmaXgiOiIifSx7ImRyb3BwaW5nLXBhcnRpY2xlIjoiIiwiZmFtaWx5IjoiSHVhbmciLCJnaXZlbiI6IlNoYW9kYW4iLCJub24tZHJvcHBpbmctcGFydGljbGUiOiIiLCJwYXJzZS1uYW1lcyI6ZmFsc2UsInN1ZmZpeCI6IiJ9LHsiZHJvcHBpbmctcGFydGljbGUiOiIiLCJmYW1pbHkiOiJLb3V0cmFraXMiLCJnaXZlbiI6IlBldHJvcyIsIm5vbi1kcm9wcGluZy1wYXJ0aWNsZSI6IiIsInBhcnNlLW5hbWVzIjpmYWxzZSwic3VmZml4IjoiIn1dLCJjb250YWluZXItdGl0bGUiOiJFbnZpcm9ubWVudCBJbnRlcm5hdGlvbmFsIiwiaWQiOiJhOTQxOWY0YS1kNjg5LTMzMmEtYmY0Yy1kYzE2ZWVkYWQ4Y2QiLCJpc3N1ZWQiOnsiZGF0ZS1wYXJ0cyI6W1siMjAyMSIsIjYiLCIxIl1dfSwicGFnZSI6IjEwNjQ0NSIsInB1Ymxpc2hlciI6IlBlcmdhbW9uIiwidGl0bGUiOiJFc3RpbWF0aW9uIG9mIGFtYmllbnQgUE0yLjUgaW4gSXJhcSBhbmQgS3V3YWl0IGZyb20gMjAwMSB0byAyMDE4IHVzaW5nIG1hY2hpbmUgbGVhcm5pbmcgYW5kIHJlbW90ZSBzZW5zaW5nIiwidHlwZSI6ImFydGljbGUtam91cm5hbCIsInZvbHVtZSI6IjE1MSJ9LCJ1cmlzIjpbImh0dHA6Ly93d3cubWVuZGVsZXkuY29tL2RvY3VtZW50cy8/dXVpZD1hOTQxOWY0YS1kNjg5LTMzMmEtYmY0Yy1kYzE2ZWVkYWQ4Y2QiXSwiaXNUZW1wb3JhcnkiOmZhbHNlLCJsZWdhY3lEZXNrdG9wSWQiOiJhOTQxOWY0YS1kNjg5LTMzMmEtYmY0Yy1kYzE2ZWVkYWQ4Y2QifSx7ImlkIjoiNWNiZTA4NDEtMDI0Yy0zZDA0LWFkYjctMWUwMThkMTBmNGI2IiwiaXRlbURhdGEiOnsiRE9JIjoiMTAuMTAxNi9qLmVudmludC4yMDE5LjEwNDkwOSIsIklTU04iOiIxODczNjc1MCIsIlBNSUQiOiIzMTI3MjAxOCIsImFic3RyYWN0IjoiVmFyaW91cyBhcHByb2FjaGVzIGhhdmUgYmVlbiBwcm9wb3NlZCB0byBtb2RlbCBQTTIuNSBpbiB0aGUgcmVjZW50IGRlY2FkZSwgd2l0aCBzYXRlbGxpdGUtZGVyaXZlZCBhZXJvc29sIG9wdGljYWwgZGVwdGgsIGxhbmQtdXNlIHZhcmlhYmxlcywgY2hlbWljYWwgdHJhbnNwb3J0IG1vZGVsIHByZWRpY3Rpb25zLCBhbmQgc2V2ZXJhbCBtZXRlb3JvbG9naWNhbCB2YXJpYWJsZXMgYXMgbWFqb3IgcHJlZGljdG9yIHZhcmlhYmxlcy4gT3VyIHN0dWR5IHVzZWQgYW4gZW5zZW1ibGUgbW9kZWwgdGhhdCBpbnRlZ3JhdGVkIG11bHRpcGxlIG1hY2hpbmUgbGVhcm5pbmcgYWxnb3JpdGhtcyBhbmQgcHJlZGljdG9yIHZhcmlhYmxlcyB0byBlc3RpbWF0ZSBkYWlseSBQTTIuNSBhdCBhIHJlc29sdXRpb24gb2YgMSBrbSDDlyAxIGttIGFjcm9zcyB0aGUgY29udGlndW91cyBVbml0ZWQgU3RhdGVzLiBXZSB1c2VkIGEgZ2VuZXJhbGl6ZWQgYWRkaXRpdmUgbW9kZWwgdGhhdCBhY2NvdW50ZWQgZm9yIGdlb2dyYXBoaWMgZGlmZmVyZW5jZSB0byBjb21iaW5lIFBNMi41IGVzdGltYXRlcyBmcm9tIG5ldXJhbCBuZXR3b3JrLCByYW5kb20gZm9yZXN0LCBhbmQgZ3JhZGllbnQgYm9vc3RpbmcuIFRoZSB0aHJlZSBtYWNoaW5lIGxlYXJuaW5nIGFsZ29yaXRobXMgd2VyZSBiYXNlZCBvbiBtdWx0aXBsZSBwcmVkaWN0b3IgdmFyaWFibGVzLCBpbmNsdWRpbmcgc2F0ZWxsaXRlIGRhdGEsIG1ldGVvcm9sb2dpY2FsIHZhcmlhYmxlcywgbGFuZC11c2UgdmFyaWFibGVzLCBlbGV2YXRpb24sIGNoZW1pY2FsIHRyYW5zcG9ydCBtb2RlbCBwcmVkaWN0aW9ucywgc2V2ZXJhbCByZWFuYWx5c2lzIGRhdGFzZXRzLCBhbmQgb3RoZXJzLiBUaGUgbW9kZWwgdHJhaW5pbmcgcmVzdWx0cyBmcm9tIDIwMDAgdG8gMjAxNSBpbmRpY2F0ZWQgZ29vZCBtb2RlbCBwZXJmb3JtYW5jZSB3aXRoIGEgMTAtZm9sZCBjcm9zcy12YWxpZGF0ZWQgUjIgb2YgMC44NiBmb3IgZGFpbHkgUE0yLjUgcHJlZGljdGlvbnMuIEZvciBhbm51YWwgUE0yLjUgZXN0aW1hdGVzLCB0aGUgY3Jvc3MtdmFsaWRhdGVkIFIyIHdhcyAwLjg5LiBPdXIgbW9kZWwgZGVtb25zdHJhdGVkIGdvb2QgcGVyZm9ybWFuY2UgdXAgdG8gNjAgzrxnL20zLiBVc2luZyB0cmFpbmVkIFBNMi41IG1vZGVsIGFuZCBwcmVkaWN0b3IgdmFyaWFibGVzLCB3ZSBwcmVkaWN0ZWQgZGFpbHkgUE0yLjUgZnJvbSAyMDAwIHRvIDIwMTUgYXQgZXZlcnkgMSBrbSDDlyAxIGttIGdyaWQgY2VsbCBpbiB0aGUgY29udGlndW91cyBVbml0ZWQgU3RhdGVzLiBXZSBhbHNvIHVzZWQgbG9jYWxpemVkIGxhbmQtdXNlIHZhcmlhYmxlcyB3aXRoaW4gMSBrbSDDlyAxIGttIGdyaWRzIHRvIGRvd25zY2FsZSBQTTIuNSBwcmVkaWN0aW9ucyB0byAxMDAgbSDDlyAxMDAgbSBncmlkIGNlbGxzLiBUbyBjaGFyYWN0ZXJpemUgdW5jZXJ0YWludHksIHdlIHVzZWQgbWV0ZW9yb2xvZ2ljYWwgdmFyaWFibGVzLCBsYW5kLXVzZSB2YXJpYWJsZXMsIGFuZCBlbGV2YXRpb24gdG8gbW9kZWwgdGhlIG1vbnRobHkgc3RhbmRhcmQgZGV2aWF0aW9uIG9mIHRoZSBkaWZmZXJlbmNlIGJldHdlZW4gZGFpbHkgbW9uaXRvcmVkIGFuZCBwcmVkaWN0ZWQgUE0yLjUgZm9yIGV2ZXJ5IDEga20gw5cgMSBrbSBncmlkIGNlbGwuIFRoaXMgUE0yLjUgcHJlZGljdGlvbiBkYXRhc2V0LCBpbmNsdWRpbmcgdGhlIGRvd25zY2FsZWQgYW5kIHVuY2VydGFpbnR5IHByZWRpY3Rpb25zLCBhbGxvd3MgZXBpZGVtaW9sb2dpc3RzIHRvIGFjY3VyYXRlbHkgZXN0aW1hdGUgdGhlIGFkdmVyc2UgaGVhbHRoIGVmZmVjdCBvZiBQTTIuNS4gQ29tcGFyZWQgd2l0aCBtb2RlbCBwZXJmb3JtYW5jZSBvZiBpbmRpdmlkdWFsIGJhc2UgbGVhcm5lcnMsIGFuIGVuc2VtYmxlIG1vZGVsIHdvdWxkIGFjaGlldmUgYSBiZXR0ZXIgb3ZlcmFsbCBlc3RpbWF0aW9uLiBJdCBpcyB3b3J0aCBleHBsb3Jpbmcgb3RoZXIgZW5zZW1ibGUgbW9kZWwgZm9ybWF0cyB0byBzeW50aGVzaXplIGVzdGltYXRpb25zIGZyb20gZGlmZmVyZW50IG1vZGVscyBvciBmcm9tIGRpZmZlcmVudCBncm91cHMgdG8gaW1wcm92ZSBvdmVyYWxsIHBlcmZvcm1hbmNlLiIsImF1dGhvciI6W3siZHJvcHBpbmctcGFydGljbGUiOiIiLCJmYW1pbHkiOiJEaSIsImdpdmVuIjoiUWlhbiIsIm5vbi1kcm9wcGluZy1wYXJ0aWNsZSI6IiIsInBhcnNlLW5hbWVzIjpmYWxzZSwic3VmZml4IjoiIn0seyJkcm9wcGluZy1wYXJ0aWNsZSI6IiIsImZhbWlseSI6IkFtaW5pIiwiZ2l2ZW4iOiJIZXJlc2giLCJub24tZHJvcHBpbmctcGFydGljbGUiOiIiLCJwYXJzZS1uYW1lcyI6ZmFsc2UsInN1ZmZpeCI6IiJ9LHsiZHJvcHBpbmctcGFydGljbGUiOiIiLCJmYW1pbHkiOiJTaGkiLCJnaXZlbiI6IkxpdWh1YSIsIm5vbi1kcm9wcGluZy1wYXJ0aWNsZSI6IiIsInBhcnNlLW5hbWVzIjpmYWxzZSwic3VmZml4IjoiIn0seyJkcm9wcGluZy1wYXJ0aWNsZSI6IiIsImZhbWlseSI6Iktsb29nIiwiZ2l2ZW4iOiJJdGFpIiwibm9uLWRyb3BwaW5nLXBhcnRpY2xlIjoiIiwicGFyc2UtbmFtZXMiOmZhbHNlLCJzdWZmaXgiOiIifSx7ImRyb3BwaW5nLXBhcnRpY2xlIjoiIiwiZmFtaWx5IjoiU2lsdmVybiIsImdpdmVuIjoiUmFjaGVsIiwibm9uLWRyb3BwaW5nLXBhcnRpY2xlIjoiIiwicGFyc2UtbmFtZXMiOmZhbHNlLCJzdWZmaXgiOiIifSx7ImRyb3BwaW5nLXBhcnRpY2xlIjoiIiwiZmFtaWx5IjoiS2VsbHkiLCJnaXZlbiI6IkphbWVzIiwibm9uLWRyb3BwaW5nLXBhcnRpY2xlIjoiIiwicGFyc2UtbmFtZXMiOmZhbHNlLCJzdWZmaXgiOiIifSx7ImRyb3BwaW5nLXBhcnRpY2xlIjoiIiwiZmFtaWx5IjoiU2FiYXRoIiwiZ2l2ZW4iOiJNLiBCZW5qYW1pbiIsIm5vbi1kcm9wcGluZy1wYXJ0aWNsZSI6IiIsInBhcnNlLW5hbWVzIjpmYWxzZSwic3VmZml4IjoiIn0seyJkcm9wcGluZy1wYXJ0aWNsZSI6IiIsImZhbWlseSI6IkNob2lyYXQiLCJnaXZlbiI6IkNocmlzdGluZSIsIm5vbi1kcm9wcGluZy1wYXJ0aWNsZSI6IiIsInBhcnNlLW5hbWVzIjpmYWxzZSwic3VmZml4IjoiIn0seyJkcm9wcGluZy1wYXJ0aWNsZSI6IiIsImZhbWlseSI6IktvdXRyYWtpcyIsImdpdmVuIjoiUGV0cm9zIiwibm9uLWRyb3BwaW5nLXBhcnRpY2xlIjoiIiwicGFyc2UtbmFtZXMiOmZhbHNlLCJzdWZmaXgiOiIifSx7ImRyb3BwaW5nLXBhcnRpY2xlIjoiIiwiZmFtaWx5IjoiTHlhcHVzdGluIiwiZ2l2ZW4iOiJBbGV4ZWkiLCJub24tZHJvcHBpbmctcGFydGljbGUiOiIiLCJwYXJzZS1uYW1lcyI6ZmFsc2UsInN1ZmZpeCI6IiJ9LHsiZHJvcHBpbmctcGFydGljbGUiOiIiLCJmYW1pbHkiOiJXYW5nIiwiZ2l2ZW4iOiJZdWppZSIsIm5vbi1kcm9wcGluZy1wYXJ0aWNsZSI6IiIsInBhcnNlLW5hbWVzIjpmYWxzZSwic3VmZml4IjoiIn0seyJkcm9wcGluZy1wYXJ0aWNsZSI6IiIsImZhbWlseSI6Ik1pY2tsZXkiLCJnaXZlbiI6IkxvcmV0dGEgSi4iLCJub24tZHJvcHBpbmctcGFydGljbGUiOiIiLCJwYXJzZS1uYW1lcyI6ZmFsc2UsInN1ZmZpeCI6IiJ9LHsiZHJvcHBpbmctcGFydGljbGUiOiIiLCJmYW1pbHkiOiJTY2h3YXJ0eiIsImdpdmVuIjoiSm9lbCIsIm5vbi1kcm9wcGluZy1wYXJ0aWNsZSI6IiIsInBhcnNlLW5hbWVzIjpmYWxzZSwic3VmZml4IjoiIn1dLCJjb250YWluZXItdGl0bGUiOiJFbnZpcm9ubWVudCBJbnRlcm5hdGlvbmFsIiwiaWQiOiI1Y2JlMDg0MS0wMjRjLTNkMDQtYWRiNy0xZTAxOGQxMGY0YjYiLCJpc3N1ZWQiOnsiZGF0ZS1wYXJ0cyI6W1siMjAxOSIsIjkiLCIxIl1dfSwicGFnZSI6IjEwNDkwOSIsInB1Ymxpc2hlciI6IkVsc2V2aWVyIEx0ZCIsInRpdGxlIjoiQW4gZW5zZW1ibGUtYmFzZWQgbW9kZWwgb2YgUE0yLjUgY29uY2VudHJhdGlvbiBhY3Jvc3MgdGhlIGNvbnRpZ3VvdXMgVW5pdGVkIFN0YXRlcyB3aXRoIGhpZ2ggc3BhdGlvdGVtcG9yYWwgcmVzb2x1dGlvbiIsInR5cGUiOiJhcnRpY2xlLWpvdXJuYWwiLCJ2b2x1bWUiOiIxMzAifSwidXJpcyI6WyJodHRwOi8vd3d3Lm1lbmRlbGV5LmNvbS9kb2N1bWVudHMvP3V1aWQ9NWNiZTA4NDEtMDI0Yy0zZDA0LWFkYjctMWUwMThkMTBmNGI2Il0sImlzVGVtcG9yYXJ5IjpmYWxzZSwibGVnYWN5RGVza3RvcElkIjoiNWNiZTA4NDEtMDI0Yy0zZDA0LWFkYjctMWUwMThkMTBmNGI2In0seyJpZCI6IjYyMjM5ODg0LTc5NGEtM2FhMS05NmUzLTM4MDFmNzkyZjIxOCIsIml0ZW1EYXRhIjp7IkRPSSI6IjEwLjEwMjEvYWNzLmVzdC45YjA0Mjc5IiwiSVNTTiI6IjE1MjA1ODUxIiwiUE1JRCI6IjMxNzQ5MzU1IiwiYWJzdHJhY3QiOiJTcGF0aW90ZW1wb3JhbGx5IHJlc29sdmVkIHBhcnRpY3VsYXRlIG1hdHRlciAoUE0pIGVzdGltYXRlcyBhcmUgZXNzZW50aWFsIGZvciByZWNvbnN0cnVjdGluZyBsb25nIGFuZCBzaG9ydC10ZXJtIGV4cG9zdXJlcyBpbiBlcGlkZW1pb2xvZ2ljYWwgcmVzZWFyY2guIEltcHJvdmVkIGVzdGltYXRlcyBvZiBQTTIuNSBhbmQgUE0xMCBjb25jZW50cmF0aW9ucyB3ZXJlIHByb2R1Y2VkIG92ZXIgSXRhbHkgZm9yIDIwMTMtMjAxNSB1c2luZyBzYXRlbGxpdGUgcmVtb3RlLXNlbnNpbmcgZGF0YSBhbmQgYW4gZW5zZW1ibGUgbW9kZWxpbmcgYXBwcm9hY2guIFRoZSBmb2xsb3dpbmcgbW9kZWxpbmcgc3RhZ2VzIHdlcmUgdXNlZDogKDEpIG1pc3NpbmcgdmFsdWVzIG9mIHRoZSBzYXRlbGxpdGUtYmFzZWQgYWVyb3NvbCBvcHRpY2FsIGRlcHRoIChBT0QpIHByb2R1Y3Qgd2VyZSBpbXB1dGVkIHVzaW5nIGEgc3BhdGlvdGVtcG9yYWwgbGFuZC11c2UgcmFuZG9tLWZvcmVzdCAoUkYpIG1vZGVsIGluY29ycG9yYXRpbmcgQU9EIGRhdGEgZnJvbSBhdG1vc3BoZXJpYyBlbnNlbWJsZSBtb2RlbHM7ICgyKSBkYWlseSBQTSBlc3RpbWF0aW9ucyB3ZXJlIHByb2R1Y2VkIHVzaW5nIGZvdXIgbW9kZWxpbmcgYXBwcm9hY2hlczogbGluZWFyIG1peGVkIGVmZmVjdHMsIFJGLCBleHRyZW1lIGdyYWRpZW50IGJvb3N0aW5nLCBhbmQgYSBjaGVtaWNhbCB0cmFuc3BvcnQgbW9kZWwsIHRoZSBmbGV4aWJsZSBhaXIgcXVhbGl0eSByZWdpb25hbCBtb2RlbC4gVGhlIGZpbGxlZC1pbiBNQUlBQyBBT0QgdG9nZXRoZXIgd2l0aCBhZGRpdGlvbmFsIHNwYXRpYWwgYW5kIHRlbXBvcmFsIHByZWRpY3RvcnMgd2VyZSB1c2VkIGFzIGlucHV0cyBpbiB0aGUgdGhyZWUgZmlyc3QgbW9kZWxzOyAoMykgYSBnZW9ncmFwaGljYWxseSB3ZWlnaHRlZCBnZW5lcmFsaXplZCBhZGRpdGl2ZSBtb2RlbCAoR0FNKSBlbnNlbWJsZSBtb2RlbCB3YXMgdXNlZCB0byBmdXNlIHRoZSBlc3RpbWF0aW9ucyBmcm9tIHRoZSBmb3VyIG1vZGVscyBieSBhbGxvd2luZyB0aGUgd2VpZ2h0cyBvZiBlYWNoIG1vZGVsIHRvIHZhcnkgb3ZlciBzcGFjZSBhbmQgdGltZS4gVGhlIEdBTSBlbnNlbWJsZSBtb2RlbCBvdXRwZXJmb3JtZWQgdGhlIGZvdXIgc2VwYXJhdGUgbW9kZWxzLCBkZWNyZWFzaW5nIHRoZSBjcm9zcy12YWxpZGF0ZWQgcm9vdCBtZWFuIHNxdWFyZWQgZXJyb3IgYnkgMS00MiUsIGRlcGVuZGluZyBvbiB0aGUgbW9kZWwuIFRoZSBzcGF0aW90ZW1wb3JhbGx5IHJlc29sdmVkIFBNIGVzdGltYXRpb25zIHByb2R1Y2VkIGJ5IHRoZSBzdWdnZXN0ZWQgbW9kZWwgY2FuIGJlIGFwcGxpZWQgaW4gZnV0dXJlIGVwaWRlbWlvbG9naWNhbCBzdHVkaWVzIGFjcm9zcyBJdGFseS4iLCJhdXRob3IiOlt7ImRyb3BwaW5nLXBhcnRpY2xlIjoiIiwiZmFtaWx5IjoiU2h0ZWluIiwiZ2l2ZW4iOiJBbGV4YW5kcmEiLCJub24tZHJvcHBpbmctcGFydGljbGUiOiIiLCJwYXJzZS1uYW1lcyI6ZmFsc2UsInN1ZmZpeCI6IiJ9LHsiZHJvcHBpbmctcGFydGljbGUiOiIiLCJmYW1pbHkiOiJLbG9vZyIsImdpdmVuIjoiSXRhaSIsIm5vbi1kcm9wcGluZy1wYXJ0aWNsZSI6IiIsInBhcnNlLW5hbWVzIjpmYWxzZSwic3VmZml4IjoiIn0seyJkcm9wcGluZy1wYXJ0aWNsZSI6IiIsImZhbWlseSI6IlNjaHdhcnR6IiwiZ2l2ZW4iOiJKb2VsIiwibm9uLWRyb3BwaW5nLXBhcnRpY2xlIjoiIiwicGFyc2UtbmFtZXMiOmZhbHNlLCJzdWZmaXgiOiIifSx7ImRyb3BwaW5nLXBhcnRpY2xlIjoiIiwiZmFtaWx5IjoiU2lsaWJlbGxvIiwiZ2l2ZW4iOiJDYW1pbGxvIiwibm9uLWRyb3BwaW5nLXBhcnRpY2xlIjoiIiwicGFyc2UtbmFtZXMiOmZhbHNlLCJzdWZmaXgiOiIifSx7ImRyb3BwaW5nLXBhcnRpY2xlIjoiIiwiZmFtaWx5IjoiTWljaGVsb3p6aSIsImdpdmVuIjoiUGFvbGEiLCJub24tZHJvcHBpbmctcGFydGljbGUiOiIiLCJwYXJzZS1uYW1lcyI6ZmFsc2UsInN1ZmZpeCI6IiJ9LHsiZHJvcHBpbmctcGFydGljbGUiOiIiLCJmYW1pbHkiOiJHYXJpYXp6byIsImdpdmVuIjoiQ2xhdWRpbyIsIm5vbi1kcm9wcGluZy1wYXJ0aWNsZSI6IiIsInBhcnNlLW5hbWVzIjpmYWxzZSwic3VmZml4IjoiIn0seyJkcm9wcGluZy1wYXJ0aWNsZSI6IiIsImZhbWlseSI6IlZpZWdpIiwiZ2l2ZW4iOiJHaW92YW5uaSIsIm5vbi1kcm9wcGluZy1wYXJ0aWNsZSI6IiIsInBhcnNlLW5hbWVzIjpmYWxzZSwic3VmZml4IjoiIn0seyJkcm9wcGluZy1wYXJ0aWNsZSI6IiIsImZhbWlseSI6IkZvcmFzdGllcmUiLCJnaXZlbiI6IkZyYW5jZXNjbyIsIm5vbi1kcm9wcGluZy1wYXJ0aWNsZSI6IiIsInBhcnNlLW5hbWVzIjpmYWxzZSwic3VmZml4IjoiIn0seyJkcm9wcGluZy1wYXJ0aWNsZSI6IiIsImZhbWlseSI6Ikthcm5pZWxpIiwiZ2l2ZW4iOiJBcm5vbiIsIm5vbi1kcm9wcGluZy1wYXJ0aWNsZSI6IiIsInBhcnNlLW5hbWVzIjpmYWxzZSwic3VmZml4IjoiIn0seyJkcm9wcGluZy1wYXJ0aWNsZSI6IiIsImZhbWlseSI6Ikp1c3QiLCJnaXZlbiI6IkFsbGFuIEMiLCJub24tZHJvcHBpbmctcGFydGljbGUiOiIiLCJwYXJzZS1uYW1lcyI6ZmFsc2UsInN1ZmZpeCI6IiJ9LHsiZHJvcHBpbmctcGFydGljbGUiOiIiLCJmYW1pbHkiOiJTdGFmb2dnaWEiLCJnaXZlbiI6Ik1hc3NpbW8iLCJub24tZHJvcHBpbmctcGFydGljbGUiOiIiLCJwYXJzZS1uYW1lcyI6ZmFsc2UsInN1ZmZpeCI6IiJ9XSwiY29udGFpbmVyLXRpdGxlIjoiRW52aXJvbm1lbnRhbCBTY2llbmNlIGFuZCBUZWNobm9sb2d5IiwiaWQiOiI2MjIzOTg4NC03OTRhLTNhYTEtOTZlMy0zODAxZjc5MmYyMTgiLCJpc3N1ZWQiOnsiZGF0ZS1wYXJ0cyI6W1siMjAxOSJdXX0sInRpdGxlIjoiRXN0aW1hdGluZyBEYWlseSBQTTIuNSBhbmQgUE0xMCBvdmVyIEl0YWx5IFVzaW5nIGFuIEVuc2VtYmxlIE1vZGVsIiwidHlwZSI6ImFydGljbGUtam91cm5hbCJ9LCJ1cmlzIjpbImh0dHA6Ly93d3cubWVuZGVsZXkuY29tL2RvY3VtZW50cy8/dXVpZD02MjIzOTg4NC03OTRhLTNhYTEtOTZlMy0zODAxZjc5MmYyMTgiXSwiaXNUZW1wb3JhcnkiOmZhbHNlLCJsZWdhY3lEZXNrdG9wSWQiOiI2MjIzOTg4NC03OTRhLTNhYTEtOTZlMy0zODAxZjc5MmYyMTgifV0sInByb3BlcnRpZXMiOnsibm90ZUluZGV4IjowfSwiaXNFZGl0ZWQiOmZhbHNlLCJtYW51YWxPdmVycmlkZSI6eyJjaXRlcHJvY1RleHQiOiIoRGkgZXQgYWwuLCAyMDE5OyBMaSBldCBhbC4sIDIwMjE7IFNjaG5laWRlciBldCBhbC4sIDIwMjA7IFNodGVpbiBldCBhbC4sIDIwMTkpIiwiaXNNYW51YWxseU92ZXJyaWRkZW4iOmZhbHNlLCJtYW51YWxPdmVycmlkZVRleHQiOiIifX0=&quot;}]"/>
    <we:property name="MENDELEY_CITATIONS_STYLE" value="&quot;https://www.zotero.org/styles/apa&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CD4C5C-1074-EB44-8DDB-BDCF206454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19</Pages>
  <Words>2068</Words>
  <Characters>12708</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Imperial College London</Company>
  <LinksUpToDate>false</LinksUpToDate>
  <CharactersWithSpaces>14747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 Weiyi</dc:creator>
  <cp:keywords/>
  <dc:description/>
  <cp:lastModifiedBy>Wang, Weiyi</cp:lastModifiedBy>
  <cp:revision>4</cp:revision>
  <dcterms:created xsi:type="dcterms:W3CDTF">2022-06-28T22:01:00Z</dcterms:created>
  <dcterms:modified xsi:type="dcterms:W3CDTF">2022-07-13T13:19:00Z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http://csl.mendeley.com/styles/480646731/harvard-cite-them-right-esa</vt:lpwstr>
  </property>
  <property fmtid="{D5CDD505-2E9C-101B-9397-08002B2CF9AE}" pid="13" name="Mendeley Recent Style Name 5_1">
    <vt:lpwstr>Cite Them Right 10th edition - Harvard - Weiyi Wang</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68f6682a-7227-34b7-94d9-0b20bc868540</vt:lpwstr>
  </property>
  <property fmtid="{D5CDD505-2E9C-101B-9397-08002B2CF9AE}" pid="24" name="Mendeley Citation Style_1">
    <vt:lpwstr>http://www.zotero.org/styles/apa</vt:lpwstr>
  </property>
  <property fmtid="{D5CDD505-2E9C-101B-9397-08002B2CF9AE}" pid="25" name="grammarly_documentId">
    <vt:lpwstr>documentId_2191</vt:lpwstr>
  </property>
  <property fmtid="{D5CDD505-2E9C-101B-9397-08002B2CF9AE}" pid="26" name="grammarly_documentContext">
    <vt:lpwstr>{"goals":[],"domain":"academic","emotions":["neutral"],"dialect":"british","audience":"expert","style":"formal"}</vt:lpwstr>
  </property>
</Properties>
</file>