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7AE3" w14:textId="6BF7A60F" w:rsidR="007C28A3" w:rsidRDefault="007C28A3" w:rsidP="001B6F75">
      <w:pPr>
        <w:jc w:val="both"/>
      </w:pPr>
      <w:r w:rsidRPr="00C823CF">
        <w:rPr>
          <w:b/>
          <w:bCs/>
        </w:rPr>
        <w:t>Table S1.</w:t>
      </w:r>
      <w:r w:rsidRPr="008E031B">
        <w:t xml:space="preserve"> </w:t>
      </w:r>
      <w:r>
        <w:t>Interrupted time series analysis (ITSA) demonstrating the impact of the first</w:t>
      </w:r>
      <w:r w:rsidR="00E01920">
        <w:t>-</w:t>
      </w:r>
      <w:r>
        <w:t xml:space="preserve">trimester aspirin-based screening and intervention program on the % of early PTB, </w:t>
      </w:r>
      <w:proofErr w:type="spellStart"/>
      <w:r>
        <w:t>sPTB</w:t>
      </w:r>
      <w:proofErr w:type="spellEnd"/>
      <w:r>
        <w:t xml:space="preserve">, and </w:t>
      </w:r>
      <w:proofErr w:type="spellStart"/>
      <w:r>
        <w:t>iPTB</w:t>
      </w:r>
      <w:proofErr w:type="spellEnd"/>
      <w:r>
        <w:t xml:space="preserve"> &lt; 34 weeks.</w:t>
      </w:r>
    </w:p>
    <w:p w14:paraId="134F45E3" w14:textId="77777777" w:rsidR="007C28A3" w:rsidRDefault="007C28A3" w:rsidP="007C28A3"/>
    <w:tbl>
      <w:tblPr>
        <w:tblStyle w:val="TableGrid"/>
        <w:tblW w:w="4183" w:type="pct"/>
        <w:tblLook w:val="04A0" w:firstRow="1" w:lastRow="0" w:firstColumn="1" w:lastColumn="0" w:noHBand="0" w:noVBand="1"/>
      </w:tblPr>
      <w:tblGrid>
        <w:gridCol w:w="5296"/>
        <w:gridCol w:w="1914"/>
        <w:gridCol w:w="607"/>
        <w:gridCol w:w="893"/>
      </w:tblGrid>
      <w:tr w:rsidR="007C28A3" w:rsidRPr="00BE3A2C" w14:paraId="01D511A5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6338CCD6" w14:textId="77777777" w:rsidR="007C28A3" w:rsidRPr="00BE3A2C" w:rsidRDefault="007C28A3" w:rsidP="000E26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% </w:t>
            </w:r>
            <w:r w:rsidRPr="00BE3A2C">
              <w:rPr>
                <w:rFonts w:ascii="Calibri" w:hAnsi="Calibri" w:cs="Calibri"/>
                <w:b/>
                <w:bCs/>
                <w:sz w:val="22"/>
                <w:szCs w:val="22"/>
              </w:rPr>
              <w:t>Total PTB</w:t>
            </w:r>
          </w:p>
        </w:tc>
        <w:tc>
          <w:tcPr>
            <w:tcW w:w="1150" w:type="pct"/>
            <w:noWrap/>
            <w:vAlign w:val="center"/>
          </w:tcPr>
          <w:p w14:paraId="15171080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3A2C">
              <w:rPr>
                <w:rFonts w:ascii="Calibri" w:hAnsi="Calibri" w:cs="Calibri"/>
                <w:b/>
                <w:bCs/>
                <w:sz w:val="22"/>
                <w:szCs w:val="22"/>
              </w:rPr>
              <w:t>Estimate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(95% CI)</w:t>
            </w:r>
          </w:p>
        </w:tc>
        <w:tc>
          <w:tcPr>
            <w:tcW w:w="709" w:type="pct"/>
            <w:noWrap/>
            <w:vAlign w:val="center"/>
          </w:tcPr>
          <w:p w14:paraId="30E0C16A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</w:t>
            </w:r>
          </w:p>
        </w:tc>
        <w:tc>
          <w:tcPr>
            <w:tcW w:w="709" w:type="pct"/>
            <w:noWrap/>
            <w:vAlign w:val="center"/>
          </w:tcPr>
          <w:p w14:paraId="3968BADA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3A2C">
              <w:rPr>
                <w:rFonts w:ascii="Calibri" w:hAnsi="Calibri" w:cs="Calibri"/>
                <w:b/>
                <w:bCs/>
                <w:sz w:val="22"/>
                <w:szCs w:val="22"/>
              </w:rPr>
              <w:t>p-value</w:t>
            </w:r>
          </w:p>
        </w:tc>
      </w:tr>
      <w:tr w:rsidR="007C28A3" w:rsidRPr="00BE3A2C" w14:paraId="5F5BEF60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66128F40" w14:textId="7CD17A6B" w:rsidR="007C28A3" w:rsidRPr="00BE3A2C" w:rsidRDefault="00E35DB8" w:rsidP="000E262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Slope coefficient</w:t>
            </w:r>
            <w:r w:rsidRPr="00BE3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C28A3" w:rsidRPr="00BE3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before the intervention</w:t>
            </w:r>
          </w:p>
        </w:tc>
        <w:tc>
          <w:tcPr>
            <w:tcW w:w="1150" w:type="pct"/>
            <w:noWrap/>
            <w:vAlign w:val="center"/>
          </w:tcPr>
          <w:p w14:paraId="710E7FD0" w14:textId="50306A56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-0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(-0.13 – 0.14)</w:t>
            </w:r>
          </w:p>
        </w:tc>
        <w:tc>
          <w:tcPr>
            <w:tcW w:w="709" w:type="pct"/>
            <w:noWrap/>
            <w:vAlign w:val="center"/>
          </w:tcPr>
          <w:p w14:paraId="544A3F2E" w14:textId="46C9CC54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pct"/>
            <w:noWrap/>
            <w:vAlign w:val="center"/>
          </w:tcPr>
          <w:p w14:paraId="3F66A1DA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28A3" w:rsidRPr="00BE3A2C" w14:paraId="76AF5FA1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64FB2524" w14:textId="77777777" w:rsidR="007C28A3" w:rsidRPr="00BE3A2C" w:rsidRDefault="007C28A3" w:rsidP="000E262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3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Immediate effect of the intervention</w:t>
            </w:r>
          </w:p>
        </w:tc>
        <w:tc>
          <w:tcPr>
            <w:tcW w:w="1150" w:type="pct"/>
            <w:noWrap/>
            <w:vAlign w:val="center"/>
          </w:tcPr>
          <w:p w14:paraId="11CCCC2B" w14:textId="1C345719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(-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0.23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1.3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pct"/>
            <w:noWrap/>
            <w:vAlign w:val="center"/>
          </w:tcPr>
          <w:p w14:paraId="78C14B49" w14:textId="4BB4B448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9" w:type="pct"/>
            <w:noWrap/>
            <w:vAlign w:val="center"/>
          </w:tcPr>
          <w:p w14:paraId="2A721C2B" w14:textId="6FCA8B33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28A3" w:rsidRPr="00BE3A2C" w14:paraId="52B518FF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40F4A4AA" w14:textId="079B07E9" w:rsidR="007C28A3" w:rsidRPr="00BE3A2C" w:rsidRDefault="007C28A3" w:rsidP="000E262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2625">
              <w:rPr>
                <w:rFonts w:ascii="Calibri" w:hAnsi="Calibri" w:cs="Calibri"/>
                <w:sz w:val="22"/>
                <w:szCs w:val="22"/>
              </w:rPr>
              <w:t xml:space="preserve">Change in </w:t>
            </w:r>
            <w:r w:rsidR="00E35DB8">
              <w:rPr>
                <w:rFonts w:ascii="Calibri" w:hAnsi="Calibri" w:cs="Calibri"/>
                <w:sz w:val="22"/>
                <w:szCs w:val="22"/>
              </w:rPr>
              <w:t>slopes</w:t>
            </w:r>
            <w:r w:rsidRPr="000E2625">
              <w:rPr>
                <w:rFonts w:ascii="Calibri" w:hAnsi="Calibri" w:cs="Calibri"/>
                <w:sz w:val="22"/>
                <w:szCs w:val="22"/>
              </w:rPr>
              <w:t xml:space="preserve"> between the pre- and post-intervention</w:t>
            </w:r>
          </w:p>
        </w:tc>
        <w:tc>
          <w:tcPr>
            <w:tcW w:w="1150" w:type="pct"/>
            <w:noWrap/>
            <w:vAlign w:val="center"/>
          </w:tcPr>
          <w:p w14:paraId="045DED4C" w14:textId="7C5CC973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(-0.15 – 0.13)</w:t>
            </w:r>
          </w:p>
        </w:tc>
        <w:tc>
          <w:tcPr>
            <w:tcW w:w="709" w:type="pct"/>
            <w:noWrap/>
            <w:vAlign w:val="center"/>
          </w:tcPr>
          <w:p w14:paraId="2265206D" w14:textId="62452508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pct"/>
            <w:noWrap/>
            <w:vAlign w:val="center"/>
          </w:tcPr>
          <w:p w14:paraId="1C99C8B2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28A3" w:rsidRPr="00BE3A2C" w14:paraId="2F47BC49" w14:textId="77777777" w:rsidTr="000E2625">
        <w:trPr>
          <w:trHeight w:val="482"/>
        </w:trPr>
        <w:tc>
          <w:tcPr>
            <w:tcW w:w="2431" w:type="pct"/>
            <w:noWrap/>
            <w:vAlign w:val="center"/>
          </w:tcPr>
          <w:p w14:paraId="088CE1A8" w14:textId="77777777" w:rsidR="007C28A3" w:rsidRPr="00BE3A2C" w:rsidRDefault="007C28A3" w:rsidP="000E26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%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BE3A2C">
              <w:rPr>
                <w:rFonts w:ascii="Calibri" w:hAnsi="Calibri" w:cs="Calibri"/>
                <w:b/>
                <w:bCs/>
                <w:sz w:val="22"/>
                <w:szCs w:val="22"/>
              </w:rPr>
              <w:t>PTB</w:t>
            </w:r>
            <w:proofErr w:type="spellEnd"/>
          </w:p>
        </w:tc>
        <w:tc>
          <w:tcPr>
            <w:tcW w:w="1150" w:type="pct"/>
            <w:noWrap/>
            <w:vAlign w:val="center"/>
          </w:tcPr>
          <w:p w14:paraId="1FB9968A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pct"/>
            <w:noWrap/>
            <w:vAlign w:val="center"/>
          </w:tcPr>
          <w:p w14:paraId="2DD101ED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pct"/>
            <w:noWrap/>
            <w:vAlign w:val="center"/>
          </w:tcPr>
          <w:p w14:paraId="4643BA1D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C28A3" w:rsidRPr="00BE3A2C" w14:paraId="136571E1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6E0EF683" w14:textId="5727AB29" w:rsidR="007C28A3" w:rsidRPr="00BE3A2C" w:rsidRDefault="00E35DB8" w:rsidP="000E262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Slope coefficient</w:t>
            </w:r>
            <w:r w:rsidRPr="00BE3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before </w:t>
            </w:r>
            <w:r w:rsidR="007C28A3" w:rsidRPr="00BE3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intervention</w:t>
            </w:r>
          </w:p>
        </w:tc>
        <w:tc>
          <w:tcPr>
            <w:tcW w:w="1150" w:type="pct"/>
            <w:noWrap/>
            <w:vAlign w:val="center"/>
          </w:tcPr>
          <w:p w14:paraId="4F13F00E" w14:textId="7F73BE3F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-0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(-0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– 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01)</w:t>
            </w:r>
          </w:p>
        </w:tc>
        <w:tc>
          <w:tcPr>
            <w:tcW w:w="709" w:type="pct"/>
            <w:noWrap/>
            <w:vAlign w:val="center"/>
          </w:tcPr>
          <w:p w14:paraId="4AED3BA7" w14:textId="65AFFB1E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pct"/>
            <w:noWrap/>
            <w:vAlign w:val="center"/>
          </w:tcPr>
          <w:p w14:paraId="0A164518" w14:textId="0EBBAFE9" w:rsidR="007C28A3" w:rsidRPr="001B6F75" w:rsidRDefault="007C28A3" w:rsidP="000E2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1B6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</w:t>
            </w:r>
          </w:p>
        </w:tc>
      </w:tr>
      <w:tr w:rsidR="007C28A3" w:rsidRPr="00BE3A2C" w14:paraId="5AE01678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35CE7525" w14:textId="77777777" w:rsidR="007C28A3" w:rsidRPr="00BE3A2C" w:rsidRDefault="007C28A3" w:rsidP="000E262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3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Immediate effect of the intervention</w:t>
            </w:r>
          </w:p>
        </w:tc>
        <w:tc>
          <w:tcPr>
            <w:tcW w:w="1150" w:type="pct"/>
            <w:noWrap/>
            <w:vAlign w:val="center"/>
          </w:tcPr>
          <w:p w14:paraId="4C70CCF4" w14:textId="1DF0B26F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(-0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pct"/>
            <w:noWrap/>
            <w:vAlign w:val="center"/>
          </w:tcPr>
          <w:p w14:paraId="1E73958B" w14:textId="55AF217A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pct"/>
            <w:noWrap/>
            <w:vAlign w:val="center"/>
          </w:tcPr>
          <w:p w14:paraId="533CB45C" w14:textId="79605753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28A3" w:rsidRPr="00BE3A2C" w14:paraId="5FB8F00A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61CAECC2" w14:textId="2C6D12D0" w:rsidR="007C28A3" w:rsidRPr="00BE3A2C" w:rsidRDefault="007C28A3" w:rsidP="000E262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2625">
              <w:rPr>
                <w:rFonts w:ascii="Calibri" w:hAnsi="Calibri" w:cs="Calibri"/>
                <w:sz w:val="22"/>
                <w:szCs w:val="22"/>
              </w:rPr>
              <w:t xml:space="preserve">Change in </w:t>
            </w:r>
            <w:r w:rsidR="00E35DB8">
              <w:rPr>
                <w:rFonts w:ascii="Calibri" w:hAnsi="Calibri" w:cs="Calibri"/>
                <w:sz w:val="22"/>
                <w:szCs w:val="22"/>
              </w:rPr>
              <w:t>slopes</w:t>
            </w:r>
            <w:r w:rsidRPr="000E2625">
              <w:rPr>
                <w:rFonts w:ascii="Calibri" w:hAnsi="Calibri" w:cs="Calibri"/>
                <w:sz w:val="22"/>
                <w:szCs w:val="22"/>
              </w:rPr>
              <w:t xml:space="preserve"> between the pre- and post-intervention</w:t>
            </w:r>
          </w:p>
        </w:tc>
        <w:tc>
          <w:tcPr>
            <w:tcW w:w="1150" w:type="pct"/>
            <w:noWrap/>
            <w:vAlign w:val="center"/>
          </w:tcPr>
          <w:p w14:paraId="40E9AF49" w14:textId="5F80ED0B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(-0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– 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11)</w:t>
            </w:r>
          </w:p>
        </w:tc>
        <w:tc>
          <w:tcPr>
            <w:tcW w:w="709" w:type="pct"/>
            <w:noWrap/>
            <w:vAlign w:val="center"/>
          </w:tcPr>
          <w:p w14:paraId="5FF65112" w14:textId="42380EA5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pct"/>
            <w:noWrap/>
            <w:vAlign w:val="center"/>
          </w:tcPr>
          <w:p w14:paraId="0790F94F" w14:textId="5C21E4AA" w:rsidR="007C28A3" w:rsidRPr="00BE3A2C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</w:p>
        </w:tc>
      </w:tr>
      <w:tr w:rsidR="007C28A3" w:rsidRPr="00BE3A2C" w14:paraId="13EA7291" w14:textId="77777777" w:rsidTr="000E2625">
        <w:trPr>
          <w:trHeight w:val="482"/>
        </w:trPr>
        <w:tc>
          <w:tcPr>
            <w:tcW w:w="2431" w:type="pct"/>
            <w:noWrap/>
            <w:vAlign w:val="center"/>
          </w:tcPr>
          <w:p w14:paraId="54DD8D24" w14:textId="77777777" w:rsidR="007C28A3" w:rsidRPr="00BE3A2C" w:rsidRDefault="007C28A3" w:rsidP="000E26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%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BE3A2C">
              <w:rPr>
                <w:rFonts w:ascii="Calibri" w:hAnsi="Calibri" w:cs="Calibri"/>
                <w:b/>
                <w:bCs/>
                <w:sz w:val="22"/>
                <w:szCs w:val="22"/>
              </w:rPr>
              <w:t>PTB</w:t>
            </w:r>
            <w:proofErr w:type="spellEnd"/>
          </w:p>
        </w:tc>
        <w:tc>
          <w:tcPr>
            <w:tcW w:w="1150" w:type="pct"/>
            <w:noWrap/>
            <w:vAlign w:val="center"/>
          </w:tcPr>
          <w:p w14:paraId="527C924B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pct"/>
            <w:noWrap/>
            <w:vAlign w:val="center"/>
          </w:tcPr>
          <w:p w14:paraId="10051686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pct"/>
            <w:noWrap/>
            <w:vAlign w:val="center"/>
          </w:tcPr>
          <w:p w14:paraId="2E3DCCE6" w14:textId="77777777" w:rsidR="007C28A3" w:rsidRPr="00BE3A2C" w:rsidRDefault="007C28A3" w:rsidP="000E26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C28A3" w:rsidRPr="00BE3A2C" w14:paraId="78EF700D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2439E471" w14:textId="5F7ED88F" w:rsidR="007C28A3" w:rsidRPr="00BE3A2C" w:rsidRDefault="00E35DB8" w:rsidP="000E262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Slope coefficient</w:t>
            </w:r>
            <w:r w:rsidRPr="00BE3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C28A3" w:rsidRPr="00BE3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before the intervention</w:t>
            </w:r>
          </w:p>
        </w:tc>
        <w:tc>
          <w:tcPr>
            <w:tcW w:w="1150" w:type="pct"/>
            <w:noWrap/>
            <w:vAlign w:val="center"/>
          </w:tcPr>
          <w:p w14:paraId="5BFD8CA1" w14:textId="0D8E1CB0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-0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(-0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– 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03)</w:t>
            </w:r>
          </w:p>
        </w:tc>
        <w:tc>
          <w:tcPr>
            <w:tcW w:w="709" w:type="pct"/>
            <w:noWrap/>
            <w:vAlign w:val="center"/>
          </w:tcPr>
          <w:p w14:paraId="2908E491" w14:textId="12DE2830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pct"/>
            <w:noWrap/>
            <w:vAlign w:val="center"/>
          </w:tcPr>
          <w:p w14:paraId="55354D9D" w14:textId="204EB320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28A3" w:rsidRPr="00BE3A2C" w14:paraId="457005B0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14AA91C5" w14:textId="77777777" w:rsidR="007C28A3" w:rsidRPr="00BE3A2C" w:rsidRDefault="007C28A3" w:rsidP="000E262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3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Immediate effect of the intervention</w:t>
            </w:r>
          </w:p>
        </w:tc>
        <w:tc>
          <w:tcPr>
            <w:tcW w:w="1150" w:type="pct"/>
            <w:noWrap/>
            <w:vAlign w:val="center"/>
          </w:tcPr>
          <w:p w14:paraId="6EA6ED62" w14:textId="5995E594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(-0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pct"/>
            <w:noWrap/>
            <w:vAlign w:val="center"/>
          </w:tcPr>
          <w:p w14:paraId="14EDB8FF" w14:textId="49F2EE6D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pct"/>
            <w:noWrap/>
            <w:vAlign w:val="center"/>
          </w:tcPr>
          <w:p w14:paraId="7EDED3CB" w14:textId="40EA4EB8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1736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7C28A3" w:rsidRPr="00BE3A2C" w14:paraId="797DB187" w14:textId="77777777" w:rsidTr="000E2625">
        <w:trPr>
          <w:trHeight w:val="142"/>
        </w:trPr>
        <w:tc>
          <w:tcPr>
            <w:tcW w:w="2431" w:type="pct"/>
            <w:noWrap/>
            <w:vAlign w:val="center"/>
          </w:tcPr>
          <w:p w14:paraId="7596FCD6" w14:textId="72602861" w:rsidR="007C28A3" w:rsidRPr="00BE3A2C" w:rsidRDefault="007C28A3" w:rsidP="000E262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2625">
              <w:rPr>
                <w:rFonts w:ascii="Calibri" w:hAnsi="Calibri" w:cs="Calibri"/>
                <w:sz w:val="22"/>
                <w:szCs w:val="22"/>
              </w:rPr>
              <w:t xml:space="preserve">Change in </w:t>
            </w:r>
            <w:r w:rsidR="00E35DB8">
              <w:rPr>
                <w:rFonts w:ascii="Calibri" w:hAnsi="Calibri" w:cs="Calibri"/>
                <w:sz w:val="22"/>
                <w:szCs w:val="22"/>
              </w:rPr>
              <w:t>slopes</w:t>
            </w:r>
            <w:r w:rsidRPr="000E2625">
              <w:rPr>
                <w:rFonts w:ascii="Calibri" w:hAnsi="Calibri" w:cs="Calibri"/>
                <w:sz w:val="22"/>
                <w:szCs w:val="22"/>
              </w:rPr>
              <w:t xml:space="preserve"> between the pre- and post-intervention</w:t>
            </w:r>
          </w:p>
        </w:tc>
        <w:tc>
          <w:tcPr>
            <w:tcW w:w="1150" w:type="pct"/>
            <w:noWrap/>
            <w:vAlign w:val="center"/>
          </w:tcPr>
          <w:p w14:paraId="3C6E9E05" w14:textId="4A6A5C6C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(-0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– 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12)</w:t>
            </w:r>
          </w:p>
        </w:tc>
        <w:tc>
          <w:tcPr>
            <w:tcW w:w="709" w:type="pct"/>
            <w:noWrap/>
            <w:vAlign w:val="center"/>
          </w:tcPr>
          <w:p w14:paraId="7AB0FE74" w14:textId="61173EEE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pct"/>
            <w:noWrap/>
            <w:vAlign w:val="center"/>
          </w:tcPr>
          <w:p w14:paraId="731EA3C5" w14:textId="4D55DA0B" w:rsidR="007C28A3" w:rsidRPr="000E2625" w:rsidRDefault="007C28A3" w:rsidP="000E2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5F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C823C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</w:tbl>
    <w:p w14:paraId="661076B6" w14:textId="77777777" w:rsidR="007C28A3" w:rsidRDefault="007C28A3" w:rsidP="007C28A3"/>
    <w:p w14:paraId="20A708E6" w14:textId="77777777" w:rsidR="007C28A3" w:rsidRDefault="007C28A3" w:rsidP="007C28A3">
      <w:pPr>
        <w:rPr>
          <w:lang w:val="en-US"/>
        </w:rPr>
      </w:pPr>
      <w:r>
        <w:rPr>
          <w:lang w:val="en-US"/>
        </w:rPr>
        <w:t xml:space="preserve">PTB, preterm birth; </w:t>
      </w:r>
      <w:proofErr w:type="spellStart"/>
      <w:r>
        <w:rPr>
          <w:lang w:val="en-US"/>
        </w:rPr>
        <w:t>sPTB</w:t>
      </w:r>
      <w:proofErr w:type="spellEnd"/>
      <w:r>
        <w:rPr>
          <w:lang w:val="en-US"/>
        </w:rPr>
        <w:t xml:space="preserve">, spontaneous preterm birth; </w:t>
      </w:r>
      <w:proofErr w:type="spellStart"/>
      <w:r>
        <w:rPr>
          <w:lang w:val="en-US"/>
        </w:rPr>
        <w:t>iPTB</w:t>
      </w:r>
      <w:proofErr w:type="spellEnd"/>
      <w:r>
        <w:rPr>
          <w:lang w:val="en-US"/>
        </w:rPr>
        <w:t>, iatrogenic PTB; %, percentage; CI confidence interval; SE, standard error</w:t>
      </w:r>
    </w:p>
    <w:p w14:paraId="341DD750" w14:textId="77777777" w:rsidR="007C28A3" w:rsidRDefault="007C28A3">
      <w:pPr>
        <w:rPr>
          <w:lang w:val="en-US"/>
        </w:rPr>
        <w:sectPr w:rsidR="007C28A3" w:rsidSect="001B6F7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4F869D" w14:textId="5616C1F0" w:rsidR="007C28A3" w:rsidRDefault="007C28A3" w:rsidP="001B6F75">
      <w:pPr>
        <w:jc w:val="both"/>
      </w:pPr>
      <w:r w:rsidRPr="00C823CF">
        <w:rPr>
          <w:b/>
          <w:bCs/>
        </w:rPr>
        <w:lastRenderedPageBreak/>
        <w:t>Figure S1.</w:t>
      </w:r>
      <w:r>
        <w:t xml:space="preserve"> Time series of early (&lt;34 weeks) PTB, </w:t>
      </w:r>
      <w:proofErr w:type="spellStart"/>
      <w:r>
        <w:t>iPTB</w:t>
      </w:r>
      <w:proofErr w:type="spellEnd"/>
      <w:r>
        <w:t xml:space="preserve">, </w:t>
      </w:r>
      <w:r w:rsidR="00E90298">
        <w:t xml:space="preserve">and </w:t>
      </w:r>
      <w:proofErr w:type="spellStart"/>
      <w:r>
        <w:t>sPTB</w:t>
      </w:r>
      <w:proofErr w:type="spellEnd"/>
      <w:r>
        <w:t xml:space="preserve"> rates presented in quarters of years (Q1-Q4) before and after the introduction of the first trimester combined screening program for preterm preeclampsia.</w:t>
      </w:r>
      <w:r>
        <w:rPr>
          <w:rFonts w:ascii="Arial" w:hAnsi="Arial" w:cs="Arial"/>
          <w:color w:val="000000" w:themeColor="text1"/>
          <w:lang w:eastAsia="it-IT"/>
        </w:rPr>
        <w:t xml:space="preserve"> </w:t>
      </w:r>
      <w:r w:rsidR="00F35F7E" w:rsidRPr="00F35F7E">
        <w:t xml:space="preserve">The </w:t>
      </w:r>
      <w:proofErr w:type="spellStart"/>
      <w:r w:rsidR="00F35F7E" w:rsidRPr="00F35F7E">
        <w:t>gray</w:t>
      </w:r>
      <w:proofErr w:type="spellEnd"/>
      <w:r w:rsidR="00F35F7E" w:rsidRPr="00F35F7E">
        <w:t xml:space="preserve">-shaded area represents the pre-intervention period (April 2016–July 2018). The dashed vertical line marks the introduction of the screening program. The dotted trend lines represent the trajectory of PTB, </w:t>
      </w:r>
      <w:proofErr w:type="spellStart"/>
      <w:r w:rsidR="00F35F7E" w:rsidRPr="00F35F7E">
        <w:t>sPTB</w:t>
      </w:r>
      <w:proofErr w:type="spellEnd"/>
      <w:r w:rsidR="00F35F7E" w:rsidRPr="00F35F7E">
        <w:t xml:space="preserve">, and </w:t>
      </w:r>
      <w:proofErr w:type="spellStart"/>
      <w:r w:rsidR="00F35F7E" w:rsidRPr="00F35F7E">
        <w:t>iPTB</w:t>
      </w:r>
      <w:proofErr w:type="spellEnd"/>
      <w:r w:rsidR="00F35F7E" w:rsidRPr="00F35F7E">
        <w:t xml:space="preserve"> rates before and after the intervention. The change in intercept at the time of intervention reflects the immediate effect of the program, while the post-intervention trend indicates any long-term changes in PTB rates, as assessed through Interrupted Time Series Analysis </w:t>
      </w:r>
      <w:r w:rsidR="00F35F7E" w:rsidRPr="00F35F7E">
        <w:lastRenderedPageBreak/>
        <w:t>(ITSA).</w:t>
      </w:r>
      <w:r>
        <w:rPr>
          <w:noProof/>
        </w:rPr>
        <w:drawing>
          <wp:inline distT="0" distB="0" distL="0" distR="0" wp14:anchorId="7DA34AD2" wp14:editId="7C7A4E46">
            <wp:extent cx="8863330" cy="4985385"/>
            <wp:effectExtent l="0" t="0" r="1270" b="5715"/>
            <wp:docPr id="618541732" name="Picture 4" descr="A graph showing the different colo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41732" name="Picture 4" descr="A graph showing the different colored dot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C0AC1" w14:textId="77777777" w:rsidR="007C28A3" w:rsidRDefault="007C28A3" w:rsidP="007C28A3"/>
    <w:p w14:paraId="54656029" w14:textId="77777777" w:rsidR="007C28A3" w:rsidRDefault="007C28A3" w:rsidP="007C28A3">
      <w:pPr>
        <w:rPr>
          <w:lang w:val="en-US"/>
        </w:rPr>
      </w:pPr>
    </w:p>
    <w:p w14:paraId="073DA8F5" w14:textId="66A74A20" w:rsidR="005E63F2" w:rsidRPr="001B6F75" w:rsidRDefault="007C28A3">
      <w:pPr>
        <w:rPr>
          <w:vertAlign w:val="subscript"/>
        </w:rPr>
      </w:pPr>
      <w:r>
        <w:rPr>
          <w:lang w:val="en-US"/>
        </w:rPr>
        <w:lastRenderedPageBreak/>
        <w:t xml:space="preserve">PTB, preterm birth; </w:t>
      </w:r>
      <w:proofErr w:type="spellStart"/>
      <w:r>
        <w:rPr>
          <w:lang w:val="en-US"/>
        </w:rPr>
        <w:t>sPTB</w:t>
      </w:r>
      <w:proofErr w:type="spellEnd"/>
      <w:r>
        <w:rPr>
          <w:lang w:val="en-US"/>
        </w:rPr>
        <w:t xml:space="preserve">, spontaneous preterm birth; </w:t>
      </w:r>
      <w:proofErr w:type="spellStart"/>
      <w:r>
        <w:rPr>
          <w:lang w:val="en-US"/>
        </w:rPr>
        <w:t>iPTB</w:t>
      </w:r>
      <w:proofErr w:type="spellEnd"/>
      <w:r>
        <w:rPr>
          <w:lang w:val="en-US"/>
        </w:rPr>
        <w:t xml:space="preserve">, iatrogenic </w:t>
      </w:r>
      <w:r w:rsidR="00AF2D28">
        <w:rPr>
          <w:lang w:val="en-US"/>
        </w:rPr>
        <w:t>preterm birth</w:t>
      </w:r>
    </w:p>
    <w:sectPr w:rsidR="005E63F2" w:rsidRPr="001B6F75" w:rsidSect="007C28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F6"/>
    <w:rsid w:val="00026099"/>
    <w:rsid w:val="00032D6E"/>
    <w:rsid w:val="00033FBB"/>
    <w:rsid w:val="00040582"/>
    <w:rsid w:val="000876AC"/>
    <w:rsid w:val="00090D9F"/>
    <w:rsid w:val="00096053"/>
    <w:rsid w:val="000D4B5F"/>
    <w:rsid w:val="000E25B2"/>
    <w:rsid w:val="00104812"/>
    <w:rsid w:val="00105D37"/>
    <w:rsid w:val="001264F6"/>
    <w:rsid w:val="00126630"/>
    <w:rsid w:val="001443F7"/>
    <w:rsid w:val="001539A0"/>
    <w:rsid w:val="00176FFC"/>
    <w:rsid w:val="00182A03"/>
    <w:rsid w:val="001B365A"/>
    <w:rsid w:val="001B6F75"/>
    <w:rsid w:val="002220BD"/>
    <w:rsid w:val="0025698F"/>
    <w:rsid w:val="002648FE"/>
    <w:rsid w:val="002A4E85"/>
    <w:rsid w:val="002B0A7C"/>
    <w:rsid w:val="002C73B1"/>
    <w:rsid w:val="002D264D"/>
    <w:rsid w:val="002D4576"/>
    <w:rsid w:val="002E503E"/>
    <w:rsid w:val="003104F2"/>
    <w:rsid w:val="003306F3"/>
    <w:rsid w:val="003360B3"/>
    <w:rsid w:val="003732F2"/>
    <w:rsid w:val="003879D7"/>
    <w:rsid w:val="00397477"/>
    <w:rsid w:val="003A6211"/>
    <w:rsid w:val="003D4DD5"/>
    <w:rsid w:val="00406B59"/>
    <w:rsid w:val="004124E8"/>
    <w:rsid w:val="00422108"/>
    <w:rsid w:val="00442DA7"/>
    <w:rsid w:val="00447251"/>
    <w:rsid w:val="0047160A"/>
    <w:rsid w:val="004822E2"/>
    <w:rsid w:val="00490360"/>
    <w:rsid w:val="00493C8C"/>
    <w:rsid w:val="004A17C1"/>
    <w:rsid w:val="004A7DBE"/>
    <w:rsid w:val="004E4273"/>
    <w:rsid w:val="00507B2E"/>
    <w:rsid w:val="005200D2"/>
    <w:rsid w:val="005241FB"/>
    <w:rsid w:val="00581092"/>
    <w:rsid w:val="00594D6E"/>
    <w:rsid w:val="005A1ABA"/>
    <w:rsid w:val="005C2A1D"/>
    <w:rsid w:val="005D1084"/>
    <w:rsid w:val="005E63F2"/>
    <w:rsid w:val="00603F5F"/>
    <w:rsid w:val="006269F1"/>
    <w:rsid w:val="00671CF6"/>
    <w:rsid w:val="0068161E"/>
    <w:rsid w:val="006817CA"/>
    <w:rsid w:val="00684AF9"/>
    <w:rsid w:val="00691791"/>
    <w:rsid w:val="006A54E7"/>
    <w:rsid w:val="006A69FF"/>
    <w:rsid w:val="006A781E"/>
    <w:rsid w:val="006D32A7"/>
    <w:rsid w:val="006D4DFB"/>
    <w:rsid w:val="006D5286"/>
    <w:rsid w:val="006D6DD3"/>
    <w:rsid w:val="006E4C6A"/>
    <w:rsid w:val="006F4769"/>
    <w:rsid w:val="007201B0"/>
    <w:rsid w:val="00726F53"/>
    <w:rsid w:val="007377F2"/>
    <w:rsid w:val="007408AE"/>
    <w:rsid w:val="007C28A3"/>
    <w:rsid w:val="007E1E9E"/>
    <w:rsid w:val="007E75F8"/>
    <w:rsid w:val="00845682"/>
    <w:rsid w:val="008504AB"/>
    <w:rsid w:val="00870403"/>
    <w:rsid w:val="00892AC8"/>
    <w:rsid w:val="00892C2E"/>
    <w:rsid w:val="008A3D4B"/>
    <w:rsid w:val="008E2C5E"/>
    <w:rsid w:val="0090444E"/>
    <w:rsid w:val="0091090A"/>
    <w:rsid w:val="00914E92"/>
    <w:rsid w:val="00917365"/>
    <w:rsid w:val="00935269"/>
    <w:rsid w:val="009530CC"/>
    <w:rsid w:val="00961A41"/>
    <w:rsid w:val="00961B52"/>
    <w:rsid w:val="00965799"/>
    <w:rsid w:val="0098407E"/>
    <w:rsid w:val="009A4413"/>
    <w:rsid w:val="009A5E04"/>
    <w:rsid w:val="009C2149"/>
    <w:rsid w:val="009D4F34"/>
    <w:rsid w:val="009F3EA0"/>
    <w:rsid w:val="00A21841"/>
    <w:rsid w:val="00A43669"/>
    <w:rsid w:val="00A5471B"/>
    <w:rsid w:val="00A73263"/>
    <w:rsid w:val="00AA2858"/>
    <w:rsid w:val="00AB3064"/>
    <w:rsid w:val="00AD27AE"/>
    <w:rsid w:val="00AF2D28"/>
    <w:rsid w:val="00AF679D"/>
    <w:rsid w:val="00B103D9"/>
    <w:rsid w:val="00B14AC8"/>
    <w:rsid w:val="00B27203"/>
    <w:rsid w:val="00B52790"/>
    <w:rsid w:val="00B709D2"/>
    <w:rsid w:val="00B73DDA"/>
    <w:rsid w:val="00B809E1"/>
    <w:rsid w:val="00B8736B"/>
    <w:rsid w:val="00B94CE1"/>
    <w:rsid w:val="00BE3A2C"/>
    <w:rsid w:val="00C04038"/>
    <w:rsid w:val="00C078A2"/>
    <w:rsid w:val="00C07979"/>
    <w:rsid w:val="00C13F34"/>
    <w:rsid w:val="00C5533B"/>
    <w:rsid w:val="00C823CF"/>
    <w:rsid w:val="00CA15DA"/>
    <w:rsid w:val="00CA346F"/>
    <w:rsid w:val="00CA34C1"/>
    <w:rsid w:val="00CD02A4"/>
    <w:rsid w:val="00CE5EA8"/>
    <w:rsid w:val="00D57BEF"/>
    <w:rsid w:val="00D72916"/>
    <w:rsid w:val="00D7462D"/>
    <w:rsid w:val="00D92BCF"/>
    <w:rsid w:val="00DB6F37"/>
    <w:rsid w:val="00DD7FDC"/>
    <w:rsid w:val="00E01920"/>
    <w:rsid w:val="00E212F2"/>
    <w:rsid w:val="00E3198C"/>
    <w:rsid w:val="00E35DB8"/>
    <w:rsid w:val="00E36477"/>
    <w:rsid w:val="00E45B3D"/>
    <w:rsid w:val="00E50588"/>
    <w:rsid w:val="00E61B51"/>
    <w:rsid w:val="00E67447"/>
    <w:rsid w:val="00E74D2C"/>
    <w:rsid w:val="00E80CE0"/>
    <w:rsid w:val="00E90298"/>
    <w:rsid w:val="00E93D54"/>
    <w:rsid w:val="00EB0A24"/>
    <w:rsid w:val="00EB3F2A"/>
    <w:rsid w:val="00EC0A95"/>
    <w:rsid w:val="00EC6606"/>
    <w:rsid w:val="00EC68C3"/>
    <w:rsid w:val="00F05BBB"/>
    <w:rsid w:val="00F10808"/>
    <w:rsid w:val="00F1484B"/>
    <w:rsid w:val="00F35F7E"/>
    <w:rsid w:val="00F45F5B"/>
    <w:rsid w:val="00F47779"/>
    <w:rsid w:val="00F51257"/>
    <w:rsid w:val="00F665C0"/>
    <w:rsid w:val="00F87547"/>
    <w:rsid w:val="00F95D9B"/>
    <w:rsid w:val="00FA17E0"/>
    <w:rsid w:val="00FC1FDE"/>
    <w:rsid w:val="00FE6202"/>
    <w:rsid w:val="00FF2E6F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182769"/>
  <w15:chartTrackingRefBased/>
  <w15:docId w15:val="{6717DA5B-BCC7-1841-9ADE-418C62D8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C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C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C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CF6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67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2D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A28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A28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2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A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C7A31E-D68A-DB40-961A-C606887C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minopoli</dc:creator>
  <cp:keywords/>
  <dc:description/>
  <cp:lastModifiedBy>Monica Minopoli</cp:lastModifiedBy>
  <cp:revision>2</cp:revision>
  <dcterms:created xsi:type="dcterms:W3CDTF">2025-03-25T09:00:00Z</dcterms:created>
  <dcterms:modified xsi:type="dcterms:W3CDTF">2025-03-25T09:00:00Z</dcterms:modified>
</cp:coreProperties>
</file>