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1E4C" w14:textId="0E168BD0" w:rsidR="00A24370" w:rsidRDefault="00E7460B" w:rsidP="006553A7">
      <w:pPr>
        <w:jc w:val="both"/>
        <w:rPr>
          <w:b w:val="0"/>
          <w:bCs/>
          <w:u w:val="none"/>
        </w:rPr>
      </w:pPr>
      <w:r>
        <w:rPr>
          <w:u w:val="none"/>
        </w:rPr>
        <w:t xml:space="preserve">S14. </w:t>
      </w:r>
      <w:r>
        <w:rPr>
          <w:b w:val="0"/>
          <w:bCs/>
          <w:u w:val="none"/>
        </w:rPr>
        <w:t>Supplementary list of information items with descriptions</w:t>
      </w:r>
    </w:p>
    <w:p w14:paraId="69BD5106" w14:textId="77777777" w:rsidR="00E7460B" w:rsidRPr="00E7460B" w:rsidRDefault="00E7460B" w:rsidP="006553A7">
      <w:pPr>
        <w:jc w:val="both"/>
        <w:rPr>
          <w:b w:val="0"/>
          <w:bCs/>
          <w:u w:val="none"/>
        </w:rPr>
      </w:pPr>
    </w:p>
    <w:tbl>
      <w:tblPr>
        <w:tblStyle w:val="ListTable4-Accent5"/>
        <w:tblW w:w="9924" w:type="dxa"/>
        <w:tblInd w:w="-431" w:type="dxa"/>
        <w:tblLook w:val="0420" w:firstRow="1" w:lastRow="0" w:firstColumn="0" w:lastColumn="0" w:noHBand="0" w:noVBand="1"/>
      </w:tblPr>
      <w:tblGrid>
        <w:gridCol w:w="4400"/>
        <w:gridCol w:w="5524"/>
      </w:tblGrid>
      <w:tr w:rsidR="00850FC8" w:rsidRPr="00761C86" w14:paraId="7CE078A2" w14:textId="135116C9" w:rsidTr="00133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tcW w:w="9924" w:type="dxa"/>
            <w:gridSpan w:val="2"/>
            <w:hideMark/>
          </w:tcPr>
          <w:p w14:paraId="775423E4" w14:textId="73831936" w:rsidR="00850FC8" w:rsidRPr="006244F7" w:rsidRDefault="00850FC8" w:rsidP="00850FC8">
            <w:pPr>
              <w:contextualSpacing/>
              <w:jc w:val="both"/>
              <w:rPr>
                <w:i/>
                <w:iCs/>
                <w:sz w:val="21"/>
                <w:szCs w:val="22"/>
              </w:rPr>
            </w:pPr>
            <w:r w:rsidRPr="006244F7">
              <w:rPr>
                <w:b w:val="0"/>
                <w:sz w:val="21"/>
                <w:szCs w:val="22"/>
                <w:u w:val="none"/>
              </w:rPr>
              <w:t xml:space="preserve">Supplementary information list ​: </w:t>
            </w:r>
            <w:r w:rsidRPr="006244F7">
              <w:rPr>
                <w:b w:val="0"/>
                <w:i/>
                <w:iCs/>
                <w:sz w:val="21"/>
                <w:szCs w:val="22"/>
                <w:u w:val="none"/>
              </w:rPr>
              <w:t>What should be discussed with ALL women who have chosen to have a vaginal birth to ensure they are informed about potential experiences...</w:t>
            </w:r>
          </w:p>
          <w:p w14:paraId="28E3CD93" w14:textId="71F1EC71" w:rsidR="00850FC8" w:rsidRPr="00850FC8" w:rsidRDefault="00850FC8" w:rsidP="00FB279E">
            <w:pPr>
              <w:jc w:val="both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E7460B" w:rsidRPr="00761C86" w14:paraId="618C21CA" w14:textId="77777777" w:rsidTr="00E7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9924" w:type="dxa"/>
            <w:gridSpan w:val="2"/>
            <w:shd w:val="clear" w:color="auto" w:fill="C837BA"/>
            <w:vAlign w:val="center"/>
          </w:tcPr>
          <w:p w14:paraId="5E96FD9C" w14:textId="10858C45" w:rsidR="00E7460B" w:rsidRPr="00E7460B" w:rsidRDefault="00E7460B" w:rsidP="00E7460B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6244F7">
              <w:rPr>
                <w:rFonts w:cs="Calibri"/>
                <w:color w:val="FFFFFF" w:themeColor="background1"/>
                <w:sz w:val="20"/>
                <w:szCs w:val="20"/>
                <w:u w:val="none"/>
              </w:rPr>
              <w:t>Labour process</w:t>
            </w:r>
          </w:p>
        </w:tc>
      </w:tr>
      <w:tr w:rsidR="006553A7" w:rsidRPr="00761C86" w14:paraId="4D6728EB" w14:textId="46524EDA" w:rsidTr="00AC5E2A">
        <w:trPr>
          <w:trHeight w:val="839"/>
        </w:trPr>
        <w:tc>
          <w:tcPr>
            <w:tcW w:w="4400" w:type="dxa"/>
            <w:hideMark/>
          </w:tcPr>
          <w:p w14:paraId="44C9DF69" w14:textId="48885682" w:rsidR="006553A7" w:rsidRPr="00E7460B" w:rsidRDefault="006553A7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The signs and symptoms of labour</w:t>
            </w:r>
            <w:r w:rsidR="00B24EF0"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.</w:t>
            </w:r>
          </w:p>
          <w:p w14:paraId="4A80E1E7" w14:textId="00CFF3D5" w:rsidR="006553A7" w:rsidRPr="00E7460B" w:rsidRDefault="006553A7" w:rsidP="00AC5E2A">
            <w:pPr>
              <w:jc w:val="left"/>
              <w:rPr>
                <w:b w:val="0"/>
                <w:bCs/>
                <w:sz w:val="18"/>
                <w:szCs w:val="18"/>
                <w:u w:val="none"/>
              </w:rPr>
            </w:pPr>
          </w:p>
        </w:tc>
        <w:tc>
          <w:tcPr>
            <w:tcW w:w="5524" w:type="dxa"/>
          </w:tcPr>
          <w:p w14:paraId="5EA7E1DA" w14:textId="04ABFA05" w:rsidR="006553A7" w:rsidRPr="00E7460B" w:rsidRDefault="006553A7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E.g. contractions/tightening, lower back pain, mucus plug, waters breaking, feeling pressure down below.</w:t>
            </w:r>
          </w:p>
        </w:tc>
      </w:tr>
      <w:tr w:rsidR="00E7460B" w:rsidRPr="00761C86" w14:paraId="07E8A1E5" w14:textId="77777777" w:rsidTr="00E7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4400" w:type="dxa"/>
            <w:hideMark/>
          </w:tcPr>
          <w:p w14:paraId="65AB528C" w14:textId="77777777" w:rsidR="00E7460B" w:rsidRPr="00E7460B" w:rsidRDefault="00E7460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Waters break before labour.</w:t>
            </w:r>
          </w:p>
          <w:p w14:paraId="788AB22D" w14:textId="77777777" w:rsidR="00E7460B" w:rsidRPr="00E7460B" w:rsidRDefault="00E7460B" w:rsidP="00AC5E2A">
            <w:pPr>
              <w:jc w:val="left"/>
              <w:rPr>
                <w:b w:val="0"/>
                <w:bCs/>
                <w:sz w:val="18"/>
                <w:szCs w:val="18"/>
                <w:u w:val="none"/>
              </w:rPr>
            </w:pPr>
          </w:p>
        </w:tc>
        <w:tc>
          <w:tcPr>
            <w:tcW w:w="5524" w:type="dxa"/>
          </w:tcPr>
          <w:p w14:paraId="7BE26912" w14:textId="77777777" w:rsidR="00E7460B" w:rsidRPr="00E7460B" w:rsidRDefault="00E7460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What it means when waters go before being in labour</w:t>
            </w:r>
          </w:p>
          <w:p w14:paraId="37E5D9FD" w14:textId="77777777" w:rsidR="00E7460B" w:rsidRPr="00E7460B" w:rsidRDefault="00E7460B" w:rsidP="00AC5E2A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E7460B"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  <w:t>What to expect, what to do.</w:t>
            </w:r>
          </w:p>
        </w:tc>
      </w:tr>
      <w:tr w:rsidR="00E7460B" w:rsidRPr="00761C86" w14:paraId="5187213D" w14:textId="77777777" w:rsidTr="00E7460B">
        <w:trPr>
          <w:trHeight w:val="445"/>
        </w:trPr>
        <w:tc>
          <w:tcPr>
            <w:tcW w:w="9924" w:type="dxa"/>
            <w:gridSpan w:val="2"/>
            <w:shd w:val="clear" w:color="auto" w:fill="C837BA"/>
            <w:vAlign w:val="center"/>
          </w:tcPr>
          <w:p w14:paraId="7A19F98A" w14:textId="77777777" w:rsidR="00E7460B" w:rsidRPr="00E7460B" w:rsidRDefault="00E7460B" w:rsidP="00E7460B">
            <w:pPr>
              <w:spacing w:line="259" w:lineRule="auto"/>
              <w:jc w:val="left"/>
              <w:rPr>
                <w:sz w:val="18"/>
                <w:szCs w:val="18"/>
                <w:u w:val="none"/>
              </w:rPr>
            </w:pPr>
            <w:r w:rsidRPr="006244F7">
              <w:rPr>
                <w:color w:val="FFFFFF" w:themeColor="background1"/>
                <w:sz w:val="20"/>
                <w:szCs w:val="20"/>
                <w:u w:val="none"/>
              </w:rPr>
              <w:t>Environment during labour</w:t>
            </w:r>
          </w:p>
        </w:tc>
      </w:tr>
      <w:tr w:rsidR="00E7460B" w:rsidRPr="00761C86" w14:paraId="0B50599D" w14:textId="77777777" w:rsidTr="00850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tcW w:w="4400" w:type="dxa"/>
            <w:hideMark/>
          </w:tcPr>
          <w:p w14:paraId="4812EF9C" w14:textId="77777777" w:rsidR="00E7460B" w:rsidRPr="00E7460B" w:rsidRDefault="00E7460B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Medical professionals who may be present in the room during labour.</w:t>
            </w:r>
          </w:p>
          <w:p w14:paraId="197F1455" w14:textId="77777777" w:rsidR="00E7460B" w:rsidRPr="00E7460B" w:rsidRDefault="00E7460B" w:rsidP="00AC5E2A">
            <w:pPr>
              <w:jc w:val="left"/>
              <w:rPr>
                <w:b w:val="0"/>
                <w:bCs/>
                <w:sz w:val="18"/>
                <w:szCs w:val="18"/>
                <w:u w:val="none"/>
              </w:rPr>
            </w:pPr>
          </w:p>
        </w:tc>
        <w:tc>
          <w:tcPr>
            <w:tcW w:w="5524" w:type="dxa"/>
          </w:tcPr>
          <w:p w14:paraId="3B3BC07E" w14:textId="77777777" w:rsidR="00E7460B" w:rsidRPr="00E7460B" w:rsidRDefault="00E7460B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Which professionals, how many and why?</w:t>
            </w:r>
          </w:p>
          <w:p w14:paraId="7E5483C7" w14:textId="77777777" w:rsidR="00E7460B" w:rsidRPr="00E7460B" w:rsidRDefault="00E7460B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E.g. midwives, doctors, student midwives/doctors, midwifery care assistants.</w:t>
            </w:r>
          </w:p>
        </w:tc>
      </w:tr>
      <w:tr w:rsidR="00E7460B" w:rsidRPr="00761C86" w14:paraId="14E67E6F" w14:textId="77777777" w:rsidTr="00E7460B">
        <w:trPr>
          <w:trHeight w:val="457"/>
        </w:trPr>
        <w:tc>
          <w:tcPr>
            <w:tcW w:w="4400" w:type="dxa"/>
            <w:hideMark/>
          </w:tcPr>
          <w:p w14:paraId="248A9A4D" w14:textId="77777777" w:rsidR="00E7460B" w:rsidRPr="00E7460B" w:rsidRDefault="00E7460B" w:rsidP="00850FC8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What food or drink can be consumed.</w:t>
            </w:r>
          </w:p>
          <w:p w14:paraId="744E53A3" w14:textId="77777777" w:rsidR="00E7460B" w:rsidRPr="00E7460B" w:rsidRDefault="00E7460B" w:rsidP="00850FC8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</w:p>
        </w:tc>
        <w:tc>
          <w:tcPr>
            <w:tcW w:w="5524" w:type="dxa"/>
          </w:tcPr>
          <w:p w14:paraId="7BEB81FB" w14:textId="77777777" w:rsidR="00E7460B" w:rsidRPr="00E7460B" w:rsidRDefault="00E7460B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When can it be consumed or not?</w:t>
            </w:r>
          </w:p>
        </w:tc>
      </w:tr>
      <w:tr w:rsidR="00E7460B" w:rsidRPr="00761C86" w14:paraId="2AE425B5" w14:textId="77777777" w:rsidTr="00E74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9924" w:type="dxa"/>
            <w:gridSpan w:val="2"/>
            <w:shd w:val="clear" w:color="auto" w:fill="C837BA"/>
            <w:vAlign w:val="center"/>
          </w:tcPr>
          <w:p w14:paraId="7019DA99" w14:textId="188D0710" w:rsidR="00E7460B" w:rsidRPr="00E7460B" w:rsidRDefault="00E7460B" w:rsidP="00E7460B">
            <w:pPr>
              <w:spacing w:line="259" w:lineRule="auto"/>
              <w:jc w:val="left"/>
              <w:rPr>
                <w:rFonts w:eastAsia="Calibri" w:cs="Calibri"/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 w:rsidRPr="00F36BF3">
              <w:rPr>
                <w:rFonts w:eastAsia="Calibri" w:cs="Calibri"/>
                <w:color w:val="FFFFFF" w:themeColor="background1"/>
                <w:sz w:val="20"/>
                <w:szCs w:val="20"/>
                <w:u w:val="none"/>
              </w:rPr>
              <w:t>Experiences after birth</w:t>
            </w:r>
          </w:p>
        </w:tc>
      </w:tr>
      <w:tr w:rsidR="006553A7" w:rsidRPr="00761C86" w14:paraId="69CB82C7" w14:textId="731F0D3A" w:rsidTr="00AC5E2A">
        <w:trPr>
          <w:trHeight w:val="692"/>
        </w:trPr>
        <w:tc>
          <w:tcPr>
            <w:tcW w:w="4400" w:type="dxa"/>
            <w:hideMark/>
          </w:tcPr>
          <w:p w14:paraId="0D61903F" w14:textId="316B9DC8" w:rsidR="006553A7" w:rsidRPr="00E7460B" w:rsidRDefault="006553A7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Skin-to-skin and attachment of the baby following birth</w:t>
            </w:r>
            <w:r w:rsidR="00B24EF0" w:rsidRPr="00E7460B">
              <w:rPr>
                <w:b w:val="0"/>
                <w:bCs/>
                <w:sz w:val="18"/>
                <w:szCs w:val="18"/>
                <w:u w:val="none"/>
              </w:rPr>
              <w:t>.</w:t>
            </w:r>
          </w:p>
          <w:p w14:paraId="0535535B" w14:textId="706FD594" w:rsidR="006553A7" w:rsidRPr="00E7460B" w:rsidRDefault="006553A7" w:rsidP="00AC5E2A">
            <w:pPr>
              <w:jc w:val="left"/>
              <w:rPr>
                <w:b w:val="0"/>
                <w:bCs/>
                <w:sz w:val="18"/>
                <w:szCs w:val="18"/>
                <w:u w:val="none"/>
              </w:rPr>
            </w:pPr>
          </w:p>
        </w:tc>
        <w:tc>
          <w:tcPr>
            <w:tcW w:w="5524" w:type="dxa"/>
          </w:tcPr>
          <w:p w14:paraId="1291ED32" w14:textId="04FA5AFC" w:rsidR="006553A7" w:rsidRPr="00E7460B" w:rsidRDefault="006553A7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Skin-to-skin is the act of putting baby directly onto skin of mother or birth partner following birth.</w:t>
            </w:r>
          </w:p>
          <w:p w14:paraId="094B4EA1" w14:textId="41325134" w:rsidR="006553A7" w:rsidRPr="00E7460B" w:rsidRDefault="006553A7" w:rsidP="00AC5E2A">
            <w:pPr>
              <w:spacing w:line="259" w:lineRule="auto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E7460B">
              <w:rPr>
                <w:b w:val="0"/>
                <w:bCs/>
                <w:sz w:val="18"/>
                <w:szCs w:val="18"/>
                <w:u w:val="none"/>
              </w:rPr>
              <w:t>How soon after birth can this happen, factors that can affect this etc. · How having a vaginal birth may impact bonding of the parents with the baby</w:t>
            </w:r>
            <w:r w:rsidR="00B24EF0" w:rsidRPr="00E7460B">
              <w:rPr>
                <w:b w:val="0"/>
                <w:bCs/>
                <w:sz w:val="18"/>
                <w:szCs w:val="18"/>
                <w:u w:val="none"/>
              </w:rPr>
              <w:t>.</w:t>
            </w:r>
          </w:p>
        </w:tc>
      </w:tr>
    </w:tbl>
    <w:p w14:paraId="7B52DD2D" w14:textId="77777777" w:rsidR="006553A7" w:rsidRPr="006553A7" w:rsidRDefault="006553A7" w:rsidP="006553A7">
      <w:pPr>
        <w:jc w:val="both"/>
        <w:rPr>
          <w:b w:val="0"/>
          <w:bCs/>
          <w:u w:val="none"/>
        </w:rPr>
      </w:pPr>
    </w:p>
    <w:sectPr w:rsidR="006553A7" w:rsidRPr="00655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478"/>
    <w:multiLevelType w:val="hybridMultilevel"/>
    <w:tmpl w:val="F09E5C8A"/>
    <w:lvl w:ilvl="0" w:tplc="7924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8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28ACD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2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C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89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2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8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AE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B7615"/>
    <w:multiLevelType w:val="hybridMultilevel"/>
    <w:tmpl w:val="91AAA7C0"/>
    <w:lvl w:ilvl="0" w:tplc="0D84D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2A5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B42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4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80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20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C62F5"/>
    <w:multiLevelType w:val="hybridMultilevel"/>
    <w:tmpl w:val="46E413AA"/>
    <w:lvl w:ilvl="0" w:tplc="9CD8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66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72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A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21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0160"/>
    <w:multiLevelType w:val="hybridMultilevel"/>
    <w:tmpl w:val="DEF4BB46"/>
    <w:lvl w:ilvl="0" w:tplc="DCD2F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29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</w:rPr>
    </w:lvl>
    <w:lvl w:ilvl="2" w:tplc="A14A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0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9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EB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0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C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0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F3371"/>
    <w:multiLevelType w:val="hybridMultilevel"/>
    <w:tmpl w:val="6DA4B874"/>
    <w:lvl w:ilvl="0" w:tplc="A7AAD0E0">
      <w:start w:val="1"/>
      <w:numFmt w:val="decimal"/>
      <w:lvlText w:val="%1."/>
      <w:lvlJc w:val="left"/>
      <w:pPr>
        <w:ind w:left="720" w:hanging="360"/>
      </w:pPr>
    </w:lvl>
    <w:lvl w:ilvl="1" w:tplc="DD8260E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00F4D6">
      <w:start w:val="1"/>
      <w:numFmt w:val="lowerRoman"/>
      <w:lvlText w:val="%3."/>
      <w:lvlJc w:val="right"/>
      <w:pPr>
        <w:ind w:left="2160" w:hanging="180"/>
      </w:pPr>
    </w:lvl>
    <w:lvl w:ilvl="3" w:tplc="69A8D7A2">
      <w:start w:val="1"/>
      <w:numFmt w:val="decimal"/>
      <w:lvlText w:val="%4."/>
      <w:lvlJc w:val="left"/>
      <w:pPr>
        <w:ind w:left="2880" w:hanging="360"/>
      </w:pPr>
    </w:lvl>
    <w:lvl w:ilvl="4" w:tplc="1D1C0F20">
      <w:start w:val="1"/>
      <w:numFmt w:val="lowerLetter"/>
      <w:lvlText w:val="%5."/>
      <w:lvlJc w:val="left"/>
      <w:pPr>
        <w:ind w:left="3600" w:hanging="360"/>
      </w:pPr>
    </w:lvl>
    <w:lvl w:ilvl="5" w:tplc="84460646">
      <w:start w:val="1"/>
      <w:numFmt w:val="lowerRoman"/>
      <w:lvlText w:val="%6."/>
      <w:lvlJc w:val="right"/>
      <w:pPr>
        <w:ind w:left="4320" w:hanging="180"/>
      </w:pPr>
    </w:lvl>
    <w:lvl w:ilvl="6" w:tplc="FE5CBDE4">
      <w:start w:val="1"/>
      <w:numFmt w:val="decimal"/>
      <w:lvlText w:val="%7."/>
      <w:lvlJc w:val="left"/>
      <w:pPr>
        <w:ind w:left="5040" w:hanging="360"/>
      </w:pPr>
    </w:lvl>
    <w:lvl w:ilvl="7" w:tplc="72102876">
      <w:start w:val="1"/>
      <w:numFmt w:val="lowerLetter"/>
      <w:lvlText w:val="%8."/>
      <w:lvlJc w:val="left"/>
      <w:pPr>
        <w:ind w:left="5760" w:hanging="360"/>
      </w:pPr>
    </w:lvl>
    <w:lvl w:ilvl="8" w:tplc="A9E2DA5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09357">
    <w:abstractNumId w:val="4"/>
  </w:num>
  <w:num w:numId="2" w16cid:durableId="228853866">
    <w:abstractNumId w:val="2"/>
  </w:num>
  <w:num w:numId="3" w16cid:durableId="546648867">
    <w:abstractNumId w:val="1"/>
  </w:num>
  <w:num w:numId="4" w16cid:durableId="1516654094">
    <w:abstractNumId w:val="3"/>
  </w:num>
  <w:num w:numId="5" w16cid:durableId="21463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7"/>
    <w:rsid w:val="0013327C"/>
    <w:rsid w:val="00147531"/>
    <w:rsid w:val="003A1A80"/>
    <w:rsid w:val="00407A0F"/>
    <w:rsid w:val="006244F7"/>
    <w:rsid w:val="006553A7"/>
    <w:rsid w:val="00850FC8"/>
    <w:rsid w:val="00950910"/>
    <w:rsid w:val="00A24370"/>
    <w:rsid w:val="00AC5E2A"/>
    <w:rsid w:val="00B24EF0"/>
    <w:rsid w:val="00B438E1"/>
    <w:rsid w:val="00E051CF"/>
    <w:rsid w:val="00E7460B"/>
    <w:rsid w:val="00F36BF3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4BFE1"/>
  <w15:chartTrackingRefBased/>
  <w15:docId w15:val="{D3021782-F557-B044-84B6-92F8FE0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3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3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3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3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3A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3A7"/>
    <w:rPr>
      <w:b w:val="0"/>
      <w:bCs/>
      <w:smallCaps/>
      <w:color w:val="0F4761" w:themeColor="accent1" w:themeShade="BF"/>
      <w:spacing w:val="5"/>
    </w:rPr>
  </w:style>
  <w:style w:type="table" w:styleId="GridTable5Dark-Accent5">
    <w:name w:val="Grid Table 5 Dark Accent 5"/>
    <w:basedOn w:val="TableNormal"/>
    <w:uiPriority w:val="50"/>
    <w:rsid w:val="00AC5E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ListTable3-Accent5">
    <w:name w:val="List Table 3 Accent 5"/>
    <w:basedOn w:val="TableNormal"/>
    <w:uiPriority w:val="48"/>
    <w:rsid w:val="00AC5E2A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AC5E2A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10</cp:revision>
  <dcterms:created xsi:type="dcterms:W3CDTF">2024-07-05T10:56:00Z</dcterms:created>
  <dcterms:modified xsi:type="dcterms:W3CDTF">2025-10-08T11:30:00Z</dcterms:modified>
</cp:coreProperties>
</file>