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3BA" w14:textId="22D37CF7" w:rsidR="004A2242" w:rsidRDefault="004A2242" w:rsidP="004A2242">
      <w:r>
        <w:t>Online Resource</w:t>
      </w:r>
      <w:r>
        <w:t xml:space="preserve"> 2. Inclusion/Exclusion Criteria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7"/>
        <w:gridCol w:w="4087"/>
        <w:gridCol w:w="3392"/>
      </w:tblGrid>
      <w:tr w:rsidR="004A2242" w:rsidRPr="0039149B" w14:paraId="572D418A" w14:textId="77777777" w:rsidTr="00A236FF">
        <w:trPr>
          <w:trHeight w:val="340"/>
        </w:trPr>
        <w:tc>
          <w:tcPr>
            <w:tcW w:w="827" w:type="pct"/>
            <w:hideMark/>
          </w:tcPr>
          <w:p w14:paraId="4CE67E31" w14:textId="77777777" w:rsidR="004A2242" w:rsidRPr="0039149B" w:rsidRDefault="004A2242" w:rsidP="00A236F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149B">
              <w:rPr>
                <w:b/>
                <w:bCs/>
                <w:color w:val="000000" w:themeColor="text1"/>
                <w:sz w:val="22"/>
                <w:szCs w:val="22"/>
              </w:rPr>
              <w:t>PICOS Element</w:t>
            </w:r>
          </w:p>
        </w:tc>
        <w:tc>
          <w:tcPr>
            <w:tcW w:w="2279" w:type="pct"/>
            <w:hideMark/>
          </w:tcPr>
          <w:p w14:paraId="4183EECC" w14:textId="77777777" w:rsidR="004A2242" w:rsidRPr="0039149B" w:rsidRDefault="004A2242" w:rsidP="00A236F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149B">
              <w:rPr>
                <w:b/>
                <w:bCs/>
                <w:color w:val="000000" w:themeColor="text1"/>
                <w:sz w:val="22"/>
                <w:szCs w:val="22"/>
              </w:rPr>
              <w:t>Inclusion</w:t>
            </w:r>
          </w:p>
        </w:tc>
        <w:tc>
          <w:tcPr>
            <w:tcW w:w="1893" w:type="pct"/>
            <w:hideMark/>
          </w:tcPr>
          <w:p w14:paraId="7D6CEF82" w14:textId="77777777" w:rsidR="004A2242" w:rsidRPr="0039149B" w:rsidRDefault="004A2242" w:rsidP="00A236F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149B">
              <w:rPr>
                <w:b/>
                <w:bCs/>
                <w:color w:val="000000" w:themeColor="text1"/>
                <w:sz w:val="22"/>
                <w:szCs w:val="22"/>
              </w:rPr>
              <w:t>Exclusion</w:t>
            </w:r>
          </w:p>
        </w:tc>
      </w:tr>
      <w:tr w:rsidR="004A2242" w:rsidRPr="0039149B" w14:paraId="5D6AFFC1" w14:textId="77777777" w:rsidTr="00A236FF">
        <w:trPr>
          <w:trHeight w:val="680"/>
        </w:trPr>
        <w:tc>
          <w:tcPr>
            <w:tcW w:w="827" w:type="pct"/>
            <w:hideMark/>
          </w:tcPr>
          <w:p w14:paraId="7E3839F3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Population</w:t>
            </w:r>
          </w:p>
        </w:tc>
        <w:tc>
          <w:tcPr>
            <w:tcW w:w="2279" w:type="pct"/>
            <w:hideMark/>
          </w:tcPr>
          <w:p w14:paraId="4E1411EB" w14:textId="77777777" w:rsidR="004A2242" w:rsidRPr="0039149B" w:rsidRDefault="004A2242" w:rsidP="004A224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 xml:space="preserve">Adult patients (≥18 years) </w:t>
            </w:r>
          </w:p>
          <w:p w14:paraId="73003AC3" w14:textId="77777777" w:rsidR="004A2242" w:rsidRPr="0039149B" w:rsidRDefault="004A2242" w:rsidP="004A224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 xml:space="preserve">Patients undergoing RARC or ORC for </w:t>
            </w:r>
            <w:r>
              <w:rPr>
                <w:color w:val="000000"/>
                <w:sz w:val="22"/>
                <w:szCs w:val="22"/>
              </w:rPr>
              <w:t>bladder cancer</w:t>
            </w:r>
            <w:r w:rsidRPr="0039149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93" w:type="pct"/>
            <w:hideMark/>
          </w:tcPr>
          <w:p w14:paraId="6ADB353C" w14:textId="77777777" w:rsidR="004A2242" w:rsidRPr="0039149B" w:rsidRDefault="004A2242" w:rsidP="004A224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Paediatric populations (&lt;18 years)</w:t>
            </w:r>
          </w:p>
          <w:p w14:paraId="76963C4C" w14:textId="77777777" w:rsidR="004A2242" w:rsidRPr="0039149B" w:rsidRDefault="004A2242" w:rsidP="004A224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non-bladder cancer cases</w:t>
            </w:r>
          </w:p>
          <w:p w14:paraId="7C943966" w14:textId="77777777" w:rsidR="004A2242" w:rsidRPr="0039149B" w:rsidRDefault="004A2242" w:rsidP="004A224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Non-human studies</w:t>
            </w:r>
          </w:p>
        </w:tc>
      </w:tr>
      <w:tr w:rsidR="004A2242" w:rsidRPr="0039149B" w14:paraId="502AC2B0" w14:textId="77777777" w:rsidTr="00A236FF">
        <w:trPr>
          <w:trHeight w:val="660"/>
        </w:trPr>
        <w:tc>
          <w:tcPr>
            <w:tcW w:w="827" w:type="pct"/>
            <w:hideMark/>
          </w:tcPr>
          <w:p w14:paraId="6CE27922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Intervention</w:t>
            </w:r>
          </w:p>
        </w:tc>
        <w:tc>
          <w:tcPr>
            <w:tcW w:w="2279" w:type="pct"/>
            <w:hideMark/>
          </w:tcPr>
          <w:p w14:paraId="474E0E61" w14:textId="77777777" w:rsidR="004A2242" w:rsidRPr="0039149B" w:rsidRDefault="004A2242" w:rsidP="004A2242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involving robot-assisted radical cystectomy (RARC).</w:t>
            </w:r>
          </w:p>
        </w:tc>
        <w:tc>
          <w:tcPr>
            <w:tcW w:w="1893" w:type="pct"/>
            <w:hideMark/>
          </w:tcPr>
          <w:p w14:paraId="188A70D7" w14:textId="77777777" w:rsidR="004A2242" w:rsidRPr="0039149B" w:rsidRDefault="004A2242" w:rsidP="004A2242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partial cystectomy</w:t>
            </w:r>
          </w:p>
          <w:p w14:paraId="1217942B" w14:textId="77777777" w:rsidR="004A2242" w:rsidRPr="0039149B" w:rsidRDefault="004A2242" w:rsidP="004A2242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non-surgical interventions</w:t>
            </w:r>
          </w:p>
          <w:p w14:paraId="2D9BE19B" w14:textId="77777777" w:rsidR="004A2242" w:rsidRPr="0039149B" w:rsidRDefault="004A2242" w:rsidP="004A2242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other robotic surgeries (e.g. prost</w:t>
            </w:r>
            <w:r>
              <w:rPr>
                <w:color w:val="000000"/>
                <w:sz w:val="22"/>
                <w:szCs w:val="22"/>
              </w:rPr>
              <w:t>at</w:t>
            </w:r>
            <w:r w:rsidRPr="0039149B">
              <w:rPr>
                <w:color w:val="000000"/>
                <w:sz w:val="22"/>
                <w:szCs w:val="22"/>
              </w:rPr>
              <w:t>ectomy)</w:t>
            </w:r>
          </w:p>
        </w:tc>
      </w:tr>
      <w:tr w:rsidR="004A2242" w:rsidRPr="0039149B" w14:paraId="15ECFA82" w14:textId="77777777" w:rsidTr="00A236FF">
        <w:trPr>
          <w:trHeight w:val="660"/>
        </w:trPr>
        <w:tc>
          <w:tcPr>
            <w:tcW w:w="827" w:type="pct"/>
            <w:hideMark/>
          </w:tcPr>
          <w:p w14:paraId="137BA971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Comparison</w:t>
            </w:r>
          </w:p>
        </w:tc>
        <w:tc>
          <w:tcPr>
            <w:tcW w:w="2279" w:type="pct"/>
            <w:hideMark/>
          </w:tcPr>
          <w:p w14:paraId="0A1FFCD1" w14:textId="77777777" w:rsidR="004A2242" w:rsidRPr="0039149B" w:rsidRDefault="004A2242" w:rsidP="004A2242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comparing RARC to open radical cystectomy (ORC).</w:t>
            </w:r>
          </w:p>
        </w:tc>
        <w:tc>
          <w:tcPr>
            <w:tcW w:w="1893" w:type="pct"/>
            <w:hideMark/>
          </w:tcPr>
          <w:p w14:paraId="08328A36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without a direct comparison between RARC and ORC.</w:t>
            </w:r>
          </w:p>
        </w:tc>
      </w:tr>
      <w:tr w:rsidR="004A2242" w:rsidRPr="0039149B" w14:paraId="0505A5B4" w14:textId="77777777" w:rsidTr="00A236FF">
        <w:trPr>
          <w:trHeight w:val="660"/>
        </w:trPr>
        <w:tc>
          <w:tcPr>
            <w:tcW w:w="827" w:type="pct"/>
          </w:tcPr>
          <w:p w14:paraId="3F530C3E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Outcome 1: HRQoL Themes (Qualitative)</w:t>
            </w:r>
          </w:p>
        </w:tc>
        <w:tc>
          <w:tcPr>
            <w:tcW w:w="2279" w:type="pct"/>
          </w:tcPr>
          <w:p w14:paraId="70097725" w14:textId="77777777" w:rsidR="004A2242" w:rsidRPr="0039149B" w:rsidRDefault="004A2242" w:rsidP="004A2242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utilising HRQoL PROMs</w:t>
            </w:r>
          </w:p>
          <w:p w14:paraId="362CB15D" w14:textId="77777777" w:rsidR="004A2242" w:rsidRPr="0039149B" w:rsidRDefault="004A2242" w:rsidP="00A236FF">
            <w:pPr>
              <w:pStyle w:val="ListParagraph"/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 xml:space="preserve">Or using PROMS measuring Urinary or sexual functions </w:t>
            </w:r>
          </w:p>
          <w:p w14:paraId="6B9D1E6A" w14:textId="77777777" w:rsidR="004A2242" w:rsidRPr="0039149B" w:rsidRDefault="004A2242" w:rsidP="004A2242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Baseline </w:t>
            </w:r>
            <w:r w:rsidRPr="0039149B">
              <w:rPr>
                <w:color w:val="000000"/>
                <w:sz w:val="22"/>
                <w:szCs w:val="22"/>
              </w:rPr>
              <w:t>QoL measurement and ≥3 month</w:t>
            </w:r>
            <w:r>
              <w:rPr>
                <w:color w:val="000000"/>
                <w:sz w:val="22"/>
                <w:szCs w:val="22"/>
              </w:rPr>
              <w:t xml:space="preserve"> postoperatively</w:t>
            </w:r>
          </w:p>
          <w:p w14:paraId="05A4BC5A" w14:textId="77777777" w:rsidR="004A2242" w:rsidRPr="0039149B" w:rsidRDefault="004A2242" w:rsidP="004A2242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including PROM</w:t>
            </w:r>
            <w:r>
              <w:rPr>
                <w:color w:val="000000"/>
                <w:sz w:val="22"/>
                <w:szCs w:val="22"/>
              </w:rPr>
              <w:t>s</w:t>
            </w:r>
            <w:r w:rsidRPr="0039149B">
              <w:rPr>
                <w:color w:val="000000"/>
                <w:sz w:val="22"/>
                <w:szCs w:val="22"/>
              </w:rPr>
              <w:t xml:space="preserve"> with either scores or reported trends provided</w:t>
            </w:r>
          </w:p>
        </w:tc>
        <w:tc>
          <w:tcPr>
            <w:tcW w:w="1893" w:type="pct"/>
          </w:tcPr>
          <w:p w14:paraId="1BDA7521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without QoL related PROMs or non-validated tools</w:t>
            </w:r>
          </w:p>
          <w:p w14:paraId="26CC41D1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Perioperative only outcomes (&lt;90 days)</w:t>
            </w:r>
          </w:p>
        </w:tc>
      </w:tr>
      <w:tr w:rsidR="004A2242" w:rsidRPr="0039149B" w14:paraId="5ABFEDE3" w14:textId="77777777" w:rsidTr="00A236FF">
        <w:trPr>
          <w:trHeight w:val="660"/>
        </w:trPr>
        <w:tc>
          <w:tcPr>
            <w:tcW w:w="827" w:type="pct"/>
          </w:tcPr>
          <w:p w14:paraId="44B29566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 xml:space="preserve">Outcome 2: 6-month score comparison (Quantitative) </w:t>
            </w:r>
          </w:p>
        </w:tc>
        <w:tc>
          <w:tcPr>
            <w:tcW w:w="2279" w:type="pct"/>
          </w:tcPr>
          <w:p w14:paraId="121A4DF0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</w:pPr>
            <w:r w:rsidRPr="0039149B">
              <w:t>Studies included in Outcome 1</w:t>
            </w:r>
          </w:p>
          <w:p w14:paraId="162CA889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</w:pPr>
            <w:r w:rsidRPr="0039149B">
              <w:t>Studies that report a 6-month score</w:t>
            </w:r>
          </w:p>
          <w:p w14:paraId="4A4A5A06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</w:pPr>
            <w:r w:rsidRPr="0039149B">
              <w:t xml:space="preserve">Studies </w:t>
            </w:r>
            <w:r>
              <w:t>that provide tool used, domain and maximum score</w:t>
            </w:r>
          </w:p>
          <w:p w14:paraId="216C723F" w14:textId="77777777" w:rsidR="004A2242" w:rsidRPr="0039149B" w:rsidRDefault="004A2242" w:rsidP="00A236FF"/>
        </w:tc>
        <w:tc>
          <w:tcPr>
            <w:tcW w:w="1893" w:type="pct"/>
          </w:tcPr>
          <w:p w14:paraId="58679B19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with no 6-month score available (e.g. only describe differences in relation to comparator)</w:t>
            </w:r>
          </w:p>
          <w:p w14:paraId="19B60179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Scores</w:t>
            </w:r>
            <w:r w:rsidRPr="0039149B">
              <w:rPr>
                <w:color w:val="000000"/>
                <w:sz w:val="22"/>
                <w:szCs w:val="22"/>
              </w:rPr>
              <w:t xml:space="preserve"> that do not report </w:t>
            </w:r>
            <w:r>
              <w:rPr>
                <w:color w:val="000000"/>
                <w:sz w:val="22"/>
                <w:szCs w:val="22"/>
              </w:rPr>
              <w:t>the domains measured</w:t>
            </w:r>
          </w:p>
          <w:p w14:paraId="76634E4E" w14:textId="77777777" w:rsidR="004A2242" w:rsidRPr="0039149B" w:rsidRDefault="004A2242" w:rsidP="004A2242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without a scale</w:t>
            </w:r>
          </w:p>
        </w:tc>
      </w:tr>
      <w:tr w:rsidR="004A2242" w:rsidRPr="0039149B" w14:paraId="7592F0E5" w14:textId="77777777" w:rsidTr="00A236FF">
        <w:trPr>
          <w:trHeight w:val="960"/>
        </w:trPr>
        <w:tc>
          <w:tcPr>
            <w:tcW w:w="827" w:type="pct"/>
            <w:hideMark/>
          </w:tcPr>
          <w:p w14:paraId="1015F85B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Study design</w:t>
            </w:r>
          </w:p>
        </w:tc>
        <w:tc>
          <w:tcPr>
            <w:tcW w:w="2279" w:type="pct"/>
            <w:hideMark/>
          </w:tcPr>
          <w:p w14:paraId="35E57B33" w14:textId="77777777" w:rsidR="004A2242" w:rsidRPr="0039149B" w:rsidRDefault="004A2242" w:rsidP="004A2242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Randomized controlled trials (RCTs), cohort studies, cross sectional studies, case series</w:t>
            </w:r>
          </w:p>
          <w:p w14:paraId="3FB41996" w14:textId="77777777" w:rsidR="004A2242" w:rsidRPr="00470C8C" w:rsidRDefault="004A2242" w:rsidP="004A2242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Comparator studies including ORC and RARC</w:t>
            </w:r>
            <w:r w:rsidRPr="00470C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3" w:type="pct"/>
            <w:hideMark/>
          </w:tcPr>
          <w:p w14:paraId="7B4662F6" w14:textId="77777777" w:rsidR="004A2242" w:rsidRPr="0039149B" w:rsidRDefault="004A2242" w:rsidP="004A2242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Single-arm studies</w:t>
            </w:r>
          </w:p>
          <w:p w14:paraId="564F5E8B" w14:textId="77777777" w:rsidR="004A2242" w:rsidRPr="0039149B" w:rsidRDefault="004A2242" w:rsidP="004A2242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Case reports</w:t>
            </w:r>
          </w:p>
          <w:p w14:paraId="3DEAD8FB" w14:textId="77777777" w:rsidR="004A2242" w:rsidRPr="0039149B" w:rsidRDefault="004A2242" w:rsidP="004A2242">
            <w:pPr>
              <w:pStyle w:val="ListParagraph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Systematic reviews</w:t>
            </w:r>
          </w:p>
        </w:tc>
      </w:tr>
      <w:tr w:rsidR="004A2242" w:rsidRPr="0039149B" w14:paraId="43304EB6" w14:textId="77777777" w:rsidTr="00A236FF">
        <w:trPr>
          <w:trHeight w:val="720"/>
        </w:trPr>
        <w:tc>
          <w:tcPr>
            <w:tcW w:w="827" w:type="pct"/>
            <w:hideMark/>
          </w:tcPr>
          <w:p w14:paraId="2130679F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2279" w:type="pct"/>
            <w:hideMark/>
          </w:tcPr>
          <w:p w14:paraId="5903FDED" w14:textId="77777777" w:rsidR="004A2242" w:rsidRPr="0039149B" w:rsidRDefault="004A2242" w:rsidP="004A2242">
            <w:pPr>
              <w:pStyle w:val="ListParagraph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published in English or w/ available translation</w:t>
            </w:r>
          </w:p>
        </w:tc>
        <w:tc>
          <w:tcPr>
            <w:tcW w:w="1893" w:type="pct"/>
            <w:hideMark/>
          </w:tcPr>
          <w:p w14:paraId="09314BA9" w14:textId="77777777" w:rsidR="004A2242" w:rsidRPr="0039149B" w:rsidRDefault="004A2242" w:rsidP="004A2242">
            <w:pPr>
              <w:pStyle w:val="ListParagraph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Foreign language without translation provided</w:t>
            </w:r>
          </w:p>
        </w:tc>
      </w:tr>
      <w:tr w:rsidR="004A2242" w:rsidRPr="0039149B" w14:paraId="085D584D" w14:textId="77777777" w:rsidTr="00A236FF">
        <w:trPr>
          <w:trHeight w:val="340"/>
        </w:trPr>
        <w:tc>
          <w:tcPr>
            <w:tcW w:w="827" w:type="pct"/>
            <w:hideMark/>
          </w:tcPr>
          <w:p w14:paraId="2F487E6D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Publication date</w:t>
            </w:r>
          </w:p>
        </w:tc>
        <w:tc>
          <w:tcPr>
            <w:tcW w:w="2279" w:type="pct"/>
            <w:hideMark/>
          </w:tcPr>
          <w:p w14:paraId="0B26DB11" w14:textId="77777777" w:rsidR="004A2242" w:rsidRPr="0039149B" w:rsidRDefault="004A2242" w:rsidP="004A2242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published from 2000 onward</w:t>
            </w:r>
          </w:p>
        </w:tc>
        <w:tc>
          <w:tcPr>
            <w:tcW w:w="1893" w:type="pct"/>
            <w:hideMark/>
          </w:tcPr>
          <w:p w14:paraId="6CAEC8E1" w14:textId="77777777" w:rsidR="004A2242" w:rsidRPr="0039149B" w:rsidRDefault="004A2242" w:rsidP="004A2242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published before 2000.</w:t>
            </w:r>
          </w:p>
        </w:tc>
      </w:tr>
      <w:tr w:rsidR="004A2242" w:rsidRPr="0039149B" w14:paraId="44FE1A7E" w14:textId="77777777" w:rsidTr="00A236FF">
        <w:trPr>
          <w:trHeight w:val="960"/>
        </w:trPr>
        <w:tc>
          <w:tcPr>
            <w:tcW w:w="827" w:type="pct"/>
            <w:hideMark/>
          </w:tcPr>
          <w:p w14:paraId="00113F7E" w14:textId="77777777" w:rsidR="004A2242" w:rsidRPr="0039149B" w:rsidRDefault="004A2242" w:rsidP="00A236FF">
            <w:p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Surgical context</w:t>
            </w:r>
          </w:p>
        </w:tc>
        <w:tc>
          <w:tcPr>
            <w:tcW w:w="2279" w:type="pct"/>
            <w:hideMark/>
          </w:tcPr>
          <w:p w14:paraId="30BD7D1F" w14:textId="77777777" w:rsidR="004A2242" w:rsidRPr="0039149B" w:rsidRDefault="004A2242" w:rsidP="004A2242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reporting standard-of-care RC with curative intent.</w:t>
            </w:r>
          </w:p>
          <w:p w14:paraId="7075D884" w14:textId="77777777" w:rsidR="004A2242" w:rsidRPr="0039149B" w:rsidRDefault="004A2242" w:rsidP="004A2242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Intracorporeal and extracorporeal approaches to RARC</w:t>
            </w:r>
          </w:p>
        </w:tc>
        <w:tc>
          <w:tcPr>
            <w:tcW w:w="1893" w:type="pct"/>
            <w:hideMark/>
          </w:tcPr>
          <w:p w14:paraId="740027A7" w14:textId="77777777" w:rsidR="004A2242" w:rsidRPr="0039149B" w:rsidRDefault="004A2242" w:rsidP="004A2242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39149B">
              <w:rPr>
                <w:color w:val="000000"/>
                <w:sz w:val="22"/>
                <w:szCs w:val="22"/>
              </w:rPr>
              <w:t>Studies involving experimental or outdated surgical techniques not representative of current practice.</w:t>
            </w:r>
          </w:p>
        </w:tc>
      </w:tr>
    </w:tbl>
    <w:p w14:paraId="62A5DA51" w14:textId="77777777" w:rsidR="00D966FF" w:rsidRDefault="00D966FF"/>
    <w:sectPr w:rsidR="00D9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5CED"/>
    <w:multiLevelType w:val="hybridMultilevel"/>
    <w:tmpl w:val="BADE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A073D"/>
    <w:multiLevelType w:val="hybridMultilevel"/>
    <w:tmpl w:val="54083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A4296"/>
    <w:multiLevelType w:val="hybridMultilevel"/>
    <w:tmpl w:val="8F80C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F1CDA"/>
    <w:multiLevelType w:val="hybridMultilevel"/>
    <w:tmpl w:val="55866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34D95"/>
    <w:multiLevelType w:val="hybridMultilevel"/>
    <w:tmpl w:val="D206B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17CC1"/>
    <w:multiLevelType w:val="hybridMultilevel"/>
    <w:tmpl w:val="CDE44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458B8"/>
    <w:multiLevelType w:val="hybridMultilevel"/>
    <w:tmpl w:val="B5B8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A0618"/>
    <w:multiLevelType w:val="hybridMultilevel"/>
    <w:tmpl w:val="EDB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61059">
    <w:abstractNumId w:val="1"/>
  </w:num>
  <w:num w:numId="2" w16cid:durableId="1012760330">
    <w:abstractNumId w:val="6"/>
  </w:num>
  <w:num w:numId="3" w16cid:durableId="1181972984">
    <w:abstractNumId w:val="7"/>
  </w:num>
  <w:num w:numId="4" w16cid:durableId="1170674696">
    <w:abstractNumId w:val="2"/>
  </w:num>
  <w:num w:numId="5" w16cid:durableId="336663667">
    <w:abstractNumId w:val="3"/>
  </w:num>
  <w:num w:numId="6" w16cid:durableId="449055222">
    <w:abstractNumId w:val="5"/>
  </w:num>
  <w:num w:numId="7" w16cid:durableId="317809437">
    <w:abstractNumId w:val="0"/>
  </w:num>
  <w:num w:numId="8" w16cid:durableId="726607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42"/>
    <w:rsid w:val="00196E2D"/>
    <w:rsid w:val="00216622"/>
    <w:rsid w:val="00330DA0"/>
    <w:rsid w:val="004A2242"/>
    <w:rsid w:val="00560A23"/>
    <w:rsid w:val="00D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0A11B"/>
  <w15:chartTrackingRefBased/>
  <w15:docId w15:val="{CC5AC332-643D-D541-8486-17DF6365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42"/>
  </w:style>
  <w:style w:type="paragraph" w:styleId="Heading1">
    <w:name w:val="heading 1"/>
    <w:basedOn w:val="Normal"/>
    <w:next w:val="Normal"/>
    <w:link w:val="Heading1Char"/>
    <w:uiPriority w:val="9"/>
    <w:qFormat/>
    <w:rsid w:val="004A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2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2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2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2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2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2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2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2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2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2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2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2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2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2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2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2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2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Hawkins</dc:creator>
  <cp:keywords/>
  <dc:description/>
  <cp:lastModifiedBy>Daniel Hawkins</cp:lastModifiedBy>
  <cp:revision>1</cp:revision>
  <dcterms:created xsi:type="dcterms:W3CDTF">2025-09-03T15:08:00Z</dcterms:created>
  <dcterms:modified xsi:type="dcterms:W3CDTF">2025-09-03T15:09:00Z</dcterms:modified>
</cp:coreProperties>
</file>