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ECDB8" w14:textId="77777777" w:rsidR="007F4433" w:rsidRDefault="00765778">
      <w:pPr>
        <w:pStyle w:val="Heading1"/>
      </w:pPr>
      <w:bookmarkStart w:id="0" w:name="bullet-point-summary"/>
      <w:r>
        <w:rPr>
          <w:rStyle w:val="SectionNumber"/>
        </w:rPr>
        <w:t>1</w:t>
      </w:r>
      <w:r>
        <w:tab/>
        <w:t>Bullet point summary</w:t>
      </w:r>
    </w:p>
    <w:p w14:paraId="1C1ECDB9" w14:textId="77777777" w:rsidR="007F4433" w:rsidRDefault="00765778">
      <w:pPr>
        <w:pStyle w:val="FirstParagraph"/>
      </w:pPr>
      <w:r>
        <w:rPr>
          <w:i/>
          <w:iCs/>
        </w:rPr>
        <w:t>What is already known about this subject</w:t>
      </w:r>
    </w:p>
    <w:p w14:paraId="1C1ECDBA" w14:textId="77777777" w:rsidR="007F4433" w:rsidRDefault="00765778">
      <w:pPr>
        <w:pStyle w:val="Compact"/>
        <w:numPr>
          <w:ilvl w:val="0"/>
          <w:numId w:val="2"/>
        </w:numPr>
      </w:pPr>
      <w:r>
        <w:t>The label of penicillin allergy is incorrect in 80-90% of patients and a label of penicillin allergy is associated with worse outcomes and increased use of healthcare services</w:t>
      </w:r>
    </w:p>
    <w:p w14:paraId="1C1ECDBB" w14:textId="02965C5F" w:rsidR="007F4433" w:rsidRDefault="00765778">
      <w:pPr>
        <w:pStyle w:val="Compact"/>
        <w:numPr>
          <w:ilvl w:val="0"/>
          <w:numId w:val="2"/>
        </w:numPr>
      </w:pPr>
      <w:r>
        <w:t xml:space="preserve">De-labeling services are successful in removing incorrect penicillin allergy labels. Sometimes this is done with the use of a drug provocation test where an oral dose of penicillin is given </w:t>
      </w:r>
      <w:r w:rsidR="00182DB5" w:rsidRPr="00915A85">
        <w:t>and the patient observed over a certain period of time for the development of a reaction</w:t>
      </w:r>
      <w:r w:rsidR="00182DB5" w:rsidDel="00182DB5">
        <w:t xml:space="preserve"> </w:t>
      </w:r>
    </w:p>
    <w:p w14:paraId="1C1ECDBC" w14:textId="77777777" w:rsidR="007F4433" w:rsidRDefault="00765778">
      <w:pPr>
        <w:pStyle w:val="Compact"/>
        <w:numPr>
          <w:ilvl w:val="0"/>
          <w:numId w:val="2"/>
        </w:numPr>
      </w:pPr>
      <w:r>
        <w:t>In critical illness, pharmacokinetics are altered and enteral administration of drugs is often unreliable or impossible</w:t>
      </w:r>
    </w:p>
    <w:p w14:paraId="1C1ECDBD" w14:textId="77777777" w:rsidR="007F4433" w:rsidRDefault="00765778">
      <w:pPr>
        <w:pStyle w:val="FirstParagraph"/>
      </w:pPr>
      <w:r>
        <w:rPr>
          <w:i/>
          <w:iCs/>
        </w:rPr>
        <w:t>What this study adds</w:t>
      </w:r>
    </w:p>
    <w:p w14:paraId="1C1ECDBE" w14:textId="77777777" w:rsidR="007F4433" w:rsidRDefault="00765778">
      <w:pPr>
        <w:pStyle w:val="Compact"/>
        <w:numPr>
          <w:ilvl w:val="0"/>
          <w:numId w:val="3"/>
        </w:numPr>
      </w:pPr>
      <w:r>
        <w:t>Absorption of enterally administered amoxicillin in critically unwell patients is likely to lead to reduced exposure during a drug provocation test compared to the exposure in non-critically ill patients. The impact of this for drug provocation tests is unknown</w:t>
      </w:r>
    </w:p>
    <w:p w14:paraId="1C1ECDBF" w14:textId="77777777" w:rsidR="007F4433" w:rsidRDefault="00765778">
      <w:pPr>
        <w:pStyle w:val="Compact"/>
        <w:numPr>
          <w:ilvl w:val="0"/>
          <w:numId w:val="3"/>
        </w:numPr>
      </w:pPr>
      <w:r>
        <w:t>We present a protocol for an intravenous infusion penicillin drug provocation test that mirrors the plasma profile of an enteral challenge. This protocol could be considered as part of comprehensive penicillin allergy de-labeling protocols in critically unwell patients</w:t>
      </w:r>
    </w:p>
    <w:p w14:paraId="1C1ECDC0" w14:textId="77777777" w:rsidR="007F4433" w:rsidRDefault="00765778">
      <w:r>
        <w:br w:type="page"/>
      </w:r>
    </w:p>
    <w:p w14:paraId="1C1ECDC1" w14:textId="77777777" w:rsidR="007F4433" w:rsidRDefault="00765778">
      <w:pPr>
        <w:pStyle w:val="Heading1"/>
      </w:pPr>
      <w:bookmarkStart w:id="1" w:name="abstract"/>
      <w:bookmarkEnd w:id="0"/>
      <w:r>
        <w:rPr>
          <w:rStyle w:val="SectionNumber"/>
        </w:rPr>
        <w:lastRenderedPageBreak/>
        <w:t>2</w:t>
      </w:r>
      <w:r>
        <w:tab/>
        <w:t>Abstract</w:t>
      </w:r>
    </w:p>
    <w:p w14:paraId="1C1ECDC2" w14:textId="390F0FEB" w:rsidR="007F4433" w:rsidRDefault="00765778">
      <w:pPr>
        <w:pStyle w:val="FirstParagraph"/>
      </w:pPr>
      <w:r>
        <w:t xml:space="preserve">The majority of penicillin allergy labels are incorrect and a label of penicillin allergy is associated with worse outcomes and increased use of healthcare services. Penicillin allergy assessment and de-labeling may be considered in critically ill patients. An oral penicillin challenge is a common component of most penicillin allergy protocols. In critical illness, the enteral route may not be an option and is less reliable due to altered absorption kinetics. In this study, simulations were undertaken to determine an intravenous infusion dosing schedule for critically ill patients that matches the concentration-time profile of an oral penicillin drug provocation test in the general population. These simulations may help clinicians develop </w:t>
      </w:r>
      <w:r w:rsidR="0034181F">
        <w:t xml:space="preserve">procedures </w:t>
      </w:r>
      <w:r>
        <w:t>for intravenous infusion penicillin drug provocation tests for critically ill patients.</w:t>
      </w:r>
    </w:p>
    <w:p w14:paraId="1C1ECDC3" w14:textId="77777777" w:rsidR="007F4433" w:rsidRDefault="00765778">
      <w:r>
        <w:br w:type="page"/>
      </w:r>
    </w:p>
    <w:p w14:paraId="1C1ECDC4" w14:textId="77777777" w:rsidR="007F4433" w:rsidRDefault="00765778">
      <w:pPr>
        <w:pStyle w:val="Heading1"/>
      </w:pPr>
      <w:bookmarkStart w:id="2" w:name="introduction"/>
      <w:bookmarkEnd w:id="1"/>
      <w:r>
        <w:rPr>
          <w:rStyle w:val="SectionNumber"/>
        </w:rPr>
        <w:lastRenderedPageBreak/>
        <w:t>3</w:t>
      </w:r>
      <w:r>
        <w:tab/>
        <w:t>Introduction</w:t>
      </w:r>
    </w:p>
    <w:p w14:paraId="1C1ECDC5" w14:textId="77777777" w:rsidR="007F4433" w:rsidRDefault="00765778">
      <w:pPr>
        <w:pStyle w:val="FirstParagraph"/>
      </w:pPr>
      <w:r>
        <w:t xml:space="preserve">The impact of an incorrect penicillin allergy label is a challenge in critical care. The label of a penicillin allergy is associated with worse healthcare outcomes for the individual [1], including an increase in acquisition of drug resistant infections [2] and exposure to antibiotics with a less favorable adverse effect profile compared to </w:t>
      </w:r>
      <m:oMath>
        <m:r>
          <w:rPr>
            <w:rFonts w:ascii="Cambria Math" w:hAnsi="Cambria Math"/>
          </w:rPr>
          <m:t>β</m:t>
        </m:r>
      </m:oMath>
      <w:r>
        <w:t>-lactams, including quinolones.</w:t>
      </w:r>
    </w:p>
    <w:p w14:paraId="1C1ECDC6" w14:textId="312FDE20" w:rsidR="007F4433" w:rsidRDefault="00765778">
      <w:pPr>
        <w:pStyle w:val="BodyText"/>
      </w:pPr>
      <w:r>
        <w:t xml:space="preserve">Discussions around penicillin allergy are common, with 6-10% of patients reporting penicillin hypersensitivity [1,3]. The incidence of true penicillin allergy is likely to be far lower, with 5-20% of people who report an allergy actually having one [3,4,5]. Assessment of allergy history leads to over 60% patients being labelled as low-risk. </w:t>
      </w:r>
      <w:r w:rsidR="0007686C">
        <w:t>Patients are stratified as low risk if they</w:t>
      </w:r>
      <w:r w:rsidR="006F52F2" w:rsidRPr="00A960E0">
        <w:rPr>
          <w:rFonts w:cs="Calibri"/>
        </w:rPr>
        <w:t xml:space="preserve"> report symptoms which are consistent with minor non-immunological side effects or other non-allergic phenomena</w:t>
      </w:r>
      <w:r w:rsidR="006C5254">
        <w:rPr>
          <w:rFonts w:cs="Calibri"/>
        </w:rPr>
        <w:t xml:space="preserve"> [6]</w:t>
      </w:r>
      <w:r w:rsidR="006F52F2" w:rsidRPr="00A960E0">
        <w:rPr>
          <w:rFonts w:cs="Calibri"/>
        </w:rPr>
        <w:t xml:space="preserve">. </w:t>
      </w:r>
      <w:r>
        <w:t xml:space="preserve">This group </w:t>
      </w:r>
      <w:r w:rsidR="00576F82">
        <w:t xml:space="preserve">is </w:t>
      </w:r>
      <w:r>
        <w:t xml:space="preserve">suitable for direct drug provocation test without skin </w:t>
      </w:r>
      <w:proofErr w:type="spellStart"/>
      <w:r>
        <w:t>sensitisation</w:t>
      </w:r>
      <w:proofErr w:type="spellEnd"/>
      <w:r>
        <w:t xml:space="preserve"> testing [6]. Identifying those who </w:t>
      </w:r>
      <w:r>
        <w:rPr>
          <w:i/>
          <w:iCs/>
        </w:rPr>
        <w:t>do not</w:t>
      </w:r>
      <w:r>
        <w:t xml:space="preserve"> have a penicillin allergy through assessment and testing where appropriate (allergy de-labeling) is a potential strategy to </w:t>
      </w:r>
      <w:proofErr w:type="spellStart"/>
      <w:r>
        <w:t>optimise</w:t>
      </w:r>
      <w:proofErr w:type="spellEnd"/>
      <w:r>
        <w:t xml:space="preserve"> infection management and antimicrobial stewardship in critical care. Studies evaluating enteral penicillin provocation tests in critical care have demonstrated these to be safe in individuals assessed to be at low-risk of true penicillin allergy</w:t>
      </w:r>
      <w:r w:rsidR="00742EA4">
        <w:t xml:space="preserve">, </w:t>
      </w:r>
      <w:r w:rsidR="00D00A7D">
        <w:t>and this practice has been embedded into routine care in some hospitals</w:t>
      </w:r>
      <w:r>
        <w:t xml:space="preserve"> [7,8,9]. Amoxicillin is a commonly used agent for this purpose via the enteral route.</w:t>
      </w:r>
    </w:p>
    <w:p w14:paraId="1C1ECDC7" w14:textId="569DF4DB" w:rsidR="007F4433" w:rsidRDefault="00765778">
      <w:pPr>
        <w:pStyle w:val="BodyText"/>
      </w:pPr>
      <w:r>
        <w:t>For some</w:t>
      </w:r>
      <w:r w:rsidRPr="00D471FE">
        <w:t xml:space="preserve">, </w:t>
      </w:r>
      <w:r w:rsidR="00B659BC">
        <w:t xml:space="preserve">including critically ill patients, </w:t>
      </w:r>
      <w:r w:rsidRPr="00D471FE">
        <w:t xml:space="preserve">the enteral route of drug administration may be an imperfect choice. </w:t>
      </w:r>
      <w:r w:rsidR="00376236" w:rsidRPr="00A960E0">
        <w:rPr>
          <w:rFonts w:cs="Calibri"/>
        </w:rPr>
        <w:t>In this manuscript, the term ‘critically ill patients’ refers to individuals admitted to the intensive care unit which reflects the cohorts in the pharmacokinetic and allergy publications that this study is based on.</w:t>
      </w:r>
      <w:r w:rsidR="00772909" w:rsidRPr="00A960E0">
        <w:rPr>
          <w:rFonts w:cs="Calibri"/>
        </w:rPr>
        <w:t xml:space="preserve"> Reasons for admission vary in practice but typically are</w:t>
      </w:r>
      <w:r w:rsidR="002E1C24" w:rsidRPr="00A960E0">
        <w:rPr>
          <w:rFonts w:cs="Calibri"/>
        </w:rPr>
        <w:t xml:space="preserve"> </w:t>
      </w:r>
      <w:r w:rsidR="00772909" w:rsidRPr="00A960E0">
        <w:rPr>
          <w:rFonts w:cs="Calibri"/>
        </w:rPr>
        <w:t xml:space="preserve">physiological instability secondary to medical or surgical conditions, and a requirement for interventions such as invasive </w:t>
      </w:r>
      <w:proofErr w:type="spellStart"/>
      <w:r w:rsidR="00772909" w:rsidRPr="00A960E0">
        <w:rPr>
          <w:rFonts w:cs="Calibri"/>
        </w:rPr>
        <w:t>haemodynamic</w:t>
      </w:r>
      <w:proofErr w:type="spellEnd"/>
      <w:r w:rsidR="00772909" w:rsidRPr="00A960E0">
        <w:rPr>
          <w:rFonts w:cs="Calibri"/>
        </w:rPr>
        <w:t xml:space="preserve"> monitoring, vasopressor support, mechanical ventilation (invasive or non-invasive), or renal replacement therapy.</w:t>
      </w:r>
      <w:r w:rsidR="002E1C24" w:rsidRPr="00A960E0">
        <w:rPr>
          <w:rFonts w:cs="Calibri"/>
        </w:rPr>
        <w:t xml:space="preserve"> </w:t>
      </w:r>
      <w:r w:rsidRPr="00D471FE">
        <w:t xml:space="preserve">Absorption kinetics are highly variable in critical illness, through mechanisms such as altered </w:t>
      </w:r>
      <w:proofErr w:type="spellStart"/>
      <w:r w:rsidRPr="00D471FE">
        <w:t>haemodynamics</w:t>
      </w:r>
      <w:proofErr w:type="spellEnd"/>
      <w:r w:rsidRPr="00D471FE">
        <w:t xml:space="preserve"> and ileus [10,11]. Some pathologies</w:t>
      </w:r>
      <w:r>
        <w:t xml:space="preserve"> and clinical situations</w:t>
      </w:r>
      <w:r w:rsidR="002E1C24">
        <w:t>, which are</w:t>
      </w:r>
      <w:r w:rsidR="006E474F">
        <w:t xml:space="preserve"> common in critical illness,</w:t>
      </w:r>
      <w:r>
        <w:t xml:space="preserve"> will render the enteral route of administration unavailable. Forsberg et al. undertook a systematic review of oral drug absorption in critical illness. They found no published data on penicillin absorption in this patient group and in the small number of antibiotics that do have data, absorption was lower compared to non-critically ill populations [12].</w:t>
      </w:r>
    </w:p>
    <w:p w14:paraId="1C1ECDC8" w14:textId="77777777" w:rsidR="007F4433" w:rsidRDefault="00765778">
      <w:pPr>
        <w:pStyle w:val="BodyText"/>
      </w:pPr>
      <w:r>
        <w:t>For drugs that are more well studied, the impact of critical illness on absorption kinetics is significant. For example, Heyland et al. undertook a study on the impact of critical illness on paracetamol kinetics [13]. In critically ill populations, they found a 55% reduction in maximum concentration (</w:t>
      </w:r>
      <m:oMath>
        <m:sSub>
          <m:sSubPr>
            <m:ctrlPr>
              <w:rPr>
                <w:rFonts w:ascii="Cambria Math" w:hAnsi="Cambria Math"/>
              </w:rPr>
            </m:ctrlPr>
          </m:sSubPr>
          <m:e>
            <m:r>
              <w:rPr>
                <w:rFonts w:ascii="Cambria Math" w:hAnsi="Cambria Math"/>
              </w:rPr>
              <m:t>C</m:t>
            </m:r>
          </m:e>
          <m:sub>
            <m:r>
              <w:rPr>
                <w:rFonts w:ascii="Cambria Math" w:hAnsi="Cambria Math"/>
              </w:rPr>
              <m:t>max</m:t>
            </m:r>
          </m:sub>
        </m:sSub>
      </m:oMath>
      <w:r>
        <w:t>), and 20% reduction in the area under the concentration-time curve compared to healthy volunteer controls. The time to maximum concentration (</w:t>
      </w:r>
      <m:oMath>
        <m:sSub>
          <m:sSubPr>
            <m:ctrlPr>
              <w:rPr>
                <w:rFonts w:ascii="Cambria Math" w:hAnsi="Cambria Math"/>
              </w:rPr>
            </m:ctrlPr>
          </m:sSubPr>
          <m:e>
            <m:r>
              <w:rPr>
                <w:rFonts w:ascii="Cambria Math" w:hAnsi="Cambria Math"/>
              </w:rPr>
              <m:t>T</m:t>
            </m:r>
          </m:e>
          <m:sub>
            <m:r>
              <w:rPr>
                <w:rFonts w:ascii="Cambria Math" w:hAnsi="Cambria Math"/>
              </w:rPr>
              <m:t>max</m:t>
            </m:r>
          </m:sub>
        </m:sSub>
      </m:oMath>
      <w:r>
        <w:t>) was 3.5 times (75 minutes) longer in critically ill patients compared with healthy individuals. Similar results were found by Tarling et al [14].</w:t>
      </w:r>
    </w:p>
    <w:p w14:paraId="1C1ECDC9" w14:textId="3778BA00" w:rsidR="007F4433" w:rsidRDefault="00765778">
      <w:pPr>
        <w:pStyle w:val="BodyText"/>
      </w:pPr>
      <w:r>
        <w:lastRenderedPageBreak/>
        <w:t>A protocol for an IV penicillin infusion drug provocation test was recently published by Molina-Molina et al., with accompanying safety data from their experience over a retrospective four-year period [15]. The patient population in th</w:t>
      </w:r>
      <w:r w:rsidR="00B74C1F">
        <w:t>e Molina-Molina et al.</w:t>
      </w:r>
      <w:r>
        <w:t xml:space="preserve"> study </w:t>
      </w:r>
      <w:r w:rsidR="00F42978">
        <w:t xml:space="preserve">were </w:t>
      </w:r>
      <w:r>
        <w:t xml:space="preserve">general </w:t>
      </w:r>
      <w:r w:rsidR="001A4035">
        <w:t>outpatients and inpatients</w:t>
      </w:r>
      <w:r>
        <w:t>. To our knowledge there is no similarly published protocol for critically ill patients.</w:t>
      </w:r>
    </w:p>
    <w:p w14:paraId="1C1ECDCA" w14:textId="77777777" w:rsidR="007F4433" w:rsidRDefault="00765778">
      <w:pPr>
        <w:pStyle w:val="BodyText"/>
      </w:pPr>
      <w:r>
        <w:t>In this report we present a simulated pharmacokinetic study of a protocol for an IV amoxicillin drug provocation test in critical illness. We have taken published parameters from pharmacokinetic models of amoxicillin and aim to demonstrate the feasibility of providing a pharmacokinetic profile through IV infusion that mirrors that of the clinical dose used in an oral amoxicillin drug provocation test.</w:t>
      </w:r>
    </w:p>
    <w:p w14:paraId="1C1ECDCB" w14:textId="77777777" w:rsidR="007F4433" w:rsidRDefault="00765778">
      <w:pPr>
        <w:pStyle w:val="Heading1"/>
      </w:pPr>
      <w:bookmarkStart w:id="3" w:name="methods"/>
      <w:bookmarkEnd w:id="2"/>
      <w:r>
        <w:rPr>
          <w:rStyle w:val="SectionNumber"/>
        </w:rPr>
        <w:t>4</w:t>
      </w:r>
      <w:r>
        <w:tab/>
        <w:t>Methods</w:t>
      </w:r>
    </w:p>
    <w:p w14:paraId="1C1ECDCC" w14:textId="77777777" w:rsidR="007F4433" w:rsidRDefault="00765778">
      <w:pPr>
        <w:pStyle w:val="FirstParagraph"/>
      </w:pPr>
      <w:r>
        <w:rPr>
          <w:b/>
          <w:bCs/>
        </w:rPr>
        <w:t>Pharmacokinetic models</w:t>
      </w:r>
    </w:p>
    <w:p w14:paraId="676B4ECE" w14:textId="2D84658C" w:rsidR="003C4724" w:rsidRDefault="00A97B6C">
      <w:pPr>
        <w:pStyle w:val="BodyText"/>
        <w:rPr>
          <w:shd w:val="clear" w:color="auto" w:fill="FFFFFF"/>
          <w:lang w:val="en-GB"/>
        </w:rPr>
      </w:pPr>
      <w:r w:rsidRPr="00A97B6C">
        <w:rPr>
          <w:shd w:val="clear" w:color="auto" w:fill="FFFFFF"/>
          <w:lang w:val="en-GB"/>
        </w:rPr>
        <w:t xml:space="preserve">A literature search was conducted to identify studies with relevant pharmacokinetic models for amoxicillin upon which to base simulations for this work. </w:t>
      </w:r>
      <w:r w:rsidR="003C4724" w:rsidRPr="00A960E0">
        <w:rPr>
          <w:shd w:val="clear" w:color="auto" w:fill="FFFFFF"/>
          <w:lang w:val="en-GB"/>
        </w:rPr>
        <w:t xml:space="preserve">As amoxicillin has dose-dependent absorption kinetics, studies for </w:t>
      </w:r>
      <w:r w:rsidR="00254E7D">
        <w:rPr>
          <w:shd w:val="clear" w:color="auto" w:fill="FFFFFF"/>
          <w:lang w:val="en-GB"/>
        </w:rPr>
        <w:t xml:space="preserve">enteral </w:t>
      </w:r>
      <w:r w:rsidR="003C4724" w:rsidRPr="00A960E0">
        <w:rPr>
          <w:shd w:val="clear" w:color="auto" w:fill="FFFFFF"/>
          <w:lang w:val="en-GB"/>
        </w:rPr>
        <w:t xml:space="preserve">doses </w:t>
      </w:r>
      <w:r w:rsidR="003C4724">
        <w:rPr>
          <w:shd w:val="clear" w:color="auto" w:fill="FFFFFF"/>
          <w:lang w:val="en-GB"/>
        </w:rPr>
        <w:t xml:space="preserve">other than 500 mg </w:t>
      </w:r>
      <w:r w:rsidR="003C4724" w:rsidRPr="00A960E0">
        <w:rPr>
          <w:shd w:val="clear" w:color="auto" w:fill="FFFFFF"/>
          <w:lang w:val="en-GB"/>
        </w:rPr>
        <w:t xml:space="preserve">were excluded. </w:t>
      </w:r>
      <w:r w:rsidRPr="00A97B6C">
        <w:rPr>
          <w:shd w:val="clear" w:color="auto" w:fill="FFFFFF"/>
          <w:lang w:val="en-GB"/>
        </w:rPr>
        <w:t xml:space="preserve">There are no universally accepted criteria for choosing one pharmacokinetic model over another and no pharmacokinetic study comparing oral and IV amoxicillin kinetics in a critically ill population at doses used for drug provocation tests. Model selection was therefore based on size of sample and a qualitative </w:t>
      </w:r>
      <w:r w:rsidR="00346731">
        <w:rPr>
          <w:shd w:val="clear" w:color="auto" w:fill="FFFFFF"/>
          <w:lang w:val="en-GB"/>
        </w:rPr>
        <w:t>re</w:t>
      </w:r>
      <w:r w:rsidRPr="00A97B6C">
        <w:rPr>
          <w:shd w:val="clear" w:color="auto" w:fill="FFFFFF"/>
          <w:lang w:val="en-GB"/>
        </w:rPr>
        <w:t>view of published model fit diagnostics.</w:t>
      </w:r>
      <w:r w:rsidR="00F0637E" w:rsidRPr="00A960E0">
        <w:rPr>
          <w:shd w:val="clear" w:color="auto" w:fill="FFFFFF"/>
          <w:lang w:val="en-GB"/>
        </w:rPr>
        <w:t xml:space="preserve"> </w:t>
      </w:r>
    </w:p>
    <w:p w14:paraId="1C1ECDCD" w14:textId="5A40F211" w:rsidR="007F4433" w:rsidRDefault="00765778">
      <w:pPr>
        <w:pStyle w:val="BodyText"/>
      </w:pPr>
      <w:r>
        <w:t>Simulations were undertaken in R, using the rxode2 package [1</w:t>
      </w:r>
      <w:r w:rsidR="008B78F1">
        <w:t>6</w:t>
      </w:r>
      <w:r>
        <w:t>,1</w:t>
      </w:r>
      <w:r w:rsidR="008B78F1">
        <w:t>7</w:t>
      </w:r>
      <w:r>
        <w:t>]. The code file is provided as supplementary material.</w:t>
      </w:r>
    </w:p>
    <w:p w14:paraId="1C1ECDCE" w14:textId="7E5860BA" w:rsidR="007F4433" w:rsidRDefault="00765778">
      <w:pPr>
        <w:pStyle w:val="BodyText"/>
      </w:pPr>
      <w:r>
        <w:t xml:space="preserve">Three scenarios were simulated, </w:t>
      </w:r>
      <w:r w:rsidR="00BE7556">
        <w:t xml:space="preserve">fixing weight (the only covariate) at </w:t>
      </w:r>
      <w:r>
        <w:t>70 kg:</w:t>
      </w:r>
    </w:p>
    <w:p w14:paraId="1C1ECDCF" w14:textId="77777777" w:rsidR="007F4433" w:rsidRDefault="00765778">
      <w:pPr>
        <w:pStyle w:val="Compact"/>
        <w:numPr>
          <w:ilvl w:val="0"/>
          <w:numId w:val="4"/>
        </w:numPr>
      </w:pPr>
      <w:r>
        <w:t>A reference model of enteral administration in the non-critically ill population.</w:t>
      </w:r>
    </w:p>
    <w:p w14:paraId="1C1ECDD0" w14:textId="15BFEFBF" w:rsidR="007F4433" w:rsidRDefault="00765778">
      <w:pPr>
        <w:pStyle w:val="Compact"/>
        <w:numPr>
          <w:ilvl w:val="0"/>
          <w:numId w:val="4"/>
        </w:numPr>
      </w:pPr>
      <w:r>
        <w:t xml:space="preserve">A simulated enteral model in critically ill patients to illustrate </w:t>
      </w:r>
      <w:r w:rsidR="00BA46CD">
        <w:t xml:space="preserve">the </w:t>
      </w:r>
      <w:r>
        <w:t>potential impact of critical illness on absorption kinetics.</w:t>
      </w:r>
    </w:p>
    <w:p w14:paraId="1C1ECDD1" w14:textId="77777777" w:rsidR="007F4433" w:rsidRDefault="00765778">
      <w:pPr>
        <w:pStyle w:val="Compact"/>
        <w:numPr>
          <w:ilvl w:val="0"/>
          <w:numId w:val="4"/>
        </w:numPr>
      </w:pPr>
      <w:r>
        <w:t>A simulated IV model in critically ill patients using a similar infusion rate strategy to that suggested by Molina-Molina et al. and amoxicillin pharmacokinetic parameters from Lonsdale et al. </w:t>
      </w:r>
    </w:p>
    <w:p w14:paraId="1C1ECDD2" w14:textId="77777777" w:rsidR="007F4433" w:rsidRDefault="00765778">
      <w:pPr>
        <w:pStyle w:val="FirstParagraph"/>
      </w:pPr>
      <w:r>
        <w:t>10,000 patients were simulated for each scenario. Concentrations were generated every 7.5 minutes for each simulated patient, between 0 and 12 hours after dosing.</w:t>
      </w:r>
    </w:p>
    <w:p w14:paraId="1C1ECDD3" w14:textId="77777777" w:rsidR="007F4433" w:rsidRDefault="00765778">
      <w:pPr>
        <w:pStyle w:val="BodyText"/>
      </w:pPr>
      <w:r>
        <w:rPr>
          <w:i/>
          <w:iCs/>
        </w:rPr>
        <w:t>Enteral amoxicillin model in non-critically ill patients</w:t>
      </w:r>
    </w:p>
    <w:p w14:paraId="62ABED3A" w14:textId="1F83C0D3" w:rsidR="009C50CD" w:rsidRDefault="00765778">
      <w:pPr>
        <w:pStyle w:val="BodyText"/>
      </w:pPr>
      <w:r>
        <w:t>A two-compartment oral-absorption model with Michaelis-Menten and Savic transit compartment absorption kinetics was simulated. Fixed and random effects parameters were taken from de Velde et al. [1</w:t>
      </w:r>
      <w:r w:rsidR="008B78F1">
        <w:t>8</w:t>
      </w:r>
      <w:r>
        <w:t xml:space="preserve">]. </w:t>
      </w:r>
    </w:p>
    <w:p w14:paraId="1C1ECDD4" w14:textId="7823C32C" w:rsidR="007F4433" w:rsidRDefault="00765778">
      <w:pPr>
        <w:pStyle w:val="BodyText"/>
      </w:pPr>
      <w:r>
        <w:lastRenderedPageBreak/>
        <w:t xml:space="preserve">Amoxicillin dose was </w:t>
      </w:r>
      <w:r w:rsidRPr="00A04551">
        <w:t>500 mg.</w:t>
      </w:r>
      <w:r w:rsidR="00A04551" w:rsidRPr="00A04551">
        <w:t xml:space="preserve"> </w:t>
      </w:r>
      <w:r w:rsidR="00A04551" w:rsidRPr="00A960E0">
        <w:t>This was</w:t>
      </w:r>
      <w:r w:rsidR="00A04551" w:rsidRPr="00A960E0">
        <w:rPr>
          <w:rStyle w:val="relative"/>
          <w:rFonts w:cs="Calibri"/>
        </w:rPr>
        <w:t xml:space="preserve"> selected because it is the</w:t>
      </w:r>
      <w:r w:rsidR="00A04551" w:rsidRPr="00A960E0">
        <w:rPr>
          <w:rStyle w:val="relative"/>
        </w:rPr>
        <w:t xml:space="preserve"> established standard for drug provocation testing, particularly when the index agent is amoxicillin or an unknown penicillin. This approach aligns with the British Society for Allergy and Clinical Immunology guideline </w:t>
      </w:r>
      <w:r w:rsidR="000331BE">
        <w:rPr>
          <w:rStyle w:val="relative"/>
        </w:rPr>
        <w:t>[6]</w:t>
      </w:r>
      <w:r w:rsidR="00A04551" w:rsidRPr="00A960E0">
        <w:rPr>
          <w:rStyle w:val="relative"/>
        </w:rPr>
        <w:t xml:space="preserve">, which outlines risk stratification and </w:t>
      </w:r>
      <w:proofErr w:type="spellStart"/>
      <w:r w:rsidR="00A04551" w:rsidRPr="00A960E0">
        <w:rPr>
          <w:rStyle w:val="relative"/>
        </w:rPr>
        <w:t>standardised</w:t>
      </w:r>
      <w:proofErr w:type="spellEnd"/>
      <w:r w:rsidR="00A04551" w:rsidRPr="00A960E0">
        <w:rPr>
          <w:rStyle w:val="relative"/>
        </w:rPr>
        <w:t xml:space="preserve"> drug provocation testing protocols for non</w:t>
      </w:r>
      <w:r w:rsidR="00A04551" w:rsidRPr="00A960E0">
        <w:rPr>
          <w:rStyle w:val="relative"/>
        </w:rPr>
        <w:noBreakHyphen/>
        <w:t>allergists.</w:t>
      </w:r>
    </w:p>
    <w:p w14:paraId="1C1ECDD5" w14:textId="77777777" w:rsidR="007F4433" w:rsidRDefault="00765778">
      <w:pPr>
        <w:pStyle w:val="BodyText"/>
      </w:pPr>
      <w:r>
        <w:rPr>
          <w:i/>
          <w:iCs/>
        </w:rPr>
        <w:t>Enteral amoxicillin model in critically ill patients</w:t>
      </w:r>
    </w:p>
    <w:p w14:paraId="1C1ECDD6" w14:textId="5371F7AD" w:rsidR="007F4433" w:rsidRDefault="00765778">
      <w:pPr>
        <w:pStyle w:val="BodyText"/>
      </w:pPr>
      <w:r>
        <w:t>A two-compartment oral absorption model with Michaelis-Menten and Savic transit compartment absorption kinetics was simulated. Absorption parameters were taken from de Velde et al. </w:t>
      </w:r>
      <w:r w:rsidR="00E414C6">
        <w:t>[1</w:t>
      </w:r>
      <w:r w:rsidR="008B78F1">
        <w:t>8</w:t>
      </w:r>
      <w:r w:rsidR="00E414C6">
        <w:t xml:space="preserve">] </w:t>
      </w:r>
      <w:r>
        <w:t>and distribution and elimination parameters from Lonsdale et al</w:t>
      </w:r>
      <w:r w:rsidR="00E414C6">
        <w:t xml:space="preserve"> [1</w:t>
      </w:r>
      <w:r w:rsidR="008B78F1">
        <w:t>9</w:t>
      </w:r>
      <w:r w:rsidR="00E414C6">
        <w:t>]</w:t>
      </w:r>
      <w:r>
        <w:t>. To simulate the effect of critical illness on absorption, we increased mean transit time and reduced bioavailability and Vmax to provide a similar impact on kinetics to that found by Heyland et al. in their paracetamol study [13]. Amoxicillin dose was 500mg.</w:t>
      </w:r>
    </w:p>
    <w:p w14:paraId="1C1ECDD7" w14:textId="77777777" w:rsidR="007F4433" w:rsidRDefault="00765778">
      <w:pPr>
        <w:pStyle w:val="BodyText"/>
      </w:pPr>
      <w:r>
        <w:rPr>
          <w:i/>
          <w:iCs/>
        </w:rPr>
        <w:t>IV infusion model</w:t>
      </w:r>
    </w:p>
    <w:p w14:paraId="1C1ECDD8" w14:textId="56377732" w:rsidR="007F4433" w:rsidRDefault="00765778">
      <w:pPr>
        <w:pStyle w:val="BodyText"/>
      </w:pPr>
      <w:r>
        <w:t>A two-compartment IV model was simulated. Fixed and random effects parameters were taken from Lonsdale et al. [1</w:t>
      </w:r>
      <w:r w:rsidR="008B78F1">
        <w:t>9</w:t>
      </w:r>
      <w:r>
        <w:t xml:space="preserve">]. The IV infusion </w:t>
      </w:r>
      <w:proofErr w:type="spellStart"/>
      <w:r>
        <w:t>utilised</w:t>
      </w:r>
      <w:proofErr w:type="spellEnd"/>
      <w:r>
        <w:t xml:space="preserve"> incremental increases in rate, adapted from a protocol published by Molina-Molina et al. [15]. 1% of the dose was delivered over the first 10 minutes, 9% over the next 20 minutes, and the remainder over an hour (total infusion time 90 minutes). Stability data is in keeping with this being an acceptable duration of time for amoxicillin to be left [20]. A range of doses were tested in 50</w:t>
      </w:r>
      <w:r w:rsidR="00A55CA4">
        <w:t xml:space="preserve"> </w:t>
      </w:r>
      <w:r>
        <w:t>mg increments, we present results of a simulated total amoxicillin dose of 200 mg in this report as this resulted in the most similar median maximum concentration (</w:t>
      </w:r>
      <m:oMath>
        <m:sSub>
          <m:sSubPr>
            <m:ctrlPr>
              <w:rPr>
                <w:rFonts w:ascii="Cambria Math" w:hAnsi="Cambria Math"/>
              </w:rPr>
            </m:ctrlPr>
          </m:sSubPr>
          <m:e>
            <m:r>
              <w:rPr>
                <w:rFonts w:ascii="Cambria Math" w:hAnsi="Cambria Math"/>
              </w:rPr>
              <m:t>C</m:t>
            </m:r>
          </m:e>
          <m:sub>
            <m:r>
              <w:rPr>
                <w:rFonts w:ascii="Cambria Math" w:hAnsi="Cambria Math"/>
              </w:rPr>
              <m:t>max</m:t>
            </m:r>
          </m:sub>
        </m:sSub>
      </m:oMath>
      <w:r>
        <w:t>) to the enteral model in non-critically ill patients.</w:t>
      </w:r>
    </w:p>
    <w:p w14:paraId="1C1ECDD9" w14:textId="77777777" w:rsidR="007F4433" w:rsidRDefault="00765778">
      <w:pPr>
        <w:pStyle w:val="BodyText"/>
      </w:pPr>
      <w:r>
        <w:rPr>
          <w:b/>
          <w:bCs/>
        </w:rPr>
        <w:t>Analysis of simulations</w:t>
      </w:r>
    </w:p>
    <w:p w14:paraId="1C1ECDDA" w14:textId="5CC8D9C5" w:rsidR="007F4433" w:rsidRDefault="00765778">
      <w:pPr>
        <w:pStyle w:val="BodyText"/>
      </w:pPr>
      <w:r>
        <w:t>End points were</w:t>
      </w:r>
      <w:r w:rsidR="0046289C">
        <w:t xml:space="preserve"> maximum concentration</w:t>
      </w:r>
      <w:r>
        <w:t xml:space="preserve"> (</w:t>
      </w:r>
      <m:oMath>
        <m:sSub>
          <m:sSubPr>
            <m:ctrlPr>
              <w:rPr>
                <w:rFonts w:ascii="Cambria Math" w:hAnsi="Cambria Math"/>
              </w:rPr>
            </m:ctrlPr>
          </m:sSubPr>
          <m:e>
            <m:r>
              <w:rPr>
                <w:rFonts w:ascii="Cambria Math" w:hAnsi="Cambria Math"/>
              </w:rPr>
              <m:t>C</m:t>
            </m:r>
          </m:e>
          <m:sub>
            <m:r>
              <w:rPr>
                <w:rFonts w:ascii="Cambria Math" w:hAnsi="Cambria Math"/>
              </w:rPr>
              <m:t>max</m:t>
            </m:r>
          </m:sub>
        </m:sSub>
      </m:oMath>
      <w:r>
        <w:t>), time to maximum concentration (</w:t>
      </w:r>
      <m:oMath>
        <m:sSub>
          <m:sSubPr>
            <m:ctrlPr>
              <w:rPr>
                <w:rFonts w:ascii="Cambria Math" w:hAnsi="Cambria Math"/>
              </w:rPr>
            </m:ctrlPr>
          </m:sSubPr>
          <m:e>
            <m:r>
              <w:rPr>
                <w:rFonts w:ascii="Cambria Math" w:hAnsi="Cambria Math"/>
              </w:rPr>
              <m:t>T</m:t>
            </m:r>
          </m:e>
          <m:sub>
            <m:r>
              <w:rPr>
                <w:rFonts w:ascii="Cambria Math" w:hAnsi="Cambria Math"/>
              </w:rPr>
              <m:t>max</m:t>
            </m:r>
          </m:sub>
        </m:sSub>
      </m:oMath>
      <w:r>
        <w:t xml:space="preserve">) and exposure (quantified as area under the time-concentration curve, </w:t>
      </w:r>
      <m:oMath>
        <m:r>
          <w:rPr>
            <w:rFonts w:ascii="Cambria Math" w:hAnsi="Cambria Math"/>
          </w:rPr>
          <m:t>AU</m:t>
        </m:r>
        <m:sSub>
          <m:sSubPr>
            <m:ctrlPr>
              <w:rPr>
                <w:rFonts w:ascii="Cambria Math" w:hAnsi="Cambria Math"/>
              </w:rPr>
            </m:ctrlPr>
          </m:sSubPr>
          <m:e>
            <m:r>
              <w:rPr>
                <w:rFonts w:ascii="Cambria Math" w:hAnsi="Cambria Math"/>
              </w:rPr>
              <m:t>C</m:t>
            </m:r>
          </m:e>
          <m:sub>
            <m:r>
              <w:rPr>
                <w:rFonts w:ascii="Cambria Math" w:hAnsi="Cambria Math"/>
              </w:rPr>
              <m:t>0</m:t>
            </m:r>
            <m:r>
              <m:rPr>
                <m:sty m:val="p"/>
              </m:rPr>
              <w:rPr>
                <w:rFonts w:ascii="Cambria Math" w:hAnsi="Cambria Math"/>
              </w:rPr>
              <m:t>-∞</m:t>
            </m:r>
          </m:sub>
        </m:sSub>
      </m:oMath>
      <w:r>
        <w:t xml:space="preserve">). Parameters are presented as median with 5th and 95th centile range. </w:t>
      </w:r>
      <m:oMath>
        <m:r>
          <w:rPr>
            <w:rFonts w:ascii="Cambria Math" w:hAnsi="Cambria Math"/>
          </w:rPr>
          <m:t>AU</m:t>
        </m:r>
        <m:sSub>
          <m:sSubPr>
            <m:ctrlPr>
              <w:rPr>
                <w:rFonts w:ascii="Cambria Math" w:hAnsi="Cambria Math"/>
              </w:rPr>
            </m:ctrlPr>
          </m:sSubPr>
          <m:e>
            <m:r>
              <w:rPr>
                <w:rFonts w:ascii="Cambria Math" w:hAnsi="Cambria Math"/>
              </w:rPr>
              <m:t>C</m:t>
            </m:r>
          </m:e>
          <m:sub>
            <m:r>
              <w:rPr>
                <w:rFonts w:ascii="Cambria Math" w:hAnsi="Cambria Math"/>
              </w:rPr>
              <m:t>0</m:t>
            </m:r>
            <m:r>
              <m:rPr>
                <m:sty m:val="p"/>
              </m:rPr>
              <w:rPr>
                <w:rFonts w:ascii="Cambria Math" w:hAnsi="Cambria Math"/>
              </w:rPr>
              <m:t>-∞</m:t>
            </m:r>
          </m:sub>
        </m:sSub>
      </m:oMath>
      <w:r>
        <w:t xml:space="preserve"> was calculated using simulated clearance:</w:t>
      </w:r>
      <w:r>
        <w:br/>
      </w:r>
    </w:p>
    <w:p w14:paraId="1C1ECDDB" w14:textId="77777777" w:rsidR="007F4433" w:rsidRDefault="00765778">
      <w:pPr>
        <w:pStyle w:val="BodyText"/>
      </w:pPr>
      <m:oMathPara>
        <m:oMathParaPr>
          <m:jc m:val="center"/>
        </m:oMathParaPr>
        <m:oMath>
          <m:r>
            <w:rPr>
              <w:rFonts w:ascii="Cambria Math" w:hAnsi="Cambria Math"/>
            </w:rPr>
            <m:t>AU</m:t>
          </m:r>
          <m:sSub>
            <m:sSubPr>
              <m:ctrlPr>
                <w:rPr>
                  <w:rFonts w:ascii="Cambria Math" w:hAnsi="Cambria Math"/>
                </w:rPr>
              </m:ctrlPr>
            </m:sSubPr>
            <m:e>
              <m:r>
                <w:rPr>
                  <w:rFonts w:ascii="Cambria Math" w:hAnsi="Cambria Math"/>
                </w:rPr>
                <m:t>C</m:t>
              </m:r>
            </m:e>
            <m:sub>
              <m:r>
                <w:rPr>
                  <w:rFonts w:ascii="Cambria Math" w:hAnsi="Cambria Math"/>
                </w:rPr>
                <m:t>0</m:t>
              </m:r>
              <m:r>
                <m:rPr>
                  <m:sty m:val="p"/>
                </m:rPr>
                <w:rPr>
                  <w:rFonts w:ascii="Cambria Math" w:hAnsi="Cambria Math"/>
                </w:rPr>
                <m:t>-∞</m:t>
              </m:r>
            </m:sub>
          </m:sSub>
          <m:r>
            <m:rPr>
              <m:sty m:val="p"/>
            </m:rPr>
            <w:rPr>
              <w:rFonts w:ascii="Cambria Math" w:hAnsi="Cambria Math"/>
            </w:rPr>
            <m:t>=</m:t>
          </m:r>
          <m:f>
            <m:fPr>
              <m:ctrlPr>
                <w:rPr>
                  <w:rFonts w:ascii="Cambria Math" w:hAnsi="Cambria Math"/>
                </w:rPr>
              </m:ctrlPr>
            </m:fPr>
            <m:num>
              <m:r>
                <m:rPr>
                  <m:nor/>
                </m:rPr>
                <m:t>simulated bioavailability x dose</m:t>
              </m:r>
            </m:num>
            <m:den>
              <m:r>
                <m:rPr>
                  <m:nor/>
                </m:rPr>
                <m:t>simulated clearance</m:t>
              </m:r>
            </m:den>
          </m:f>
        </m:oMath>
      </m:oMathPara>
    </w:p>
    <w:p w14:paraId="1C1ECDDC" w14:textId="77777777" w:rsidR="007F4433" w:rsidRDefault="00765778">
      <w:pPr>
        <w:pStyle w:val="Heading1"/>
      </w:pPr>
      <w:bookmarkStart w:id="4" w:name="results"/>
      <w:bookmarkEnd w:id="3"/>
      <w:r>
        <w:rPr>
          <w:rStyle w:val="SectionNumber"/>
        </w:rPr>
        <w:t>5</w:t>
      </w:r>
      <w:r>
        <w:tab/>
        <w:t>Results</w:t>
      </w:r>
    </w:p>
    <w:p w14:paraId="0A54130F" w14:textId="7A8085E5" w:rsidR="00635F68" w:rsidRPr="00C22695" w:rsidRDefault="00635F68" w:rsidP="00C22695">
      <w:pPr>
        <w:pStyle w:val="BodyText"/>
        <w:rPr>
          <w:shd w:val="clear" w:color="auto" w:fill="FFFFFF"/>
          <w:lang w:val="en-GB"/>
        </w:rPr>
      </w:pPr>
      <w:r w:rsidRPr="00F0637E">
        <w:t xml:space="preserve">Published </w:t>
      </w:r>
      <w:r w:rsidR="00714603" w:rsidRPr="00F0637E">
        <w:t>two</w:t>
      </w:r>
      <w:r w:rsidR="00346731">
        <w:t>-</w:t>
      </w:r>
      <w:r w:rsidR="00714603" w:rsidRPr="00F0637E">
        <w:t xml:space="preserve">compartment </w:t>
      </w:r>
      <w:r w:rsidRPr="00F0637E">
        <w:t>pharmacokinetic models of amoxicillin from de Velde et al. [1</w:t>
      </w:r>
      <w:r w:rsidR="00B5502A">
        <w:t>8</w:t>
      </w:r>
      <w:r w:rsidRPr="00F0637E">
        <w:t>] and Lonsdale et al. [1</w:t>
      </w:r>
      <w:r w:rsidR="00B5502A">
        <w:t>9</w:t>
      </w:r>
      <w:r w:rsidRPr="00F0637E">
        <w:t xml:space="preserve">] </w:t>
      </w:r>
      <w:r w:rsidR="00DF3C12">
        <w:t>were chosen for simulation</w:t>
      </w:r>
      <w:r w:rsidRPr="00F0637E">
        <w:t xml:space="preserve">. </w:t>
      </w:r>
      <w:r w:rsidR="00FB2384" w:rsidRPr="00FB2384">
        <w:t xml:space="preserve">Our view was that these provided a robust set of </w:t>
      </w:r>
      <w:r w:rsidR="00FB2384" w:rsidRPr="00FB2384">
        <w:t>models</w:t>
      </w:r>
      <w:r w:rsidR="00FB2384" w:rsidRPr="00FB2384">
        <w:t xml:space="preserve"> upon which to base our simulations.</w:t>
      </w:r>
      <w:r w:rsidR="00FB2384">
        <w:t xml:space="preserve"> </w:t>
      </w:r>
      <w:r w:rsidRPr="00A960E0">
        <w:rPr>
          <w:shd w:val="clear" w:color="auto" w:fill="FFFFFF"/>
          <w:lang w:val="en-GB"/>
        </w:rPr>
        <w:t xml:space="preserve">The de Velde et al study selected for the non-critically ill population is the largest study </w:t>
      </w:r>
      <w:r w:rsidR="00266AFA">
        <w:rPr>
          <w:shd w:val="clear" w:color="auto" w:fill="FFFFFF"/>
          <w:lang w:val="en-GB"/>
        </w:rPr>
        <w:t>(</w:t>
      </w:r>
      <w:r w:rsidR="005503A4">
        <w:rPr>
          <w:shd w:val="clear" w:color="auto" w:fill="FFFFFF"/>
          <w:lang w:val="en-GB"/>
        </w:rPr>
        <w:t xml:space="preserve">28 people) </w:t>
      </w:r>
      <w:r w:rsidRPr="00A960E0">
        <w:rPr>
          <w:shd w:val="clear" w:color="auto" w:fill="FFFFFF"/>
          <w:lang w:val="en-GB"/>
        </w:rPr>
        <w:t xml:space="preserve">identified after a 500 mg </w:t>
      </w:r>
      <w:r>
        <w:rPr>
          <w:shd w:val="clear" w:color="auto" w:fill="FFFFFF"/>
          <w:lang w:val="en-GB"/>
        </w:rPr>
        <w:t xml:space="preserve">oral </w:t>
      </w:r>
      <w:r w:rsidRPr="00A960E0">
        <w:rPr>
          <w:shd w:val="clear" w:color="auto" w:fill="FFFFFF"/>
          <w:lang w:val="en-GB"/>
        </w:rPr>
        <w:t>dose of amoxicillin</w:t>
      </w:r>
      <w:r w:rsidR="00FB2384">
        <w:rPr>
          <w:shd w:val="clear" w:color="auto" w:fill="FFFFFF"/>
          <w:lang w:val="en-GB"/>
        </w:rPr>
        <w:t xml:space="preserve">; </w:t>
      </w:r>
      <w:r w:rsidR="00322B88">
        <w:rPr>
          <w:shd w:val="clear" w:color="auto" w:fill="FFFFFF"/>
          <w:lang w:val="en-GB"/>
        </w:rPr>
        <w:t>sources</w:t>
      </w:r>
      <w:r w:rsidR="00FB2384">
        <w:rPr>
          <w:shd w:val="clear" w:color="auto" w:fill="FFFFFF"/>
          <w:lang w:val="en-GB"/>
        </w:rPr>
        <w:t xml:space="preserve"> not chosen include </w:t>
      </w:r>
      <w:r w:rsidR="009D0486">
        <w:rPr>
          <w:shd w:val="clear" w:color="auto" w:fill="FFFFFF"/>
          <w:lang w:val="en-GB"/>
        </w:rPr>
        <w:t>Spyker et al</w:t>
      </w:r>
      <w:r w:rsidR="00266AFA">
        <w:rPr>
          <w:shd w:val="clear" w:color="auto" w:fill="FFFFFF"/>
          <w:lang w:val="en-GB"/>
        </w:rPr>
        <w:t xml:space="preserve"> (24 </w:t>
      </w:r>
      <w:r w:rsidR="005503A4">
        <w:rPr>
          <w:shd w:val="clear" w:color="auto" w:fill="FFFFFF"/>
          <w:lang w:val="en-GB"/>
        </w:rPr>
        <w:t>people</w:t>
      </w:r>
      <w:r w:rsidR="00266AFA">
        <w:rPr>
          <w:shd w:val="clear" w:color="auto" w:fill="FFFFFF"/>
          <w:lang w:val="en-GB"/>
        </w:rPr>
        <w:t xml:space="preserve">) </w:t>
      </w:r>
      <w:r w:rsidR="009C715C">
        <w:rPr>
          <w:shd w:val="clear" w:color="auto" w:fill="FFFFFF"/>
          <w:lang w:val="en-GB"/>
        </w:rPr>
        <w:t xml:space="preserve">[21] </w:t>
      </w:r>
      <w:r w:rsidR="00266AFA">
        <w:rPr>
          <w:shd w:val="clear" w:color="auto" w:fill="FFFFFF"/>
          <w:lang w:val="en-GB"/>
        </w:rPr>
        <w:t xml:space="preserve">and Arancibia et al (nine </w:t>
      </w:r>
      <w:r w:rsidR="005503A4">
        <w:rPr>
          <w:shd w:val="clear" w:color="auto" w:fill="FFFFFF"/>
          <w:lang w:val="en-GB"/>
        </w:rPr>
        <w:t>people</w:t>
      </w:r>
      <w:r w:rsidR="00266AFA">
        <w:rPr>
          <w:shd w:val="clear" w:color="auto" w:fill="FFFFFF"/>
          <w:lang w:val="en-GB"/>
        </w:rPr>
        <w:t>)</w:t>
      </w:r>
      <w:r w:rsidR="009C715C">
        <w:rPr>
          <w:shd w:val="clear" w:color="auto" w:fill="FFFFFF"/>
          <w:lang w:val="en-GB"/>
        </w:rPr>
        <w:t xml:space="preserve"> [22]</w:t>
      </w:r>
      <w:r w:rsidRPr="00A960E0">
        <w:rPr>
          <w:shd w:val="clear" w:color="auto" w:fill="FFFFFF"/>
          <w:lang w:val="en-GB"/>
        </w:rPr>
        <w:t xml:space="preserve">. The Lonsdale et al study selected to provide the </w:t>
      </w:r>
      <w:r w:rsidRPr="00A960E0">
        <w:rPr>
          <w:shd w:val="clear" w:color="auto" w:fill="FFFFFF"/>
          <w:lang w:val="en-GB"/>
        </w:rPr>
        <w:lastRenderedPageBreak/>
        <w:t>parameters in critical illness is the largest study</w:t>
      </w:r>
      <w:r w:rsidR="00322B88">
        <w:rPr>
          <w:shd w:val="clear" w:color="auto" w:fill="FFFFFF"/>
          <w:lang w:val="en-GB"/>
        </w:rPr>
        <w:t xml:space="preserve"> (49 adults, 24 children and seven neonates)</w:t>
      </w:r>
      <w:r w:rsidRPr="00A960E0">
        <w:rPr>
          <w:shd w:val="clear" w:color="auto" w:fill="FFFFFF"/>
          <w:lang w:val="en-GB"/>
        </w:rPr>
        <w:t xml:space="preserve"> with published pharmacokinetic parameters for amoxicillin </w:t>
      </w:r>
      <w:r>
        <w:rPr>
          <w:shd w:val="clear" w:color="auto" w:fill="FFFFFF"/>
          <w:lang w:val="en-GB"/>
        </w:rPr>
        <w:t xml:space="preserve">for </w:t>
      </w:r>
      <w:r w:rsidRPr="00A960E0">
        <w:rPr>
          <w:shd w:val="clear" w:color="auto" w:fill="FFFFFF"/>
          <w:lang w:val="en-GB"/>
        </w:rPr>
        <w:t>this population</w:t>
      </w:r>
      <w:r w:rsidR="00322B88">
        <w:rPr>
          <w:shd w:val="clear" w:color="auto" w:fill="FFFFFF"/>
          <w:lang w:val="en-GB"/>
        </w:rPr>
        <w:t xml:space="preserve">; </w:t>
      </w:r>
      <w:r w:rsidR="00322B88">
        <w:rPr>
          <w:shd w:val="clear" w:color="auto" w:fill="FFFFFF"/>
          <w:lang w:val="en-GB"/>
        </w:rPr>
        <w:t xml:space="preserve">sources not chosen include </w:t>
      </w:r>
      <w:r w:rsidR="00322B88">
        <w:rPr>
          <w:shd w:val="clear" w:color="auto" w:fill="FFFFFF"/>
          <w:lang w:val="en-GB"/>
        </w:rPr>
        <w:t>Carlier</w:t>
      </w:r>
      <w:r w:rsidR="00322B88">
        <w:rPr>
          <w:shd w:val="clear" w:color="auto" w:fill="FFFFFF"/>
          <w:lang w:val="en-GB"/>
        </w:rPr>
        <w:t xml:space="preserve"> et al (</w:t>
      </w:r>
      <w:r w:rsidR="00322B88">
        <w:rPr>
          <w:shd w:val="clear" w:color="auto" w:fill="FFFFFF"/>
          <w:lang w:val="en-GB"/>
        </w:rPr>
        <w:t>13</w:t>
      </w:r>
      <w:r w:rsidR="00322B88">
        <w:rPr>
          <w:shd w:val="clear" w:color="auto" w:fill="FFFFFF"/>
          <w:lang w:val="en-GB"/>
        </w:rPr>
        <w:t xml:space="preserve"> people)</w:t>
      </w:r>
      <w:r w:rsidR="009C715C">
        <w:rPr>
          <w:shd w:val="clear" w:color="auto" w:fill="FFFFFF"/>
          <w:lang w:val="en-GB"/>
        </w:rPr>
        <w:t xml:space="preserve"> [23]</w:t>
      </w:r>
      <w:r w:rsidR="00322B88">
        <w:rPr>
          <w:shd w:val="clear" w:color="auto" w:fill="FFFFFF"/>
          <w:lang w:val="en-GB"/>
        </w:rPr>
        <w:t xml:space="preserve"> and </w:t>
      </w:r>
      <w:r w:rsidR="00216212">
        <w:rPr>
          <w:shd w:val="clear" w:color="auto" w:fill="FFFFFF"/>
          <w:lang w:val="en-GB"/>
        </w:rPr>
        <w:t>Mimoz</w:t>
      </w:r>
      <w:r w:rsidR="00322B88">
        <w:rPr>
          <w:shd w:val="clear" w:color="auto" w:fill="FFFFFF"/>
          <w:lang w:val="en-GB"/>
        </w:rPr>
        <w:t xml:space="preserve"> et al (</w:t>
      </w:r>
      <w:r w:rsidR="00322B88">
        <w:rPr>
          <w:shd w:val="clear" w:color="auto" w:fill="FFFFFF"/>
          <w:lang w:val="en-GB"/>
        </w:rPr>
        <w:t>12</w:t>
      </w:r>
      <w:r w:rsidR="00322B88">
        <w:rPr>
          <w:shd w:val="clear" w:color="auto" w:fill="FFFFFF"/>
          <w:lang w:val="en-GB"/>
        </w:rPr>
        <w:t xml:space="preserve"> people)</w:t>
      </w:r>
      <w:r w:rsidR="009C715C">
        <w:rPr>
          <w:shd w:val="clear" w:color="auto" w:fill="FFFFFF"/>
          <w:lang w:val="en-GB"/>
        </w:rPr>
        <w:t xml:space="preserve"> [24]</w:t>
      </w:r>
      <w:r w:rsidRPr="00A960E0">
        <w:rPr>
          <w:shd w:val="clear" w:color="auto" w:fill="FFFFFF"/>
          <w:lang w:val="en-GB"/>
        </w:rPr>
        <w:t>.</w:t>
      </w:r>
    </w:p>
    <w:p w14:paraId="1C1ECDDD" w14:textId="6B3FD17A" w:rsidR="007F4433" w:rsidRDefault="00765778">
      <w:pPr>
        <w:pStyle w:val="FirstParagraph"/>
      </w:pPr>
      <w:r>
        <w:t>Simulations of a 200 mg variable</w:t>
      </w:r>
      <w:r w:rsidR="002B1280">
        <w:t xml:space="preserve"> rate</w:t>
      </w:r>
      <w:r>
        <w:t xml:space="preserve"> infusion of amoxicillin in a critically ill population achieved a similar pharmacokinetic profile to a 500 mg enteral dose in a non-critically ill population (Table 1). Median </w:t>
      </w:r>
      <m:oMath>
        <m:sSub>
          <m:sSubPr>
            <m:ctrlPr>
              <w:rPr>
                <w:rFonts w:ascii="Cambria Math" w:hAnsi="Cambria Math"/>
              </w:rPr>
            </m:ctrlPr>
          </m:sSubPr>
          <m:e>
            <m:r>
              <w:rPr>
                <w:rFonts w:ascii="Cambria Math" w:hAnsi="Cambria Math"/>
              </w:rPr>
              <m:t>C</m:t>
            </m:r>
          </m:e>
          <m:sub>
            <m:r>
              <w:rPr>
                <w:rFonts w:ascii="Cambria Math" w:hAnsi="Cambria Math"/>
              </w:rPr>
              <m:t>max</m:t>
            </m:r>
          </m:sub>
        </m:sSub>
      </m:oMath>
      <w:r>
        <w:t xml:space="preserve"> was 6.27 mg/L and </w:t>
      </w:r>
      <m:oMath>
        <m:sSub>
          <m:sSubPr>
            <m:ctrlPr>
              <w:rPr>
                <w:rFonts w:ascii="Cambria Math" w:hAnsi="Cambria Math"/>
              </w:rPr>
            </m:ctrlPr>
          </m:sSubPr>
          <m:e>
            <m:r>
              <w:rPr>
                <w:rFonts w:ascii="Cambria Math" w:hAnsi="Cambria Math"/>
              </w:rPr>
              <m:t>T</m:t>
            </m:r>
          </m:e>
          <m:sub>
            <m:r>
              <w:rPr>
                <w:rFonts w:ascii="Cambria Math" w:hAnsi="Cambria Math"/>
              </w:rPr>
              <m:t>max</m:t>
            </m:r>
          </m:sub>
        </m:sSub>
      </m:oMath>
      <w:r>
        <w:t xml:space="preserve"> was 1.5 hours in the simulated IV scenario compared to 6.65 mg/L and 1.25 hours from the oral route in the non-critically ill. Concentration-time profiles from the three simulated scenarios are presented in Figure 1.</w:t>
      </w:r>
    </w:p>
    <w:p w14:paraId="1C1ECDDE" w14:textId="77777777" w:rsidR="007F4433" w:rsidRDefault="00765778">
      <w:pPr>
        <w:pStyle w:val="Heading1"/>
      </w:pPr>
      <w:bookmarkStart w:id="5" w:name="discussion"/>
      <w:bookmarkEnd w:id="4"/>
      <w:r>
        <w:rPr>
          <w:rStyle w:val="SectionNumber"/>
        </w:rPr>
        <w:t>6</w:t>
      </w:r>
      <w:r>
        <w:tab/>
        <w:t>Discussion</w:t>
      </w:r>
    </w:p>
    <w:p w14:paraId="1C1ECDDF" w14:textId="77777777" w:rsidR="007F4433" w:rsidRDefault="00765778">
      <w:pPr>
        <w:pStyle w:val="FirstParagraph"/>
      </w:pPr>
      <w:r>
        <w:t>Our simulations predict that a 200 mg infusion of amoxicillin given to critically ill populations with staged infusion rates will confer a similar time-concentration profile to that expected in a healthy population given an oral 500 mg dose of amoxicillin. This, alongside studies of IV penicillin drug provocation tests in healthy patients, may provide clinicians with some assurance when considering protocols for IV amoxicillin drug provocation test in the intensive care unit. Similarly, we offer some evidence of the lower exposure expected through the use of enteral administration in this population.</w:t>
      </w:r>
    </w:p>
    <w:p w14:paraId="1C1ECDE0" w14:textId="28E4A0B7" w:rsidR="007F4433" w:rsidRDefault="00765778">
      <w:pPr>
        <w:pStyle w:val="BodyText"/>
      </w:pPr>
      <w:r>
        <w:t>Recent hypotheses based on the law of mass action have argued that adverse drug reactions are all dose-dependent and explanations for situations where this was not felt to be the case have been proposed [2</w:t>
      </w:r>
      <w:r w:rsidR="009C715C">
        <w:t>5</w:t>
      </w:r>
      <w:r>
        <w:t xml:space="preserve">]. Based on this, it is expected that increased </w:t>
      </w:r>
      <m:oMath>
        <m:sSub>
          <m:sSubPr>
            <m:ctrlPr>
              <w:rPr>
                <w:rFonts w:ascii="Cambria Math" w:hAnsi="Cambria Math"/>
              </w:rPr>
            </m:ctrlPr>
          </m:sSubPr>
          <m:e>
            <m:r>
              <w:rPr>
                <w:rFonts w:ascii="Cambria Math" w:hAnsi="Cambria Math"/>
              </w:rPr>
              <m:t>C</m:t>
            </m:r>
          </m:e>
          <m:sub>
            <m:r>
              <w:rPr>
                <w:rFonts w:ascii="Cambria Math" w:hAnsi="Cambria Math"/>
              </w:rPr>
              <m:t>max</m:t>
            </m:r>
          </m:sub>
        </m:sSub>
      </m:oMath>
      <w:r>
        <w:t xml:space="preserve"> may lead to a higher rate of harm. For this reason, this study aimed to match the </w:t>
      </w:r>
      <m:oMath>
        <m:sSub>
          <m:sSubPr>
            <m:ctrlPr>
              <w:rPr>
                <w:rFonts w:ascii="Cambria Math" w:hAnsi="Cambria Math"/>
              </w:rPr>
            </m:ctrlPr>
          </m:sSubPr>
          <m:e>
            <m:r>
              <w:rPr>
                <w:rFonts w:ascii="Cambria Math" w:hAnsi="Cambria Math"/>
              </w:rPr>
              <m:t>C</m:t>
            </m:r>
          </m:e>
          <m:sub>
            <m:r>
              <w:rPr>
                <w:rFonts w:ascii="Cambria Math" w:hAnsi="Cambria Math"/>
              </w:rPr>
              <m:t>max</m:t>
            </m:r>
          </m:sub>
        </m:sSub>
      </m:oMath>
      <w:r>
        <w:t xml:space="preserve"> of doses used in established enteral drug provocation test protocols.</w:t>
      </w:r>
    </w:p>
    <w:p w14:paraId="1C1ECDE1" w14:textId="77777777" w:rsidR="007F4433" w:rsidRDefault="00765778">
      <w:pPr>
        <w:pStyle w:val="BodyText"/>
      </w:pPr>
      <w:r>
        <w:t xml:space="preserve">Pharmacokinetic model-informed doses are not (to our knowledge) used in existing penicillin allergy de-labeling protocols. Molina-Molina et al. used a standard licensed dose of 1000 mg of amoxicillin [15]. Immediate reactions in this study were higher in the group administered an IV provocation challenge, although interpreting this result is challenging as the study was not </w:t>
      </w:r>
      <w:proofErr w:type="spellStart"/>
      <w:r>
        <w:t>randomised</w:t>
      </w:r>
      <w:proofErr w:type="spellEnd"/>
      <w:r>
        <w:t>, and the intravenous group had a higher risk of a true allergy at baseline and were preferentially chosen for the IV group for safety reasons.</w:t>
      </w:r>
    </w:p>
    <w:p w14:paraId="1C1ECDE2" w14:textId="77777777" w:rsidR="007F4433" w:rsidRDefault="00765778">
      <w:pPr>
        <w:pStyle w:val="BodyText"/>
      </w:pPr>
      <w:r>
        <w:t>In our view, the IV route of administration in critically ill patients has a number of advantages over enteral. Principally, this is in the reliable achievement of meaningful exposure that may be lost in the setting of unreliable and lower absorption kinetics found in critical illness. Further, in the event of a reaction to the drug, the IV infusion can be stopped immediately, reducing exposure to the drug (an option not available once an oral dose is administered or with an IV bolus).</w:t>
      </w:r>
    </w:p>
    <w:p w14:paraId="663157BB" w14:textId="01B49CD0" w:rsidR="00DA71E0" w:rsidRPr="00DA71E0" w:rsidRDefault="00DA71E0">
      <w:pPr>
        <w:pStyle w:val="BodyText"/>
      </w:pPr>
      <w:r w:rsidRPr="00A960E0">
        <w:rPr>
          <w:rFonts w:cs="Calibri"/>
        </w:rPr>
        <w:t>We acknowledge the ethical considerations involved in performing penicillin allergy assessment and testing in critically ill patients. Spurious penicillin allergy labels are associated with increased morbidity, and increased mortality</w:t>
      </w:r>
      <w:r w:rsidR="000E085B">
        <w:rPr>
          <w:rFonts w:cs="Calibri"/>
        </w:rPr>
        <w:t xml:space="preserve"> in both inpatient and outpatient co</w:t>
      </w:r>
      <w:r w:rsidR="000E085B" w:rsidRPr="009C715C">
        <w:rPr>
          <w:rFonts w:cs="Calibri"/>
        </w:rPr>
        <w:t>horts</w:t>
      </w:r>
      <w:r w:rsidRPr="009C715C">
        <w:rPr>
          <w:rFonts w:cs="Calibri"/>
        </w:rPr>
        <w:t xml:space="preserve"> </w:t>
      </w:r>
      <w:r w:rsidR="000E085B" w:rsidRPr="009C715C">
        <w:rPr>
          <w:rFonts w:cs="Calibri"/>
        </w:rPr>
        <w:t xml:space="preserve">[1, </w:t>
      </w:r>
      <w:r w:rsidR="009C715C" w:rsidRPr="009C715C">
        <w:rPr>
          <w:rFonts w:cs="Calibri"/>
        </w:rPr>
        <w:t>26]</w:t>
      </w:r>
      <w:r w:rsidRPr="009C715C">
        <w:rPr>
          <w:rFonts w:cs="Calibri"/>
        </w:rPr>
        <w:t>.</w:t>
      </w:r>
      <w:r w:rsidRPr="009C715C">
        <w:rPr>
          <w:rFonts w:cs="Calibri"/>
          <w:lang w:val="en-GB"/>
        </w:rPr>
        <w:t xml:space="preserve"> In a</w:t>
      </w:r>
      <w:r w:rsidRPr="00A960E0">
        <w:rPr>
          <w:rFonts w:cs="Calibri"/>
          <w:lang w:val="en-GB"/>
        </w:rPr>
        <w:t xml:space="preserve"> detailed discussion of the ethics of antibiotic allergy Xiang et al conclude that prescription </w:t>
      </w:r>
      <w:r w:rsidRPr="00A960E0">
        <w:rPr>
          <w:rFonts w:cs="Calibri"/>
          <w:lang w:val="en-GB"/>
        </w:rPr>
        <w:lastRenderedPageBreak/>
        <w:t xml:space="preserve">of first-line antibiotics to patients carrying an allergy label is often ethically appropriate </w:t>
      </w:r>
      <w:r w:rsidR="00826C73">
        <w:rPr>
          <w:rFonts w:cs="Calibri"/>
          <w:lang w:val="en-GB"/>
        </w:rPr>
        <w:t>[2</w:t>
      </w:r>
      <w:r w:rsidR="009C715C">
        <w:rPr>
          <w:rFonts w:cs="Calibri"/>
          <w:lang w:val="en-GB"/>
        </w:rPr>
        <w:t>7</w:t>
      </w:r>
      <w:r w:rsidR="00826C73">
        <w:rPr>
          <w:rFonts w:cs="Calibri"/>
          <w:lang w:val="en-GB"/>
        </w:rPr>
        <w:t>]</w:t>
      </w:r>
      <w:r w:rsidR="00D471FE">
        <w:rPr>
          <w:rFonts w:cs="Calibri"/>
          <w:lang w:val="en-GB"/>
        </w:rPr>
        <w:t xml:space="preserve">. </w:t>
      </w:r>
      <w:r w:rsidRPr="00A960E0">
        <w:rPr>
          <w:rFonts w:cs="Calibri"/>
          <w:lang w:val="en-GB"/>
        </w:rPr>
        <w:t xml:space="preserve">The authors also highlight the requirement for more widespread testing. </w:t>
      </w:r>
      <w:r w:rsidRPr="00A960E0">
        <w:rPr>
          <w:rFonts w:cs="Calibri"/>
        </w:rPr>
        <w:t xml:space="preserve">The safety and feasibility of non-allergist led allergy assessment and testing in critically ill patients has been assessed in a prospective study </w:t>
      </w:r>
      <w:r>
        <w:rPr>
          <w:rFonts w:cs="Calibri"/>
        </w:rPr>
        <w:t>[9]</w:t>
      </w:r>
      <w:r w:rsidRPr="00A960E0">
        <w:rPr>
          <w:rFonts w:cs="Calibri"/>
        </w:rPr>
        <w:t>, with no adverse events reported.</w:t>
      </w:r>
      <w:r w:rsidRPr="00A960E0">
        <w:rPr>
          <w:rFonts w:cs="Calibri"/>
          <w:lang w:val="en-GB"/>
        </w:rPr>
        <w:t xml:space="preserve"> In patients assessed as having a low</w:t>
      </w:r>
      <w:r w:rsidR="009B0743">
        <w:rPr>
          <w:rFonts w:cs="Calibri"/>
          <w:lang w:val="en-GB"/>
        </w:rPr>
        <w:t>-</w:t>
      </w:r>
      <w:r w:rsidRPr="00A960E0">
        <w:rPr>
          <w:rFonts w:cs="Calibri"/>
          <w:lang w:val="en-GB"/>
        </w:rPr>
        <w:t xml:space="preserve">risk allergy label, the risk-benefit profile often favours testing over deferral. </w:t>
      </w:r>
      <w:r w:rsidRPr="00A960E0">
        <w:rPr>
          <w:rFonts w:cs="Calibri"/>
        </w:rPr>
        <w:t xml:space="preserve">Testing is not recommended for patients assessed to be at high risk for allergy and decisions should always be </w:t>
      </w:r>
      <w:proofErr w:type="spellStart"/>
      <w:r w:rsidRPr="00A960E0">
        <w:rPr>
          <w:rFonts w:cs="Calibri"/>
        </w:rPr>
        <w:t>individualised</w:t>
      </w:r>
      <w:proofErr w:type="spellEnd"/>
      <w:r w:rsidRPr="00A960E0">
        <w:rPr>
          <w:rFonts w:cs="Calibri"/>
        </w:rPr>
        <w:t>, ideally involving the patient or their nominated decision-maker. The overarching aim is to avoid denying critically ill patients the benefits of optimal antimicrobial therapy due to inaccurate historical allergy labels.</w:t>
      </w:r>
    </w:p>
    <w:p w14:paraId="1C1ECDE3" w14:textId="77777777" w:rsidR="007F4433" w:rsidRDefault="00765778">
      <w:pPr>
        <w:pStyle w:val="BodyText"/>
      </w:pPr>
      <w:r>
        <w:t>Clinicians may be concerned that the IV route may present a large and rapid drug burden at the site of administration. The IV route is associated with a risk of rapidly evolving reactions, but it is suggested that the IV route, using incremental doses, is easier to control, as symptoms are likely to occur earlier during IV than oral administration and may appear after a smaller dose.</w:t>
      </w:r>
    </w:p>
    <w:p w14:paraId="1C1ECDE4" w14:textId="77777777" w:rsidR="007F4433" w:rsidRDefault="00765778">
      <w:pPr>
        <w:pStyle w:val="BodyText"/>
      </w:pPr>
      <w:r>
        <w:t>Further mitigation may be found from a large administration volume (with rate adjusted to deliver dose), or central administration, where the impact of cardiac output is likely to dilute drug administered at this rate to a concentration commensurate with that found in the portal venous system after an oral dose. Infusion rates for a range of reconstitution volumes are provided in Table 2.</w:t>
      </w:r>
    </w:p>
    <w:p w14:paraId="1C1ECDE5" w14:textId="08F08F9D" w:rsidR="007F4433" w:rsidRDefault="00765778">
      <w:pPr>
        <w:pStyle w:val="BodyText"/>
      </w:pPr>
      <w:r>
        <w:t xml:space="preserve">Small dose increments with no intervals can potentially desensitize and blunt hypersensitivity reactions. We feel this is unlikely to occur with our proposed protocol as it is markedly different to desensitization protocols. The starting rate of our modelled infusion is 12 mg/h compared to 0.006 mg/h for a </w:t>
      </w:r>
      <m:oMath>
        <m:r>
          <w:rPr>
            <w:rFonts w:ascii="Cambria Math" w:hAnsi="Cambria Math"/>
          </w:rPr>
          <m:t>β</m:t>
        </m:r>
      </m:oMath>
      <w:r>
        <w:t xml:space="preserve">-lactam </w:t>
      </w:r>
      <w:proofErr w:type="spellStart"/>
      <w:r>
        <w:t>desensitisation</w:t>
      </w:r>
      <w:proofErr w:type="spellEnd"/>
      <w:r>
        <w:t xml:space="preserve"> protocol [2</w:t>
      </w:r>
      <w:r w:rsidR="007D52CA">
        <w:t>8</w:t>
      </w:r>
      <w:r>
        <w:t>]; our infusion duration is also shorter (90 minutes compared to three hours).</w:t>
      </w:r>
    </w:p>
    <w:p w14:paraId="1C1ECDE6" w14:textId="77777777" w:rsidR="007F4433" w:rsidRDefault="00765778">
      <w:pPr>
        <w:pStyle w:val="BodyText"/>
      </w:pPr>
      <w:r>
        <w:t xml:space="preserve">Guidelines on penicillin allergy assessment and testing in the general population advocate for drug provocation tests without the use of skin </w:t>
      </w:r>
      <w:proofErr w:type="spellStart"/>
      <w:r>
        <w:t>sensitisation</w:t>
      </w:r>
      <w:proofErr w:type="spellEnd"/>
      <w:r>
        <w:t xml:space="preserve"> testing for patients assessed to be low-risk based on their allergy history [6]. Oral drug provocation tests have been shown to have an excellent safety profile in critical care populations [7,8]. We propose that IV drug provocation tests could also be considered for low-risk penicillin allergy in critically ill patients. This would allow more patients to benefit from allergy de-labeling as skin </w:t>
      </w:r>
      <w:proofErr w:type="spellStart"/>
      <w:r>
        <w:t>sensitisation</w:t>
      </w:r>
      <w:proofErr w:type="spellEnd"/>
      <w:r>
        <w:t xml:space="preserve"> testing, typically led by immunology or allergy specialist services, is not readily available at many </w:t>
      </w:r>
      <w:proofErr w:type="spellStart"/>
      <w:r>
        <w:t>centres</w:t>
      </w:r>
      <w:proofErr w:type="spellEnd"/>
      <w:r>
        <w:t>.</w:t>
      </w:r>
    </w:p>
    <w:p w14:paraId="1C1ECDE7" w14:textId="3E1A57B5" w:rsidR="007F4433" w:rsidRDefault="00765778">
      <w:pPr>
        <w:pStyle w:val="BodyText"/>
      </w:pPr>
      <w:r>
        <w:t xml:space="preserve">Our work shares the same limitations of other simulation based science, in that it is dependent on the models used and the precision of the parameter estimates within. </w:t>
      </w:r>
      <w:r w:rsidR="00964BD7">
        <w:t xml:space="preserve">The </w:t>
      </w:r>
      <w:r w:rsidR="00B67875">
        <w:t xml:space="preserve">chosen </w:t>
      </w:r>
      <w:r w:rsidR="00964BD7">
        <w:t xml:space="preserve">models were selected largely on the basis of </w:t>
      </w:r>
      <w:r w:rsidR="00B67875">
        <w:t xml:space="preserve">expert opinion. </w:t>
      </w:r>
      <w:r>
        <w:t xml:space="preserve">Our work is particularly limited by the absence of pharmacokinetic data from oral administration in the critically ill population. However, we do not believe a study to accurately determine the impact of critical illness on absorption kinetics of amoxicillin is likely to be undertaken. The drug is seldom used through this route and such a study would likely require a relatively large sample size to understand the variability in this population. Our model of IV infusion is more robust as it is based on a relatively large pharmacokinetic study. In our view, if a </w:t>
      </w:r>
      <w:r>
        <w:lastRenderedPageBreak/>
        <w:t>clinical study is felt necessary to confirm our simulations, the focus should be on confirming the pharmacometrics and safety of the IV infusion approach.</w:t>
      </w:r>
    </w:p>
    <w:p w14:paraId="1C1ECDE9" w14:textId="1B1751CE" w:rsidR="007F4433" w:rsidRDefault="00765778" w:rsidP="00F224F6">
      <w:pPr>
        <w:pStyle w:val="BodyText"/>
      </w:pPr>
      <w:r>
        <w:t xml:space="preserve">Verification of an individual’s allergy status should form a key part of </w:t>
      </w:r>
      <w:proofErr w:type="spellStart"/>
      <w:r>
        <w:t>optimising</w:t>
      </w:r>
      <w:proofErr w:type="spellEnd"/>
      <w:r>
        <w:t xml:space="preserve"> their care, but may be limited in critical illness by the unreliability of the enteral route and access to specialist allergy services. This study used pharmacokinetic modelling to inform suggested IV infusion rates for critically ill patients</w:t>
      </w:r>
      <w:r w:rsidR="00E77784">
        <w:t>,</w:t>
      </w:r>
      <w:r>
        <w:t xml:space="preserve"> which approximate the concentration-time profile of the amoxicillin dose used in penicillin drug provocation tests in the general population. This could be used to add the option of an IV route to allergy testing protocols and improve access to the benefits of penicillin allergy de-labeling.</w:t>
      </w:r>
    </w:p>
    <w:p w14:paraId="1C1ECDEA" w14:textId="77777777" w:rsidR="007F4433" w:rsidRDefault="00765778">
      <w:pPr>
        <w:pStyle w:val="Heading1"/>
      </w:pPr>
      <w:bookmarkStart w:id="6" w:name="conflict-of-interest-statement"/>
      <w:bookmarkEnd w:id="5"/>
      <w:r>
        <w:rPr>
          <w:rStyle w:val="SectionNumber"/>
        </w:rPr>
        <w:t>7</w:t>
      </w:r>
      <w:r>
        <w:tab/>
        <w:t>Conflict of interest statement</w:t>
      </w:r>
    </w:p>
    <w:p w14:paraId="1C1ECDEB" w14:textId="77777777" w:rsidR="007F4433" w:rsidRDefault="00765778">
      <w:pPr>
        <w:pStyle w:val="FirstParagraph"/>
      </w:pPr>
      <w:r>
        <w:t>None of the authors disclose any conflict of interest directly relevant or directly related to this work.</w:t>
      </w:r>
    </w:p>
    <w:p w14:paraId="1C1ECDEC" w14:textId="77777777" w:rsidR="007F4433" w:rsidRDefault="00765778">
      <w:pPr>
        <w:pStyle w:val="Heading1"/>
      </w:pPr>
      <w:bookmarkStart w:id="7" w:name="funding-information"/>
      <w:bookmarkEnd w:id="6"/>
      <w:r>
        <w:rPr>
          <w:rStyle w:val="SectionNumber"/>
        </w:rPr>
        <w:t>8</w:t>
      </w:r>
      <w:r>
        <w:tab/>
        <w:t>Funding information</w:t>
      </w:r>
    </w:p>
    <w:p w14:paraId="1C1ECDED" w14:textId="77777777" w:rsidR="007F4433" w:rsidRDefault="00765778">
      <w:pPr>
        <w:pStyle w:val="FirstParagraph"/>
      </w:pPr>
      <w:r>
        <w:t>There are no funders to report for this submission.</w:t>
      </w:r>
    </w:p>
    <w:p w14:paraId="1C1ECDEE" w14:textId="77777777" w:rsidR="007F4433" w:rsidRDefault="00765778">
      <w:pPr>
        <w:pStyle w:val="Heading1"/>
      </w:pPr>
      <w:bookmarkStart w:id="8" w:name="data-availability-statement"/>
      <w:bookmarkEnd w:id="7"/>
      <w:r>
        <w:rPr>
          <w:rStyle w:val="SectionNumber"/>
        </w:rPr>
        <w:t>9</w:t>
      </w:r>
      <w:r>
        <w:tab/>
        <w:t>Data availability statement</w:t>
      </w:r>
    </w:p>
    <w:p w14:paraId="1C1ECDEF" w14:textId="77777777" w:rsidR="007F4433" w:rsidRDefault="00765778">
      <w:pPr>
        <w:pStyle w:val="FirstParagraph"/>
      </w:pPr>
      <w:r>
        <w:t>R markdown file available in article supplementary material.</w:t>
      </w:r>
    </w:p>
    <w:p w14:paraId="1C1ECDF0" w14:textId="77777777" w:rsidR="007F4433" w:rsidRDefault="00765778">
      <w:r>
        <w:br w:type="page"/>
      </w:r>
    </w:p>
    <w:p w14:paraId="1C1ECDF1" w14:textId="77777777" w:rsidR="007F4433" w:rsidRDefault="00765778">
      <w:pPr>
        <w:pStyle w:val="Heading1"/>
      </w:pPr>
      <w:bookmarkStart w:id="9" w:name="tables"/>
      <w:bookmarkEnd w:id="8"/>
      <w:r>
        <w:rPr>
          <w:rStyle w:val="SectionNumber"/>
        </w:rPr>
        <w:lastRenderedPageBreak/>
        <w:t>10</w:t>
      </w:r>
      <w:r>
        <w:tab/>
        <w:t>Tables</w:t>
      </w:r>
    </w:p>
    <w:p w14:paraId="1C1ECDF2" w14:textId="77777777" w:rsidR="007F4433" w:rsidRDefault="00765778">
      <w:pPr>
        <w:pStyle w:val="FirstParagraph"/>
      </w:pPr>
      <w:r>
        <w:rPr>
          <w:i/>
          <w:iCs/>
        </w:rPr>
        <w:t xml:space="preserve">Table 1: Summary pharmacokinetics from three simulated amoxicillin experiments. </w:t>
      </w:r>
      <m:oMath>
        <m:sSub>
          <m:sSubPr>
            <m:ctrlPr>
              <w:rPr>
                <w:rFonts w:ascii="Cambria Math" w:hAnsi="Cambria Math"/>
              </w:rPr>
            </m:ctrlPr>
          </m:sSubPr>
          <m:e>
            <m:r>
              <w:rPr>
                <w:rFonts w:ascii="Cambria Math" w:hAnsi="Cambria Math"/>
              </w:rPr>
              <m:t>C</m:t>
            </m:r>
          </m:e>
          <m:sub>
            <m:r>
              <w:rPr>
                <w:rFonts w:ascii="Cambria Math" w:hAnsi="Cambria Math"/>
              </w:rPr>
              <m:t>max</m:t>
            </m:r>
          </m:sub>
        </m:sSub>
      </m:oMath>
      <w:r>
        <w:rPr>
          <w:i/>
          <w:iCs/>
        </w:rPr>
        <w:t xml:space="preserve"> is maximum concentration, </w:t>
      </w:r>
      <m:oMath>
        <m:sSub>
          <m:sSubPr>
            <m:ctrlPr>
              <w:rPr>
                <w:rFonts w:ascii="Cambria Math" w:hAnsi="Cambria Math"/>
              </w:rPr>
            </m:ctrlPr>
          </m:sSubPr>
          <m:e>
            <m:r>
              <w:rPr>
                <w:rFonts w:ascii="Cambria Math" w:hAnsi="Cambria Math"/>
              </w:rPr>
              <m:t>T</m:t>
            </m:r>
          </m:e>
          <m:sub>
            <m:r>
              <w:rPr>
                <w:rFonts w:ascii="Cambria Math" w:hAnsi="Cambria Math"/>
              </w:rPr>
              <m:t>max</m:t>
            </m:r>
          </m:sub>
        </m:sSub>
      </m:oMath>
      <w:r>
        <w:rPr>
          <w:i/>
          <w:iCs/>
        </w:rPr>
        <w:t xml:space="preserve"> is time from administration to maximum concentration, AUC is area under the concentration curve for a single dose.</w:t>
      </w:r>
    </w:p>
    <w:tbl>
      <w:tblPr>
        <w:tblStyle w:val="Table"/>
        <w:tblW w:w="0" w:type="auto"/>
        <w:jc w:val="center"/>
        <w:tblCellMar>
          <w:top w:w="57" w:type="dxa"/>
          <w:left w:w="60" w:type="dxa"/>
          <w:bottom w:w="57" w:type="dxa"/>
          <w:right w:w="60" w:type="dxa"/>
        </w:tblCellMar>
        <w:tblLook w:val="0000" w:firstRow="0" w:lastRow="0" w:firstColumn="0" w:lastColumn="0" w:noHBand="0" w:noVBand="0"/>
      </w:tblPr>
      <w:tblGrid>
        <w:gridCol w:w="2236"/>
        <w:gridCol w:w="2102"/>
        <w:gridCol w:w="2241"/>
        <w:gridCol w:w="2901"/>
      </w:tblGrid>
      <w:tr w:rsidR="00372E48" w:rsidRPr="00A960E0" w14:paraId="6F328C77" w14:textId="77777777" w:rsidTr="00A960E0">
        <w:trPr>
          <w:cantSplit/>
          <w:tblHeader/>
          <w:jc w:val="center"/>
        </w:trPr>
        <w:tc>
          <w:tcPr>
            <w:tcW w:w="0" w:type="auto"/>
            <w:vMerge w:val="restart"/>
            <w:tcBorders>
              <w:top w:val="single" w:sz="18" w:space="0" w:color="D3D3D3"/>
              <w:left w:val="single" w:sz="2" w:space="0" w:color="D3D3D3"/>
              <w:bottom w:val="single" w:sz="18" w:space="0" w:color="D3D3D3"/>
              <w:right w:val="single" w:sz="4" w:space="0" w:color="auto"/>
            </w:tcBorders>
            <w:vAlign w:val="center"/>
          </w:tcPr>
          <w:p w14:paraId="3833887C" w14:textId="4430EAB3" w:rsidR="00372E48" w:rsidRPr="00A960E0" w:rsidRDefault="00372E48" w:rsidP="00A960E0">
            <w:pPr>
              <w:keepNext/>
              <w:spacing w:after="60"/>
              <w:jc w:val="center"/>
              <w:rPr>
                <w:rFonts w:ascii="Arial" w:hAnsi="Arial" w:cs="Arial"/>
                <w:b/>
                <w:sz w:val="22"/>
                <w:szCs w:val="28"/>
              </w:rPr>
            </w:pPr>
            <w:r w:rsidRPr="00A960E0">
              <w:rPr>
                <w:rFonts w:ascii="Arial" w:hAnsi="Arial" w:cs="Arial"/>
                <w:b/>
                <w:sz w:val="22"/>
                <w:szCs w:val="28"/>
              </w:rPr>
              <w:t>Pharmacokinetic parameter</w:t>
            </w:r>
          </w:p>
        </w:tc>
        <w:tc>
          <w:tcPr>
            <w:tcW w:w="0" w:type="auto"/>
            <w:gridSpan w:val="3"/>
            <w:tcBorders>
              <w:top w:val="single" w:sz="18" w:space="0" w:color="D3D3D3"/>
              <w:left w:val="single" w:sz="4" w:space="0" w:color="auto"/>
              <w:bottom w:val="single" w:sz="4" w:space="0" w:color="auto"/>
              <w:right w:val="single" w:sz="2" w:space="0" w:color="D3D3D3"/>
            </w:tcBorders>
          </w:tcPr>
          <w:p w14:paraId="259C1085" w14:textId="36D8C277" w:rsidR="00372E48" w:rsidRPr="00A960E0" w:rsidRDefault="00372E48">
            <w:pPr>
              <w:keepNext/>
              <w:spacing w:after="60"/>
              <w:jc w:val="center"/>
              <w:rPr>
                <w:rFonts w:ascii="Arial" w:hAnsi="Arial" w:cs="Arial"/>
                <w:b/>
                <w:sz w:val="22"/>
                <w:szCs w:val="28"/>
              </w:rPr>
            </w:pPr>
            <w:r w:rsidRPr="00A960E0">
              <w:rPr>
                <w:rFonts w:ascii="Arial" w:hAnsi="Arial" w:cs="Arial"/>
                <w:b/>
                <w:sz w:val="22"/>
                <w:szCs w:val="28"/>
              </w:rPr>
              <w:t>Simulated scenario</w:t>
            </w:r>
          </w:p>
        </w:tc>
      </w:tr>
      <w:tr w:rsidR="00372E48" w:rsidRPr="00A960E0" w14:paraId="1C1ECDF7" w14:textId="77777777" w:rsidTr="00A960E0">
        <w:trPr>
          <w:cantSplit/>
          <w:tblHeader/>
          <w:jc w:val="center"/>
        </w:trPr>
        <w:tc>
          <w:tcPr>
            <w:tcW w:w="0" w:type="auto"/>
            <w:vMerge/>
            <w:tcBorders>
              <w:left w:val="single" w:sz="2" w:space="0" w:color="D3D3D3"/>
              <w:bottom w:val="single" w:sz="18" w:space="0" w:color="D3D3D3"/>
              <w:right w:val="single" w:sz="4" w:space="0" w:color="auto"/>
            </w:tcBorders>
          </w:tcPr>
          <w:p w14:paraId="1C1ECDF3" w14:textId="58C42CD1" w:rsidR="00372E48" w:rsidRPr="00A960E0" w:rsidRDefault="00372E48">
            <w:pPr>
              <w:keepNext/>
              <w:spacing w:after="60"/>
              <w:rPr>
                <w:rFonts w:ascii="Arial" w:hAnsi="Arial" w:cs="Arial"/>
                <w:sz w:val="22"/>
                <w:szCs w:val="28"/>
              </w:rPr>
            </w:pPr>
          </w:p>
        </w:tc>
        <w:tc>
          <w:tcPr>
            <w:tcW w:w="0" w:type="auto"/>
            <w:tcBorders>
              <w:top w:val="single" w:sz="4" w:space="0" w:color="auto"/>
              <w:left w:val="single" w:sz="4" w:space="0" w:color="auto"/>
              <w:bottom w:val="single" w:sz="16" w:space="0" w:color="D3D3D3"/>
            </w:tcBorders>
          </w:tcPr>
          <w:p w14:paraId="1C1ECDF4" w14:textId="77777777" w:rsidR="00372E48" w:rsidRPr="00A960E0" w:rsidRDefault="00372E48">
            <w:pPr>
              <w:keepNext/>
              <w:spacing w:after="60"/>
              <w:jc w:val="center"/>
              <w:rPr>
                <w:rFonts w:ascii="Arial" w:hAnsi="Arial" w:cs="Arial"/>
                <w:sz w:val="22"/>
                <w:szCs w:val="28"/>
              </w:rPr>
            </w:pPr>
            <w:r w:rsidRPr="00A960E0">
              <w:rPr>
                <w:rFonts w:ascii="Arial" w:hAnsi="Arial" w:cs="Arial"/>
                <w:b/>
                <w:sz w:val="22"/>
                <w:szCs w:val="28"/>
              </w:rPr>
              <w:t>General population (oral)</w:t>
            </w:r>
            <w:r w:rsidRPr="00A960E0">
              <w:rPr>
                <w:rFonts w:ascii="Arial" w:hAnsi="Arial" w:cs="Arial"/>
                <w:sz w:val="22"/>
                <w:szCs w:val="28"/>
              </w:rPr>
              <w:t xml:space="preserve"> N = 10,000</w:t>
            </w:r>
            <w:r w:rsidRPr="00A960E0">
              <w:rPr>
                <w:rFonts w:ascii="Arial" w:hAnsi="Arial" w:cs="Arial"/>
                <w:i/>
                <w:sz w:val="22"/>
                <w:szCs w:val="28"/>
                <w:vertAlign w:val="superscript"/>
              </w:rPr>
              <w:t>1</w:t>
            </w:r>
          </w:p>
        </w:tc>
        <w:tc>
          <w:tcPr>
            <w:tcW w:w="0" w:type="auto"/>
            <w:tcBorders>
              <w:top w:val="single" w:sz="4" w:space="0" w:color="auto"/>
              <w:bottom w:val="single" w:sz="16" w:space="0" w:color="D3D3D3"/>
            </w:tcBorders>
          </w:tcPr>
          <w:p w14:paraId="1C1ECDF5" w14:textId="77777777" w:rsidR="00372E48" w:rsidRPr="00A960E0" w:rsidRDefault="00372E48">
            <w:pPr>
              <w:keepNext/>
              <w:spacing w:after="60"/>
              <w:jc w:val="center"/>
              <w:rPr>
                <w:rFonts w:ascii="Arial" w:hAnsi="Arial" w:cs="Arial"/>
                <w:sz w:val="22"/>
                <w:szCs w:val="28"/>
              </w:rPr>
            </w:pPr>
            <w:r w:rsidRPr="00A960E0">
              <w:rPr>
                <w:rFonts w:ascii="Arial" w:hAnsi="Arial" w:cs="Arial"/>
                <w:b/>
                <w:sz w:val="22"/>
                <w:szCs w:val="28"/>
              </w:rPr>
              <w:t>Critical care population (oral)</w:t>
            </w:r>
            <w:r w:rsidRPr="00A960E0">
              <w:rPr>
                <w:rFonts w:ascii="Arial" w:hAnsi="Arial" w:cs="Arial"/>
                <w:sz w:val="22"/>
                <w:szCs w:val="28"/>
              </w:rPr>
              <w:t xml:space="preserve"> N = 10,000</w:t>
            </w:r>
            <w:r w:rsidRPr="00A960E0">
              <w:rPr>
                <w:rFonts w:ascii="Arial" w:hAnsi="Arial" w:cs="Arial"/>
                <w:i/>
                <w:sz w:val="22"/>
                <w:szCs w:val="28"/>
                <w:vertAlign w:val="superscript"/>
              </w:rPr>
              <w:t>1</w:t>
            </w:r>
          </w:p>
        </w:tc>
        <w:tc>
          <w:tcPr>
            <w:tcW w:w="0" w:type="auto"/>
            <w:tcBorders>
              <w:top w:val="single" w:sz="4" w:space="0" w:color="auto"/>
              <w:bottom w:val="single" w:sz="16" w:space="0" w:color="D3D3D3"/>
              <w:right w:val="single" w:sz="0" w:space="0" w:color="D3D3D3"/>
            </w:tcBorders>
          </w:tcPr>
          <w:p w14:paraId="1C1ECDF6" w14:textId="77777777" w:rsidR="00372E48" w:rsidRPr="00A960E0" w:rsidRDefault="00372E48">
            <w:pPr>
              <w:keepNext/>
              <w:spacing w:after="60"/>
              <w:jc w:val="center"/>
              <w:rPr>
                <w:rFonts w:ascii="Arial" w:hAnsi="Arial" w:cs="Arial"/>
                <w:sz w:val="22"/>
                <w:szCs w:val="28"/>
              </w:rPr>
            </w:pPr>
            <w:r w:rsidRPr="00A960E0">
              <w:rPr>
                <w:rFonts w:ascii="Arial" w:hAnsi="Arial" w:cs="Arial"/>
                <w:b/>
                <w:sz w:val="22"/>
                <w:szCs w:val="28"/>
              </w:rPr>
              <w:t>Critical care population (IV variable-rate infusion)</w:t>
            </w:r>
            <w:r w:rsidRPr="00A960E0">
              <w:rPr>
                <w:rFonts w:ascii="Arial" w:hAnsi="Arial" w:cs="Arial"/>
                <w:sz w:val="22"/>
                <w:szCs w:val="28"/>
              </w:rPr>
              <w:t xml:space="preserve"> N = 10,000</w:t>
            </w:r>
            <w:r w:rsidRPr="00A960E0">
              <w:rPr>
                <w:rFonts w:ascii="Arial" w:hAnsi="Arial" w:cs="Arial"/>
                <w:i/>
                <w:sz w:val="22"/>
                <w:szCs w:val="28"/>
                <w:vertAlign w:val="superscript"/>
              </w:rPr>
              <w:t>1</w:t>
            </w:r>
          </w:p>
        </w:tc>
      </w:tr>
      <w:tr w:rsidR="007F4433" w:rsidRPr="00A960E0" w14:paraId="1C1ECDFC" w14:textId="77777777" w:rsidTr="00A960E0">
        <w:trPr>
          <w:cantSplit/>
          <w:jc w:val="center"/>
        </w:trPr>
        <w:tc>
          <w:tcPr>
            <w:tcW w:w="0" w:type="auto"/>
            <w:tcBorders>
              <w:top w:val="single" w:sz="18" w:space="0" w:color="D3D3D3"/>
              <w:left w:val="single" w:sz="0" w:space="0" w:color="D3D3D3"/>
              <w:bottom w:val="single" w:sz="0" w:space="0" w:color="D3D3D3"/>
              <w:right w:val="single" w:sz="0" w:space="0" w:color="D3D3D3"/>
            </w:tcBorders>
          </w:tcPr>
          <w:p w14:paraId="1C1ECDF8" w14:textId="77777777" w:rsidR="007F4433" w:rsidRPr="00A960E0" w:rsidRDefault="00765778">
            <w:pPr>
              <w:keepNext/>
              <w:spacing w:after="60"/>
              <w:rPr>
                <w:rFonts w:ascii="Arial" w:hAnsi="Arial" w:cs="Arial"/>
                <w:sz w:val="22"/>
                <w:szCs w:val="28"/>
              </w:rPr>
            </w:pPr>
            <w:proofErr w:type="spellStart"/>
            <w:r w:rsidRPr="00A960E0">
              <w:rPr>
                <w:rFonts w:ascii="Arial" w:hAnsi="Arial" w:cs="Arial"/>
                <w:sz w:val="22"/>
                <w:szCs w:val="28"/>
              </w:rPr>
              <w:t>C</w:t>
            </w:r>
            <w:r w:rsidRPr="00A960E0">
              <w:rPr>
                <w:rFonts w:ascii="Arial" w:hAnsi="Arial" w:cs="Arial"/>
                <w:sz w:val="22"/>
                <w:szCs w:val="28"/>
                <w:vertAlign w:val="subscript"/>
              </w:rPr>
              <w:t>max</w:t>
            </w:r>
            <w:proofErr w:type="spellEnd"/>
            <w:r w:rsidRPr="00A960E0">
              <w:rPr>
                <w:rFonts w:ascii="Arial" w:hAnsi="Arial" w:cs="Arial"/>
                <w:sz w:val="22"/>
                <w:szCs w:val="28"/>
              </w:rPr>
              <w:t xml:space="preserve"> (mg/L)</w:t>
            </w:r>
          </w:p>
        </w:tc>
        <w:tc>
          <w:tcPr>
            <w:tcW w:w="0" w:type="auto"/>
            <w:tcBorders>
              <w:top w:val="single" w:sz="0" w:space="0" w:color="D3D3D3"/>
              <w:left w:val="single" w:sz="0" w:space="0" w:color="D3D3D3"/>
              <w:bottom w:val="single" w:sz="0" w:space="0" w:color="D3D3D3"/>
              <w:right w:val="single" w:sz="0" w:space="0" w:color="D3D3D3"/>
            </w:tcBorders>
          </w:tcPr>
          <w:p w14:paraId="1C1ECDF9" w14:textId="77777777" w:rsidR="007F4433" w:rsidRPr="00A960E0" w:rsidRDefault="00765778">
            <w:pPr>
              <w:keepNext/>
              <w:spacing w:after="60"/>
              <w:jc w:val="center"/>
              <w:rPr>
                <w:rFonts w:ascii="Arial" w:hAnsi="Arial" w:cs="Arial"/>
                <w:sz w:val="22"/>
                <w:szCs w:val="28"/>
              </w:rPr>
            </w:pPr>
            <w:r w:rsidRPr="00A960E0">
              <w:rPr>
                <w:rFonts w:ascii="Arial" w:hAnsi="Arial" w:cs="Arial"/>
                <w:sz w:val="22"/>
                <w:szCs w:val="28"/>
              </w:rPr>
              <w:t>6.65 (3.10, 13.38)</w:t>
            </w:r>
          </w:p>
        </w:tc>
        <w:tc>
          <w:tcPr>
            <w:tcW w:w="0" w:type="auto"/>
            <w:tcBorders>
              <w:top w:val="single" w:sz="0" w:space="0" w:color="D3D3D3"/>
              <w:left w:val="single" w:sz="0" w:space="0" w:color="D3D3D3"/>
              <w:bottom w:val="single" w:sz="0" w:space="0" w:color="D3D3D3"/>
              <w:right w:val="single" w:sz="0" w:space="0" w:color="D3D3D3"/>
            </w:tcBorders>
          </w:tcPr>
          <w:p w14:paraId="1C1ECDFA" w14:textId="77777777" w:rsidR="007F4433" w:rsidRPr="00A960E0" w:rsidRDefault="00765778">
            <w:pPr>
              <w:keepNext/>
              <w:spacing w:after="60"/>
              <w:jc w:val="center"/>
              <w:rPr>
                <w:rFonts w:ascii="Arial" w:hAnsi="Arial" w:cs="Arial"/>
                <w:sz w:val="22"/>
                <w:szCs w:val="28"/>
              </w:rPr>
            </w:pPr>
            <w:r w:rsidRPr="00A960E0">
              <w:rPr>
                <w:rFonts w:ascii="Arial" w:hAnsi="Arial" w:cs="Arial"/>
                <w:sz w:val="22"/>
                <w:szCs w:val="28"/>
              </w:rPr>
              <w:t>4.86 (2.11, 10.67)</w:t>
            </w:r>
          </w:p>
        </w:tc>
        <w:tc>
          <w:tcPr>
            <w:tcW w:w="0" w:type="auto"/>
            <w:tcBorders>
              <w:top w:val="single" w:sz="0" w:space="0" w:color="D3D3D3"/>
              <w:left w:val="single" w:sz="0" w:space="0" w:color="D3D3D3"/>
              <w:bottom w:val="single" w:sz="0" w:space="0" w:color="D3D3D3"/>
              <w:right w:val="single" w:sz="0" w:space="0" w:color="D3D3D3"/>
            </w:tcBorders>
          </w:tcPr>
          <w:p w14:paraId="1C1ECDFB" w14:textId="77777777" w:rsidR="007F4433" w:rsidRPr="00A960E0" w:rsidRDefault="00765778">
            <w:pPr>
              <w:keepNext/>
              <w:spacing w:after="60"/>
              <w:jc w:val="center"/>
              <w:rPr>
                <w:rFonts w:ascii="Arial" w:hAnsi="Arial" w:cs="Arial"/>
                <w:sz w:val="22"/>
                <w:szCs w:val="28"/>
              </w:rPr>
            </w:pPr>
            <w:r w:rsidRPr="00A960E0">
              <w:rPr>
                <w:rFonts w:ascii="Arial" w:hAnsi="Arial" w:cs="Arial"/>
                <w:sz w:val="22"/>
                <w:szCs w:val="28"/>
              </w:rPr>
              <w:t>6.27 (4.38, 8.26)</w:t>
            </w:r>
          </w:p>
        </w:tc>
      </w:tr>
      <w:tr w:rsidR="007F4433" w:rsidRPr="00A960E0" w14:paraId="1C1ECE01" w14:textId="77777777" w:rsidTr="00A960E0">
        <w:trPr>
          <w:cantSplit/>
          <w:jc w:val="center"/>
        </w:trPr>
        <w:tc>
          <w:tcPr>
            <w:tcW w:w="0" w:type="auto"/>
            <w:tcBorders>
              <w:top w:val="single" w:sz="0" w:space="0" w:color="D3D3D3"/>
              <w:left w:val="single" w:sz="0" w:space="0" w:color="D3D3D3"/>
              <w:bottom w:val="single" w:sz="0" w:space="0" w:color="D3D3D3"/>
              <w:right w:val="single" w:sz="0" w:space="0" w:color="D3D3D3"/>
            </w:tcBorders>
          </w:tcPr>
          <w:p w14:paraId="1C1ECDFD" w14:textId="77777777" w:rsidR="007F4433" w:rsidRPr="00A960E0" w:rsidRDefault="00765778">
            <w:pPr>
              <w:keepNext/>
              <w:spacing w:after="60"/>
              <w:rPr>
                <w:rFonts w:ascii="Arial" w:hAnsi="Arial" w:cs="Arial"/>
                <w:sz w:val="22"/>
                <w:szCs w:val="28"/>
              </w:rPr>
            </w:pPr>
            <w:proofErr w:type="spellStart"/>
            <w:r w:rsidRPr="00A960E0">
              <w:rPr>
                <w:rFonts w:ascii="Arial" w:hAnsi="Arial" w:cs="Arial"/>
                <w:sz w:val="22"/>
                <w:szCs w:val="28"/>
              </w:rPr>
              <w:t>T</w:t>
            </w:r>
            <w:r w:rsidRPr="00A960E0">
              <w:rPr>
                <w:rFonts w:ascii="Arial" w:hAnsi="Arial" w:cs="Arial"/>
                <w:sz w:val="22"/>
                <w:szCs w:val="28"/>
                <w:vertAlign w:val="subscript"/>
              </w:rPr>
              <w:t>max</w:t>
            </w:r>
            <w:proofErr w:type="spellEnd"/>
            <w:r w:rsidRPr="00A960E0">
              <w:rPr>
                <w:rFonts w:ascii="Arial" w:hAnsi="Arial" w:cs="Arial"/>
                <w:sz w:val="22"/>
                <w:szCs w:val="28"/>
              </w:rPr>
              <w:t xml:space="preserve"> (hours)</w:t>
            </w:r>
          </w:p>
        </w:tc>
        <w:tc>
          <w:tcPr>
            <w:tcW w:w="0" w:type="auto"/>
            <w:tcBorders>
              <w:top w:val="single" w:sz="0" w:space="0" w:color="D3D3D3"/>
              <w:left w:val="single" w:sz="0" w:space="0" w:color="D3D3D3"/>
              <w:bottom w:val="single" w:sz="0" w:space="0" w:color="D3D3D3"/>
              <w:right w:val="single" w:sz="0" w:space="0" w:color="D3D3D3"/>
            </w:tcBorders>
          </w:tcPr>
          <w:p w14:paraId="1C1ECDFE" w14:textId="77777777" w:rsidR="007F4433" w:rsidRPr="00A960E0" w:rsidRDefault="00765778">
            <w:pPr>
              <w:keepNext/>
              <w:spacing w:after="60"/>
              <w:jc w:val="center"/>
              <w:rPr>
                <w:rFonts w:ascii="Arial" w:hAnsi="Arial" w:cs="Arial"/>
                <w:sz w:val="22"/>
                <w:szCs w:val="28"/>
              </w:rPr>
            </w:pPr>
            <w:r w:rsidRPr="00A960E0">
              <w:rPr>
                <w:rFonts w:ascii="Arial" w:hAnsi="Arial" w:cs="Arial"/>
                <w:sz w:val="22"/>
                <w:szCs w:val="28"/>
              </w:rPr>
              <w:t>1.25 (0.75, 2.25)</w:t>
            </w:r>
          </w:p>
        </w:tc>
        <w:tc>
          <w:tcPr>
            <w:tcW w:w="0" w:type="auto"/>
            <w:tcBorders>
              <w:top w:val="single" w:sz="0" w:space="0" w:color="D3D3D3"/>
              <w:left w:val="single" w:sz="0" w:space="0" w:color="D3D3D3"/>
              <w:bottom w:val="single" w:sz="0" w:space="0" w:color="D3D3D3"/>
              <w:right w:val="single" w:sz="0" w:space="0" w:color="D3D3D3"/>
            </w:tcBorders>
          </w:tcPr>
          <w:p w14:paraId="1C1ECDFF" w14:textId="77777777" w:rsidR="007F4433" w:rsidRPr="00A960E0" w:rsidRDefault="00765778">
            <w:pPr>
              <w:keepNext/>
              <w:spacing w:after="60"/>
              <w:jc w:val="center"/>
              <w:rPr>
                <w:rFonts w:ascii="Arial" w:hAnsi="Arial" w:cs="Arial"/>
                <w:sz w:val="22"/>
                <w:szCs w:val="28"/>
              </w:rPr>
            </w:pPr>
            <w:r w:rsidRPr="00A960E0">
              <w:rPr>
                <w:rFonts w:ascii="Arial" w:hAnsi="Arial" w:cs="Arial"/>
                <w:sz w:val="22"/>
                <w:szCs w:val="28"/>
              </w:rPr>
              <w:t>2.25 (1.25, 4.13)</w:t>
            </w:r>
          </w:p>
        </w:tc>
        <w:tc>
          <w:tcPr>
            <w:tcW w:w="0" w:type="auto"/>
            <w:tcBorders>
              <w:top w:val="single" w:sz="0" w:space="0" w:color="D3D3D3"/>
              <w:left w:val="single" w:sz="0" w:space="0" w:color="D3D3D3"/>
              <w:bottom w:val="single" w:sz="0" w:space="0" w:color="D3D3D3"/>
              <w:right w:val="single" w:sz="0" w:space="0" w:color="D3D3D3"/>
            </w:tcBorders>
          </w:tcPr>
          <w:p w14:paraId="1C1ECE00" w14:textId="77777777" w:rsidR="007F4433" w:rsidRPr="00A960E0" w:rsidRDefault="00765778">
            <w:pPr>
              <w:keepNext/>
              <w:spacing w:after="60"/>
              <w:jc w:val="center"/>
              <w:rPr>
                <w:rFonts w:ascii="Arial" w:hAnsi="Arial" w:cs="Arial"/>
                <w:sz w:val="22"/>
                <w:szCs w:val="28"/>
              </w:rPr>
            </w:pPr>
            <w:r w:rsidRPr="00A960E0">
              <w:rPr>
                <w:rFonts w:ascii="Arial" w:hAnsi="Arial" w:cs="Arial"/>
                <w:sz w:val="22"/>
                <w:szCs w:val="28"/>
              </w:rPr>
              <w:t>1.50 (1.50, 1.50)</w:t>
            </w:r>
          </w:p>
        </w:tc>
      </w:tr>
      <w:tr w:rsidR="007F4433" w:rsidRPr="00A960E0" w14:paraId="1C1ECE06" w14:textId="77777777" w:rsidTr="00A960E0">
        <w:trPr>
          <w:cantSplit/>
          <w:jc w:val="center"/>
        </w:trPr>
        <w:tc>
          <w:tcPr>
            <w:tcW w:w="0" w:type="auto"/>
            <w:tcBorders>
              <w:top w:val="single" w:sz="0" w:space="0" w:color="D3D3D3"/>
              <w:left w:val="single" w:sz="0" w:space="0" w:color="D3D3D3"/>
              <w:bottom w:val="single" w:sz="0" w:space="0" w:color="D3D3D3"/>
              <w:right w:val="single" w:sz="0" w:space="0" w:color="D3D3D3"/>
            </w:tcBorders>
          </w:tcPr>
          <w:p w14:paraId="1C1ECE02" w14:textId="77777777" w:rsidR="007F4433" w:rsidRPr="00A960E0" w:rsidRDefault="00765778">
            <w:pPr>
              <w:keepNext/>
              <w:spacing w:after="60"/>
              <w:rPr>
                <w:rFonts w:ascii="Arial" w:hAnsi="Arial" w:cs="Arial"/>
                <w:sz w:val="22"/>
                <w:szCs w:val="28"/>
              </w:rPr>
            </w:pPr>
            <w:r w:rsidRPr="00A960E0">
              <w:rPr>
                <w:rFonts w:ascii="Arial" w:hAnsi="Arial" w:cs="Arial"/>
                <w:sz w:val="22"/>
                <w:szCs w:val="28"/>
              </w:rPr>
              <w:t>AUC (</w:t>
            </w:r>
            <w:proofErr w:type="spellStart"/>
            <w:r w:rsidRPr="00A960E0">
              <w:rPr>
                <w:rFonts w:ascii="Arial" w:hAnsi="Arial" w:cs="Arial"/>
                <w:sz w:val="22"/>
                <w:szCs w:val="28"/>
              </w:rPr>
              <w:t>mg.h</w:t>
            </w:r>
            <w:proofErr w:type="spellEnd"/>
            <w:r w:rsidRPr="00A960E0">
              <w:rPr>
                <w:rFonts w:ascii="Arial" w:hAnsi="Arial" w:cs="Arial"/>
                <w:sz w:val="22"/>
                <w:szCs w:val="28"/>
              </w:rPr>
              <w:t>/L)</w:t>
            </w:r>
          </w:p>
        </w:tc>
        <w:tc>
          <w:tcPr>
            <w:tcW w:w="0" w:type="auto"/>
            <w:tcBorders>
              <w:top w:val="single" w:sz="0" w:space="0" w:color="D3D3D3"/>
              <w:left w:val="single" w:sz="0" w:space="0" w:color="D3D3D3"/>
              <w:bottom w:val="single" w:sz="0" w:space="0" w:color="D3D3D3"/>
              <w:right w:val="single" w:sz="0" w:space="0" w:color="D3D3D3"/>
            </w:tcBorders>
          </w:tcPr>
          <w:p w14:paraId="1C1ECE03" w14:textId="77777777" w:rsidR="007F4433" w:rsidRPr="00A960E0" w:rsidRDefault="00765778">
            <w:pPr>
              <w:keepNext/>
              <w:spacing w:after="60"/>
              <w:jc w:val="center"/>
              <w:rPr>
                <w:rFonts w:ascii="Arial" w:hAnsi="Arial" w:cs="Arial"/>
                <w:sz w:val="22"/>
                <w:szCs w:val="28"/>
              </w:rPr>
            </w:pPr>
            <w:r w:rsidRPr="00A960E0">
              <w:rPr>
                <w:rFonts w:ascii="Arial" w:hAnsi="Arial" w:cs="Arial"/>
                <w:sz w:val="22"/>
                <w:szCs w:val="28"/>
              </w:rPr>
              <w:t>16 (8, 33)</w:t>
            </w:r>
          </w:p>
        </w:tc>
        <w:tc>
          <w:tcPr>
            <w:tcW w:w="0" w:type="auto"/>
            <w:tcBorders>
              <w:top w:val="single" w:sz="0" w:space="0" w:color="D3D3D3"/>
              <w:left w:val="single" w:sz="0" w:space="0" w:color="D3D3D3"/>
              <w:bottom w:val="single" w:sz="0" w:space="0" w:color="D3D3D3"/>
              <w:right w:val="single" w:sz="0" w:space="0" w:color="D3D3D3"/>
            </w:tcBorders>
          </w:tcPr>
          <w:p w14:paraId="1C1ECE04" w14:textId="77777777" w:rsidR="007F4433" w:rsidRPr="00A960E0" w:rsidRDefault="00765778">
            <w:pPr>
              <w:keepNext/>
              <w:spacing w:after="60"/>
              <w:jc w:val="center"/>
              <w:rPr>
                <w:rFonts w:ascii="Arial" w:hAnsi="Arial" w:cs="Arial"/>
                <w:sz w:val="22"/>
                <w:szCs w:val="28"/>
              </w:rPr>
            </w:pPr>
            <w:r w:rsidRPr="00A960E0">
              <w:rPr>
                <w:rFonts w:ascii="Arial" w:hAnsi="Arial" w:cs="Arial"/>
                <w:sz w:val="22"/>
                <w:szCs w:val="28"/>
              </w:rPr>
              <w:t>18 (8, 41)</w:t>
            </w:r>
          </w:p>
        </w:tc>
        <w:tc>
          <w:tcPr>
            <w:tcW w:w="0" w:type="auto"/>
            <w:tcBorders>
              <w:top w:val="single" w:sz="0" w:space="0" w:color="D3D3D3"/>
              <w:left w:val="single" w:sz="0" w:space="0" w:color="D3D3D3"/>
              <w:bottom w:val="single" w:sz="0" w:space="0" w:color="D3D3D3"/>
              <w:right w:val="single" w:sz="0" w:space="0" w:color="D3D3D3"/>
            </w:tcBorders>
          </w:tcPr>
          <w:p w14:paraId="1C1ECE05" w14:textId="77777777" w:rsidR="007F4433" w:rsidRPr="00A960E0" w:rsidRDefault="00765778">
            <w:pPr>
              <w:keepNext/>
              <w:spacing w:after="60"/>
              <w:jc w:val="center"/>
              <w:rPr>
                <w:rFonts w:ascii="Arial" w:hAnsi="Arial" w:cs="Arial"/>
                <w:sz w:val="22"/>
                <w:szCs w:val="28"/>
              </w:rPr>
            </w:pPr>
            <w:r w:rsidRPr="00A960E0">
              <w:rPr>
                <w:rFonts w:ascii="Arial" w:hAnsi="Arial" w:cs="Arial"/>
                <w:sz w:val="22"/>
                <w:szCs w:val="28"/>
              </w:rPr>
              <w:t>13 (7, 24)</w:t>
            </w:r>
          </w:p>
        </w:tc>
      </w:tr>
      <w:tr w:rsidR="007F4433" w:rsidRPr="00A960E0" w14:paraId="1C1ECE08" w14:textId="77777777" w:rsidTr="00A960E0">
        <w:trPr>
          <w:cantSplit/>
          <w:jc w:val="center"/>
        </w:trPr>
        <w:tc>
          <w:tcPr>
            <w:tcW w:w="0" w:type="auto"/>
            <w:gridSpan w:val="4"/>
          </w:tcPr>
          <w:p w14:paraId="1C1ECE07" w14:textId="77777777" w:rsidR="007F4433" w:rsidRPr="00A960E0" w:rsidRDefault="00765778">
            <w:pPr>
              <w:keepNext/>
              <w:spacing w:after="60"/>
              <w:rPr>
                <w:rFonts w:ascii="Arial" w:hAnsi="Arial" w:cs="Arial"/>
                <w:sz w:val="22"/>
                <w:szCs w:val="28"/>
              </w:rPr>
            </w:pPr>
            <w:r w:rsidRPr="00A960E0">
              <w:rPr>
                <w:rFonts w:ascii="Arial" w:hAnsi="Arial" w:cs="Arial"/>
                <w:i/>
                <w:sz w:val="22"/>
                <w:szCs w:val="28"/>
                <w:vertAlign w:val="superscript"/>
              </w:rPr>
              <w:t>1</w:t>
            </w:r>
            <w:r w:rsidRPr="00A960E0">
              <w:rPr>
                <w:rFonts w:ascii="Arial" w:hAnsi="Arial" w:cs="Arial"/>
                <w:sz w:val="22"/>
                <w:szCs w:val="28"/>
              </w:rPr>
              <w:t>Median (5% Centile, 95% Centile)</w:t>
            </w:r>
          </w:p>
        </w:tc>
      </w:tr>
    </w:tbl>
    <w:p w14:paraId="1C1ECE09" w14:textId="05B9B023" w:rsidR="007F4433" w:rsidRDefault="00765778">
      <w:pPr>
        <w:pStyle w:val="BodyText"/>
      </w:pPr>
      <w:r>
        <w:rPr>
          <w:i/>
          <w:iCs/>
        </w:rPr>
        <w:t>Table 2: Step-wise infusion rate</w:t>
      </w:r>
      <w:r w:rsidR="007B426A">
        <w:rPr>
          <w:i/>
          <w:iCs/>
        </w:rPr>
        <w:t>s</w:t>
      </w:r>
      <w:r>
        <w:rPr>
          <w:i/>
          <w:iCs/>
        </w:rPr>
        <w:t xml:space="preserve"> for a 200 mg intravenous amoxicillin dose. A range of potential infusion volumes are shown.</w:t>
      </w:r>
    </w:p>
    <w:tbl>
      <w:tblPr>
        <w:tblStyle w:val="Table"/>
        <w:tblW w:w="0" w:type="pct"/>
        <w:jc w:val="center"/>
        <w:tblCellMar>
          <w:top w:w="57" w:type="dxa"/>
          <w:left w:w="57" w:type="dxa"/>
          <w:bottom w:w="57" w:type="dxa"/>
          <w:right w:w="57" w:type="dxa"/>
        </w:tblCellMar>
        <w:tblLook w:val="0420" w:firstRow="1" w:lastRow="0" w:firstColumn="0" w:lastColumn="0" w:noHBand="0" w:noVBand="1"/>
      </w:tblPr>
      <w:tblGrid>
        <w:gridCol w:w="4850"/>
        <w:gridCol w:w="1337"/>
        <w:gridCol w:w="1530"/>
        <w:gridCol w:w="1530"/>
      </w:tblGrid>
      <w:tr w:rsidR="00037D70" w14:paraId="1C1ECE0C" w14:textId="77777777" w:rsidTr="00037D70">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1ECE0A" w14:textId="77777777" w:rsidR="007F4433" w:rsidRDefault="0076577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 </w:t>
            </w:r>
          </w:p>
        </w:tc>
        <w:tc>
          <w:tcPr>
            <w:tcW w:w="0" w:type="auto"/>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1ECE0B" w14:textId="77777777" w:rsidR="007F4433" w:rsidRDefault="00765778" w:rsidP="00A960E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Rate of amoxicillin infusion (ml per min)</w:t>
            </w:r>
          </w:p>
        </w:tc>
      </w:tr>
      <w:tr w:rsidR="00C13E0D" w14:paraId="1C1ECE11" w14:textId="77777777" w:rsidTr="00A960E0">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1ECE0D" w14:textId="77777777" w:rsidR="007F4433" w:rsidRDefault="0076577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Infusion volume</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1ECE0E" w14:textId="786D273E" w:rsidR="007F4433" w:rsidRDefault="00765778" w:rsidP="00A960E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 xml:space="preserve">50 mL </w:t>
            </w:r>
            <w:r w:rsidR="00DD74A4">
              <w:rPr>
                <w:rFonts w:ascii="Arial" w:eastAsia="Arial" w:hAnsi="Arial" w:cs="Arial"/>
                <w:b/>
                <w:color w:val="000000"/>
                <w:sz w:val="22"/>
                <w:szCs w:val="22"/>
              </w:rPr>
              <w:br/>
            </w:r>
            <w:r>
              <w:rPr>
                <w:rFonts w:ascii="Arial" w:eastAsia="Arial" w:hAnsi="Arial" w:cs="Arial"/>
                <w:b/>
                <w:color w:val="000000"/>
                <w:sz w:val="22"/>
                <w:szCs w:val="22"/>
              </w:rPr>
              <w:t>(4 mg/mL)</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1ECE0F" w14:textId="4FCDF203" w:rsidR="007F4433" w:rsidRDefault="00765778" w:rsidP="00A960E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 xml:space="preserve">250 mL </w:t>
            </w:r>
            <w:r w:rsidR="00DD74A4">
              <w:rPr>
                <w:rFonts w:ascii="Arial" w:eastAsia="Arial" w:hAnsi="Arial" w:cs="Arial"/>
                <w:b/>
                <w:color w:val="000000"/>
                <w:sz w:val="22"/>
                <w:szCs w:val="22"/>
              </w:rPr>
              <w:br/>
            </w:r>
            <w:r>
              <w:rPr>
                <w:rFonts w:ascii="Arial" w:eastAsia="Arial" w:hAnsi="Arial" w:cs="Arial"/>
                <w:b/>
                <w:color w:val="000000"/>
                <w:sz w:val="22"/>
                <w:szCs w:val="22"/>
              </w:rPr>
              <w:t>(0.8</w:t>
            </w:r>
            <w:r w:rsidR="00C364AC">
              <w:rPr>
                <w:rFonts w:ascii="Arial" w:eastAsia="Arial" w:hAnsi="Arial" w:cs="Arial"/>
                <w:b/>
                <w:color w:val="000000"/>
                <w:sz w:val="22"/>
                <w:szCs w:val="22"/>
              </w:rPr>
              <w:t xml:space="preserve"> </w:t>
            </w:r>
            <w:r>
              <w:rPr>
                <w:rFonts w:ascii="Arial" w:eastAsia="Arial" w:hAnsi="Arial" w:cs="Arial"/>
                <w:b/>
                <w:color w:val="000000"/>
                <w:sz w:val="22"/>
                <w:szCs w:val="22"/>
              </w:rPr>
              <w:t>mg/mL)</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1ECE10" w14:textId="71CB79B9" w:rsidR="007F4433" w:rsidRDefault="00765778" w:rsidP="00A960E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 xml:space="preserve">500 mL </w:t>
            </w:r>
            <w:r w:rsidR="00DD74A4">
              <w:rPr>
                <w:rFonts w:ascii="Arial" w:eastAsia="Arial" w:hAnsi="Arial" w:cs="Arial"/>
                <w:b/>
                <w:color w:val="000000"/>
                <w:sz w:val="22"/>
                <w:szCs w:val="22"/>
              </w:rPr>
              <w:br/>
            </w:r>
            <w:r>
              <w:rPr>
                <w:rFonts w:ascii="Arial" w:eastAsia="Arial" w:hAnsi="Arial" w:cs="Arial"/>
                <w:b/>
                <w:color w:val="000000"/>
                <w:sz w:val="22"/>
                <w:szCs w:val="22"/>
              </w:rPr>
              <w:t>(0.4 mg/mL)</w:t>
            </w:r>
          </w:p>
        </w:tc>
      </w:tr>
      <w:tr w:rsidR="00C13E0D" w14:paraId="1C1ECE16" w14:textId="77777777" w:rsidTr="00A960E0">
        <w:trPr>
          <w:jc w:val="center"/>
        </w:trPr>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1ECE12" w14:textId="77777777" w:rsidR="007F4433" w:rsidRDefault="0076577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 xml:space="preserve">Period 1: 10 minute infusion </w:t>
            </w:r>
            <w:r>
              <w:rPr>
                <w:rFonts w:ascii="Arial" w:eastAsia="Arial" w:hAnsi="Arial" w:cs="Arial"/>
                <w:color w:val="000000"/>
                <w:sz w:val="22"/>
                <w:szCs w:val="22"/>
              </w:rPr>
              <w:br/>
              <w:t xml:space="preserve"> (1% of total dose)</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1ECE13" w14:textId="77777777" w:rsidR="007F4433" w:rsidRDefault="00765778" w:rsidP="00A960E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0.05</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1ECE14" w14:textId="2ACA4398" w:rsidR="007F4433" w:rsidRDefault="00765778" w:rsidP="00A960E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0.25</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1ECE15" w14:textId="77777777" w:rsidR="007F4433" w:rsidRDefault="00765778" w:rsidP="00A960E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0.50</w:t>
            </w:r>
          </w:p>
        </w:tc>
      </w:tr>
      <w:tr w:rsidR="00C13E0D" w14:paraId="1C1ECE1B" w14:textId="77777777" w:rsidTr="00A960E0">
        <w:trPr>
          <w:jc w:val="center"/>
        </w:trPr>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1ECE17" w14:textId="77777777" w:rsidR="007F4433" w:rsidRDefault="0076577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Period 2: 20 minute infusion (9% of total dose)</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1ECE18" w14:textId="77777777" w:rsidR="007F4433" w:rsidRDefault="00765778" w:rsidP="00A960E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0.23</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1ECE19" w14:textId="2C8FE447" w:rsidR="007F4433" w:rsidRDefault="00765778" w:rsidP="00A960E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w:t>
            </w:r>
            <w:r w:rsidR="00C364AC">
              <w:rPr>
                <w:rFonts w:ascii="Arial" w:eastAsia="Arial" w:hAnsi="Arial" w:cs="Arial"/>
                <w:color w:val="000000"/>
                <w:sz w:val="22"/>
                <w:szCs w:val="22"/>
              </w:rPr>
              <w:t>13</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1ECE1A" w14:textId="77777777" w:rsidR="007F4433" w:rsidRDefault="00765778" w:rsidP="00A960E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2.25</w:t>
            </w:r>
          </w:p>
        </w:tc>
      </w:tr>
      <w:tr w:rsidR="00C13E0D" w14:paraId="1C1ECE20" w14:textId="77777777" w:rsidTr="00A960E0">
        <w:trPr>
          <w:jc w:val="center"/>
        </w:trPr>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1ECE1C" w14:textId="77777777" w:rsidR="007F4433" w:rsidRDefault="0076577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Period 3: 60 minute infusion (90% of total dose)</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1ECE1D" w14:textId="77777777" w:rsidR="007F4433" w:rsidRDefault="00765778" w:rsidP="00A960E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0.75</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1ECE1E" w14:textId="27354B44" w:rsidR="007F4433" w:rsidRDefault="00765778" w:rsidP="00A960E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3.75</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1ECE1F" w14:textId="77777777" w:rsidR="007F4433" w:rsidRDefault="00765778" w:rsidP="00A960E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7.50</w:t>
            </w:r>
          </w:p>
        </w:tc>
      </w:tr>
      <w:tr w:rsidR="007F4433" w14:paraId="1C1ECE22" w14:textId="77777777" w:rsidTr="00A960E0">
        <w:trPr>
          <w:jc w:val="center"/>
        </w:trPr>
        <w:tc>
          <w:tcPr>
            <w:tcW w:w="0" w:type="auto"/>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1ECE21" w14:textId="42953084" w:rsidR="007F4433" w:rsidRDefault="0076577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Th</w:t>
            </w:r>
            <w:r w:rsidR="008147B0">
              <w:rPr>
                <w:rFonts w:ascii="Arial" w:eastAsia="Arial" w:hAnsi="Arial" w:cs="Arial"/>
                <w:i/>
                <w:color w:val="000000"/>
                <w:sz w:val="22"/>
                <w:szCs w:val="22"/>
              </w:rPr>
              <w:t xml:space="preserve">is </w:t>
            </w:r>
            <w:r>
              <w:rPr>
                <w:rFonts w:ascii="Arial" w:eastAsia="Arial" w:hAnsi="Arial" w:cs="Arial"/>
                <w:i/>
                <w:color w:val="000000"/>
                <w:sz w:val="22"/>
                <w:szCs w:val="22"/>
              </w:rPr>
              <w:t>do</w:t>
            </w:r>
            <w:r w:rsidR="008147B0">
              <w:rPr>
                <w:rFonts w:ascii="Arial" w:eastAsia="Arial" w:hAnsi="Arial" w:cs="Arial"/>
                <w:i/>
                <w:color w:val="000000"/>
                <w:sz w:val="22"/>
                <w:szCs w:val="22"/>
              </w:rPr>
              <w:t>es</w:t>
            </w:r>
            <w:r>
              <w:rPr>
                <w:rFonts w:ascii="Arial" w:eastAsia="Arial" w:hAnsi="Arial" w:cs="Arial"/>
                <w:i/>
                <w:color w:val="000000"/>
                <w:sz w:val="22"/>
                <w:szCs w:val="22"/>
              </w:rPr>
              <w:t xml:space="preserve"> not take into account line volume (e.g. if central line used)</w:t>
            </w:r>
          </w:p>
        </w:tc>
      </w:tr>
    </w:tbl>
    <w:p w14:paraId="1C1ECE23" w14:textId="77777777" w:rsidR="007F4433" w:rsidRDefault="00765778">
      <w:pPr>
        <w:pStyle w:val="Heading1"/>
      </w:pPr>
      <w:bookmarkStart w:id="10" w:name="figures"/>
      <w:bookmarkEnd w:id="9"/>
      <w:r>
        <w:rPr>
          <w:rStyle w:val="SectionNumber"/>
        </w:rPr>
        <w:lastRenderedPageBreak/>
        <w:t>11</w:t>
      </w:r>
      <w:r>
        <w:tab/>
        <w:t>Figures</w:t>
      </w:r>
    </w:p>
    <w:p w14:paraId="1C1ECE24" w14:textId="77777777" w:rsidR="007F4433" w:rsidRDefault="00765778">
      <w:pPr>
        <w:pStyle w:val="FirstParagraph"/>
      </w:pPr>
      <w:r>
        <w:rPr>
          <w:noProof/>
        </w:rPr>
        <w:drawing>
          <wp:inline distT="0" distB="0" distL="0" distR="0" wp14:anchorId="1C1ECE3E" wp14:editId="1C1ECE3F">
            <wp:extent cx="5334000" cy="2667000"/>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32" name="Picture" descr="pen_delab_submission1_files/figure-docx/pkprof-1.png"/>
                    <pic:cNvPicPr>
                      <a:picLocks noChangeAspect="1" noChangeArrowheads="1"/>
                    </pic:cNvPicPr>
                  </pic:nvPicPr>
                  <pic:blipFill>
                    <a:blip r:embed="rId5"/>
                    <a:stretch>
                      <a:fillRect/>
                    </a:stretch>
                  </pic:blipFill>
                  <pic:spPr bwMode="auto">
                    <a:xfrm>
                      <a:off x="0" y="0"/>
                      <a:ext cx="5334000" cy="2667000"/>
                    </a:xfrm>
                    <a:prstGeom prst="rect">
                      <a:avLst/>
                    </a:prstGeom>
                    <a:noFill/>
                    <a:ln w="9525">
                      <a:noFill/>
                      <a:headEnd/>
                      <a:tailEnd/>
                    </a:ln>
                  </pic:spPr>
                </pic:pic>
              </a:graphicData>
            </a:graphic>
          </wp:inline>
        </w:drawing>
      </w:r>
    </w:p>
    <w:p w14:paraId="1C1ECE25" w14:textId="7073165C" w:rsidR="007F4433" w:rsidRDefault="00765778">
      <w:pPr>
        <w:pStyle w:val="BodyText"/>
      </w:pPr>
      <w:r>
        <w:rPr>
          <w:i/>
          <w:iCs/>
        </w:rPr>
        <w:t xml:space="preserve">Figure 1: Concentration-time plots from three simulated scenarios of a single dose of amoxicillin. </w:t>
      </w:r>
      <w:r w:rsidR="00D96D64">
        <w:rPr>
          <w:i/>
          <w:iCs/>
        </w:rPr>
        <w:t xml:space="preserve">Amoxicillin dose is 500 mg for oral scenarios, and 200 mg for the IV variable-rate infusion. </w:t>
      </w:r>
      <w:r>
        <w:rPr>
          <w:i/>
          <w:iCs/>
        </w:rPr>
        <w:t>Solid line represents median concentration</w:t>
      </w:r>
      <w:r w:rsidR="00C959CC">
        <w:rPr>
          <w:i/>
          <w:iCs/>
        </w:rPr>
        <w:t xml:space="preserve"> at each time point</w:t>
      </w:r>
      <w:r>
        <w:rPr>
          <w:i/>
          <w:iCs/>
        </w:rPr>
        <w:t>, shaded area the 5th to 95th centile</w:t>
      </w:r>
    </w:p>
    <w:p w14:paraId="1C1ECE26" w14:textId="77777777" w:rsidR="007F4433" w:rsidRDefault="00765778">
      <w:r>
        <w:br w:type="page"/>
      </w:r>
    </w:p>
    <w:p w14:paraId="1C1ECE27" w14:textId="77777777" w:rsidR="007F4433" w:rsidRDefault="00765778">
      <w:pPr>
        <w:pStyle w:val="Heading1"/>
      </w:pPr>
      <w:bookmarkStart w:id="11" w:name="references"/>
      <w:bookmarkEnd w:id="10"/>
      <w:r>
        <w:lastRenderedPageBreak/>
        <w:t>References</w:t>
      </w:r>
    </w:p>
    <w:p w14:paraId="1C1ECE28" w14:textId="77777777" w:rsidR="007F4433" w:rsidRDefault="00765778">
      <w:pPr>
        <w:pStyle w:val="Bibliography"/>
      </w:pPr>
      <w:bookmarkStart w:id="12" w:name="ref-West"/>
      <w:bookmarkStart w:id="13" w:name="refs"/>
      <w:r>
        <w:rPr>
          <w:b/>
          <w:bCs/>
        </w:rPr>
        <w:t>1</w:t>
      </w:r>
      <w:r>
        <w:t xml:space="preserve">. </w:t>
      </w:r>
      <w:r>
        <w:tab/>
        <w:t xml:space="preserve">West RM, Smith CJ, Pavitt SH </w:t>
      </w:r>
      <w:r>
        <w:rPr>
          <w:i/>
          <w:iCs/>
        </w:rPr>
        <w:t>et al.</w:t>
      </w:r>
      <w:r>
        <w:t xml:space="preserve"> </w:t>
      </w:r>
      <w:hyperlink r:id="rId6">
        <w:r w:rsidR="007F4433">
          <w:rPr>
            <w:rStyle w:val="Hyperlink"/>
          </w:rPr>
          <w:t>’Warning: Allergic to penicillin’: Association between penicillin allergy status in 2.3 million NHS general practice electronic health records, antibiotic prescribing and health outcomes</w:t>
        </w:r>
      </w:hyperlink>
      <w:r>
        <w:t xml:space="preserve">. J </w:t>
      </w:r>
      <w:proofErr w:type="spellStart"/>
      <w:r>
        <w:t>Antimicrob</w:t>
      </w:r>
      <w:proofErr w:type="spellEnd"/>
      <w:r>
        <w:t xml:space="preserve"> Chemother 2019; 74: 2075–2082.</w:t>
      </w:r>
    </w:p>
    <w:p w14:paraId="1C1ECE29" w14:textId="77777777" w:rsidR="007F4433" w:rsidRDefault="00765778">
      <w:pPr>
        <w:pStyle w:val="Bibliography"/>
      </w:pPr>
      <w:bookmarkStart w:id="14" w:name="ref-Reddy"/>
      <w:bookmarkEnd w:id="12"/>
      <w:r>
        <w:rPr>
          <w:b/>
          <w:bCs/>
        </w:rPr>
        <w:t>2</w:t>
      </w:r>
      <w:r>
        <w:t xml:space="preserve">. </w:t>
      </w:r>
      <w:r>
        <w:tab/>
        <w:t xml:space="preserve">Reddy V, </w:t>
      </w:r>
      <w:proofErr w:type="spellStart"/>
      <w:r>
        <w:t>Baman</w:t>
      </w:r>
      <w:proofErr w:type="spellEnd"/>
      <w:r>
        <w:t xml:space="preserve"> NS, Whitener C, Ishmael FT. </w:t>
      </w:r>
      <w:hyperlink r:id="rId7">
        <w:r w:rsidR="007F4433">
          <w:rPr>
            <w:rStyle w:val="Hyperlink"/>
          </w:rPr>
          <w:t>Drug resistant infections with methicillin-resistant staphylococcus aureus, clostridium difficile, and vancomycin resistant enterococcus are associated with a higher prevalence of penicillin allergy</w:t>
        </w:r>
      </w:hyperlink>
      <w:r>
        <w:t>. Journal of Allergy and Clinical Immunology 2013; 131: AB170.</w:t>
      </w:r>
    </w:p>
    <w:p w14:paraId="1C1ECE2A" w14:textId="77777777" w:rsidR="007F4433" w:rsidRDefault="00765778">
      <w:pPr>
        <w:pStyle w:val="Bibliography"/>
      </w:pPr>
      <w:bookmarkStart w:id="15" w:name="ref-NICE2014"/>
      <w:bookmarkEnd w:id="14"/>
      <w:r>
        <w:rPr>
          <w:b/>
          <w:bCs/>
        </w:rPr>
        <w:t>3</w:t>
      </w:r>
      <w:r>
        <w:t xml:space="preserve">. </w:t>
      </w:r>
      <w:r>
        <w:tab/>
        <w:t xml:space="preserve">Health NI for, Excellence C. Drug allergy: Diagnosis and management of drug allergy (CG183). 2014 </w:t>
      </w:r>
      <w:hyperlink>
        <w:r w:rsidR="007F4433">
          <w:rPr>
            <w:rStyle w:val="Hyperlink"/>
          </w:rPr>
          <w:t>https:// www.nice.org.uk/guidance/cg183.</w:t>
        </w:r>
      </w:hyperlink>
    </w:p>
    <w:p w14:paraId="1C1ECE2B" w14:textId="77777777" w:rsidR="007F4433" w:rsidRDefault="00765778">
      <w:pPr>
        <w:pStyle w:val="Bibliography"/>
      </w:pPr>
      <w:bookmarkStart w:id="16" w:name="ref-Mota"/>
      <w:bookmarkEnd w:id="15"/>
      <w:r>
        <w:rPr>
          <w:b/>
          <w:bCs/>
        </w:rPr>
        <w:t>4</w:t>
      </w:r>
      <w:r>
        <w:t xml:space="preserve">. </w:t>
      </w:r>
      <w:r>
        <w:tab/>
        <w:t xml:space="preserve">Mota I, Gaspar Â, </w:t>
      </w:r>
      <w:proofErr w:type="spellStart"/>
      <w:r>
        <w:t>Chambel</w:t>
      </w:r>
      <w:proofErr w:type="spellEnd"/>
      <w:r>
        <w:t xml:space="preserve"> M, Piedade S, Morais-Almeida M. Hypersensitivity to beta-lactam antibiotics: A three-year study. </w:t>
      </w:r>
      <w:proofErr w:type="spellStart"/>
      <w:r>
        <w:t>Eur</w:t>
      </w:r>
      <w:proofErr w:type="spellEnd"/>
      <w:r>
        <w:t xml:space="preserve"> Ann Allergy Clin Immunol 2016; 48: 212–219.</w:t>
      </w:r>
    </w:p>
    <w:p w14:paraId="1C1ECE2C" w14:textId="77777777" w:rsidR="007F4433" w:rsidRDefault="00765778">
      <w:pPr>
        <w:pStyle w:val="Bibliography"/>
      </w:pPr>
      <w:bookmarkStart w:id="17" w:name="ref-Macy2013"/>
      <w:bookmarkEnd w:id="16"/>
      <w:r>
        <w:rPr>
          <w:b/>
          <w:bCs/>
        </w:rPr>
        <w:t>5</w:t>
      </w:r>
      <w:r>
        <w:t xml:space="preserve">. </w:t>
      </w:r>
      <w:r>
        <w:tab/>
        <w:t xml:space="preserve">Macy E, Ngor EW. </w:t>
      </w:r>
      <w:hyperlink r:id="rId8">
        <w:r w:rsidR="007F4433">
          <w:rPr>
            <w:rStyle w:val="Hyperlink"/>
          </w:rPr>
          <w:t xml:space="preserve">Safely diagnosing clinically significant penicillin allergy using only </w:t>
        </w:r>
        <w:proofErr w:type="spellStart"/>
        <w:r w:rsidR="007F4433">
          <w:rPr>
            <w:rStyle w:val="Hyperlink"/>
          </w:rPr>
          <w:t>penicilloyl</w:t>
        </w:r>
        <w:proofErr w:type="spellEnd"/>
        <w:r w:rsidR="007F4433">
          <w:rPr>
            <w:rStyle w:val="Hyperlink"/>
          </w:rPr>
          <w:t>-poly-lysine, penicillin, and oral amoxicillin.</w:t>
        </w:r>
      </w:hyperlink>
      <w:r>
        <w:t xml:space="preserve"> The journal of allergy and clinical immunology In practice 2013; 1 3: 258–63.</w:t>
      </w:r>
    </w:p>
    <w:p w14:paraId="1C1ECE2D" w14:textId="77777777" w:rsidR="007F4433" w:rsidRDefault="00765778">
      <w:pPr>
        <w:pStyle w:val="Bibliography"/>
      </w:pPr>
      <w:bookmarkStart w:id="18" w:name="ref-Savic2022"/>
      <w:bookmarkEnd w:id="17"/>
      <w:r>
        <w:rPr>
          <w:b/>
          <w:bCs/>
        </w:rPr>
        <w:t>6</w:t>
      </w:r>
      <w:r>
        <w:t xml:space="preserve">. </w:t>
      </w:r>
      <w:r>
        <w:tab/>
        <w:t xml:space="preserve">Savic L, Ardern‐Jones M, Avery A </w:t>
      </w:r>
      <w:r>
        <w:rPr>
          <w:i/>
          <w:iCs/>
        </w:rPr>
        <w:t>et al.</w:t>
      </w:r>
      <w:r>
        <w:t xml:space="preserve"> </w:t>
      </w:r>
      <w:hyperlink r:id="rId9">
        <w:r w:rsidR="007F4433">
          <w:rPr>
            <w:rStyle w:val="Hyperlink"/>
          </w:rPr>
          <w:t>BSACI guideline for the set‐up of penicillin allergy de‐labelling services by non‐allergists working in a hospital setting</w:t>
        </w:r>
      </w:hyperlink>
      <w:r>
        <w:t>. Clinical &amp; Experimental Allergy 2022; 52: 1135–1141.</w:t>
      </w:r>
    </w:p>
    <w:p w14:paraId="1C1ECE2E" w14:textId="77777777" w:rsidR="007F4433" w:rsidRDefault="00765778">
      <w:pPr>
        <w:pStyle w:val="Bibliography"/>
      </w:pPr>
      <w:bookmarkStart w:id="19" w:name="ref-Stone2020"/>
      <w:bookmarkEnd w:id="18"/>
      <w:r>
        <w:rPr>
          <w:b/>
          <w:bCs/>
        </w:rPr>
        <w:t>7</w:t>
      </w:r>
      <w:r>
        <w:t xml:space="preserve">. </w:t>
      </w:r>
      <w:r>
        <w:tab/>
        <w:t xml:space="preserve">Stone CA, Stollings JL, Lindsell CJ </w:t>
      </w:r>
      <w:r>
        <w:rPr>
          <w:i/>
          <w:iCs/>
        </w:rPr>
        <w:t>et al.</w:t>
      </w:r>
      <w:r>
        <w:t xml:space="preserve"> </w:t>
      </w:r>
      <w:hyperlink r:id="rId10">
        <w:r w:rsidR="007F4433">
          <w:rPr>
            <w:rStyle w:val="Hyperlink"/>
          </w:rPr>
          <w:t>Risk-stratified management to remove low-risk penicillin allergy labels in the ICU</w:t>
        </w:r>
      </w:hyperlink>
      <w:r>
        <w:t>. American Journal of Respiratory and Critical Care Medicine 2020; 201: 1572–1575.</w:t>
      </w:r>
    </w:p>
    <w:p w14:paraId="1C1ECE2F" w14:textId="77777777" w:rsidR="007F4433" w:rsidRDefault="00765778">
      <w:pPr>
        <w:pStyle w:val="Bibliography"/>
      </w:pPr>
      <w:bookmarkStart w:id="20" w:name="ref-Koo2022"/>
      <w:bookmarkEnd w:id="19"/>
      <w:r>
        <w:rPr>
          <w:b/>
          <w:bCs/>
        </w:rPr>
        <w:t>8</w:t>
      </w:r>
      <w:r>
        <w:t xml:space="preserve">. </w:t>
      </w:r>
      <w:r>
        <w:tab/>
        <w:t xml:space="preserve">Koo G, Stollings JL, Lindsell C </w:t>
      </w:r>
      <w:r>
        <w:rPr>
          <w:i/>
          <w:iCs/>
        </w:rPr>
        <w:t>et al.</w:t>
      </w:r>
      <w:r>
        <w:t xml:space="preserve"> </w:t>
      </w:r>
      <w:hyperlink r:id="rId11">
        <w:r w:rsidR="007F4433">
          <w:rPr>
            <w:rStyle w:val="Hyperlink"/>
          </w:rPr>
          <w:t xml:space="preserve">Low-risk penicillin allergy </w:t>
        </w:r>
        <w:proofErr w:type="spellStart"/>
        <w:r w:rsidR="007F4433">
          <w:rPr>
            <w:rStyle w:val="Hyperlink"/>
          </w:rPr>
          <w:t>delabeling</w:t>
        </w:r>
        <w:proofErr w:type="spellEnd"/>
        <w:r w:rsidR="007F4433">
          <w:rPr>
            <w:rStyle w:val="Hyperlink"/>
          </w:rPr>
          <w:t xml:space="preserve"> through a direct oral challenge in immunocompromised and/or multiple drug allergy labeled patients in a critical care setting</w:t>
        </w:r>
      </w:hyperlink>
      <w:r>
        <w:t>. The Journal of Allergy and Clinical Immunology: In Practice 2022; 10: 1660–1663.e2.</w:t>
      </w:r>
    </w:p>
    <w:p w14:paraId="1C1ECE30" w14:textId="77777777" w:rsidR="007F4433" w:rsidRDefault="00765778">
      <w:pPr>
        <w:pStyle w:val="Bibliography"/>
      </w:pPr>
      <w:bookmarkStart w:id="21" w:name="ref-Alamin"/>
      <w:bookmarkEnd w:id="20"/>
      <w:r>
        <w:rPr>
          <w:b/>
          <w:bCs/>
        </w:rPr>
        <w:t>9</w:t>
      </w:r>
      <w:r>
        <w:t xml:space="preserve">. </w:t>
      </w:r>
      <w:r>
        <w:tab/>
        <w:t xml:space="preserve">Alamin S, Egan R, Cusack B </w:t>
      </w:r>
      <w:r>
        <w:rPr>
          <w:i/>
          <w:iCs/>
        </w:rPr>
        <w:t>et al.</w:t>
      </w:r>
      <w:r>
        <w:t xml:space="preserve"> </w:t>
      </w:r>
      <w:hyperlink r:id="rId12">
        <w:r w:rsidR="007F4433">
          <w:rPr>
            <w:rStyle w:val="Hyperlink"/>
          </w:rPr>
          <w:t>Antibiotic allergy de-labeling in the intensive care unit: The prospective ADE-ICU study</w:t>
        </w:r>
      </w:hyperlink>
      <w:r>
        <w:t>. Journal of Critical Care 2025; 85: 154977.</w:t>
      </w:r>
    </w:p>
    <w:p w14:paraId="1C1ECE31" w14:textId="77777777" w:rsidR="007F4433" w:rsidRDefault="00765778">
      <w:pPr>
        <w:pStyle w:val="Bibliography"/>
      </w:pPr>
      <w:bookmarkStart w:id="22" w:name="ref-Morales"/>
      <w:bookmarkEnd w:id="21"/>
      <w:r>
        <w:rPr>
          <w:b/>
          <w:bCs/>
        </w:rPr>
        <w:t>10</w:t>
      </w:r>
      <w:r>
        <w:t xml:space="preserve">. </w:t>
      </w:r>
      <w:r>
        <w:tab/>
        <w:t xml:space="preserve">Morales Castro D, Dresser L, </w:t>
      </w:r>
      <w:proofErr w:type="spellStart"/>
      <w:r>
        <w:t>Granton</w:t>
      </w:r>
      <w:proofErr w:type="spellEnd"/>
      <w:r>
        <w:t xml:space="preserve"> J, Fan E. </w:t>
      </w:r>
      <w:hyperlink r:id="rId13">
        <w:r w:rsidR="007F4433">
          <w:rPr>
            <w:rStyle w:val="Hyperlink"/>
          </w:rPr>
          <w:t>Pharmacokinetic alterations associated with critical illness</w:t>
        </w:r>
      </w:hyperlink>
      <w:r>
        <w:t xml:space="preserve">. Clin </w:t>
      </w:r>
      <w:proofErr w:type="spellStart"/>
      <w:r>
        <w:t>Pharmacokinet</w:t>
      </w:r>
      <w:proofErr w:type="spellEnd"/>
      <w:r>
        <w:t xml:space="preserve"> 2023; 62: 209–220.</w:t>
      </w:r>
    </w:p>
    <w:p w14:paraId="1C1ECE32" w14:textId="77777777" w:rsidR="007F4433" w:rsidRDefault="00765778">
      <w:pPr>
        <w:pStyle w:val="Bibliography"/>
      </w:pPr>
      <w:bookmarkStart w:id="23" w:name="ref-Roberts2014"/>
      <w:bookmarkEnd w:id="22"/>
      <w:r>
        <w:rPr>
          <w:b/>
          <w:bCs/>
        </w:rPr>
        <w:t>11</w:t>
      </w:r>
      <w:r>
        <w:t xml:space="preserve">. </w:t>
      </w:r>
      <w:r>
        <w:tab/>
        <w:t xml:space="preserve">Roberts JA, Abdul-Aziz MH, Lipman J </w:t>
      </w:r>
      <w:r>
        <w:rPr>
          <w:i/>
          <w:iCs/>
        </w:rPr>
        <w:t>et al.</w:t>
      </w:r>
      <w:r>
        <w:t xml:space="preserve"> </w:t>
      </w:r>
      <w:hyperlink r:id="rId14">
        <w:proofErr w:type="spellStart"/>
        <w:r w:rsidR="007F4433">
          <w:rPr>
            <w:rStyle w:val="Hyperlink"/>
          </w:rPr>
          <w:t>Individualised</w:t>
        </w:r>
        <w:proofErr w:type="spellEnd"/>
        <w:r w:rsidR="007F4433">
          <w:rPr>
            <w:rStyle w:val="Hyperlink"/>
          </w:rPr>
          <w:t xml:space="preserve"> antibiotic dosing for patients who are critically ill: Challenges and potential solutions</w:t>
        </w:r>
      </w:hyperlink>
      <w:r>
        <w:t>. The Lancet Infectious Diseases 2014; 14: 498–509.</w:t>
      </w:r>
    </w:p>
    <w:p w14:paraId="1C1ECE33" w14:textId="77777777" w:rsidR="007F4433" w:rsidRDefault="00765778">
      <w:pPr>
        <w:pStyle w:val="Bibliography"/>
      </w:pPr>
      <w:bookmarkStart w:id="24" w:name="ref-Forsberg2023"/>
      <w:bookmarkEnd w:id="23"/>
      <w:r>
        <w:rPr>
          <w:b/>
          <w:bCs/>
        </w:rPr>
        <w:lastRenderedPageBreak/>
        <w:t>12</w:t>
      </w:r>
      <w:r>
        <w:t xml:space="preserve">. </w:t>
      </w:r>
      <w:r>
        <w:tab/>
        <w:t xml:space="preserve">Forsberg J, Bedard E, Mahmoud SH. </w:t>
      </w:r>
      <w:hyperlink r:id="rId15">
        <w:r w:rsidR="007F4433">
          <w:rPr>
            <w:rStyle w:val="Hyperlink"/>
          </w:rPr>
          <w:t>Bioavailability of orally administered drugs in critically ill patients</w:t>
        </w:r>
      </w:hyperlink>
      <w:r>
        <w:t>. Journal of Pharmacy Practice 2023; 36: 967–979.</w:t>
      </w:r>
    </w:p>
    <w:p w14:paraId="1C1ECE34" w14:textId="77777777" w:rsidR="007F4433" w:rsidRDefault="00765778">
      <w:pPr>
        <w:pStyle w:val="Bibliography"/>
      </w:pPr>
      <w:bookmarkStart w:id="25" w:name="ref-Heyland"/>
      <w:bookmarkEnd w:id="24"/>
      <w:r>
        <w:rPr>
          <w:b/>
          <w:bCs/>
        </w:rPr>
        <w:t>13</w:t>
      </w:r>
      <w:r>
        <w:t xml:space="preserve">. </w:t>
      </w:r>
      <w:r>
        <w:tab/>
        <w:t xml:space="preserve">Heyland DK, Tougas G, King D, Cook DJ. </w:t>
      </w:r>
      <w:hyperlink r:id="rId16">
        <w:r w:rsidR="007F4433">
          <w:rPr>
            <w:rStyle w:val="Hyperlink"/>
          </w:rPr>
          <w:t>Impaired gastric emptying in mechanically ventilated, critically ill patients</w:t>
        </w:r>
      </w:hyperlink>
      <w:r>
        <w:t>. Intensive Care Medicine 1996; 22: 1339–1344.</w:t>
      </w:r>
    </w:p>
    <w:p w14:paraId="1C1ECE35" w14:textId="77777777" w:rsidR="007F4433" w:rsidRPr="00576F82" w:rsidRDefault="00765778">
      <w:pPr>
        <w:pStyle w:val="Bibliography"/>
        <w:rPr>
          <w:lang w:val="it-IT"/>
        </w:rPr>
      </w:pPr>
      <w:bookmarkStart w:id="26" w:name="ref-Tarling"/>
      <w:bookmarkEnd w:id="25"/>
      <w:r>
        <w:rPr>
          <w:b/>
          <w:bCs/>
        </w:rPr>
        <w:t>14</w:t>
      </w:r>
      <w:r>
        <w:t xml:space="preserve">. </w:t>
      </w:r>
      <w:r>
        <w:tab/>
        <w:t xml:space="preserve">Tarling MM, Toner CC, Withington PS, Baxter MK, Whelpton R, Goldhill DR. </w:t>
      </w:r>
      <w:hyperlink r:id="rId17">
        <w:r w:rsidR="007F4433">
          <w:rPr>
            <w:rStyle w:val="Hyperlink"/>
          </w:rPr>
          <w:t>A model of gastric emptying using paracetamol absorption in intensive care patients</w:t>
        </w:r>
      </w:hyperlink>
      <w:r>
        <w:t xml:space="preserve">. </w:t>
      </w:r>
      <w:r w:rsidRPr="00576F82">
        <w:rPr>
          <w:lang w:val="it-IT"/>
        </w:rPr>
        <w:t>Intensive Care Medicine 1997; 23: 256–260.</w:t>
      </w:r>
    </w:p>
    <w:p w14:paraId="1C1ECE36" w14:textId="77777777" w:rsidR="007F4433" w:rsidRPr="00576F82" w:rsidRDefault="00765778">
      <w:pPr>
        <w:pStyle w:val="Bibliography"/>
        <w:rPr>
          <w:lang w:val="nl-NL"/>
        </w:rPr>
      </w:pPr>
      <w:bookmarkStart w:id="27" w:name="ref-Molina2024"/>
      <w:bookmarkEnd w:id="26"/>
      <w:r w:rsidRPr="00576F82">
        <w:rPr>
          <w:b/>
          <w:bCs/>
          <w:lang w:val="it-IT"/>
        </w:rPr>
        <w:t>15</w:t>
      </w:r>
      <w:r w:rsidRPr="00576F82">
        <w:rPr>
          <w:lang w:val="it-IT"/>
        </w:rPr>
        <w:t xml:space="preserve">. </w:t>
      </w:r>
      <w:r w:rsidRPr="00576F82">
        <w:rPr>
          <w:lang w:val="it-IT"/>
        </w:rPr>
        <w:tab/>
        <w:t xml:space="preserve">Molina-Molina G-J, Gómez-Duque M, </w:t>
      </w:r>
      <w:proofErr w:type="spellStart"/>
      <w:r w:rsidRPr="00576F82">
        <w:rPr>
          <w:lang w:val="it-IT"/>
        </w:rPr>
        <w:t>Guitart</w:t>
      </w:r>
      <w:proofErr w:type="spellEnd"/>
      <w:r w:rsidRPr="00576F82">
        <w:rPr>
          <w:lang w:val="it-IT"/>
        </w:rPr>
        <w:t xml:space="preserve"> XV </w:t>
      </w:r>
      <w:r w:rsidRPr="00576F82">
        <w:rPr>
          <w:i/>
          <w:iCs/>
          <w:lang w:val="it-IT"/>
        </w:rPr>
        <w:t>et al.</w:t>
      </w:r>
      <w:r w:rsidRPr="00576F82">
        <w:rPr>
          <w:lang w:val="it-IT"/>
        </w:rPr>
        <w:t xml:space="preserve"> </w:t>
      </w:r>
      <w:hyperlink r:id="rId18">
        <w:r w:rsidR="007F4433">
          <w:rPr>
            <w:rStyle w:val="Hyperlink"/>
          </w:rPr>
          <w:t>Challenging dogmas: Intravenous versus oral beta-lactam antibiotic provocation tests</w:t>
        </w:r>
      </w:hyperlink>
      <w:r>
        <w:t xml:space="preserve">. </w:t>
      </w:r>
      <w:r w:rsidRPr="00576F82">
        <w:rPr>
          <w:lang w:val="nl-NL"/>
        </w:rPr>
        <w:t xml:space="preserve">World </w:t>
      </w:r>
      <w:proofErr w:type="spellStart"/>
      <w:r w:rsidRPr="00576F82">
        <w:rPr>
          <w:lang w:val="nl-NL"/>
        </w:rPr>
        <w:t>Allergy</w:t>
      </w:r>
      <w:proofErr w:type="spellEnd"/>
      <w:r w:rsidRPr="00576F82">
        <w:rPr>
          <w:lang w:val="nl-NL"/>
        </w:rPr>
        <w:t xml:space="preserve"> </w:t>
      </w:r>
      <w:proofErr w:type="spellStart"/>
      <w:r w:rsidRPr="00576F82">
        <w:rPr>
          <w:lang w:val="nl-NL"/>
        </w:rPr>
        <w:t>Organization</w:t>
      </w:r>
      <w:proofErr w:type="spellEnd"/>
      <w:r w:rsidRPr="00576F82">
        <w:rPr>
          <w:lang w:val="nl-NL"/>
        </w:rPr>
        <w:t xml:space="preserve"> Journal 2024; 17: 100914.</w:t>
      </w:r>
    </w:p>
    <w:p w14:paraId="1526D924" w14:textId="4499EE29" w:rsidR="00A55275" w:rsidRDefault="00A55275" w:rsidP="00A55275">
      <w:pPr>
        <w:pStyle w:val="Bibliography"/>
      </w:pPr>
      <w:bookmarkStart w:id="28" w:name="ref-deVelde2016"/>
      <w:bookmarkEnd w:id="27"/>
      <w:r>
        <w:rPr>
          <w:b/>
          <w:bCs/>
        </w:rPr>
        <w:t>1</w:t>
      </w:r>
      <w:r w:rsidR="008B78F1">
        <w:rPr>
          <w:b/>
          <w:bCs/>
        </w:rPr>
        <w:t>6</w:t>
      </w:r>
      <w:r>
        <w:t xml:space="preserve">. </w:t>
      </w:r>
      <w:r>
        <w:tab/>
        <w:t xml:space="preserve">R Core Team. </w:t>
      </w:r>
      <w:hyperlink r:id="rId19">
        <w:r>
          <w:rPr>
            <w:rStyle w:val="Hyperlink"/>
          </w:rPr>
          <w:t>R: A language and environment for statistical computing</w:t>
        </w:r>
      </w:hyperlink>
      <w:r>
        <w:t>. Vienna, Austria: R Foundation for Statistical Computing, 2024.</w:t>
      </w:r>
    </w:p>
    <w:p w14:paraId="0E64EEC2" w14:textId="3E7C4408" w:rsidR="00A55275" w:rsidRDefault="00A55275" w:rsidP="00A55275">
      <w:pPr>
        <w:pStyle w:val="Bibliography"/>
      </w:pPr>
      <w:r>
        <w:rPr>
          <w:b/>
          <w:bCs/>
        </w:rPr>
        <w:t>1</w:t>
      </w:r>
      <w:r w:rsidR="008B78F1">
        <w:rPr>
          <w:b/>
          <w:bCs/>
        </w:rPr>
        <w:t>7</w:t>
      </w:r>
      <w:r>
        <w:t xml:space="preserve">. </w:t>
      </w:r>
      <w:r>
        <w:tab/>
        <w:t xml:space="preserve">Wang W, Hallow KM, James DA. </w:t>
      </w:r>
      <w:hyperlink r:id="rId20">
        <w:r>
          <w:rPr>
            <w:rStyle w:val="Hyperlink"/>
          </w:rPr>
          <w:t xml:space="preserve">A tutorial on </w:t>
        </w:r>
        <w:proofErr w:type="spellStart"/>
        <w:r>
          <w:rPr>
            <w:rStyle w:val="Hyperlink"/>
          </w:rPr>
          <w:t>RxODE</w:t>
        </w:r>
        <w:proofErr w:type="spellEnd"/>
        <w:r>
          <w:rPr>
            <w:rStyle w:val="Hyperlink"/>
          </w:rPr>
          <w:t xml:space="preserve">: Simulating differential equation </w:t>
        </w:r>
        <w:proofErr w:type="spellStart"/>
        <w:r>
          <w:rPr>
            <w:rStyle w:val="Hyperlink"/>
          </w:rPr>
          <w:t>pharmacometric</w:t>
        </w:r>
        <w:proofErr w:type="spellEnd"/>
        <w:r>
          <w:rPr>
            <w:rStyle w:val="Hyperlink"/>
          </w:rPr>
          <w:t xml:space="preserve"> models in r</w:t>
        </w:r>
      </w:hyperlink>
      <w:r>
        <w:t>. CPT: Pharmacometrics &amp; Systems Pharmacology 2015; 5: 3–10.</w:t>
      </w:r>
    </w:p>
    <w:p w14:paraId="1C1ECE37" w14:textId="4D5EFB7C" w:rsidR="007F4433" w:rsidRDefault="00765778">
      <w:pPr>
        <w:pStyle w:val="Bibliography"/>
      </w:pPr>
      <w:r w:rsidRPr="00576F82">
        <w:rPr>
          <w:b/>
          <w:bCs/>
          <w:lang w:val="nl-NL"/>
        </w:rPr>
        <w:t>1</w:t>
      </w:r>
      <w:r w:rsidR="008B78F1">
        <w:rPr>
          <w:b/>
          <w:bCs/>
          <w:lang w:val="nl-NL"/>
        </w:rPr>
        <w:t>8</w:t>
      </w:r>
      <w:r w:rsidRPr="00576F82">
        <w:rPr>
          <w:lang w:val="nl-NL"/>
        </w:rPr>
        <w:t xml:space="preserve">. </w:t>
      </w:r>
      <w:r w:rsidRPr="00576F82">
        <w:rPr>
          <w:lang w:val="nl-NL"/>
        </w:rPr>
        <w:tab/>
        <w:t xml:space="preserve">Velde F de, Winter BCM de, Koch BCP, Gelder T van, </w:t>
      </w:r>
      <w:proofErr w:type="spellStart"/>
      <w:r w:rsidRPr="00576F82">
        <w:rPr>
          <w:lang w:val="nl-NL"/>
        </w:rPr>
        <w:t>Mouton</w:t>
      </w:r>
      <w:proofErr w:type="spellEnd"/>
      <w:r w:rsidRPr="00576F82">
        <w:rPr>
          <w:lang w:val="nl-NL"/>
        </w:rPr>
        <w:t xml:space="preserve"> JW. </w:t>
      </w:r>
      <w:hyperlink r:id="rId21">
        <w:r w:rsidR="007F4433">
          <w:rPr>
            <w:rStyle w:val="Hyperlink"/>
          </w:rPr>
          <w:t>Non-linear absorption pharmacokinetics of amoxicillin: Consequences for dosing regimens and clinical breakpoints</w:t>
        </w:r>
      </w:hyperlink>
      <w:r>
        <w:t>. Journal of Antimicrobial Chemotherapy 2016; 71: 2909–2917.</w:t>
      </w:r>
    </w:p>
    <w:p w14:paraId="1C1ECE38" w14:textId="4FE2B48D" w:rsidR="007F4433" w:rsidRDefault="00765778">
      <w:pPr>
        <w:pStyle w:val="Bibliography"/>
      </w:pPr>
      <w:bookmarkStart w:id="29" w:name="ref-Lonsdale2020"/>
      <w:bookmarkEnd w:id="28"/>
      <w:r>
        <w:rPr>
          <w:b/>
          <w:bCs/>
        </w:rPr>
        <w:t>1</w:t>
      </w:r>
      <w:r w:rsidR="008B78F1">
        <w:rPr>
          <w:b/>
          <w:bCs/>
        </w:rPr>
        <w:t>9</w:t>
      </w:r>
      <w:r>
        <w:t xml:space="preserve">. </w:t>
      </w:r>
      <w:r>
        <w:tab/>
        <w:t xml:space="preserve">Lonsdale DO, Kipper K, Baker EH </w:t>
      </w:r>
      <w:r>
        <w:rPr>
          <w:i/>
          <w:iCs/>
        </w:rPr>
        <w:t>et al.</w:t>
      </w:r>
      <w:r>
        <w:t xml:space="preserve"> </w:t>
      </w:r>
      <w:hyperlink r:id="rId22">
        <w:r w:rsidR="007F4433">
          <w:rPr>
            <w:rStyle w:val="Hyperlink"/>
          </w:rPr>
          <w:t xml:space="preserve">Β-lactam antimicrobial  pharmacokinetics and target attainment in critically ill patients aged 1 day to 90 years: The </w:t>
        </w:r>
        <w:proofErr w:type="spellStart"/>
        <w:r w:rsidR="007F4433">
          <w:rPr>
            <w:rStyle w:val="Hyperlink"/>
          </w:rPr>
          <w:t>ABDose</w:t>
        </w:r>
        <w:proofErr w:type="spellEnd"/>
        <w:r w:rsidR="007F4433">
          <w:rPr>
            <w:rStyle w:val="Hyperlink"/>
          </w:rPr>
          <w:t xml:space="preserve"> study</w:t>
        </w:r>
      </w:hyperlink>
      <w:r>
        <w:t>. Journal of Antimicrobial Chemotherapy 2020; 75: 3625–3634.</w:t>
      </w:r>
    </w:p>
    <w:p w14:paraId="1C1ECE3B" w14:textId="77777777" w:rsidR="007F4433" w:rsidRDefault="00765778">
      <w:pPr>
        <w:pStyle w:val="Bibliography"/>
      </w:pPr>
      <w:bookmarkStart w:id="30" w:name="ref-ibiamox"/>
      <w:bookmarkEnd w:id="29"/>
      <w:r>
        <w:rPr>
          <w:b/>
          <w:bCs/>
        </w:rPr>
        <w:t>20</w:t>
      </w:r>
      <w:r>
        <w:t xml:space="preserve">. </w:t>
      </w:r>
      <w:r>
        <w:tab/>
        <w:t xml:space="preserve">Ltd DP. </w:t>
      </w:r>
      <w:proofErr w:type="spellStart"/>
      <w:r>
        <w:t>Ibiamox</w:t>
      </w:r>
      <w:proofErr w:type="spellEnd"/>
      <w:r>
        <w:t xml:space="preserve"> data sheet. 13th December 2022 </w:t>
      </w:r>
      <w:hyperlink r:id="rId23">
        <w:r w:rsidR="007F4433">
          <w:rPr>
            <w:rStyle w:val="Hyperlink"/>
          </w:rPr>
          <w:t>https://www.medsafe.govt.nz/profs/datasheet/i/ibiamoxinj.pdf</w:t>
        </w:r>
      </w:hyperlink>
      <w:r>
        <w:t>.</w:t>
      </w:r>
    </w:p>
    <w:p w14:paraId="4669FB83" w14:textId="0FA1E012" w:rsidR="002926B9" w:rsidRPr="002926B9" w:rsidRDefault="00B5502A" w:rsidP="002926B9">
      <w:pPr>
        <w:pStyle w:val="Bibliography"/>
        <w:rPr>
          <w:lang w:val="en-GB"/>
        </w:rPr>
      </w:pPr>
      <w:r w:rsidRPr="00C22695">
        <w:rPr>
          <w:b/>
          <w:bCs/>
        </w:rPr>
        <w:t>21</w:t>
      </w:r>
      <w:r w:rsidRPr="00C22695">
        <w:t>.</w:t>
      </w:r>
      <w:r w:rsidRPr="00C22695">
        <w:tab/>
        <w:t xml:space="preserve"> </w:t>
      </w:r>
      <w:r w:rsidR="002926B9" w:rsidRPr="00C22695">
        <w:t xml:space="preserve">Spyker DA, </w:t>
      </w:r>
      <w:proofErr w:type="spellStart"/>
      <w:r w:rsidR="002926B9" w:rsidRPr="00C22695">
        <w:t>Rugloski</w:t>
      </w:r>
      <w:proofErr w:type="spellEnd"/>
      <w:r w:rsidR="00E30785" w:rsidRPr="00C22695">
        <w:t xml:space="preserve"> </w:t>
      </w:r>
      <w:r w:rsidR="002926B9" w:rsidRPr="00C22695">
        <w:t>RJ, Vann</w:t>
      </w:r>
      <w:r w:rsidR="00E30785" w:rsidRPr="00C22695">
        <w:t xml:space="preserve"> </w:t>
      </w:r>
      <w:r w:rsidR="002926B9" w:rsidRPr="00C22695">
        <w:t>RL, O’Brien</w:t>
      </w:r>
      <w:r w:rsidR="00E30785" w:rsidRPr="00E30785">
        <w:t xml:space="preserve"> </w:t>
      </w:r>
      <w:r w:rsidR="002926B9" w:rsidRPr="00C22695">
        <w:t>WM</w:t>
      </w:r>
      <w:r w:rsidR="00E30785" w:rsidRPr="00E30785">
        <w:t xml:space="preserve">. </w:t>
      </w:r>
      <w:r w:rsidR="002926B9" w:rsidRPr="00C22695">
        <w:rPr>
          <w:color w:val="156082" w:themeColor="accent1"/>
          <w:lang w:val="en-GB"/>
        </w:rPr>
        <w:t>Pharmacokinetics of Amoxicillin: Dose Dependence After Intravenous, Oral, and Intramuscular Administration.</w:t>
      </w:r>
      <w:r w:rsidR="002926B9" w:rsidRPr="00E30785">
        <w:rPr>
          <w:lang w:val="en-GB"/>
        </w:rPr>
        <w:t xml:space="preserve"> </w:t>
      </w:r>
      <w:r w:rsidR="002926B9" w:rsidRPr="00C22695">
        <w:rPr>
          <w:lang w:val="en-GB"/>
        </w:rPr>
        <w:t>Antimicrobial Agents and Chemotherapy</w:t>
      </w:r>
      <w:r w:rsidR="00E30785" w:rsidRPr="00C22695">
        <w:rPr>
          <w:lang w:val="en-GB"/>
        </w:rPr>
        <w:t xml:space="preserve"> </w:t>
      </w:r>
      <w:r w:rsidR="00E30785" w:rsidRPr="00E30785">
        <w:t>1977</w:t>
      </w:r>
      <w:r w:rsidR="00E30785" w:rsidRPr="00E30785">
        <w:t>;</w:t>
      </w:r>
      <w:r w:rsidR="002926B9" w:rsidRPr="00E30785">
        <w:rPr>
          <w:lang w:val="en-GB"/>
        </w:rPr>
        <w:t xml:space="preserve"> </w:t>
      </w:r>
      <w:r w:rsidR="002926B9" w:rsidRPr="00C22695">
        <w:rPr>
          <w:lang w:val="en-GB"/>
        </w:rPr>
        <w:t>11</w:t>
      </w:r>
      <w:r w:rsidR="002926B9" w:rsidRPr="00E30785">
        <w:rPr>
          <w:lang w:val="en-GB"/>
        </w:rPr>
        <w:t>(1)</w:t>
      </w:r>
      <w:r w:rsidR="00E30785" w:rsidRPr="00E30785">
        <w:rPr>
          <w:lang w:val="en-GB"/>
        </w:rPr>
        <w:t>:</w:t>
      </w:r>
      <w:r w:rsidR="002926B9" w:rsidRPr="00E30785">
        <w:rPr>
          <w:lang w:val="en-GB"/>
        </w:rPr>
        <w:t xml:space="preserve"> 132–141.</w:t>
      </w:r>
      <w:r w:rsidR="002926B9" w:rsidRPr="002926B9">
        <w:rPr>
          <w:lang w:val="en-GB"/>
        </w:rPr>
        <w:t xml:space="preserve"> </w:t>
      </w:r>
    </w:p>
    <w:p w14:paraId="08FE0B84" w14:textId="3EC8E73D" w:rsidR="00A26BDA" w:rsidRPr="00B03F4F" w:rsidRDefault="00B5502A">
      <w:pPr>
        <w:pStyle w:val="Bibliography"/>
      </w:pPr>
      <w:r>
        <w:rPr>
          <w:b/>
          <w:bCs/>
        </w:rPr>
        <w:t xml:space="preserve">22. </w:t>
      </w:r>
      <w:r>
        <w:rPr>
          <w:b/>
          <w:bCs/>
        </w:rPr>
        <w:tab/>
      </w:r>
      <w:r w:rsidR="00A26BDA" w:rsidRPr="00C22695">
        <w:t>Arancibia</w:t>
      </w:r>
      <w:r w:rsidR="00B03F4F">
        <w:t xml:space="preserve"> </w:t>
      </w:r>
      <w:r w:rsidR="00A26BDA" w:rsidRPr="00C22695">
        <w:t>A, Guttmann</w:t>
      </w:r>
      <w:r w:rsidR="00B03F4F">
        <w:t xml:space="preserve"> </w:t>
      </w:r>
      <w:r w:rsidR="00A26BDA" w:rsidRPr="00C22695">
        <w:t>J, González</w:t>
      </w:r>
      <w:r w:rsidR="00B03F4F">
        <w:t xml:space="preserve"> </w:t>
      </w:r>
      <w:r w:rsidR="00A26BDA" w:rsidRPr="00C22695">
        <w:t xml:space="preserve">G, González C. </w:t>
      </w:r>
      <w:r w:rsidR="00A26BDA" w:rsidRPr="00C22695">
        <w:rPr>
          <w:color w:val="156082" w:themeColor="accent1"/>
        </w:rPr>
        <w:t xml:space="preserve">Absorption and disposition kinetics of amoxicillin in normal human subjects. </w:t>
      </w:r>
      <w:r w:rsidR="00A26BDA" w:rsidRPr="00C22695">
        <w:t>Antimicrobial Agents and Chemotherapy</w:t>
      </w:r>
      <w:r w:rsidR="00B03F4F">
        <w:t xml:space="preserve"> </w:t>
      </w:r>
      <w:r w:rsidR="00B03F4F" w:rsidRPr="00E84744">
        <w:t>1980</w:t>
      </w:r>
      <w:r w:rsidR="00B03F4F">
        <w:t>;</w:t>
      </w:r>
      <w:r w:rsidR="00A26BDA" w:rsidRPr="00C22695">
        <w:t xml:space="preserve"> 17(2)</w:t>
      </w:r>
      <w:r w:rsidR="00B03F4F">
        <w:t>:</w:t>
      </w:r>
      <w:r w:rsidR="00A26BDA" w:rsidRPr="00C22695">
        <w:t xml:space="preserve"> 199–202. </w:t>
      </w:r>
    </w:p>
    <w:p w14:paraId="56B4A5AA" w14:textId="349E2A4C" w:rsidR="00A26BDA" w:rsidRPr="00A26BDA" w:rsidRDefault="009C715C" w:rsidP="00A26BDA">
      <w:pPr>
        <w:pStyle w:val="Bibliography"/>
        <w:rPr>
          <w:b/>
          <w:bCs/>
          <w:lang w:val="en-GB"/>
        </w:rPr>
      </w:pPr>
      <w:r>
        <w:rPr>
          <w:b/>
          <w:bCs/>
          <w:lang w:val="nl-NL"/>
        </w:rPr>
        <w:t xml:space="preserve">23. </w:t>
      </w:r>
      <w:r>
        <w:rPr>
          <w:b/>
          <w:bCs/>
          <w:lang w:val="nl-NL"/>
        </w:rPr>
        <w:tab/>
      </w:r>
      <w:r w:rsidR="00A26BDA" w:rsidRPr="00C22695">
        <w:rPr>
          <w:lang w:val="nl-NL"/>
        </w:rPr>
        <w:t xml:space="preserve">Carlier M, Noe M, de </w:t>
      </w:r>
      <w:proofErr w:type="spellStart"/>
      <w:r w:rsidR="00A26BDA" w:rsidRPr="00C22695">
        <w:rPr>
          <w:lang w:val="nl-NL"/>
        </w:rPr>
        <w:t>Waele</w:t>
      </w:r>
      <w:proofErr w:type="spellEnd"/>
      <w:r w:rsidR="00A26BDA" w:rsidRPr="00C22695">
        <w:rPr>
          <w:lang w:val="nl-NL"/>
        </w:rPr>
        <w:t xml:space="preserve"> J </w:t>
      </w:r>
      <w:proofErr w:type="spellStart"/>
      <w:r w:rsidR="00A26BDA" w:rsidRPr="00C22695">
        <w:rPr>
          <w:lang w:val="nl-NL"/>
        </w:rPr>
        <w:t>J</w:t>
      </w:r>
      <w:proofErr w:type="spellEnd"/>
      <w:r w:rsidR="00A26BDA" w:rsidRPr="00C22695">
        <w:rPr>
          <w:lang w:val="nl-NL"/>
        </w:rPr>
        <w:t xml:space="preserve">, </w:t>
      </w:r>
      <w:proofErr w:type="spellStart"/>
      <w:r w:rsidR="00A26BDA" w:rsidRPr="00C22695">
        <w:rPr>
          <w:lang w:val="nl-NL"/>
        </w:rPr>
        <w:t>Stove</w:t>
      </w:r>
      <w:proofErr w:type="spellEnd"/>
      <w:r w:rsidR="00A26BDA" w:rsidRPr="00C22695">
        <w:rPr>
          <w:lang w:val="nl-NL"/>
        </w:rPr>
        <w:t xml:space="preserve"> V, Verstraete AG, Lipman</w:t>
      </w:r>
      <w:r w:rsidR="00B03F4F">
        <w:rPr>
          <w:lang w:val="nl-NL"/>
        </w:rPr>
        <w:t xml:space="preserve"> </w:t>
      </w:r>
      <w:r w:rsidR="00A26BDA" w:rsidRPr="00C22695">
        <w:rPr>
          <w:lang w:val="nl-NL"/>
        </w:rPr>
        <w:t xml:space="preserve">J, Roberts JA. </w:t>
      </w:r>
      <w:r w:rsidR="00A26BDA" w:rsidRPr="00C22695">
        <w:rPr>
          <w:color w:val="156082" w:themeColor="accent1"/>
          <w:lang w:val="en-GB"/>
        </w:rPr>
        <w:t>Population pharmacokinetics and dosing simulations of amoxicillin/clavulanic acid in critically ill patients.</w:t>
      </w:r>
      <w:r w:rsidR="00A26BDA" w:rsidRPr="00C22695">
        <w:rPr>
          <w:lang w:val="en-GB"/>
        </w:rPr>
        <w:t xml:space="preserve"> Journal of Antimicrobial Chemotherapy</w:t>
      </w:r>
      <w:r w:rsidR="00B03F4F">
        <w:rPr>
          <w:lang w:val="en-GB"/>
        </w:rPr>
        <w:t xml:space="preserve"> </w:t>
      </w:r>
      <w:r w:rsidR="00B03F4F" w:rsidRPr="00E84744">
        <w:rPr>
          <w:lang w:val="nl-NL"/>
        </w:rPr>
        <w:t>2013</w:t>
      </w:r>
      <w:r w:rsidR="00B03F4F">
        <w:rPr>
          <w:lang w:val="nl-NL"/>
        </w:rPr>
        <w:t>;</w:t>
      </w:r>
      <w:r w:rsidR="00A26BDA" w:rsidRPr="00C22695">
        <w:rPr>
          <w:lang w:val="en-GB"/>
        </w:rPr>
        <w:t xml:space="preserve"> 68(11)</w:t>
      </w:r>
      <w:r w:rsidR="00B03F4F">
        <w:rPr>
          <w:lang w:val="en-GB"/>
        </w:rPr>
        <w:t>:</w:t>
      </w:r>
      <w:r w:rsidR="00A26BDA" w:rsidRPr="00C22695">
        <w:rPr>
          <w:lang w:val="en-GB"/>
        </w:rPr>
        <w:t xml:space="preserve"> 2600–2608. </w:t>
      </w:r>
    </w:p>
    <w:p w14:paraId="6CD1875C" w14:textId="19F582CD" w:rsidR="006E46EA" w:rsidRPr="006E46EA" w:rsidRDefault="009C715C" w:rsidP="006E46EA">
      <w:pPr>
        <w:pStyle w:val="Bibliography"/>
        <w:rPr>
          <w:lang w:val="en-GB"/>
        </w:rPr>
      </w:pPr>
      <w:r w:rsidRPr="00C22695">
        <w:rPr>
          <w:b/>
          <w:bCs/>
          <w:lang w:val="en-GB"/>
        </w:rPr>
        <w:t>24</w:t>
      </w:r>
      <w:r>
        <w:rPr>
          <w:lang w:val="en-GB"/>
        </w:rPr>
        <w:t xml:space="preserve">. </w:t>
      </w:r>
      <w:r>
        <w:rPr>
          <w:lang w:val="en-GB"/>
        </w:rPr>
        <w:tab/>
      </w:r>
      <w:r w:rsidR="006E46EA" w:rsidRPr="00EC3E4E">
        <w:rPr>
          <w:lang w:val="en-GB"/>
        </w:rPr>
        <w:t xml:space="preserve">Mimoz O, Schaeffer V, </w:t>
      </w:r>
      <w:proofErr w:type="spellStart"/>
      <w:r w:rsidR="006E46EA" w:rsidRPr="00EC3E4E">
        <w:rPr>
          <w:lang w:val="en-GB"/>
        </w:rPr>
        <w:t>Incagnoli</w:t>
      </w:r>
      <w:proofErr w:type="spellEnd"/>
      <w:r w:rsidR="006E46EA" w:rsidRPr="00EC3E4E">
        <w:rPr>
          <w:lang w:val="en-GB"/>
        </w:rPr>
        <w:t xml:space="preserve"> P, </w:t>
      </w:r>
      <w:proofErr w:type="spellStart"/>
      <w:r w:rsidR="006E46EA" w:rsidRPr="00EC3E4E">
        <w:rPr>
          <w:lang w:val="en-GB"/>
        </w:rPr>
        <w:t>Louchahi</w:t>
      </w:r>
      <w:proofErr w:type="spellEnd"/>
      <w:r w:rsidR="006E46EA" w:rsidRPr="00EC3E4E">
        <w:rPr>
          <w:lang w:val="en-GB"/>
        </w:rPr>
        <w:t xml:space="preserve"> K, Edouard A, Petitjea</w:t>
      </w:r>
      <w:r w:rsidR="00EC3E4E">
        <w:rPr>
          <w:lang w:val="en-GB"/>
        </w:rPr>
        <w:t>n</w:t>
      </w:r>
      <w:r w:rsidR="006E46EA" w:rsidRPr="00EC3E4E">
        <w:rPr>
          <w:lang w:val="en-GB"/>
        </w:rPr>
        <w:t xml:space="preserve"> O, Tod M. </w:t>
      </w:r>
      <w:r w:rsidR="006E46EA" w:rsidRPr="00C22695">
        <w:rPr>
          <w:color w:val="156082" w:themeColor="accent1"/>
          <w:lang w:val="en-GB"/>
        </w:rPr>
        <w:t xml:space="preserve">Co-amoxiclav pharmacokinetics during posttraumatic </w:t>
      </w:r>
      <w:proofErr w:type="spellStart"/>
      <w:r w:rsidR="006E46EA" w:rsidRPr="00C22695">
        <w:rPr>
          <w:color w:val="156082" w:themeColor="accent1"/>
          <w:lang w:val="en-GB"/>
        </w:rPr>
        <w:t>hemorrhagic</w:t>
      </w:r>
      <w:proofErr w:type="spellEnd"/>
      <w:r w:rsidR="006E46EA" w:rsidRPr="00C22695">
        <w:rPr>
          <w:color w:val="156082" w:themeColor="accent1"/>
          <w:lang w:val="en-GB"/>
        </w:rPr>
        <w:t xml:space="preserve"> shock</w:t>
      </w:r>
      <w:r w:rsidR="006E46EA" w:rsidRPr="00EC3E4E">
        <w:rPr>
          <w:lang w:val="en-GB"/>
        </w:rPr>
        <w:t xml:space="preserve">. </w:t>
      </w:r>
      <w:r w:rsidR="006E46EA" w:rsidRPr="00C22695">
        <w:rPr>
          <w:lang w:val="en-GB"/>
        </w:rPr>
        <w:t>Critical Care Medicine</w:t>
      </w:r>
      <w:r w:rsidR="00EC3E4E" w:rsidRPr="00C22695">
        <w:rPr>
          <w:lang w:val="en-GB"/>
        </w:rPr>
        <w:t xml:space="preserve"> </w:t>
      </w:r>
      <w:r w:rsidR="00EC3E4E" w:rsidRPr="00EC3E4E">
        <w:rPr>
          <w:lang w:val="en-GB"/>
        </w:rPr>
        <w:t>2001</w:t>
      </w:r>
      <w:r w:rsidR="00EC3E4E" w:rsidRPr="00EC3E4E">
        <w:rPr>
          <w:lang w:val="en-GB"/>
        </w:rPr>
        <w:t>;</w:t>
      </w:r>
      <w:r w:rsidR="006E46EA" w:rsidRPr="00EC3E4E">
        <w:rPr>
          <w:lang w:val="en-GB"/>
        </w:rPr>
        <w:t xml:space="preserve"> </w:t>
      </w:r>
      <w:r w:rsidR="006E46EA" w:rsidRPr="00C22695">
        <w:rPr>
          <w:lang w:val="en-GB"/>
        </w:rPr>
        <w:t>29</w:t>
      </w:r>
      <w:r w:rsidR="006E46EA" w:rsidRPr="00EC3E4E">
        <w:rPr>
          <w:lang w:val="en-GB"/>
        </w:rPr>
        <w:t>(7)</w:t>
      </w:r>
      <w:r w:rsidR="00EC3E4E" w:rsidRPr="00EC3E4E">
        <w:rPr>
          <w:lang w:val="en-GB"/>
        </w:rPr>
        <w:t>:</w:t>
      </w:r>
      <w:r w:rsidR="006E46EA" w:rsidRPr="00EC3E4E">
        <w:rPr>
          <w:lang w:val="en-GB"/>
        </w:rPr>
        <w:t xml:space="preserve"> 1350–1355.</w:t>
      </w:r>
      <w:r w:rsidR="006E46EA" w:rsidRPr="006E46EA">
        <w:rPr>
          <w:lang w:val="en-GB"/>
        </w:rPr>
        <w:t xml:space="preserve"> </w:t>
      </w:r>
    </w:p>
    <w:p w14:paraId="0D8E39A5" w14:textId="1321DBAB" w:rsidR="001758EE" w:rsidRDefault="00765778">
      <w:pPr>
        <w:pStyle w:val="Bibliography"/>
        <w:rPr>
          <w:b/>
          <w:bCs/>
        </w:rPr>
      </w:pPr>
      <w:bookmarkStart w:id="31" w:name="ref-Aronson2015"/>
      <w:bookmarkEnd w:id="30"/>
      <w:r>
        <w:rPr>
          <w:b/>
          <w:bCs/>
        </w:rPr>
        <w:t>2</w:t>
      </w:r>
      <w:r w:rsidR="009C715C">
        <w:rPr>
          <w:b/>
          <w:bCs/>
        </w:rPr>
        <w:t>5</w:t>
      </w:r>
      <w:r>
        <w:t xml:space="preserve">. </w:t>
      </w:r>
      <w:r>
        <w:tab/>
        <w:t xml:space="preserve">Aronson JK, Ferner RE. </w:t>
      </w:r>
      <w:hyperlink r:id="rId24">
        <w:r w:rsidR="007F4433">
          <w:rPr>
            <w:rStyle w:val="Hyperlink"/>
          </w:rPr>
          <w:t>The law of mass action and the pharmacological concentration–effect curve: Resolving the paradox of apparently non-dose-related adverse drug reactions</w:t>
        </w:r>
      </w:hyperlink>
      <w:r>
        <w:t>. British Journal of Clinical Pharmacology 2016; 81: 56–61.</w:t>
      </w:r>
    </w:p>
    <w:p w14:paraId="29ECC5B7" w14:textId="30883F7D" w:rsidR="008B78F1" w:rsidRPr="008B78F1" w:rsidRDefault="009C715C" w:rsidP="008B78F1">
      <w:pPr>
        <w:pStyle w:val="Bibliography"/>
        <w:rPr>
          <w:b/>
          <w:bCs/>
          <w:lang w:val="en-GB"/>
        </w:rPr>
      </w:pPr>
      <w:r>
        <w:rPr>
          <w:b/>
          <w:bCs/>
          <w:lang w:val="en-GB"/>
        </w:rPr>
        <w:t xml:space="preserve">26. </w:t>
      </w:r>
      <w:r>
        <w:rPr>
          <w:b/>
          <w:bCs/>
          <w:lang w:val="en-GB"/>
        </w:rPr>
        <w:tab/>
      </w:r>
      <w:r w:rsidR="008B78F1" w:rsidRPr="00C22695">
        <w:rPr>
          <w:lang w:val="en-GB"/>
        </w:rPr>
        <w:t>Charneski L, Deshpande G,</w:t>
      </w:r>
      <w:r w:rsidR="00B03F4F">
        <w:rPr>
          <w:lang w:val="en-GB"/>
        </w:rPr>
        <w:t xml:space="preserve"> </w:t>
      </w:r>
      <w:r w:rsidR="008B78F1" w:rsidRPr="00C22695">
        <w:rPr>
          <w:lang w:val="en-GB"/>
        </w:rPr>
        <w:t xml:space="preserve">Smith SW. </w:t>
      </w:r>
      <w:r w:rsidR="008B78F1" w:rsidRPr="00C22695">
        <w:rPr>
          <w:color w:val="156082" w:themeColor="accent1"/>
          <w:lang w:val="en-GB"/>
        </w:rPr>
        <w:t>Impact of an Antimicrobial Allergy Label in the Medical Record on Clinical Outcomes in Hospitalized Patients.</w:t>
      </w:r>
      <w:r w:rsidR="008B78F1" w:rsidRPr="00C22695">
        <w:rPr>
          <w:lang w:val="en-GB"/>
        </w:rPr>
        <w:t xml:space="preserve"> Pharmacotherapy: The Journal of Human Pharmacology and Drug Therapy</w:t>
      </w:r>
      <w:r w:rsidR="009F3D7F">
        <w:rPr>
          <w:lang w:val="en-GB"/>
        </w:rPr>
        <w:t xml:space="preserve"> </w:t>
      </w:r>
      <w:r w:rsidR="009F3D7F" w:rsidRPr="007A223C">
        <w:rPr>
          <w:lang w:val="en-GB"/>
        </w:rPr>
        <w:t>2011</w:t>
      </w:r>
      <w:r w:rsidR="00EC3E4E">
        <w:rPr>
          <w:lang w:val="en-GB"/>
        </w:rPr>
        <w:t>;</w:t>
      </w:r>
      <w:r w:rsidR="008B78F1" w:rsidRPr="00C22695">
        <w:rPr>
          <w:lang w:val="en-GB"/>
        </w:rPr>
        <w:t xml:space="preserve"> 31(8)</w:t>
      </w:r>
      <w:r w:rsidR="00EC3E4E">
        <w:rPr>
          <w:lang w:val="en-GB"/>
        </w:rPr>
        <w:t>:</w:t>
      </w:r>
      <w:r w:rsidR="008B78F1" w:rsidRPr="00C22695">
        <w:rPr>
          <w:lang w:val="en-GB"/>
        </w:rPr>
        <w:t xml:space="preserve"> 742–747. </w:t>
      </w:r>
    </w:p>
    <w:p w14:paraId="28E6BD93" w14:textId="14F4E9B8" w:rsidR="000118DB" w:rsidRDefault="000118DB">
      <w:pPr>
        <w:pStyle w:val="Bibliography"/>
      </w:pPr>
      <w:r w:rsidRPr="00213958">
        <w:rPr>
          <w:b/>
          <w:bCs/>
        </w:rPr>
        <w:t>2</w:t>
      </w:r>
      <w:r w:rsidR="009C715C">
        <w:rPr>
          <w:b/>
          <w:bCs/>
        </w:rPr>
        <w:t>7</w:t>
      </w:r>
      <w:r w:rsidRPr="00213958">
        <w:rPr>
          <w:b/>
          <w:bCs/>
        </w:rPr>
        <w:t>.</w:t>
      </w:r>
      <w:r>
        <w:t xml:space="preserve"> </w:t>
      </w:r>
      <w:r>
        <w:tab/>
        <w:t xml:space="preserve">Xiang YY, Heriot GS, Jamrozik E. </w:t>
      </w:r>
      <w:hyperlink r:id="rId25" w:history="1">
        <w:r w:rsidRPr="00DB3275">
          <w:rPr>
            <w:rStyle w:val="Hyperlink"/>
          </w:rPr>
          <w:t>Ethics of antibiotic allergy.</w:t>
        </w:r>
      </w:hyperlink>
      <w:r>
        <w:t xml:space="preserve"> </w:t>
      </w:r>
      <w:r w:rsidRPr="005327AE">
        <w:t>Journal of Medical Ethics 2024;</w:t>
      </w:r>
      <w:r>
        <w:t xml:space="preserve"> </w:t>
      </w:r>
      <w:r w:rsidRPr="005327AE">
        <w:t>50:</w:t>
      </w:r>
      <w:r>
        <w:t xml:space="preserve"> </w:t>
      </w:r>
      <w:r w:rsidRPr="005327AE">
        <w:t>39-44.</w:t>
      </w:r>
    </w:p>
    <w:p w14:paraId="1C1ECE3D" w14:textId="12B6ECF9" w:rsidR="007F4433" w:rsidRDefault="00765778">
      <w:pPr>
        <w:pStyle w:val="Bibliography"/>
      </w:pPr>
      <w:bookmarkStart w:id="32" w:name="ref-alvarez2022"/>
      <w:bookmarkEnd w:id="31"/>
      <w:r>
        <w:rPr>
          <w:b/>
          <w:bCs/>
        </w:rPr>
        <w:t>2</w:t>
      </w:r>
      <w:r w:rsidR="009C715C">
        <w:rPr>
          <w:b/>
          <w:bCs/>
        </w:rPr>
        <w:t>8</w:t>
      </w:r>
      <w:r>
        <w:t xml:space="preserve">. </w:t>
      </w:r>
      <w:r>
        <w:tab/>
        <w:t>Alvarez-Cuesta E, Madrigal-</w:t>
      </w:r>
      <w:proofErr w:type="spellStart"/>
      <w:r>
        <w:t>Burgaleta</w:t>
      </w:r>
      <w:proofErr w:type="spellEnd"/>
      <w:r>
        <w:t xml:space="preserve"> R, Broyles AD </w:t>
      </w:r>
      <w:r>
        <w:rPr>
          <w:i/>
          <w:iCs/>
        </w:rPr>
        <w:t>et al.</w:t>
      </w:r>
      <w:r>
        <w:t xml:space="preserve"> </w:t>
      </w:r>
      <w:hyperlink r:id="rId26">
        <w:r w:rsidR="007F4433">
          <w:rPr>
            <w:rStyle w:val="Hyperlink"/>
          </w:rPr>
          <w:t xml:space="preserve">Standards for practical intravenous rapid drug desensitization &amp; </w:t>
        </w:r>
        <w:proofErr w:type="spellStart"/>
        <w:r w:rsidR="007F4433">
          <w:rPr>
            <w:rStyle w:val="Hyperlink"/>
          </w:rPr>
          <w:t>delabeling</w:t>
        </w:r>
        <w:proofErr w:type="spellEnd"/>
        <w:r w:rsidR="007F4433">
          <w:rPr>
            <w:rStyle w:val="Hyperlink"/>
          </w:rPr>
          <w:t>: A WAO committee statement</w:t>
        </w:r>
      </w:hyperlink>
      <w:r>
        <w:t>. World Allergy Organization Journal 2022; 15: 100640.</w:t>
      </w:r>
      <w:bookmarkEnd w:id="11"/>
      <w:bookmarkEnd w:id="13"/>
      <w:bookmarkEnd w:id="32"/>
    </w:p>
    <w:sectPr w:rsidR="007F4433">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B005D4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CE443B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67868708">
    <w:abstractNumId w:val="0"/>
  </w:num>
  <w:num w:numId="2" w16cid:durableId="1204367069">
    <w:abstractNumId w:val="1"/>
  </w:num>
  <w:num w:numId="3" w16cid:durableId="701981858">
    <w:abstractNumId w:val="1"/>
  </w:num>
  <w:num w:numId="4" w16cid:durableId="1734542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7F4433"/>
    <w:rsid w:val="000118DB"/>
    <w:rsid w:val="000331BE"/>
    <w:rsid w:val="00037D70"/>
    <w:rsid w:val="000449AA"/>
    <w:rsid w:val="0007686C"/>
    <w:rsid w:val="000E085B"/>
    <w:rsid w:val="00101A11"/>
    <w:rsid w:val="0010247F"/>
    <w:rsid w:val="00105348"/>
    <w:rsid w:val="00152CA4"/>
    <w:rsid w:val="001758EE"/>
    <w:rsid w:val="00182DB5"/>
    <w:rsid w:val="001960B2"/>
    <w:rsid w:val="001A4035"/>
    <w:rsid w:val="001E0EA9"/>
    <w:rsid w:val="00216212"/>
    <w:rsid w:val="0024510C"/>
    <w:rsid w:val="00247C3E"/>
    <w:rsid w:val="00254E7D"/>
    <w:rsid w:val="00266AFA"/>
    <w:rsid w:val="002926B9"/>
    <w:rsid w:val="002B1280"/>
    <w:rsid w:val="002E1C24"/>
    <w:rsid w:val="002E5F74"/>
    <w:rsid w:val="003178BB"/>
    <w:rsid w:val="00322B88"/>
    <w:rsid w:val="0034181F"/>
    <w:rsid w:val="00346731"/>
    <w:rsid w:val="00352540"/>
    <w:rsid w:val="003663E6"/>
    <w:rsid w:val="00372E48"/>
    <w:rsid w:val="00376236"/>
    <w:rsid w:val="003C4724"/>
    <w:rsid w:val="003E09CA"/>
    <w:rsid w:val="0045527C"/>
    <w:rsid w:val="0046289C"/>
    <w:rsid w:val="004843A1"/>
    <w:rsid w:val="004A00C4"/>
    <w:rsid w:val="005327AE"/>
    <w:rsid w:val="005503A4"/>
    <w:rsid w:val="00560A8E"/>
    <w:rsid w:val="00562ADA"/>
    <w:rsid w:val="0057122A"/>
    <w:rsid w:val="00576F82"/>
    <w:rsid w:val="00635C34"/>
    <w:rsid w:val="00635F68"/>
    <w:rsid w:val="00653CF7"/>
    <w:rsid w:val="006B1B79"/>
    <w:rsid w:val="006C5254"/>
    <w:rsid w:val="006E46EA"/>
    <w:rsid w:val="006E474F"/>
    <w:rsid w:val="006F52F2"/>
    <w:rsid w:val="007074CF"/>
    <w:rsid w:val="00714603"/>
    <w:rsid w:val="00742EA4"/>
    <w:rsid w:val="00765778"/>
    <w:rsid w:val="00772909"/>
    <w:rsid w:val="00791E31"/>
    <w:rsid w:val="007B426A"/>
    <w:rsid w:val="007D52CA"/>
    <w:rsid w:val="007F4433"/>
    <w:rsid w:val="008147B0"/>
    <w:rsid w:val="00826C73"/>
    <w:rsid w:val="008B78F1"/>
    <w:rsid w:val="00964BD7"/>
    <w:rsid w:val="00971715"/>
    <w:rsid w:val="009B0743"/>
    <w:rsid w:val="009C50CD"/>
    <w:rsid w:val="009C715C"/>
    <w:rsid w:val="009D0486"/>
    <w:rsid w:val="009F3D7F"/>
    <w:rsid w:val="00A04551"/>
    <w:rsid w:val="00A26BDA"/>
    <w:rsid w:val="00A55275"/>
    <w:rsid w:val="00A55CA4"/>
    <w:rsid w:val="00A670DC"/>
    <w:rsid w:val="00A756D9"/>
    <w:rsid w:val="00A960E0"/>
    <w:rsid w:val="00A97B6C"/>
    <w:rsid w:val="00B03F4F"/>
    <w:rsid w:val="00B20315"/>
    <w:rsid w:val="00B5502A"/>
    <w:rsid w:val="00B659BC"/>
    <w:rsid w:val="00B67875"/>
    <w:rsid w:val="00B74C1F"/>
    <w:rsid w:val="00BA46CD"/>
    <w:rsid w:val="00BE7556"/>
    <w:rsid w:val="00C13E0D"/>
    <w:rsid w:val="00C22695"/>
    <w:rsid w:val="00C364AC"/>
    <w:rsid w:val="00C50F85"/>
    <w:rsid w:val="00C959CC"/>
    <w:rsid w:val="00CD0D21"/>
    <w:rsid w:val="00CD299D"/>
    <w:rsid w:val="00D00A7D"/>
    <w:rsid w:val="00D241E1"/>
    <w:rsid w:val="00D471FE"/>
    <w:rsid w:val="00D96D64"/>
    <w:rsid w:val="00DA1935"/>
    <w:rsid w:val="00DA71E0"/>
    <w:rsid w:val="00DB3275"/>
    <w:rsid w:val="00DD74A4"/>
    <w:rsid w:val="00DD771A"/>
    <w:rsid w:val="00DD7BCC"/>
    <w:rsid w:val="00DF3C12"/>
    <w:rsid w:val="00E30785"/>
    <w:rsid w:val="00E414C6"/>
    <w:rsid w:val="00E454FB"/>
    <w:rsid w:val="00E504CC"/>
    <w:rsid w:val="00E77784"/>
    <w:rsid w:val="00E81881"/>
    <w:rsid w:val="00E83678"/>
    <w:rsid w:val="00E948FA"/>
    <w:rsid w:val="00EC3E4E"/>
    <w:rsid w:val="00ED44B1"/>
    <w:rsid w:val="00EF176D"/>
    <w:rsid w:val="00F0637E"/>
    <w:rsid w:val="00F224F6"/>
    <w:rsid w:val="00F22D4D"/>
    <w:rsid w:val="00F42978"/>
    <w:rsid w:val="00F55A02"/>
    <w:rsid w:val="00FB2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CDB8"/>
  <w15:docId w15:val="{FDDC6BC1-A0C8-419E-A341-24F66600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8F5902"/>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b/>
      <w:color w:val="CE5C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b/>
      <w:color w:val="204A87"/>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204A87"/>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Revision">
    <w:name w:val="Revision"/>
    <w:hidden/>
    <w:rsid w:val="00576F82"/>
    <w:pPr>
      <w:spacing w:after="0"/>
    </w:pPr>
  </w:style>
  <w:style w:type="character" w:customStyle="1" w:styleId="relative">
    <w:name w:val="relative"/>
    <w:basedOn w:val="DefaultParagraphFont"/>
    <w:rsid w:val="00A04551"/>
  </w:style>
  <w:style w:type="character" w:styleId="FollowedHyperlink">
    <w:name w:val="FollowedHyperlink"/>
    <w:basedOn w:val="DefaultParagraphFont"/>
    <w:rsid w:val="00772909"/>
    <w:rPr>
      <w:color w:val="96607D" w:themeColor="followedHyperlink"/>
      <w:u w:val="single"/>
    </w:rPr>
  </w:style>
  <w:style w:type="character" w:styleId="UnresolvedMention">
    <w:name w:val="Unresolved Mention"/>
    <w:basedOn w:val="DefaultParagraphFont"/>
    <w:uiPriority w:val="99"/>
    <w:semiHidden/>
    <w:unhideWhenUsed/>
    <w:rsid w:val="00DB3275"/>
    <w:rPr>
      <w:color w:val="605E5C"/>
      <w:shd w:val="clear" w:color="auto" w:fill="E1DFDD"/>
    </w:rPr>
  </w:style>
  <w:style w:type="character" w:styleId="CommentReference">
    <w:name w:val="annotation reference"/>
    <w:basedOn w:val="DefaultParagraphFont"/>
    <w:rsid w:val="00F55A02"/>
    <w:rPr>
      <w:sz w:val="16"/>
      <w:szCs w:val="16"/>
    </w:rPr>
  </w:style>
  <w:style w:type="paragraph" w:styleId="CommentText">
    <w:name w:val="annotation text"/>
    <w:basedOn w:val="Normal"/>
    <w:link w:val="CommentTextChar"/>
    <w:rsid w:val="00F55A02"/>
    <w:rPr>
      <w:sz w:val="20"/>
      <w:szCs w:val="20"/>
    </w:rPr>
  </w:style>
  <w:style w:type="character" w:customStyle="1" w:styleId="CommentTextChar">
    <w:name w:val="Comment Text Char"/>
    <w:basedOn w:val="DefaultParagraphFont"/>
    <w:link w:val="CommentText"/>
    <w:rsid w:val="00F55A02"/>
    <w:rPr>
      <w:sz w:val="20"/>
      <w:szCs w:val="20"/>
    </w:rPr>
  </w:style>
  <w:style w:type="paragraph" w:styleId="CommentSubject">
    <w:name w:val="annotation subject"/>
    <w:basedOn w:val="CommentText"/>
    <w:next w:val="CommentText"/>
    <w:link w:val="CommentSubjectChar"/>
    <w:rsid w:val="00F55A02"/>
    <w:rPr>
      <w:b/>
      <w:bCs/>
    </w:rPr>
  </w:style>
  <w:style w:type="character" w:customStyle="1" w:styleId="CommentSubjectChar">
    <w:name w:val="Comment Subject Char"/>
    <w:basedOn w:val="CommentTextChar"/>
    <w:link w:val="CommentSubject"/>
    <w:rsid w:val="00F55A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i.semanticscholar.org/CorpusID:31028380" TargetMode="External"/><Relationship Id="rId13" Type="http://schemas.openxmlformats.org/officeDocument/2006/relationships/hyperlink" Target="https://doi.org/10.1007/s40262-023-01213-x" TargetMode="External"/><Relationship Id="rId18" Type="http://schemas.openxmlformats.org/officeDocument/2006/relationships/hyperlink" Target="https://doi.org/10.1016/j.waojou.2024.100914" TargetMode="External"/><Relationship Id="rId26" Type="http://schemas.openxmlformats.org/officeDocument/2006/relationships/hyperlink" Target="https://doi.org/10.1016/j.waojou.2022.100640" TargetMode="External"/><Relationship Id="rId3" Type="http://schemas.openxmlformats.org/officeDocument/2006/relationships/settings" Target="settings.xml"/><Relationship Id="rId21" Type="http://schemas.openxmlformats.org/officeDocument/2006/relationships/hyperlink" Target="https://doi.org/10.1093/jac/dkw226" TargetMode="External"/><Relationship Id="rId7" Type="http://schemas.openxmlformats.org/officeDocument/2006/relationships/hyperlink" Target="https://doi.org/10.1016/j.jaci.2012.12.1269" TargetMode="External"/><Relationship Id="rId12" Type="http://schemas.openxmlformats.org/officeDocument/2006/relationships/hyperlink" Target="https://doi.org/10.1016/j.jcrc.2024.154977" TargetMode="External"/><Relationship Id="rId17" Type="http://schemas.openxmlformats.org/officeDocument/2006/relationships/hyperlink" Target="https://doi.org/10.1007/s001340050325" TargetMode="External"/><Relationship Id="rId25" Type="http://schemas.openxmlformats.org/officeDocument/2006/relationships/hyperlink" Target="https://jme.bmj.com/content/50/1/39" TargetMode="External"/><Relationship Id="rId2" Type="http://schemas.openxmlformats.org/officeDocument/2006/relationships/styles" Target="styles.xml"/><Relationship Id="rId16" Type="http://schemas.openxmlformats.org/officeDocument/2006/relationships/hyperlink" Target="https://doi.org/10.1007/BF01709548" TargetMode="External"/><Relationship Id="rId20" Type="http://schemas.openxmlformats.org/officeDocument/2006/relationships/hyperlink" Target="https://www.ncbi.nlm.nih.gov/pmc/articles/PMC4728294/" TargetMode="External"/><Relationship Id="rId1" Type="http://schemas.openxmlformats.org/officeDocument/2006/relationships/numbering" Target="numbering.xml"/><Relationship Id="rId6" Type="http://schemas.openxmlformats.org/officeDocument/2006/relationships/hyperlink" Target="https://doi.org/10.1093/jac/dkz127" TargetMode="External"/><Relationship Id="rId11" Type="http://schemas.openxmlformats.org/officeDocument/2006/relationships/hyperlink" Target="https://doi.org/10.1016/j.jaip.2022.01.041" TargetMode="External"/><Relationship Id="rId24" Type="http://schemas.openxmlformats.org/officeDocument/2006/relationships/hyperlink" Target="https://doi.org/10.1111/bcp.12706" TargetMode="External"/><Relationship Id="rId5" Type="http://schemas.openxmlformats.org/officeDocument/2006/relationships/image" Target="media/image1.png"/><Relationship Id="rId15" Type="http://schemas.openxmlformats.org/officeDocument/2006/relationships/hyperlink" Target="https://doi.org/10.1177/08971900221100205" TargetMode="External"/><Relationship Id="rId23" Type="http://schemas.openxmlformats.org/officeDocument/2006/relationships/hyperlink" Target="https://www.medsafe.govt.nz/profs/datasheet/i/ibiamoxinj.pdf" TargetMode="External"/><Relationship Id="rId28" Type="http://schemas.openxmlformats.org/officeDocument/2006/relationships/theme" Target="theme/theme1.xml"/><Relationship Id="rId10" Type="http://schemas.openxmlformats.org/officeDocument/2006/relationships/hyperlink" Target="https://doi.org/10.1164/rccm.202001-0089LE" TargetMode="External"/><Relationship Id="rId19" Type="http://schemas.openxmlformats.org/officeDocument/2006/relationships/hyperlink" Target="https://www.R-project.org/" TargetMode="External"/><Relationship Id="rId4" Type="http://schemas.openxmlformats.org/officeDocument/2006/relationships/webSettings" Target="webSettings.xml"/><Relationship Id="rId9" Type="http://schemas.openxmlformats.org/officeDocument/2006/relationships/hyperlink" Target="https://doi.org/10.1111/cea.14217" TargetMode="External"/><Relationship Id="rId14" Type="http://schemas.openxmlformats.org/officeDocument/2006/relationships/hyperlink" Target="https://doi.org/10.1016/S1473-3099(14)70036-2" TargetMode="External"/><Relationship Id="rId22" Type="http://schemas.openxmlformats.org/officeDocument/2006/relationships/hyperlink" Target="https://doi.org/10.1093/jac/dkaa36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4007</Words>
  <Characters>22840</Characters>
  <Application>Microsoft Office Word</Application>
  <DocSecurity>0</DocSecurity>
  <Lines>190</Lines>
  <Paragraphs>53</Paragraphs>
  <ScaleCrop>false</ScaleCrop>
  <Company/>
  <LinksUpToDate>false</LinksUpToDate>
  <CharactersWithSpaces>26794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Cleodie Swire</dc:creator>
  <cp:keywords/>
  <cp:lastModifiedBy>Cleodie Swire</cp:lastModifiedBy>
  <cp:revision>3</cp:revision>
  <dcterms:created xsi:type="dcterms:W3CDTF">2025-10-13T17:39:00Z</dcterms:created>
  <dcterms:modified xsi:type="dcterms:W3CDTF">2025-10-13T17:40:00Z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export_cs.bib</vt:lpwstr>
  </property>
  <property fmtid="{D5CDD505-2E9C-101B-9397-08002B2CF9AE}" pid="3" name="csl">
    <vt:lpwstr>aa.csl</vt:lpwstr>
  </property>
  <property fmtid="{D5CDD505-2E9C-101B-9397-08002B2CF9AE}" pid="4" name="header-includes">
    <vt:lpwstr/>
  </property>
  <property fmtid="{D5CDD505-2E9C-101B-9397-08002B2CF9AE}" pid="5" name="output">
    <vt:lpwstr/>
  </property>
  <property fmtid="{D5CDD505-2E9C-101B-9397-08002B2CF9AE}" pid="6" name="urlcolor">
    <vt:lpwstr>blue</vt:lpwstr>
  </property>
</Properties>
</file>