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23F10" w14:textId="77777777" w:rsidR="000B5684" w:rsidRPr="001631F9" w:rsidRDefault="000B5684" w:rsidP="000B5684">
      <w:pPr>
        <w:jc w:val="center"/>
        <w:rPr>
          <w:rFonts w:ascii="Arial" w:hAnsi="Arial" w:cs="Arial"/>
          <w:b/>
          <w:bCs/>
          <w:sz w:val="24"/>
          <w:szCs w:val="24"/>
        </w:rPr>
      </w:pPr>
      <w:r w:rsidRPr="001631F9">
        <w:rPr>
          <w:rFonts w:ascii="Arial" w:hAnsi="Arial" w:cs="Arial"/>
          <w:b/>
          <w:bCs/>
          <w:sz w:val="24"/>
          <w:szCs w:val="24"/>
        </w:rPr>
        <w:t xml:space="preserve">Table </w:t>
      </w:r>
      <w:r>
        <w:rPr>
          <w:rFonts w:ascii="Arial" w:hAnsi="Arial" w:cs="Arial"/>
          <w:b/>
          <w:bCs/>
          <w:sz w:val="24"/>
          <w:szCs w:val="24"/>
        </w:rPr>
        <w:t>3:</w:t>
      </w:r>
      <w:r w:rsidRPr="001631F9">
        <w:rPr>
          <w:rFonts w:ascii="Arial" w:hAnsi="Arial" w:cs="Arial"/>
          <w:b/>
          <w:bCs/>
          <w:sz w:val="24"/>
          <w:szCs w:val="24"/>
        </w:rPr>
        <w:t xml:space="preserve"> Complier-averaged causal effects (CACE) analysis of primary outcomes six months post-randomisation</w:t>
      </w:r>
    </w:p>
    <w:tbl>
      <w:tblPr>
        <w:tblW w:w="9753" w:type="dxa"/>
        <w:tblLook w:val="04A0" w:firstRow="1" w:lastRow="0" w:firstColumn="1" w:lastColumn="0" w:noHBand="0" w:noVBand="1"/>
      </w:tblPr>
      <w:tblGrid>
        <w:gridCol w:w="1838"/>
        <w:gridCol w:w="1134"/>
        <w:gridCol w:w="1170"/>
        <w:gridCol w:w="1843"/>
        <w:gridCol w:w="1134"/>
        <w:gridCol w:w="1134"/>
        <w:gridCol w:w="1500"/>
      </w:tblGrid>
      <w:tr w:rsidR="000B5684" w:rsidRPr="00D35297" w14:paraId="0D6079E1" w14:textId="77777777" w:rsidTr="005E5FA5">
        <w:trPr>
          <w:trHeight w:val="342"/>
        </w:trPr>
        <w:tc>
          <w:tcPr>
            <w:tcW w:w="1838" w:type="dxa"/>
            <w:tcBorders>
              <w:top w:val="single" w:sz="4" w:space="0" w:color="auto"/>
            </w:tcBorders>
            <w:shd w:val="clear" w:color="auto" w:fill="auto"/>
            <w:vAlign w:val="bottom"/>
            <w:hideMark/>
          </w:tcPr>
          <w:p w14:paraId="16CA10D2" w14:textId="77777777" w:rsidR="000B5684" w:rsidRPr="00D35297" w:rsidRDefault="000B5684" w:rsidP="005E5FA5">
            <w:pPr>
              <w:spacing w:after="0" w:line="240" w:lineRule="auto"/>
              <w:jc w:val="center"/>
              <w:rPr>
                <w:rFonts w:ascii="Arial Narrow" w:eastAsia="Times New Roman" w:hAnsi="Arial Narrow" w:cs="Calibri"/>
                <w:b/>
                <w:bCs/>
                <w:lang w:eastAsia="en-GB"/>
              </w:rPr>
            </w:pPr>
            <w:r w:rsidRPr="00D35297">
              <w:rPr>
                <w:rFonts w:ascii="Arial Narrow" w:eastAsia="Times New Roman" w:hAnsi="Arial Narrow" w:cs="Calibri"/>
                <w:b/>
                <w:bCs/>
                <w:lang w:eastAsia="en-GB"/>
              </w:rPr>
              <w:t>Outcome</w:t>
            </w:r>
          </w:p>
        </w:tc>
        <w:tc>
          <w:tcPr>
            <w:tcW w:w="2304" w:type="dxa"/>
            <w:gridSpan w:val="2"/>
            <w:tcBorders>
              <w:top w:val="single" w:sz="4" w:space="0" w:color="auto"/>
            </w:tcBorders>
            <w:shd w:val="clear" w:color="auto" w:fill="auto"/>
            <w:vAlign w:val="bottom"/>
            <w:hideMark/>
          </w:tcPr>
          <w:p w14:paraId="60F4111E" w14:textId="77777777" w:rsidR="000B5684" w:rsidRPr="00D35297" w:rsidRDefault="000B5684" w:rsidP="005E5FA5">
            <w:pPr>
              <w:spacing w:after="0" w:line="240" w:lineRule="auto"/>
              <w:jc w:val="center"/>
              <w:rPr>
                <w:rFonts w:ascii="Arial Narrow" w:eastAsia="Times New Roman" w:hAnsi="Arial Narrow" w:cs="Calibri"/>
                <w:b/>
                <w:bCs/>
                <w:lang w:eastAsia="en-GB"/>
              </w:rPr>
            </w:pPr>
            <w:r w:rsidRPr="00D35297">
              <w:rPr>
                <w:rFonts w:ascii="Arial Narrow" w:eastAsia="Times New Roman" w:hAnsi="Arial Narrow" w:cs="Calibri"/>
                <w:b/>
                <w:bCs/>
                <w:lang w:eastAsia="en-GB"/>
              </w:rPr>
              <w:t>Included in analysis</w:t>
            </w:r>
          </w:p>
        </w:tc>
        <w:tc>
          <w:tcPr>
            <w:tcW w:w="1843" w:type="dxa"/>
            <w:tcBorders>
              <w:top w:val="single" w:sz="4" w:space="0" w:color="auto"/>
            </w:tcBorders>
            <w:shd w:val="clear" w:color="auto" w:fill="auto"/>
            <w:vAlign w:val="bottom"/>
            <w:hideMark/>
          </w:tcPr>
          <w:p w14:paraId="0E419B05" w14:textId="77777777" w:rsidR="000B5684" w:rsidRPr="00D35297" w:rsidRDefault="000B5684" w:rsidP="005E5FA5">
            <w:pPr>
              <w:spacing w:after="0" w:line="240" w:lineRule="auto"/>
              <w:jc w:val="center"/>
              <w:rPr>
                <w:rFonts w:ascii="Arial Narrow" w:eastAsia="Times New Roman" w:hAnsi="Arial Narrow" w:cs="Calibri"/>
                <w:b/>
                <w:bCs/>
                <w:lang w:eastAsia="en-GB"/>
              </w:rPr>
            </w:pPr>
            <w:r w:rsidRPr="00D35297">
              <w:rPr>
                <w:rFonts w:ascii="Arial Narrow" w:eastAsia="Times New Roman" w:hAnsi="Arial Narrow" w:cs="Calibri"/>
                <w:b/>
                <w:bCs/>
                <w:lang w:eastAsia="en-GB"/>
              </w:rPr>
              <w:t xml:space="preserve">Effect </w:t>
            </w:r>
            <w:proofErr w:type="gramStart"/>
            <w:r w:rsidRPr="00D35297">
              <w:rPr>
                <w:rFonts w:ascii="Arial Narrow" w:eastAsia="Times New Roman" w:hAnsi="Arial Narrow" w:cs="Calibri"/>
                <w:b/>
                <w:bCs/>
                <w:lang w:eastAsia="en-GB"/>
              </w:rPr>
              <w:t>estimate</w:t>
            </w:r>
            <w:proofErr w:type="gramEnd"/>
            <w:r w:rsidRPr="00D35297">
              <w:rPr>
                <w:rFonts w:ascii="Arial Narrow" w:eastAsia="Times New Roman" w:hAnsi="Arial Narrow" w:cs="Calibri"/>
                <w:b/>
                <w:bCs/>
                <w:lang w:eastAsia="en-GB"/>
              </w:rPr>
              <w:t>*</w:t>
            </w:r>
          </w:p>
        </w:tc>
        <w:tc>
          <w:tcPr>
            <w:tcW w:w="2268" w:type="dxa"/>
            <w:gridSpan w:val="2"/>
            <w:tcBorders>
              <w:top w:val="single" w:sz="4" w:space="0" w:color="auto"/>
            </w:tcBorders>
            <w:shd w:val="clear" w:color="auto" w:fill="auto"/>
            <w:vAlign w:val="bottom"/>
            <w:hideMark/>
          </w:tcPr>
          <w:p w14:paraId="05E4D09B" w14:textId="77777777" w:rsidR="000B5684" w:rsidRPr="00D35297" w:rsidRDefault="000B5684" w:rsidP="005E5FA5">
            <w:pPr>
              <w:spacing w:after="0" w:line="240" w:lineRule="auto"/>
              <w:jc w:val="center"/>
              <w:rPr>
                <w:rFonts w:ascii="Arial Narrow" w:eastAsia="Times New Roman" w:hAnsi="Arial Narrow" w:cs="Calibri"/>
                <w:b/>
                <w:bCs/>
                <w:lang w:eastAsia="en-GB"/>
              </w:rPr>
            </w:pPr>
            <w:r w:rsidRPr="00D35297">
              <w:rPr>
                <w:rFonts w:ascii="Arial Narrow" w:eastAsia="Times New Roman" w:hAnsi="Arial Narrow" w:cs="Calibri"/>
                <w:b/>
                <w:bCs/>
                <w:lang w:eastAsia="en-GB"/>
              </w:rPr>
              <w:t>95%CI</w:t>
            </w:r>
          </w:p>
        </w:tc>
        <w:tc>
          <w:tcPr>
            <w:tcW w:w="1500" w:type="dxa"/>
            <w:tcBorders>
              <w:top w:val="single" w:sz="4" w:space="0" w:color="auto"/>
            </w:tcBorders>
            <w:shd w:val="clear" w:color="auto" w:fill="auto"/>
            <w:vAlign w:val="bottom"/>
            <w:hideMark/>
          </w:tcPr>
          <w:p w14:paraId="36239038" w14:textId="77777777" w:rsidR="000B5684" w:rsidRPr="00D35297" w:rsidRDefault="000B5684" w:rsidP="005E5FA5">
            <w:pPr>
              <w:spacing w:after="0" w:line="240" w:lineRule="auto"/>
              <w:jc w:val="center"/>
              <w:rPr>
                <w:rFonts w:ascii="Arial Narrow" w:eastAsia="Times New Roman" w:hAnsi="Arial Narrow" w:cs="Calibri"/>
                <w:b/>
                <w:bCs/>
                <w:lang w:eastAsia="en-GB"/>
              </w:rPr>
            </w:pPr>
            <w:r w:rsidRPr="00D35297">
              <w:rPr>
                <w:rFonts w:ascii="Arial Narrow" w:eastAsia="Times New Roman" w:hAnsi="Arial Narrow" w:cs="Calibri"/>
                <w:b/>
                <w:bCs/>
                <w:lang w:eastAsia="en-GB"/>
              </w:rPr>
              <w:t>P-value</w:t>
            </w:r>
          </w:p>
        </w:tc>
      </w:tr>
      <w:tr w:rsidR="000B5684" w:rsidRPr="00D35297" w14:paraId="24BB94D9" w14:textId="77777777" w:rsidTr="005E5FA5">
        <w:trPr>
          <w:trHeight w:val="647"/>
        </w:trPr>
        <w:tc>
          <w:tcPr>
            <w:tcW w:w="1838" w:type="dxa"/>
            <w:tcBorders>
              <w:bottom w:val="single" w:sz="4" w:space="0" w:color="auto"/>
            </w:tcBorders>
            <w:shd w:val="clear" w:color="auto" w:fill="auto"/>
            <w:noWrap/>
            <w:vAlign w:val="bottom"/>
            <w:hideMark/>
          </w:tcPr>
          <w:p w14:paraId="493075CB" w14:textId="77777777" w:rsidR="000B5684" w:rsidRPr="00D35297" w:rsidRDefault="000B5684" w:rsidP="005E5FA5">
            <w:pPr>
              <w:spacing w:after="0" w:line="240" w:lineRule="auto"/>
              <w:jc w:val="center"/>
              <w:rPr>
                <w:rFonts w:ascii="Arial Narrow" w:eastAsia="Times New Roman" w:hAnsi="Arial Narrow" w:cs="Calibri"/>
                <w:lang w:eastAsia="en-GB"/>
              </w:rPr>
            </w:pPr>
            <w:r w:rsidRPr="00D35297">
              <w:rPr>
                <w:rFonts w:ascii="Arial Narrow" w:eastAsia="Times New Roman" w:hAnsi="Arial Narrow" w:cs="Calibri"/>
                <w:lang w:eastAsia="en-GB"/>
              </w:rPr>
              <w:t> </w:t>
            </w:r>
          </w:p>
        </w:tc>
        <w:tc>
          <w:tcPr>
            <w:tcW w:w="1134" w:type="dxa"/>
            <w:tcBorders>
              <w:bottom w:val="single" w:sz="4" w:space="0" w:color="auto"/>
            </w:tcBorders>
            <w:shd w:val="clear" w:color="auto" w:fill="auto"/>
            <w:noWrap/>
            <w:vAlign w:val="bottom"/>
            <w:hideMark/>
          </w:tcPr>
          <w:p w14:paraId="6323CA68" w14:textId="77777777" w:rsidR="000B5684" w:rsidRPr="00D35297" w:rsidRDefault="000B5684" w:rsidP="005E5FA5">
            <w:pPr>
              <w:spacing w:after="0" w:line="240" w:lineRule="auto"/>
              <w:jc w:val="center"/>
              <w:rPr>
                <w:rFonts w:ascii="Arial Narrow" w:eastAsia="Times New Roman" w:hAnsi="Arial Narrow" w:cs="Calibri"/>
                <w:b/>
                <w:bCs/>
                <w:lang w:eastAsia="en-GB"/>
              </w:rPr>
            </w:pPr>
            <w:r w:rsidRPr="00D35297">
              <w:rPr>
                <w:rFonts w:ascii="Arial Narrow" w:eastAsia="Times New Roman" w:hAnsi="Arial Narrow" w:cs="Calibri"/>
                <w:b/>
                <w:bCs/>
                <w:lang w:eastAsia="en-GB"/>
              </w:rPr>
              <w:t>n</w:t>
            </w:r>
          </w:p>
        </w:tc>
        <w:tc>
          <w:tcPr>
            <w:tcW w:w="1170" w:type="dxa"/>
            <w:tcBorders>
              <w:bottom w:val="single" w:sz="4" w:space="0" w:color="auto"/>
            </w:tcBorders>
            <w:shd w:val="clear" w:color="auto" w:fill="auto"/>
            <w:noWrap/>
            <w:vAlign w:val="bottom"/>
            <w:hideMark/>
          </w:tcPr>
          <w:p w14:paraId="6F18D391" w14:textId="77777777" w:rsidR="000B5684" w:rsidRPr="00D35297" w:rsidRDefault="000B5684" w:rsidP="005E5FA5">
            <w:pPr>
              <w:spacing w:after="0" w:line="240" w:lineRule="auto"/>
              <w:jc w:val="center"/>
              <w:rPr>
                <w:rFonts w:ascii="Arial Narrow" w:eastAsia="Times New Roman" w:hAnsi="Arial Narrow" w:cs="Calibri"/>
                <w:b/>
                <w:bCs/>
                <w:lang w:eastAsia="en-GB"/>
              </w:rPr>
            </w:pPr>
            <w:r w:rsidRPr="00D35297">
              <w:rPr>
                <w:rFonts w:ascii="Arial Narrow" w:eastAsia="Times New Roman" w:hAnsi="Arial Narrow" w:cs="Calibri"/>
                <w:b/>
                <w:bCs/>
                <w:lang w:eastAsia="en-GB"/>
              </w:rPr>
              <w:t>(%)</w:t>
            </w:r>
          </w:p>
        </w:tc>
        <w:tc>
          <w:tcPr>
            <w:tcW w:w="1843" w:type="dxa"/>
            <w:tcBorders>
              <w:bottom w:val="single" w:sz="4" w:space="0" w:color="auto"/>
            </w:tcBorders>
            <w:shd w:val="clear" w:color="auto" w:fill="auto"/>
            <w:noWrap/>
            <w:vAlign w:val="bottom"/>
            <w:hideMark/>
          </w:tcPr>
          <w:p w14:paraId="26794F13" w14:textId="77777777" w:rsidR="000B5684" w:rsidRPr="00D35297" w:rsidRDefault="000B5684" w:rsidP="005E5FA5">
            <w:pPr>
              <w:spacing w:after="0" w:line="240" w:lineRule="auto"/>
              <w:jc w:val="center"/>
              <w:rPr>
                <w:rFonts w:ascii="Arial Narrow" w:eastAsia="Times New Roman" w:hAnsi="Arial Narrow" w:cs="Calibri"/>
                <w:b/>
                <w:bCs/>
                <w:lang w:eastAsia="en-GB"/>
              </w:rPr>
            </w:pPr>
            <w:r w:rsidRPr="00D35297">
              <w:rPr>
                <w:rFonts w:ascii="Arial Narrow" w:eastAsia="Times New Roman" w:hAnsi="Arial Narrow" w:cs="Calibri"/>
                <w:b/>
                <w:bCs/>
                <w:lang w:eastAsia="en-GB"/>
              </w:rPr>
              <w:t> </w:t>
            </w:r>
          </w:p>
        </w:tc>
        <w:tc>
          <w:tcPr>
            <w:tcW w:w="1134" w:type="dxa"/>
            <w:tcBorders>
              <w:bottom w:val="single" w:sz="4" w:space="0" w:color="auto"/>
            </w:tcBorders>
            <w:shd w:val="clear" w:color="auto" w:fill="auto"/>
            <w:noWrap/>
            <w:vAlign w:val="bottom"/>
            <w:hideMark/>
          </w:tcPr>
          <w:p w14:paraId="16DB46E0" w14:textId="77777777" w:rsidR="000B5684" w:rsidRPr="00D35297" w:rsidRDefault="000B5684" w:rsidP="005E5FA5">
            <w:pPr>
              <w:spacing w:after="0" w:line="240" w:lineRule="auto"/>
              <w:jc w:val="center"/>
              <w:rPr>
                <w:rFonts w:ascii="Arial Narrow" w:eastAsia="Times New Roman" w:hAnsi="Arial Narrow" w:cs="Calibri"/>
                <w:b/>
                <w:bCs/>
                <w:lang w:eastAsia="en-GB"/>
              </w:rPr>
            </w:pPr>
            <w:r w:rsidRPr="00D35297">
              <w:rPr>
                <w:rFonts w:ascii="Arial Narrow" w:eastAsia="Times New Roman" w:hAnsi="Arial Narrow" w:cs="Calibri"/>
                <w:b/>
                <w:bCs/>
                <w:lang w:eastAsia="en-GB"/>
              </w:rPr>
              <w:t> </w:t>
            </w:r>
          </w:p>
        </w:tc>
        <w:tc>
          <w:tcPr>
            <w:tcW w:w="1134" w:type="dxa"/>
            <w:tcBorders>
              <w:bottom w:val="single" w:sz="4" w:space="0" w:color="auto"/>
            </w:tcBorders>
            <w:shd w:val="clear" w:color="auto" w:fill="auto"/>
            <w:noWrap/>
            <w:vAlign w:val="bottom"/>
            <w:hideMark/>
          </w:tcPr>
          <w:p w14:paraId="753AB0FA" w14:textId="77777777" w:rsidR="000B5684" w:rsidRPr="00D35297" w:rsidRDefault="000B5684" w:rsidP="005E5FA5">
            <w:pPr>
              <w:spacing w:after="0" w:line="240" w:lineRule="auto"/>
              <w:jc w:val="center"/>
              <w:rPr>
                <w:rFonts w:ascii="Arial Narrow" w:eastAsia="Times New Roman" w:hAnsi="Arial Narrow" w:cs="Calibri"/>
                <w:b/>
                <w:bCs/>
                <w:lang w:eastAsia="en-GB"/>
              </w:rPr>
            </w:pPr>
            <w:r w:rsidRPr="00D35297">
              <w:rPr>
                <w:rFonts w:ascii="Arial Narrow" w:eastAsia="Times New Roman" w:hAnsi="Arial Narrow" w:cs="Calibri"/>
                <w:b/>
                <w:bCs/>
                <w:lang w:eastAsia="en-GB"/>
              </w:rPr>
              <w:t> </w:t>
            </w:r>
          </w:p>
        </w:tc>
        <w:tc>
          <w:tcPr>
            <w:tcW w:w="1500" w:type="dxa"/>
            <w:tcBorders>
              <w:bottom w:val="single" w:sz="4" w:space="0" w:color="auto"/>
            </w:tcBorders>
            <w:shd w:val="clear" w:color="auto" w:fill="auto"/>
            <w:noWrap/>
            <w:vAlign w:val="bottom"/>
            <w:hideMark/>
          </w:tcPr>
          <w:p w14:paraId="67A44A19" w14:textId="77777777" w:rsidR="000B5684" w:rsidRPr="00D35297" w:rsidRDefault="000B5684" w:rsidP="005E5FA5">
            <w:pPr>
              <w:spacing w:after="0" w:line="240" w:lineRule="auto"/>
              <w:jc w:val="center"/>
              <w:rPr>
                <w:rFonts w:ascii="Arial Narrow" w:eastAsia="Times New Roman" w:hAnsi="Arial Narrow" w:cs="Calibri"/>
                <w:b/>
                <w:bCs/>
                <w:lang w:eastAsia="en-GB"/>
              </w:rPr>
            </w:pPr>
            <w:r w:rsidRPr="00D35297">
              <w:rPr>
                <w:rFonts w:ascii="Arial Narrow" w:eastAsia="Times New Roman" w:hAnsi="Arial Narrow" w:cs="Calibri"/>
                <w:b/>
                <w:bCs/>
                <w:lang w:eastAsia="en-GB"/>
              </w:rPr>
              <w:t> </w:t>
            </w:r>
          </w:p>
        </w:tc>
      </w:tr>
      <w:tr w:rsidR="000B5684" w:rsidRPr="00D35297" w14:paraId="5F134B6A" w14:textId="77777777" w:rsidTr="005E5FA5">
        <w:trPr>
          <w:trHeight w:val="305"/>
        </w:trPr>
        <w:tc>
          <w:tcPr>
            <w:tcW w:w="1838" w:type="dxa"/>
            <w:tcBorders>
              <w:top w:val="single" w:sz="4" w:space="0" w:color="auto"/>
            </w:tcBorders>
            <w:shd w:val="clear" w:color="auto" w:fill="auto"/>
            <w:vAlign w:val="bottom"/>
            <w:hideMark/>
          </w:tcPr>
          <w:p w14:paraId="4B4A14A9" w14:textId="77777777" w:rsidR="000B5684" w:rsidRPr="00D35297" w:rsidRDefault="000B5684" w:rsidP="005E5FA5">
            <w:pPr>
              <w:spacing w:after="0" w:line="240" w:lineRule="auto"/>
              <w:rPr>
                <w:rFonts w:ascii="Arial Narrow" w:eastAsia="Times New Roman" w:hAnsi="Arial Narrow" w:cs="Calibri"/>
                <w:b/>
                <w:bCs/>
                <w:lang w:eastAsia="en-GB"/>
              </w:rPr>
            </w:pPr>
            <w:r w:rsidRPr="00D35297">
              <w:rPr>
                <w:rFonts w:ascii="Arial Narrow" w:eastAsia="Times New Roman" w:hAnsi="Arial Narrow" w:cs="Calibri"/>
                <w:b/>
                <w:bCs/>
                <w:lang w:eastAsia="en-GB"/>
              </w:rPr>
              <w:t>UK-IBDQ</w:t>
            </w:r>
          </w:p>
        </w:tc>
        <w:tc>
          <w:tcPr>
            <w:tcW w:w="1134" w:type="dxa"/>
            <w:tcBorders>
              <w:top w:val="single" w:sz="4" w:space="0" w:color="auto"/>
            </w:tcBorders>
            <w:shd w:val="clear" w:color="auto" w:fill="auto"/>
            <w:noWrap/>
            <w:vAlign w:val="bottom"/>
            <w:hideMark/>
          </w:tcPr>
          <w:p w14:paraId="74076A56" w14:textId="77777777" w:rsidR="000B5684" w:rsidRPr="00D35297" w:rsidRDefault="000B5684" w:rsidP="005E5FA5">
            <w:pPr>
              <w:spacing w:after="0" w:line="240" w:lineRule="auto"/>
              <w:rPr>
                <w:rFonts w:ascii="Arial Narrow" w:eastAsia="Times New Roman" w:hAnsi="Arial Narrow" w:cs="Calibri"/>
                <w:lang w:eastAsia="en-GB"/>
              </w:rPr>
            </w:pPr>
          </w:p>
        </w:tc>
        <w:tc>
          <w:tcPr>
            <w:tcW w:w="1170" w:type="dxa"/>
            <w:tcBorders>
              <w:top w:val="single" w:sz="4" w:space="0" w:color="auto"/>
            </w:tcBorders>
            <w:shd w:val="clear" w:color="auto" w:fill="auto"/>
            <w:noWrap/>
            <w:vAlign w:val="bottom"/>
            <w:hideMark/>
          </w:tcPr>
          <w:p w14:paraId="5B87685E" w14:textId="77777777" w:rsidR="000B5684" w:rsidRPr="00D35297" w:rsidRDefault="000B5684" w:rsidP="005E5FA5">
            <w:pPr>
              <w:spacing w:after="0" w:line="240" w:lineRule="auto"/>
              <w:rPr>
                <w:rFonts w:ascii="Arial Narrow" w:eastAsia="Times New Roman" w:hAnsi="Arial Narrow" w:cs="Times New Roman"/>
                <w:lang w:eastAsia="en-GB"/>
              </w:rPr>
            </w:pPr>
          </w:p>
        </w:tc>
        <w:tc>
          <w:tcPr>
            <w:tcW w:w="1843" w:type="dxa"/>
            <w:tcBorders>
              <w:top w:val="single" w:sz="4" w:space="0" w:color="auto"/>
            </w:tcBorders>
            <w:shd w:val="clear" w:color="auto" w:fill="auto"/>
            <w:noWrap/>
            <w:vAlign w:val="bottom"/>
            <w:hideMark/>
          </w:tcPr>
          <w:p w14:paraId="74BBB330" w14:textId="77777777" w:rsidR="000B5684" w:rsidRPr="00D35297" w:rsidRDefault="000B5684" w:rsidP="005E5FA5">
            <w:pPr>
              <w:spacing w:after="0" w:line="240" w:lineRule="auto"/>
              <w:rPr>
                <w:rFonts w:ascii="Arial Narrow" w:eastAsia="Times New Roman" w:hAnsi="Arial Narrow" w:cs="Times New Roman"/>
                <w:lang w:eastAsia="en-GB"/>
              </w:rPr>
            </w:pPr>
          </w:p>
        </w:tc>
        <w:tc>
          <w:tcPr>
            <w:tcW w:w="1134" w:type="dxa"/>
            <w:tcBorders>
              <w:top w:val="single" w:sz="4" w:space="0" w:color="auto"/>
            </w:tcBorders>
            <w:shd w:val="clear" w:color="auto" w:fill="auto"/>
            <w:noWrap/>
            <w:vAlign w:val="bottom"/>
            <w:hideMark/>
          </w:tcPr>
          <w:p w14:paraId="5FD63EDB" w14:textId="77777777" w:rsidR="000B5684" w:rsidRPr="00D35297" w:rsidRDefault="000B5684" w:rsidP="005E5FA5">
            <w:pPr>
              <w:spacing w:after="0" w:line="240" w:lineRule="auto"/>
              <w:rPr>
                <w:rFonts w:ascii="Arial Narrow" w:eastAsia="Times New Roman" w:hAnsi="Arial Narrow" w:cs="Times New Roman"/>
                <w:lang w:eastAsia="en-GB"/>
              </w:rPr>
            </w:pPr>
          </w:p>
        </w:tc>
        <w:tc>
          <w:tcPr>
            <w:tcW w:w="1134" w:type="dxa"/>
            <w:tcBorders>
              <w:top w:val="single" w:sz="4" w:space="0" w:color="auto"/>
            </w:tcBorders>
            <w:shd w:val="clear" w:color="auto" w:fill="auto"/>
            <w:noWrap/>
            <w:vAlign w:val="bottom"/>
            <w:hideMark/>
          </w:tcPr>
          <w:p w14:paraId="393652AB" w14:textId="77777777" w:rsidR="000B5684" w:rsidRPr="00D35297" w:rsidRDefault="000B5684" w:rsidP="005E5FA5">
            <w:pPr>
              <w:spacing w:after="0" w:line="240" w:lineRule="auto"/>
              <w:rPr>
                <w:rFonts w:ascii="Arial Narrow" w:eastAsia="Times New Roman" w:hAnsi="Arial Narrow" w:cs="Times New Roman"/>
                <w:lang w:eastAsia="en-GB"/>
              </w:rPr>
            </w:pPr>
          </w:p>
        </w:tc>
        <w:tc>
          <w:tcPr>
            <w:tcW w:w="1500" w:type="dxa"/>
            <w:tcBorders>
              <w:top w:val="single" w:sz="4" w:space="0" w:color="auto"/>
            </w:tcBorders>
            <w:shd w:val="clear" w:color="auto" w:fill="auto"/>
            <w:noWrap/>
            <w:vAlign w:val="bottom"/>
            <w:hideMark/>
          </w:tcPr>
          <w:p w14:paraId="740E2E4E" w14:textId="77777777" w:rsidR="000B5684" w:rsidRPr="00D35297" w:rsidRDefault="000B5684" w:rsidP="005E5FA5">
            <w:pPr>
              <w:spacing w:after="0" w:line="240" w:lineRule="auto"/>
              <w:rPr>
                <w:rFonts w:ascii="Arial Narrow" w:eastAsia="Times New Roman" w:hAnsi="Arial Narrow" w:cs="Times New Roman"/>
                <w:lang w:eastAsia="en-GB"/>
              </w:rPr>
            </w:pPr>
          </w:p>
        </w:tc>
      </w:tr>
      <w:tr w:rsidR="000B5684" w:rsidRPr="00D35297" w14:paraId="3E51B1C1" w14:textId="77777777" w:rsidTr="005E5FA5">
        <w:trPr>
          <w:trHeight w:val="305"/>
        </w:trPr>
        <w:tc>
          <w:tcPr>
            <w:tcW w:w="1838" w:type="dxa"/>
            <w:shd w:val="clear" w:color="auto" w:fill="auto"/>
            <w:noWrap/>
            <w:vAlign w:val="bottom"/>
            <w:hideMark/>
          </w:tcPr>
          <w:p w14:paraId="0240FCB3" w14:textId="77777777" w:rsidR="000B5684" w:rsidRPr="00D35297" w:rsidRDefault="000B5684" w:rsidP="005E5FA5">
            <w:pPr>
              <w:spacing w:after="0" w:line="240" w:lineRule="auto"/>
              <w:rPr>
                <w:rFonts w:ascii="Arial Narrow" w:eastAsia="Times New Roman" w:hAnsi="Arial Narrow" w:cs="Calibri"/>
                <w:lang w:eastAsia="en-GB"/>
              </w:rPr>
            </w:pPr>
            <w:r w:rsidRPr="00D35297">
              <w:rPr>
                <w:rFonts w:ascii="Arial Narrow" w:eastAsia="Times New Roman" w:hAnsi="Arial Narrow" w:cs="Calibri"/>
                <w:lang w:eastAsia="en-GB"/>
              </w:rPr>
              <w:t>ITT</w:t>
            </w:r>
          </w:p>
        </w:tc>
        <w:tc>
          <w:tcPr>
            <w:tcW w:w="1134" w:type="dxa"/>
            <w:shd w:val="clear" w:color="auto" w:fill="auto"/>
            <w:noWrap/>
            <w:vAlign w:val="bottom"/>
            <w:hideMark/>
          </w:tcPr>
          <w:p w14:paraId="122B14AE" w14:textId="77777777" w:rsidR="000B5684" w:rsidRPr="00D35297" w:rsidRDefault="000B5684" w:rsidP="005E5FA5">
            <w:pPr>
              <w:spacing w:after="0" w:line="240" w:lineRule="auto"/>
              <w:jc w:val="center"/>
              <w:rPr>
                <w:rFonts w:ascii="Arial Narrow" w:eastAsia="Times New Roman" w:hAnsi="Arial Narrow" w:cs="Calibri"/>
                <w:lang w:eastAsia="en-GB"/>
              </w:rPr>
            </w:pPr>
            <w:r w:rsidRPr="00D35297">
              <w:rPr>
                <w:rFonts w:ascii="Arial Narrow" w:hAnsi="Arial Narrow" w:cs="Calibri"/>
              </w:rPr>
              <w:t>663</w:t>
            </w:r>
          </w:p>
        </w:tc>
        <w:tc>
          <w:tcPr>
            <w:tcW w:w="1170" w:type="dxa"/>
            <w:shd w:val="clear" w:color="auto" w:fill="auto"/>
            <w:noWrap/>
            <w:vAlign w:val="bottom"/>
            <w:hideMark/>
          </w:tcPr>
          <w:p w14:paraId="19C50CCA" w14:textId="77777777" w:rsidR="000B5684" w:rsidRPr="00D35297" w:rsidRDefault="000B5684" w:rsidP="005E5FA5">
            <w:pPr>
              <w:spacing w:after="0" w:line="240" w:lineRule="auto"/>
              <w:jc w:val="center"/>
              <w:rPr>
                <w:rFonts w:ascii="Arial Narrow" w:eastAsia="Times New Roman" w:hAnsi="Arial Narrow" w:cs="Calibri"/>
                <w:lang w:eastAsia="en-GB"/>
              </w:rPr>
            </w:pPr>
            <w:r>
              <w:rPr>
                <w:rFonts w:ascii="Arial Narrow" w:hAnsi="Arial Narrow" w:cs="Calibri"/>
              </w:rPr>
              <w:t>(</w:t>
            </w:r>
            <w:r w:rsidRPr="00D35297">
              <w:rPr>
                <w:rFonts w:ascii="Arial Narrow" w:hAnsi="Arial Narrow" w:cs="Calibri"/>
              </w:rPr>
              <w:t>85.00</w:t>
            </w:r>
            <w:r>
              <w:rPr>
                <w:rFonts w:ascii="Arial Narrow" w:hAnsi="Arial Narrow" w:cs="Calibri"/>
              </w:rPr>
              <w:t>)</w:t>
            </w:r>
          </w:p>
        </w:tc>
        <w:tc>
          <w:tcPr>
            <w:tcW w:w="1843" w:type="dxa"/>
            <w:shd w:val="clear" w:color="auto" w:fill="auto"/>
            <w:noWrap/>
            <w:vAlign w:val="bottom"/>
            <w:hideMark/>
          </w:tcPr>
          <w:p w14:paraId="378866FE" w14:textId="77777777" w:rsidR="000B5684" w:rsidRPr="00D35297" w:rsidRDefault="000B5684" w:rsidP="005E5FA5">
            <w:pPr>
              <w:spacing w:after="0" w:line="240" w:lineRule="auto"/>
              <w:jc w:val="center"/>
              <w:rPr>
                <w:rFonts w:ascii="Arial Narrow" w:eastAsia="Times New Roman" w:hAnsi="Arial Narrow" w:cs="Calibri"/>
                <w:lang w:eastAsia="en-GB"/>
              </w:rPr>
            </w:pPr>
            <w:r w:rsidRPr="00D35297">
              <w:rPr>
                <w:rFonts w:ascii="Arial Narrow" w:hAnsi="Arial Narrow" w:cs="Calibri"/>
              </w:rPr>
              <w:t>-1.67</w:t>
            </w:r>
          </w:p>
        </w:tc>
        <w:tc>
          <w:tcPr>
            <w:tcW w:w="1134" w:type="dxa"/>
            <w:shd w:val="clear" w:color="auto" w:fill="auto"/>
            <w:noWrap/>
            <w:vAlign w:val="bottom"/>
            <w:hideMark/>
          </w:tcPr>
          <w:p w14:paraId="06E3EE4D" w14:textId="77777777" w:rsidR="000B5684" w:rsidRPr="00D35297" w:rsidRDefault="000B5684" w:rsidP="005E5FA5">
            <w:pPr>
              <w:spacing w:after="0" w:line="240" w:lineRule="auto"/>
              <w:jc w:val="center"/>
              <w:rPr>
                <w:rFonts w:ascii="Arial Narrow" w:eastAsia="Times New Roman" w:hAnsi="Arial Narrow" w:cs="Calibri"/>
                <w:lang w:eastAsia="en-GB"/>
              </w:rPr>
            </w:pPr>
            <w:r w:rsidRPr="00D35297">
              <w:rPr>
                <w:rFonts w:ascii="Arial Narrow" w:hAnsi="Arial Narrow" w:cs="Calibri"/>
              </w:rPr>
              <w:t>-4.13</w:t>
            </w:r>
          </w:p>
        </w:tc>
        <w:tc>
          <w:tcPr>
            <w:tcW w:w="1134" w:type="dxa"/>
            <w:shd w:val="clear" w:color="auto" w:fill="auto"/>
            <w:noWrap/>
            <w:vAlign w:val="bottom"/>
            <w:hideMark/>
          </w:tcPr>
          <w:p w14:paraId="7139B325" w14:textId="77777777" w:rsidR="000B5684" w:rsidRPr="00D35297" w:rsidRDefault="000B5684" w:rsidP="005E5FA5">
            <w:pPr>
              <w:spacing w:after="0" w:line="240" w:lineRule="auto"/>
              <w:jc w:val="center"/>
              <w:rPr>
                <w:rFonts w:ascii="Arial Narrow" w:eastAsia="Times New Roman" w:hAnsi="Arial Narrow" w:cs="Calibri"/>
                <w:lang w:eastAsia="en-GB"/>
              </w:rPr>
            </w:pPr>
            <w:r w:rsidRPr="00D35297">
              <w:rPr>
                <w:rFonts w:ascii="Arial Narrow" w:hAnsi="Arial Narrow" w:cs="Calibri"/>
              </w:rPr>
              <w:t>0.80</w:t>
            </w:r>
          </w:p>
        </w:tc>
        <w:tc>
          <w:tcPr>
            <w:tcW w:w="1500" w:type="dxa"/>
            <w:shd w:val="clear" w:color="auto" w:fill="auto"/>
            <w:noWrap/>
            <w:vAlign w:val="bottom"/>
            <w:hideMark/>
          </w:tcPr>
          <w:p w14:paraId="4D9A94F7" w14:textId="77777777" w:rsidR="000B5684" w:rsidRPr="00D35297" w:rsidRDefault="000B5684" w:rsidP="005E5FA5">
            <w:pPr>
              <w:spacing w:after="0" w:line="240" w:lineRule="auto"/>
              <w:jc w:val="center"/>
              <w:rPr>
                <w:rFonts w:ascii="Arial Narrow" w:eastAsia="Times New Roman" w:hAnsi="Arial Narrow" w:cs="Calibri"/>
                <w:lang w:eastAsia="en-GB"/>
              </w:rPr>
            </w:pPr>
            <w:r w:rsidRPr="00D35297">
              <w:rPr>
                <w:rFonts w:ascii="Arial Narrow" w:hAnsi="Arial Narrow" w:cs="Calibri"/>
              </w:rPr>
              <w:t>0.19</w:t>
            </w:r>
          </w:p>
        </w:tc>
      </w:tr>
      <w:tr w:rsidR="000B5684" w:rsidRPr="00D35297" w14:paraId="67DB5572" w14:textId="77777777" w:rsidTr="005E5FA5">
        <w:trPr>
          <w:trHeight w:val="305"/>
        </w:trPr>
        <w:tc>
          <w:tcPr>
            <w:tcW w:w="1838" w:type="dxa"/>
            <w:shd w:val="clear" w:color="auto" w:fill="auto"/>
            <w:noWrap/>
            <w:vAlign w:val="bottom"/>
            <w:hideMark/>
          </w:tcPr>
          <w:p w14:paraId="5F1D13C6" w14:textId="77777777" w:rsidR="000B5684" w:rsidRPr="00D35297" w:rsidRDefault="000B5684" w:rsidP="005E5FA5">
            <w:pPr>
              <w:spacing w:after="0" w:line="240" w:lineRule="auto"/>
              <w:rPr>
                <w:rFonts w:ascii="Arial Narrow" w:eastAsia="Times New Roman" w:hAnsi="Arial Narrow" w:cs="Calibri"/>
                <w:lang w:eastAsia="en-GB"/>
              </w:rPr>
            </w:pPr>
            <w:r w:rsidRPr="00D35297">
              <w:rPr>
                <w:rFonts w:ascii="Arial Narrow" w:eastAsia="Times New Roman" w:hAnsi="Arial Narrow" w:cs="Calibri"/>
                <w:lang w:eastAsia="en-GB"/>
              </w:rPr>
              <w:t>CACE</w:t>
            </w:r>
          </w:p>
        </w:tc>
        <w:tc>
          <w:tcPr>
            <w:tcW w:w="1134" w:type="dxa"/>
            <w:shd w:val="clear" w:color="auto" w:fill="auto"/>
            <w:noWrap/>
            <w:vAlign w:val="bottom"/>
            <w:hideMark/>
          </w:tcPr>
          <w:p w14:paraId="798C8AE3" w14:textId="77777777" w:rsidR="000B5684" w:rsidRPr="00D35297" w:rsidRDefault="000B5684" w:rsidP="005E5FA5">
            <w:pPr>
              <w:spacing w:after="0" w:line="240" w:lineRule="auto"/>
              <w:jc w:val="center"/>
              <w:rPr>
                <w:rFonts w:ascii="Arial Narrow" w:eastAsia="Times New Roman" w:hAnsi="Arial Narrow" w:cs="Calibri"/>
                <w:lang w:eastAsia="en-GB"/>
              </w:rPr>
            </w:pPr>
            <w:r w:rsidRPr="00D35297">
              <w:rPr>
                <w:rFonts w:ascii="Arial Narrow" w:hAnsi="Arial Narrow" w:cs="Calibri"/>
              </w:rPr>
              <w:t>663</w:t>
            </w:r>
          </w:p>
        </w:tc>
        <w:tc>
          <w:tcPr>
            <w:tcW w:w="1170" w:type="dxa"/>
            <w:shd w:val="clear" w:color="auto" w:fill="auto"/>
            <w:noWrap/>
            <w:vAlign w:val="bottom"/>
            <w:hideMark/>
          </w:tcPr>
          <w:p w14:paraId="1FB91F40" w14:textId="77777777" w:rsidR="000B5684" w:rsidRPr="00D35297" w:rsidRDefault="000B5684" w:rsidP="005E5FA5">
            <w:pPr>
              <w:spacing w:after="0" w:line="240" w:lineRule="auto"/>
              <w:jc w:val="center"/>
              <w:rPr>
                <w:rFonts w:ascii="Arial Narrow" w:eastAsia="Times New Roman" w:hAnsi="Arial Narrow" w:cs="Calibri"/>
                <w:lang w:eastAsia="en-GB"/>
              </w:rPr>
            </w:pPr>
            <w:r>
              <w:rPr>
                <w:rFonts w:ascii="Arial Narrow" w:hAnsi="Arial Narrow" w:cs="Calibri"/>
              </w:rPr>
              <w:t>(</w:t>
            </w:r>
            <w:r w:rsidRPr="00D35297">
              <w:rPr>
                <w:rFonts w:ascii="Arial Narrow" w:hAnsi="Arial Narrow" w:cs="Calibri"/>
              </w:rPr>
              <w:t>85.00</w:t>
            </w:r>
            <w:r>
              <w:rPr>
                <w:rFonts w:ascii="Arial Narrow" w:hAnsi="Arial Narrow" w:cs="Calibri"/>
              </w:rPr>
              <w:t>)</w:t>
            </w:r>
          </w:p>
        </w:tc>
        <w:tc>
          <w:tcPr>
            <w:tcW w:w="1843" w:type="dxa"/>
            <w:shd w:val="clear" w:color="auto" w:fill="auto"/>
            <w:noWrap/>
            <w:vAlign w:val="bottom"/>
            <w:hideMark/>
          </w:tcPr>
          <w:p w14:paraId="1BF0AC99" w14:textId="77777777" w:rsidR="000B5684" w:rsidRPr="00D35297" w:rsidRDefault="000B5684" w:rsidP="005E5FA5">
            <w:pPr>
              <w:spacing w:after="0" w:line="240" w:lineRule="auto"/>
              <w:jc w:val="center"/>
              <w:rPr>
                <w:rFonts w:ascii="Arial Narrow" w:eastAsia="Times New Roman" w:hAnsi="Arial Narrow" w:cs="Calibri"/>
                <w:lang w:eastAsia="en-GB"/>
              </w:rPr>
            </w:pPr>
            <w:r w:rsidRPr="00D35297">
              <w:rPr>
                <w:rFonts w:ascii="Arial Narrow" w:hAnsi="Arial Narrow" w:cs="Calibri"/>
              </w:rPr>
              <w:t>-2.39</w:t>
            </w:r>
          </w:p>
        </w:tc>
        <w:tc>
          <w:tcPr>
            <w:tcW w:w="1134" w:type="dxa"/>
            <w:shd w:val="clear" w:color="auto" w:fill="auto"/>
            <w:noWrap/>
            <w:vAlign w:val="bottom"/>
            <w:hideMark/>
          </w:tcPr>
          <w:p w14:paraId="7B1A34F5" w14:textId="77777777" w:rsidR="000B5684" w:rsidRPr="00D35297" w:rsidRDefault="000B5684" w:rsidP="005E5FA5">
            <w:pPr>
              <w:spacing w:after="0" w:line="240" w:lineRule="auto"/>
              <w:jc w:val="center"/>
              <w:rPr>
                <w:rFonts w:ascii="Arial Narrow" w:eastAsia="Times New Roman" w:hAnsi="Arial Narrow" w:cs="Calibri"/>
                <w:lang w:eastAsia="en-GB"/>
              </w:rPr>
            </w:pPr>
            <w:r w:rsidRPr="00D35297">
              <w:rPr>
                <w:rFonts w:ascii="Arial Narrow" w:hAnsi="Arial Narrow" w:cs="Calibri"/>
              </w:rPr>
              <w:t>-4.34</w:t>
            </w:r>
          </w:p>
        </w:tc>
        <w:tc>
          <w:tcPr>
            <w:tcW w:w="1134" w:type="dxa"/>
            <w:shd w:val="clear" w:color="auto" w:fill="auto"/>
            <w:noWrap/>
            <w:vAlign w:val="bottom"/>
            <w:hideMark/>
          </w:tcPr>
          <w:p w14:paraId="376E90DE" w14:textId="77777777" w:rsidR="000B5684" w:rsidRPr="00D35297" w:rsidRDefault="000B5684" w:rsidP="005E5FA5">
            <w:pPr>
              <w:spacing w:after="0" w:line="240" w:lineRule="auto"/>
              <w:jc w:val="center"/>
              <w:rPr>
                <w:rFonts w:ascii="Arial Narrow" w:eastAsia="Times New Roman" w:hAnsi="Arial Narrow" w:cs="Calibri"/>
                <w:lang w:eastAsia="en-GB"/>
              </w:rPr>
            </w:pPr>
            <w:r w:rsidRPr="00D35297">
              <w:rPr>
                <w:rFonts w:ascii="Arial Narrow" w:hAnsi="Arial Narrow" w:cs="Calibri"/>
              </w:rPr>
              <w:t>-0.45</w:t>
            </w:r>
          </w:p>
        </w:tc>
        <w:tc>
          <w:tcPr>
            <w:tcW w:w="1500" w:type="dxa"/>
            <w:shd w:val="clear" w:color="auto" w:fill="auto"/>
            <w:noWrap/>
            <w:vAlign w:val="bottom"/>
            <w:hideMark/>
          </w:tcPr>
          <w:p w14:paraId="27B863D9" w14:textId="77777777" w:rsidR="000B5684" w:rsidRPr="00D35297" w:rsidRDefault="000B5684" w:rsidP="005E5FA5">
            <w:pPr>
              <w:spacing w:after="0" w:line="240" w:lineRule="auto"/>
              <w:jc w:val="center"/>
              <w:rPr>
                <w:rFonts w:ascii="Arial Narrow" w:eastAsia="Times New Roman" w:hAnsi="Arial Narrow" w:cs="Calibri"/>
                <w:lang w:eastAsia="en-GB"/>
              </w:rPr>
            </w:pPr>
            <w:r w:rsidRPr="00D35297">
              <w:rPr>
                <w:rFonts w:ascii="Arial Narrow" w:hAnsi="Arial Narrow" w:cs="Calibri"/>
              </w:rPr>
              <w:t>0.02</w:t>
            </w:r>
          </w:p>
        </w:tc>
      </w:tr>
      <w:tr w:rsidR="000B5684" w:rsidRPr="00D35297" w14:paraId="22FA1434" w14:textId="77777777" w:rsidTr="005E5FA5">
        <w:trPr>
          <w:trHeight w:val="305"/>
        </w:trPr>
        <w:tc>
          <w:tcPr>
            <w:tcW w:w="1838" w:type="dxa"/>
            <w:shd w:val="clear" w:color="auto" w:fill="auto"/>
            <w:noWrap/>
            <w:vAlign w:val="bottom"/>
            <w:hideMark/>
          </w:tcPr>
          <w:p w14:paraId="6469D98B" w14:textId="77777777" w:rsidR="000B5684" w:rsidRPr="00D35297" w:rsidRDefault="000B5684" w:rsidP="005E5FA5">
            <w:pPr>
              <w:spacing w:after="0" w:line="240" w:lineRule="auto"/>
              <w:jc w:val="center"/>
              <w:rPr>
                <w:rFonts w:ascii="Arial Narrow" w:eastAsia="Times New Roman" w:hAnsi="Arial Narrow" w:cs="Calibri"/>
                <w:lang w:eastAsia="en-GB"/>
              </w:rPr>
            </w:pPr>
          </w:p>
        </w:tc>
        <w:tc>
          <w:tcPr>
            <w:tcW w:w="1134" w:type="dxa"/>
            <w:shd w:val="clear" w:color="auto" w:fill="auto"/>
            <w:noWrap/>
            <w:vAlign w:val="bottom"/>
            <w:hideMark/>
          </w:tcPr>
          <w:p w14:paraId="4BCB8F40" w14:textId="77777777" w:rsidR="000B5684" w:rsidRPr="00D35297" w:rsidRDefault="000B5684" w:rsidP="005E5FA5">
            <w:pPr>
              <w:spacing w:after="0" w:line="240" w:lineRule="auto"/>
              <w:rPr>
                <w:rFonts w:ascii="Arial Narrow" w:eastAsia="Times New Roman" w:hAnsi="Arial Narrow" w:cs="Times New Roman"/>
                <w:lang w:eastAsia="en-GB"/>
              </w:rPr>
            </w:pPr>
          </w:p>
        </w:tc>
        <w:tc>
          <w:tcPr>
            <w:tcW w:w="1170" w:type="dxa"/>
            <w:shd w:val="clear" w:color="auto" w:fill="auto"/>
            <w:noWrap/>
            <w:vAlign w:val="bottom"/>
            <w:hideMark/>
          </w:tcPr>
          <w:p w14:paraId="5B43575A" w14:textId="77777777" w:rsidR="000B5684" w:rsidRPr="00D35297" w:rsidRDefault="000B5684" w:rsidP="005E5FA5">
            <w:pPr>
              <w:spacing w:after="0" w:line="240" w:lineRule="auto"/>
              <w:rPr>
                <w:rFonts w:ascii="Arial Narrow" w:eastAsia="Times New Roman" w:hAnsi="Arial Narrow" w:cs="Times New Roman"/>
                <w:lang w:eastAsia="en-GB"/>
              </w:rPr>
            </w:pPr>
          </w:p>
        </w:tc>
        <w:tc>
          <w:tcPr>
            <w:tcW w:w="1843" w:type="dxa"/>
            <w:shd w:val="clear" w:color="auto" w:fill="auto"/>
            <w:noWrap/>
            <w:vAlign w:val="bottom"/>
            <w:hideMark/>
          </w:tcPr>
          <w:p w14:paraId="417AEE03" w14:textId="77777777" w:rsidR="000B5684" w:rsidRPr="00D35297" w:rsidRDefault="000B5684" w:rsidP="005E5FA5">
            <w:pPr>
              <w:spacing w:after="0" w:line="240" w:lineRule="auto"/>
              <w:rPr>
                <w:rFonts w:ascii="Arial Narrow" w:eastAsia="Times New Roman" w:hAnsi="Arial Narrow" w:cs="Times New Roman"/>
                <w:lang w:eastAsia="en-GB"/>
              </w:rPr>
            </w:pPr>
          </w:p>
        </w:tc>
        <w:tc>
          <w:tcPr>
            <w:tcW w:w="1134" w:type="dxa"/>
            <w:shd w:val="clear" w:color="auto" w:fill="auto"/>
            <w:noWrap/>
            <w:vAlign w:val="bottom"/>
            <w:hideMark/>
          </w:tcPr>
          <w:p w14:paraId="2409CC86" w14:textId="77777777" w:rsidR="000B5684" w:rsidRPr="00D35297" w:rsidRDefault="000B5684" w:rsidP="005E5FA5">
            <w:pPr>
              <w:spacing w:after="0" w:line="240" w:lineRule="auto"/>
              <w:rPr>
                <w:rFonts w:ascii="Arial Narrow" w:eastAsia="Times New Roman" w:hAnsi="Arial Narrow" w:cs="Times New Roman"/>
                <w:lang w:eastAsia="en-GB"/>
              </w:rPr>
            </w:pPr>
          </w:p>
        </w:tc>
        <w:tc>
          <w:tcPr>
            <w:tcW w:w="1134" w:type="dxa"/>
            <w:shd w:val="clear" w:color="auto" w:fill="auto"/>
            <w:noWrap/>
            <w:vAlign w:val="bottom"/>
            <w:hideMark/>
          </w:tcPr>
          <w:p w14:paraId="26F7E595" w14:textId="77777777" w:rsidR="000B5684" w:rsidRPr="00D35297" w:rsidRDefault="000B5684" w:rsidP="005E5FA5">
            <w:pPr>
              <w:spacing w:after="0" w:line="240" w:lineRule="auto"/>
              <w:rPr>
                <w:rFonts w:ascii="Arial Narrow" w:eastAsia="Times New Roman" w:hAnsi="Arial Narrow" w:cs="Times New Roman"/>
                <w:lang w:eastAsia="en-GB"/>
              </w:rPr>
            </w:pPr>
          </w:p>
        </w:tc>
        <w:tc>
          <w:tcPr>
            <w:tcW w:w="1500" w:type="dxa"/>
            <w:shd w:val="clear" w:color="auto" w:fill="auto"/>
            <w:noWrap/>
            <w:vAlign w:val="bottom"/>
            <w:hideMark/>
          </w:tcPr>
          <w:p w14:paraId="0F2F41C0" w14:textId="77777777" w:rsidR="000B5684" w:rsidRPr="00D35297" w:rsidRDefault="000B5684" w:rsidP="005E5FA5">
            <w:pPr>
              <w:spacing w:after="0" w:line="240" w:lineRule="auto"/>
              <w:rPr>
                <w:rFonts w:ascii="Arial Narrow" w:eastAsia="Times New Roman" w:hAnsi="Arial Narrow" w:cs="Times New Roman"/>
                <w:lang w:eastAsia="en-GB"/>
              </w:rPr>
            </w:pPr>
          </w:p>
        </w:tc>
      </w:tr>
      <w:tr w:rsidR="000B5684" w:rsidRPr="00D35297" w14:paraId="7664E601" w14:textId="77777777" w:rsidTr="005E5FA5">
        <w:trPr>
          <w:trHeight w:val="305"/>
        </w:trPr>
        <w:tc>
          <w:tcPr>
            <w:tcW w:w="5985" w:type="dxa"/>
            <w:gridSpan w:val="4"/>
            <w:shd w:val="clear" w:color="auto" w:fill="auto"/>
            <w:noWrap/>
            <w:vAlign w:val="bottom"/>
            <w:hideMark/>
          </w:tcPr>
          <w:p w14:paraId="6EE5E43B" w14:textId="77777777" w:rsidR="000B5684" w:rsidRPr="00D35297" w:rsidRDefault="000B5684" w:rsidP="005E5FA5">
            <w:pPr>
              <w:spacing w:after="0" w:line="240" w:lineRule="auto"/>
              <w:rPr>
                <w:rFonts w:ascii="Arial Narrow" w:eastAsia="Times New Roman" w:hAnsi="Arial Narrow" w:cs="Calibri"/>
                <w:b/>
                <w:bCs/>
                <w:lang w:eastAsia="en-GB"/>
              </w:rPr>
            </w:pPr>
            <w:r w:rsidRPr="00D35297">
              <w:rPr>
                <w:rFonts w:ascii="Arial Narrow" w:eastAsia="Times New Roman" w:hAnsi="Arial Narrow" w:cs="Calibri"/>
                <w:b/>
                <w:bCs/>
                <w:lang w:eastAsia="en-GB"/>
              </w:rPr>
              <w:t>Global rating of symptom relief</w:t>
            </w:r>
          </w:p>
        </w:tc>
        <w:tc>
          <w:tcPr>
            <w:tcW w:w="1134" w:type="dxa"/>
            <w:shd w:val="clear" w:color="auto" w:fill="auto"/>
            <w:noWrap/>
            <w:vAlign w:val="bottom"/>
            <w:hideMark/>
          </w:tcPr>
          <w:p w14:paraId="0471A75E" w14:textId="77777777" w:rsidR="000B5684" w:rsidRPr="00D35297" w:rsidRDefault="000B5684" w:rsidP="005E5FA5">
            <w:pPr>
              <w:spacing w:after="0" w:line="240" w:lineRule="auto"/>
              <w:rPr>
                <w:rFonts w:ascii="Arial Narrow" w:eastAsia="Times New Roman" w:hAnsi="Arial Narrow" w:cs="Calibri"/>
                <w:lang w:eastAsia="en-GB"/>
              </w:rPr>
            </w:pPr>
          </w:p>
        </w:tc>
        <w:tc>
          <w:tcPr>
            <w:tcW w:w="1134" w:type="dxa"/>
            <w:shd w:val="clear" w:color="auto" w:fill="auto"/>
            <w:noWrap/>
            <w:vAlign w:val="bottom"/>
            <w:hideMark/>
          </w:tcPr>
          <w:p w14:paraId="172E8569" w14:textId="77777777" w:rsidR="000B5684" w:rsidRPr="00D35297" w:rsidRDefault="000B5684" w:rsidP="005E5FA5">
            <w:pPr>
              <w:spacing w:after="0" w:line="240" w:lineRule="auto"/>
              <w:rPr>
                <w:rFonts w:ascii="Arial Narrow" w:eastAsia="Times New Roman" w:hAnsi="Arial Narrow" w:cs="Times New Roman"/>
                <w:lang w:eastAsia="en-GB"/>
              </w:rPr>
            </w:pPr>
          </w:p>
        </w:tc>
        <w:tc>
          <w:tcPr>
            <w:tcW w:w="1500" w:type="dxa"/>
            <w:shd w:val="clear" w:color="auto" w:fill="auto"/>
            <w:noWrap/>
            <w:vAlign w:val="bottom"/>
            <w:hideMark/>
          </w:tcPr>
          <w:p w14:paraId="6EC0D2D3" w14:textId="77777777" w:rsidR="000B5684" w:rsidRPr="00D35297" w:rsidRDefault="000B5684" w:rsidP="005E5FA5">
            <w:pPr>
              <w:spacing w:after="0" w:line="240" w:lineRule="auto"/>
              <w:rPr>
                <w:rFonts w:ascii="Arial Narrow" w:eastAsia="Times New Roman" w:hAnsi="Arial Narrow" w:cs="Times New Roman"/>
                <w:lang w:eastAsia="en-GB"/>
              </w:rPr>
            </w:pPr>
          </w:p>
        </w:tc>
      </w:tr>
      <w:tr w:rsidR="000B5684" w:rsidRPr="00D35297" w14:paraId="29774EEB" w14:textId="77777777" w:rsidTr="005E5FA5">
        <w:trPr>
          <w:trHeight w:val="305"/>
        </w:trPr>
        <w:tc>
          <w:tcPr>
            <w:tcW w:w="1838" w:type="dxa"/>
            <w:shd w:val="clear" w:color="auto" w:fill="auto"/>
            <w:noWrap/>
            <w:vAlign w:val="bottom"/>
            <w:hideMark/>
          </w:tcPr>
          <w:p w14:paraId="17D8B039" w14:textId="77777777" w:rsidR="000B5684" w:rsidRPr="00D35297" w:rsidRDefault="000B5684" w:rsidP="005E5FA5">
            <w:pPr>
              <w:spacing w:after="0" w:line="240" w:lineRule="auto"/>
              <w:rPr>
                <w:rFonts w:ascii="Arial Narrow" w:eastAsia="Times New Roman" w:hAnsi="Arial Narrow" w:cs="Calibri"/>
                <w:lang w:eastAsia="en-GB"/>
              </w:rPr>
            </w:pPr>
            <w:r w:rsidRPr="00D35297">
              <w:rPr>
                <w:rFonts w:ascii="Arial Narrow" w:eastAsia="Times New Roman" w:hAnsi="Arial Narrow" w:cs="Calibri"/>
                <w:lang w:eastAsia="en-GB"/>
              </w:rPr>
              <w:t>ITT</w:t>
            </w:r>
          </w:p>
        </w:tc>
        <w:tc>
          <w:tcPr>
            <w:tcW w:w="1134" w:type="dxa"/>
            <w:shd w:val="clear" w:color="auto" w:fill="auto"/>
            <w:noWrap/>
            <w:vAlign w:val="bottom"/>
            <w:hideMark/>
          </w:tcPr>
          <w:p w14:paraId="6EED37EC" w14:textId="77777777" w:rsidR="000B5684" w:rsidRPr="00D35297" w:rsidRDefault="000B5684" w:rsidP="005E5FA5">
            <w:pPr>
              <w:spacing w:after="0" w:line="240" w:lineRule="auto"/>
              <w:jc w:val="center"/>
              <w:rPr>
                <w:rFonts w:ascii="Arial Narrow" w:eastAsia="Times New Roman" w:hAnsi="Arial Narrow" w:cs="Calibri"/>
                <w:lang w:eastAsia="en-GB"/>
              </w:rPr>
            </w:pPr>
            <w:r w:rsidRPr="00D35297">
              <w:rPr>
                <w:rFonts w:ascii="Arial Narrow" w:hAnsi="Arial Narrow" w:cs="Calibri"/>
              </w:rPr>
              <w:t>659</w:t>
            </w:r>
          </w:p>
        </w:tc>
        <w:tc>
          <w:tcPr>
            <w:tcW w:w="1170" w:type="dxa"/>
            <w:shd w:val="clear" w:color="auto" w:fill="auto"/>
            <w:noWrap/>
            <w:vAlign w:val="bottom"/>
            <w:hideMark/>
          </w:tcPr>
          <w:p w14:paraId="1D8741F0" w14:textId="77777777" w:rsidR="000B5684" w:rsidRPr="00D35297" w:rsidRDefault="000B5684" w:rsidP="005E5FA5">
            <w:pPr>
              <w:spacing w:after="0" w:line="240" w:lineRule="auto"/>
              <w:jc w:val="center"/>
              <w:rPr>
                <w:rFonts w:ascii="Arial Narrow" w:eastAsia="Times New Roman" w:hAnsi="Arial Narrow" w:cs="Calibri"/>
                <w:lang w:eastAsia="en-GB"/>
              </w:rPr>
            </w:pPr>
            <w:r>
              <w:rPr>
                <w:rFonts w:ascii="Arial Narrow" w:hAnsi="Arial Narrow" w:cs="Calibri"/>
              </w:rPr>
              <w:t>(</w:t>
            </w:r>
            <w:r w:rsidRPr="00D35297">
              <w:rPr>
                <w:rFonts w:ascii="Arial Narrow" w:hAnsi="Arial Narrow" w:cs="Calibri"/>
              </w:rPr>
              <w:t>84.49</w:t>
            </w:r>
            <w:r>
              <w:rPr>
                <w:rFonts w:ascii="Arial Narrow" w:hAnsi="Arial Narrow" w:cs="Calibri"/>
              </w:rPr>
              <w:t>)</w:t>
            </w:r>
          </w:p>
        </w:tc>
        <w:tc>
          <w:tcPr>
            <w:tcW w:w="1843" w:type="dxa"/>
            <w:shd w:val="clear" w:color="auto" w:fill="auto"/>
            <w:noWrap/>
            <w:vAlign w:val="bottom"/>
            <w:hideMark/>
          </w:tcPr>
          <w:p w14:paraId="68F9488F" w14:textId="77777777" w:rsidR="000B5684" w:rsidRPr="00D35297" w:rsidRDefault="000B5684" w:rsidP="005E5FA5">
            <w:pPr>
              <w:spacing w:after="0" w:line="240" w:lineRule="auto"/>
              <w:jc w:val="center"/>
              <w:rPr>
                <w:rFonts w:ascii="Arial Narrow" w:eastAsia="Times New Roman" w:hAnsi="Arial Narrow" w:cs="Calibri"/>
                <w:lang w:eastAsia="en-GB"/>
              </w:rPr>
            </w:pPr>
            <w:r w:rsidRPr="00D35297">
              <w:rPr>
                <w:rFonts w:ascii="Arial Narrow" w:hAnsi="Arial Narrow" w:cs="Calibri"/>
              </w:rPr>
              <w:t>0.44</w:t>
            </w:r>
          </w:p>
        </w:tc>
        <w:tc>
          <w:tcPr>
            <w:tcW w:w="1134" w:type="dxa"/>
            <w:shd w:val="clear" w:color="auto" w:fill="auto"/>
            <w:noWrap/>
            <w:vAlign w:val="bottom"/>
            <w:hideMark/>
          </w:tcPr>
          <w:p w14:paraId="3E6194E1" w14:textId="77777777" w:rsidR="000B5684" w:rsidRPr="00D35297" w:rsidRDefault="000B5684" w:rsidP="005E5FA5">
            <w:pPr>
              <w:spacing w:after="0" w:line="240" w:lineRule="auto"/>
              <w:jc w:val="center"/>
              <w:rPr>
                <w:rFonts w:ascii="Arial Narrow" w:eastAsia="Times New Roman" w:hAnsi="Arial Narrow" w:cs="Calibri"/>
                <w:lang w:eastAsia="en-GB"/>
              </w:rPr>
            </w:pPr>
            <w:r w:rsidRPr="00D35297">
              <w:rPr>
                <w:rFonts w:ascii="Arial Narrow" w:hAnsi="Arial Narrow" w:cs="Calibri"/>
              </w:rPr>
              <w:t>-0.56</w:t>
            </w:r>
          </w:p>
        </w:tc>
        <w:tc>
          <w:tcPr>
            <w:tcW w:w="1134" w:type="dxa"/>
            <w:shd w:val="clear" w:color="auto" w:fill="auto"/>
            <w:noWrap/>
            <w:vAlign w:val="bottom"/>
            <w:hideMark/>
          </w:tcPr>
          <w:p w14:paraId="40994A0A" w14:textId="77777777" w:rsidR="000B5684" w:rsidRPr="00D35297" w:rsidRDefault="000B5684" w:rsidP="005E5FA5">
            <w:pPr>
              <w:spacing w:after="0" w:line="240" w:lineRule="auto"/>
              <w:jc w:val="center"/>
              <w:rPr>
                <w:rFonts w:ascii="Arial Narrow" w:eastAsia="Times New Roman" w:hAnsi="Arial Narrow" w:cs="Calibri"/>
                <w:lang w:eastAsia="en-GB"/>
              </w:rPr>
            </w:pPr>
            <w:r w:rsidRPr="00D35297">
              <w:rPr>
                <w:rFonts w:ascii="Arial Narrow" w:hAnsi="Arial Narrow" w:cs="Calibri"/>
              </w:rPr>
              <w:t>1.44</w:t>
            </w:r>
          </w:p>
        </w:tc>
        <w:tc>
          <w:tcPr>
            <w:tcW w:w="1500" w:type="dxa"/>
            <w:shd w:val="clear" w:color="auto" w:fill="auto"/>
            <w:noWrap/>
            <w:vAlign w:val="bottom"/>
            <w:hideMark/>
          </w:tcPr>
          <w:p w14:paraId="53BA345A" w14:textId="77777777" w:rsidR="000B5684" w:rsidRPr="00D35297" w:rsidRDefault="000B5684" w:rsidP="005E5FA5">
            <w:pPr>
              <w:spacing w:after="0" w:line="240" w:lineRule="auto"/>
              <w:jc w:val="center"/>
              <w:rPr>
                <w:rFonts w:ascii="Arial Narrow" w:eastAsia="Times New Roman" w:hAnsi="Arial Narrow" w:cs="Calibri"/>
                <w:lang w:eastAsia="en-GB"/>
              </w:rPr>
            </w:pPr>
            <w:r w:rsidRPr="00D35297">
              <w:rPr>
                <w:rFonts w:ascii="Arial Narrow" w:hAnsi="Arial Narrow" w:cs="Calibri"/>
              </w:rPr>
              <w:t>0.39</w:t>
            </w:r>
          </w:p>
        </w:tc>
      </w:tr>
      <w:tr w:rsidR="000B5684" w:rsidRPr="00D35297" w14:paraId="60520FD6" w14:textId="77777777" w:rsidTr="005E5FA5">
        <w:trPr>
          <w:trHeight w:val="305"/>
        </w:trPr>
        <w:tc>
          <w:tcPr>
            <w:tcW w:w="1838" w:type="dxa"/>
            <w:tcBorders>
              <w:bottom w:val="single" w:sz="4" w:space="0" w:color="auto"/>
            </w:tcBorders>
            <w:shd w:val="clear" w:color="auto" w:fill="auto"/>
            <w:noWrap/>
            <w:vAlign w:val="bottom"/>
            <w:hideMark/>
          </w:tcPr>
          <w:p w14:paraId="611B4843" w14:textId="77777777" w:rsidR="000B5684" w:rsidRPr="00D35297" w:rsidRDefault="000B5684" w:rsidP="005E5FA5">
            <w:pPr>
              <w:spacing w:after="0" w:line="240" w:lineRule="auto"/>
              <w:rPr>
                <w:rFonts w:ascii="Arial Narrow" w:eastAsia="Times New Roman" w:hAnsi="Arial Narrow" w:cs="Calibri"/>
                <w:lang w:eastAsia="en-GB"/>
              </w:rPr>
            </w:pPr>
            <w:r w:rsidRPr="00D35297">
              <w:rPr>
                <w:rFonts w:ascii="Arial Narrow" w:eastAsia="Times New Roman" w:hAnsi="Arial Narrow" w:cs="Calibri"/>
                <w:lang w:eastAsia="en-GB"/>
              </w:rPr>
              <w:t>CACE</w:t>
            </w:r>
          </w:p>
        </w:tc>
        <w:tc>
          <w:tcPr>
            <w:tcW w:w="1134" w:type="dxa"/>
            <w:tcBorders>
              <w:bottom w:val="single" w:sz="4" w:space="0" w:color="auto"/>
            </w:tcBorders>
            <w:shd w:val="clear" w:color="auto" w:fill="auto"/>
            <w:noWrap/>
            <w:vAlign w:val="bottom"/>
            <w:hideMark/>
          </w:tcPr>
          <w:p w14:paraId="6EB029B3" w14:textId="77777777" w:rsidR="000B5684" w:rsidRPr="00D35297" w:rsidRDefault="000B5684" w:rsidP="005E5FA5">
            <w:pPr>
              <w:spacing w:after="0" w:line="240" w:lineRule="auto"/>
              <w:jc w:val="center"/>
              <w:rPr>
                <w:rFonts w:ascii="Arial Narrow" w:eastAsia="Times New Roman" w:hAnsi="Arial Narrow" w:cs="Calibri"/>
                <w:lang w:eastAsia="en-GB"/>
              </w:rPr>
            </w:pPr>
            <w:r w:rsidRPr="00D35297">
              <w:rPr>
                <w:rFonts w:ascii="Arial Narrow" w:hAnsi="Arial Narrow" w:cs="Calibri"/>
              </w:rPr>
              <w:t>659</w:t>
            </w:r>
          </w:p>
        </w:tc>
        <w:tc>
          <w:tcPr>
            <w:tcW w:w="1170" w:type="dxa"/>
            <w:tcBorders>
              <w:bottom w:val="single" w:sz="4" w:space="0" w:color="auto"/>
            </w:tcBorders>
            <w:shd w:val="clear" w:color="auto" w:fill="auto"/>
            <w:noWrap/>
            <w:vAlign w:val="bottom"/>
            <w:hideMark/>
          </w:tcPr>
          <w:p w14:paraId="773C9F6D" w14:textId="77777777" w:rsidR="000B5684" w:rsidRPr="00D35297" w:rsidRDefault="000B5684" w:rsidP="005E5FA5">
            <w:pPr>
              <w:spacing w:after="0" w:line="240" w:lineRule="auto"/>
              <w:jc w:val="center"/>
              <w:rPr>
                <w:rFonts w:ascii="Arial Narrow" w:eastAsia="Times New Roman" w:hAnsi="Arial Narrow" w:cs="Calibri"/>
                <w:lang w:eastAsia="en-GB"/>
              </w:rPr>
            </w:pPr>
            <w:r>
              <w:rPr>
                <w:rFonts w:ascii="Arial Narrow" w:hAnsi="Arial Narrow" w:cs="Calibri"/>
              </w:rPr>
              <w:t>(</w:t>
            </w:r>
            <w:r w:rsidRPr="00D35297">
              <w:rPr>
                <w:rFonts w:ascii="Arial Narrow" w:hAnsi="Arial Narrow" w:cs="Calibri"/>
              </w:rPr>
              <w:t>84.49</w:t>
            </w:r>
            <w:r>
              <w:rPr>
                <w:rFonts w:ascii="Arial Narrow" w:hAnsi="Arial Narrow" w:cs="Calibri"/>
              </w:rPr>
              <w:t>)</w:t>
            </w:r>
          </w:p>
        </w:tc>
        <w:tc>
          <w:tcPr>
            <w:tcW w:w="1843" w:type="dxa"/>
            <w:tcBorders>
              <w:bottom w:val="single" w:sz="4" w:space="0" w:color="auto"/>
            </w:tcBorders>
            <w:shd w:val="clear" w:color="auto" w:fill="auto"/>
            <w:noWrap/>
            <w:vAlign w:val="bottom"/>
            <w:hideMark/>
          </w:tcPr>
          <w:p w14:paraId="6BBD0BE9" w14:textId="77777777" w:rsidR="000B5684" w:rsidRPr="00D35297" w:rsidRDefault="000B5684" w:rsidP="005E5FA5">
            <w:pPr>
              <w:spacing w:after="0" w:line="240" w:lineRule="auto"/>
              <w:jc w:val="center"/>
              <w:rPr>
                <w:rFonts w:ascii="Arial Narrow" w:eastAsia="Times New Roman" w:hAnsi="Arial Narrow" w:cs="Calibri"/>
                <w:lang w:eastAsia="en-GB"/>
              </w:rPr>
            </w:pPr>
            <w:r w:rsidRPr="00D35297">
              <w:rPr>
                <w:rFonts w:ascii="Arial Narrow" w:hAnsi="Arial Narrow" w:cs="Calibri"/>
              </w:rPr>
              <w:t>0.49</w:t>
            </w:r>
          </w:p>
        </w:tc>
        <w:tc>
          <w:tcPr>
            <w:tcW w:w="1134" w:type="dxa"/>
            <w:tcBorders>
              <w:bottom w:val="single" w:sz="4" w:space="0" w:color="auto"/>
            </w:tcBorders>
            <w:shd w:val="clear" w:color="auto" w:fill="auto"/>
            <w:noWrap/>
            <w:vAlign w:val="bottom"/>
            <w:hideMark/>
          </w:tcPr>
          <w:p w14:paraId="4E7ED877" w14:textId="77777777" w:rsidR="000B5684" w:rsidRPr="00D35297" w:rsidRDefault="000B5684" w:rsidP="005E5FA5">
            <w:pPr>
              <w:spacing w:after="0" w:line="240" w:lineRule="auto"/>
              <w:jc w:val="center"/>
              <w:rPr>
                <w:rFonts w:ascii="Arial Narrow" w:eastAsia="Times New Roman" w:hAnsi="Arial Narrow" w:cs="Calibri"/>
                <w:lang w:eastAsia="en-GB"/>
              </w:rPr>
            </w:pPr>
            <w:r w:rsidRPr="00D35297">
              <w:rPr>
                <w:rFonts w:ascii="Arial Narrow" w:hAnsi="Arial Narrow" w:cs="Calibri"/>
              </w:rPr>
              <w:t>-0.26</w:t>
            </w:r>
          </w:p>
        </w:tc>
        <w:tc>
          <w:tcPr>
            <w:tcW w:w="1134" w:type="dxa"/>
            <w:tcBorders>
              <w:bottom w:val="single" w:sz="4" w:space="0" w:color="auto"/>
            </w:tcBorders>
            <w:shd w:val="clear" w:color="auto" w:fill="auto"/>
            <w:noWrap/>
            <w:vAlign w:val="bottom"/>
            <w:hideMark/>
          </w:tcPr>
          <w:p w14:paraId="73431994" w14:textId="77777777" w:rsidR="000B5684" w:rsidRPr="00D35297" w:rsidRDefault="000B5684" w:rsidP="005E5FA5">
            <w:pPr>
              <w:spacing w:after="0" w:line="240" w:lineRule="auto"/>
              <w:jc w:val="center"/>
              <w:rPr>
                <w:rFonts w:ascii="Arial Narrow" w:eastAsia="Times New Roman" w:hAnsi="Arial Narrow" w:cs="Calibri"/>
                <w:lang w:eastAsia="en-GB"/>
              </w:rPr>
            </w:pPr>
            <w:r w:rsidRPr="00D35297">
              <w:rPr>
                <w:rFonts w:ascii="Arial Narrow" w:hAnsi="Arial Narrow" w:cs="Calibri"/>
              </w:rPr>
              <w:t>1.25</w:t>
            </w:r>
          </w:p>
        </w:tc>
        <w:tc>
          <w:tcPr>
            <w:tcW w:w="1500" w:type="dxa"/>
            <w:tcBorders>
              <w:bottom w:val="single" w:sz="4" w:space="0" w:color="auto"/>
            </w:tcBorders>
            <w:shd w:val="clear" w:color="auto" w:fill="auto"/>
            <w:noWrap/>
            <w:vAlign w:val="bottom"/>
            <w:hideMark/>
          </w:tcPr>
          <w:p w14:paraId="7039467D" w14:textId="77777777" w:rsidR="000B5684" w:rsidRPr="00D35297" w:rsidRDefault="000B5684" w:rsidP="005E5FA5">
            <w:pPr>
              <w:spacing w:after="0" w:line="240" w:lineRule="auto"/>
              <w:jc w:val="center"/>
              <w:rPr>
                <w:rFonts w:ascii="Arial Narrow" w:eastAsia="Times New Roman" w:hAnsi="Arial Narrow" w:cs="Calibri"/>
                <w:lang w:eastAsia="en-GB"/>
              </w:rPr>
            </w:pPr>
            <w:r w:rsidRPr="00D35297">
              <w:rPr>
                <w:rFonts w:ascii="Arial Narrow" w:hAnsi="Arial Narrow" w:cs="Calibri"/>
              </w:rPr>
              <w:t>0.20</w:t>
            </w:r>
          </w:p>
        </w:tc>
      </w:tr>
    </w:tbl>
    <w:p w14:paraId="47366A45" w14:textId="77777777" w:rsidR="000B5684" w:rsidRPr="00D35297" w:rsidRDefault="000B5684" w:rsidP="000B5684">
      <w:pPr>
        <w:spacing w:line="276" w:lineRule="auto"/>
        <w:rPr>
          <w:rFonts w:ascii="Arial Narrow" w:hAnsi="Arial Narrow"/>
        </w:rPr>
      </w:pPr>
      <w:r>
        <w:rPr>
          <w:rFonts w:ascii="Arial Narrow" w:hAnsi="Arial Narrow"/>
        </w:rPr>
        <w:t xml:space="preserve">Note: </w:t>
      </w:r>
      <w:r w:rsidRPr="00D35297">
        <w:rPr>
          <w:rFonts w:ascii="Arial Narrow" w:hAnsi="Arial Narrow"/>
        </w:rPr>
        <w:t>95%CI, 95% confidence interval; UK-IBDQ, UK Inflammatory Bowel Disease Questionnaire; ITT, intention-to-treat estimate (i.e., primary outcome analysis model)</w:t>
      </w:r>
      <w:r w:rsidRPr="00D35297">
        <w:rPr>
          <w:rFonts w:ascii="Arial Narrow" w:hAnsi="Arial Narrow"/>
        </w:rPr>
        <w:br/>
        <w:t>*CACE estimate represents the difference, on average, between compliant participants who were randomly assigned to the intervention arm and participants in the control arm who would have complied with the intervention had they been randomly assigned to the intervention arm</w:t>
      </w:r>
      <w:r w:rsidRPr="00D35297">
        <w:rPr>
          <w:rFonts w:ascii="Arial Narrow" w:hAnsi="Arial Narrow"/>
        </w:rPr>
        <w:br/>
      </w:r>
      <w:r>
        <w:rPr>
          <w:rFonts w:ascii="Arial Narrow" w:hAnsi="Arial Narrow"/>
        </w:rPr>
        <w:t>Adherence</w:t>
      </w:r>
      <w:r w:rsidRPr="00D35297">
        <w:rPr>
          <w:rFonts w:ascii="Arial Narrow" w:hAnsi="Arial Narrow"/>
        </w:rPr>
        <w:t xml:space="preserve"> </w:t>
      </w:r>
      <w:r>
        <w:rPr>
          <w:rFonts w:ascii="Arial Narrow" w:hAnsi="Arial Narrow"/>
        </w:rPr>
        <w:t xml:space="preserve">(compliance) </w:t>
      </w:r>
      <w:r w:rsidRPr="00D35297">
        <w:rPr>
          <w:rFonts w:ascii="Arial Narrow" w:hAnsi="Arial Narrow"/>
        </w:rPr>
        <w:t>status in the control arm was predicted using participant age, ethnicity, education level, employment status, relationship status, and PROMIS symptom scores for pain, fatigue, &amp; incontinence</w:t>
      </w:r>
      <w:r w:rsidRPr="00D35297">
        <w:rPr>
          <w:rFonts w:ascii="Arial Narrow" w:hAnsi="Arial Narrow"/>
        </w:rPr>
        <w:br/>
        <w:t>Number of participants included in CACE analyses represents the number of participants with observed (</w:t>
      </w:r>
      <w:proofErr w:type="spellStart"/>
      <w:r w:rsidRPr="00D35297">
        <w:rPr>
          <w:rFonts w:ascii="Arial Narrow" w:hAnsi="Arial Narrow"/>
        </w:rPr>
        <w:t>ie</w:t>
      </w:r>
      <w:proofErr w:type="spellEnd"/>
      <w:r w:rsidRPr="00D35297">
        <w:rPr>
          <w:rFonts w:ascii="Arial Narrow" w:hAnsi="Arial Narrow"/>
        </w:rPr>
        <w:t>, non-missing) outcome data for UK-IBDQ &amp; G</w:t>
      </w:r>
      <w:r>
        <w:rPr>
          <w:rFonts w:ascii="Arial Narrow" w:hAnsi="Arial Narrow"/>
        </w:rPr>
        <w:t>RSR</w:t>
      </w:r>
    </w:p>
    <w:p w14:paraId="0D97B7A1" w14:textId="77777777" w:rsidR="000B5684" w:rsidRDefault="000B5684" w:rsidP="000B5684">
      <w:pPr>
        <w:rPr>
          <w:rFonts w:ascii="Arial" w:hAnsi="Arial" w:cs="Arial"/>
        </w:rPr>
      </w:pPr>
    </w:p>
    <w:p w14:paraId="192ADB2F" w14:textId="77777777" w:rsidR="00477E76" w:rsidRDefault="00477E76"/>
    <w:sectPr w:rsidR="00477E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B01"/>
    <w:rsid w:val="00092D23"/>
    <w:rsid w:val="000B5684"/>
    <w:rsid w:val="001F05A0"/>
    <w:rsid w:val="002957B5"/>
    <w:rsid w:val="00477E76"/>
    <w:rsid w:val="00573259"/>
    <w:rsid w:val="00783B01"/>
    <w:rsid w:val="007D2D01"/>
    <w:rsid w:val="00832920"/>
    <w:rsid w:val="009F1B2B"/>
    <w:rsid w:val="00C66E75"/>
    <w:rsid w:val="00E07C7F"/>
    <w:rsid w:val="00F74789"/>
    <w:rsid w:val="00F75E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2D3F8"/>
  <w15:chartTrackingRefBased/>
  <w15:docId w15:val="{9D3E36E3-CBA7-4761-9329-A74F01C3D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684"/>
  </w:style>
  <w:style w:type="paragraph" w:styleId="Heading1">
    <w:name w:val="heading 1"/>
    <w:basedOn w:val="Normal"/>
    <w:next w:val="Normal"/>
    <w:link w:val="Heading1Char"/>
    <w:uiPriority w:val="9"/>
    <w:qFormat/>
    <w:rsid w:val="00783B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3B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3B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3B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3B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3B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3B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3B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3B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3B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3B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3B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3B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3B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3B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3B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3B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3B01"/>
    <w:rPr>
      <w:rFonts w:eastAsiaTheme="majorEastAsia" w:cstheme="majorBidi"/>
      <w:color w:val="272727" w:themeColor="text1" w:themeTint="D8"/>
    </w:rPr>
  </w:style>
  <w:style w:type="paragraph" w:styleId="Title">
    <w:name w:val="Title"/>
    <w:basedOn w:val="Normal"/>
    <w:next w:val="Normal"/>
    <w:link w:val="TitleChar"/>
    <w:uiPriority w:val="10"/>
    <w:qFormat/>
    <w:rsid w:val="00783B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3B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3B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3B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3B01"/>
    <w:pPr>
      <w:spacing w:before="160"/>
      <w:jc w:val="center"/>
    </w:pPr>
    <w:rPr>
      <w:i/>
      <w:iCs/>
      <w:color w:val="404040" w:themeColor="text1" w:themeTint="BF"/>
    </w:rPr>
  </w:style>
  <w:style w:type="character" w:customStyle="1" w:styleId="QuoteChar">
    <w:name w:val="Quote Char"/>
    <w:basedOn w:val="DefaultParagraphFont"/>
    <w:link w:val="Quote"/>
    <w:uiPriority w:val="29"/>
    <w:rsid w:val="00783B01"/>
    <w:rPr>
      <w:i/>
      <w:iCs/>
      <w:color w:val="404040" w:themeColor="text1" w:themeTint="BF"/>
    </w:rPr>
  </w:style>
  <w:style w:type="paragraph" w:styleId="ListParagraph">
    <w:name w:val="List Paragraph"/>
    <w:basedOn w:val="Normal"/>
    <w:uiPriority w:val="34"/>
    <w:qFormat/>
    <w:rsid w:val="00783B01"/>
    <w:pPr>
      <w:ind w:left="720"/>
      <w:contextualSpacing/>
    </w:pPr>
  </w:style>
  <w:style w:type="character" w:styleId="IntenseEmphasis">
    <w:name w:val="Intense Emphasis"/>
    <w:basedOn w:val="DefaultParagraphFont"/>
    <w:uiPriority w:val="21"/>
    <w:qFormat/>
    <w:rsid w:val="00783B01"/>
    <w:rPr>
      <w:i/>
      <w:iCs/>
      <w:color w:val="0F4761" w:themeColor="accent1" w:themeShade="BF"/>
    </w:rPr>
  </w:style>
  <w:style w:type="paragraph" w:styleId="IntenseQuote">
    <w:name w:val="Intense Quote"/>
    <w:basedOn w:val="Normal"/>
    <w:next w:val="Normal"/>
    <w:link w:val="IntenseQuoteChar"/>
    <w:uiPriority w:val="30"/>
    <w:qFormat/>
    <w:rsid w:val="00783B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3B01"/>
    <w:rPr>
      <w:i/>
      <w:iCs/>
      <w:color w:val="0F4761" w:themeColor="accent1" w:themeShade="BF"/>
    </w:rPr>
  </w:style>
  <w:style w:type="character" w:styleId="IntenseReference">
    <w:name w:val="Intense Reference"/>
    <w:basedOn w:val="DefaultParagraphFont"/>
    <w:uiPriority w:val="32"/>
    <w:qFormat/>
    <w:rsid w:val="00783B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180</Words>
  <Characters>1027</Characters>
  <Application>Microsoft Office Word</Application>
  <DocSecurity>0</DocSecurity>
  <Lines>8</Lines>
  <Paragraphs>2</Paragraphs>
  <ScaleCrop>false</ScaleCrop>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Norton</dc:creator>
  <cp:keywords/>
  <dc:description/>
  <cp:lastModifiedBy>Christine Norton</cp:lastModifiedBy>
  <cp:revision>2</cp:revision>
  <dcterms:created xsi:type="dcterms:W3CDTF">2025-03-05T12:37:00Z</dcterms:created>
  <dcterms:modified xsi:type="dcterms:W3CDTF">2025-03-05T12:38:00Z</dcterms:modified>
</cp:coreProperties>
</file>