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37F4C" w14:textId="77777777" w:rsidR="00571831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Supplementary Material</w:t>
      </w:r>
    </w:p>
    <w:p w14:paraId="1DB75EBA" w14:textId="77777777" w:rsidR="00571831" w:rsidRDefault="00571831">
      <w:pPr>
        <w:rPr>
          <w:rFonts w:ascii="Times New Roman" w:eastAsia="Times New Roman" w:hAnsi="Times New Roman" w:cs="Times New Roman"/>
          <w:b/>
        </w:rPr>
      </w:pPr>
    </w:p>
    <w:p w14:paraId="1EB9D06D" w14:textId="77777777" w:rsidR="00571831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Supplementary Methods</w:t>
      </w:r>
    </w:p>
    <w:p w14:paraId="597DAAAE" w14:textId="77777777" w:rsidR="00571831" w:rsidRDefault="00571831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09C12F" w14:textId="77777777" w:rsidR="00571831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MRI acquisition and pre-processing</w:t>
      </w:r>
    </w:p>
    <w:p w14:paraId="2244F81A" w14:textId="77777777" w:rsidR="00571831" w:rsidRDefault="00571831">
      <w:pPr>
        <w:rPr>
          <w:rFonts w:ascii="Times New Roman" w:eastAsia="Times New Roman" w:hAnsi="Times New Roman" w:cs="Times New Roman"/>
          <w:b/>
        </w:rPr>
      </w:pPr>
    </w:p>
    <w:p w14:paraId="4AEEB09F" w14:textId="77777777" w:rsidR="00571831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MRI acquisitions were performed in PD patients only. Patients were scanned on a separate day from the clinical assessment (approximately 4 months between assessments) using a 3.0 Tesla (3T) scanner with a 32-channel head coil (Philips dual Tx </w:t>
      </w:r>
      <w:proofErr w:type="spellStart"/>
      <w:r>
        <w:rPr>
          <w:rFonts w:ascii="Times New Roman" w:eastAsia="Times New Roman" w:hAnsi="Times New Roman" w:cs="Times New Roman"/>
        </w:rPr>
        <w:t>Acheiva</w:t>
      </w:r>
      <w:proofErr w:type="spellEnd"/>
      <w:r>
        <w:rPr>
          <w:rFonts w:ascii="Times New Roman" w:eastAsia="Times New Roman" w:hAnsi="Times New Roman" w:cs="Times New Roman"/>
        </w:rPr>
        <w:t xml:space="preserve">, St George’s Hospital), while ON medications. Structural volumes were obtained using a high-resolution three-dimensional magnetisation prepared rapid gradient echo (MPRAGE) sequence (T1-weighted, TR=6.8 </w:t>
      </w:r>
      <w:proofErr w:type="spellStart"/>
      <w:r>
        <w:rPr>
          <w:rFonts w:ascii="Times New Roman" w:eastAsia="Times New Roman" w:hAnsi="Times New Roman" w:cs="Times New Roman"/>
        </w:rPr>
        <w:t>ms</w:t>
      </w:r>
      <w:proofErr w:type="spellEnd"/>
      <w:r>
        <w:rPr>
          <w:rFonts w:ascii="Times New Roman" w:eastAsia="Times New Roman" w:hAnsi="Times New Roman" w:cs="Times New Roman"/>
        </w:rPr>
        <w:t>, TE=3.1ms, TI=819ms, flip angle=8°, 1mm isotropic spatial resolution). Brain extraction was performed using the FSL (FMRIB Software Library v6.0) BET tool</w:t>
      </w:r>
      <w:hyperlink r:id="rId4">
        <w:r w:rsidR="00571831">
          <w:rPr>
            <w:rFonts w:ascii="Times New Roman" w:eastAsia="Times New Roman" w:hAnsi="Times New Roman" w:cs="Times New Roman"/>
            <w:color w:val="000000"/>
          </w:rPr>
          <w:t>(Smith et al. 2004)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41FA9FEC" w14:textId="77777777" w:rsidR="0057183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T1-weighted volumes from all participants were visually inspected to identify and exclude any macroscopic artifacts before preprocessing in SPM12 (Statistical Parametric Mapping, http://www.fil.ion.ucl.ac.uk/spm/) using the DARTEL algorithm. Briefly, the MR images underwent bias-field correction to address non-uniformities, followed by segmentation into grey matter (GM), white matter, and cerebrospinal fluid using a priori tissue probability maps in the International Consortium of Brain Mapping (ICBM) template space. </w:t>
      </w:r>
    </w:p>
    <w:p w14:paraId="46D60A9C" w14:textId="77777777" w:rsidR="0057183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individual GM images were then normalized to the Montreal Neurological Institute (MNI) template with a voxel size of 1.5×1.5×1.5 mm³ and modulated to preserve the original individual GM volumes. Lastly, all GM images were smoothed using </w:t>
      </w:r>
      <w:proofErr w:type="gramStart"/>
      <w:r>
        <w:rPr>
          <w:rFonts w:ascii="Times New Roman" w:eastAsia="Times New Roman" w:hAnsi="Times New Roman" w:cs="Times New Roman"/>
        </w:rPr>
        <w:t>a</w:t>
      </w:r>
      <w:proofErr w:type="gramEnd"/>
      <w:r>
        <w:rPr>
          <w:rFonts w:ascii="Times New Roman" w:eastAsia="Times New Roman" w:hAnsi="Times New Roman" w:cs="Times New Roman"/>
        </w:rPr>
        <w:t xml:space="preserve"> 8-mm full-width at half maximum (FWHM) isotropic Gaussian kernel. </w:t>
      </w:r>
    </w:p>
    <w:p w14:paraId="1C61CF67" w14:textId="77777777" w:rsidR="00571831" w:rsidRDefault="0057183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F5E55E4" w14:textId="77777777" w:rsidR="00571831" w:rsidRDefault="00000000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Small Volume Correction Analyses For a priori-Hypothesized Regions of Interest</w:t>
      </w:r>
    </w:p>
    <w:p w14:paraId="111203DE" w14:textId="48D84A19" w:rsidR="00571831" w:rsidRDefault="00000000">
      <w:pPr>
        <w:shd w:val="clear" w:color="auto" w:fill="FFFFFF"/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To test a-priori hypotheses, small volume correction (SVC) analyses were performed in the bilateral Insula, and basal ganglia structures including Putamen, Caudate Nucleus, Anterior Cingulate Cortex, bilateral Amygdala and Pre-Frontal Cortex. Anatomical </w:t>
      </w:r>
      <w:r>
        <w:rPr>
          <w:rFonts w:ascii="Times New Roman" w:eastAsia="Times New Roman" w:hAnsi="Times New Roman" w:cs="Times New Roman"/>
        </w:rPr>
        <w:t>masks</w:t>
      </w:r>
      <w:r>
        <w:rPr>
          <w:rFonts w:ascii="Times New Roman" w:eastAsia="Times New Roman" w:hAnsi="Times New Roman" w:cs="Times New Roman"/>
          <w:color w:val="000000"/>
        </w:rPr>
        <w:t xml:space="preserve"> for these regions were derived from the SPM-12 anatomy </w:t>
      </w:r>
      <w:r w:rsidRPr="00BB67F1">
        <w:rPr>
          <w:rFonts w:ascii="Times New Roman" w:eastAsia="Times New Roman" w:hAnsi="Times New Roman" w:cs="Times New Roman"/>
          <w:color w:val="000000"/>
        </w:rPr>
        <w:t>toolbox</w:t>
      </w:r>
      <w:r w:rsidR="00BB67F1">
        <w:rPr>
          <w:rFonts w:ascii="Times New Roman" w:eastAsia="Times New Roman" w:hAnsi="Times New Roman" w:cs="Times New Roman"/>
          <w:color w:val="000000"/>
        </w:rPr>
        <w:t xml:space="preserve"> (</w:t>
      </w:r>
      <w:r w:rsidR="00BB67F1" w:rsidRPr="00BB67F1">
        <w:rPr>
          <w:rFonts w:ascii="Times New Roman" w:hAnsi="Times New Roman" w:cs="Times New Roman"/>
        </w:rPr>
        <w:t>Smith et al., 2004</w:t>
      </w:r>
      <w:r w:rsidR="00BB67F1">
        <w:rPr>
          <w:rFonts w:ascii="Times New Roman" w:hAnsi="Times New Roman" w:cs="Times New Roman"/>
        </w:rPr>
        <w:t>;</w:t>
      </w:r>
      <w:r w:rsidR="00BB67F1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5">
        <w:r w:rsidR="00571831" w:rsidRPr="00BB67F1">
          <w:rPr>
            <w:rFonts w:ascii="Times New Roman" w:eastAsia="Times New Roman" w:hAnsi="Times New Roman" w:cs="Times New Roman"/>
            <w:color w:val="000000"/>
          </w:rPr>
          <w:t>Eickhoff et al. 2005)</w:t>
        </w:r>
      </w:hyperlink>
      <w:r w:rsidR="00BB67F1">
        <w:rPr>
          <w:rFonts w:ascii="Times New Roman" w:hAnsi="Times New Roman" w:cs="Times New Roman"/>
        </w:rPr>
        <w:t>.</w:t>
      </w:r>
    </w:p>
    <w:p w14:paraId="3732E425" w14:textId="5CCD57E5" w:rsidR="00972B44" w:rsidRDefault="00972B44" w:rsidP="00972B4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</w:p>
    <w:p w14:paraId="169FD454" w14:textId="4CCF2B75" w:rsidR="009303AA" w:rsidRPr="00BC295B" w:rsidRDefault="009303AA" w:rsidP="009303AA">
      <w:pPr>
        <w:pStyle w:val="Heading3"/>
        <w:spacing w:before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29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Sample size </w:t>
      </w:r>
    </w:p>
    <w:p w14:paraId="77C54762" w14:textId="1EBD79C5" w:rsidR="00972B44" w:rsidRPr="00BC295B" w:rsidRDefault="00EE1645" w:rsidP="00BC295B">
      <w:pPr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</w:rPr>
        <w:t>A post hoc</w:t>
      </w:r>
      <w:r w:rsidR="00972B44" w:rsidRPr="00972B44">
        <w:rPr>
          <w:rFonts w:ascii="Times New Roman" w:hAnsi="Times New Roman" w:cs="Times New Roman"/>
        </w:rPr>
        <w:t xml:space="preserve"> power analyses using G*Power 3.1</w:t>
      </w:r>
      <w:r w:rsidR="009303AA">
        <w:rPr>
          <w:rFonts w:ascii="Times New Roman" w:hAnsi="Times New Roman" w:cs="Times New Roman"/>
        </w:rPr>
        <w:t xml:space="preserve"> was conducted</w:t>
      </w:r>
      <w:r w:rsidR="00972B44" w:rsidRPr="00972B44">
        <w:rPr>
          <w:rFonts w:ascii="Times New Roman" w:hAnsi="Times New Roman" w:cs="Times New Roman"/>
        </w:rPr>
        <w:t xml:space="preserve">, focused on the primary analysis in our study: a mixed-design ANOVA examining the effects of Group (PD with anxiety, PD without anxiety, and healthy controls) and Position (sitting, standing minute 1, standing minute 3) </w:t>
      </w:r>
      <w:r w:rsidR="00972B44" w:rsidRPr="00BC295B">
        <w:rPr>
          <w:rFonts w:ascii="Times New Roman" w:hAnsi="Times New Roman" w:cs="Times New Roman"/>
          <w:i/>
          <w:iCs/>
        </w:rPr>
        <w:t xml:space="preserve">on </w:t>
      </w:r>
      <w:proofErr w:type="spellStart"/>
      <w:r w:rsidR="00972B44" w:rsidRPr="00BC295B">
        <w:rPr>
          <w:rFonts w:ascii="Times New Roman" w:hAnsi="Times New Roman" w:cs="Times New Roman"/>
          <w:i/>
          <w:iCs/>
        </w:rPr>
        <w:t>logRMSSD</w:t>
      </w:r>
      <w:proofErr w:type="spellEnd"/>
      <w:r w:rsidR="00972B44" w:rsidRPr="00BC295B">
        <w:rPr>
          <w:rFonts w:ascii="Times New Roman" w:hAnsi="Times New Roman" w:cs="Times New Roman"/>
          <w:b/>
          <w:bCs/>
        </w:rPr>
        <w:t>.</w:t>
      </w:r>
    </w:p>
    <w:p w14:paraId="6650819F" w14:textId="1FEFE8F4" w:rsidR="00972B44" w:rsidRPr="00972B44" w:rsidRDefault="00972B44" w:rsidP="00972B4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972B44">
        <w:rPr>
          <w:rFonts w:ascii="Times New Roman" w:hAnsi="Times New Roman" w:cs="Times New Roman"/>
        </w:rPr>
        <w:t xml:space="preserve">Our main effect of interest was the Group factor, representing diagnostic status, as it directly reflects the hypothesised influence of anxiety and </w:t>
      </w:r>
      <w:r w:rsidR="00EE1645">
        <w:rPr>
          <w:rFonts w:ascii="Times New Roman" w:hAnsi="Times New Roman" w:cs="Times New Roman"/>
        </w:rPr>
        <w:t>PD</w:t>
      </w:r>
      <w:r w:rsidRPr="00972B44">
        <w:rPr>
          <w:rFonts w:ascii="Times New Roman" w:hAnsi="Times New Roman" w:cs="Times New Roman"/>
        </w:rPr>
        <w:t xml:space="preserve"> on autonomic regulation. With a total sample size of 66 participants (27 </w:t>
      </w:r>
      <w:proofErr w:type="spellStart"/>
      <w:r w:rsidRPr="00972B44">
        <w:rPr>
          <w:rFonts w:ascii="Times New Roman" w:hAnsi="Times New Roman" w:cs="Times New Roman"/>
        </w:rPr>
        <w:t>PD_Anx</w:t>
      </w:r>
      <w:proofErr w:type="spellEnd"/>
      <w:r w:rsidRPr="00972B44">
        <w:rPr>
          <w:rFonts w:ascii="Times New Roman" w:hAnsi="Times New Roman" w:cs="Times New Roman"/>
        </w:rPr>
        <w:t xml:space="preserve">, 23 </w:t>
      </w:r>
      <w:proofErr w:type="spellStart"/>
      <w:r w:rsidRPr="00972B44">
        <w:rPr>
          <w:rFonts w:ascii="Times New Roman" w:hAnsi="Times New Roman" w:cs="Times New Roman"/>
        </w:rPr>
        <w:t>PD_noAnx</w:t>
      </w:r>
      <w:proofErr w:type="spellEnd"/>
      <w:r w:rsidRPr="00972B44">
        <w:rPr>
          <w:rFonts w:ascii="Times New Roman" w:hAnsi="Times New Roman" w:cs="Times New Roman"/>
        </w:rPr>
        <w:t>, and 16 HC), we observed a large effect size for this factor (Cohen’s f = 0.628)</w:t>
      </w:r>
      <w:r w:rsidR="00FC032C">
        <w:rPr>
          <w:rFonts w:ascii="Times New Roman" w:hAnsi="Times New Roman" w:cs="Times New Roman"/>
        </w:rPr>
        <w:t xml:space="preserve"> </w:t>
      </w:r>
      <w:r w:rsidRPr="00972B44">
        <w:rPr>
          <w:rFonts w:ascii="Times New Roman" w:hAnsi="Times New Roman" w:cs="Times New Roman"/>
        </w:rPr>
        <w:t xml:space="preserve">and achieved &gt;99% power to detect it at α = 0.05. Similarly, the main effect of Position also yielded a large effect size (f = 0.654), with &gt;99% power. The Group × Position interaction was considered a secondary effect </w:t>
      </w:r>
      <w:r w:rsidRPr="00972B44">
        <w:rPr>
          <w:rFonts w:ascii="Times New Roman" w:hAnsi="Times New Roman" w:cs="Times New Roman"/>
        </w:rPr>
        <w:lastRenderedPageBreak/>
        <w:t>of interest, with the orthostatic challenge being used as a mean of eliciting an automatic response. It showed a smaller observed effect size (f = 0.28), corresponding to a power of 38%, suggesting that the study may have been underpowered to detect interaction effects of this magnitude.</w:t>
      </w:r>
    </w:p>
    <w:p w14:paraId="45761FD4" w14:textId="6A692082" w:rsidR="00EE1645" w:rsidRPr="00EE1645" w:rsidRDefault="00972B44" w:rsidP="00EE164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BC295B">
        <w:rPr>
          <w:rFonts w:ascii="Times New Roman" w:hAnsi="Times New Roman" w:cs="Times New Roman"/>
          <w:i/>
          <w:iCs/>
        </w:rPr>
        <w:t>VBM power</w:t>
      </w:r>
      <w:r w:rsidR="00EE1645" w:rsidRPr="00BC295B">
        <w:rPr>
          <w:rFonts w:ascii="Times New Roman" w:hAnsi="Times New Roman" w:cs="Times New Roman"/>
          <w:i/>
          <w:iCs/>
        </w:rPr>
        <w:t xml:space="preserve"> calculation</w:t>
      </w:r>
      <w:r w:rsidR="00EE1645" w:rsidRPr="00EE1645">
        <w:rPr>
          <w:rFonts w:ascii="Times New Roman" w:hAnsi="Times New Roman" w:cs="Times New Roman"/>
        </w:rPr>
        <w:t>:</w:t>
      </w:r>
      <w:r w:rsidR="00EE1645">
        <w:rPr>
          <w:rFonts w:ascii="Times New Roman" w:hAnsi="Times New Roman" w:cs="Times New Roman"/>
        </w:rPr>
        <w:t xml:space="preserve"> </w:t>
      </w:r>
      <w:r w:rsidR="00EE1645" w:rsidRPr="00EE1645">
        <w:rPr>
          <w:rFonts w:ascii="Times New Roman" w:hAnsi="Times New Roman" w:cs="Times New Roman"/>
        </w:rPr>
        <w:t>Based on G*Power calculations for an independent samples t-test (α = 0.05, power = 0.80), a total of 42 participants (21 per group) would be required to detect a large effect size (Cohen’s d = 0.8) — which aligns with the statistical design employed in our group comparisons.</w:t>
      </w:r>
    </w:p>
    <w:p w14:paraId="79EE3AED" w14:textId="4AF1C916" w:rsidR="00EE1645" w:rsidRPr="00EE1645" w:rsidRDefault="00EE1645" w:rsidP="00EE164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EE1645">
        <w:rPr>
          <w:rFonts w:ascii="Times New Roman" w:hAnsi="Times New Roman" w:cs="Times New Roman"/>
        </w:rPr>
        <w:t xml:space="preserve">A post hoc power analysis was conducted using G*Power (v3.1) to estimate the statistical power for the observed group difference in grey matter volume between PD patients with and without anxiety. Based on the observed effect size (d = 1.22) at the right caudate nucleus (T = 4.21, </w:t>
      </w:r>
      <w:proofErr w:type="spellStart"/>
      <w:r w:rsidRPr="00EE1645">
        <w:rPr>
          <w:rFonts w:ascii="Times New Roman" w:hAnsi="Times New Roman" w:cs="Times New Roman"/>
        </w:rPr>
        <w:t>df</w:t>
      </w:r>
      <w:proofErr w:type="spellEnd"/>
      <w:r w:rsidRPr="00EE1645">
        <w:rPr>
          <w:rFonts w:ascii="Times New Roman" w:hAnsi="Times New Roman" w:cs="Times New Roman"/>
        </w:rPr>
        <w:t xml:space="preserve"> = 48), and group sizes of 27 and 23, the analysis yielded a power of 98.8% (α = 0.05, two-tailed). </w:t>
      </w:r>
    </w:p>
    <w:p w14:paraId="0FD4FC84" w14:textId="47276D61" w:rsidR="00EE1645" w:rsidRDefault="00EE1645" w:rsidP="00EE1645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</w:rPr>
      </w:pPr>
      <w:r w:rsidRPr="00EE1645">
        <w:rPr>
          <w:rFonts w:ascii="Times New Roman" w:hAnsi="Times New Roman" w:cs="Times New Roman"/>
        </w:rPr>
        <w:t xml:space="preserve">A post hoc power analysis was performed for the group difference observed in the left insular cortex (T = 5.95, </w:t>
      </w:r>
      <w:proofErr w:type="spellStart"/>
      <w:r w:rsidRPr="00EE1645">
        <w:rPr>
          <w:rFonts w:ascii="Times New Roman" w:hAnsi="Times New Roman" w:cs="Times New Roman"/>
        </w:rPr>
        <w:t>df</w:t>
      </w:r>
      <w:proofErr w:type="spellEnd"/>
      <w:r w:rsidRPr="00EE1645">
        <w:rPr>
          <w:rFonts w:ascii="Times New Roman" w:hAnsi="Times New Roman" w:cs="Times New Roman"/>
        </w:rPr>
        <w:t xml:space="preserve"> = 48). The corresponding effect size was estimated at d = 1.72. With group sizes of 27 and 23 and α = 0.05 (two-tailed), the achieved power was &gt;99.9%, indicating extremely high sensitivity to detect the observed effect.</w:t>
      </w:r>
    </w:p>
    <w:p w14:paraId="32A6AB0D" w14:textId="77777777" w:rsidR="00FC032C" w:rsidRDefault="00FC032C" w:rsidP="00BC295B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DDED113" w14:textId="77777777" w:rsidR="00571831" w:rsidRDefault="0057183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80791A8" w14:textId="77777777" w:rsidR="0057183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Supplementary Results</w:t>
      </w:r>
    </w:p>
    <w:p w14:paraId="456BA602" w14:textId="77777777" w:rsidR="00571831" w:rsidRDefault="0000000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HR Comparison PD Off Medication vs. HC</w:t>
      </w:r>
      <w:r>
        <w:rPr>
          <w:rFonts w:ascii="Times New Roman" w:eastAsia="Times New Roman" w:hAnsi="Times New Roman" w:cs="Times New Roman"/>
        </w:rPr>
        <w:t xml:space="preserve">: Position had a significant effect (p&lt;0.001), with HR increasing from sitting to standing at minutes 1 (p&lt;0.001) and 3 (p&lt;0.001). The Position*Group interaction was significant (p=0.013), driven by differences between </w:t>
      </w:r>
      <w:proofErr w:type="spellStart"/>
      <w:r>
        <w:rPr>
          <w:rFonts w:ascii="Times New Roman" w:eastAsia="Times New Roman" w:hAnsi="Times New Roman" w:cs="Times New Roman"/>
        </w:rPr>
        <w:t>PD_Anx</w:t>
      </w:r>
      <w:proofErr w:type="spellEnd"/>
      <w:r>
        <w:rPr>
          <w:rFonts w:ascii="Times New Roman" w:eastAsia="Times New Roman" w:hAnsi="Times New Roman" w:cs="Times New Roman"/>
        </w:rPr>
        <w:t xml:space="preserve"> vs. HC (min 1: p=0.003, min 3: p=0.008) and </w:t>
      </w:r>
      <w:proofErr w:type="spellStart"/>
      <w:r>
        <w:rPr>
          <w:rFonts w:ascii="Times New Roman" w:eastAsia="Times New Roman" w:hAnsi="Times New Roman" w:cs="Times New Roman"/>
        </w:rPr>
        <w:t>PD_noAnx</w:t>
      </w:r>
      <w:proofErr w:type="spellEnd"/>
      <w:r>
        <w:rPr>
          <w:rFonts w:ascii="Times New Roman" w:eastAsia="Times New Roman" w:hAnsi="Times New Roman" w:cs="Times New Roman"/>
        </w:rPr>
        <w:t xml:space="preserve"> vs. HC (min 3: p=0.02).</w:t>
      </w:r>
    </w:p>
    <w:p w14:paraId="4DCC7B9C" w14:textId="77777777" w:rsidR="00571831" w:rsidRDefault="0000000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HR Comparison PD On Medication vs. HC</w:t>
      </w:r>
      <w:r>
        <w:rPr>
          <w:rFonts w:ascii="Times New Roman" w:eastAsia="Times New Roman" w:hAnsi="Times New Roman" w:cs="Times New Roman"/>
        </w:rPr>
        <w:t>: Position had a significant effect (p&lt;0.001), with HR increasing from sitting to standing at minutes 1 (p&lt;0.001) and 3 (p&lt;0.001). The Position*Group interaction was marginal (p=0.057), with no significant group differences (p=0.5).</w:t>
      </w:r>
    </w:p>
    <w:p w14:paraId="0B182355" w14:textId="5CD806B5" w:rsidR="008B1CC3" w:rsidRDefault="00000000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HR:</w:t>
      </w:r>
      <w:r>
        <w:rPr>
          <w:rFonts w:ascii="Times New Roman" w:eastAsia="Times New Roman" w:hAnsi="Times New Roman" w:cs="Times New Roman"/>
        </w:rPr>
        <w:t xml:space="preserve"> A significant Position effect was observed (</w:t>
      </w:r>
      <w:proofErr w:type="gramStart"/>
      <w:r>
        <w:rPr>
          <w:rFonts w:ascii="Times New Roman" w:eastAsia="Times New Roman" w:hAnsi="Times New Roman" w:cs="Times New Roman"/>
        </w:rPr>
        <w:t>F(</w:t>
      </w:r>
      <w:proofErr w:type="gramEnd"/>
      <w:r>
        <w:rPr>
          <w:rFonts w:ascii="Times New Roman" w:eastAsia="Times New Roman" w:hAnsi="Times New Roman" w:cs="Times New Roman"/>
        </w:rPr>
        <w:t xml:space="preserve">2, </w:t>
      </w:r>
      <w:proofErr w:type="gramStart"/>
      <w:r>
        <w:rPr>
          <w:rFonts w:ascii="Times New Roman" w:eastAsia="Times New Roman" w:hAnsi="Times New Roman" w:cs="Times New Roman"/>
        </w:rPr>
        <w:t>30)=</w:t>
      </w:r>
      <w:proofErr w:type="gramEnd"/>
      <w:r>
        <w:rPr>
          <w:rFonts w:ascii="Times New Roman" w:eastAsia="Times New Roman" w:hAnsi="Times New Roman" w:cs="Times New Roman"/>
        </w:rPr>
        <w:t>3.457, p=0.045), with HR higher in standing vs. sitting. The Medication*Position interaction was significant (</w:t>
      </w:r>
      <w:proofErr w:type="gramStart"/>
      <w:r>
        <w:rPr>
          <w:rFonts w:ascii="Times New Roman" w:eastAsia="Times New Roman" w:hAnsi="Times New Roman" w:cs="Times New Roman"/>
        </w:rPr>
        <w:t>F(</w:t>
      </w:r>
      <w:proofErr w:type="gramEnd"/>
      <w:r>
        <w:rPr>
          <w:rFonts w:ascii="Times New Roman" w:eastAsia="Times New Roman" w:hAnsi="Times New Roman" w:cs="Times New Roman"/>
        </w:rPr>
        <w:t xml:space="preserve">2, </w:t>
      </w:r>
      <w:proofErr w:type="gramStart"/>
      <w:r>
        <w:rPr>
          <w:rFonts w:ascii="Times New Roman" w:eastAsia="Times New Roman" w:hAnsi="Times New Roman" w:cs="Times New Roman"/>
        </w:rPr>
        <w:t>30)=</w:t>
      </w:r>
      <w:proofErr w:type="gramEnd"/>
      <w:r>
        <w:rPr>
          <w:rFonts w:ascii="Times New Roman" w:eastAsia="Times New Roman" w:hAnsi="Times New Roman" w:cs="Times New Roman"/>
        </w:rPr>
        <w:t>3.613, p=0.039), with HR increasing from minute 1 to minute 3 when OFF medication (p=0.02), but not when ON medication (p=0.5). Other interactions were not significant.</w:t>
      </w:r>
    </w:p>
    <w:p w14:paraId="28750172" w14:textId="77777777" w:rsidR="00571831" w:rsidRDefault="00571831">
      <w:pPr>
        <w:spacing w:before="280" w:after="280" w:line="360" w:lineRule="auto"/>
        <w:rPr>
          <w:rFonts w:ascii="Times New Roman" w:eastAsia="Times New Roman" w:hAnsi="Times New Roman" w:cs="Times New Roman"/>
        </w:rPr>
      </w:pPr>
    </w:p>
    <w:p w14:paraId="2BC53D7E" w14:textId="77777777" w:rsidR="00571831" w:rsidRDefault="00000000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Supplementary Tables</w:t>
      </w:r>
    </w:p>
    <w:p w14:paraId="48D4E4C3" w14:textId="77777777" w:rsidR="00571831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BB67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Supplementary Table 1: </w:t>
      </w:r>
      <w:r>
        <w:rPr>
          <w:rFonts w:ascii="Times New Roman" w:eastAsia="Times New Roman" w:hAnsi="Times New Roman" w:cs="Times New Roman"/>
          <w:b/>
          <w:color w:val="000000"/>
        </w:rPr>
        <w:t>Differences in demographic and clinical data between the two PD populations.</w:t>
      </w:r>
    </w:p>
    <w:tbl>
      <w:tblPr>
        <w:tblStyle w:val="a"/>
        <w:tblW w:w="9016" w:type="dxa"/>
        <w:tblLayout w:type="fixed"/>
        <w:tblLook w:val="04A0" w:firstRow="1" w:lastRow="0" w:firstColumn="1" w:lastColumn="0" w:noHBand="0" w:noVBand="1"/>
      </w:tblPr>
      <w:tblGrid>
        <w:gridCol w:w="9016"/>
      </w:tblGrid>
      <w:tr w:rsidR="00571831" w14:paraId="134DDF71" w14:textId="77777777" w:rsidTr="00571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16" w:type="dxa"/>
          </w:tcPr>
          <w:p w14:paraId="2A58EC73" w14:textId="77777777" w:rsidR="00571831" w:rsidRDefault="005718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tbl>
            <w:tblPr>
              <w:tblStyle w:val="a0"/>
              <w:tblW w:w="8701" w:type="dxa"/>
              <w:tblBorders>
                <w:top w:val="single" w:sz="4" w:space="0" w:color="83CAEB"/>
                <w:left w:val="single" w:sz="4" w:space="0" w:color="83CAEB"/>
                <w:bottom w:val="single" w:sz="4" w:space="0" w:color="83CAEB"/>
                <w:right w:val="single" w:sz="4" w:space="0" w:color="83CAEB"/>
                <w:insideH w:val="single" w:sz="4" w:space="0" w:color="83CAEB"/>
                <w:insideV w:val="single" w:sz="4" w:space="0" w:color="83CAEB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9"/>
              <w:gridCol w:w="2003"/>
              <w:gridCol w:w="1957"/>
              <w:gridCol w:w="87"/>
              <w:gridCol w:w="1427"/>
              <w:gridCol w:w="8"/>
            </w:tblGrid>
            <w:tr w:rsidR="00571831" w14:paraId="0F92BB36" w14:textId="77777777" w:rsidTr="0057183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3073C8ED" w14:textId="77777777" w:rsidR="00571831" w:rsidRDefault="00571831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2003" w:type="dxa"/>
                </w:tcPr>
                <w:p w14:paraId="64EFFB12" w14:textId="77777777" w:rsidR="00571831" w:rsidRDefault="00000000">
                  <w:pPr>
                    <w:spacing w:line="360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PD without anxiety</w:t>
                  </w:r>
                </w:p>
                <w:p w14:paraId="657FCC9C" w14:textId="77777777" w:rsidR="00571831" w:rsidRDefault="00000000">
                  <w:pPr>
                    <w:spacing w:line="360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(N=27)</w:t>
                  </w:r>
                </w:p>
              </w:tc>
              <w:tc>
                <w:tcPr>
                  <w:tcW w:w="1957" w:type="dxa"/>
                </w:tcPr>
                <w:p w14:paraId="72D96C2A" w14:textId="77777777" w:rsidR="00571831" w:rsidRDefault="00000000">
                  <w:pPr>
                    <w:spacing w:line="360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PD with anxiety (N=23)</w:t>
                  </w:r>
                </w:p>
              </w:tc>
              <w:tc>
                <w:tcPr>
                  <w:tcW w:w="1522" w:type="dxa"/>
                  <w:gridSpan w:val="3"/>
                </w:tcPr>
                <w:p w14:paraId="1A176BE4" w14:textId="77777777" w:rsidR="00571831" w:rsidRDefault="00000000">
                  <w:pPr>
                    <w:spacing w:line="360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p value</w:t>
                  </w:r>
                </w:p>
              </w:tc>
            </w:tr>
            <w:tr w:rsidR="00571831" w14:paraId="190F2CD7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0B24AEA2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Age</w:t>
                  </w:r>
                </w:p>
              </w:tc>
              <w:tc>
                <w:tcPr>
                  <w:tcW w:w="2003" w:type="dxa"/>
                  <w:vAlign w:val="center"/>
                </w:tcPr>
                <w:p w14:paraId="194C302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62.9±8.1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1AE11873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61.8±6.9</w:t>
                  </w:r>
                </w:p>
              </w:tc>
              <w:tc>
                <w:tcPr>
                  <w:tcW w:w="1427" w:type="dxa"/>
                </w:tcPr>
                <w:p w14:paraId="4873AF0C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0.6</w:t>
                  </w:r>
                </w:p>
              </w:tc>
            </w:tr>
            <w:tr w:rsidR="00571831" w14:paraId="68363DA8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7637E089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Biological sex</w:t>
                  </w:r>
                </w:p>
              </w:tc>
              <w:tc>
                <w:tcPr>
                  <w:tcW w:w="2003" w:type="dxa"/>
                </w:tcPr>
                <w:p w14:paraId="58ADDCF5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16/07</w:t>
                  </w:r>
                </w:p>
              </w:tc>
              <w:tc>
                <w:tcPr>
                  <w:tcW w:w="2044" w:type="dxa"/>
                  <w:gridSpan w:val="2"/>
                </w:tcPr>
                <w:p w14:paraId="21028024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13/14</w:t>
                  </w:r>
                </w:p>
              </w:tc>
              <w:tc>
                <w:tcPr>
                  <w:tcW w:w="1427" w:type="dxa"/>
                </w:tcPr>
                <w:p w14:paraId="77FAB672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0.1</w:t>
                  </w:r>
                </w:p>
              </w:tc>
            </w:tr>
            <w:tr w:rsidR="00571831" w14:paraId="450082FB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03E834D2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Disease duration</w:t>
                  </w:r>
                </w:p>
              </w:tc>
              <w:tc>
                <w:tcPr>
                  <w:tcW w:w="2003" w:type="dxa"/>
                  <w:vAlign w:val="center"/>
                </w:tcPr>
                <w:p w14:paraId="7E3F0725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9.3±4.4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530212BF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11.1±4.4</w:t>
                  </w:r>
                </w:p>
              </w:tc>
              <w:tc>
                <w:tcPr>
                  <w:tcW w:w="1427" w:type="dxa"/>
                </w:tcPr>
                <w:p w14:paraId="1196106B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0.15</w:t>
                  </w:r>
                </w:p>
              </w:tc>
            </w:tr>
            <w:tr w:rsidR="00571831" w14:paraId="497E9418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3FADB42C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Total LEDD</w:t>
                  </w:r>
                </w:p>
              </w:tc>
              <w:tc>
                <w:tcPr>
                  <w:tcW w:w="2003" w:type="dxa"/>
                  <w:vAlign w:val="center"/>
                </w:tcPr>
                <w:p w14:paraId="05E5BF6C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829.2±443.7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59ED57F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1088.3±376.8</w:t>
                  </w:r>
                </w:p>
              </w:tc>
              <w:tc>
                <w:tcPr>
                  <w:tcW w:w="1427" w:type="dxa"/>
                </w:tcPr>
                <w:p w14:paraId="0155893D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0.04</w:t>
                  </w:r>
                </w:p>
              </w:tc>
            </w:tr>
            <w:tr w:rsidR="00571831" w14:paraId="7779AF8A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180439A2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Dopamine-agonist LEDD</w:t>
                  </w:r>
                </w:p>
              </w:tc>
              <w:tc>
                <w:tcPr>
                  <w:tcW w:w="2003" w:type="dxa"/>
                  <w:vAlign w:val="center"/>
                </w:tcPr>
                <w:p w14:paraId="7523C3C8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124.6±136.5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781AB7E1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152.4±169.7</w:t>
                  </w:r>
                </w:p>
              </w:tc>
              <w:tc>
                <w:tcPr>
                  <w:tcW w:w="1427" w:type="dxa"/>
                </w:tcPr>
                <w:p w14:paraId="340D260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0.8</w:t>
                  </w:r>
                </w:p>
              </w:tc>
            </w:tr>
            <w:tr w:rsidR="00571831" w14:paraId="142AFA33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125033C7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UPDRS III OFF</w:t>
                  </w:r>
                </w:p>
              </w:tc>
              <w:tc>
                <w:tcPr>
                  <w:tcW w:w="2003" w:type="dxa"/>
                  <w:vAlign w:val="center"/>
                </w:tcPr>
                <w:p w14:paraId="29DF0953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39.6±11.9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6C75792F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45.4±12.3</w:t>
                  </w:r>
                </w:p>
              </w:tc>
              <w:tc>
                <w:tcPr>
                  <w:tcW w:w="1427" w:type="dxa"/>
                </w:tcPr>
                <w:p w14:paraId="71B6FD94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0.1</w:t>
                  </w:r>
                </w:p>
              </w:tc>
            </w:tr>
            <w:tr w:rsidR="00571831" w14:paraId="2FEAD3E5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4FCD2B80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UPDRS III ON</w:t>
                  </w:r>
                </w:p>
              </w:tc>
              <w:tc>
                <w:tcPr>
                  <w:tcW w:w="2003" w:type="dxa"/>
                  <w:vAlign w:val="center"/>
                </w:tcPr>
                <w:p w14:paraId="0D0AB774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22.3±10.7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6F2C8A78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24.2±10.2</w:t>
                  </w:r>
                </w:p>
              </w:tc>
              <w:tc>
                <w:tcPr>
                  <w:tcW w:w="1427" w:type="dxa"/>
                </w:tcPr>
                <w:p w14:paraId="1AC919AD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0.5</w:t>
                  </w:r>
                </w:p>
              </w:tc>
            </w:tr>
            <w:tr w:rsidR="00571831" w14:paraId="4B3368AC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5ECFCE0F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 - Gastrointestinal</w:t>
                  </w:r>
                </w:p>
              </w:tc>
              <w:tc>
                <w:tcPr>
                  <w:tcW w:w="2003" w:type="dxa"/>
                  <w:vAlign w:val="center"/>
                </w:tcPr>
                <w:p w14:paraId="6520F56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4.8±3.2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3C7470F3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6.5±2.5</w:t>
                  </w:r>
                </w:p>
              </w:tc>
              <w:tc>
                <w:tcPr>
                  <w:tcW w:w="1427" w:type="dxa"/>
                </w:tcPr>
                <w:p w14:paraId="5A1DFB02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0.1</w:t>
                  </w:r>
                </w:p>
              </w:tc>
            </w:tr>
            <w:tr w:rsidR="00571831" w14:paraId="46234D63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0E436C5F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 - Urinary</w:t>
                  </w:r>
                </w:p>
              </w:tc>
              <w:tc>
                <w:tcPr>
                  <w:tcW w:w="2003" w:type="dxa"/>
                  <w:vAlign w:val="center"/>
                </w:tcPr>
                <w:p w14:paraId="4BA142D7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7.2±4.2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048E1324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6.4±3.4</w:t>
                  </w:r>
                </w:p>
              </w:tc>
              <w:tc>
                <w:tcPr>
                  <w:tcW w:w="1427" w:type="dxa"/>
                </w:tcPr>
                <w:p w14:paraId="5981082B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0.5</w:t>
                  </w:r>
                </w:p>
              </w:tc>
            </w:tr>
            <w:tr w:rsidR="00571831" w14:paraId="7027AEDF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535C9ACB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 - Cardiovascular</w:t>
                  </w:r>
                </w:p>
              </w:tc>
              <w:tc>
                <w:tcPr>
                  <w:tcW w:w="2003" w:type="dxa"/>
                  <w:vAlign w:val="center"/>
                </w:tcPr>
                <w:p w14:paraId="22AB30B2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1.3±1.9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1C77D311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1.7±1.1</w:t>
                  </w:r>
                </w:p>
              </w:tc>
              <w:tc>
                <w:tcPr>
                  <w:tcW w:w="1427" w:type="dxa"/>
                </w:tcPr>
                <w:p w14:paraId="3BE8E1B5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0.1</w:t>
                  </w:r>
                </w:p>
              </w:tc>
            </w:tr>
            <w:tr w:rsidR="00571831" w14:paraId="71AF048F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3D6CA436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SCOPA-Thermoregulatory</w:t>
                  </w:r>
                </w:p>
              </w:tc>
              <w:tc>
                <w:tcPr>
                  <w:tcW w:w="2003" w:type="dxa"/>
                  <w:vAlign w:val="center"/>
                </w:tcPr>
                <w:p w14:paraId="0BE4878F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2±2.5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5931278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3±1.4</w:t>
                  </w:r>
                </w:p>
              </w:tc>
              <w:tc>
                <w:tcPr>
                  <w:tcW w:w="1427" w:type="dxa"/>
                </w:tcPr>
                <w:p w14:paraId="4DC74BAD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0.03</w:t>
                  </w:r>
                </w:p>
              </w:tc>
            </w:tr>
            <w:tr w:rsidR="00571831" w14:paraId="777FDD8C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624EE48C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 - Pupillomotor</w:t>
                  </w:r>
                </w:p>
              </w:tc>
              <w:tc>
                <w:tcPr>
                  <w:tcW w:w="2003" w:type="dxa"/>
                  <w:vAlign w:val="center"/>
                </w:tcPr>
                <w:p w14:paraId="07A2BFC8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0.7±1.1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09A404DF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0.9±0.7</w:t>
                  </w:r>
                </w:p>
              </w:tc>
              <w:tc>
                <w:tcPr>
                  <w:tcW w:w="1427" w:type="dxa"/>
                </w:tcPr>
                <w:p w14:paraId="745B8EBD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0.3</w:t>
                  </w:r>
                </w:p>
              </w:tc>
            </w:tr>
            <w:tr w:rsidR="00571831" w14:paraId="0E4018D4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7F632B7B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 - Sexual</w:t>
                  </w:r>
                </w:p>
              </w:tc>
              <w:tc>
                <w:tcPr>
                  <w:tcW w:w="2003" w:type="dxa"/>
                  <w:vAlign w:val="center"/>
                </w:tcPr>
                <w:p w14:paraId="1A8815FB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1±1.2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71C0013E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1.8±2.3</w:t>
                  </w:r>
                </w:p>
              </w:tc>
              <w:tc>
                <w:tcPr>
                  <w:tcW w:w="1427" w:type="dxa"/>
                </w:tcPr>
                <w:p w14:paraId="6DFC972A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0.5</w:t>
                  </w:r>
                </w:p>
              </w:tc>
            </w:tr>
            <w:tr w:rsidR="00571831" w14:paraId="53225E83" w14:textId="77777777" w:rsidTr="00571831">
              <w:trPr>
                <w:gridAfter w:val="1"/>
                <w:wAfter w:w="8" w:type="dxa"/>
                <w:trHeight w:val="32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19" w:type="dxa"/>
                </w:tcPr>
                <w:p w14:paraId="4C052627" w14:textId="77777777" w:rsidR="00571831" w:rsidRDefault="00000000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SCOPA-AUT- Total Score</w:t>
                  </w:r>
                </w:p>
              </w:tc>
              <w:tc>
                <w:tcPr>
                  <w:tcW w:w="2003" w:type="dxa"/>
                  <w:vAlign w:val="center"/>
                </w:tcPr>
                <w:p w14:paraId="7C95754A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17.6±9.3</w:t>
                  </w:r>
                </w:p>
              </w:tc>
              <w:tc>
                <w:tcPr>
                  <w:tcW w:w="2044" w:type="dxa"/>
                  <w:gridSpan w:val="2"/>
                  <w:vAlign w:val="center"/>
                </w:tcPr>
                <w:p w14:paraId="0CC190E5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highlight w:val="yellow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21.1±8.4</w:t>
                  </w:r>
                </w:p>
              </w:tc>
              <w:tc>
                <w:tcPr>
                  <w:tcW w:w="1427" w:type="dxa"/>
                </w:tcPr>
                <w:p w14:paraId="78E06227" w14:textId="77777777" w:rsidR="00571831" w:rsidRDefault="00000000">
                  <w:pPr>
                    <w:spacing w:line="360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0.4</w:t>
                  </w:r>
                </w:p>
              </w:tc>
            </w:tr>
          </w:tbl>
          <w:p w14:paraId="6890BA74" w14:textId="77777777" w:rsidR="00571831" w:rsidRDefault="0057183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405C983" w14:textId="336EFE8D" w:rsidR="00571831" w:rsidRPr="00BD5FBC" w:rsidRDefault="00000000" w:rsidP="00BD5FB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Abbreviations: LEDD: levodopa equivalent daily dose, OH: orthostatic hypotension, SCOPA-AUT: The Scale for Outcomes in Parkinson's disease for Autonomic symptoms (SCOPA-AUT), UPDRS: Unified PD Rating Scale.</w:t>
      </w:r>
    </w:p>
    <w:p w14:paraId="4D109DA7" w14:textId="77777777" w:rsidR="00571831" w:rsidRDefault="00571831">
      <w:pP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7DF1EA99" w14:textId="06063FD5" w:rsidR="00571831" w:rsidRPr="00BB67F1" w:rsidRDefault="00000000" w:rsidP="00813080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13080">
        <w:rPr>
          <w:rFonts w:ascii="Times New Roman" w:eastAsia="Times New Roman" w:hAnsi="Times New Roman" w:cs="Times New Roman"/>
          <w:b/>
          <w:sz w:val="28"/>
          <w:szCs w:val="28"/>
        </w:rPr>
        <w:t>Supplementary References</w:t>
      </w:r>
    </w:p>
    <w:p w14:paraId="44C1DCD4" w14:textId="77777777" w:rsidR="00571831" w:rsidRPr="00BB67F1" w:rsidRDefault="005718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/>
        <w:ind w:left="480" w:hanging="480"/>
        <w:rPr>
          <w:rFonts w:ascii="Times New Roman" w:eastAsia="Times New Roman" w:hAnsi="Times New Roman" w:cs="Times New Roman"/>
          <w:bCs/>
        </w:rPr>
      </w:pPr>
      <w:hyperlink r:id="rId6"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Eickhoff, Simon B., Klaas E. Stephan, Hartmut </w:t>
        </w:r>
        <w:proofErr w:type="spellStart"/>
        <w:r w:rsidRPr="00BB67F1">
          <w:rPr>
            <w:rFonts w:ascii="Times New Roman" w:eastAsia="Times New Roman" w:hAnsi="Times New Roman" w:cs="Times New Roman"/>
            <w:bCs/>
            <w:color w:val="000000"/>
          </w:rPr>
          <w:t>Mohlberg</w:t>
        </w:r>
        <w:proofErr w:type="spellEnd"/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, Christian </w:t>
        </w:r>
        <w:proofErr w:type="spellStart"/>
        <w:r w:rsidRPr="00BB67F1">
          <w:rPr>
            <w:rFonts w:ascii="Times New Roman" w:eastAsia="Times New Roman" w:hAnsi="Times New Roman" w:cs="Times New Roman"/>
            <w:bCs/>
            <w:color w:val="000000"/>
          </w:rPr>
          <w:t>Grefkes</w:t>
        </w:r>
        <w:proofErr w:type="spellEnd"/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, Gereon R. Fink, Katrin </w:t>
        </w:r>
        <w:proofErr w:type="spellStart"/>
        <w:r w:rsidRPr="00BB67F1">
          <w:rPr>
            <w:rFonts w:ascii="Times New Roman" w:eastAsia="Times New Roman" w:hAnsi="Times New Roman" w:cs="Times New Roman"/>
            <w:bCs/>
            <w:color w:val="000000"/>
          </w:rPr>
          <w:t>Amunts</w:t>
        </w:r>
        <w:proofErr w:type="spellEnd"/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, and Karl Zilles. 2005. “A New SPM Toolbox for Combining Probabilistic Cytoarchitectonic Maps and Functional Imaging Data.” </w:t>
        </w:r>
      </w:hyperlink>
      <w:hyperlink r:id="rId7">
        <w:proofErr w:type="spellStart"/>
        <w:r w:rsidRPr="00BB67F1">
          <w:rPr>
            <w:rFonts w:ascii="Times New Roman" w:eastAsia="Times New Roman" w:hAnsi="Times New Roman" w:cs="Times New Roman"/>
            <w:bCs/>
            <w:i/>
            <w:color w:val="000000"/>
          </w:rPr>
          <w:t>NeuroImage</w:t>
        </w:r>
        <w:proofErr w:type="spellEnd"/>
      </w:hyperlink>
      <w:hyperlink r:id="rId8"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 25 (4): 1325–35.</w:t>
        </w:r>
      </w:hyperlink>
    </w:p>
    <w:p w14:paraId="5881905A" w14:textId="22523F45" w:rsidR="00571831" w:rsidRPr="00BB67F1" w:rsidRDefault="00571831" w:rsidP="00BB67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480" w:hanging="480"/>
        <w:rPr>
          <w:rFonts w:ascii="Times New Roman" w:eastAsia="Times New Roman" w:hAnsi="Times New Roman" w:cs="Times New Roman"/>
          <w:bCs/>
        </w:rPr>
      </w:pPr>
      <w:hyperlink r:id="rId9"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Smith, Stephen M., Mark Jenkinson, Mark W. Woolrich, Christian F. Beckmann, Timothy E. J. Behrens, Heidi Johansen-Berg, Peter R. Bannister, et al. 2004. “Advances in Functional and Structural MR Image Analysis and Implementation as FSL.” </w:t>
        </w:r>
      </w:hyperlink>
      <w:hyperlink r:id="rId10">
        <w:proofErr w:type="spellStart"/>
        <w:r w:rsidRPr="00BB67F1">
          <w:rPr>
            <w:rFonts w:ascii="Times New Roman" w:eastAsia="Times New Roman" w:hAnsi="Times New Roman" w:cs="Times New Roman"/>
            <w:bCs/>
            <w:i/>
            <w:color w:val="000000"/>
          </w:rPr>
          <w:t>NeuroImage</w:t>
        </w:r>
        <w:proofErr w:type="spellEnd"/>
      </w:hyperlink>
      <w:hyperlink r:id="rId11"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 23 </w:t>
        </w:r>
        <w:proofErr w:type="spellStart"/>
        <w:r w:rsidRPr="00BB67F1">
          <w:rPr>
            <w:rFonts w:ascii="Times New Roman" w:eastAsia="Times New Roman" w:hAnsi="Times New Roman" w:cs="Times New Roman"/>
            <w:bCs/>
            <w:color w:val="000000"/>
          </w:rPr>
          <w:t>Suppl</w:t>
        </w:r>
        <w:proofErr w:type="spellEnd"/>
        <w:r w:rsidRPr="00BB67F1">
          <w:rPr>
            <w:rFonts w:ascii="Times New Roman" w:eastAsia="Times New Roman" w:hAnsi="Times New Roman" w:cs="Times New Roman"/>
            <w:bCs/>
            <w:color w:val="000000"/>
          </w:rPr>
          <w:t xml:space="preserve"> </w:t>
        </w:r>
        <w:proofErr w:type="gramStart"/>
        <w:r w:rsidRPr="00BB67F1">
          <w:rPr>
            <w:rFonts w:ascii="Times New Roman" w:eastAsia="Times New Roman" w:hAnsi="Times New Roman" w:cs="Times New Roman"/>
            <w:bCs/>
            <w:color w:val="000000"/>
          </w:rPr>
          <w:t>1:S</w:t>
        </w:r>
        <w:proofErr w:type="gramEnd"/>
        <w:r w:rsidRPr="00BB67F1">
          <w:rPr>
            <w:rFonts w:ascii="Times New Roman" w:eastAsia="Times New Roman" w:hAnsi="Times New Roman" w:cs="Times New Roman"/>
            <w:bCs/>
            <w:color w:val="000000"/>
          </w:rPr>
          <w:t>208–19.</w:t>
        </w:r>
      </w:hyperlink>
    </w:p>
    <w:sectPr w:rsidR="00571831" w:rsidRPr="00BB67F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507293-9EA8-4190-B080-3133D53783CD}"/>
    <w:embedBold r:id="rId2" w:fontKey="{394E342F-89A1-43F3-96F7-3457CAB57F0D}"/>
    <w:embedItalic r:id="rId3" w:fontKey="{33752F26-E1DE-47C5-AB7F-C632F3E74097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F488F-5B92-444E-B57F-4504A9C06D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84B98B-4D43-4E69-8876-FABC9F5421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831"/>
    <w:rsid w:val="00036DDC"/>
    <w:rsid w:val="00337807"/>
    <w:rsid w:val="003756CB"/>
    <w:rsid w:val="00571831"/>
    <w:rsid w:val="00574490"/>
    <w:rsid w:val="0067550A"/>
    <w:rsid w:val="00813080"/>
    <w:rsid w:val="008B1CC3"/>
    <w:rsid w:val="0091085C"/>
    <w:rsid w:val="009303AA"/>
    <w:rsid w:val="00972B44"/>
    <w:rsid w:val="009A4FEC"/>
    <w:rsid w:val="009C5340"/>
    <w:rsid w:val="00BB67F1"/>
    <w:rsid w:val="00BC295B"/>
    <w:rsid w:val="00BD5FBC"/>
    <w:rsid w:val="00CA792F"/>
    <w:rsid w:val="00EE1645"/>
    <w:rsid w:val="00FC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C6EC1"/>
  <w15:docId w15:val="{E20A9E14-C138-6840-8B1F-6E9EB1F2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rPr>
      <w:rFonts w:ascii="Courier New" w:eastAsia="Courier New" w:hAnsi="Courier New" w:cs="Courier New"/>
    </w:rPr>
    <w:tblPr>
      <w:tblStyleRowBandSize w:val="1"/>
      <w:tblStyleColBandSize w:val="1"/>
    </w:tblPr>
    <w:tblStylePr w:type="firstRow">
      <w:rPr>
        <w:rFonts w:ascii="Play" w:eastAsia="Play" w:hAnsi="Play" w:cs="Play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Play" w:eastAsia="Play" w:hAnsi="Play" w:cs="Play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Play" w:eastAsia="Play" w:hAnsi="Play" w:cs="Play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Play" w:eastAsia="Play" w:hAnsi="Play" w:cs="Play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0">
    <w:basedOn w:val="TableNormal"/>
    <w:rPr>
      <w:rFonts w:ascii="Courier New" w:eastAsia="Courier New" w:hAnsi="Courier New" w:cs="Courier New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45B0E1"/>
        </w:tcBorders>
      </w:tcPr>
    </w:tblStylePr>
    <w:tblStylePr w:type="lastRow">
      <w:rPr>
        <w:b/>
      </w:rPr>
      <w:tblPr/>
      <w:tcPr>
        <w:tcBorders>
          <w:top w:val="single" w:sz="4" w:space="0" w:color="45B0E1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972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perpile.com/b/5sHamY/gBF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paperpile.com/b/5sHamY/gBF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aperpile.com/b/5sHamY/gBFY" TargetMode="External"/><Relationship Id="rId11" Type="http://schemas.openxmlformats.org/officeDocument/2006/relationships/hyperlink" Target="http://paperpile.com/b/5sHamY/b5ghu" TargetMode="External"/><Relationship Id="rId5" Type="http://schemas.openxmlformats.org/officeDocument/2006/relationships/hyperlink" Target="https://paperpile.com/c/5sHamY/gBFY" TargetMode="External"/><Relationship Id="rId10" Type="http://schemas.openxmlformats.org/officeDocument/2006/relationships/hyperlink" Target="http://paperpile.com/b/5sHamY/b5ghu" TargetMode="External"/><Relationship Id="rId4" Type="http://schemas.openxmlformats.org/officeDocument/2006/relationships/hyperlink" Target="https://paperpile.com/c/5sHamY/b5ghu" TargetMode="External"/><Relationship Id="rId9" Type="http://schemas.openxmlformats.org/officeDocument/2006/relationships/hyperlink" Target="http://paperpile.com/b/5sHamY/b5g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1054</Words>
  <Characters>6012</Characters>
  <Application>Microsoft Office Word</Application>
  <DocSecurity>0</DocSecurity>
  <Lines>50</Lines>
  <Paragraphs>14</Paragraphs>
  <ScaleCrop>false</ScaleCrop>
  <Company/>
  <LinksUpToDate>false</LinksUpToDate>
  <CharactersWithSpaces>7052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 Court, Carolyn</cp:lastModifiedBy>
  <cp:revision>10</cp:revision>
  <dcterms:created xsi:type="dcterms:W3CDTF">2025-07-29T20:08:00Z</dcterms:created>
  <dcterms:modified xsi:type="dcterms:W3CDTF">2025-09-15T15:21:00Z</dcterms:modified>
</cp:coreProperties>
</file>