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5C5B7" w14:textId="4BCF17FA" w:rsidR="00DC6755" w:rsidRPr="00206447" w:rsidRDefault="00D72489">
      <w:pPr>
        <w:rPr>
          <w:b/>
          <w:bCs/>
          <w:sz w:val="28"/>
          <w:szCs w:val="28"/>
        </w:rPr>
      </w:pPr>
      <w:r w:rsidRPr="00206447">
        <w:rPr>
          <w:b/>
          <w:bCs/>
          <w:sz w:val="28"/>
          <w:szCs w:val="28"/>
        </w:rPr>
        <w:t xml:space="preserve">The 2025 UK 4CMenB vaccine programme </w:t>
      </w:r>
      <w:r>
        <w:rPr>
          <w:b/>
          <w:bCs/>
          <w:sz w:val="28"/>
          <w:szCs w:val="28"/>
        </w:rPr>
        <w:t>for GBMSM at high risk of gonorrhoea</w:t>
      </w:r>
    </w:p>
    <w:p w14:paraId="01BD7E18" w14:textId="77777777" w:rsidR="00206447" w:rsidRDefault="00206447"/>
    <w:p w14:paraId="45C59294" w14:textId="598D049D" w:rsidR="00AE4B91" w:rsidRDefault="00AE4B91">
      <w:r>
        <w:t>Shamez N Ladhani,</w:t>
      </w:r>
      <w:r w:rsidR="000C6B8B" w:rsidRPr="000C6B8B">
        <w:rPr>
          <w:vertAlign w:val="superscript"/>
        </w:rPr>
        <w:t>1,2</w:t>
      </w:r>
      <w:r>
        <w:t xml:space="preserve"> Helen Fifer</w:t>
      </w:r>
      <w:r w:rsidR="000C6B8B">
        <w:t>.</w:t>
      </w:r>
      <w:r w:rsidR="000C6B8B" w:rsidRPr="000C6B8B">
        <w:rPr>
          <w:vertAlign w:val="superscript"/>
        </w:rPr>
        <w:t>1</w:t>
      </w:r>
    </w:p>
    <w:p w14:paraId="4148EA17" w14:textId="77777777" w:rsidR="00AE4B91" w:rsidRDefault="00AE4B91"/>
    <w:p w14:paraId="572465D2" w14:textId="230582AF" w:rsidR="00AE4B91" w:rsidRDefault="00AE4B91">
      <w:r>
        <w:t>1. UK Health Security Agency, 61 Colindale Avenue, London NW9 5EQ, UK</w:t>
      </w:r>
    </w:p>
    <w:p w14:paraId="017DC922" w14:textId="7ADA8FE4" w:rsidR="00AE4B91" w:rsidRDefault="00AE4B91">
      <w:r>
        <w:t>2. Centre for Paediatric and Neonatal Infections</w:t>
      </w:r>
      <w:r w:rsidR="000C6B8B">
        <w:t>, St. George’s University of London, Cranmer Terrace, London SW17 0RE, UK</w:t>
      </w:r>
    </w:p>
    <w:p w14:paraId="49F14FAD" w14:textId="28FEDA23" w:rsidR="00AE4B91" w:rsidRDefault="00AE4B91">
      <w:r>
        <w:t xml:space="preserve">Correspondence to: Dr Shamez Ladhani, Immunisation Division, UK Health Security Agency, 61 Colindale Avenue, London NW9 5EQ, UK. Email: </w:t>
      </w:r>
      <w:hyperlink r:id="rId8" w:history="1">
        <w:r w:rsidRPr="00193838">
          <w:rPr>
            <w:rStyle w:val="Hyperlink"/>
          </w:rPr>
          <w:t>shamez.ladhani@ukhsa.gov.uk</w:t>
        </w:r>
      </w:hyperlink>
      <w:r>
        <w:t xml:space="preserve"> </w:t>
      </w:r>
    </w:p>
    <w:p w14:paraId="287F3F13" w14:textId="29DECCE5" w:rsidR="00C36E7A" w:rsidRDefault="00C36E7A" w:rsidP="00C36E7A">
      <w:pPr>
        <w:rPr>
          <w:b/>
          <w:bCs/>
        </w:rPr>
      </w:pPr>
    </w:p>
    <w:p w14:paraId="7E5BFDBE" w14:textId="2C324512" w:rsidR="00C36E7A" w:rsidRDefault="00C36E7A" w:rsidP="00C36E7A">
      <w:pPr>
        <w:rPr>
          <w:b/>
          <w:bCs/>
        </w:rPr>
      </w:pPr>
      <w:r>
        <w:rPr>
          <w:b/>
          <w:bCs/>
        </w:rPr>
        <w:t xml:space="preserve">Word count including references: </w:t>
      </w:r>
      <w:r w:rsidRPr="00C36E7A">
        <w:t>749 words</w:t>
      </w:r>
    </w:p>
    <w:p w14:paraId="466B51B0" w14:textId="34A378BF" w:rsidR="00C36E7A" w:rsidRDefault="00C36E7A" w:rsidP="00C36E7A">
      <w:r w:rsidRPr="001B65C1">
        <w:rPr>
          <w:b/>
          <w:bCs/>
        </w:rPr>
        <w:t>Contributors</w:t>
      </w:r>
      <w:r>
        <w:t>: SNL and HF contributed equally to this article</w:t>
      </w:r>
    </w:p>
    <w:p w14:paraId="1E29A8F4" w14:textId="77777777" w:rsidR="00C36E7A" w:rsidRDefault="00C36E7A" w:rsidP="00C36E7A">
      <w:r w:rsidRPr="00C36E7A">
        <w:rPr>
          <w:b/>
          <w:bCs/>
        </w:rPr>
        <w:t>Funding:</w:t>
      </w:r>
      <w:r>
        <w:t xml:space="preserve"> none</w:t>
      </w:r>
    </w:p>
    <w:p w14:paraId="3F434E37" w14:textId="71302C1A" w:rsidR="00C36E7A" w:rsidRPr="00E024E6" w:rsidRDefault="00C36E7A" w:rsidP="00C36E7A">
      <w:r w:rsidRPr="00E024E6">
        <w:rPr>
          <w:b/>
          <w:bCs/>
        </w:rPr>
        <w:t xml:space="preserve">Competing interests </w:t>
      </w:r>
      <w:r>
        <w:t xml:space="preserve">SNL and HF are UKHSA employees who led the evidence review and are the scientific leads for the implementation of the UK 4CMenB programme against gonorrhoea. HF </w:t>
      </w:r>
      <w:r w:rsidR="00752937">
        <w:t xml:space="preserve">has attended a non-vaccine related </w:t>
      </w:r>
      <w:r w:rsidR="003E6A58">
        <w:t xml:space="preserve">advisory board meeting funded by </w:t>
      </w:r>
      <w:r>
        <w:t>GSK.</w:t>
      </w:r>
    </w:p>
    <w:p w14:paraId="141C68F4" w14:textId="77777777" w:rsidR="00C36E7A" w:rsidRPr="00E024E6" w:rsidRDefault="00C36E7A" w:rsidP="00C36E7A">
      <w:r w:rsidRPr="00E024E6">
        <w:rPr>
          <w:b/>
          <w:bCs/>
        </w:rPr>
        <w:t xml:space="preserve">Patient consent for publication </w:t>
      </w:r>
      <w:r w:rsidRPr="00E024E6">
        <w:t>Not required.</w:t>
      </w:r>
    </w:p>
    <w:p w14:paraId="20F30B5F" w14:textId="77777777" w:rsidR="00C36E7A" w:rsidRPr="00E024E6" w:rsidRDefault="00C36E7A" w:rsidP="00C36E7A">
      <w:r w:rsidRPr="00E024E6">
        <w:rPr>
          <w:b/>
          <w:bCs/>
        </w:rPr>
        <w:t xml:space="preserve">Ethics approval </w:t>
      </w:r>
      <w:r w:rsidRPr="00E024E6">
        <w:t>Not applicable.</w:t>
      </w:r>
    </w:p>
    <w:p w14:paraId="2707EDDE" w14:textId="327689FA" w:rsidR="00C36E7A" w:rsidRPr="00E024E6" w:rsidRDefault="00C36E7A" w:rsidP="00C36E7A">
      <w:r w:rsidRPr="00E024E6">
        <w:rPr>
          <w:b/>
          <w:bCs/>
        </w:rPr>
        <w:t xml:space="preserve">Provenance and peer review </w:t>
      </w:r>
      <w:r w:rsidRPr="00C36E7A">
        <w:t xml:space="preserve">Not </w:t>
      </w:r>
      <w:proofErr w:type="gramStart"/>
      <w:r>
        <w:t>c</w:t>
      </w:r>
      <w:r w:rsidRPr="00E024E6">
        <w:t>ommissioned;</w:t>
      </w:r>
      <w:proofErr w:type="gramEnd"/>
      <w:r>
        <w:t xml:space="preserve"> </w:t>
      </w:r>
      <w:r w:rsidRPr="00E024E6">
        <w:t>internally peer reviewed.</w:t>
      </w:r>
    </w:p>
    <w:p w14:paraId="3433E880" w14:textId="77777777" w:rsidR="00C36E7A" w:rsidRDefault="00C36E7A"/>
    <w:p w14:paraId="5CBBD498" w14:textId="3ACAC148" w:rsidR="0014382B" w:rsidRDefault="00206447" w:rsidP="008F2BB9">
      <w:r>
        <w:t>On 01 August</w:t>
      </w:r>
      <w:r w:rsidR="00AE2741">
        <w:t xml:space="preserve"> 2025</w:t>
      </w:r>
      <w:r>
        <w:t xml:space="preserve">, the United Kingdom became the first country in the world to offer </w:t>
      </w:r>
      <w:r w:rsidR="00E259A5">
        <w:t xml:space="preserve">the meningococcal B vaccine (4CMenB, Bexsero®, GSK) </w:t>
      </w:r>
      <w:r>
        <w:t xml:space="preserve">for protection against gonorrhoea </w:t>
      </w:r>
      <w:r w:rsidR="00DE4095">
        <w:t>for those at</w:t>
      </w:r>
      <w:r>
        <w:t xml:space="preserve"> high-risk</w:t>
      </w:r>
      <w:r w:rsidR="00DE4095">
        <w:t>.</w:t>
      </w:r>
      <w:r w:rsidR="00A97F63" w:rsidRPr="00235C4A">
        <w:rPr>
          <w:vertAlign w:val="superscript"/>
        </w:rPr>
        <w:t>1</w:t>
      </w:r>
      <w:r w:rsidR="00235C4A" w:rsidRPr="00235C4A">
        <w:t xml:space="preserve"> </w:t>
      </w:r>
      <w:r w:rsidR="00983729">
        <w:t>I</w:t>
      </w:r>
      <w:r w:rsidR="00E259A5">
        <w:t xml:space="preserve">n </w:t>
      </w:r>
      <w:r w:rsidR="00983729">
        <w:t>England</w:t>
      </w:r>
      <w:r w:rsidR="00E259A5">
        <w:t xml:space="preserve">, </w:t>
      </w:r>
      <w:r w:rsidR="00DE1F99">
        <w:t xml:space="preserve">there were more than </w:t>
      </w:r>
      <w:r w:rsidR="00D72FFE">
        <w:t>70</w:t>
      </w:r>
      <w:r w:rsidR="00DE1F99">
        <w:t>,000 gonorrhoea diagnos</w:t>
      </w:r>
      <w:r w:rsidR="00EC7FE2">
        <w:t>e</w:t>
      </w:r>
      <w:r w:rsidR="00DE1F99">
        <w:t>s</w:t>
      </w:r>
      <w:r w:rsidR="00983729" w:rsidRPr="00983729">
        <w:t xml:space="preserve"> </w:t>
      </w:r>
      <w:r w:rsidR="00983729">
        <w:t>in 202</w:t>
      </w:r>
      <w:r w:rsidR="00D72FFE">
        <w:t>4</w:t>
      </w:r>
      <w:r w:rsidR="00DE1F99">
        <w:t xml:space="preserve">, </w:t>
      </w:r>
      <w:r w:rsidR="00DE1F99" w:rsidRPr="003D6366">
        <w:t>a three</w:t>
      </w:r>
      <w:r w:rsidR="00DE1F99">
        <w:t>-</w:t>
      </w:r>
      <w:r w:rsidR="00DE1F99" w:rsidRPr="003D6366">
        <w:t>fold increase since 2012</w:t>
      </w:r>
      <w:r w:rsidR="00D72FFE">
        <w:t>,</w:t>
      </w:r>
      <w:r w:rsidR="00235C4A">
        <w:rPr>
          <w:vertAlign w:val="superscript"/>
        </w:rPr>
        <w:t>2</w:t>
      </w:r>
      <w:r w:rsidR="00DE1F99">
        <w:t xml:space="preserve"> </w:t>
      </w:r>
      <w:r w:rsidR="00D72FFE">
        <w:t xml:space="preserve">and more than </w:t>
      </w:r>
      <w:r w:rsidR="00496BDF">
        <w:t>half were in gay, bisexual and other men who have sex with men</w:t>
      </w:r>
      <w:r w:rsidR="00413E91">
        <w:t xml:space="preserve"> (GBMSM).</w:t>
      </w:r>
      <w:r w:rsidR="00235C4A">
        <w:rPr>
          <w:vertAlign w:val="superscript"/>
        </w:rPr>
        <w:t>2</w:t>
      </w:r>
      <w:r w:rsidR="00EC7FE2">
        <w:t xml:space="preserve"> </w:t>
      </w:r>
    </w:p>
    <w:p w14:paraId="31FDA492" w14:textId="43BC4BBD" w:rsidR="0049550F" w:rsidRDefault="008F2BB9">
      <w:r>
        <w:t>D</w:t>
      </w:r>
      <w:r w:rsidR="002E7465">
        <w:t xml:space="preserve">evelopment </w:t>
      </w:r>
      <w:r w:rsidR="00EC7FE2">
        <w:t xml:space="preserve">of effective </w:t>
      </w:r>
      <w:r w:rsidR="002A02BD">
        <w:t xml:space="preserve">vaccines </w:t>
      </w:r>
      <w:r>
        <w:t xml:space="preserve">to prevent gonorrhoea </w:t>
      </w:r>
      <w:r w:rsidR="002A02BD">
        <w:t xml:space="preserve">has proved challenging and there are currently no promising vaccines </w:t>
      </w:r>
      <w:r w:rsidR="00940FF5">
        <w:t xml:space="preserve">in late-phase clinical trials. In 2013, </w:t>
      </w:r>
      <w:r w:rsidR="00C7081D">
        <w:t xml:space="preserve">4CMenB </w:t>
      </w:r>
      <w:r w:rsidR="00C20DB6">
        <w:t xml:space="preserve">(Bexsero®) </w:t>
      </w:r>
      <w:r w:rsidR="00C7081D">
        <w:t xml:space="preserve">was licensed for protection against </w:t>
      </w:r>
      <w:r w:rsidR="00954429">
        <w:t xml:space="preserve">serogroup B </w:t>
      </w:r>
      <w:r w:rsidR="00954429" w:rsidRPr="00954429">
        <w:rPr>
          <w:i/>
          <w:iCs/>
        </w:rPr>
        <w:t>Ne</w:t>
      </w:r>
      <w:r w:rsidR="008C6A91">
        <w:rPr>
          <w:i/>
          <w:iCs/>
        </w:rPr>
        <w:t>i</w:t>
      </w:r>
      <w:r w:rsidR="00954429" w:rsidRPr="00954429">
        <w:rPr>
          <w:i/>
          <w:iCs/>
        </w:rPr>
        <w:t>sseria meningitidis</w:t>
      </w:r>
      <w:r w:rsidR="00954429">
        <w:t xml:space="preserve"> (</w:t>
      </w:r>
      <w:proofErr w:type="spellStart"/>
      <w:r w:rsidR="00954429">
        <w:t>MenB</w:t>
      </w:r>
      <w:proofErr w:type="spellEnd"/>
      <w:r w:rsidR="00954429">
        <w:t xml:space="preserve">). </w:t>
      </w:r>
      <w:r w:rsidR="00C7081D">
        <w:t xml:space="preserve">4CMenB </w:t>
      </w:r>
      <w:r w:rsidR="00954429">
        <w:t xml:space="preserve">contains three recombinant proteins </w:t>
      </w:r>
      <w:r w:rsidR="00824830">
        <w:t xml:space="preserve">found on the surface of most meningococci as well as the outer membrane vesicle (OMV) of the New Zealand </w:t>
      </w:r>
      <w:proofErr w:type="spellStart"/>
      <w:r w:rsidR="00CD3B0F">
        <w:t>MenB</w:t>
      </w:r>
      <w:proofErr w:type="spellEnd"/>
      <w:r w:rsidR="00CD3B0F">
        <w:t xml:space="preserve"> </w:t>
      </w:r>
      <w:r w:rsidR="00824830">
        <w:t>outbreak strain.</w:t>
      </w:r>
      <w:r w:rsidR="0049550F">
        <w:t xml:space="preserve"> 4CMenB is highly effective in preventing </w:t>
      </w:r>
      <w:proofErr w:type="spellStart"/>
      <w:r w:rsidR="00823CE6">
        <w:t>Men</w:t>
      </w:r>
      <w:r w:rsidR="0049550F">
        <w:t>B</w:t>
      </w:r>
      <w:proofErr w:type="spellEnd"/>
      <w:r w:rsidR="0049550F">
        <w:t xml:space="preserve"> invasive meningococcal disease and has been given safely to millions of infants, children and adults worldwide.</w:t>
      </w:r>
    </w:p>
    <w:p w14:paraId="67FE2E6A" w14:textId="1715FD49" w:rsidR="00206447" w:rsidRDefault="00E91F4F">
      <w:r w:rsidRPr="00E91F4F">
        <w:rPr>
          <w:i/>
          <w:iCs/>
        </w:rPr>
        <w:t>N. meningitidis</w:t>
      </w:r>
      <w:r>
        <w:t xml:space="preserve"> and </w:t>
      </w:r>
      <w:r w:rsidRPr="00E91F4F">
        <w:rPr>
          <w:i/>
          <w:iCs/>
        </w:rPr>
        <w:t>N. gonorrhoeae</w:t>
      </w:r>
      <w:r>
        <w:t xml:space="preserve"> are genetically closely</w:t>
      </w:r>
      <w:r w:rsidR="00417FD7">
        <w:t>-</w:t>
      </w:r>
      <w:r>
        <w:t xml:space="preserve">related and </w:t>
      </w:r>
      <w:r w:rsidR="00235C4A">
        <w:t xml:space="preserve">multiple </w:t>
      </w:r>
      <w:r w:rsidR="002E7465">
        <w:t xml:space="preserve">observational studies worldwide have </w:t>
      </w:r>
      <w:r w:rsidR="00824830">
        <w:t xml:space="preserve">shown </w:t>
      </w:r>
      <w:r w:rsidR="00D505D4">
        <w:t xml:space="preserve">4CMenB </w:t>
      </w:r>
      <w:r w:rsidR="00FF49C7">
        <w:t>to offer some protection against gonorrhoea</w:t>
      </w:r>
      <w:r w:rsidR="00515B90">
        <w:t xml:space="preserve">, with a 2024 systematic review  estimating </w:t>
      </w:r>
      <w:r w:rsidR="00235C4A">
        <w:t xml:space="preserve">a </w:t>
      </w:r>
      <w:r w:rsidR="00515B90" w:rsidRPr="00D43621">
        <w:t xml:space="preserve">pooled </w:t>
      </w:r>
      <w:r w:rsidR="00515B90">
        <w:t xml:space="preserve">vaccine effectiveness </w:t>
      </w:r>
      <w:r w:rsidR="00515B90" w:rsidRPr="00D43621">
        <w:t>of 33-34%</w:t>
      </w:r>
      <w:r w:rsidR="00823CE6">
        <w:t xml:space="preserve"> for OMV-containing </w:t>
      </w:r>
      <w:proofErr w:type="spellStart"/>
      <w:r w:rsidR="00823CE6">
        <w:t>MenB</w:t>
      </w:r>
      <w:proofErr w:type="spellEnd"/>
      <w:r w:rsidR="00823CE6">
        <w:t xml:space="preserve"> vaccines</w:t>
      </w:r>
      <w:r w:rsidR="00515B90">
        <w:t>.</w:t>
      </w:r>
      <w:r w:rsidR="00AB456B">
        <w:rPr>
          <w:vertAlign w:val="superscript"/>
        </w:rPr>
        <w:t>3</w:t>
      </w:r>
      <w:r w:rsidR="00515B90">
        <w:t xml:space="preserve"> </w:t>
      </w:r>
      <w:r w:rsidR="00FF49C7">
        <w:t xml:space="preserve">The </w:t>
      </w:r>
      <w:r w:rsidR="00515B90">
        <w:t xml:space="preserve">strongest </w:t>
      </w:r>
      <w:r w:rsidR="00D505D4">
        <w:t xml:space="preserve">real-world </w:t>
      </w:r>
      <w:r w:rsidR="00FF49C7">
        <w:t xml:space="preserve">evidence comes from </w:t>
      </w:r>
      <w:r w:rsidR="00D505D4">
        <w:t xml:space="preserve">the </w:t>
      </w:r>
      <w:r w:rsidR="001D7113">
        <w:t xml:space="preserve">adolescent </w:t>
      </w:r>
      <w:r w:rsidR="00D505D4">
        <w:lastRenderedPageBreak/>
        <w:t xml:space="preserve">4CMenB </w:t>
      </w:r>
      <w:r w:rsidR="001D7113">
        <w:t xml:space="preserve">immunisation programme </w:t>
      </w:r>
      <w:r w:rsidR="00613AE3">
        <w:t>in South Australia</w:t>
      </w:r>
      <w:r w:rsidR="00D505D4">
        <w:t>, which was implemented in 2019</w:t>
      </w:r>
      <w:r w:rsidR="00613AE3">
        <w:t>.</w:t>
      </w:r>
      <w:r w:rsidR="00EE203E">
        <w:rPr>
          <w:vertAlign w:val="superscript"/>
        </w:rPr>
        <w:t>4</w:t>
      </w:r>
      <w:r w:rsidR="00613AE3">
        <w:t xml:space="preserve"> </w:t>
      </w:r>
      <w:r w:rsidR="00A97F63">
        <w:t>T</w:t>
      </w:r>
      <w:r w:rsidR="00243C2B">
        <w:t>wo</w:t>
      </w:r>
      <w:r w:rsidR="006A32F4">
        <w:t xml:space="preserve"> </w:t>
      </w:r>
      <w:r w:rsidR="00515B90">
        <w:t xml:space="preserve">4CMenB </w:t>
      </w:r>
      <w:r w:rsidR="00243C2B">
        <w:t xml:space="preserve">doses </w:t>
      </w:r>
      <w:r w:rsidR="00515B90">
        <w:t xml:space="preserve">were estimated to provide </w:t>
      </w:r>
      <w:r w:rsidR="006A32F4" w:rsidRPr="006A32F4">
        <w:t>46.0%</w:t>
      </w:r>
      <w:r w:rsidR="006A32F4">
        <w:t xml:space="preserve"> (9</w:t>
      </w:r>
      <w:r w:rsidR="006A32F4" w:rsidRPr="006A32F4">
        <w:t>5%CI, 36.3–54.2%</w:t>
      </w:r>
      <w:r w:rsidR="006A32F4">
        <w:t>)</w:t>
      </w:r>
      <w:r w:rsidR="006A32F4" w:rsidRPr="006A32F4">
        <w:t xml:space="preserve"> </w:t>
      </w:r>
      <w:r w:rsidR="006A32F4">
        <w:t>protecti</w:t>
      </w:r>
      <w:r w:rsidR="00515B90">
        <w:t>on for</w:t>
      </w:r>
      <w:r w:rsidR="006A32F4">
        <w:t xml:space="preserve"> at least 4 years </w:t>
      </w:r>
      <w:r w:rsidR="00243C2B" w:rsidRPr="00243C2B">
        <w:t xml:space="preserve">after </w:t>
      </w:r>
      <w:r w:rsidR="006A32F4">
        <w:t>vaccination.</w:t>
      </w:r>
      <w:r w:rsidR="00EE203E">
        <w:rPr>
          <w:vertAlign w:val="superscript"/>
        </w:rPr>
        <w:t>4</w:t>
      </w:r>
      <w:r w:rsidR="00243C2B">
        <w:t xml:space="preserve"> </w:t>
      </w:r>
      <w:r w:rsidR="004A0C75">
        <w:t>The only published randomised controlled trial</w:t>
      </w:r>
      <w:r w:rsidR="00DE4095">
        <w:t xml:space="preserve"> (RCT)</w:t>
      </w:r>
      <w:r w:rsidR="00B44BF6">
        <w:t>,</w:t>
      </w:r>
      <w:r w:rsidR="00B15501">
        <w:t xml:space="preserve"> </w:t>
      </w:r>
      <w:r w:rsidR="002C6D99">
        <w:t xml:space="preserve">which involved </w:t>
      </w:r>
      <w:r w:rsidR="00B15501">
        <w:t>GBMSM</w:t>
      </w:r>
      <w:r w:rsidR="00B44BF6">
        <w:t>,</w:t>
      </w:r>
      <w:r w:rsidR="00B15501">
        <w:t xml:space="preserve"> estimated 22% vaccine effectiveness against first gonorrhoea episode</w:t>
      </w:r>
      <w:r w:rsidR="002C6D99">
        <w:t>,</w:t>
      </w:r>
      <w:r w:rsidR="00B15501">
        <w:t xml:space="preserve"> with borderline statistical significance </w:t>
      </w:r>
      <w:r w:rsidR="00BA244C" w:rsidRPr="00BA244C">
        <w:t>(a</w:t>
      </w:r>
      <w:r w:rsidR="00BA244C">
        <w:t xml:space="preserve">djusted </w:t>
      </w:r>
      <w:r w:rsidR="00BA244C" w:rsidRPr="00BA244C">
        <w:t>H</w:t>
      </w:r>
      <w:r w:rsidR="00BA244C">
        <w:t xml:space="preserve">azards </w:t>
      </w:r>
      <w:r w:rsidR="00BA244C" w:rsidRPr="00BA244C">
        <w:t>R</w:t>
      </w:r>
      <w:r w:rsidR="00BA244C">
        <w:t>atio,</w:t>
      </w:r>
      <w:r w:rsidR="00BA244C" w:rsidRPr="00BA244C">
        <w:t xml:space="preserve"> 0·78</w:t>
      </w:r>
      <w:r w:rsidR="00BA244C">
        <w:t xml:space="preserve">; </w:t>
      </w:r>
      <w:r w:rsidR="00BA244C" w:rsidRPr="00BA244C">
        <w:t>95%CI</w:t>
      </w:r>
      <w:r w:rsidR="00BA244C">
        <w:t>,</w:t>
      </w:r>
      <w:r w:rsidR="00BA244C" w:rsidRPr="00BA244C">
        <w:t xml:space="preserve"> 0·60–1·01; p=0·061).</w:t>
      </w:r>
      <w:r w:rsidR="00EE203E" w:rsidRPr="00235C4A">
        <w:rPr>
          <w:vertAlign w:val="superscript"/>
        </w:rPr>
        <w:t>5</w:t>
      </w:r>
      <w:r w:rsidR="00B15501">
        <w:t xml:space="preserve"> The study was, however, powered for </w:t>
      </w:r>
      <w:r w:rsidR="00B15501" w:rsidRPr="00B15501">
        <w:t xml:space="preserve">a minimum protection of 30% and was stopped early, </w:t>
      </w:r>
      <w:r w:rsidR="00BC4517">
        <w:t xml:space="preserve">thus </w:t>
      </w:r>
      <w:r w:rsidR="00B15501" w:rsidRPr="00B15501">
        <w:t>reducing its power</w:t>
      </w:r>
      <w:r w:rsidR="00B15501">
        <w:t>.</w:t>
      </w:r>
      <w:r w:rsidR="002F06B6">
        <w:t xml:space="preserve"> </w:t>
      </w:r>
      <w:r w:rsidR="00A7708F">
        <w:t xml:space="preserve">Several </w:t>
      </w:r>
      <w:r w:rsidR="002F06B6">
        <w:t xml:space="preserve">other </w:t>
      </w:r>
      <w:r w:rsidR="00DE4095">
        <w:t>RCTs a</w:t>
      </w:r>
      <w:r w:rsidR="002F06B6">
        <w:t>re in progress, and their results will be published in the coming months.</w:t>
      </w:r>
      <w:r w:rsidR="00EE203E">
        <w:rPr>
          <w:vertAlign w:val="superscript"/>
        </w:rPr>
        <w:t>1</w:t>
      </w:r>
    </w:p>
    <w:p w14:paraId="032BE1D8" w14:textId="65DA4DA3" w:rsidR="00DB5083" w:rsidRDefault="002F06B6" w:rsidP="00D4020B">
      <w:r>
        <w:t>In 2023</w:t>
      </w:r>
      <w:r w:rsidR="0062048E">
        <w:t>,</w:t>
      </w:r>
      <w:r w:rsidR="00DE4095">
        <w:t xml:space="preserve"> </w:t>
      </w:r>
      <w:r w:rsidR="00DB5083">
        <w:t xml:space="preserve">the UK </w:t>
      </w:r>
      <w:r w:rsidR="00D4020B">
        <w:t xml:space="preserve">Health Security Agency (UKHSA) led an evidence review of </w:t>
      </w:r>
      <w:r w:rsidR="00DB5083">
        <w:t xml:space="preserve">4CMenB protection against gonorrhoea, including health economic modelling which estimated that, even with limited protection for a short duration, a vaccine programme targeting populations </w:t>
      </w:r>
      <w:r w:rsidR="00DE4095">
        <w:t xml:space="preserve">at high-risk </w:t>
      </w:r>
      <w:r w:rsidR="00DB5083">
        <w:t>could be cost</w:t>
      </w:r>
      <w:r w:rsidR="002F42F0">
        <w:t xml:space="preserve"> </w:t>
      </w:r>
      <w:r w:rsidR="00DB5083">
        <w:t xml:space="preserve">saving to the NHS. </w:t>
      </w:r>
      <w:r w:rsidR="00D4020B">
        <w:t>The review was submitted to the UK Joint Committee on Vaccination and Immunisation (JCVI) which</w:t>
      </w:r>
      <w:r w:rsidR="0062048E">
        <w:t>,</w:t>
      </w:r>
      <w:r w:rsidR="00D4020B">
        <w:t xml:space="preserve"> in November 2023, </w:t>
      </w:r>
      <w:r w:rsidR="00DB5083">
        <w:t xml:space="preserve">advised </w:t>
      </w:r>
      <w:r w:rsidR="00DB5083" w:rsidRPr="0095478B">
        <w:t xml:space="preserve">a targeted, opportunistic vaccine programme primarily </w:t>
      </w:r>
      <w:r w:rsidR="0062048E">
        <w:t xml:space="preserve">for </w:t>
      </w:r>
      <w:r w:rsidR="00DB5083" w:rsidRPr="0095478B">
        <w:t xml:space="preserve">GBMSM at higher risk of </w:t>
      </w:r>
      <w:r w:rsidR="00EE203E">
        <w:t>gonorrhoea</w:t>
      </w:r>
      <w:r w:rsidR="0062048E">
        <w:t>.</w:t>
      </w:r>
      <w:r w:rsidR="00EE203E">
        <w:rPr>
          <w:vertAlign w:val="superscript"/>
        </w:rPr>
        <w:t>1</w:t>
      </w:r>
    </w:p>
    <w:p w14:paraId="6B82A628" w14:textId="49F5A7C1" w:rsidR="00201FFD" w:rsidRDefault="00417FD7" w:rsidP="00201FFD">
      <w:r>
        <w:t xml:space="preserve">From 01 August 2025, </w:t>
      </w:r>
      <w:r w:rsidR="00935AFA">
        <w:t>GBMSM at increased risk of gonorrhoea will be offered 4CMenB through sexual hea</w:t>
      </w:r>
      <w:r w:rsidR="00201FFD">
        <w:t>l</w:t>
      </w:r>
      <w:r w:rsidR="00935AFA">
        <w:t xml:space="preserve">th </w:t>
      </w:r>
      <w:r w:rsidR="00480E03">
        <w:t>s</w:t>
      </w:r>
      <w:r w:rsidR="00DE4095">
        <w:t>e</w:t>
      </w:r>
      <w:r w:rsidR="00480E03">
        <w:t>rvices (SHS)</w:t>
      </w:r>
      <w:r w:rsidR="00935AFA">
        <w:t xml:space="preserve">. In England, </w:t>
      </w:r>
      <w:r w:rsidR="00935AFA">
        <w:rPr>
          <w:lang w:bidi="en-GB"/>
        </w:rPr>
        <w:t xml:space="preserve">GBMSM </w:t>
      </w:r>
      <w:r w:rsidR="00935AFA" w:rsidRPr="00935AFA">
        <w:rPr>
          <w:lang w:bidi="en-GB"/>
        </w:rPr>
        <w:t xml:space="preserve">with a bacterial STI in the previous 12 months </w:t>
      </w:r>
      <w:r w:rsidR="00935AFA">
        <w:rPr>
          <w:lang w:bidi="en-GB"/>
        </w:rPr>
        <w:t xml:space="preserve">and/or </w:t>
      </w:r>
      <w:r w:rsidR="00935AFA" w:rsidRPr="00935AFA">
        <w:rPr>
          <w:lang w:bidi="en-GB"/>
        </w:rPr>
        <w:t xml:space="preserve">GBMSM reporting at least 5 sexual partners in the previous 3 months (accounting for around 15% of </w:t>
      </w:r>
      <w:r w:rsidR="00A24FDB">
        <w:rPr>
          <w:lang w:bidi="en-GB"/>
        </w:rPr>
        <w:t xml:space="preserve">UK </w:t>
      </w:r>
      <w:r w:rsidR="00935AFA" w:rsidRPr="00935AFA">
        <w:rPr>
          <w:lang w:bidi="en-GB"/>
        </w:rPr>
        <w:t>GBMSM)</w:t>
      </w:r>
      <w:r w:rsidR="00935AFA">
        <w:rPr>
          <w:lang w:bidi="en-GB"/>
        </w:rPr>
        <w:t xml:space="preserve"> will be eligible for </w:t>
      </w:r>
      <w:r w:rsidR="00FF3CC6">
        <w:rPr>
          <w:lang w:bidi="en-GB"/>
        </w:rPr>
        <w:t>4CMenB</w:t>
      </w:r>
      <w:r w:rsidR="00DE4095">
        <w:rPr>
          <w:lang w:bidi="en-GB"/>
        </w:rPr>
        <w:t>.</w:t>
      </w:r>
      <w:r w:rsidR="00783D93">
        <w:rPr>
          <w:vertAlign w:val="superscript"/>
          <w:lang w:bidi="en-GB"/>
        </w:rPr>
        <w:t>6</w:t>
      </w:r>
      <w:r w:rsidR="00935AFA">
        <w:rPr>
          <w:lang w:bidi="en-GB"/>
        </w:rPr>
        <w:t xml:space="preserve"> Other UK </w:t>
      </w:r>
      <w:r w:rsidR="00480E03">
        <w:rPr>
          <w:lang w:bidi="en-GB"/>
        </w:rPr>
        <w:t xml:space="preserve">regions </w:t>
      </w:r>
      <w:r w:rsidR="00935AFA" w:rsidRPr="00935AFA">
        <w:rPr>
          <w:lang w:bidi="en-GB"/>
        </w:rPr>
        <w:t xml:space="preserve">may </w:t>
      </w:r>
      <w:r w:rsidR="00D90FCE">
        <w:rPr>
          <w:lang w:bidi="en-GB"/>
        </w:rPr>
        <w:t xml:space="preserve">utilise alternative </w:t>
      </w:r>
      <w:r w:rsidR="00935AFA" w:rsidRPr="00935AFA">
        <w:rPr>
          <w:lang w:bidi="en-GB"/>
        </w:rPr>
        <w:t>operational threshold</w:t>
      </w:r>
      <w:r w:rsidR="00D90FCE">
        <w:rPr>
          <w:lang w:bidi="en-GB"/>
        </w:rPr>
        <w:t>s</w:t>
      </w:r>
      <w:r w:rsidR="00935AFA" w:rsidRPr="00935AFA">
        <w:rPr>
          <w:lang w:bidi="en-GB"/>
        </w:rPr>
        <w:t xml:space="preserve"> to identify GBMSM at equivalent high</w:t>
      </w:r>
      <w:r w:rsidR="00783D93">
        <w:rPr>
          <w:lang w:bidi="en-GB"/>
        </w:rPr>
        <w:t xml:space="preserve"> </w:t>
      </w:r>
      <w:r w:rsidR="00935AFA" w:rsidRPr="00935AFA">
        <w:rPr>
          <w:lang w:bidi="en-GB"/>
        </w:rPr>
        <w:t xml:space="preserve">risk to support </w:t>
      </w:r>
      <w:r w:rsidR="00935AFA">
        <w:rPr>
          <w:lang w:bidi="en-GB"/>
        </w:rPr>
        <w:t xml:space="preserve">vaccine </w:t>
      </w:r>
      <w:r w:rsidR="00935AFA" w:rsidRPr="00935AFA">
        <w:rPr>
          <w:lang w:bidi="en-GB"/>
        </w:rPr>
        <w:t>implementation</w:t>
      </w:r>
      <w:r w:rsidR="00935AFA">
        <w:rPr>
          <w:lang w:bidi="en-GB"/>
        </w:rPr>
        <w:t>.</w:t>
      </w:r>
      <w:r w:rsidR="00783D93">
        <w:rPr>
          <w:vertAlign w:val="superscript"/>
          <w:lang w:bidi="en-GB"/>
        </w:rPr>
        <w:t>6</w:t>
      </w:r>
      <w:r w:rsidR="00935AFA">
        <w:rPr>
          <w:lang w:bidi="en-GB"/>
        </w:rPr>
        <w:t xml:space="preserve"> Whilst no other group</w:t>
      </w:r>
      <w:r w:rsidR="00487020">
        <w:rPr>
          <w:lang w:bidi="en-GB"/>
        </w:rPr>
        <w:t xml:space="preserve"> </w:t>
      </w:r>
      <w:r w:rsidR="00935AFA">
        <w:rPr>
          <w:lang w:bidi="en-GB"/>
        </w:rPr>
        <w:t xml:space="preserve">has a gonorrhoea incidence approaching that of the eligible GBMSM cohort, clinicians have </w:t>
      </w:r>
      <w:r w:rsidR="005F180C">
        <w:rPr>
          <w:lang w:bidi="en-GB"/>
        </w:rPr>
        <w:t xml:space="preserve">some </w:t>
      </w:r>
      <w:r w:rsidR="00935AFA">
        <w:rPr>
          <w:lang w:bidi="en-GB"/>
        </w:rPr>
        <w:t xml:space="preserve">discretion to offer </w:t>
      </w:r>
      <w:r w:rsidR="00E828DC">
        <w:rPr>
          <w:lang w:bidi="en-GB"/>
        </w:rPr>
        <w:t xml:space="preserve">4CMenB </w:t>
      </w:r>
      <w:r w:rsidR="00D30F89">
        <w:rPr>
          <w:lang w:bidi="en-GB"/>
        </w:rPr>
        <w:t xml:space="preserve">to </w:t>
      </w:r>
      <w:r w:rsidR="00935AFA" w:rsidRPr="00D30F89">
        <w:rPr>
          <w:lang w:bidi="en-GB"/>
        </w:rPr>
        <w:t xml:space="preserve">individuals with </w:t>
      </w:r>
      <w:r w:rsidR="00D83394">
        <w:rPr>
          <w:lang w:bidi="en-GB"/>
        </w:rPr>
        <w:t xml:space="preserve">a </w:t>
      </w:r>
      <w:r w:rsidR="00935AFA" w:rsidRPr="00D30F89">
        <w:rPr>
          <w:lang w:bidi="en-GB"/>
        </w:rPr>
        <w:t xml:space="preserve">gonorrhoea </w:t>
      </w:r>
      <w:r w:rsidR="00D83394">
        <w:rPr>
          <w:lang w:bidi="en-GB"/>
        </w:rPr>
        <w:t xml:space="preserve">incidence </w:t>
      </w:r>
      <w:r w:rsidR="00DE4095">
        <w:rPr>
          <w:lang w:bidi="en-GB"/>
        </w:rPr>
        <w:t>similar to</w:t>
      </w:r>
      <w:r w:rsidR="00935AFA" w:rsidRPr="00D30F89">
        <w:rPr>
          <w:lang w:bidi="en-GB"/>
        </w:rPr>
        <w:t xml:space="preserve"> eligible GBMSM</w:t>
      </w:r>
      <w:r w:rsidR="00D30F89" w:rsidRPr="00D30F89">
        <w:rPr>
          <w:lang w:bidi="en-GB"/>
        </w:rPr>
        <w:t xml:space="preserve">, such as </w:t>
      </w:r>
      <w:r w:rsidR="00EC6517">
        <w:rPr>
          <w:lang w:bidi="en-GB"/>
        </w:rPr>
        <w:t xml:space="preserve">a </w:t>
      </w:r>
      <w:r w:rsidR="00935AFA" w:rsidRPr="00D30F89">
        <w:rPr>
          <w:lang w:bidi="en-GB"/>
        </w:rPr>
        <w:t>sex worker</w:t>
      </w:r>
      <w:r w:rsidR="00DE4095">
        <w:rPr>
          <w:lang w:bidi="en-GB"/>
        </w:rPr>
        <w:t>s</w:t>
      </w:r>
      <w:r w:rsidR="00935AFA" w:rsidRPr="00D30F89">
        <w:rPr>
          <w:lang w:bidi="en-GB"/>
        </w:rPr>
        <w:t xml:space="preserve"> practicing condomless sex.</w:t>
      </w:r>
      <w:r w:rsidR="00783D93">
        <w:rPr>
          <w:vertAlign w:val="superscript"/>
          <w:lang w:bidi="en-GB"/>
        </w:rPr>
        <w:t>6</w:t>
      </w:r>
    </w:p>
    <w:p w14:paraId="5EC9B9E9" w14:textId="70CA2AE0" w:rsidR="00201FFD" w:rsidRDefault="00201FFD" w:rsidP="00413E91">
      <w:r>
        <w:t xml:space="preserve">The immunisation schedule comprises two doses </w:t>
      </w:r>
      <w:r w:rsidR="00427242">
        <w:t xml:space="preserve">given </w:t>
      </w:r>
      <w:r>
        <w:t>at least 4 weeks apart and</w:t>
      </w:r>
      <w:r w:rsidRPr="0095478B">
        <w:t xml:space="preserve"> no maximum interval between doses. Pragmatically and opportunistically, the second dose can be scheduled for the next clinic attendance, which may be after 3, 6 or 12 months.</w:t>
      </w:r>
      <w:r w:rsidR="00783D93">
        <w:rPr>
          <w:vertAlign w:val="superscript"/>
        </w:rPr>
        <w:t>6</w:t>
      </w:r>
      <w:r>
        <w:t xml:space="preserve"> </w:t>
      </w:r>
      <w:r w:rsidR="00354C08">
        <w:t xml:space="preserve">Assessment of vaccine uptake, effectiveness and duration of protection will </w:t>
      </w:r>
      <w:r w:rsidR="00A708E4">
        <w:t xml:space="preserve">be critical for </w:t>
      </w:r>
      <w:r w:rsidR="00354C08">
        <w:t>support</w:t>
      </w:r>
      <w:r w:rsidR="00A708E4">
        <w:t>ing</w:t>
      </w:r>
      <w:r w:rsidR="00354C08">
        <w:t xml:space="preserve"> decisions to continue the programme</w:t>
      </w:r>
      <w:r w:rsidR="008C0A02">
        <w:t>,</w:t>
      </w:r>
      <w:r w:rsidR="00354C08">
        <w:t xml:space="preserve"> </w:t>
      </w:r>
      <w:r w:rsidR="00A708E4">
        <w:t xml:space="preserve">as well as </w:t>
      </w:r>
      <w:r w:rsidR="00354C08">
        <w:t xml:space="preserve">recommendations </w:t>
      </w:r>
      <w:r w:rsidR="00A708E4">
        <w:t xml:space="preserve">for </w:t>
      </w:r>
      <w:r w:rsidR="00354C08">
        <w:t xml:space="preserve">any boosters. </w:t>
      </w:r>
      <w:r w:rsidR="00413E91">
        <w:t xml:space="preserve">If this programme is successful, then </w:t>
      </w:r>
      <w:r w:rsidR="00D90FCE">
        <w:t xml:space="preserve">vaccination </w:t>
      </w:r>
      <w:r w:rsidR="00413E91">
        <w:t xml:space="preserve">could be extended to other </w:t>
      </w:r>
      <w:r w:rsidR="00C53AD6">
        <w:t>groups</w:t>
      </w:r>
      <w:r w:rsidR="00413E91">
        <w:t xml:space="preserve">, but this will need further evaluation, including formal health economic analyses. </w:t>
      </w:r>
      <w:r w:rsidR="00D4020B">
        <w:t xml:space="preserve">The UKHSA has </w:t>
      </w:r>
      <w:r w:rsidR="008C0A02">
        <w:t xml:space="preserve">published </w:t>
      </w:r>
      <w:r w:rsidR="00D4020B">
        <w:t xml:space="preserve">a range of online resources for healthcare professionals: </w:t>
      </w:r>
      <w:hyperlink r:id="rId9" w:history="1">
        <w:r w:rsidR="00717183" w:rsidRPr="004F37E3">
          <w:rPr>
            <w:rStyle w:val="Hyperlink"/>
          </w:rPr>
          <w:t>https://www.gov.uk/government/publications/vaccine-update-issue-360-july-2025-4cmenb-for-gonorrhoea-and-mpox-special?utm_medium=email&amp;utm_campaign=govuk-notifications-topic&amp;utm_source=efe4a975-12f8-4d18-a297-c405ed1107ec&amp;utm_content=daily</w:t>
        </w:r>
      </w:hyperlink>
      <w:r w:rsidR="00D4020B">
        <w:t>.</w:t>
      </w:r>
    </w:p>
    <w:p w14:paraId="4A953844" w14:textId="77777777" w:rsidR="00487020" w:rsidRDefault="00487020" w:rsidP="00487020"/>
    <w:p w14:paraId="043CCD08" w14:textId="7BF9FD15" w:rsidR="00A97F63" w:rsidRPr="00235C4A" w:rsidRDefault="00A825A5" w:rsidP="00235C4A">
      <w:pPr>
        <w:rPr>
          <w:rFonts w:ascii="Calibri" w:hAnsi="Calibri" w:cs="Calibri"/>
        </w:rPr>
      </w:pPr>
      <w:r w:rsidRPr="00A825A5">
        <w:rPr>
          <w:b/>
          <w:bCs/>
        </w:rPr>
        <w:t>REFERENCES</w:t>
      </w:r>
    </w:p>
    <w:p w14:paraId="381438B5" w14:textId="5E66A860" w:rsidR="00D4020B" w:rsidRDefault="00A97F63" w:rsidP="00D4020B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D4020B">
        <w:rPr>
          <w:rFonts w:ascii="Calibri" w:hAnsi="Calibri" w:cs="Calibri"/>
        </w:rPr>
        <w:t xml:space="preserve">Ladhani SN, </w:t>
      </w:r>
      <w:r w:rsidR="0029565A" w:rsidRPr="00D4020B">
        <w:rPr>
          <w:rFonts w:ascii="Calibri" w:hAnsi="Calibri" w:cs="Calibri"/>
          <w:i/>
          <w:iCs/>
        </w:rPr>
        <w:t>et al</w:t>
      </w:r>
      <w:r w:rsidRPr="00D4020B">
        <w:rPr>
          <w:rFonts w:ascii="Calibri" w:hAnsi="Calibri" w:cs="Calibri"/>
        </w:rPr>
        <w:t>. Use of a meningococcal group B vaccine (4CMenB) in populations at high risk of gonorrhoea in the UK. Lancet Infect Dis. 2024;</w:t>
      </w:r>
      <w:proofErr w:type="gramStart"/>
      <w:r w:rsidRPr="00D4020B">
        <w:rPr>
          <w:rFonts w:ascii="Calibri" w:hAnsi="Calibri" w:cs="Calibri"/>
        </w:rPr>
        <w:t>24:e</w:t>
      </w:r>
      <w:proofErr w:type="gramEnd"/>
      <w:r w:rsidRPr="00D4020B">
        <w:rPr>
          <w:rFonts w:ascii="Calibri" w:hAnsi="Calibri" w:cs="Calibri"/>
        </w:rPr>
        <w:t>576-e583.</w:t>
      </w:r>
    </w:p>
    <w:p w14:paraId="0A98B129" w14:textId="5E363075" w:rsidR="00D4020B" w:rsidRPr="00D4020B" w:rsidRDefault="00D4020B" w:rsidP="00D4020B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D4020B">
        <w:rPr>
          <w:rFonts w:ascii="Calibri" w:hAnsi="Calibri" w:cs="Calibri"/>
        </w:rPr>
        <w:t xml:space="preserve">UK Health Security Agency (UKHSA). Official Statistics. </w:t>
      </w:r>
      <w:r w:rsidRPr="00D4020B">
        <w:rPr>
          <w:rFonts w:ascii="Calibri" w:hAnsi="Calibri" w:cs="Calibri"/>
          <w:b/>
          <w:bCs/>
        </w:rPr>
        <w:t>Sexually transmitted infections and screening for chlamydia in England: 2024 report</w:t>
      </w:r>
      <w:r w:rsidRPr="00D4020B">
        <w:rPr>
          <w:rFonts w:ascii="Calibri" w:hAnsi="Calibri" w:cs="Calibri"/>
        </w:rPr>
        <w:t xml:space="preserve">. Updated 10 June 2025. Available at:  </w:t>
      </w:r>
      <w:hyperlink r:id="rId10" w:history="1">
        <w:r w:rsidRPr="00D4020B">
          <w:rPr>
            <w:rStyle w:val="Hyperlink"/>
            <w:rFonts w:ascii="Calibri" w:hAnsi="Calibri" w:cs="Calibri"/>
          </w:rPr>
          <w:t>https://www.gov.uk/government/statistics/sexually-transmitted-infections-stis-annual-data-tables/sexually-transmitted-infections-and-screening-for-chlamydia-in-england-2024-report</w:t>
        </w:r>
      </w:hyperlink>
      <w:r w:rsidRPr="00D4020B">
        <w:rPr>
          <w:rFonts w:ascii="Calibri" w:hAnsi="Calibri" w:cs="Calibri"/>
        </w:rPr>
        <w:t xml:space="preserve"> Accessed: 01</w:t>
      </w:r>
      <w:r w:rsidR="00AC7831">
        <w:rPr>
          <w:rFonts w:ascii="Calibri" w:hAnsi="Calibri" w:cs="Calibri"/>
        </w:rPr>
        <w:t>/07/</w:t>
      </w:r>
      <w:r w:rsidRPr="00D4020B">
        <w:rPr>
          <w:rFonts w:ascii="Calibri" w:hAnsi="Calibri" w:cs="Calibri"/>
        </w:rPr>
        <w:t>2025.</w:t>
      </w:r>
    </w:p>
    <w:p w14:paraId="382CCEA5" w14:textId="72C003E3" w:rsidR="00D915C7" w:rsidRPr="00D4020B" w:rsidRDefault="00D915C7" w:rsidP="00D4020B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D4020B">
        <w:rPr>
          <w:rFonts w:ascii="Calibri" w:hAnsi="Calibri" w:cs="Calibri"/>
        </w:rPr>
        <w:lastRenderedPageBreak/>
        <w:t xml:space="preserve">Wang B, </w:t>
      </w:r>
      <w:r w:rsidR="00AB456B" w:rsidRPr="00D4020B">
        <w:rPr>
          <w:rFonts w:ascii="Calibri" w:hAnsi="Calibri" w:cs="Calibri"/>
          <w:i/>
          <w:iCs/>
        </w:rPr>
        <w:t>et al</w:t>
      </w:r>
      <w:r w:rsidRPr="00D4020B">
        <w:rPr>
          <w:rFonts w:ascii="Calibri" w:hAnsi="Calibri" w:cs="Calibri"/>
        </w:rPr>
        <w:t xml:space="preserve">. Vaccine effectiveness and impact of meningococcal vaccines against gonococcal infections: A systematic review and meta-analysis. J Infect. </w:t>
      </w:r>
      <w:proofErr w:type="gramStart"/>
      <w:r w:rsidRPr="00D4020B">
        <w:rPr>
          <w:rFonts w:ascii="Calibri" w:hAnsi="Calibri" w:cs="Calibri"/>
        </w:rPr>
        <w:t>2024;89:106225</w:t>
      </w:r>
      <w:proofErr w:type="gramEnd"/>
      <w:r w:rsidRPr="00D4020B">
        <w:rPr>
          <w:rFonts w:ascii="Calibri" w:hAnsi="Calibri" w:cs="Calibri"/>
        </w:rPr>
        <w:t>.</w:t>
      </w:r>
    </w:p>
    <w:p w14:paraId="180BB4A5" w14:textId="1D55E303" w:rsidR="00235C4A" w:rsidRPr="00D4020B" w:rsidRDefault="00D915C7" w:rsidP="00D4020B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D4020B">
        <w:rPr>
          <w:rFonts w:ascii="Calibri" w:hAnsi="Calibri" w:cs="Calibri"/>
        </w:rPr>
        <w:t xml:space="preserve">Wang B, </w:t>
      </w:r>
      <w:r w:rsidR="00EE203E" w:rsidRPr="00D4020B">
        <w:rPr>
          <w:rFonts w:ascii="Calibri" w:hAnsi="Calibri" w:cs="Calibri"/>
          <w:i/>
          <w:iCs/>
        </w:rPr>
        <w:t>et al</w:t>
      </w:r>
      <w:r w:rsidRPr="00D4020B">
        <w:rPr>
          <w:rFonts w:ascii="Calibri" w:hAnsi="Calibri" w:cs="Calibri"/>
        </w:rPr>
        <w:t>. Long-term 4CMenB Vaccine Effectiveness Against Gonococcal Infection at Four Years Post-Program Implementation: Observational Case-Control Study. Open Forum Infect Dis. 2024;12(1</w:t>
      </w:r>
      <w:proofErr w:type="gramStart"/>
      <w:r w:rsidRPr="00D4020B">
        <w:rPr>
          <w:rFonts w:ascii="Calibri" w:hAnsi="Calibri" w:cs="Calibri"/>
        </w:rPr>
        <w:t>):ofae</w:t>
      </w:r>
      <w:proofErr w:type="gramEnd"/>
      <w:r w:rsidRPr="00D4020B">
        <w:rPr>
          <w:rFonts w:ascii="Calibri" w:hAnsi="Calibri" w:cs="Calibri"/>
        </w:rPr>
        <w:t>726.</w:t>
      </w:r>
    </w:p>
    <w:p w14:paraId="1622E50D" w14:textId="34F910D2" w:rsidR="00D915C7" w:rsidRPr="00D4020B" w:rsidRDefault="00D915C7" w:rsidP="00D4020B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D4020B">
        <w:rPr>
          <w:rFonts w:ascii="Calibri" w:hAnsi="Calibri" w:cs="Calibri"/>
        </w:rPr>
        <w:t xml:space="preserve">Molina JM, </w:t>
      </w:r>
      <w:r w:rsidR="0029565A" w:rsidRPr="00D4020B">
        <w:rPr>
          <w:rFonts w:ascii="Calibri" w:hAnsi="Calibri" w:cs="Calibri"/>
          <w:i/>
          <w:iCs/>
        </w:rPr>
        <w:t>et al</w:t>
      </w:r>
      <w:r w:rsidRPr="00D4020B">
        <w:rPr>
          <w:rFonts w:ascii="Calibri" w:hAnsi="Calibri" w:cs="Calibri"/>
        </w:rPr>
        <w:t xml:space="preserve">. Doxycycline prophylaxis and meningococcal group B vaccine to prevent bacterial sexually transmitted infections in France (ANRS 174 DOXYVAC): a multicentre, open-label, randomised trial with a 2 × 2 factorial design. Lancet Infect Dis. </w:t>
      </w:r>
      <w:proofErr w:type="gramStart"/>
      <w:r w:rsidRPr="00D4020B">
        <w:rPr>
          <w:rFonts w:ascii="Calibri" w:hAnsi="Calibri" w:cs="Calibri"/>
        </w:rPr>
        <w:t>2024;24:1093</w:t>
      </w:r>
      <w:proofErr w:type="gramEnd"/>
      <w:r w:rsidRPr="00D4020B">
        <w:rPr>
          <w:rFonts w:ascii="Calibri" w:hAnsi="Calibri" w:cs="Calibri"/>
        </w:rPr>
        <w:t>-1104.</w:t>
      </w:r>
    </w:p>
    <w:p w14:paraId="3381795E" w14:textId="5C051172" w:rsidR="0029565A" w:rsidRDefault="0029565A" w:rsidP="00D4020B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D4020B">
        <w:rPr>
          <w:rFonts w:ascii="Calibri" w:hAnsi="Calibri" w:cs="Calibri"/>
        </w:rPr>
        <w:t xml:space="preserve">UK Health Security Agency. Guidance. </w:t>
      </w:r>
      <w:r w:rsidRPr="00D4020B">
        <w:rPr>
          <w:rFonts w:ascii="Calibri" w:hAnsi="Calibri" w:cs="Calibri"/>
          <w:b/>
          <w:bCs/>
        </w:rPr>
        <w:t xml:space="preserve">Gonorrhoea: the green book chapter. </w:t>
      </w:r>
      <w:r w:rsidRPr="00D4020B">
        <w:rPr>
          <w:rFonts w:ascii="Calibri" w:hAnsi="Calibri" w:cs="Calibri"/>
        </w:rPr>
        <w:t xml:space="preserve">Gonorrhoea immunisation information for public health professionals. </w:t>
      </w:r>
      <w:hyperlink r:id="rId11" w:history="1">
        <w:r w:rsidRPr="00D4020B">
          <w:rPr>
            <w:rStyle w:val="Hyperlink"/>
            <w:rFonts w:ascii="Calibri" w:hAnsi="Calibri" w:cs="Calibri"/>
          </w:rPr>
          <w:t>https://www.gov.uk/government/publications/gonorrhoea-the-green-book-chapter</w:t>
        </w:r>
      </w:hyperlink>
      <w:r w:rsidRPr="00D4020B">
        <w:rPr>
          <w:rFonts w:ascii="Calibri" w:hAnsi="Calibri" w:cs="Calibri"/>
        </w:rPr>
        <w:t xml:space="preserve"> Accessed: 01</w:t>
      </w:r>
      <w:r w:rsidR="00CA149C">
        <w:rPr>
          <w:rFonts w:ascii="Calibri" w:hAnsi="Calibri" w:cs="Calibri"/>
        </w:rPr>
        <w:t>/07/</w:t>
      </w:r>
      <w:r w:rsidRPr="00D4020B">
        <w:rPr>
          <w:rFonts w:ascii="Calibri" w:hAnsi="Calibri" w:cs="Calibri"/>
        </w:rPr>
        <w:t>2025</w:t>
      </w:r>
      <w:r w:rsidR="00235C4A" w:rsidRPr="00D4020B">
        <w:rPr>
          <w:rFonts w:ascii="Calibri" w:hAnsi="Calibri" w:cs="Calibri"/>
        </w:rPr>
        <w:t>.</w:t>
      </w:r>
    </w:p>
    <w:p w14:paraId="428AF024" w14:textId="77777777" w:rsidR="0062048E" w:rsidRPr="00D4020B" w:rsidRDefault="0062048E" w:rsidP="0062048E">
      <w:pPr>
        <w:pStyle w:val="ListParagraph"/>
        <w:rPr>
          <w:rFonts w:ascii="Calibri" w:hAnsi="Calibri" w:cs="Calibri"/>
        </w:rPr>
      </w:pPr>
    </w:p>
    <w:p w14:paraId="05A4BB39" w14:textId="62840BF6" w:rsidR="003F2168" w:rsidRPr="00E024E6" w:rsidRDefault="003F2168" w:rsidP="00BC4517"/>
    <w:sectPr w:rsidR="003F2168" w:rsidRPr="00E024E6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E14C5" w14:textId="77777777" w:rsidR="00E21572" w:rsidRDefault="00E21572" w:rsidP="002A7290">
      <w:pPr>
        <w:spacing w:after="0" w:line="240" w:lineRule="auto"/>
      </w:pPr>
      <w:r>
        <w:separator/>
      </w:r>
    </w:p>
  </w:endnote>
  <w:endnote w:type="continuationSeparator" w:id="0">
    <w:p w14:paraId="40A0D881" w14:textId="77777777" w:rsidR="00E21572" w:rsidRDefault="00E21572" w:rsidP="002A7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62574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6EE086" w14:textId="47D102DC" w:rsidR="00DF1B9B" w:rsidRDefault="00DF1B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3149CE" w14:textId="77777777" w:rsidR="00DF1B9B" w:rsidRDefault="00DF1B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59A93" w14:textId="77777777" w:rsidR="00E21572" w:rsidRDefault="00E21572" w:rsidP="002A7290">
      <w:pPr>
        <w:spacing w:after="0" w:line="240" w:lineRule="auto"/>
      </w:pPr>
      <w:r>
        <w:separator/>
      </w:r>
    </w:p>
  </w:footnote>
  <w:footnote w:type="continuationSeparator" w:id="0">
    <w:p w14:paraId="66946912" w14:textId="77777777" w:rsidR="00E21572" w:rsidRDefault="00E21572" w:rsidP="002A7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2128B"/>
    <w:multiLevelType w:val="multilevel"/>
    <w:tmpl w:val="45CC0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223214"/>
    <w:multiLevelType w:val="hybridMultilevel"/>
    <w:tmpl w:val="B69ABD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21DEB"/>
    <w:multiLevelType w:val="hybridMultilevel"/>
    <w:tmpl w:val="99F86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C7E07"/>
    <w:multiLevelType w:val="multilevel"/>
    <w:tmpl w:val="3F40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B047AF6"/>
    <w:multiLevelType w:val="hybridMultilevel"/>
    <w:tmpl w:val="EB34ED18"/>
    <w:lvl w:ilvl="0" w:tplc="72BACF38">
      <w:start w:val="1"/>
      <w:numFmt w:val="decimal"/>
      <w:lvlText w:val="%1)"/>
      <w:lvlJc w:val="left"/>
      <w:pPr>
        <w:ind w:left="1080" w:hanging="360"/>
      </w:pPr>
    </w:lvl>
    <w:lvl w:ilvl="1" w:tplc="10B8D3A4">
      <w:start w:val="1"/>
      <w:numFmt w:val="decimal"/>
      <w:lvlText w:val="%2)"/>
      <w:lvlJc w:val="left"/>
      <w:pPr>
        <w:ind w:left="1080" w:hanging="360"/>
      </w:pPr>
    </w:lvl>
    <w:lvl w:ilvl="2" w:tplc="C6BA8BCA">
      <w:start w:val="1"/>
      <w:numFmt w:val="decimal"/>
      <w:lvlText w:val="%3)"/>
      <w:lvlJc w:val="left"/>
      <w:pPr>
        <w:ind w:left="1080" w:hanging="360"/>
      </w:pPr>
    </w:lvl>
    <w:lvl w:ilvl="3" w:tplc="25B4E38C">
      <w:start w:val="1"/>
      <w:numFmt w:val="decimal"/>
      <w:lvlText w:val="%4)"/>
      <w:lvlJc w:val="left"/>
      <w:pPr>
        <w:ind w:left="1080" w:hanging="360"/>
      </w:pPr>
    </w:lvl>
    <w:lvl w:ilvl="4" w:tplc="3000BFC8">
      <w:start w:val="1"/>
      <w:numFmt w:val="decimal"/>
      <w:lvlText w:val="%5)"/>
      <w:lvlJc w:val="left"/>
      <w:pPr>
        <w:ind w:left="1080" w:hanging="360"/>
      </w:pPr>
    </w:lvl>
    <w:lvl w:ilvl="5" w:tplc="D720793A">
      <w:start w:val="1"/>
      <w:numFmt w:val="decimal"/>
      <w:lvlText w:val="%6)"/>
      <w:lvlJc w:val="left"/>
      <w:pPr>
        <w:ind w:left="1080" w:hanging="360"/>
      </w:pPr>
    </w:lvl>
    <w:lvl w:ilvl="6" w:tplc="05F4A260">
      <w:start w:val="1"/>
      <w:numFmt w:val="decimal"/>
      <w:lvlText w:val="%7)"/>
      <w:lvlJc w:val="left"/>
      <w:pPr>
        <w:ind w:left="1080" w:hanging="360"/>
      </w:pPr>
    </w:lvl>
    <w:lvl w:ilvl="7" w:tplc="E618C1F8">
      <w:start w:val="1"/>
      <w:numFmt w:val="decimal"/>
      <w:lvlText w:val="%8)"/>
      <w:lvlJc w:val="left"/>
      <w:pPr>
        <w:ind w:left="1080" w:hanging="360"/>
      </w:pPr>
    </w:lvl>
    <w:lvl w:ilvl="8" w:tplc="E78A4308">
      <w:start w:val="1"/>
      <w:numFmt w:val="decimal"/>
      <w:lvlText w:val="%9)"/>
      <w:lvlJc w:val="left"/>
      <w:pPr>
        <w:ind w:left="1080" w:hanging="360"/>
      </w:pPr>
    </w:lvl>
  </w:abstractNum>
  <w:abstractNum w:abstractNumId="5" w15:restartNumberingAfterBreak="0">
    <w:nsid w:val="643B6D6C"/>
    <w:multiLevelType w:val="hybridMultilevel"/>
    <w:tmpl w:val="0A5494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0769AE"/>
    <w:multiLevelType w:val="hybridMultilevel"/>
    <w:tmpl w:val="E676F0D6"/>
    <w:lvl w:ilvl="0" w:tplc="FCFE30F0">
      <w:start w:val="1"/>
      <w:numFmt w:val="decimal"/>
      <w:lvlText w:val="%1)"/>
      <w:lvlJc w:val="left"/>
      <w:pPr>
        <w:ind w:left="1080" w:hanging="360"/>
      </w:pPr>
    </w:lvl>
    <w:lvl w:ilvl="1" w:tplc="B7F6E03A">
      <w:start w:val="1"/>
      <w:numFmt w:val="decimal"/>
      <w:lvlText w:val="%2)"/>
      <w:lvlJc w:val="left"/>
      <w:pPr>
        <w:ind w:left="1080" w:hanging="360"/>
      </w:pPr>
    </w:lvl>
    <w:lvl w:ilvl="2" w:tplc="A530D1E4">
      <w:start w:val="1"/>
      <w:numFmt w:val="decimal"/>
      <w:lvlText w:val="%3)"/>
      <w:lvlJc w:val="left"/>
      <w:pPr>
        <w:ind w:left="1080" w:hanging="360"/>
      </w:pPr>
    </w:lvl>
    <w:lvl w:ilvl="3" w:tplc="9B1296F0">
      <w:start w:val="1"/>
      <w:numFmt w:val="decimal"/>
      <w:lvlText w:val="%4)"/>
      <w:lvlJc w:val="left"/>
      <w:pPr>
        <w:ind w:left="1080" w:hanging="360"/>
      </w:pPr>
    </w:lvl>
    <w:lvl w:ilvl="4" w:tplc="EDBE359A">
      <w:start w:val="1"/>
      <w:numFmt w:val="decimal"/>
      <w:lvlText w:val="%5)"/>
      <w:lvlJc w:val="left"/>
      <w:pPr>
        <w:ind w:left="1080" w:hanging="360"/>
      </w:pPr>
    </w:lvl>
    <w:lvl w:ilvl="5" w:tplc="AE405F52">
      <w:start w:val="1"/>
      <w:numFmt w:val="decimal"/>
      <w:lvlText w:val="%6)"/>
      <w:lvlJc w:val="left"/>
      <w:pPr>
        <w:ind w:left="1080" w:hanging="360"/>
      </w:pPr>
    </w:lvl>
    <w:lvl w:ilvl="6" w:tplc="261C4BA8">
      <w:start w:val="1"/>
      <w:numFmt w:val="decimal"/>
      <w:lvlText w:val="%7)"/>
      <w:lvlJc w:val="left"/>
      <w:pPr>
        <w:ind w:left="1080" w:hanging="360"/>
      </w:pPr>
    </w:lvl>
    <w:lvl w:ilvl="7" w:tplc="BC9676D6">
      <w:start w:val="1"/>
      <w:numFmt w:val="decimal"/>
      <w:lvlText w:val="%8)"/>
      <w:lvlJc w:val="left"/>
      <w:pPr>
        <w:ind w:left="1080" w:hanging="360"/>
      </w:pPr>
    </w:lvl>
    <w:lvl w:ilvl="8" w:tplc="90B02DD0">
      <w:start w:val="1"/>
      <w:numFmt w:val="decimal"/>
      <w:lvlText w:val="%9)"/>
      <w:lvlJc w:val="left"/>
      <w:pPr>
        <w:ind w:left="1080" w:hanging="360"/>
      </w:pPr>
    </w:lvl>
  </w:abstractNum>
  <w:abstractNum w:abstractNumId="7" w15:restartNumberingAfterBreak="0">
    <w:nsid w:val="7EE43F97"/>
    <w:multiLevelType w:val="hybridMultilevel"/>
    <w:tmpl w:val="49E408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424547">
    <w:abstractNumId w:val="0"/>
  </w:num>
  <w:num w:numId="2" w16cid:durableId="805665650">
    <w:abstractNumId w:val="3"/>
  </w:num>
  <w:num w:numId="3" w16cid:durableId="2071807286">
    <w:abstractNumId w:val="6"/>
  </w:num>
  <w:num w:numId="4" w16cid:durableId="112948988">
    <w:abstractNumId w:val="4"/>
  </w:num>
  <w:num w:numId="5" w16cid:durableId="450635079">
    <w:abstractNumId w:val="2"/>
  </w:num>
  <w:num w:numId="6" w16cid:durableId="234824910">
    <w:abstractNumId w:val="7"/>
  </w:num>
  <w:num w:numId="7" w16cid:durableId="1490053778">
    <w:abstractNumId w:val="1"/>
  </w:num>
  <w:num w:numId="8" w16cid:durableId="19436047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90"/>
    <w:rsid w:val="000009B3"/>
    <w:rsid w:val="00001B8A"/>
    <w:rsid w:val="0000212B"/>
    <w:rsid w:val="00014C10"/>
    <w:rsid w:val="00055397"/>
    <w:rsid w:val="000A6588"/>
    <w:rsid w:val="000C2520"/>
    <w:rsid w:val="000C6B8B"/>
    <w:rsid w:val="001415AA"/>
    <w:rsid w:val="0014382B"/>
    <w:rsid w:val="001473A0"/>
    <w:rsid w:val="0017545E"/>
    <w:rsid w:val="001B65C1"/>
    <w:rsid w:val="001C3549"/>
    <w:rsid w:val="001D3FF6"/>
    <w:rsid w:val="001D7113"/>
    <w:rsid w:val="001E4B39"/>
    <w:rsid w:val="00201FFD"/>
    <w:rsid w:val="00206447"/>
    <w:rsid w:val="002259EC"/>
    <w:rsid w:val="00235C4A"/>
    <w:rsid w:val="00243C2B"/>
    <w:rsid w:val="002717F7"/>
    <w:rsid w:val="0029565A"/>
    <w:rsid w:val="002A02BD"/>
    <w:rsid w:val="002A7290"/>
    <w:rsid w:val="002C44BA"/>
    <w:rsid w:val="002C4A04"/>
    <w:rsid w:val="002C6D99"/>
    <w:rsid w:val="002E7465"/>
    <w:rsid w:val="002F06B6"/>
    <w:rsid w:val="002F42F0"/>
    <w:rsid w:val="00311810"/>
    <w:rsid w:val="0033346A"/>
    <w:rsid w:val="00354C08"/>
    <w:rsid w:val="00380921"/>
    <w:rsid w:val="003B7ECA"/>
    <w:rsid w:val="003C54B5"/>
    <w:rsid w:val="003D6366"/>
    <w:rsid w:val="003D6727"/>
    <w:rsid w:val="003E6A58"/>
    <w:rsid w:val="003F2168"/>
    <w:rsid w:val="003F5CEC"/>
    <w:rsid w:val="00413E91"/>
    <w:rsid w:val="00417FD7"/>
    <w:rsid w:val="00427242"/>
    <w:rsid w:val="00480E03"/>
    <w:rsid w:val="00487020"/>
    <w:rsid w:val="00487F5E"/>
    <w:rsid w:val="00491726"/>
    <w:rsid w:val="0049550F"/>
    <w:rsid w:val="00496BDF"/>
    <w:rsid w:val="004A0C75"/>
    <w:rsid w:val="005109DA"/>
    <w:rsid w:val="00515B90"/>
    <w:rsid w:val="005630D6"/>
    <w:rsid w:val="005822ED"/>
    <w:rsid w:val="00594546"/>
    <w:rsid w:val="005E5090"/>
    <w:rsid w:val="005F180C"/>
    <w:rsid w:val="0060393C"/>
    <w:rsid w:val="00613AE3"/>
    <w:rsid w:val="0062048E"/>
    <w:rsid w:val="00645871"/>
    <w:rsid w:val="0068607E"/>
    <w:rsid w:val="006A32F4"/>
    <w:rsid w:val="006E0A11"/>
    <w:rsid w:val="00717183"/>
    <w:rsid w:val="00752937"/>
    <w:rsid w:val="00783D93"/>
    <w:rsid w:val="00797D88"/>
    <w:rsid w:val="007F761D"/>
    <w:rsid w:val="00823CE6"/>
    <w:rsid w:val="00824830"/>
    <w:rsid w:val="0083129C"/>
    <w:rsid w:val="008314F8"/>
    <w:rsid w:val="008574F4"/>
    <w:rsid w:val="008852D3"/>
    <w:rsid w:val="00885B07"/>
    <w:rsid w:val="008C0A02"/>
    <w:rsid w:val="008C6A91"/>
    <w:rsid w:val="008F2BB9"/>
    <w:rsid w:val="00933C81"/>
    <w:rsid w:val="00935AFA"/>
    <w:rsid w:val="00940FF5"/>
    <w:rsid w:val="00954079"/>
    <w:rsid w:val="00954429"/>
    <w:rsid w:val="00980A8C"/>
    <w:rsid w:val="00983729"/>
    <w:rsid w:val="009B08C7"/>
    <w:rsid w:val="009B1008"/>
    <w:rsid w:val="00A24FDB"/>
    <w:rsid w:val="00A64CEB"/>
    <w:rsid w:val="00A708E4"/>
    <w:rsid w:val="00A7708F"/>
    <w:rsid w:val="00A825A5"/>
    <w:rsid w:val="00A97F63"/>
    <w:rsid w:val="00AA35F0"/>
    <w:rsid w:val="00AB456B"/>
    <w:rsid w:val="00AC7831"/>
    <w:rsid w:val="00AD4209"/>
    <w:rsid w:val="00AE2741"/>
    <w:rsid w:val="00AE3B6B"/>
    <w:rsid w:val="00AE4B91"/>
    <w:rsid w:val="00B15501"/>
    <w:rsid w:val="00B44BF6"/>
    <w:rsid w:val="00B83E98"/>
    <w:rsid w:val="00BA244C"/>
    <w:rsid w:val="00BC01CA"/>
    <w:rsid w:val="00BC4517"/>
    <w:rsid w:val="00C20DB6"/>
    <w:rsid w:val="00C3038E"/>
    <w:rsid w:val="00C36E7A"/>
    <w:rsid w:val="00C53AD6"/>
    <w:rsid w:val="00C7081D"/>
    <w:rsid w:val="00C97E10"/>
    <w:rsid w:val="00CA149C"/>
    <w:rsid w:val="00CC14ED"/>
    <w:rsid w:val="00CD3B0F"/>
    <w:rsid w:val="00CD6E09"/>
    <w:rsid w:val="00D162AB"/>
    <w:rsid w:val="00D30F89"/>
    <w:rsid w:val="00D36CEB"/>
    <w:rsid w:val="00D4020B"/>
    <w:rsid w:val="00D43621"/>
    <w:rsid w:val="00D505D4"/>
    <w:rsid w:val="00D72489"/>
    <w:rsid w:val="00D72FFE"/>
    <w:rsid w:val="00D768D6"/>
    <w:rsid w:val="00D83394"/>
    <w:rsid w:val="00D85546"/>
    <w:rsid w:val="00D90349"/>
    <w:rsid w:val="00D90FCE"/>
    <w:rsid w:val="00D915C7"/>
    <w:rsid w:val="00DB5083"/>
    <w:rsid w:val="00DC6755"/>
    <w:rsid w:val="00DE1F99"/>
    <w:rsid w:val="00DE4095"/>
    <w:rsid w:val="00DF1B9B"/>
    <w:rsid w:val="00E024E6"/>
    <w:rsid w:val="00E21572"/>
    <w:rsid w:val="00E259A5"/>
    <w:rsid w:val="00E55979"/>
    <w:rsid w:val="00E73543"/>
    <w:rsid w:val="00E828DC"/>
    <w:rsid w:val="00E91F4F"/>
    <w:rsid w:val="00E95F03"/>
    <w:rsid w:val="00EC6517"/>
    <w:rsid w:val="00EC7003"/>
    <w:rsid w:val="00EC7FE2"/>
    <w:rsid w:val="00ED6E24"/>
    <w:rsid w:val="00EE203E"/>
    <w:rsid w:val="00EF218C"/>
    <w:rsid w:val="00F73AD6"/>
    <w:rsid w:val="00FD1476"/>
    <w:rsid w:val="00FE07B2"/>
    <w:rsid w:val="00FF3CC6"/>
    <w:rsid w:val="00FF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114CD"/>
  <w15:chartTrackingRefBased/>
  <w15:docId w15:val="{47AB0025-447D-44DD-A5D3-4EEDB514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0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0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0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0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0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0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0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0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0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0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0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0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0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0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0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0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0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0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0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0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38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382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E1F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1F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1F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F9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35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A7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290"/>
  </w:style>
  <w:style w:type="paragraph" w:styleId="Footer">
    <w:name w:val="footer"/>
    <w:basedOn w:val="Normal"/>
    <w:link w:val="FooterChar"/>
    <w:uiPriority w:val="99"/>
    <w:unhideWhenUsed/>
    <w:rsid w:val="002A7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290"/>
  </w:style>
  <w:style w:type="paragraph" w:styleId="Revision">
    <w:name w:val="Revision"/>
    <w:hidden/>
    <w:uiPriority w:val="99"/>
    <w:semiHidden/>
    <w:rsid w:val="00B83E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9242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1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8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6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9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400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410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8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0187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694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2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616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9601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6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mez.ladhani@ukhsa.gov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government/publications/gonorrhoea-the-green-book-chapte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uk/government/statistics/sexually-transmitted-infections-stis-annual-data-tables/sexually-transmitted-infections-and-screening-for-chlamydia-in-england-2024-repor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vaccine-update-issue-360-july-2025-4cmenb-for-gonorrhoea-and-mpox-special?utm_medium=email&amp;utm_campaign=govuk-notifications-topic&amp;utm_source=efe4a975-12f8-4d18-a297-c405ed1107ec&amp;utm_content=dail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9A9FD-D6B5-4835-ABBC-71C7CD047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3341</TotalTime>
  <Pages>3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Shamez Ladhani</dc:creator>
  <cp:keywords/>
  <dc:description/>
  <cp:lastModifiedBy>Shamez Ladhani</cp:lastModifiedBy>
  <cp:revision>4</cp:revision>
  <dcterms:created xsi:type="dcterms:W3CDTF">2025-07-04T14:25:00Z</dcterms:created>
  <dcterms:modified xsi:type="dcterms:W3CDTF">2025-07-08T13:22:00Z</dcterms:modified>
</cp:coreProperties>
</file>