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5F082B" w14:textId="1C6EF1AE" w:rsidR="006A5CBC" w:rsidRDefault="006A5CBC" w:rsidP="000C51DB">
      <w:pPr>
        <w:shd w:val="clear" w:color="auto" w:fill="FFFFFF"/>
        <w:spacing w:beforeAutospacing="1" w:after="0" w:afterAutospacing="1" w:line="240" w:lineRule="auto"/>
        <w:jc w:val="both"/>
        <w:rPr>
          <w:rFonts w:ascii="Times New Roman" w:eastAsia="Times New Roman" w:hAnsi="Times New Roman" w:cs="Times New Roman"/>
          <w:color w:val="242424"/>
          <w:sz w:val="24"/>
          <w:szCs w:val="24"/>
          <w:bdr w:val="none" w:sz="0" w:space="0" w:color="auto" w:frame="1"/>
          <w:lang w:eastAsia="en-GB"/>
        </w:rPr>
      </w:pPr>
      <w:r w:rsidRPr="0099329F">
        <w:rPr>
          <w:rFonts w:ascii="Times New Roman" w:hAnsi="Times New Roman" w:cs="Times New Roman"/>
          <w:b/>
          <w:bCs/>
          <w:sz w:val="24"/>
          <w:szCs w:val="24"/>
        </w:rPr>
        <w:t>Supplementary Table S</w:t>
      </w:r>
      <w:r>
        <w:rPr>
          <w:rFonts w:ascii="Times New Roman" w:hAnsi="Times New Roman" w:cs="Times New Roman"/>
          <w:b/>
          <w:bCs/>
          <w:sz w:val="24"/>
          <w:szCs w:val="24"/>
        </w:rPr>
        <w:t>2</w:t>
      </w:r>
      <w:r w:rsidRPr="0099329F">
        <w:rPr>
          <w:rFonts w:ascii="Times New Roman" w:hAnsi="Times New Roman" w:cs="Times New Roman"/>
          <w:b/>
          <w:bCs/>
          <w:sz w:val="24"/>
          <w:szCs w:val="24"/>
        </w:rPr>
        <w:t>.</w:t>
      </w:r>
    </w:p>
    <w:p w14:paraId="492026EA" w14:textId="7C61486D" w:rsidR="00437771" w:rsidRPr="008619E0" w:rsidRDefault="00437771" w:rsidP="006A5CBC">
      <w:pPr>
        <w:shd w:val="clear" w:color="auto" w:fill="FFFFFF"/>
        <w:spacing w:beforeAutospacing="1" w:after="0" w:afterAutospacing="1" w:line="480" w:lineRule="auto"/>
        <w:jc w:val="both"/>
        <w:rPr>
          <w:rFonts w:ascii="Times New Roman" w:eastAsia="Times New Roman" w:hAnsi="Times New Roman" w:cs="Times New Roman"/>
          <w:color w:val="242424"/>
          <w:sz w:val="24"/>
          <w:szCs w:val="24"/>
          <w:lang w:eastAsia="en-GB"/>
        </w:rPr>
      </w:pPr>
      <w:r w:rsidRPr="008619E0">
        <w:rPr>
          <w:rFonts w:ascii="Times New Roman" w:eastAsia="Times New Roman" w:hAnsi="Times New Roman" w:cs="Times New Roman"/>
          <w:color w:val="242424"/>
          <w:sz w:val="24"/>
          <w:szCs w:val="24"/>
          <w:bdr w:val="none" w:sz="0" w:space="0" w:color="auto" w:frame="1"/>
          <w:lang w:eastAsia="en-GB"/>
        </w:rPr>
        <w:t>Cox proportional hazards models were used to evaluate the association between selected clinical predictors and postoperative length of stay (</w:t>
      </w:r>
      <w:proofErr w:type="spellStart"/>
      <w:r w:rsidRPr="008619E0">
        <w:rPr>
          <w:rFonts w:ascii="Times New Roman" w:eastAsia="Times New Roman" w:hAnsi="Times New Roman" w:cs="Times New Roman"/>
          <w:color w:val="242424"/>
          <w:sz w:val="24"/>
          <w:szCs w:val="24"/>
          <w:bdr w:val="none" w:sz="0" w:space="0" w:color="auto" w:frame="1"/>
          <w:lang w:eastAsia="en-GB"/>
        </w:rPr>
        <w:t>LoS</w:t>
      </w:r>
      <w:proofErr w:type="spellEnd"/>
      <w:r w:rsidRPr="008619E0">
        <w:rPr>
          <w:rFonts w:ascii="Times New Roman" w:eastAsia="Times New Roman" w:hAnsi="Times New Roman" w:cs="Times New Roman"/>
          <w:color w:val="242424"/>
          <w:sz w:val="24"/>
          <w:szCs w:val="24"/>
          <w:bdr w:val="none" w:sz="0" w:space="0" w:color="auto" w:frame="1"/>
          <w:lang w:eastAsia="en-GB"/>
        </w:rPr>
        <w:t xml:space="preserve">) following complete </w:t>
      </w:r>
      <w:proofErr w:type="spellStart"/>
      <w:r w:rsidRPr="008619E0">
        <w:rPr>
          <w:rFonts w:ascii="Times New Roman" w:eastAsia="Times New Roman" w:hAnsi="Times New Roman" w:cs="Times New Roman"/>
          <w:color w:val="242424"/>
          <w:sz w:val="24"/>
          <w:szCs w:val="24"/>
          <w:bdr w:val="none" w:sz="0" w:space="0" w:color="auto" w:frame="1"/>
          <w:lang w:eastAsia="en-GB"/>
        </w:rPr>
        <w:t>ToF</w:t>
      </w:r>
      <w:proofErr w:type="spellEnd"/>
      <w:r w:rsidRPr="008619E0">
        <w:rPr>
          <w:rFonts w:ascii="Times New Roman" w:eastAsia="Times New Roman" w:hAnsi="Times New Roman" w:cs="Times New Roman"/>
          <w:color w:val="242424"/>
          <w:sz w:val="24"/>
          <w:szCs w:val="24"/>
          <w:bdr w:val="none" w:sz="0" w:space="0" w:color="auto" w:frame="1"/>
          <w:lang w:eastAsia="en-GB"/>
        </w:rPr>
        <w:t xml:space="preserve"> repair.</w:t>
      </w:r>
      <w:r w:rsidRPr="008619E0">
        <w:rPr>
          <w:rFonts w:ascii="Times New Roman" w:eastAsia="Times New Roman" w:hAnsi="Times New Roman" w:cs="Times New Roman"/>
          <w:color w:val="242424"/>
          <w:sz w:val="24"/>
          <w:szCs w:val="24"/>
          <w:lang w:eastAsia="en-GB"/>
        </w:rPr>
        <w:t xml:space="preserve"> Univariable models were first applied to assess the effect of each variable, including age at repair (months), weight at repair (kg), presence of chromosomal or genetic comorbidities, prematurity and having undergone a procedure prior to complete </w:t>
      </w:r>
      <w:proofErr w:type="spellStart"/>
      <w:r w:rsidRPr="008619E0">
        <w:rPr>
          <w:rFonts w:ascii="Times New Roman" w:eastAsia="Times New Roman" w:hAnsi="Times New Roman" w:cs="Times New Roman"/>
          <w:color w:val="242424"/>
          <w:sz w:val="24"/>
          <w:szCs w:val="24"/>
          <w:lang w:eastAsia="en-GB"/>
        </w:rPr>
        <w:t>ToF</w:t>
      </w:r>
      <w:proofErr w:type="spellEnd"/>
      <w:r w:rsidRPr="008619E0">
        <w:rPr>
          <w:rFonts w:ascii="Times New Roman" w:eastAsia="Times New Roman" w:hAnsi="Times New Roman" w:cs="Times New Roman"/>
          <w:color w:val="242424"/>
          <w:sz w:val="24"/>
          <w:szCs w:val="24"/>
          <w:lang w:eastAsia="en-GB"/>
        </w:rPr>
        <w:t xml:space="preserve"> repair. In the univariable analysis, the presence of chromosomal or genetic comorbidities, prematurity and undergoing a procedure prior to complete </w:t>
      </w:r>
      <w:proofErr w:type="spellStart"/>
      <w:r w:rsidRPr="008619E0">
        <w:rPr>
          <w:rFonts w:ascii="Times New Roman" w:eastAsia="Times New Roman" w:hAnsi="Times New Roman" w:cs="Times New Roman"/>
          <w:color w:val="242424"/>
          <w:sz w:val="24"/>
          <w:szCs w:val="24"/>
          <w:lang w:eastAsia="en-GB"/>
        </w:rPr>
        <w:t>ToF</w:t>
      </w:r>
      <w:proofErr w:type="spellEnd"/>
      <w:r w:rsidRPr="008619E0">
        <w:rPr>
          <w:rFonts w:ascii="Times New Roman" w:eastAsia="Times New Roman" w:hAnsi="Times New Roman" w:cs="Times New Roman"/>
          <w:color w:val="242424"/>
          <w:sz w:val="24"/>
          <w:szCs w:val="24"/>
          <w:lang w:eastAsia="en-GB"/>
        </w:rPr>
        <w:t xml:space="preserve"> repair were associated with a longer </w:t>
      </w:r>
      <w:proofErr w:type="spellStart"/>
      <w:r w:rsidRPr="008619E0">
        <w:rPr>
          <w:rFonts w:ascii="Times New Roman" w:eastAsia="Times New Roman" w:hAnsi="Times New Roman" w:cs="Times New Roman"/>
          <w:color w:val="242424"/>
          <w:sz w:val="24"/>
          <w:szCs w:val="24"/>
          <w:lang w:eastAsia="en-GB"/>
        </w:rPr>
        <w:t>LoS</w:t>
      </w:r>
      <w:proofErr w:type="spellEnd"/>
      <w:r w:rsidRPr="008619E0">
        <w:rPr>
          <w:rFonts w:ascii="Times New Roman" w:eastAsia="Times New Roman" w:hAnsi="Times New Roman" w:cs="Times New Roman"/>
          <w:color w:val="242424"/>
          <w:sz w:val="24"/>
          <w:szCs w:val="24"/>
          <w:lang w:eastAsia="en-GB"/>
        </w:rPr>
        <w:t xml:space="preserve"> (p &lt; 0.1). Age at repair and weight at repair were not significantly associated with </w:t>
      </w:r>
      <w:proofErr w:type="spellStart"/>
      <w:r w:rsidRPr="008619E0">
        <w:rPr>
          <w:rFonts w:ascii="Times New Roman" w:eastAsia="Times New Roman" w:hAnsi="Times New Roman" w:cs="Times New Roman"/>
          <w:color w:val="242424"/>
          <w:sz w:val="24"/>
          <w:szCs w:val="24"/>
          <w:lang w:eastAsia="en-GB"/>
        </w:rPr>
        <w:t>LoS</w:t>
      </w:r>
      <w:proofErr w:type="spellEnd"/>
      <w:r w:rsidRPr="008619E0">
        <w:rPr>
          <w:rFonts w:ascii="Times New Roman" w:eastAsia="Times New Roman" w:hAnsi="Times New Roman" w:cs="Times New Roman"/>
          <w:color w:val="242424"/>
          <w:sz w:val="24"/>
          <w:szCs w:val="24"/>
          <w:lang w:eastAsia="en-GB"/>
        </w:rPr>
        <w:t>.</w:t>
      </w:r>
    </w:p>
    <w:p w14:paraId="7181AC08" w14:textId="2E5E9971" w:rsidR="00437771" w:rsidRDefault="00437771" w:rsidP="006A5CBC">
      <w:pPr>
        <w:shd w:val="clear" w:color="auto" w:fill="FFFFFF"/>
        <w:spacing w:beforeAutospacing="1" w:after="0" w:afterAutospacing="1" w:line="480" w:lineRule="auto"/>
        <w:jc w:val="both"/>
        <w:rPr>
          <w:rFonts w:ascii="Times New Roman" w:eastAsia="Times New Roman" w:hAnsi="Times New Roman" w:cs="Times New Roman"/>
          <w:color w:val="242424"/>
          <w:sz w:val="24"/>
          <w:szCs w:val="24"/>
          <w:lang w:eastAsia="en-GB"/>
        </w:rPr>
      </w:pPr>
      <w:r w:rsidRPr="008619E0">
        <w:rPr>
          <w:rFonts w:ascii="Times New Roman" w:eastAsia="Times New Roman" w:hAnsi="Times New Roman" w:cs="Times New Roman"/>
          <w:color w:val="242424"/>
          <w:sz w:val="24"/>
          <w:szCs w:val="24"/>
          <w:lang w:eastAsia="en-GB"/>
        </w:rPr>
        <w:t>Variables with a univariable </w:t>
      </w:r>
      <w:r w:rsidRPr="008619E0">
        <w:rPr>
          <w:rFonts w:ascii="Times New Roman" w:eastAsia="Times New Roman" w:hAnsi="Times New Roman" w:cs="Times New Roman"/>
          <w:i/>
          <w:iCs/>
          <w:color w:val="242424"/>
          <w:sz w:val="24"/>
          <w:szCs w:val="24"/>
          <w:bdr w:val="none" w:sz="0" w:space="0" w:color="auto" w:frame="1"/>
          <w:lang w:eastAsia="en-GB"/>
        </w:rPr>
        <w:t>p</w:t>
      </w:r>
      <w:r w:rsidRPr="008619E0">
        <w:rPr>
          <w:rFonts w:ascii="Times New Roman" w:eastAsia="Times New Roman" w:hAnsi="Times New Roman" w:cs="Times New Roman"/>
          <w:color w:val="242424"/>
          <w:sz w:val="24"/>
          <w:szCs w:val="24"/>
          <w:lang w:eastAsia="en-GB"/>
        </w:rPr>
        <w:t>-value &lt; 0.1 were included in the multivariable Cox proportional hazards model. After adjusting for potential confounders, the presence of chromosomal or genetic comorbidities significantly associated with prolonged LOS (HR: 0.6</w:t>
      </w:r>
      <w:r w:rsidR="006A5CBC">
        <w:rPr>
          <w:rFonts w:ascii="Times New Roman" w:eastAsia="Times New Roman" w:hAnsi="Times New Roman" w:cs="Times New Roman"/>
          <w:color w:val="242424"/>
          <w:sz w:val="24"/>
          <w:szCs w:val="24"/>
          <w:lang w:eastAsia="en-GB"/>
        </w:rPr>
        <w:t>6</w:t>
      </w:r>
      <w:r w:rsidRPr="008619E0">
        <w:rPr>
          <w:rFonts w:ascii="Times New Roman" w:eastAsia="Times New Roman" w:hAnsi="Times New Roman" w:cs="Times New Roman"/>
          <w:color w:val="242424"/>
          <w:sz w:val="24"/>
          <w:szCs w:val="24"/>
          <w:lang w:eastAsia="en-GB"/>
        </w:rPr>
        <w:t>; 95% CI: 0.4</w:t>
      </w:r>
      <w:r w:rsidR="004D2839">
        <w:rPr>
          <w:rFonts w:ascii="Times New Roman" w:eastAsia="Times New Roman" w:hAnsi="Times New Roman" w:cs="Times New Roman"/>
          <w:color w:val="242424"/>
          <w:sz w:val="24"/>
          <w:szCs w:val="24"/>
          <w:lang w:eastAsia="en-GB"/>
        </w:rPr>
        <w:t>6</w:t>
      </w:r>
      <w:r w:rsidRPr="008619E0">
        <w:rPr>
          <w:rFonts w:ascii="Times New Roman" w:eastAsia="Times New Roman" w:hAnsi="Times New Roman" w:cs="Times New Roman"/>
          <w:color w:val="242424"/>
          <w:sz w:val="24"/>
          <w:szCs w:val="24"/>
          <w:lang w:eastAsia="en-GB"/>
        </w:rPr>
        <w:t>–0.9</w:t>
      </w:r>
      <w:r w:rsidR="006A5CBC">
        <w:rPr>
          <w:rFonts w:ascii="Times New Roman" w:eastAsia="Times New Roman" w:hAnsi="Times New Roman" w:cs="Times New Roman"/>
          <w:color w:val="242424"/>
          <w:sz w:val="24"/>
          <w:szCs w:val="24"/>
          <w:lang w:eastAsia="en-GB"/>
        </w:rPr>
        <w:t>4</w:t>
      </w:r>
      <w:r w:rsidRPr="008619E0">
        <w:rPr>
          <w:rFonts w:ascii="Times New Roman" w:eastAsia="Times New Roman" w:hAnsi="Times New Roman" w:cs="Times New Roman"/>
          <w:color w:val="242424"/>
          <w:sz w:val="24"/>
          <w:szCs w:val="24"/>
          <w:lang w:eastAsia="en-GB"/>
        </w:rPr>
        <w:t>; </w:t>
      </w:r>
      <w:r w:rsidRPr="008619E0">
        <w:rPr>
          <w:rFonts w:ascii="Times New Roman" w:eastAsia="Times New Roman" w:hAnsi="Times New Roman" w:cs="Times New Roman"/>
          <w:i/>
          <w:iCs/>
          <w:color w:val="242424"/>
          <w:sz w:val="24"/>
          <w:szCs w:val="24"/>
          <w:bdr w:val="none" w:sz="0" w:space="0" w:color="auto" w:frame="1"/>
          <w:lang w:eastAsia="en-GB"/>
        </w:rPr>
        <w:t>p</w:t>
      </w:r>
      <w:r w:rsidRPr="008619E0">
        <w:rPr>
          <w:rFonts w:ascii="Times New Roman" w:eastAsia="Times New Roman" w:hAnsi="Times New Roman" w:cs="Times New Roman"/>
          <w:color w:val="242424"/>
          <w:sz w:val="24"/>
          <w:szCs w:val="24"/>
          <w:lang w:eastAsia="en-GB"/>
        </w:rPr>
        <w:t xml:space="preserve"> = 0.021). Undergoing a procedure prior to complete </w:t>
      </w:r>
      <w:proofErr w:type="spellStart"/>
      <w:r w:rsidRPr="008619E0">
        <w:rPr>
          <w:rFonts w:ascii="Times New Roman" w:eastAsia="Times New Roman" w:hAnsi="Times New Roman" w:cs="Times New Roman"/>
          <w:color w:val="242424"/>
          <w:sz w:val="24"/>
          <w:szCs w:val="24"/>
          <w:lang w:eastAsia="en-GB"/>
        </w:rPr>
        <w:t>ToF</w:t>
      </w:r>
      <w:proofErr w:type="spellEnd"/>
      <w:r w:rsidRPr="008619E0">
        <w:rPr>
          <w:rFonts w:ascii="Times New Roman" w:eastAsia="Times New Roman" w:hAnsi="Times New Roman" w:cs="Times New Roman"/>
          <w:color w:val="242424"/>
          <w:sz w:val="24"/>
          <w:szCs w:val="24"/>
          <w:lang w:eastAsia="en-GB"/>
        </w:rPr>
        <w:t xml:space="preserve"> repair was also associated with longer </w:t>
      </w:r>
      <w:proofErr w:type="spellStart"/>
      <w:r w:rsidRPr="008619E0">
        <w:rPr>
          <w:rFonts w:ascii="Times New Roman" w:eastAsia="Times New Roman" w:hAnsi="Times New Roman" w:cs="Times New Roman"/>
          <w:color w:val="242424"/>
          <w:sz w:val="24"/>
          <w:szCs w:val="24"/>
          <w:lang w:eastAsia="en-GB"/>
        </w:rPr>
        <w:t>LoS</w:t>
      </w:r>
      <w:proofErr w:type="spellEnd"/>
      <w:r w:rsidRPr="008619E0">
        <w:rPr>
          <w:rFonts w:ascii="Times New Roman" w:eastAsia="Times New Roman" w:hAnsi="Times New Roman" w:cs="Times New Roman"/>
          <w:color w:val="242424"/>
          <w:sz w:val="24"/>
          <w:szCs w:val="24"/>
          <w:lang w:eastAsia="en-GB"/>
        </w:rPr>
        <w:t xml:space="preserve"> (HR: 0.70; 95% CI: 0.5</w:t>
      </w:r>
      <w:r w:rsidR="006A5CBC">
        <w:rPr>
          <w:rFonts w:ascii="Times New Roman" w:eastAsia="Times New Roman" w:hAnsi="Times New Roman" w:cs="Times New Roman"/>
          <w:color w:val="242424"/>
          <w:sz w:val="24"/>
          <w:szCs w:val="24"/>
          <w:lang w:eastAsia="en-GB"/>
        </w:rPr>
        <w:t>4</w:t>
      </w:r>
      <w:r w:rsidRPr="008619E0">
        <w:rPr>
          <w:rFonts w:ascii="Times New Roman" w:eastAsia="Times New Roman" w:hAnsi="Times New Roman" w:cs="Times New Roman"/>
          <w:color w:val="242424"/>
          <w:sz w:val="24"/>
          <w:szCs w:val="24"/>
          <w:lang w:eastAsia="en-GB"/>
        </w:rPr>
        <w:t>–0.9</w:t>
      </w:r>
      <w:r w:rsidR="006A5CBC">
        <w:rPr>
          <w:rFonts w:ascii="Times New Roman" w:eastAsia="Times New Roman" w:hAnsi="Times New Roman" w:cs="Times New Roman"/>
          <w:color w:val="242424"/>
          <w:sz w:val="24"/>
          <w:szCs w:val="24"/>
          <w:lang w:eastAsia="en-GB"/>
        </w:rPr>
        <w:t>3</w:t>
      </w:r>
      <w:r w:rsidRPr="008619E0">
        <w:rPr>
          <w:rFonts w:ascii="Times New Roman" w:eastAsia="Times New Roman" w:hAnsi="Times New Roman" w:cs="Times New Roman"/>
          <w:color w:val="242424"/>
          <w:sz w:val="24"/>
          <w:szCs w:val="24"/>
          <w:lang w:eastAsia="en-GB"/>
        </w:rPr>
        <w:t>; </w:t>
      </w:r>
      <w:r w:rsidRPr="008619E0">
        <w:rPr>
          <w:rFonts w:ascii="Times New Roman" w:eastAsia="Times New Roman" w:hAnsi="Times New Roman" w:cs="Times New Roman"/>
          <w:i/>
          <w:iCs/>
          <w:color w:val="242424"/>
          <w:sz w:val="24"/>
          <w:szCs w:val="24"/>
          <w:bdr w:val="none" w:sz="0" w:space="0" w:color="auto" w:frame="1"/>
          <w:lang w:eastAsia="en-GB"/>
        </w:rPr>
        <w:t>p</w:t>
      </w:r>
      <w:r w:rsidRPr="008619E0">
        <w:rPr>
          <w:rFonts w:ascii="Times New Roman" w:eastAsia="Times New Roman" w:hAnsi="Times New Roman" w:cs="Times New Roman"/>
          <w:color w:val="242424"/>
          <w:sz w:val="24"/>
          <w:szCs w:val="24"/>
          <w:lang w:eastAsia="en-GB"/>
        </w:rPr>
        <w:t> = 0.012). Prematurity was not statistically significant in the multivariable model (HR: 0.81; 95% CI: 0.57–1.1</w:t>
      </w:r>
      <w:r w:rsidR="006A5CBC">
        <w:rPr>
          <w:rFonts w:ascii="Times New Roman" w:eastAsia="Times New Roman" w:hAnsi="Times New Roman" w:cs="Times New Roman"/>
          <w:color w:val="242424"/>
          <w:sz w:val="24"/>
          <w:szCs w:val="24"/>
          <w:lang w:eastAsia="en-GB"/>
        </w:rPr>
        <w:t>6</w:t>
      </w:r>
      <w:r w:rsidRPr="008619E0">
        <w:rPr>
          <w:rFonts w:ascii="Times New Roman" w:eastAsia="Times New Roman" w:hAnsi="Times New Roman" w:cs="Times New Roman"/>
          <w:color w:val="242424"/>
          <w:sz w:val="24"/>
          <w:szCs w:val="24"/>
          <w:lang w:eastAsia="en-GB"/>
        </w:rPr>
        <w:t>; </w:t>
      </w:r>
      <w:r w:rsidRPr="008619E0">
        <w:rPr>
          <w:rFonts w:ascii="Times New Roman" w:eastAsia="Times New Roman" w:hAnsi="Times New Roman" w:cs="Times New Roman"/>
          <w:i/>
          <w:iCs/>
          <w:color w:val="242424"/>
          <w:sz w:val="24"/>
          <w:szCs w:val="24"/>
          <w:bdr w:val="none" w:sz="0" w:space="0" w:color="auto" w:frame="1"/>
          <w:lang w:eastAsia="en-GB"/>
        </w:rPr>
        <w:t>p</w:t>
      </w:r>
      <w:r w:rsidRPr="008619E0">
        <w:rPr>
          <w:rFonts w:ascii="Times New Roman" w:eastAsia="Times New Roman" w:hAnsi="Times New Roman" w:cs="Times New Roman"/>
          <w:color w:val="242424"/>
          <w:sz w:val="24"/>
          <w:szCs w:val="24"/>
          <w:lang w:eastAsia="en-GB"/>
        </w:rPr>
        <w:t> = 0.248).</w:t>
      </w:r>
    </w:p>
    <w:p w14:paraId="278D9769" w14:textId="77777777" w:rsidR="006A5CBC" w:rsidRDefault="006A5CBC" w:rsidP="006A5CBC">
      <w:pPr>
        <w:shd w:val="clear" w:color="auto" w:fill="FFFFFF"/>
        <w:spacing w:beforeAutospacing="1" w:after="0" w:afterAutospacing="1" w:line="480" w:lineRule="auto"/>
        <w:jc w:val="both"/>
        <w:rPr>
          <w:rFonts w:ascii="Times New Roman" w:eastAsia="Times New Roman" w:hAnsi="Times New Roman" w:cs="Times New Roman"/>
          <w:color w:val="242424"/>
          <w:sz w:val="24"/>
          <w:szCs w:val="24"/>
          <w:lang w:eastAsia="en-GB"/>
        </w:rPr>
      </w:pPr>
    </w:p>
    <w:p w14:paraId="70F4D541" w14:textId="77777777" w:rsidR="006A5CBC" w:rsidRDefault="006A5CBC" w:rsidP="006A5CBC">
      <w:pPr>
        <w:shd w:val="clear" w:color="auto" w:fill="FFFFFF"/>
        <w:spacing w:beforeAutospacing="1" w:after="0" w:afterAutospacing="1" w:line="480" w:lineRule="auto"/>
        <w:jc w:val="both"/>
        <w:rPr>
          <w:rFonts w:ascii="Times New Roman" w:eastAsia="Times New Roman" w:hAnsi="Times New Roman" w:cs="Times New Roman"/>
          <w:color w:val="242424"/>
          <w:sz w:val="24"/>
          <w:szCs w:val="24"/>
          <w:lang w:eastAsia="en-GB"/>
        </w:rPr>
      </w:pPr>
    </w:p>
    <w:p w14:paraId="40A727C1" w14:textId="77777777" w:rsidR="007C0BC8" w:rsidRPr="008619E0" w:rsidRDefault="007C0BC8" w:rsidP="006A5CBC">
      <w:pPr>
        <w:shd w:val="clear" w:color="auto" w:fill="FFFFFF"/>
        <w:spacing w:beforeAutospacing="1" w:after="0" w:afterAutospacing="1" w:line="480" w:lineRule="auto"/>
        <w:jc w:val="both"/>
        <w:rPr>
          <w:rFonts w:ascii="Times New Roman" w:eastAsia="Times New Roman" w:hAnsi="Times New Roman" w:cs="Times New Roman"/>
          <w:color w:val="242424"/>
          <w:sz w:val="24"/>
          <w:szCs w:val="24"/>
          <w:lang w:eastAsia="en-GB"/>
        </w:rPr>
      </w:pPr>
    </w:p>
    <w:p w14:paraId="16B1A49F" w14:textId="77777777" w:rsidR="00437771" w:rsidRPr="008619E0" w:rsidRDefault="00437771" w:rsidP="00437771">
      <w:pPr>
        <w:shd w:val="clear" w:color="auto" w:fill="FFFFFF"/>
        <w:spacing w:after="0" w:line="240" w:lineRule="auto"/>
        <w:textAlignment w:val="baseline"/>
        <w:rPr>
          <w:rFonts w:ascii="Times New Roman" w:eastAsia="Times New Roman" w:hAnsi="Times New Roman" w:cs="Times New Roman"/>
          <w:color w:val="242424"/>
          <w:sz w:val="24"/>
          <w:szCs w:val="24"/>
          <w:lang w:eastAsia="en-GB"/>
        </w:rPr>
      </w:pPr>
      <w:r w:rsidRPr="008619E0">
        <w:rPr>
          <w:rFonts w:ascii="Times New Roman" w:eastAsia="Times New Roman" w:hAnsi="Times New Roman" w:cs="Times New Roman"/>
          <w:color w:val="242424"/>
          <w:sz w:val="24"/>
          <w:szCs w:val="24"/>
          <w:bdr w:val="none" w:sz="0" w:space="0" w:color="auto" w:frame="1"/>
          <w:lang w:eastAsia="en-GB"/>
        </w:rPr>
        <w:t></w:t>
      </w:r>
    </w:p>
    <w:tbl>
      <w:tblPr>
        <w:tblW w:w="11560" w:type="dxa"/>
        <w:tblCellMar>
          <w:left w:w="0" w:type="dxa"/>
          <w:right w:w="0" w:type="dxa"/>
        </w:tblCellMar>
        <w:tblLook w:val="04A0" w:firstRow="1" w:lastRow="0" w:firstColumn="1" w:lastColumn="0" w:noHBand="0" w:noVBand="1"/>
      </w:tblPr>
      <w:tblGrid>
        <w:gridCol w:w="4505"/>
        <w:gridCol w:w="464"/>
        <w:gridCol w:w="756"/>
        <w:gridCol w:w="1366"/>
        <w:gridCol w:w="944"/>
        <w:gridCol w:w="276"/>
        <w:gridCol w:w="944"/>
        <w:gridCol w:w="1361"/>
        <w:gridCol w:w="944"/>
      </w:tblGrid>
      <w:tr w:rsidR="00437771" w:rsidRPr="008619E0" w14:paraId="5C8D4600" w14:textId="77777777" w:rsidTr="00437771">
        <w:trPr>
          <w:trHeight w:val="290"/>
        </w:trPr>
        <w:tc>
          <w:tcPr>
            <w:tcW w:w="5720" w:type="dxa"/>
            <w:gridSpan w:val="3"/>
            <w:tcBorders>
              <w:top w:val="nil"/>
              <w:left w:val="nil"/>
              <w:bottom w:val="single" w:sz="8" w:space="0" w:color="auto"/>
              <w:right w:val="nil"/>
            </w:tcBorders>
            <w:tcMar>
              <w:top w:w="0" w:type="dxa"/>
              <w:left w:w="108" w:type="dxa"/>
              <w:bottom w:w="0" w:type="dxa"/>
              <w:right w:w="108" w:type="dxa"/>
            </w:tcMar>
            <w:vAlign w:val="bottom"/>
            <w:hideMark/>
          </w:tcPr>
          <w:p w14:paraId="38052906" w14:textId="77777777" w:rsidR="00437771" w:rsidRPr="008619E0" w:rsidRDefault="00437771" w:rsidP="00437771">
            <w:pPr>
              <w:spacing w:after="0" w:line="240" w:lineRule="auto"/>
              <w:rPr>
                <w:rFonts w:ascii="Times New Roman" w:eastAsia="Times New Roman" w:hAnsi="Times New Roman" w:cs="Times New Roman"/>
                <w:sz w:val="24"/>
                <w:szCs w:val="24"/>
                <w:lang w:eastAsia="en-GB"/>
              </w:rPr>
            </w:pPr>
            <w:r w:rsidRPr="008619E0">
              <w:rPr>
                <w:rFonts w:ascii="Times New Roman" w:eastAsia="Times New Roman" w:hAnsi="Times New Roman" w:cs="Times New Roman"/>
                <w:b/>
                <w:bCs/>
                <w:color w:val="000000"/>
                <w:sz w:val="24"/>
                <w:szCs w:val="24"/>
                <w:bdr w:val="none" w:sz="0" w:space="0" w:color="auto" w:frame="1"/>
                <w:lang w:eastAsia="en-GB"/>
              </w:rPr>
              <w:lastRenderedPageBreak/>
              <w:t>Multivariable cox proportional hazards model</w:t>
            </w:r>
          </w:p>
        </w:tc>
        <w:tc>
          <w:tcPr>
            <w:tcW w:w="1400" w:type="dxa"/>
            <w:tcBorders>
              <w:top w:val="nil"/>
              <w:left w:val="nil"/>
              <w:bottom w:val="single" w:sz="8" w:space="0" w:color="auto"/>
              <w:right w:val="nil"/>
            </w:tcBorders>
            <w:tcMar>
              <w:top w:w="0" w:type="dxa"/>
              <w:left w:w="108" w:type="dxa"/>
              <w:bottom w:w="0" w:type="dxa"/>
              <w:right w:w="108" w:type="dxa"/>
            </w:tcMar>
            <w:vAlign w:val="bottom"/>
            <w:hideMark/>
          </w:tcPr>
          <w:p w14:paraId="3903AD09" w14:textId="77777777" w:rsidR="00437771" w:rsidRPr="008619E0" w:rsidRDefault="00437771" w:rsidP="00437771">
            <w:pPr>
              <w:spacing w:after="0" w:line="240" w:lineRule="auto"/>
              <w:rPr>
                <w:rFonts w:ascii="Times New Roman" w:eastAsia="Times New Roman" w:hAnsi="Times New Roman" w:cs="Times New Roman"/>
                <w:sz w:val="24"/>
                <w:szCs w:val="24"/>
                <w:lang w:eastAsia="en-GB"/>
              </w:rPr>
            </w:pPr>
            <w:r w:rsidRPr="008619E0">
              <w:rPr>
                <w:rFonts w:ascii="Times New Roman" w:eastAsia="Times New Roman" w:hAnsi="Times New Roman" w:cs="Times New Roman"/>
                <w:color w:val="000000"/>
                <w:sz w:val="24"/>
                <w:szCs w:val="24"/>
                <w:bdr w:val="none" w:sz="0" w:space="0" w:color="auto" w:frame="1"/>
                <w:lang w:eastAsia="en-GB"/>
              </w:rPr>
              <w:t> </w:t>
            </w:r>
          </w:p>
        </w:tc>
        <w:tc>
          <w:tcPr>
            <w:tcW w:w="960" w:type="dxa"/>
            <w:tcBorders>
              <w:top w:val="nil"/>
              <w:left w:val="nil"/>
              <w:bottom w:val="single" w:sz="8" w:space="0" w:color="auto"/>
              <w:right w:val="nil"/>
            </w:tcBorders>
            <w:tcMar>
              <w:top w:w="0" w:type="dxa"/>
              <w:left w:w="108" w:type="dxa"/>
              <w:bottom w:w="0" w:type="dxa"/>
              <w:right w:w="108" w:type="dxa"/>
            </w:tcMar>
            <w:vAlign w:val="bottom"/>
            <w:hideMark/>
          </w:tcPr>
          <w:p w14:paraId="5D1214A6" w14:textId="77777777" w:rsidR="00437771" w:rsidRPr="008619E0" w:rsidRDefault="00437771" w:rsidP="00437771">
            <w:pPr>
              <w:spacing w:after="0" w:line="240" w:lineRule="auto"/>
              <w:rPr>
                <w:rFonts w:ascii="Times New Roman" w:eastAsia="Times New Roman" w:hAnsi="Times New Roman" w:cs="Times New Roman"/>
                <w:sz w:val="24"/>
                <w:szCs w:val="24"/>
                <w:lang w:eastAsia="en-GB"/>
              </w:rPr>
            </w:pPr>
            <w:r w:rsidRPr="008619E0">
              <w:rPr>
                <w:rFonts w:ascii="Times New Roman" w:eastAsia="Times New Roman" w:hAnsi="Times New Roman" w:cs="Times New Roman"/>
                <w:color w:val="000000"/>
                <w:sz w:val="24"/>
                <w:szCs w:val="24"/>
                <w:bdr w:val="none" w:sz="0" w:space="0" w:color="auto" w:frame="1"/>
                <w:lang w:eastAsia="en-GB"/>
              </w:rPr>
              <w:t> </w:t>
            </w:r>
          </w:p>
        </w:tc>
        <w:tc>
          <w:tcPr>
            <w:tcW w:w="160" w:type="dxa"/>
            <w:tcBorders>
              <w:top w:val="nil"/>
              <w:left w:val="nil"/>
              <w:bottom w:val="single" w:sz="8" w:space="0" w:color="auto"/>
              <w:right w:val="nil"/>
            </w:tcBorders>
            <w:tcMar>
              <w:top w:w="0" w:type="dxa"/>
              <w:left w:w="108" w:type="dxa"/>
              <w:bottom w:w="0" w:type="dxa"/>
              <w:right w:w="108" w:type="dxa"/>
            </w:tcMar>
            <w:vAlign w:val="bottom"/>
            <w:hideMark/>
          </w:tcPr>
          <w:p w14:paraId="19AF111A" w14:textId="77777777" w:rsidR="00437771" w:rsidRPr="008619E0" w:rsidRDefault="00437771" w:rsidP="00437771">
            <w:pPr>
              <w:spacing w:after="0" w:line="240" w:lineRule="auto"/>
              <w:rPr>
                <w:rFonts w:ascii="Times New Roman" w:eastAsia="Times New Roman" w:hAnsi="Times New Roman" w:cs="Times New Roman"/>
                <w:sz w:val="24"/>
                <w:szCs w:val="24"/>
                <w:lang w:eastAsia="en-GB"/>
              </w:rPr>
            </w:pPr>
            <w:r w:rsidRPr="008619E0">
              <w:rPr>
                <w:rFonts w:ascii="Times New Roman" w:eastAsia="Times New Roman" w:hAnsi="Times New Roman" w:cs="Times New Roman"/>
                <w:color w:val="000000"/>
                <w:sz w:val="24"/>
                <w:szCs w:val="24"/>
                <w:bdr w:val="none" w:sz="0" w:space="0" w:color="auto" w:frame="1"/>
                <w:lang w:eastAsia="en-GB"/>
              </w:rPr>
              <w:t> </w:t>
            </w:r>
          </w:p>
        </w:tc>
        <w:tc>
          <w:tcPr>
            <w:tcW w:w="960" w:type="dxa"/>
            <w:tcBorders>
              <w:top w:val="nil"/>
              <w:left w:val="nil"/>
              <w:bottom w:val="single" w:sz="8" w:space="0" w:color="auto"/>
              <w:right w:val="nil"/>
            </w:tcBorders>
            <w:tcMar>
              <w:top w:w="0" w:type="dxa"/>
              <w:left w:w="108" w:type="dxa"/>
              <w:bottom w:w="0" w:type="dxa"/>
              <w:right w:w="108" w:type="dxa"/>
            </w:tcMar>
            <w:vAlign w:val="bottom"/>
            <w:hideMark/>
          </w:tcPr>
          <w:p w14:paraId="6C2FE264" w14:textId="77777777" w:rsidR="00437771" w:rsidRPr="008619E0" w:rsidRDefault="00437771" w:rsidP="00437771">
            <w:pPr>
              <w:spacing w:after="0" w:line="240" w:lineRule="auto"/>
              <w:rPr>
                <w:rFonts w:ascii="Times New Roman" w:eastAsia="Times New Roman" w:hAnsi="Times New Roman" w:cs="Times New Roman"/>
                <w:sz w:val="24"/>
                <w:szCs w:val="24"/>
                <w:lang w:eastAsia="en-GB"/>
              </w:rPr>
            </w:pPr>
            <w:r w:rsidRPr="008619E0">
              <w:rPr>
                <w:rFonts w:ascii="Times New Roman" w:eastAsia="Times New Roman" w:hAnsi="Times New Roman" w:cs="Times New Roman"/>
                <w:color w:val="000000"/>
                <w:sz w:val="24"/>
                <w:szCs w:val="24"/>
                <w:bdr w:val="none" w:sz="0" w:space="0" w:color="auto" w:frame="1"/>
                <w:lang w:eastAsia="en-GB"/>
              </w:rPr>
              <w:t> </w:t>
            </w:r>
          </w:p>
        </w:tc>
        <w:tc>
          <w:tcPr>
            <w:tcW w:w="1400" w:type="dxa"/>
            <w:tcBorders>
              <w:top w:val="nil"/>
              <w:left w:val="nil"/>
              <w:bottom w:val="single" w:sz="8" w:space="0" w:color="auto"/>
              <w:right w:val="nil"/>
            </w:tcBorders>
            <w:tcMar>
              <w:top w:w="0" w:type="dxa"/>
              <w:left w:w="108" w:type="dxa"/>
              <w:bottom w:w="0" w:type="dxa"/>
              <w:right w:w="108" w:type="dxa"/>
            </w:tcMar>
            <w:vAlign w:val="bottom"/>
            <w:hideMark/>
          </w:tcPr>
          <w:p w14:paraId="040D0F44" w14:textId="77777777" w:rsidR="00437771" w:rsidRPr="008619E0" w:rsidRDefault="00437771" w:rsidP="00437771">
            <w:pPr>
              <w:spacing w:after="0" w:line="240" w:lineRule="auto"/>
              <w:rPr>
                <w:rFonts w:ascii="Times New Roman" w:eastAsia="Times New Roman" w:hAnsi="Times New Roman" w:cs="Times New Roman"/>
                <w:sz w:val="24"/>
                <w:szCs w:val="24"/>
                <w:lang w:eastAsia="en-GB"/>
              </w:rPr>
            </w:pPr>
            <w:r w:rsidRPr="008619E0">
              <w:rPr>
                <w:rFonts w:ascii="Times New Roman" w:eastAsia="Times New Roman" w:hAnsi="Times New Roman" w:cs="Times New Roman"/>
                <w:color w:val="000000"/>
                <w:sz w:val="24"/>
                <w:szCs w:val="24"/>
                <w:bdr w:val="none" w:sz="0" w:space="0" w:color="auto" w:frame="1"/>
                <w:lang w:eastAsia="en-GB"/>
              </w:rPr>
              <w:t> </w:t>
            </w:r>
          </w:p>
        </w:tc>
        <w:tc>
          <w:tcPr>
            <w:tcW w:w="960" w:type="dxa"/>
            <w:tcBorders>
              <w:top w:val="nil"/>
              <w:left w:val="nil"/>
              <w:bottom w:val="single" w:sz="8" w:space="0" w:color="auto"/>
              <w:right w:val="nil"/>
            </w:tcBorders>
            <w:tcMar>
              <w:top w:w="0" w:type="dxa"/>
              <w:left w:w="108" w:type="dxa"/>
              <w:bottom w:w="0" w:type="dxa"/>
              <w:right w:w="108" w:type="dxa"/>
            </w:tcMar>
            <w:vAlign w:val="bottom"/>
            <w:hideMark/>
          </w:tcPr>
          <w:p w14:paraId="040F5DC7" w14:textId="77777777" w:rsidR="00437771" w:rsidRPr="008619E0" w:rsidRDefault="00437771" w:rsidP="00437771">
            <w:pPr>
              <w:spacing w:after="0" w:line="240" w:lineRule="auto"/>
              <w:rPr>
                <w:rFonts w:ascii="Times New Roman" w:eastAsia="Times New Roman" w:hAnsi="Times New Roman" w:cs="Times New Roman"/>
                <w:sz w:val="24"/>
                <w:szCs w:val="24"/>
                <w:lang w:eastAsia="en-GB"/>
              </w:rPr>
            </w:pPr>
            <w:r w:rsidRPr="008619E0">
              <w:rPr>
                <w:rFonts w:ascii="Times New Roman" w:eastAsia="Times New Roman" w:hAnsi="Times New Roman" w:cs="Times New Roman"/>
                <w:color w:val="000000"/>
                <w:sz w:val="24"/>
                <w:szCs w:val="24"/>
                <w:bdr w:val="none" w:sz="0" w:space="0" w:color="auto" w:frame="1"/>
                <w:lang w:eastAsia="en-GB"/>
              </w:rPr>
              <w:t> </w:t>
            </w:r>
          </w:p>
        </w:tc>
      </w:tr>
      <w:tr w:rsidR="00437771" w:rsidRPr="008619E0" w14:paraId="78677FF8" w14:textId="77777777" w:rsidTr="00437771">
        <w:trPr>
          <w:trHeight w:val="290"/>
        </w:trPr>
        <w:tc>
          <w:tcPr>
            <w:tcW w:w="4760" w:type="dxa"/>
            <w:tcMar>
              <w:top w:w="0" w:type="dxa"/>
              <w:left w:w="108" w:type="dxa"/>
              <w:bottom w:w="0" w:type="dxa"/>
              <w:right w:w="108" w:type="dxa"/>
            </w:tcMar>
            <w:vAlign w:val="bottom"/>
            <w:hideMark/>
          </w:tcPr>
          <w:p w14:paraId="32C35C5F" w14:textId="77777777" w:rsidR="00437771" w:rsidRPr="008619E0" w:rsidRDefault="00437771" w:rsidP="00437771">
            <w:pPr>
              <w:spacing w:after="0" w:line="240" w:lineRule="auto"/>
              <w:rPr>
                <w:rFonts w:ascii="Times New Roman" w:eastAsia="Times New Roman" w:hAnsi="Times New Roman" w:cs="Times New Roman"/>
                <w:sz w:val="24"/>
                <w:szCs w:val="24"/>
                <w:lang w:eastAsia="en-GB"/>
              </w:rPr>
            </w:pPr>
            <w:r w:rsidRPr="008619E0">
              <w:rPr>
                <w:rFonts w:ascii="Times New Roman" w:eastAsia="Times New Roman" w:hAnsi="Times New Roman" w:cs="Times New Roman"/>
                <w:b/>
                <w:bCs/>
                <w:color w:val="000000"/>
                <w:sz w:val="24"/>
                <w:szCs w:val="24"/>
                <w:bdr w:val="none" w:sz="0" w:space="0" w:color="auto" w:frame="1"/>
                <w:lang w:eastAsia="en-GB"/>
              </w:rPr>
              <w:t>Predictor</w:t>
            </w:r>
          </w:p>
        </w:tc>
        <w:tc>
          <w:tcPr>
            <w:tcW w:w="480" w:type="dxa"/>
            <w:tcMar>
              <w:top w:w="0" w:type="dxa"/>
              <w:left w:w="108" w:type="dxa"/>
              <w:bottom w:w="0" w:type="dxa"/>
              <w:right w:w="108" w:type="dxa"/>
            </w:tcMar>
            <w:vAlign w:val="bottom"/>
            <w:hideMark/>
          </w:tcPr>
          <w:p w14:paraId="0BBB7158" w14:textId="77777777" w:rsidR="00437771" w:rsidRPr="008619E0" w:rsidRDefault="00437771" w:rsidP="00437771">
            <w:pPr>
              <w:spacing w:after="0" w:line="240" w:lineRule="auto"/>
              <w:rPr>
                <w:rFonts w:ascii="Times New Roman" w:eastAsia="Times New Roman" w:hAnsi="Times New Roman" w:cs="Times New Roman"/>
                <w:sz w:val="24"/>
                <w:szCs w:val="24"/>
                <w:lang w:eastAsia="en-GB"/>
              </w:rPr>
            </w:pPr>
          </w:p>
        </w:tc>
        <w:tc>
          <w:tcPr>
            <w:tcW w:w="1880" w:type="dxa"/>
            <w:gridSpan w:val="2"/>
            <w:tcBorders>
              <w:top w:val="nil"/>
              <w:left w:val="nil"/>
              <w:bottom w:val="single" w:sz="8" w:space="0" w:color="auto"/>
              <w:right w:val="nil"/>
            </w:tcBorders>
            <w:tcMar>
              <w:top w:w="0" w:type="dxa"/>
              <w:left w:w="108" w:type="dxa"/>
              <w:bottom w:w="0" w:type="dxa"/>
              <w:right w:w="108" w:type="dxa"/>
            </w:tcMar>
            <w:vAlign w:val="bottom"/>
            <w:hideMark/>
          </w:tcPr>
          <w:p w14:paraId="30F805BA" w14:textId="77777777" w:rsidR="00437771" w:rsidRPr="008619E0" w:rsidRDefault="00437771" w:rsidP="00437771">
            <w:pPr>
              <w:spacing w:after="0" w:line="240" w:lineRule="auto"/>
              <w:rPr>
                <w:rFonts w:ascii="Times New Roman" w:eastAsia="Times New Roman" w:hAnsi="Times New Roman" w:cs="Times New Roman"/>
                <w:sz w:val="24"/>
                <w:szCs w:val="24"/>
                <w:lang w:eastAsia="en-GB"/>
              </w:rPr>
            </w:pPr>
            <w:r w:rsidRPr="008619E0">
              <w:rPr>
                <w:rFonts w:ascii="Times New Roman" w:eastAsia="Times New Roman" w:hAnsi="Times New Roman" w:cs="Times New Roman"/>
                <w:b/>
                <w:bCs/>
                <w:color w:val="000000"/>
                <w:sz w:val="24"/>
                <w:szCs w:val="24"/>
                <w:bdr w:val="none" w:sz="0" w:space="0" w:color="auto" w:frame="1"/>
                <w:lang w:eastAsia="en-GB"/>
              </w:rPr>
              <w:t>Univariable model</w:t>
            </w:r>
          </w:p>
        </w:tc>
        <w:tc>
          <w:tcPr>
            <w:tcW w:w="960" w:type="dxa"/>
            <w:tcBorders>
              <w:top w:val="nil"/>
              <w:left w:val="nil"/>
              <w:bottom w:val="single" w:sz="8" w:space="0" w:color="auto"/>
              <w:right w:val="nil"/>
            </w:tcBorders>
            <w:tcMar>
              <w:top w:w="0" w:type="dxa"/>
              <w:left w:w="108" w:type="dxa"/>
              <w:bottom w:w="0" w:type="dxa"/>
              <w:right w:w="108" w:type="dxa"/>
            </w:tcMar>
            <w:vAlign w:val="bottom"/>
            <w:hideMark/>
          </w:tcPr>
          <w:p w14:paraId="3600725C" w14:textId="77777777" w:rsidR="00437771" w:rsidRPr="008619E0" w:rsidRDefault="00437771" w:rsidP="00437771">
            <w:pPr>
              <w:spacing w:after="0" w:line="240" w:lineRule="auto"/>
              <w:rPr>
                <w:rFonts w:ascii="Times New Roman" w:eastAsia="Times New Roman" w:hAnsi="Times New Roman" w:cs="Times New Roman"/>
                <w:sz w:val="24"/>
                <w:szCs w:val="24"/>
                <w:lang w:eastAsia="en-GB"/>
              </w:rPr>
            </w:pPr>
            <w:r w:rsidRPr="008619E0">
              <w:rPr>
                <w:rFonts w:ascii="Times New Roman" w:eastAsia="Times New Roman" w:hAnsi="Times New Roman" w:cs="Times New Roman"/>
                <w:color w:val="000000"/>
                <w:sz w:val="24"/>
                <w:szCs w:val="24"/>
                <w:bdr w:val="none" w:sz="0" w:space="0" w:color="auto" w:frame="1"/>
                <w:lang w:eastAsia="en-GB"/>
              </w:rPr>
              <w:t> </w:t>
            </w:r>
          </w:p>
        </w:tc>
        <w:tc>
          <w:tcPr>
            <w:tcW w:w="160" w:type="dxa"/>
            <w:tcMar>
              <w:top w:w="0" w:type="dxa"/>
              <w:left w:w="108" w:type="dxa"/>
              <w:bottom w:w="0" w:type="dxa"/>
              <w:right w:w="108" w:type="dxa"/>
            </w:tcMar>
            <w:vAlign w:val="bottom"/>
            <w:hideMark/>
          </w:tcPr>
          <w:p w14:paraId="4A2FF954" w14:textId="77777777" w:rsidR="00437771" w:rsidRPr="008619E0" w:rsidRDefault="00437771" w:rsidP="00437771">
            <w:pPr>
              <w:spacing w:after="0" w:line="240" w:lineRule="auto"/>
              <w:rPr>
                <w:rFonts w:ascii="Times New Roman" w:eastAsia="Times New Roman" w:hAnsi="Times New Roman" w:cs="Times New Roman"/>
                <w:sz w:val="24"/>
                <w:szCs w:val="24"/>
                <w:lang w:eastAsia="en-GB"/>
              </w:rPr>
            </w:pPr>
          </w:p>
        </w:tc>
        <w:tc>
          <w:tcPr>
            <w:tcW w:w="2360" w:type="dxa"/>
            <w:gridSpan w:val="2"/>
            <w:tcBorders>
              <w:top w:val="nil"/>
              <w:left w:val="nil"/>
              <w:bottom w:val="single" w:sz="8" w:space="0" w:color="auto"/>
              <w:right w:val="nil"/>
            </w:tcBorders>
            <w:tcMar>
              <w:top w:w="0" w:type="dxa"/>
              <w:left w:w="108" w:type="dxa"/>
              <w:bottom w:w="0" w:type="dxa"/>
              <w:right w:w="108" w:type="dxa"/>
            </w:tcMar>
            <w:vAlign w:val="bottom"/>
            <w:hideMark/>
          </w:tcPr>
          <w:p w14:paraId="2D7CF76A" w14:textId="77777777" w:rsidR="00437771" w:rsidRPr="008619E0" w:rsidRDefault="00437771" w:rsidP="00437771">
            <w:pPr>
              <w:spacing w:after="0" w:line="240" w:lineRule="auto"/>
              <w:rPr>
                <w:rFonts w:ascii="Times New Roman" w:eastAsia="Times New Roman" w:hAnsi="Times New Roman" w:cs="Times New Roman"/>
                <w:sz w:val="24"/>
                <w:szCs w:val="24"/>
                <w:lang w:eastAsia="en-GB"/>
              </w:rPr>
            </w:pPr>
            <w:r w:rsidRPr="008619E0">
              <w:rPr>
                <w:rFonts w:ascii="Times New Roman" w:eastAsia="Times New Roman" w:hAnsi="Times New Roman" w:cs="Times New Roman"/>
                <w:b/>
                <w:bCs/>
                <w:color w:val="000000"/>
                <w:sz w:val="24"/>
                <w:szCs w:val="24"/>
                <w:bdr w:val="none" w:sz="0" w:space="0" w:color="auto" w:frame="1"/>
                <w:lang w:eastAsia="en-GB"/>
              </w:rPr>
              <w:t>Multivariable model</w:t>
            </w:r>
          </w:p>
        </w:tc>
        <w:tc>
          <w:tcPr>
            <w:tcW w:w="960" w:type="dxa"/>
            <w:tcBorders>
              <w:top w:val="nil"/>
              <w:left w:val="nil"/>
              <w:bottom w:val="single" w:sz="8" w:space="0" w:color="auto"/>
              <w:right w:val="nil"/>
            </w:tcBorders>
            <w:tcMar>
              <w:top w:w="0" w:type="dxa"/>
              <w:left w:w="108" w:type="dxa"/>
              <w:bottom w:w="0" w:type="dxa"/>
              <w:right w:w="108" w:type="dxa"/>
            </w:tcMar>
            <w:vAlign w:val="bottom"/>
            <w:hideMark/>
          </w:tcPr>
          <w:p w14:paraId="2E2C6690" w14:textId="77777777" w:rsidR="00437771" w:rsidRPr="008619E0" w:rsidRDefault="00437771" w:rsidP="00437771">
            <w:pPr>
              <w:spacing w:after="0" w:line="240" w:lineRule="auto"/>
              <w:rPr>
                <w:rFonts w:ascii="Times New Roman" w:eastAsia="Times New Roman" w:hAnsi="Times New Roman" w:cs="Times New Roman"/>
                <w:sz w:val="24"/>
                <w:szCs w:val="24"/>
                <w:lang w:eastAsia="en-GB"/>
              </w:rPr>
            </w:pPr>
            <w:r w:rsidRPr="008619E0">
              <w:rPr>
                <w:rFonts w:ascii="Times New Roman" w:eastAsia="Times New Roman" w:hAnsi="Times New Roman" w:cs="Times New Roman"/>
                <w:color w:val="000000"/>
                <w:sz w:val="24"/>
                <w:szCs w:val="24"/>
                <w:bdr w:val="none" w:sz="0" w:space="0" w:color="auto" w:frame="1"/>
                <w:lang w:eastAsia="en-GB"/>
              </w:rPr>
              <w:t> </w:t>
            </w:r>
          </w:p>
        </w:tc>
      </w:tr>
      <w:tr w:rsidR="00437771" w:rsidRPr="008619E0" w14:paraId="79ADDCF1" w14:textId="77777777" w:rsidTr="00437771">
        <w:trPr>
          <w:trHeight w:val="290"/>
        </w:trPr>
        <w:tc>
          <w:tcPr>
            <w:tcW w:w="4760" w:type="dxa"/>
            <w:tcBorders>
              <w:top w:val="nil"/>
              <w:left w:val="nil"/>
              <w:bottom w:val="single" w:sz="8" w:space="0" w:color="auto"/>
              <w:right w:val="nil"/>
            </w:tcBorders>
            <w:tcMar>
              <w:top w:w="0" w:type="dxa"/>
              <w:left w:w="108" w:type="dxa"/>
              <w:bottom w:w="0" w:type="dxa"/>
              <w:right w:w="108" w:type="dxa"/>
            </w:tcMar>
            <w:vAlign w:val="bottom"/>
            <w:hideMark/>
          </w:tcPr>
          <w:p w14:paraId="35A54F3F" w14:textId="77777777" w:rsidR="00437771" w:rsidRPr="008619E0" w:rsidRDefault="00437771" w:rsidP="00437771">
            <w:pPr>
              <w:spacing w:after="0" w:line="240" w:lineRule="auto"/>
              <w:rPr>
                <w:rFonts w:ascii="Times New Roman" w:eastAsia="Times New Roman" w:hAnsi="Times New Roman" w:cs="Times New Roman"/>
                <w:sz w:val="24"/>
                <w:szCs w:val="24"/>
                <w:lang w:eastAsia="en-GB"/>
              </w:rPr>
            </w:pPr>
            <w:r w:rsidRPr="008619E0">
              <w:rPr>
                <w:rFonts w:ascii="Times New Roman" w:eastAsia="Times New Roman" w:hAnsi="Times New Roman" w:cs="Times New Roman"/>
                <w:color w:val="000000"/>
                <w:sz w:val="24"/>
                <w:szCs w:val="24"/>
                <w:bdr w:val="none" w:sz="0" w:space="0" w:color="auto" w:frame="1"/>
                <w:lang w:eastAsia="en-GB"/>
              </w:rPr>
              <w:t> </w:t>
            </w:r>
          </w:p>
        </w:tc>
        <w:tc>
          <w:tcPr>
            <w:tcW w:w="480" w:type="dxa"/>
            <w:tcBorders>
              <w:top w:val="nil"/>
              <w:left w:val="nil"/>
              <w:bottom w:val="single" w:sz="8" w:space="0" w:color="auto"/>
              <w:right w:val="nil"/>
            </w:tcBorders>
            <w:tcMar>
              <w:top w:w="0" w:type="dxa"/>
              <w:left w:w="108" w:type="dxa"/>
              <w:bottom w:w="0" w:type="dxa"/>
              <w:right w:w="108" w:type="dxa"/>
            </w:tcMar>
            <w:vAlign w:val="bottom"/>
            <w:hideMark/>
          </w:tcPr>
          <w:p w14:paraId="21DDEAFF" w14:textId="77777777" w:rsidR="00437771" w:rsidRPr="008619E0" w:rsidRDefault="00437771" w:rsidP="00437771">
            <w:pPr>
              <w:spacing w:after="0" w:line="240" w:lineRule="auto"/>
              <w:rPr>
                <w:rFonts w:ascii="Times New Roman" w:eastAsia="Times New Roman" w:hAnsi="Times New Roman" w:cs="Times New Roman"/>
                <w:sz w:val="24"/>
                <w:szCs w:val="24"/>
                <w:lang w:eastAsia="en-GB"/>
              </w:rPr>
            </w:pPr>
            <w:r w:rsidRPr="008619E0">
              <w:rPr>
                <w:rFonts w:ascii="Times New Roman" w:eastAsia="Times New Roman" w:hAnsi="Times New Roman" w:cs="Times New Roman"/>
                <w:color w:val="000000"/>
                <w:sz w:val="24"/>
                <w:szCs w:val="24"/>
                <w:bdr w:val="none" w:sz="0" w:space="0" w:color="auto" w:frame="1"/>
                <w:lang w:eastAsia="en-GB"/>
              </w:rPr>
              <w:t> </w:t>
            </w:r>
          </w:p>
        </w:tc>
        <w:tc>
          <w:tcPr>
            <w:tcW w:w="480" w:type="dxa"/>
            <w:tcBorders>
              <w:top w:val="nil"/>
              <w:left w:val="nil"/>
              <w:bottom w:val="single" w:sz="8" w:space="0" w:color="auto"/>
              <w:right w:val="nil"/>
            </w:tcBorders>
            <w:tcMar>
              <w:top w:w="0" w:type="dxa"/>
              <w:left w:w="108" w:type="dxa"/>
              <w:bottom w:w="0" w:type="dxa"/>
              <w:right w:w="108" w:type="dxa"/>
            </w:tcMar>
            <w:vAlign w:val="bottom"/>
            <w:hideMark/>
          </w:tcPr>
          <w:p w14:paraId="598CFA93" w14:textId="77777777" w:rsidR="00437771" w:rsidRPr="008619E0" w:rsidRDefault="00437771" w:rsidP="00437771">
            <w:pPr>
              <w:spacing w:after="0" w:line="240" w:lineRule="auto"/>
              <w:jc w:val="right"/>
              <w:rPr>
                <w:rFonts w:ascii="Times New Roman" w:eastAsia="Times New Roman" w:hAnsi="Times New Roman" w:cs="Times New Roman"/>
                <w:sz w:val="24"/>
                <w:szCs w:val="24"/>
                <w:lang w:eastAsia="en-GB"/>
              </w:rPr>
            </w:pPr>
            <w:r w:rsidRPr="008619E0">
              <w:rPr>
                <w:rFonts w:ascii="Times New Roman" w:eastAsia="Times New Roman" w:hAnsi="Times New Roman" w:cs="Times New Roman"/>
                <w:color w:val="000000"/>
                <w:sz w:val="24"/>
                <w:szCs w:val="24"/>
                <w:bdr w:val="none" w:sz="0" w:space="0" w:color="auto" w:frame="1"/>
                <w:lang w:eastAsia="en-GB"/>
              </w:rPr>
              <w:t>HR</w:t>
            </w:r>
          </w:p>
        </w:tc>
        <w:tc>
          <w:tcPr>
            <w:tcW w:w="1400" w:type="dxa"/>
            <w:tcBorders>
              <w:top w:val="nil"/>
              <w:left w:val="nil"/>
              <w:bottom w:val="single" w:sz="8" w:space="0" w:color="auto"/>
              <w:right w:val="nil"/>
            </w:tcBorders>
            <w:tcMar>
              <w:top w:w="0" w:type="dxa"/>
              <w:left w:w="108" w:type="dxa"/>
              <w:bottom w:w="0" w:type="dxa"/>
              <w:right w:w="108" w:type="dxa"/>
            </w:tcMar>
            <w:vAlign w:val="bottom"/>
            <w:hideMark/>
          </w:tcPr>
          <w:p w14:paraId="1075AD40" w14:textId="77777777" w:rsidR="00437771" w:rsidRPr="008619E0" w:rsidRDefault="00437771" w:rsidP="00437771">
            <w:pPr>
              <w:spacing w:after="0" w:line="240" w:lineRule="auto"/>
              <w:jc w:val="right"/>
              <w:rPr>
                <w:rFonts w:ascii="Times New Roman" w:eastAsia="Times New Roman" w:hAnsi="Times New Roman" w:cs="Times New Roman"/>
                <w:sz w:val="24"/>
                <w:szCs w:val="24"/>
                <w:lang w:eastAsia="en-GB"/>
              </w:rPr>
            </w:pPr>
            <w:r w:rsidRPr="008619E0">
              <w:rPr>
                <w:rFonts w:ascii="Times New Roman" w:eastAsia="Times New Roman" w:hAnsi="Times New Roman" w:cs="Times New Roman"/>
                <w:color w:val="000000"/>
                <w:sz w:val="24"/>
                <w:szCs w:val="24"/>
                <w:bdr w:val="none" w:sz="0" w:space="0" w:color="auto" w:frame="1"/>
                <w:lang w:eastAsia="en-GB"/>
              </w:rPr>
              <w:t>95% CI</w:t>
            </w:r>
          </w:p>
        </w:tc>
        <w:tc>
          <w:tcPr>
            <w:tcW w:w="960" w:type="dxa"/>
            <w:tcBorders>
              <w:top w:val="nil"/>
              <w:left w:val="nil"/>
              <w:bottom w:val="single" w:sz="8" w:space="0" w:color="auto"/>
              <w:right w:val="nil"/>
            </w:tcBorders>
            <w:tcMar>
              <w:top w:w="0" w:type="dxa"/>
              <w:left w:w="108" w:type="dxa"/>
              <w:bottom w:w="0" w:type="dxa"/>
              <w:right w:w="108" w:type="dxa"/>
            </w:tcMar>
            <w:vAlign w:val="bottom"/>
            <w:hideMark/>
          </w:tcPr>
          <w:p w14:paraId="0D842D8B" w14:textId="77777777" w:rsidR="00437771" w:rsidRPr="008619E0" w:rsidRDefault="00437771" w:rsidP="00437771">
            <w:pPr>
              <w:spacing w:after="0" w:line="240" w:lineRule="auto"/>
              <w:jc w:val="right"/>
              <w:rPr>
                <w:rFonts w:ascii="Times New Roman" w:eastAsia="Times New Roman" w:hAnsi="Times New Roman" w:cs="Times New Roman"/>
                <w:sz w:val="24"/>
                <w:szCs w:val="24"/>
                <w:lang w:eastAsia="en-GB"/>
              </w:rPr>
            </w:pPr>
            <w:r w:rsidRPr="008619E0">
              <w:rPr>
                <w:rFonts w:ascii="Times New Roman" w:eastAsia="Times New Roman" w:hAnsi="Times New Roman" w:cs="Times New Roman"/>
                <w:color w:val="000000"/>
                <w:sz w:val="24"/>
                <w:szCs w:val="24"/>
                <w:bdr w:val="none" w:sz="0" w:space="0" w:color="auto" w:frame="1"/>
                <w:lang w:eastAsia="en-GB"/>
              </w:rPr>
              <w:t>P value</w:t>
            </w:r>
          </w:p>
        </w:tc>
        <w:tc>
          <w:tcPr>
            <w:tcW w:w="160" w:type="dxa"/>
            <w:tcBorders>
              <w:top w:val="nil"/>
              <w:left w:val="nil"/>
              <w:bottom w:val="single" w:sz="8" w:space="0" w:color="auto"/>
              <w:right w:val="nil"/>
            </w:tcBorders>
            <w:tcMar>
              <w:top w:w="0" w:type="dxa"/>
              <w:left w:w="108" w:type="dxa"/>
              <w:bottom w:w="0" w:type="dxa"/>
              <w:right w:w="108" w:type="dxa"/>
            </w:tcMar>
            <w:vAlign w:val="bottom"/>
            <w:hideMark/>
          </w:tcPr>
          <w:p w14:paraId="22D3F74D" w14:textId="77777777" w:rsidR="00437771" w:rsidRPr="008619E0" w:rsidRDefault="00437771" w:rsidP="00437771">
            <w:pPr>
              <w:spacing w:after="0" w:line="240" w:lineRule="auto"/>
              <w:rPr>
                <w:rFonts w:ascii="Times New Roman" w:eastAsia="Times New Roman" w:hAnsi="Times New Roman" w:cs="Times New Roman"/>
                <w:sz w:val="24"/>
                <w:szCs w:val="24"/>
                <w:lang w:eastAsia="en-GB"/>
              </w:rPr>
            </w:pPr>
            <w:r w:rsidRPr="008619E0">
              <w:rPr>
                <w:rFonts w:ascii="Times New Roman" w:eastAsia="Times New Roman" w:hAnsi="Times New Roman" w:cs="Times New Roman"/>
                <w:color w:val="000000"/>
                <w:sz w:val="24"/>
                <w:szCs w:val="24"/>
                <w:bdr w:val="none" w:sz="0" w:space="0" w:color="auto" w:frame="1"/>
                <w:lang w:eastAsia="en-GB"/>
              </w:rPr>
              <w:t> </w:t>
            </w:r>
          </w:p>
        </w:tc>
        <w:tc>
          <w:tcPr>
            <w:tcW w:w="960" w:type="dxa"/>
            <w:tcBorders>
              <w:top w:val="nil"/>
              <w:left w:val="nil"/>
              <w:bottom w:val="single" w:sz="8" w:space="0" w:color="auto"/>
              <w:right w:val="nil"/>
            </w:tcBorders>
            <w:tcMar>
              <w:top w:w="0" w:type="dxa"/>
              <w:left w:w="108" w:type="dxa"/>
              <w:bottom w:w="0" w:type="dxa"/>
              <w:right w:w="108" w:type="dxa"/>
            </w:tcMar>
            <w:vAlign w:val="bottom"/>
            <w:hideMark/>
          </w:tcPr>
          <w:p w14:paraId="38C31B97" w14:textId="77777777" w:rsidR="00437771" w:rsidRPr="008619E0" w:rsidRDefault="00437771" w:rsidP="00437771">
            <w:pPr>
              <w:spacing w:after="0" w:line="240" w:lineRule="auto"/>
              <w:jc w:val="right"/>
              <w:rPr>
                <w:rFonts w:ascii="Times New Roman" w:eastAsia="Times New Roman" w:hAnsi="Times New Roman" w:cs="Times New Roman"/>
                <w:sz w:val="24"/>
                <w:szCs w:val="24"/>
                <w:lang w:eastAsia="en-GB"/>
              </w:rPr>
            </w:pPr>
            <w:r w:rsidRPr="008619E0">
              <w:rPr>
                <w:rFonts w:ascii="Times New Roman" w:eastAsia="Times New Roman" w:hAnsi="Times New Roman" w:cs="Times New Roman"/>
                <w:color w:val="000000"/>
                <w:sz w:val="24"/>
                <w:szCs w:val="24"/>
                <w:bdr w:val="none" w:sz="0" w:space="0" w:color="auto" w:frame="1"/>
                <w:lang w:eastAsia="en-GB"/>
              </w:rPr>
              <w:t>HR</w:t>
            </w:r>
          </w:p>
        </w:tc>
        <w:tc>
          <w:tcPr>
            <w:tcW w:w="1400" w:type="dxa"/>
            <w:tcBorders>
              <w:top w:val="nil"/>
              <w:left w:val="nil"/>
              <w:bottom w:val="single" w:sz="8" w:space="0" w:color="auto"/>
              <w:right w:val="nil"/>
            </w:tcBorders>
            <w:tcMar>
              <w:top w:w="0" w:type="dxa"/>
              <w:left w:w="108" w:type="dxa"/>
              <w:bottom w:w="0" w:type="dxa"/>
              <w:right w:w="108" w:type="dxa"/>
            </w:tcMar>
            <w:vAlign w:val="bottom"/>
            <w:hideMark/>
          </w:tcPr>
          <w:p w14:paraId="300648CC" w14:textId="77777777" w:rsidR="00437771" w:rsidRPr="008619E0" w:rsidRDefault="00437771" w:rsidP="00437771">
            <w:pPr>
              <w:spacing w:after="0" w:line="240" w:lineRule="auto"/>
              <w:jc w:val="right"/>
              <w:rPr>
                <w:rFonts w:ascii="Times New Roman" w:eastAsia="Times New Roman" w:hAnsi="Times New Roman" w:cs="Times New Roman"/>
                <w:sz w:val="24"/>
                <w:szCs w:val="24"/>
                <w:lang w:eastAsia="en-GB"/>
              </w:rPr>
            </w:pPr>
            <w:r w:rsidRPr="008619E0">
              <w:rPr>
                <w:rFonts w:ascii="Times New Roman" w:eastAsia="Times New Roman" w:hAnsi="Times New Roman" w:cs="Times New Roman"/>
                <w:color w:val="000000"/>
                <w:sz w:val="24"/>
                <w:szCs w:val="24"/>
                <w:bdr w:val="none" w:sz="0" w:space="0" w:color="auto" w:frame="1"/>
                <w:lang w:eastAsia="en-GB"/>
              </w:rPr>
              <w:t>95%CI</w:t>
            </w:r>
          </w:p>
        </w:tc>
        <w:tc>
          <w:tcPr>
            <w:tcW w:w="960" w:type="dxa"/>
            <w:tcBorders>
              <w:top w:val="nil"/>
              <w:left w:val="nil"/>
              <w:bottom w:val="single" w:sz="8" w:space="0" w:color="auto"/>
              <w:right w:val="nil"/>
            </w:tcBorders>
            <w:tcMar>
              <w:top w:w="0" w:type="dxa"/>
              <w:left w:w="108" w:type="dxa"/>
              <w:bottom w:w="0" w:type="dxa"/>
              <w:right w:w="108" w:type="dxa"/>
            </w:tcMar>
            <w:vAlign w:val="bottom"/>
            <w:hideMark/>
          </w:tcPr>
          <w:p w14:paraId="7C2384E2" w14:textId="77777777" w:rsidR="00437771" w:rsidRPr="008619E0" w:rsidRDefault="00437771" w:rsidP="00437771">
            <w:pPr>
              <w:spacing w:after="0" w:line="240" w:lineRule="auto"/>
              <w:jc w:val="right"/>
              <w:rPr>
                <w:rFonts w:ascii="Times New Roman" w:eastAsia="Times New Roman" w:hAnsi="Times New Roman" w:cs="Times New Roman"/>
                <w:sz w:val="24"/>
                <w:szCs w:val="24"/>
                <w:lang w:eastAsia="en-GB"/>
              </w:rPr>
            </w:pPr>
            <w:r w:rsidRPr="008619E0">
              <w:rPr>
                <w:rFonts w:ascii="Times New Roman" w:eastAsia="Times New Roman" w:hAnsi="Times New Roman" w:cs="Times New Roman"/>
                <w:color w:val="000000"/>
                <w:sz w:val="24"/>
                <w:szCs w:val="24"/>
                <w:bdr w:val="none" w:sz="0" w:space="0" w:color="auto" w:frame="1"/>
                <w:lang w:eastAsia="en-GB"/>
              </w:rPr>
              <w:t>P value</w:t>
            </w:r>
          </w:p>
        </w:tc>
      </w:tr>
      <w:tr w:rsidR="00437771" w:rsidRPr="008619E0" w14:paraId="5E92A81F" w14:textId="77777777" w:rsidTr="00437771">
        <w:trPr>
          <w:trHeight w:val="290"/>
        </w:trPr>
        <w:tc>
          <w:tcPr>
            <w:tcW w:w="4760" w:type="dxa"/>
            <w:tcMar>
              <w:top w:w="0" w:type="dxa"/>
              <w:left w:w="108" w:type="dxa"/>
              <w:bottom w:w="0" w:type="dxa"/>
              <w:right w:w="108" w:type="dxa"/>
            </w:tcMar>
            <w:vAlign w:val="bottom"/>
            <w:hideMark/>
          </w:tcPr>
          <w:p w14:paraId="1E01F9B9" w14:textId="77777777" w:rsidR="00437771" w:rsidRPr="008619E0" w:rsidRDefault="00437771" w:rsidP="00437771">
            <w:pPr>
              <w:spacing w:after="0" w:line="240" w:lineRule="auto"/>
              <w:rPr>
                <w:rFonts w:ascii="Times New Roman" w:eastAsia="Times New Roman" w:hAnsi="Times New Roman" w:cs="Times New Roman"/>
                <w:sz w:val="24"/>
                <w:szCs w:val="24"/>
                <w:lang w:eastAsia="en-GB"/>
              </w:rPr>
            </w:pPr>
            <w:r w:rsidRPr="008619E0">
              <w:rPr>
                <w:rFonts w:ascii="Times New Roman" w:eastAsia="Times New Roman" w:hAnsi="Times New Roman" w:cs="Times New Roman"/>
                <w:color w:val="000000"/>
                <w:sz w:val="24"/>
                <w:szCs w:val="24"/>
                <w:bdr w:val="none" w:sz="0" w:space="0" w:color="auto" w:frame="1"/>
                <w:lang w:eastAsia="en-GB"/>
              </w:rPr>
              <w:t>Age at repair (months)</w:t>
            </w:r>
          </w:p>
        </w:tc>
        <w:tc>
          <w:tcPr>
            <w:tcW w:w="480" w:type="dxa"/>
            <w:tcMar>
              <w:top w:w="0" w:type="dxa"/>
              <w:left w:w="108" w:type="dxa"/>
              <w:bottom w:w="0" w:type="dxa"/>
              <w:right w:w="108" w:type="dxa"/>
            </w:tcMar>
            <w:vAlign w:val="bottom"/>
            <w:hideMark/>
          </w:tcPr>
          <w:p w14:paraId="4CD5DE89" w14:textId="77777777" w:rsidR="00437771" w:rsidRPr="008619E0" w:rsidRDefault="00437771" w:rsidP="00437771">
            <w:pPr>
              <w:spacing w:after="0" w:line="240" w:lineRule="auto"/>
              <w:rPr>
                <w:rFonts w:ascii="Times New Roman" w:eastAsia="Times New Roman" w:hAnsi="Times New Roman" w:cs="Times New Roman"/>
                <w:sz w:val="24"/>
                <w:szCs w:val="24"/>
                <w:lang w:eastAsia="en-GB"/>
              </w:rPr>
            </w:pPr>
          </w:p>
        </w:tc>
        <w:tc>
          <w:tcPr>
            <w:tcW w:w="480" w:type="dxa"/>
            <w:tcMar>
              <w:top w:w="0" w:type="dxa"/>
              <w:left w:w="108" w:type="dxa"/>
              <w:bottom w:w="0" w:type="dxa"/>
              <w:right w:w="108" w:type="dxa"/>
            </w:tcMar>
            <w:vAlign w:val="bottom"/>
            <w:hideMark/>
          </w:tcPr>
          <w:p w14:paraId="43C70DAE" w14:textId="77777777" w:rsidR="00437771" w:rsidRPr="008619E0" w:rsidRDefault="00437771" w:rsidP="00437771">
            <w:pPr>
              <w:spacing w:after="0" w:line="240" w:lineRule="auto"/>
              <w:jc w:val="right"/>
              <w:rPr>
                <w:rFonts w:ascii="Times New Roman" w:eastAsia="Times New Roman" w:hAnsi="Times New Roman" w:cs="Times New Roman"/>
                <w:sz w:val="24"/>
                <w:szCs w:val="24"/>
                <w:lang w:eastAsia="en-GB"/>
              </w:rPr>
            </w:pPr>
            <w:r w:rsidRPr="008619E0">
              <w:rPr>
                <w:rFonts w:ascii="Times New Roman" w:eastAsia="Times New Roman" w:hAnsi="Times New Roman" w:cs="Times New Roman"/>
                <w:color w:val="000000"/>
                <w:sz w:val="24"/>
                <w:szCs w:val="24"/>
                <w:bdr w:val="none" w:sz="0" w:space="0" w:color="auto" w:frame="1"/>
                <w:lang w:eastAsia="en-GB"/>
              </w:rPr>
              <w:t>1.000</w:t>
            </w:r>
          </w:p>
        </w:tc>
        <w:tc>
          <w:tcPr>
            <w:tcW w:w="1400" w:type="dxa"/>
            <w:tcMar>
              <w:top w:w="0" w:type="dxa"/>
              <w:left w:w="108" w:type="dxa"/>
              <w:bottom w:w="0" w:type="dxa"/>
              <w:right w:w="108" w:type="dxa"/>
            </w:tcMar>
            <w:vAlign w:val="bottom"/>
            <w:hideMark/>
          </w:tcPr>
          <w:p w14:paraId="466492DE" w14:textId="77777777" w:rsidR="00437771" w:rsidRPr="008619E0" w:rsidRDefault="00437771" w:rsidP="00437771">
            <w:pPr>
              <w:spacing w:after="0" w:line="240" w:lineRule="auto"/>
              <w:jc w:val="right"/>
              <w:rPr>
                <w:rFonts w:ascii="Times New Roman" w:eastAsia="Times New Roman" w:hAnsi="Times New Roman" w:cs="Times New Roman"/>
                <w:sz w:val="24"/>
                <w:szCs w:val="24"/>
                <w:lang w:eastAsia="en-GB"/>
              </w:rPr>
            </w:pPr>
            <w:r w:rsidRPr="008619E0">
              <w:rPr>
                <w:rFonts w:ascii="Times New Roman" w:eastAsia="Times New Roman" w:hAnsi="Times New Roman" w:cs="Times New Roman"/>
                <w:color w:val="000000"/>
                <w:sz w:val="24"/>
                <w:szCs w:val="24"/>
                <w:bdr w:val="none" w:sz="0" w:space="0" w:color="auto" w:frame="1"/>
                <w:lang w:eastAsia="en-GB"/>
              </w:rPr>
              <w:t>0.9934 - 1.009</w:t>
            </w:r>
          </w:p>
        </w:tc>
        <w:tc>
          <w:tcPr>
            <w:tcW w:w="960" w:type="dxa"/>
            <w:tcMar>
              <w:top w:w="0" w:type="dxa"/>
              <w:left w:w="108" w:type="dxa"/>
              <w:bottom w:w="0" w:type="dxa"/>
              <w:right w:w="108" w:type="dxa"/>
            </w:tcMar>
            <w:vAlign w:val="bottom"/>
            <w:hideMark/>
          </w:tcPr>
          <w:p w14:paraId="1B633381" w14:textId="77777777" w:rsidR="00437771" w:rsidRPr="008619E0" w:rsidRDefault="00437771" w:rsidP="00437771">
            <w:pPr>
              <w:spacing w:after="0" w:line="240" w:lineRule="auto"/>
              <w:jc w:val="right"/>
              <w:rPr>
                <w:rFonts w:ascii="Times New Roman" w:eastAsia="Times New Roman" w:hAnsi="Times New Roman" w:cs="Times New Roman"/>
                <w:sz w:val="24"/>
                <w:szCs w:val="24"/>
                <w:lang w:eastAsia="en-GB"/>
              </w:rPr>
            </w:pPr>
            <w:r w:rsidRPr="008619E0">
              <w:rPr>
                <w:rFonts w:ascii="Times New Roman" w:eastAsia="Times New Roman" w:hAnsi="Times New Roman" w:cs="Times New Roman"/>
                <w:color w:val="000000"/>
                <w:sz w:val="24"/>
                <w:szCs w:val="24"/>
                <w:bdr w:val="none" w:sz="0" w:space="0" w:color="auto" w:frame="1"/>
                <w:lang w:eastAsia="en-GB"/>
              </w:rPr>
              <w:t>0.713</w:t>
            </w:r>
          </w:p>
        </w:tc>
        <w:tc>
          <w:tcPr>
            <w:tcW w:w="160" w:type="dxa"/>
            <w:tcMar>
              <w:top w:w="0" w:type="dxa"/>
              <w:left w:w="108" w:type="dxa"/>
              <w:bottom w:w="0" w:type="dxa"/>
              <w:right w:w="108" w:type="dxa"/>
            </w:tcMar>
            <w:vAlign w:val="bottom"/>
            <w:hideMark/>
          </w:tcPr>
          <w:p w14:paraId="47BBA212" w14:textId="77777777" w:rsidR="00437771" w:rsidRPr="008619E0" w:rsidRDefault="00437771" w:rsidP="00437771">
            <w:pPr>
              <w:spacing w:after="0" w:line="240" w:lineRule="auto"/>
              <w:rPr>
                <w:rFonts w:ascii="Times New Roman" w:eastAsia="Times New Roman" w:hAnsi="Times New Roman" w:cs="Times New Roman"/>
                <w:sz w:val="24"/>
                <w:szCs w:val="24"/>
                <w:lang w:eastAsia="en-GB"/>
              </w:rPr>
            </w:pPr>
          </w:p>
        </w:tc>
        <w:tc>
          <w:tcPr>
            <w:tcW w:w="960" w:type="dxa"/>
            <w:tcMar>
              <w:top w:w="0" w:type="dxa"/>
              <w:left w:w="108" w:type="dxa"/>
              <w:bottom w:w="0" w:type="dxa"/>
              <w:right w:w="108" w:type="dxa"/>
            </w:tcMar>
            <w:vAlign w:val="bottom"/>
            <w:hideMark/>
          </w:tcPr>
          <w:p w14:paraId="04456DF3" w14:textId="77777777" w:rsidR="00437771" w:rsidRPr="008619E0" w:rsidRDefault="00437771" w:rsidP="00437771">
            <w:pPr>
              <w:spacing w:after="0" w:line="240" w:lineRule="auto"/>
              <w:rPr>
                <w:rFonts w:ascii="Times New Roman" w:eastAsia="Times New Roman" w:hAnsi="Times New Roman" w:cs="Times New Roman"/>
                <w:sz w:val="24"/>
                <w:szCs w:val="24"/>
                <w:lang w:eastAsia="en-GB"/>
              </w:rPr>
            </w:pPr>
          </w:p>
        </w:tc>
        <w:tc>
          <w:tcPr>
            <w:tcW w:w="1400" w:type="dxa"/>
            <w:tcMar>
              <w:top w:w="0" w:type="dxa"/>
              <w:left w:w="108" w:type="dxa"/>
              <w:bottom w:w="0" w:type="dxa"/>
              <w:right w:w="108" w:type="dxa"/>
            </w:tcMar>
            <w:vAlign w:val="bottom"/>
            <w:hideMark/>
          </w:tcPr>
          <w:p w14:paraId="7697BBD8" w14:textId="77777777" w:rsidR="00437771" w:rsidRPr="008619E0" w:rsidRDefault="00437771" w:rsidP="00437771">
            <w:pPr>
              <w:spacing w:after="0" w:line="240" w:lineRule="auto"/>
              <w:rPr>
                <w:rFonts w:ascii="Times New Roman" w:eastAsia="Times New Roman" w:hAnsi="Times New Roman" w:cs="Times New Roman"/>
                <w:sz w:val="24"/>
                <w:szCs w:val="24"/>
                <w:lang w:eastAsia="en-GB"/>
              </w:rPr>
            </w:pPr>
          </w:p>
        </w:tc>
        <w:tc>
          <w:tcPr>
            <w:tcW w:w="960" w:type="dxa"/>
            <w:tcMar>
              <w:top w:w="0" w:type="dxa"/>
              <w:left w:w="108" w:type="dxa"/>
              <w:bottom w:w="0" w:type="dxa"/>
              <w:right w:w="108" w:type="dxa"/>
            </w:tcMar>
            <w:vAlign w:val="bottom"/>
            <w:hideMark/>
          </w:tcPr>
          <w:p w14:paraId="360E52FE" w14:textId="77777777" w:rsidR="00437771" w:rsidRPr="008619E0" w:rsidRDefault="00437771" w:rsidP="00437771">
            <w:pPr>
              <w:spacing w:after="0" w:line="240" w:lineRule="auto"/>
              <w:rPr>
                <w:rFonts w:ascii="Times New Roman" w:eastAsia="Times New Roman" w:hAnsi="Times New Roman" w:cs="Times New Roman"/>
                <w:sz w:val="24"/>
                <w:szCs w:val="24"/>
                <w:lang w:eastAsia="en-GB"/>
              </w:rPr>
            </w:pPr>
          </w:p>
        </w:tc>
      </w:tr>
      <w:tr w:rsidR="00437771" w:rsidRPr="008619E0" w14:paraId="086B3F00" w14:textId="77777777" w:rsidTr="00437771">
        <w:trPr>
          <w:trHeight w:val="290"/>
        </w:trPr>
        <w:tc>
          <w:tcPr>
            <w:tcW w:w="4760" w:type="dxa"/>
            <w:tcMar>
              <w:top w:w="0" w:type="dxa"/>
              <w:left w:w="108" w:type="dxa"/>
              <w:bottom w:w="0" w:type="dxa"/>
              <w:right w:w="108" w:type="dxa"/>
            </w:tcMar>
            <w:vAlign w:val="bottom"/>
            <w:hideMark/>
          </w:tcPr>
          <w:p w14:paraId="3B48A2E6" w14:textId="77777777" w:rsidR="00437771" w:rsidRPr="008619E0" w:rsidRDefault="00437771" w:rsidP="00437771">
            <w:pPr>
              <w:spacing w:after="0" w:line="240" w:lineRule="auto"/>
              <w:rPr>
                <w:rFonts w:ascii="Times New Roman" w:eastAsia="Times New Roman" w:hAnsi="Times New Roman" w:cs="Times New Roman"/>
                <w:sz w:val="24"/>
                <w:szCs w:val="24"/>
                <w:lang w:eastAsia="en-GB"/>
              </w:rPr>
            </w:pPr>
            <w:r w:rsidRPr="008619E0">
              <w:rPr>
                <w:rFonts w:ascii="Times New Roman" w:eastAsia="Times New Roman" w:hAnsi="Times New Roman" w:cs="Times New Roman"/>
                <w:color w:val="000000"/>
                <w:sz w:val="24"/>
                <w:szCs w:val="24"/>
                <w:bdr w:val="none" w:sz="0" w:space="0" w:color="auto" w:frame="1"/>
                <w:lang w:eastAsia="en-GB"/>
              </w:rPr>
              <w:t>Weight at repair (kg)</w:t>
            </w:r>
          </w:p>
        </w:tc>
        <w:tc>
          <w:tcPr>
            <w:tcW w:w="480" w:type="dxa"/>
            <w:tcMar>
              <w:top w:w="0" w:type="dxa"/>
              <w:left w:w="108" w:type="dxa"/>
              <w:bottom w:w="0" w:type="dxa"/>
              <w:right w:w="108" w:type="dxa"/>
            </w:tcMar>
            <w:vAlign w:val="bottom"/>
            <w:hideMark/>
          </w:tcPr>
          <w:p w14:paraId="6C9E3223" w14:textId="77777777" w:rsidR="00437771" w:rsidRPr="008619E0" w:rsidRDefault="00437771" w:rsidP="00437771">
            <w:pPr>
              <w:spacing w:after="0" w:line="240" w:lineRule="auto"/>
              <w:rPr>
                <w:rFonts w:ascii="Times New Roman" w:eastAsia="Times New Roman" w:hAnsi="Times New Roman" w:cs="Times New Roman"/>
                <w:sz w:val="24"/>
                <w:szCs w:val="24"/>
                <w:lang w:eastAsia="en-GB"/>
              </w:rPr>
            </w:pPr>
          </w:p>
        </w:tc>
        <w:tc>
          <w:tcPr>
            <w:tcW w:w="480" w:type="dxa"/>
            <w:tcMar>
              <w:top w:w="0" w:type="dxa"/>
              <w:left w:w="108" w:type="dxa"/>
              <w:bottom w:w="0" w:type="dxa"/>
              <w:right w:w="108" w:type="dxa"/>
            </w:tcMar>
            <w:vAlign w:val="bottom"/>
            <w:hideMark/>
          </w:tcPr>
          <w:p w14:paraId="0BF647BA" w14:textId="77777777" w:rsidR="00437771" w:rsidRPr="008619E0" w:rsidRDefault="00437771" w:rsidP="00437771">
            <w:pPr>
              <w:spacing w:after="0" w:line="240" w:lineRule="auto"/>
              <w:jc w:val="right"/>
              <w:rPr>
                <w:rFonts w:ascii="Times New Roman" w:eastAsia="Times New Roman" w:hAnsi="Times New Roman" w:cs="Times New Roman"/>
                <w:sz w:val="24"/>
                <w:szCs w:val="24"/>
                <w:lang w:eastAsia="en-GB"/>
              </w:rPr>
            </w:pPr>
            <w:r w:rsidRPr="008619E0">
              <w:rPr>
                <w:rFonts w:ascii="Times New Roman" w:eastAsia="Times New Roman" w:hAnsi="Times New Roman" w:cs="Times New Roman"/>
                <w:color w:val="000000"/>
                <w:sz w:val="24"/>
                <w:szCs w:val="24"/>
                <w:bdr w:val="none" w:sz="0" w:space="0" w:color="auto" w:frame="1"/>
                <w:lang w:eastAsia="en-GB"/>
              </w:rPr>
              <w:t>1.010</w:t>
            </w:r>
          </w:p>
        </w:tc>
        <w:tc>
          <w:tcPr>
            <w:tcW w:w="1400" w:type="dxa"/>
            <w:tcMar>
              <w:top w:w="0" w:type="dxa"/>
              <w:left w:w="108" w:type="dxa"/>
              <w:bottom w:w="0" w:type="dxa"/>
              <w:right w:w="108" w:type="dxa"/>
            </w:tcMar>
            <w:vAlign w:val="bottom"/>
            <w:hideMark/>
          </w:tcPr>
          <w:p w14:paraId="022A6A57" w14:textId="77777777" w:rsidR="00437771" w:rsidRPr="008619E0" w:rsidRDefault="00437771" w:rsidP="00437771">
            <w:pPr>
              <w:spacing w:after="0" w:line="240" w:lineRule="auto"/>
              <w:jc w:val="right"/>
              <w:rPr>
                <w:rFonts w:ascii="Times New Roman" w:eastAsia="Times New Roman" w:hAnsi="Times New Roman" w:cs="Times New Roman"/>
                <w:sz w:val="24"/>
                <w:szCs w:val="24"/>
                <w:lang w:eastAsia="en-GB"/>
              </w:rPr>
            </w:pPr>
            <w:r w:rsidRPr="008619E0">
              <w:rPr>
                <w:rFonts w:ascii="Times New Roman" w:eastAsia="Times New Roman" w:hAnsi="Times New Roman" w:cs="Times New Roman"/>
                <w:color w:val="000000"/>
                <w:sz w:val="24"/>
                <w:szCs w:val="24"/>
                <w:bdr w:val="none" w:sz="0" w:space="0" w:color="auto" w:frame="1"/>
                <w:lang w:eastAsia="en-GB"/>
              </w:rPr>
              <w:t>0.984  - 1.039</w:t>
            </w:r>
          </w:p>
        </w:tc>
        <w:tc>
          <w:tcPr>
            <w:tcW w:w="960" w:type="dxa"/>
            <w:tcMar>
              <w:top w:w="0" w:type="dxa"/>
              <w:left w:w="108" w:type="dxa"/>
              <w:bottom w:w="0" w:type="dxa"/>
              <w:right w:w="108" w:type="dxa"/>
            </w:tcMar>
            <w:vAlign w:val="bottom"/>
            <w:hideMark/>
          </w:tcPr>
          <w:p w14:paraId="303E2ED3" w14:textId="77777777" w:rsidR="00437771" w:rsidRPr="008619E0" w:rsidRDefault="00437771" w:rsidP="00437771">
            <w:pPr>
              <w:spacing w:after="0" w:line="240" w:lineRule="auto"/>
              <w:jc w:val="right"/>
              <w:rPr>
                <w:rFonts w:ascii="Times New Roman" w:eastAsia="Times New Roman" w:hAnsi="Times New Roman" w:cs="Times New Roman"/>
                <w:sz w:val="24"/>
                <w:szCs w:val="24"/>
                <w:lang w:eastAsia="en-GB"/>
              </w:rPr>
            </w:pPr>
            <w:r w:rsidRPr="008619E0">
              <w:rPr>
                <w:rFonts w:ascii="Times New Roman" w:eastAsia="Times New Roman" w:hAnsi="Times New Roman" w:cs="Times New Roman"/>
                <w:color w:val="000000"/>
                <w:sz w:val="24"/>
                <w:szCs w:val="24"/>
                <w:bdr w:val="none" w:sz="0" w:space="0" w:color="auto" w:frame="1"/>
                <w:lang w:eastAsia="en-GB"/>
              </w:rPr>
              <w:t>0.417</w:t>
            </w:r>
          </w:p>
        </w:tc>
        <w:tc>
          <w:tcPr>
            <w:tcW w:w="160" w:type="dxa"/>
            <w:tcMar>
              <w:top w:w="0" w:type="dxa"/>
              <w:left w:w="108" w:type="dxa"/>
              <w:bottom w:w="0" w:type="dxa"/>
              <w:right w:w="108" w:type="dxa"/>
            </w:tcMar>
            <w:vAlign w:val="bottom"/>
            <w:hideMark/>
          </w:tcPr>
          <w:p w14:paraId="5C97165E" w14:textId="77777777" w:rsidR="00437771" w:rsidRPr="008619E0" w:rsidRDefault="00437771" w:rsidP="00437771">
            <w:pPr>
              <w:spacing w:after="0" w:line="240" w:lineRule="auto"/>
              <w:rPr>
                <w:rFonts w:ascii="Times New Roman" w:eastAsia="Times New Roman" w:hAnsi="Times New Roman" w:cs="Times New Roman"/>
                <w:sz w:val="24"/>
                <w:szCs w:val="24"/>
                <w:lang w:eastAsia="en-GB"/>
              </w:rPr>
            </w:pPr>
          </w:p>
        </w:tc>
        <w:tc>
          <w:tcPr>
            <w:tcW w:w="960" w:type="dxa"/>
            <w:tcMar>
              <w:top w:w="0" w:type="dxa"/>
              <w:left w:w="108" w:type="dxa"/>
              <w:bottom w:w="0" w:type="dxa"/>
              <w:right w:w="108" w:type="dxa"/>
            </w:tcMar>
            <w:vAlign w:val="bottom"/>
            <w:hideMark/>
          </w:tcPr>
          <w:p w14:paraId="2B41EA18" w14:textId="77777777" w:rsidR="00437771" w:rsidRPr="008619E0" w:rsidRDefault="00437771" w:rsidP="00437771">
            <w:pPr>
              <w:spacing w:after="0" w:line="240" w:lineRule="auto"/>
              <w:rPr>
                <w:rFonts w:ascii="Times New Roman" w:eastAsia="Times New Roman" w:hAnsi="Times New Roman" w:cs="Times New Roman"/>
                <w:sz w:val="24"/>
                <w:szCs w:val="24"/>
                <w:lang w:eastAsia="en-GB"/>
              </w:rPr>
            </w:pPr>
          </w:p>
        </w:tc>
        <w:tc>
          <w:tcPr>
            <w:tcW w:w="1400" w:type="dxa"/>
            <w:tcMar>
              <w:top w:w="0" w:type="dxa"/>
              <w:left w:w="108" w:type="dxa"/>
              <w:bottom w:w="0" w:type="dxa"/>
              <w:right w:w="108" w:type="dxa"/>
            </w:tcMar>
            <w:vAlign w:val="bottom"/>
            <w:hideMark/>
          </w:tcPr>
          <w:p w14:paraId="1ABE5B4F" w14:textId="77777777" w:rsidR="00437771" w:rsidRPr="008619E0" w:rsidRDefault="00437771" w:rsidP="00437771">
            <w:pPr>
              <w:spacing w:after="0" w:line="240" w:lineRule="auto"/>
              <w:rPr>
                <w:rFonts w:ascii="Times New Roman" w:eastAsia="Times New Roman" w:hAnsi="Times New Roman" w:cs="Times New Roman"/>
                <w:sz w:val="24"/>
                <w:szCs w:val="24"/>
                <w:lang w:eastAsia="en-GB"/>
              </w:rPr>
            </w:pPr>
          </w:p>
        </w:tc>
        <w:tc>
          <w:tcPr>
            <w:tcW w:w="960" w:type="dxa"/>
            <w:tcMar>
              <w:top w:w="0" w:type="dxa"/>
              <w:left w:w="108" w:type="dxa"/>
              <w:bottom w:w="0" w:type="dxa"/>
              <w:right w:w="108" w:type="dxa"/>
            </w:tcMar>
            <w:vAlign w:val="bottom"/>
            <w:hideMark/>
          </w:tcPr>
          <w:p w14:paraId="13C1AF35" w14:textId="77777777" w:rsidR="00437771" w:rsidRPr="008619E0" w:rsidRDefault="00437771" w:rsidP="00437771">
            <w:pPr>
              <w:spacing w:after="0" w:line="240" w:lineRule="auto"/>
              <w:rPr>
                <w:rFonts w:ascii="Times New Roman" w:eastAsia="Times New Roman" w:hAnsi="Times New Roman" w:cs="Times New Roman"/>
                <w:sz w:val="24"/>
                <w:szCs w:val="24"/>
                <w:lang w:eastAsia="en-GB"/>
              </w:rPr>
            </w:pPr>
          </w:p>
        </w:tc>
      </w:tr>
      <w:tr w:rsidR="00437771" w:rsidRPr="008619E0" w14:paraId="1C920989" w14:textId="77777777" w:rsidTr="00437771">
        <w:trPr>
          <w:trHeight w:val="290"/>
        </w:trPr>
        <w:tc>
          <w:tcPr>
            <w:tcW w:w="5240" w:type="dxa"/>
            <w:gridSpan w:val="2"/>
            <w:tcMar>
              <w:top w:w="0" w:type="dxa"/>
              <w:left w:w="108" w:type="dxa"/>
              <w:bottom w:w="0" w:type="dxa"/>
              <w:right w:w="108" w:type="dxa"/>
            </w:tcMar>
            <w:vAlign w:val="bottom"/>
            <w:hideMark/>
          </w:tcPr>
          <w:p w14:paraId="155CA610" w14:textId="77777777" w:rsidR="00437771" w:rsidRPr="008619E0" w:rsidRDefault="00437771" w:rsidP="00437771">
            <w:pPr>
              <w:spacing w:after="0" w:line="240" w:lineRule="auto"/>
              <w:rPr>
                <w:rFonts w:ascii="Times New Roman" w:eastAsia="Times New Roman" w:hAnsi="Times New Roman" w:cs="Times New Roman"/>
                <w:sz w:val="24"/>
                <w:szCs w:val="24"/>
                <w:lang w:eastAsia="en-GB"/>
              </w:rPr>
            </w:pPr>
            <w:r w:rsidRPr="008619E0">
              <w:rPr>
                <w:rFonts w:ascii="Times New Roman" w:eastAsia="Times New Roman" w:hAnsi="Times New Roman" w:cs="Times New Roman"/>
                <w:color w:val="000000"/>
                <w:sz w:val="24"/>
                <w:szCs w:val="24"/>
                <w:bdr w:val="none" w:sz="0" w:space="0" w:color="auto" w:frame="1"/>
                <w:lang w:eastAsia="en-GB"/>
              </w:rPr>
              <w:t>Genetic or chromosomal comorbidities</w:t>
            </w:r>
          </w:p>
        </w:tc>
        <w:tc>
          <w:tcPr>
            <w:tcW w:w="480" w:type="dxa"/>
            <w:tcMar>
              <w:top w:w="0" w:type="dxa"/>
              <w:left w:w="108" w:type="dxa"/>
              <w:bottom w:w="0" w:type="dxa"/>
              <w:right w:w="108" w:type="dxa"/>
            </w:tcMar>
            <w:vAlign w:val="bottom"/>
            <w:hideMark/>
          </w:tcPr>
          <w:p w14:paraId="1E5B7D18" w14:textId="77777777" w:rsidR="00437771" w:rsidRPr="008619E0" w:rsidRDefault="00437771" w:rsidP="00437771">
            <w:pPr>
              <w:spacing w:after="0" w:line="240" w:lineRule="auto"/>
              <w:jc w:val="right"/>
              <w:rPr>
                <w:rFonts w:ascii="Times New Roman" w:eastAsia="Times New Roman" w:hAnsi="Times New Roman" w:cs="Times New Roman"/>
                <w:sz w:val="24"/>
                <w:szCs w:val="24"/>
                <w:lang w:eastAsia="en-GB"/>
              </w:rPr>
            </w:pPr>
            <w:r w:rsidRPr="008619E0">
              <w:rPr>
                <w:rFonts w:ascii="Times New Roman" w:eastAsia="Times New Roman" w:hAnsi="Times New Roman" w:cs="Times New Roman"/>
                <w:color w:val="000000"/>
                <w:sz w:val="24"/>
                <w:szCs w:val="24"/>
                <w:bdr w:val="none" w:sz="0" w:space="0" w:color="auto" w:frame="1"/>
                <w:lang w:eastAsia="en-GB"/>
              </w:rPr>
              <w:t>0.599</w:t>
            </w:r>
          </w:p>
        </w:tc>
        <w:tc>
          <w:tcPr>
            <w:tcW w:w="1400" w:type="dxa"/>
            <w:tcMar>
              <w:top w:w="0" w:type="dxa"/>
              <w:left w:w="108" w:type="dxa"/>
              <w:bottom w:w="0" w:type="dxa"/>
              <w:right w:w="108" w:type="dxa"/>
            </w:tcMar>
            <w:vAlign w:val="bottom"/>
            <w:hideMark/>
          </w:tcPr>
          <w:p w14:paraId="36DACDEC" w14:textId="77777777" w:rsidR="00437771" w:rsidRPr="008619E0" w:rsidRDefault="00437771" w:rsidP="00437771">
            <w:pPr>
              <w:spacing w:after="0" w:line="240" w:lineRule="auto"/>
              <w:jc w:val="right"/>
              <w:rPr>
                <w:rFonts w:ascii="Times New Roman" w:eastAsia="Times New Roman" w:hAnsi="Times New Roman" w:cs="Times New Roman"/>
                <w:sz w:val="24"/>
                <w:szCs w:val="24"/>
                <w:lang w:eastAsia="en-GB"/>
              </w:rPr>
            </w:pPr>
            <w:r w:rsidRPr="008619E0">
              <w:rPr>
                <w:rFonts w:ascii="Times New Roman" w:eastAsia="Times New Roman" w:hAnsi="Times New Roman" w:cs="Times New Roman"/>
                <w:color w:val="000000"/>
                <w:sz w:val="24"/>
                <w:szCs w:val="24"/>
                <w:bdr w:val="none" w:sz="0" w:space="0" w:color="auto" w:frame="1"/>
                <w:lang w:eastAsia="en-GB"/>
              </w:rPr>
              <w:t>0.421 - 0.851</w:t>
            </w:r>
          </w:p>
        </w:tc>
        <w:tc>
          <w:tcPr>
            <w:tcW w:w="960" w:type="dxa"/>
            <w:tcMar>
              <w:top w:w="0" w:type="dxa"/>
              <w:left w:w="108" w:type="dxa"/>
              <w:bottom w:w="0" w:type="dxa"/>
              <w:right w:w="108" w:type="dxa"/>
            </w:tcMar>
            <w:vAlign w:val="bottom"/>
            <w:hideMark/>
          </w:tcPr>
          <w:p w14:paraId="031AA62A" w14:textId="77777777" w:rsidR="00437771" w:rsidRPr="008619E0" w:rsidRDefault="00437771" w:rsidP="00437771">
            <w:pPr>
              <w:spacing w:after="0" w:line="240" w:lineRule="auto"/>
              <w:jc w:val="right"/>
              <w:rPr>
                <w:rFonts w:ascii="Times New Roman" w:eastAsia="Times New Roman" w:hAnsi="Times New Roman" w:cs="Times New Roman"/>
                <w:sz w:val="24"/>
                <w:szCs w:val="24"/>
                <w:lang w:eastAsia="en-GB"/>
              </w:rPr>
            </w:pPr>
            <w:r w:rsidRPr="008619E0">
              <w:rPr>
                <w:rFonts w:ascii="Times New Roman" w:eastAsia="Times New Roman" w:hAnsi="Times New Roman" w:cs="Times New Roman"/>
                <w:color w:val="000000"/>
                <w:sz w:val="24"/>
                <w:szCs w:val="24"/>
                <w:bdr w:val="none" w:sz="0" w:space="0" w:color="auto" w:frame="1"/>
                <w:lang w:eastAsia="en-GB"/>
              </w:rPr>
              <w:t>0.004</w:t>
            </w:r>
          </w:p>
        </w:tc>
        <w:tc>
          <w:tcPr>
            <w:tcW w:w="160" w:type="dxa"/>
            <w:tcMar>
              <w:top w:w="0" w:type="dxa"/>
              <w:left w:w="108" w:type="dxa"/>
              <w:bottom w:w="0" w:type="dxa"/>
              <w:right w:w="108" w:type="dxa"/>
            </w:tcMar>
            <w:vAlign w:val="bottom"/>
            <w:hideMark/>
          </w:tcPr>
          <w:p w14:paraId="30653B0D" w14:textId="77777777" w:rsidR="00437771" w:rsidRPr="008619E0" w:rsidRDefault="00437771" w:rsidP="00437771">
            <w:pPr>
              <w:spacing w:after="0" w:line="240" w:lineRule="auto"/>
              <w:rPr>
                <w:rFonts w:ascii="Times New Roman" w:eastAsia="Times New Roman" w:hAnsi="Times New Roman" w:cs="Times New Roman"/>
                <w:sz w:val="24"/>
                <w:szCs w:val="24"/>
                <w:lang w:eastAsia="en-GB"/>
              </w:rPr>
            </w:pPr>
          </w:p>
        </w:tc>
        <w:tc>
          <w:tcPr>
            <w:tcW w:w="960" w:type="dxa"/>
            <w:tcMar>
              <w:top w:w="0" w:type="dxa"/>
              <w:left w:w="108" w:type="dxa"/>
              <w:bottom w:w="0" w:type="dxa"/>
              <w:right w:w="108" w:type="dxa"/>
            </w:tcMar>
            <w:vAlign w:val="bottom"/>
            <w:hideMark/>
          </w:tcPr>
          <w:p w14:paraId="3697387E" w14:textId="77777777" w:rsidR="00437771" w:rsidRPr="008619E0" w:rsidRDefault="00437771" w:rsidP="00437771">
            <w:pPr>
              <w:spacing w:after="0" w:line="240" w:lineRule="auto"/>
              <w:jc w:val="right"/>
              <w:rPr>
                <w:rFonts w:ascii="Times New Roman" w:eastAsia="Times New Roman" w:hAnsi="Times New Roman" w:cs="Times New Roman"/>
                <w:sz w:val="24"/>
                <w:szCs w:val="24"/>
                <w:lang w:eastAsia="en-GB"/>
              </w:rPr>
            </w:pPr>
            <w:r w:rsidRPr="008619E0">
              <w:rPr>
                <w:rFonts w:ascii="Times New Roman" w:eastAsia="Times New Roman" w:hAnsi="Times New Roman" w:cs="Times New Roman"/>
                <w:color w:val="000000"/>
                <w:sz w:val="24"/>
                <w:szCs w:val="24"/>
                <w:bdr w:val="none" w:sz="0" w:space="0" w:color="auto" w:frame="1"/>
                <w:lang w:eastAsia="en-GB"/>
              </w:rPr>
              <w:t>0.655</w:t>
            </w:r>
          </w:p>
        </w:tc>
        <w:tc>
          <w:tcPr>
            <w:tcW w:w="1400" w:type="dxa"/>
            <w:tcMar>
              <w:top w:w="0" w:type="dxa"/>
              <w:left w:w="108" w:type="dxa"/>
              <w:bottom w:w="0" w:type="dxa"/>
              <w:right w:w="108" w:type="dxa"/>
            </w:tcMar>
            <w:vAlign w:val="bottom"/>
            <w:hideMark/>
          </w:tcPr>
          <w:p w14:paraId="625F114A" w14:textId="77777777" w:rsidR="00437771" w:rsidRPr="008619E0" w:rsidRDefault="00437771" w:rsidP="00437771">
            <w:pPr>
              <w:spacing w:after="0" w:line="240" w:lineRule="auto"/>
              <w:jc w:val="right"/>
              <w:rPr>
                <w:rFonts w:ascii="Times New Roman" w:eastAsia="Times New Roman" w:hAnsi="Times New Roman" w:cs="Times New Roman"/>
                <w:sz w:val="24"/>
                <w:szCs w:val="24"/>
                <w:lang w:eastAsia="en-GB"/>
              </w:rPr>
            </w:pPr>
            <w:r w:rsidRPr="008619E0">
              <w:rPr>
                <w:rFonts w:ascii="Times New Roman" w:eastAsia="Times New Roman" w:hAnsi="Times New Roman" w:cs="Times New Roman"/>
                <w:color w:val="000000"/>
                <w:sz w:val="24"/>
                <w:szCs w:val="24"/>
                <w:bdr w:val="none" w:sz="0" w:space="0" w:color="auto" w:frame="1"/>
                <w:lang w:eastAsia="en-GB"/>
              </w:rPr>
              <w:t>0.458 - 0.937</w:t>
            </w:r>
          </w:p>
        </w:tc>
        <w:tc>
          <w:tcPr>
            <w:tcW w:w="960" w:type="dxa"/>
            <w:tcMar>
              <w:top w:w="0" w:type="dxa"/>
              <w:left w:w="108" w:type="dxa"/>
              <w:bottom w:w="0" w:type="dxa"/>
              <w:right w:w="108" w:type="dxa"/>
            </w:tcMar>
            <w:vAlign w:val="bottom"/>
            <w:hideMark/>
          </w:tcPr>
          <w:p w14:paraId="742723B7" w14:textId="77777777" w:rsidR="00437771" w:rsidRPr="008619E0" w:rsidRDefault="00437771" w:rsidP="00437771">
            <w:pPr>
              <w:spacing w:after="0" w:line="240" w:lineRule="auto"/>
              <w:jc w:val="right"/>
              <w:rPr>
                <w:rFonts w:ascii="Times New Roman" w:eastAsia="Times New Roman" w:hAnsi="Times New Roman" w:cs="Times New Roman"/>
                <w:sz w:val="24"/>
                <w:szCs w:val="24"/>
                <w:lang w:eastAsia="en-GB"/>
              </w:rPr>
            </w:pPr>
            <w:r w:rsidRPr="008619E0">
              <w:rPr>
                <w:rFonts w:ascii="Times New Roman" w:eastAsia="Times New Roman" w:hAnsi="Times New Roman" w:cs="Times New Roman"/>
                <w:color w:val="000000"/>
                <w:sz w:val="24"/>
                <w:szCs w:val="24"/>
                <w:bdr w:val="none" w:sz="0" w:space="0" w:color="auto" w:frame="1"/>
                <w:lang w:eastAsia="en-GB"/>
              </w:rPr>
              <w:t>0.021</w:t>
            </w:r>
          </w:p>
        </w:tc>
      </w:tr>
      <w:tr w:rsidR="00437771" w:rsidRPr="008619E0" w14:paraId="4F3FF792" w14:textId="77777777" w:rsidTr="00437771">
        <w:trPr>
          <w:trHeight w:val="290"/>
        </w:trPr>
        <w:tc>
          <w:tcPr>
            <w:tcW w:w="4760" w:type="dxa"/>
            <w:tcMar>
              <w:top w:w="0" w:type="dxa"/>
              <w:left w:w="108" w:type="dxa"/>
              <w:bottom w:w="0" w:type="dxa"/>
              <w:right w:w="108" w:type="dxa"/>
            </w:tcMar>
            <w:vAlign w:val="bottom"/>
            <w:hideMark/>
          </w:tcPr>
          <w:p w14:paraId="29848F88" w14:textId="77777777" w:rsidR="00437771" w:rsidRPr="008619E0" w:rsidRDefault="00437771" w:rsidP="00437771">
            <w:pPr>
              <w:spacing w:after="0" w:line="240" w:lineRule="auto"/>
              <w:rPr>
                <w:rFonts w:ascii="Times New Roman" w:eastAsia="Times New Roman" w:hAnsi="Times New Roman" w:cs="Times New Roman"/>
                <w:sz w:val="24"/>
                <w:szCs w:val="24"/>
                <w:lang w:eastAsia="en-GB"/>
              </w:rPr>
            </w:pPr>
            <w:r w:rsidRPr="008619E0">
              <w:rPr>
                <w:rFonts w:ascii="Times New Roman" w:eastAsia="Times New Roman" w:hAnsi="Times New Roman" w:cs="Times New Roman"/>
                <w:color w:val="000000"/>
                <w:sz w:val="24"/>
                <w:szCs w:val="24"/>
                <w:bdr w:val="none" w:sz="0" w:space="0" w:color="auto" w:frame="1"/>
                <w:lang w:eastAsia="en-GB"/>
              </w:rPr>
              <w:t>Prematurity</w:t>
            </w:r>
          </w:p>
        </w:tc>
        <w:tc>
          <w:tcPr>
            <w:tcW w:w="480" w:type="dxa"/>
            <w:tcMar>
              <w:top w:w="0" w:type="dxa"/>
              <w:left w:w="108" w:type="dxa"/>
              <w:bottom w:w="0" w:type="dxa"/>
              <w:right w:w="108" w:type="dxa"/>
            </w:tcMar>
            <w:vAlign w:val="bottom"/>
            <w:hideMark/>
          </w:tcPr>
          <w:p w14:paraId="5D83282D" w14:textId="77777777" w:rsidR="00437771" w:rsidRPr="008619E0" w:rsidRDefault="00437771" w:rsidP="00437771">
            <w:pPr>
              <w:spacing w:after="0" w:line="240" w:lineRule="auto"/>
              <w:rPr>
                <w:rFonts w:ascii="Times New Roman" w:eastAsia="Times New Roman" w:hAnsi="Times New Roman" w:cs="Times New Roman"/>
                <w:sz w:val="24"/>
                <w:szCs w:val="24"/>
                <w:lang w:eastAsia="en-GB"/>
              </w:rPr>
            </w:pPr>
          </w:p>
        </w:tc>
        <w:tc>
          <w:tcPr>
            <w:tcW w:w="480" w:type="dxa"/>
            <w:tcMar>
              <w:top w:w="0" w:type="dxa"/>
              <w:left w:w="108" w:type="dxa"/>
              <w:bottom w:w="0" w:type="dxa"/>
              <w:right w:w="108" w:type="dxa"/>
            </w:tcMar>
            <w:vAlign w:val="bottom"/>
            <w:hideMark/>
          </w:tcPr>
          <w:p w14:paraId="0BA9230A" w14:textId="77777777" w:rsidR="00437771" w:rsidRPr="008619E0" w:rsidRDefault="00437771" w:rsidP="00437771">
            <w:pPr>
              <w:spacing w:after="0" w:line="240" w:lineRule="auto"/>
              <w:jc w:val="right"/>
              <w:rPr>
                <w:rFonts w:ascii="Times New Roman" w:eastAsia="Times New Roman" w:hAnsi="Times New Roman" w:cs="Times New Roman"/>
                <w:sz w:val="24"/>
                <w:szCs w:val="24"/>
                <w:lang w:eastAsia="en-GB"/>
              </w:rPr>
            </w:pPr>
            <w:r w:rsidRPr="008619E0">
              <w:rPr>
                <w:rFonts w:ascii="Times New Roman" w:eastAsia="Times New Roman" w:hAnsi="Times New Roman" w:cs="Times New Roman"/>
                <w:color w:val="000000"/>
                <w:sz w:val="24"/>
                <w:szCs w:val="24"/>
                <w:bdr w:val="none" w:sz="0" w:space="0" w:color="auto" w:frame="1"/>
                <w:lang w:eastAsia="en-GB"/>
              </w:rPr>
              <w:t>0.733</w:t>
            </w:r>
          </w:p>
        </w:tc>
        <w:tc>
          <w:tcPr>
            <w:tcW w:w="1400" w:type="dxa"/>
            <w:tcMar>
              <w:top w:w="0" w:type="dxa"/>
              <w:left w:w="108" w:type="dxa"/>
              <w:bottom w:w="0" w:type="dxa"/>
              <w:right w:w="108" w:type="dxa"/>
            </w:tcMar>
            <w:vAlign w:val="bottom"/>
            <w:hideMark/>
          </w:tcPr>
          <w:p w14:paraId="72B1DE31" w14:textId="77777777" w:rsidR="00437771" w:rsidRPr="008619E0" w:rsidRDefault="00437771" w:rsidP="00437771">
            <w:pPr>
              <w:spacing w:after="0" w:line="240" w:lineRule="auto"/>
              <w:jc w:val="right"/>
              <w:rPr>
                <w:rFonts w:ascii="Times New Roman" w:eastAsia="Times New Roman" w:hAnsi="Times New Roman" w:cs="Times New Roman"/>
                <w:sz w:val="24"/>
                <w:szCs w:val="24"/>
                <w:lang w:eastAsia="en-GB"/>
              </w:rPr>
            </w:pPr>
            <w:r w:rsidRPr="008619E0">
              <w:rPr>
                <w:rFonts w:ascii="Times New Roman" w:eastAsia="Times New Roman" w:hAnsi="Times New Roman" w:cs="Times New Roman"/>
                <w:color w:val="000000"/>
                <w:sz w:val="24"/>
                <w:szCs w:val="24"/>
                <w:bdr w:val="none" w:sz="0" w:space="0" w:color="auto" w:frame="1"/>
                <w:lang w:eastAsia="en-GB"/>
              </w:rPr>
              <w:t>0.517 - 1.037</w:t>
            </w:r>
          </w:p>
        </w:tc>
        <w:tc>
          <w:tcPr>
            <w:tcW w:w="960" w:type="dxa"/>
            <w:tcMar>
              <w:top w:w="0" w:type="dxa"/>
              <w:left w:w="108" w:type="dxa"/>
              <w:bottom w:w="0" w:type="dxa"/>
              <w:right w:w="108" w:type="dxa"/>
            </w:tcMar>
            <w:vAlign w:val="bottom"/>
            <w:hideMark/>
          </w:tcPr>
          <w:p w14:paraId="2CA5FA68" w14:textId="77777777" w:rsidR="00437771" w:rsidRPr="008619E0" w:rsidRDefault="00437771" w:rsidP="00437771">
            <w:pPr>
              <w:spacing w:after="0" w:line="240" w:lineRule="auto"/>
              <w:jc w:val="right"/>
              <w:rPr>
                <w:rFonts w:ascii="Times New Roman" w:eastAsia="Times New Roman" w:hAnsi="Times New Roman" w:cs="Times New Roman"/>
                <w:sz w:val="24"/>
                <w:szCs w:val="24"/>
                <w:lang w:eastAsia="en-GB"/>
              </w:rPr>
            </w:pPr>
            <w:r w:rsidRPr="008619E0">
              <w:rPr>
                <w:rFonts w:ascii="Times New Roman" w:eastAsia="Times New Roman" w:hAnsi="Times New Roman" w:cs="Times New Roman"/>
                <w:color w:val="000000"/>
                <w:sz w:val="24"/>
                <w:szCs w:val="24"/>
                <w:bdr w:val="none" w:sz="0" w:space="0" w:color="auto" w:frame="1"/>
                <w:lang w:eastAsia="en-GB"/>
              </w:rPr>
              <w:t>0.079</w:t>
            </w:r>
          </w:p>
        </w:tc>
        <w:tc>
          <w:tcPr>
            <w:tcW w:w="160" w:type="dxa"/>
            <w:tcMar>
              <w:top w:w="0" w:type="dxa"/>
              <w:left w:w="108" w:type="dxa"/>
              <w:bottom w:w="0" w:type="dxa"/>
              <w:right w:w="108" w:type="dxa"/>
            </w:tcMar>
            <w:vAlign w:val="bottom"/>
            <w:hideMark/>
          </w:tcPr>
          <w:p w14:paraId="76844451" w14:textId="77777777" w:rsidR="00437771" w:rsidRPr="008619E0" w:rsidRDefault="00437771" w:rsidP="00437771">
            <w:pPr>
              <w:spacing w:after="0" w:line="240" w:lineRule="auto"/>
              <w:rPr>
                <w:rFonts w:ascii="Times New Roman" w:eastAsia="Times New Roman" w:hAnsi="Times New Roman" w:cs="Times New Roman"/>
                <w:sz w:val="24"/>
                <w:szCs w:val="24"/>
                <w:lang w:eastAsia="en-GB"/>
              </w:rPr>
            </w:pPr>
          </w:p>
        </w:tc>
        <w:tc>
          <w:tcPr>
            <w:tcW w:w="960" w:type="dxa"/>
            <w:tcMar>
              <w:top w:w="0" w:type="dxa"/>
              <w:left w:w="108" w:type="dxa"/>
              <w:bottom w:w="0" w:type="dxa"/>
              <w:right w:w="108" w:type="dxa"/>
            </w:tcMar>
            <w:vAlign w:val="bottom"/>
            <w:hideMark/>
          </w:tcPr>
          <w:p w14:paraId="4B3DBDC7" w14:textId="77777777" w:rsidR="00437771" w:rsidRPr="008619E0" w:rsidRDefault="00437771" w:rsidP="00437771">
            <w:pPr>
              <w:spacing w:after="0" w:line="240" w:lineRule="auto"/>
              <w:jc w:val="right"/>
              <w:rPr>
                <w:rFonts w:ascii="Times New Roman" w:eastAsia="Times New Roman" w:hAnsi="Times New Roman" w:cs="Times New Roman"/>
                <w:sz w:val="24"/>
                <w:szCs w:val="24"/>
                <w:lang w:eastAsia="en-GB"/>
              </w:rPr>
            </w:pPr>
            <w:r w:rsidRPr="008619E0">
              <w:rPr>
                <w:rFonts w:ascii="Times New Roman" w:eastAsia="Times New Roman" w:hAnsi="Times New Roman" w:cs="Times New Roman"/>
                <w:color w:val="000000"/>
                <w:sz w:val="24"/>
                <w:szCs w:val="24"/>
                <w:bdr w:val="none" w:sz="0" w:space="0" w:color="auto" w:frame="1"/>
                <w:lang w:eastAsia="en-GB"/>
              </w:rPr>
              <w:t>0.812</w:t>
            </w:r>
          </w:p>
        </w:tc>
        <w:tc>
          <w:tcPr>
            <w:tcW w:w="1400" w:type="dxa"/>
            <w:tcMar>
              <w:top w:w="0" w:type="dxa"/>
              <w:left w:w="108" w:type="dxa"/>
              <w:bottom w:w="0" w:type="dxa"/>
              <w:right w:w="108" w:type="dxa"/>
            </w:tcMar>
            <w:vAlign w:val="bottom"/>
            <w:hideMark/>
          </w:tcPr>
          <w:p w14:paraId="1AA659EE" w14:textId="77777777" w:rsidR="00437771" w:rsidRPr="008619E0" w:rsidRDefault="00437771" w:rsidP="00437771">
            <w:pPr>
              <w:spacing w:after="0" w:line="240" w:lineRule="auto"/>
              <w:jc w:val="right"/>
              <w:rPr>
                <w:rFonts w:ascii="Times New Roman" w:eastAsia="Times New Roman" w:hAnsi="Times New Roman" w:cs="Times New Roman"/>
                <w:sz w:val="24"/>
                <w:szCs w:val="24"/>
                <w:lang w:eastAsia="en-GB"/>
              </w:rPr>
            </w:pPr>
            <w:r w:rsidRPr="008619E0">
              <w:rPr>
                <w:rFonts w:ascii="Times New Roman" w:eastAsia="Times New Roman" w:hAnsi="Times New Roman" w:cs="Times New Roman"/>
                <w:color w:val="000000"/>
                <w:sz w:val="24"/>
                <w:szCs w:val="24"/>
                <w:bdr w:val="none" w:sz="0" w:space="0" w:color="auto" w:frame="1"/>
                <w:lang w:eastAsia="en-GB"/>
              </w:rPr>
              <w:t>0.570 - 1.156</w:t>
            </w:r>
          </w:p>
        </w:tc>
        <w:tc>
          <w:tcPr>
            <w:tcW w:w="960" w:type="dxa"/>
            <w:tcMar>
              <w:top w:w="0" w:type="dxa"/>
              <w:left w:w="108" w:type="dxa"/>
              <w:bottom w:w="0" w:type="dxa"/>
              <w:right w:w="108" w:type="dxa"/>
            </w:tcMar>
            <w:vAlign w:val="bottom"/>
            <w:hideMark/>
          </w:tcPr>
          <w:p w14:paraId="7AD4C2BE" w14:textId="77777777" w:rsidR="00437771" w:rsidRPr="008619E0" w:rsidRDefault="00437771" w:rsidP="00437771">
            <w:pPr>
              <w:spacing w:after="0" w:line="240" w:lineRule="auto"/>
              <w:jc w:val="right"/>
              <w:rPr>
                <w:rFonts w:ascii="Times New Roman" w:eastAsia="Times New Roman" w:hAnsi="Times New Roman" w:cs="Times New Roman"/>
                <w:sz w:val="24"/>
                <w:szCs w:val="24"/>
                <w:lang w:eastAsia="en-GB"/>
              </w:rPr>
            </w:pPr>
            <w:r w:rsidRPr="008619E0">
              <w:rPr>
                <w:rFonts w:ascii="Times New Roman" w:eastAsia="Times New Roman" w:hAnsi="Times New Roman" w:cs="Times New Roman"/>
                <w:color w:val="000000"/>
                <w:sz w:val="24"/>
                <w:szCs w:val="24"/>
                <w:bdr w:val="none" w:sz="0" w:space="0" w:color="auto" w:frame="1"/>
                <w:lang w:eastAsia="en-GB"/>
              </w:rPr>
              <w:t>0.248</w:t>
            </w:r>
          </w:p>
        </w:tc>
      </w:tr>
      <w:tr w:rsidR="00437771" w:rsidRPr="008619E0" w14:paraId="77B1D232" w14:textId="77777777" w:rsidTr="00437771">
        <w:trPr>
          <w:trHeight w:val="290"/>
        </w:trPr>
        <w:tc>
          <w:tcPr>
            <w:tcW w:w="4760" w:type="dxa"/>
            <w:tcBorders>
              <w:top w:val="nil"/>
              <w:left w:val="nil"/>
              <w:bottom w:val="single" w:sz="8" w:space="0" w:color="auto"/>
              <w:right w:val="nil"/>
            </w:tcBorders>
            <w:tcMar>
              <w:top w:w="0" w:type="dxa"/>
              <w:left w:w="108" w:type="dxa"/>
              <w:bottom w:w="0" w:type="dxa"/>
              <w:right w:w="108" w:type="dxa"/>
            </w:tcMar>
            <w:vAlign w:val="bottom"/>
            <w:hideMark/>
          </w:tcPr>
          <w:p w14:paraId="64098250" w14:textId="77777777" w:rsidR="00437771" w:rsidRPr="008619E0" w:rsidRDefault="00437771" w:rsidP="00437771">
            <w:pPr>
              <w:spacing w:after="0" w:line="240" w:lineRule="auto"/>
              <w:rPr>
                <w:rFonts w:ascii="Times New Roman" w:eastAsia="Times New Roman" w:hAnsi="Times New Roman" w:cs="Times New Roman"/>
                <w:sz w:val="24"/>
                <w:szCs w:val="24"/>
                <w:lang w:eastAsia="en-GB"/>
              </w:rPr>
            </w:pPr>
            <w:r w:rsidRPr="008619E0">
              <w:rPr>
                <w:rFonts w:ascii="Times New Roman" w:eastAsia="Times New Roman" w:hAnsi="Times New Roman" w:cs="Times New Roman"/>
                <w:color w:val="000000"/>
                <w:sz w:val="24"/>
                <w:szCs w:val="24"/>
                <w:bdr w:val="none" w:sz="0" w:space="0" w:color="auto" w:frame="1"/>
                <w:lang w:eastAsia="en-GB"/>
              </w:rPr>
              <w:t xml:space="preserve">Pre </w:t>
            </w:r>
            <w:proofErr w:type="spellStart"/>
            <w:r w:rsidRPr="008619E0">
              <w:rPr>
                <w:rFonts w:ascii="Times New Roman" w:eastAsia="Times New Roman" w:hAnsi="Times New Roman" w:cs="Times New Roman"/>
                <w:color w:val="000000"/>
                <w:sz w:val="24"/>
                <w:szCs w:val="24"/>
                <w:bdr w:val="none" w:sz="0" w:space="0" w:color="auto" w:frame="1"/>
                <w:lang w:eastAsia="en-GB"/>
              </w:rPr>
              <w:t>ToF</w:t>
            </w:r>
            <w:proofErr w:type="spellEnd"/>
            <w:r w:rsidRPr="008619E0">
              <w:rPr>
                <w:rFonts w:ascii="Times New Roman" w:eastAsia="Times New Roman" w:hAnsi="Times New Roman" w:cs="Times New Roman"/>
                <w:color w:val="000000"/>
                <w:sz w:val="24"/>
                <w:szCs w:val="24"/>
                <w:bdr w:val="none" w:sz="0" w:space="0" w:color="auto" w:frame="1"/>
                <w:lang w:eastAsia="en-GB"/>
              </w:rPr>
              <w:t xml:space="preserve"> repair procedure     </w:t>
            </w:r>
          </w:p>
        </w:tc>
        <w:tc>
          <w:tcPr>
            <w:tcW w:w="480" w:type="dxa"/>
            <w:tcBorders>
              <w:top w:val="nil"/>
              <w:left w:val="nil"/>
              <w:bottom w:val="single" w:sz="8" w:space="0" w:color="auto"/>
              <w:right w:val="nil"/>
            </w:tcBorders>
            <w:tcMar>
              <w:top w:w="0" w:type="dxa"/>
              <w:left w:w="108" w:type="dxa"/>
              <w:bottom w:w="0" w:type="dxa"/>
              <w:right w:w="108" w:type="dxa"/>
            </w:tcMar>
            <w:vAlign w:val="bottom"/>
            <w:hideMark/>
          </w:tcPr>
          <w:p w14:paraId="5BD934F1" w14:textId="77777777" w:rsidR="00437771" w:rsidRPr="008619E0" w:rsidRDefault="00437771" w:rsidP="00437771">
            <w:pPr>
              <w:spacing w:after="0" w:line="240" w:lineRule="auto"/>
              <w:rPr>
                <w:rFonts w:ascii="Times New Roman" w:eastAsia="Times New Roman" w:hAnsi="Times New Roman" w:cs="Times New Roman"/>
                <w:sz w:val="24"/>
                <w:szCs w:val="24"/>
                <w:lang w:eastAsia="en-GB"/>
              </w:rPr>
            </w:pPr>
            <w:r w:rsidRPr="008619E0">
              <w:rPr>
                <w:rFonts w:ascii="Times New Roman" w:eastAsia="Times New Roman" w:hAnsi="Times New Roman" w:cs="Times New Roman"/>
                <w:color w:val="000000"/>
                <w:sz w:val="24"/>
                <w:szCs w:val="24"/>
                <w:bdr w:val="none" w:sz="0" w:space="0" w:color="auto" w:frame="1"/>
                <w:lang w:eastAsia="en-GB"/>
              </w:rPr>
              <w:t> </w:t>
            </w:r>
          </w:p>
        </w:tc>
        <w:tc>
          <w:tcPr>
            <w:tcW w:w="480" w:type="dxa"/>
            <w:tcBorders>
              <w:top w:val="nil"/>
              <w:left w:val="nil"/>
              <w:bottom w:val="single" w:sz="8" w:space="0" w:color="auto"/>
              <w:right w:val="nil"/>
            </w:tcBorders>
            <w:tcMar>
              <w:top w:w="0" w:type="dxa"/>
              <w:left w:w="108" w:type="dxa"/>
              <w:bottom w:w="0" w:type="dxa"/>
              <w:right w:w="108" w:type="dxa"/>
            </w:tcMar>
            <w:vAlign w:val="bottom"/>
            <w:hideMark/>
          </w:tcPr>
          <w:p w14:paraId="36D0E163" w14:textId="77777777" w:rsidR="00437771" w:rsidRPr="008619E0" w:rsidRDefault="00437771" w:rsidP="00437771">
            <w:pPr>
              <w:spacing w:after="0" w:line="240" w:lineRule="auto"/>
              <w:jc w:val="right"/>
              <w:rPr>
                <w:rFonts w:ascii="Times New Roman" w:eastAsia="Times New Roman" w:hAnsi="Times New Roman" w:cs="Times New Roman"/>
                <w:sz w:val="24"/>
                <w:szCs w:val="24"/>
                <w:lang w:eastAsia="en-GB"/>
              </w:rPr>
            </w:pPr>
            <w:r w:rsidRPr="008619E0">
              <w:rPr>
                <w:rFonts w:ascii="Times New Roman" w:eastAsia="Times New Roman" w:hAnsi="Times New Roman" w:cs="Times New Roman"/>
                <w:color w:val="000000"/>
                <w:sz w:val="24"/>
                <w:szCs w:val="24"/>
                <w:bdr w:val="none" w:sz="0" w:space="0" w:color="auto" w:frame="1"/>
                <w:lang w:eastAsia="en-GB"/>
              </w:rPr>
              <w:t>0.672</w:t>
            </w:r>
          </w:p>
        </w:tc>
        <w:tc>
          <w:tcPr>
            <w:tcW w:w="1400" w:type="dxa"/>
            <w:tcBorders>
              <w:top w:val="nil"/>
              <w:left w:val="nil"/>
              <w:bottom w:val="single" w:sz="8" w:space="0" w:color="auto"/>
              <w:right w:val="nil"/>
            </w:tcBorders>
            <w:tcMar>
              <w:top w:w="0" w:type="dxa"/>
              <w:left w:w="108" w:type="dxa"/>
              <w:bottom w:w="0" w:type="dxa"/>
              <w:right w:w="108" w:type="dxa"/>
            </w:tcMar>
            <w:vAlign w:val="bottom"/>
            <w:hideMark/>
          </w:tcPr>
          <w:p w14:paraId="066352A8" w14:textId="77777777" w:rsidR="00437771" w:rsidRPr="008619E0" w:rsidRDefault="00437771" w:rsidP="00437771">
            <w:pPr>
              <w:spacing w:after="0" w:line="240" w:lineRule="auto"/>
              <w:jc w:val="right"/>
              <w:rPr>
                <w:rFonts w:ascii="Times New Roman" w:eastAsia="Times New Roman" w:hAnsi="Times New Roman" w:cs="Times New Roman"/>
                <w:sz w:val="24"/>
                <w:szCs w:val="24"/>
                <w:lang w:eastAsia="en-GB"/>
              </w:rPr>
            </w:pPr>
            <w:r w:rsidRPr="008619E0">
              <w:rPr>
                <w:rFonts w:ascii="Times New Roman" w:eastAsia="Times New Roman" w:hAnsi="Times New Roman" w:cs="Times New Roman"/>
                <w:color w:val="000000"/>
                <w:sz w:val="24"/>
                <w:szCs w:val="24"/>
                <w:bdr w:val="none" w:sz="0" w:space="0" w:color="auto" w:frame="1"/>
                <w:lang w:eastAsia="en-GB"/>
              </w:rPr>
              <w:t>0.512 - 0.883</w:t>
            </w:r>
          </w:p>
        </w:tc>
        <w:tc>
          <w:tcPr>
            <w:tcW w:w="960" w:type="dxa"/>
            <w:tcBorders>
              <w:top w:val="nil"/>
              <w:left w:val="nil"/>
              <w:bottom w:val="single" w:sz="8" w:space="0" w:color="auto"/>
              <w:right w:val="nil"/>
            </w:tcBorders>
            <w:tcMar>
              <w:top w:w="0" w:type="dxa"/>
              <w:left w:w="108" w:type="dxa"/>
              <w:bottom w:w="0" w:type="dxa"/>
              <w:right w:w="108" w:type="dxa"/>
            </w:tcMar>
            <w:vAlign w:val="bottom"/>
            <w:hideMark/>
          </w:tcPr>
          <w:p w14:paraId="2B66B9A5" w14:textId="77777777" w:rsidR="00437771" w:rsidRPr="008619E0" w:rsidRDefault="00437771" w:rsidP="00437771">
            <w:pPr>
              <w:spacing w:after="0" w:line="240" w:lineRule="auto"/>
              <w:jc w:val="right"/>
              <w:rPr>
                <w:rFonts w:ascii="Times New Roman" w:eastAsia="Times New Roman" w:hAnsi="Times New Roman" w:cs="Times New Roman"/>
                <w:sz w:val="24"/>
                <w:szCs w:val="24"/>
                <w:lang w:eastAsia="en-GB"/>
              </w:rPr>
            </w:pPr>
            <w:r w:rsidRPr="008619E0">
              <w:rPr>
                <w:rFonts w:ascii="Times New Roman" w:eastAsia="Times New Roman" w:hAnsi="Times New Roman" w:cs="Times New Roman"/>
                <w:color w:val="000000"/>
                <w:sz w:val="24"/>
                <w:szCs w:val="24"/>
                <w:bdr w:val="none" w:sz="0" w:space="0" w:color="auto" w:frame="1"/>
                <w:lang w:eastAsia="en-GB"/>
              </w:rPr>
              <w:t>0.004</w:t>
            </w:r>
          </w:p>
        </w:tc>
        <w:tc>
          <w:tcPr>
            <w:tcW w:w="160" w:type="dxa"/>
            <w:tcBorders>
              <w:top w:val="nil"/>
              <w:left w:val="nil"/>
              <w:bottom w:val="single" w:sz="8" w:space="0" w:color="auto"/>
              <w:right w:val="nil"/>
            </w:tcBorders>
            <w:tcMar>
              <w:top w:w="0" w:type="dxa"/>
              <w:left w:w="108" w:type="dxa"/>
              <w:bottom w:w="0" w:type="dxa"/>
              <w:right w:w="108" w:type="dxa"/>
            </w:tcMar>
            <w:vAlign w:val="bottom"/>
            <w:hideMark/>
          </w:tcPr>
          <w:p w14:paraId="1EECB4C7" w14:textId="77777777" w:rsidR="00437771" w:rsidRPr="008619E0" w:rsidRDefault="00437771" w:rsidP="00437771">
            <w:pPr>
              <w:spacing w:after="0" w:line="240" w:lineRule="auto"/>
              <w:rPr>
                <w:rFonts w:ascii="Times New Roman" w:eastAsia="Times New Roman" w:hAnsi="Times New Roman" w:cs="Times New Roman"/>
                <w:sz w:val="24"/>
                <w:szCs w:val="24"/>
                <w:lang w:eastAsia="en-GB"/>
              </w:rPr>
            </w:pPr>
            <w:r w:rsidRPr="008619E0">
              <w:rPr>
                <w:rFonts w:ascii="Times New Roman" w:eastAsia="Times New Roman" w:hAnsi="Times New Roman" w:cs="Times New Roman"/>
                <w:color w:val="000000"/>
                <w:sz w:val="24"/>
                <w:szCs w:val="24"/>
                <w:bdr w:val="none" w:sz="0" w:space="0" w:color="auto" w:frame="1"/>
                <w:lang w:eastAsia="en-GB"/>
              </w:rPr>
              <w:t> </w:t>
            </w:r>
          </w:p>
        </w:tc>
        <w:tc>
          <w:tcPr>
            <w:tcW w:w="960" w:type="dxa"/>
            <w:tcBorders>
              <w:top w:val="nil"/>
              <w:left w:val="nil"/>
              <w:bottom w:val="single" w:sz="8" w:space="0" w:color="auto"/>
              <w:right w:val="nil"/>
            </w:tcBorders>
            <w:tcMar>
              <w:top w:w="0" w:type="dxa"/>
              <w:left w:w="108" w:type="dxa"/>
              <w:bottom w:w="0" w:type="dxa"/>
              <w:right w:w="108" w:type="dxa"/>
            </w:tcMar>
            <w:vAlign w:val="bottom"/>
            <w:hideMark/>
          </w:tcPr>
          <w:p w14:paraId="79DFF4DB" w14:textId="77777777" w:rsidR="00437771" w:rsidRPr="008619E0" w:rsidRDefault="00437771" w:rsidP="00437771">
            <w:pPr>
              <w:spacing w:after="0" w:line="240" w:lineRule="auto"/>
              <w:jc w:val="right"/>
              <w:rPr>
                <w:rFonts w:ascii="Times New Roman" w:eastAsia="Times New Roman" w:hAnsi="Times New Roman" w:cs="Times New Roman"/>
                <w:sz w:val="24"/>
                <w:szCs w:val="24"/>
                <w:lang w:eastAsia="en-GB"/>
              </w:rPr>
            </w:pPr>
            <w:r w:rsidRPr="008619E0">
              <w:rPr>
                <w:rFonts w:ascii="Times New Roman" w:eastAsia="Times New Roman" w:hAnsi="Times New Roman" w:cs="Times New Roman"/>
                <w:color w:val="000000"/>
                <w:sz w:val="24"/>
                <w:szCs w:val="24"/>
                <w:bdr w:val="none" w:sz="0" w:space="0" w:color="auto" w:frame="1"/>
                <w:lang w:eastAsia="en-GB"/>
              </w:rPr>
              <w:t>0.703</w:t>
            </w:r>
          </w:p>
        </w:tc>
        <w:tc>
          <w:tcPr>
            <w:tcW w:w="1400" w:type="dxa"/>
            <w:tcBorders>
              <w:top w:val="nil"/>
              <w:left w:val="nil"/>
              <w:bottom w:val="single" w:sz="8" w:space="0" w:color="auto"/>
              <w:right w:val="nil"/>
            </w:tcBorders>
            <w:tcMar>
              <w:top w:w="0" w:type="dxa"/>
              <w:left w:w="108" w:type="dxa"/>
              <w:bottom w:w="0" w:type="dxa"/>
              <w:right w:w="108" w:type="dxa"/>
            </w:tcMar>
            <w:vAlign w:val="bottom"/>
            <w:hideMark/>
          </w:tcPr>
          <w:p w14:paraId="1FC1691A" w14:textId="77777777" w:rsidR="00437771" w:rsidRPr="008619E0" w:rsidRDefault="00437771" w:rsidP="00437771">
            <w:pPr>
              <w:spacing w:after="0" w:line="240" w:lineRule="auto"/>
              <w:jc w:val="right"/>
              <w:rPr>
                <w:rFonts w:ascii="Times New Roman" w:eastAsia="Times New Roman" w:hAnsi="Times New Roman" w:cs="Times New Roman"/>
                <w:sz w:val="24"/>
                <w:szCs w:val="24"/>
                <w:lang w:eastAsia="en-GB"/>
              </w:rPr>
            </w:pPr>
            <w:r w:rsidRPr="008619E0">
              <w:rPr>
                <w:rFonts w:ascii="Times New Roman" w:eastAsia="Times New Roman" w:hAnsi="Times New Roman" w:cs="Times New Roman"/>
                <w:color w:val="000000"/>
                <w:sz w:val="24"/>
                <w:szCs w:val="24"/>
                <w:bdr w:val="none" w:sz="0" w:space="0" w:color="auto" w:frame="1"/>
                <w:lang w:eastAsia="en-GB"/>
              </w:rPr>
              <w:t>0.535 - 0.925</w:t>
            </w:r>
          </w:p>
        </w:tc>
        <w:tc>
          <w:tcPr>
            <w:tcW w:w="960" w:type="dxa"/>
            <w:tcBorders>
              <w:top w:val="nil"/>
              <w:left w:val="nil"/>
              <w:bottom w:val="single" w:sz="8" w:space="0" w:color="auto"/>
              <w:right w:val="nil"/>
            </w:tcBorders>
            <w:tcMar>
              <w:top w:w="0" w:type="dxa"/>
              <w:left w:w="108" w:type="dxa"/>
              <w:bottom w:w="0" w:type="dxa"/>
              <w:right w:w="108" w:type="dxa"/>
            </w:tcMar>
            <w:vAlign w:val="bottom"/>
            <w:hideMark/>
          </w:tcPr>
          <w:p w14:paraId="59E9C184" w14:textId="77777777" w:rsidR="00437771" w:rsidRPr="008619E0" w:rsidRDefault="00437771" w:rsidP="00437771">
            <w:pPr>
              <w:spacing w:after="0" w:line="240" w:lineRule="auto"/>
              <w:jc w:val="right"/>
              <w:rPr>
                <w:rFonts w:ascii="Times New Roman" w:eastAsia="Times New Roman" w:hAnsi="Times New Roman" w:cs="Times New Roman"/>
                <w:sz w:val="24"/>
                <w:szCs w:val="24"/>
                <w:lang w:eastAsia="en-GB"/>
              </w:rPr>
            </w:pPr>
            <w:r w:rsidRPr="008619E0">
              <w:rPr>
                <w:rFonts w:ascii="Times New Roman" w:eastAsia="Times New Roman" w:hAnsi="Times New Roman" w:cs="Times New Roman"/>
                <w:color w:val="000000"/>
                <w:sz w:val="24"/>
                <w:szCs w:val="24"/>
                <w:bdr w:val="none" w:sz="0" w:space="0" w:color="auto" w:frame="1"/>
                <w:lang w:eastAsia="en-GB"/>
              </w:rPr>
              <w:t>0.012</w:t>
            </w:r>
          </w:p>
        </w:tc>
      </w:tr>
      <w:tr w:rsidR="00437771" w:rsidRPr="008619E0" w14:paraId="7D1494E9" w14:textId="77777777" w:rsidTr="00437771">
        <w:trPr>
          <w:trHeight w:val="290"/>
        </w:trPr>
        <w:tc>
          <w:tcPr>
            <w:tcW w:w="5240" w:type="dxa"/>
            <w:gridSpan w:val="2"/>
            <w:tcMar>
              <w:top w:w="0" w:type="dxa"/>
              <w:left w:w="108" w:type="dxa"/>
              <w:bottom w:w="0" w:type="dxa"/>
              <w:right w:w="108" w:type="dxa"/>
            </w:tcMar>
            <w:vAlign w:val="bottom"/>
            <w:hideMark/>
          </w:tcPr>
          <w:p w14:paraId="7BD9C1EB" w14:textId="77777777" w:rsidR="00437771" w:rsidRPr="008619E0" w:rsidRDefault="00437771" w:rsidP="00437771">
            <w:pPr>
              <w:spacing w:after="0" w:line="240" w:lineRule="auto"/>
              <w:rPr>
                <w:rFonts w:ascii="Times New Roman" w:eastAsia="Times New Roman" w:hAnsi="Times New Roman" w:cs="Times New Roman"/>
                <w:sz w:val="24"/>
                <w:szCs w:val="24"/>
                <w:lang w:eastAsia="en-GB"/>
              </w:rPr>
            </w:pPr>
            <w:r w:rsidRPr="008619E0">
              <w:rPr>
                <w:rFonts w:ascii="Times New Roman" w:eastAsia="Times New Roman" w:hAnsi="Times New Roman" w:cs="Times New Roman"/>
                <w:color w:val="000000"/>
                <w:sz w:val="24"/>
                <w:szCs w:val="24"/>
                <w:bdr w:val="none" w:sz="0" w:space="0" w:color="auto" w:frame="1"/>
                <w:lang w:eastAsia="en-GB"/>
              </w:rPr>
              <w:t>HR, Hazard ratio; CI, Confidence interval</w:t>
            </w:r>
          </w:p>
        </w:tc>
        <w:tc>
          <w:tcPr>
            <w:tcW w:w="480" w:type="dxa"/>
            <w:tcMar>
              <w:top w:w="0" w:type="dxa"/>
              <w:left w:w="108" w:type="dxa"/>
              <w:bottom w:w="0" w:type="dxa"/>
              <w:right w:w="108" w:type="dxa"/>
            </w:tcMar>
            <w:vAlign w:val="bottom"/>
            <w:hideMark/>
          </w:tcPr>
          <w:p w14:paraId="6BF15B04" w14:textId="77777777" w:rsidR="00437771" w:rsidRPr="008619E0" w:rsidRDefault="00437771" w:rsidP="00437771">
            <w:pPr>
              <w:spacing w:after="0" w:line="240" w:lineRule="auto"/>
              <w:rPr>
                <w:rFonts w:ascii="Times New Roman" w:eastAsia="Times New Roman" w:hAnsi="Times New Roman" w:cs="Times New Roman"/>
                <w:sz w:val="24"/>
                <w:szCs w:val="24"/>
                <w:lang w:eastAsia="en-GB"/>
              </w:rPr>
            </w:pPr>
          </w:p>
        </w:tc>
        <w:tc>
          <w:tcPr>
            <w:tcW w:w="1400" w:type="dxa"/>
            <w:tcMar>
              <w:top w:w="0" w:type="dxa"/>
              <w:left w:w="108" w:type="dxa"/>
              <w:bottom w:w="0" w:type="dxa"/>
              <w:right w:w="108" w:type="dxa"/>
            </w:tcMar>
            <w:vAlign w:val="bottom"/>
            <w:hideMark/>
          </w:tcPr>
          <w:p w14:paraId="253D9207" w14:textId="77777777" w:rsidR="00437771" w:rsidRPr="008619E0" w:rsidRDefault="00437771" w:rsidP="00437771">
            <w:pPr>
              <w:spacing w:after="0" w:line="240" w:lineRule="auto"/>
              <w:rPr>
                <w:rFonts w:ascii="Times New Roman" w:eastAsia="Times New Roman" w:hAnsi="Times New Roman" w:cs="Times New Roman"/>
                <w:sz w:val="24"/>
                <w:szCs w:val="24"/>
                <w:lang w:eastAsia="en-GB"/>
              </w:rPr>
            </w:pPr>
          </w:p>
        </w:tc>
        <w:tc>
          <w:tcPr>
            <w:tcW w:w="960" w:type="dxa"/>
            <w:tcMar>
              <w:top w:w="0" w:type="dxa"/>
              <w:left w:w="108" w:type="dxa"/>
              <w:bottom w:w="0" w:type="dxa"/>
              <w:right w:w="108" w:type="dxa"/>
            </w:tcMar>
            <w:vAlign w:val="bottom"/>
            <w:hideMark/>
          </w:tcPr>
          <w:p w14:paraId="4617EDD6" w14:textId="77777777" w:rsidR="00437771" w:rsidRPr="008619E0" w:rsidRDefault="00437771" w:rsidP="00437771">
            <w:pPr>
              <w:spacing w:after="0" w:line="240" w:lineRule="auto"/>
              <w:rPr>
                <w:rFonts w:ascii="Times New Roman" w:eastAsia="Times New Roman" w:hAnsi="Times New Roman" w:cs="Times New Roman"/>
                <w:sz w:val="24"/>
                <w:szCs w:val="24"/>
                <w:lang w:eastAsia="en-GB"/>
              </w:rPr>
            </w:pPr>
          </w:p>
        </w:tc>
        <w:tc>
          <w:tcPr>
            <w:tcW w:w="160" w:type="dxa"/>
            <w:tcMar>
              <w:top w:w="0" w:type="dxa"/>
              <w:left w:w="108" w:type="dxa"/>
              <w:bottom w:w="0" w:type="dxa"/>
              <w:right w:w="108" w:type="dxa"/>
            </w:tcMar>
            <w:vAlign w:val="bottom"/>
            <w:hideMark/>
          </w:tcPr>
          <w:p w14:paraId="1F0BF5AC" w14:textId="77777777" w:rsidR="00437771" w:rsidRPr="008619E0" w:rsidRDefault="00437771" w:rsidP="00437771">
            <w:pPr>
              <w:spacing w:after="0" w:line="240" w:lineRule="auto"/>
              <w:rPr>
                <w:rFonts w:ascii="Times New Roman" w:eastAsia="Times New Roman" w:hAnsi="Times New Roman" w:cs="Times New Roman"/>
                <w:sz w:val="24"/>
                <w:szCs w:val="24"/>
                <w:lang w:eastAsia="en-GB"/>
              </w:rPr>
            </w:pPr>
          </w:p>
        </w:tc>
        <w:tc>
          <w:tcPr>
            <w:tcW w:w="960" w:type="dxa"/>
            <w:tcMar>
              <w:top w:w="0" w:type="dxa"/>
              <w:left w:w="108" w:type="dxa"/>
              <w:bottom w:w="0" w:type="dxa"/>
              <w:right w:w="108" w:type="dxa"/>
            </w:tcMar>
            <w:vAlign w:val="bottom"/>
            <w:hideMark/>
          </w:tcPr>
          <w:p w14:paraId="28DC938A" w14:textId="77777777" w:rsidR="00437771" w:rsidRPr="008619E0" w:rsidRDefault="00437771" w:rsidP="00437771">
            <w:pPr>
              <w:spacing w:after="0" w:line="240" w:lineRule="auto"/>
              <w:rPr>
                <w:rFonts w:ascii="Times New Roman" w:eastAsia="Times New Roman" w:hAnsi="Times New Roman" w:cs="Times New Roman"/>
                <w:sz w:val="24"/>
                <w:szCs w:val="24"/>
                <w:lang w:eastAsia="en-GB"/>
              </w:rPr>
            </w:pPr>
          </w:p>
        </w:tc>
        <w:tc>
          <w:tcPr>
            <w:tcW w:w="1400" w:type="dxa"/>
            <w:tcMar>
              <w:top w:w="0" w:type="dxa"/>
              <w:left w:w="108" w:type="dxa"/>
              <w:bottom w:w="0" w:type="dxa"/>
              <w:right w:w="108" w:type="dxa"/>
            </w:tcMar>
            <w:vAlign w:val="bottom"/>
            <w:hideMark/>
          </w:tcPr>
          <w:p w14:paraId="3114D69F" w14:textId="77777777" w:rsidR="00437771" w:rsidRPr="008619E0" w:rsidRDefault="00437771" w:rsidP="00437771">
            <w:pPr>
              <w:spacing w:after="0" w:line="240" w:lineRule="auto"/>
              <w:rPr>
                <w:rFonts w:ascii="Times New Roman" w:eastAsia="Times New Roman" w:hAnsi="Times New Roman" w:cs="Times New Roman"/>
                <w:sz w:val="24"/>
                <w:szCs w:val="24"/>
                <w:lang w:eastAsia="en-GB"/>
              </w:rPr>
            </w:pPr>
          </w:p>
        </w:tc>
        <w:tc>
          <w:tcPr>
            <w:tcW w:w="960" w:type="dxa"/>
            <w:tcMar>
              <w:top w:w="0" w:type="dxa"/>
              <w:left w:w="108" w:type="dxa"/>
              <w:bottom w:w="0" w:type="dxa"/>
              <w:right w:w="108" w:type="dxa"/>
            </w:tcMar>
            <w:vAlign w:val="bottom"/>
            <w:hideMark/>
          </w:tcPr>
          <w:p w14:paraId="077A622A" w14:textId="77777777" w:rsidR="00437771" w:rsidRPr="008619E0" w:rsidRDefault="00437771" w:rsidP="00437771">
            <w:pPr>
              <w:spacing w:after="0" w:line="240" w:lineRule="auto"/>
              <w:rPr>
                <w:rFonts w:ascii="Times New Roman" w:eastAsia="Times New Roman" w:hAnsi="Times New Roman" w:cs="Times New Roman"/>
                <w:sz w:val="24"/>
                <w:szCs w:val="24"/>
                <w:lang w:eastAsia="en-GB"/>
              </w:rPr>
            </w:pPr>
          </w:p>
        </w:tc>
      </w:tr>
    </w:tbl>
    <w:p w14:paraId="19A19C91" w14:textId="77777777" w:rsidR="00437771" w:rsidRPr="008619E0" w:rsidRDefault="00437771" w:rsidP="00437771">
      <w:pPr>
        <w:shd w:val="clear" w:color="auto" w:fill="FFFFFF"/>
        <w:spacing w:before="100" w:beforeAutospacing="1" w:after="100" w:afterAutospacing="1" w:line="240" w:lineRule="auto"/>
        <w:rPr>
          <w:rFonts w:ascii="Times New Roman" w:eastAsia="Times New Roman" w:hAnsi="Times New Roman" w:cs="Times New Roman"/>
          <w:color w:val="242424"/>
          <w:sz w:val="24"/>
          <w:szCs w:val="24"/>
          <w:lang w:eastAsia="en-GB"/>
        </w:rPr>
      </w:pPr>
      <w:r w:rsidRPr="008619E0">
        <w:rPr>
          <w:rFonts w:ascii="Times New Roman" w:eastAsia="Times New Roman" w:hAnsi="Times New Roman" w:cs="Times New Roman"/>
          <w:color w:val="242424"/>
          <w:sz w:val="24"/>
          <w:szCs w:val="24"/>
          <w:lang w:eastAsia="en-GB"/>
        </w:rPr>
        <w:t> </w:t>
      </w:r>
    </w:p>
    <w:sectPr w:rsidR="00437771" w:rsidRPr="008619E0" w:rsidSect="00437771">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4EA"/>
    <w:rsid w:val="000C51DB"/>
    <w:rsid w:val="002545C6"/>
    <w:rsid w:val="00264B4F"/>
    <w:rsid w:val="002651EA"/>
    <w:rsid w:val="00397452"/>
    <w:rsid w:val="00437771"/>
    <w:rsid w:val="004D2839"/>
    <w:rsid w:val="006A5CBC"/>
    <w:rsid w:val="00776047"/>
    <w:rsid w:val="007C0BC8"/>
    <w:rsid w:val="008619E0"/>
    <w:rsid w:val="009634EA"/>
    <w:rsid w:val="00C34355"/>
    <w:rsid w:val="00E149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FDBA81"/>
  <w15:chartTrackingRefBased/>
  <w15:docId w15:val="{302C26FA-64F1-4ACB-8AE2-FC03C8904C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51EA"/>
  </w:style>
  <w:style w:type="paragraph" w:styleId="Heading1">
    <w:name w:val="heading 1"/>
    <w:basedOn w:val="Normal"/>
    <w:next w:val="Normal"/>
    <w:link w:val="Heading1Char"/>
    <w:uiPriority w:val="9"/>
    <w:qFormat/>
    <w:rsid w:val="002651EA"/>
    <w:pPr>
      <w:keepNext/>
      <w:keepLines/>
      <w:spacing w:before="400" w:after="40" w:line="240" w:lineRule="auto"/>
      <w:outlineLvl w:val="0"/>
    </w:pPr>
    <w:rPr>
      <w:rFonts w:asciiTheme="majorHAnsi" w:eastAsiaTheme="majorEastAsia" w:hAnsiTheme="majorHAnsi" w:cstheme="majorBidi"/>
      <w:color w:val="1F3864" w:themeColor="accent1" w:themeShade="80"/>
      <w:sz w:val="36"/>
      <w:szCs w:val="36"/>
    </w:rPr>
  </w:style>
  <w:style w:type="paragraph" w:styleId="Heading2">
    <w:name w:val="heading 2"/>
    <w:basedOn w:val="Normal"/>
    <w:next w:val="Normal"/>
    <w:link w:val="Heading2Char"/>
    <w:uiPriority w:val="9"/>
    <w:semiHidden/>
    <w:unhideWhenUsed/>
    <w:qFormat/>
    <w:rsid w:val="002651EA"/>
    <w:pPr>
      <w:keepNext/>
      <w:keepLines/>
      <w:spacing w:before="40" w:after="0" w:line="240" w:lineRule="auto"/>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651EA"/>
    <w:pPr>
      <w:keepNext/>
      <w:keepLines/>
      <w:spacing w:before="40" w:after="0" w:line="240" w:lineRule="auto"/>
      <w:outlineLvl w:val="2"/>
    </w:pPr>
    <w:rPr>
      <w:rFonts w:asciiTheme="majorHAnsi" w:eastAsiaTheme="majorEastAsia" w:hAnsiTheme="maj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651EA"/>
    <w:pPr>
      <w:keepNext/>
      <w:keepLines/>
      <w:spacing w:before="40" w:after="0"/>
      <w:outlineLvl w:val="3"/>
    </w:pPr>
    <w:rPr>
      <w:rFonts w:asciiTheme="majorHAnsi" w:eastAsiaTheme="majorEastAsia" w:hAnsiTheme="majorHAnsi" w:cstheme="majorBidi"/>
      <w:color w:val="2F5496" w:themeColor="accent1" w:themeShade="BF"/>
      <w:sz w:val="24"/>
      <w:szCs w:val="24"/>
    </w:rPr>
  </w:style>
  <w:style w:type="paragraph" w:styleId="Heading5">
    <w:name w:val="heading 5"/>
    <w:basedOn w:val="Normal"/>
    <w:next w:val="Normal"/>
    <w:link w:val="Heading5Char"/>
    <w:uiPriority w:val="9"/>
    <w:semiHidden/>
    <w:unhideWhenUsed/>
    <w:qFormat/>
    <w:rsid w:val="002651EA"/>
    <w:pPr>
      <w:keepNext/>
      <w:keepLines/>
      <w:spacing w:before="40" w:after="0"/>
      <w:outlineLvl w:val="4"/>
    </w:pPr>
    <w:rPr>
      <w:rFonts w:asciiTheme="majorHAnsi" w:eastAsiaTheme="majorEastAsia" w:hAnsiTheme="majorHAnsi" w:cstheme="majorBidi"/>
      <w:caps/>
      <w:color w:val="2F5496" w:themeColor="accent1" w:themeShade="BF"/>
    </w:rPr>
  </w:style>
  <w:style w:type="paragraph" w:styleId="Heading6">
    <w:name w:val="heading 6"/>
    <w:basedOn w:val="Normal"/>
    <w:next w:val="Normal"/>
    <w:link w:val="Heading6Char"/>
    <w:uiPriority w:val="9"/>
    <w:semiHidden/>
    <w:unhideWhenUsed/>
    <w:qFormat/>
    <w:rsid w:val="002651EA"/>
    <w:pPr>
      <w:keepNext/>
      <w:keepLines/>
      <w:spacing w:before="40" w:after="0"/>
      <w:outlineLvl w:val="5"/>
    </w:pPr>
    <w:rPr>
      <w:rFonts w:asciiTheme="majorHAnsi" w:eastAsiaTheme="majorEastAsia" w:hAnsiTheme="majorHAnsi" w:cstheme="majorBidi"/>
      <w:i/>
      <w:iCs/>
      <w:caps/>
      <w:color w:val="1F3864" w:themeColor="accent1" w:themeShade="80"/>
    </w:rPr>
  </w:style>
  <w:style w:type="paragraph" w:styleId="Heading7">
    <w:name w:val="heading 7"/>
    <w:basedOn w:val="Normal"/>
    <w:next w:val="Normal"/>
    <w:link w:val="Heading7Char"/>
    <w:uiPriority w:val="9"/>
    <w:semiHidden/>
    <w:unhideWhenUsed/>
    <w:qFormat/>
    <w:rsid w:val="002651EA"/>
    <w:pPr>
      <w:keepNext/>
      <w:keepLines/>
      <w:spacing w:before="40" w:after="0"/>
      <w:outlineLvl w:val="6"/>
    </w:pPr>
    <w:rPr>
      <w:rFonts w:asciiTheme="majorHAnsi" w:eastAsiaTheme="majorEastAsia" w:hAnsiTheme="majorHAnsi" w:cstheme="majorBidi"/>
      <w:b/>
      <w:bCs/>
      <w:color w:val="1F3864" w:themeColor="accent1" w:themeShade="80"/>
    </w:rPr>
  </w:style>
  <w:style w:type="paragraph" w:styleId="Heading8">
    <w:name w:val="heading 8"/>
    <w:basedOn w:val="Normal"/>
    <w:next w:val="Normal"/>
    <w:link w:val="Heading8Char"/>
    <w:uiPriority w:val="9"/>
    <w:semiHidden/>
    <w:unhideWhenUsed/>
    <w:qFormat/>
    <w:rsid w:val="002651EA"/>
    <w:pPr>
      <w:keepNext/>
      <w:keepLines/>
      <w:spacing w:before="40" w:after="0"/>
      <w:outlineLvl w:val="7"/>
    </w:pPr>
    <w:rPr>
      <w:rFonts w:asciiTheme="majorHAnsi" w:eastAsiaTheme="majorEastAsia" w:hAnsiTheme="majorHAnsi" w:cstheme="majorBidi"/>
      <w:b/>
      <w:bCs/>
      <w:i/>
      <w:iCs/>
      <w:color w:val="1F3864" w:themeColor="accent1" w:themeShade="80"/>
    </w:rPr>
  </w:style>
  <w:style w:type="paragraph" w:styleId="Heading9">
    <w:name w:val="heading 9"/>
    <w:basedOn w:val="Normal"/>
    <w:next w:val="Normal"/>
    <w:link w:val="Heading9Char"/>
    <w:uiPriority w:val="9"/>
    <w:semiHidden/>
    <w:unhideWhenUsed/>
    <w:qFormat/>
    <w:rsid w:val="002651EA"/>
    <w:pPr>
      <w:keepNext/>
      <w:keepLines/>
      <w:spacing w:before="40" w:after="0"/>
      <w:outlineLvl w:val="8"/>
    </w:pPr>
    <w:rPr>
      <w:rFonts w:asciiTheme="majorHAnsi" w:eastAsiaTheme="majorEastAsia" w:hAnsiTheme="majorHAnsi" w:cstheme="majorBidi"/>
      <w:i/>
      <w:iCs/>
      <w:color w:val="1F3864"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651EA"/>
    <w:rPr>
      <w:rFonts w:asciiTheme="majorHAnsi" w:eastAsiaTheme="majorEastAsia" w:hAnsiTheme="majorHAnsi" w:cstheme="majorBidi"/>
      <w:color w:val="1F3864" w:themeColor="accent1" w:themeShade="80"/>
      <w:sz w:val="36"/>
      <w:szCs w:val="36"/>
    </w:rPr>
  </w:style>
  <w:style w:type="character" w:customStyle="1" w:styleId="Heading2Char">
    <w:name w:val="Heading 2 Char"/>
    <w:basedOn w:val="DefaultParagraphFont"/>
    <w:link w:val="Heading2"/>
    <w:uiPriority w:val="9"/>
    <w:semiHidden/>
    <w:rsid w:val="002651E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651EA"/>
    <w:rPr>
      <w:rFonts w:asciiTheme="majorHAnsi" w:eastAsiaTheme="majorEastAsia" w:hAnsiTheme="maj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651EA"/>
    <w:rPr>
      <w:rFonts w:asciiTheme="majorHAnsi" w:eastAsiaTheme="majorEastAsia" w:hAnsiTheme="majorHAnsi" w:cstheme="majorBidi"/>
      <w:color w:val="2F5496" w:themeColor="accent1" w:themeShade="BF"/>
      <w:sz w:val="24"/>
      <w:szCs w:val="24"/>
    </w:rPr>
  </w:style>
  <w:style w:type="character" w:customStyle="1" w:styleId="Heading5Char">
    <w:name w:val="Heading 5 Char"/>
    <w:basedOn w:val="DefaultParagraphFont"/>
    <w:link w:val="Heading5"/>
    <w:uiPriority w:val="9"/>
    <w:semiHidden/>
    <w:rsid w:val="002651EA"/>
    <w:rPr>
      <w:rFonts w:asciiTheme="majorHAnsi" w:eastAsiaTheme="majorEastAsia" w:hAnsiTheme="majorHAnsi" w:cstheme="majorBidi"/>
      <w:caps/>
      <w:color w:val="2F5496" w:themeColor="accent1" w:themeShade="BF"/>
    </w:rPr>
  </w:style>
  <w:style w:type="character" w:customStyle="1" w:styleId="Heading6Char">
    <w:name w:val="Heading 6 Char"/>
    <w:basedOn w:val="DefaultParagraphFont"/>
    <w:link w:val="Heading6"/>
    <w:uiPriority w:val="9"/>
    <w:semiHidden/>
    <w:rsid w:val="002651EA"/>
    <w:rPr>
      <w:rFonts w:asciiTheme="majorHAnsi" w:eastAsiaTheme="majorEastAsia" w:hAnsiTheme="majorHAnsi" w:cstheme="majorBidi"/>
      <w:i/>
      <w:iCs/>
      <w:caps/>
      <w:color w:val="1F3864" w:themeColor="accent1" w:themeShade="80"/>
    </w:rPr>
  </w:style>
  <w:style w:type="character" w:customStyle="1" w:styleId="Heading7Char">
    <w:name w:val="Heading 7 Char"/>
    <w:basedOn w:val="DefaultParagraphFont"/>
    <w:link w:val="Heading7"/>
    <w:uiPriority w:val="9"/>
    <w:semiHidden/>
    <w:rsid w:val="002651EA"/>
    <w:rPr>
      <w:rFonts w:asciiTheme="majorHAnsi" w:eastAsiaTheme="majorEastAsia" w:hAnsiTheme="majorHAnsi" w:cstheme="majorBidi"/>
      <w:b/>
      <w:bCs/>
      <w:color w:val="1F3864" w:themeColor="accent1" w:themeShade="80"/>
    </w:rPr>
  </w:style>
  <w:style w:type="character" w:customStyle="1" w:styleId="Heading8Char">
    <w:name w:val="Heading 8 Char"/>
    <w:basedOn w:val="DefaultParagraphFont"/>
    <w:link w:val="Heading8"/>
    <w:uiPriority w:val="9"/>
    <w:semiHidden/>
    <w:rsid w:val="002651EA"/>
    <w:rPr>
      <w:rFonts w:asciiTheme="majorHAnsi" w:eastAsiaTheme="majorEastAsia" w:hAnsiTheme="majorHAnsi" w:cstheme="majorBidi"/>
      <w:b/>
      <w:bCs/>
      <w:i/>
      <w:iCs/>
      <w:color w:val="1F3864" w:themeColor="accent1" w:themeShade="80"/>
    </w:rPr>
  </w:style>
  <w:style w:type="character" w:customStyle="1" w:styleId="Heading9Char">
    <w:name w:val="Heading 9 Char"/>
    <w:basedOn w:val="DefaultParagraphFont"/>
    <w:link w:val="Heading9"/>
    <w:uiPriority w:val="9"/>
    <w:semiHidden/>
    <w:rsid w:val="002651EA"/>
    <w:rPr>
      <w:rFonts w:asciiTheme="majorHAnsi" w:eastAsiaTheme="majorEastAsia" w:hAnsiTheme="majorHAnsi" w:cstheme="majorBidi"/>
      <w:i/>
      <w:iCs/>
      <w:color w:val="1F3864" w:themeColor="accent1" w:themeShade="80"/>
    </w:rPr>
  </w:style>
  <w:style w:type="paragraph" w:styleId="Caption">
    <w:name w:val="caption"/>
    <w:basedOn w:val="Normal"/>
    <w:next w:val="Normal"/>
    <w:uiPriority w:val="35"/>
    <w:unhideWhenUsed/>
    <w:qFormat/>
    <w:rsid w:val="002651EA"/>
    <w:pPr>
      <w:spacing w:line="240" w:lineRule="auto"/>
    </w:pPr>
    <w:rPr>
      <w:b/>
      <w:bCs/>
      <w:smallCaps/>
      <w:color w:val="FFFFFF" w:themeColor="text2"/>
    </w:rPr>
  </w:style>
  <w:style w:type="paragraph" w:styleId="Title">
    <w:name w:val="Title"/>
    <w:basedOn w:val="Normal"/>
    <w:next w:val="Normal"/>
    <w:link w:val="TitleChar"/>
    <w:uiPriority w:val="10"/>
    <w:qFormat/>
    <w:rsid w:val="002651EA"/>
    <w:pPr>
      <w:spacing w:after="0" w:line="204" w:lineRule="auto"/>
      <w:contextualSpacing/>
    </w:pPr>
    <w:rPr>
      <w:rFonts w:asciiTheme="majorHAnsi" w:eastAsiaTheme="majorEastAsia" w:hAnsiTheme="majorHAnsi" w:cstheme="majorBidi"/>
      <w:caps/>
      <w:color w:val="FFFFFF" w:themeColor="text2"/>
      <w:spacing w:val="-15"/>
      <w:sz w:val="72"/>
      <w:szCs w:val="72"/>
    </w:rPr>
  </w:style>
  <w:style w:type="character" w:customStyle="1" w:styleId="TitleChar">
    <w:name w:val="Title Char"/>
    <w:basedOn w:val="DefaultParagraphFont"/>
    <w:link w:val="Title"/>
    <w:uiPriority w:val="10"/>
    <w:rsid w:val="002651EA"/>
    <w:rPr>
      <w:rFonts w:asciiTheme="majorHAnsi" w:eastAsiaTheme="majorEastAsia" w:hAnsiTheme="majorHAnsi" w:cstheme="majorBidi"/>
      <w:caps/>
      <w:color w:val="FFFFFF" w:themeColor="text2"/>
      <w:spacing w:val="-15"/>
      <w:sz w:val="72"/>
      <w:szCs w:val="72"/>
    </w:rPr>
  </w:style>
  <w:style w:type="paragraph" w:styleId="Subtitle">
    <w:name w:val="Subtitle"/>
    <w:basedOn w:val="Normal"/>
    <w:next w:val="Normal"/>
    <w:link w:val="SubtitleChar"/>
    <w:uiPriority w:val="11"/>
    <w:qFormat/>
    <w:rsid w:val="002651EA"/>
    <w:pPr>
      <w:numPr>
        <w:ilvl w:val="1"/>
      </w:numPr>
      <w:spacing w:after="240" w:line="240" w:lineRule="auto"/>
    </w:pPr>
    <w:rPr>
      <w:rFonts w:asciiTheme="majorHAnsi" w:eastAsiaTheme="majorEastAsia" w:hAnsiTheme="majorHAnsi" w:cstheme="majorBidi"/>
      <w:color w:val="4472C4" w:themeColor="accent1"/>
      <w:sz w:val="28"/>
      <w:szCs w:val="28"/>
    </w:rPr>
  </w:style>
  <w:style w:type="character" w:customStyle="1" w:styleId="SubtitleChar">
    <w:name w:val="Subtitle Char"/>
    <w:basedOn w:val="DefaultParagraphFont"/>
    <w:link w:val="Subtitle"/>
    <w:uiPriority w:val="11"/>
    <w:rsid w:val="002651EA"/>
    <w:rPr>
      <w:rFonts w:asciiTheme="majorHAnsi" w:eastAsiaTheme="majorEastAsia" w:hAnsiTheme="majorHAnsi" w:cstheme="majorBidi"/>
      <w:color w:val="4472C4" w:themeColor="accent1"/>
      <w:sz w:val="28"/>
      <w:szCs w:val="28"/>
    </w:rPr>
  </w:style>
  <w:style w:type="character" w:styleId="Strong">
    <w:name w:val="Strong"/>
    <w:basedOn w:val="DefaultParagraphFont"/>
    <w:uiPriority w:val="22"/>
    <w:qFormat/>
    <w:rsid w:val="002651EA"/>
    <w:rPr>
      <w:b/>
      <w:bCs/>
    </w:rPr>
  </w:style>
  <w:style w:type="character" w:styleId="Emphasis">
    <w:name w:val="Emphasis"/>
    <w:basedOn w:val="DefaultParagraphFont"/>
    <w:uiPriority w:val="20"/>
    <w:qFormat/>
    <w:rsid w:val="002651EA"/>
    <w:rPr>
      <w:i/>
      <w:iCs/>
    </w:rPr>
  </w:style>
  <w:style w:type="paragraph" w:styleId="NoSpacing">
    <w:name w:val="No Spacing"/>
    <w:uiPriority w:val="1"/>
    <w:qFormat/>
    <w:rsid w:val="002651EA"/>
    <w:pPr>
      <w:spacing w:after="0" w:line="240" w:lineRule="auto"/>
    </w:pPr>
  </w:style>
  <w:style w:type="paragraph" w:styleId="ListParagraph">
    <w:name w:val="List Paragraph"/>
    <w:basedOn w:val="Normal"/>
    <w:uiPriority w:val="34"/>
    <w:qFormat/>
    <w:rsid w:val="002651EA"/>
    <w:pPr>
      <w:ind w:left="720"/>
      <w:contextualSpacing/>
    </w:pPr>
  </w:style>
  <w:style w:type="paragraph" w:styleId="Quote">
    <w:name w:val="Quote"/>
    <w:basedOn w:val="Normal"/>
    <w:next w:val="Normal"/>
    <w:link w:val="QuoteChar"/>
    <w:uiPriority w:val="29"/>
    <w:qFormat/>
    <w:rsid w:val="002651EA"/>
    <w:pPr>
      <w:spacing w:before="120" w:after="120"/>
      <w:ind w:left="720"/>
    </w:pPr>
    <w:rPr>
      <w:color w:val="FFFFFF" w:themeColor="text2"/>
      <w:sz w:val="24"/>
      <w:szCs w:val="24"/>
    </w:rPr>
  </w:style>
  <w:style w:type="character" w:customStyle="1" w:styleId="QuoteChar">
    <w:name w:val="Quote Char"/>
    <w:basedOn w:val="DefaultParagraphFont"/>
    <w:link w:val="Quote"/>
    <w:uiPriority w:val="29"/>
    <w:rsid w:val="002651EA"/>
    <w:rPr>
      <w:color w:val="FFFFFF" w:themeColor="text2"/>
      <w:sz w:val="24"/>
      <w:szCs w:val="24"/>
    </w:rPr>
  </w:style>
  <w:style w:type="paragraph" w:styleId="IntenseQuote">
    <w:name w:val="Intense Quote"/>
    <w:basedOn w:val="Normal"/>
    <w:next w:val="Normal"/>
    <w:link w:val="IntenseQuoteChar"/>
    <w:uiPriority w:val="30"/>
    <w:qFormat/>
    <w:rsid w:val="002651EA"/>
    <w:pPr>
      <w:spacing w:before="100" w:beforeAutospacing="1" w:after="240" w:line="240" w:lineRule="auto"/>
      <w:ind w:left="720"/>
      <w:jc w:val="center"/>
    </w:pPr>
    <w:rPr>
      <w:rFonts w:asciiTheme="majorHAnsi" w:eastAsiaTheme="majorEastAsia" w:hAnsiTheme="majorHAnsi" w:cstheme="majorBidi"/>
      <w:color w:val="FFFFFF" w:themeColor="text2"/>
      <w:spacing w:val="-6"/>
      <w:sz w:val="32"/>
      <w:szCs w:val="32"/>
    </w:rPr>
  </w:style>
  <w:style w:type="character" w:customStyle="1" w:styleId="IntenseQuoteChar">
    <w:name w:val="Intense Quote Char"/>
    <w:basedOn w:val="DefaultParagraphFont"/>
    <w:link w:val="IntenseQuote"/>
    <w:uiPriority w:val="30"/>
    <w:rsid w:val="002651EA"/>
    <w:rPr>
      <w:rFonts w:asciiTheme="majorHAnsi" w:eastAsiaTheme="majorEastAsia" w:hAnsiTheme="majorHAnsi" w:cstheme="majorBidi"/>
      <w:color w:val="FFFFFF" w:themeColor="text2"/>
      <w:spacing w:val="-6"/>
      <w:sz w:val="32"/>
      <w:szCs w:val="32"/>
    </w:rPr>
  </w:style>
  <w:style w:type="character" w:styleId="SubtleEmphasis">
    <w:name w:val="Subtle Emphasis"/>
    <w:basedOn w:val="DefaultParagraphFont"/>
    <w:uiPriority w:val="19"/>
    <w:qFormat/>
    <w:rsid w:val="002651EA"/>
    <w:rPr>
      <w:i/>
      <w:iCs/>
      <w:color w:val="FFFFFF" w:themeColor="text1" w:themeTint="A6"/>
    </w:rPr>
  </w:style>
  <w:style w:type="character" w:styleId="IntenseEmphasis">
    <w:name w:val="Intense Emphasis"/>
    <w:basedOn w:val="DefaultParagraphFont"/>
    <w:uiPriority w:val="21"/>
    <w:qFormat/>
    <w:rsid w:val="002651EA"/>
    <w:rPr>
      <w:b/>
      <w:bCs/>
      <w:i/>
      <w:iCs/>
    </w:rPr>
  </w:style>
  <w:style w:type="character" w:styleId="SubtleReference">
    <w:name w:val="Subtle Reference"/>
    <w:basedOn w:val="DefaultParagraphFont"/>
    <w:uiPriority w:val="31"/>
    <w:qFormat/>
    <w:rsid w:val="002651EA"/>
    <w:rPr>
      <w:smallCaps/>
      <w:color w:val="FFFFFF" w:themeColor="text1" w:themeTint="A6"/>
      <w:u w:val="none" w:color="FFFFFF" w:themeColor="text1" w:themeTint="80"/>
      <w:bdr w:val="none" w:sz="0" w:space="0" w:color="auto"/>
    </w:rPr>
  </w:style>
  <w:style w:type="character" w:styleId="IntenseReference">
    <w:name w:val="Intense Reference"/>
    <w:basedOn w:val="DefaultParagraphFont"/>
    <w:uiPriority w:val="32"/>
    <w:qFormat/>
    <w:rsid w:val="002651EA"/>
    <w:rPr>
      <w:b/>
      <w:bCs/>
      <w:smallCaps/>
      <w:color w:val="FFFFFF" w:themeColor="text2"/>
      <w:u w:val="single"/>
    </w:rPr>
  </w:style>
  <w:style w:type="character" w:styleId="BookTitle">
    <w:name w:val="Book Title"/>
    <w:basedOn w:val="DefaultParagraphFont"/>
    <w:uiPriority w:val="33"/>
    <w:qFormat/>
    <w:rsid w:val="002651EA"/>
    <w:rPr>
      <w:b/>
      <w:bCs/>
      <w:smallCaps/>
      <w:spacing w:val="10"/>
    </w:rPr>
  </w:style>
  <w:style w:type="paragraph" w:styleId="TOCHeading">
    <w:name w:val="TOC Heading"/>
    <w:basedOn w:val="Heading1"/>
    <w:next w:val="Normal"/>
    <w:uiPriority w:val="39"/>
    <w:semiHidden/>
    <w:unhideWhenUsed/>
    <w:qFormat/>
    <w:rsid w:val="002651EA"/>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6157803">
      <w:bodyDiv w:val="1"/>
      <w:marLeft w:val="0"/>
      <w:marRight w:val="0"/>
      <w:marTop w:val="0"/>
      <w:marBottom w:val="0"/>
      <w:divBdr>
        <w:top w:val="none" w:sz="0" w:space="0" w:color="auto"/>
        <w:left w:val="none" w:sz="0" w:space="0" w:color="auto"/>
        <w:bottom w:val="none" w:sz="0" w:space="0" w:color="auto"/>
        <w:right w:val="none" w:sz="0" w:space="0" w:color="auto"/>
      </w:divBdr>
      <w:divsChild>
        <w:div w:id="485125685">
          <w:marLeft w:val="0"/>
          <w:marRight w:val="0"/>
          <w:marTop w:val="0"/>
          <w:marBottom w:val="0"/>
          <w:divBdr>
            <w:top w:val="none" w:sz="0" w:space="0" w:color="auto"/>
            <w:left w:val="none" w:sz="0" w:space="0" w:color="auto"/>
            <w:bottom w:val="none" w:sz="0" w:space="0" w:color="auto"/>
            <w:right w:val="none" w:sz="0" w:space="0" w:color="auto"/>
          </w:divBdr>
          <w:divsChild>
            <w:div w:id="782962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Custom 2">
      <a:dk1>
        <a:srgbClr val="FFFFFF"/>
      </a:dk1>
      <a:lt1>
        <a:sysClr val="window" lastClr="FFFFFF"/>
      </a:lt1>
      <a:dk2>
        <a:srgbClr val="FFFFFF"/>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274</Words>
  <Characters>1566</Characters>
  <Application>Microsoft Office Word</Application>
  <DocSecurity>0</DocSecurity>
  <Lines>13</Lines>
  <Paragraphs>3</Paragraphs>
  <ScaleCrop>false</ScaleCrop>
  <Company/>
  <LinksUpToDate>false</LinksUpToDate>
  <CharactersWithSpaces>1837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Zidere</dc:creator>
  <cp:keywords/>
  <dc:description/>
  <cp:lastModifiedBy>Vita Zidere</cp:lastModifiedBy>
  <cp:revision>9</cp:revision>
  <dcterms:created xsi:type="dcterms:W3CDTF">2025-07-06T20:52:00Z</dcterms:created>
  <dcterms:modified xsi:type="dcterms:W3CDTF">2025-07-17T18:53:00Z</dcterms:modified>
</cp:coreProperties>
</file>