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97FB" w14:textId="77777777" w:rsidR="00D44948" w:rsidRPr="00717C20" w:rsidRDefault="00D44948" w:rsidP="00717C20">
      <w:pPr>
        <w:rPr>
          <w:sz w:val="32"/>
          <w:szCs w:val="32"/>
        </w:rPr>
      </w:pPr>
      <w:bookmarkStart w:id="0" w:name="_Toc190286519"/>
      <w:r w:rsidRPr="00717C20">
        <w:rPr>
          <w:sz w:val="32"/>
          <w:szCs w:val="32"/>
        </w:rPr>
        <w:t>Supplementary material</w:t>
      </w:r>
      <w:bookmarkEnd w:id="0"/>
    </w:p>
    <w:p w14:paraId="51271621" w14:textId="4207ED8A" w:rsidR="00D44948" w:rsidRPr="00717C20" w:rsidRDefault="00D44948" w:rsidP="00717C20">
      <w:pPr>
        <w:rPr>
          <w:sz w:val="32"/>
          <w:szCs w:val="32"/>
        </w:rPr>
      </w:pPr>
      <w:bookmarkStart w:id="1" w:name="_Toc190286520"/>
      <w:r w:rsidRPr="00717C20">
        <w:rPr>
          <w:sz w:val="32"/>
          <w:szCs w:val="32"/>
        </w:rPr>
        <w:t>Xpert MTB/RIF® cycle threshold as a marker of TB disease severity; Implications for TB treatment stratification</w:t>
      </w:r>
      <w:bookmarkEnd w:id="1"/>
    </w:p>
    <w:p w14:paraId="6388D7B0" w14:textId="77777777" w:rsidR="00D44948" w:rsidRPr="00346639" w:rsidRDefault="00D44948" w:rsidP="00D44948"/>
    <w:p w14:paraId="13C763C4" w14:textId="77777777" w:rsidR="00D44948" w:rsidRDefault="00D44948" w:rsidP="00D44948">
      <w:r>
        <w:t>Authors:</w:t>
      </w:r>
    </w:p>
    <w:p w14:paraId="634B0E19" w14:textId="77777777" w:rsidR="00D44948" w:rsidRDefault="00D44948" w:rsidP="00D44948">
      <w:r>
        <w:t>Daniel J. Grint, Jasvir Dhillon, Philip D. Butcher,</w:t>
      </w:r>
      <w:r w:rsidRPr="006B1B12">
        <w:t xml:space="preserve"> </w:t>
      </w:r>
      <w:r>
        <w:t>Jack Adams, Tulika Munshi,</w:t>
      </w:r>
      <w:r w:rsidRPr="00D102C4">
        <w:t xml:space="preserve"> </w:t>
      </w:r>
      <w:r>
        <w:t>Adam Witney, Kate Gould, Ken Laing,</w:t>
      </w:r>
      <w:r w:rsidRPr="00EF7907">
        <w:t xml:space="preserve"> </w:t>
      </w:r>
      <w:r>
        <w:t>Christopher Cousins, Sean Wasserman,</w:t>
      </w:r>
      <w:r w:rsidRPr="00EF7907">
        <w:t xml:space="preserve"> </w:t>
      </w:r>
      <w:r>
        <w:t>Katherine Fielding, Tom Harrison, Amina Jindani, on behalf of the RIFASHORT study team</w:t>
      </w:r>
    </w:p>
    <w:p w14:paraId="50B01F96" w14:textId="77777777" w:rsidR="009D66B3" w:rsidRDefault="009D66B3"/>
    <w:p w14:paraId="0609D494" w14:textId="422CE4A4" w:rsidR="00D44948" w:rsidRDefault="00D44948">
      <w:pPr>
        <w:jc w:val="left"/>
      </w:pPr>
      <w:r>
        <w:br w:type="page"/>
      </w:r>
    </w:p>
    <w:sdt>
      <w:sdtPr>
        <w:id w:val="-128194460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  <w:lang w:val="en-GB"/>
        </w:rPr>
      </w:sdtEndPr>
      <w:sdtContent>
        <w:p w14:paraId="73C041C8" w14:textId="6ED76F0D" w:rsidR="00717C20" w:rsidRDefault="00717C20">
          <w:pPr>
            <w:pStyle w:val="TOCHeading"/>
          </w:pPr>
          <w:r>
            <w:t>Table of Contents</w:t>
          </w:r>
        </w:p>
        <w:p w14:paraId="15992C14" w14:textId="59A38462" w:rsidR="00717C20" w:rsidRDefault="00717C20" w:rsidP="00717C20">
          <w:pPr>
            <w:pStyle w:val="TOC3"/>
            <w:tabs>
              <w:tab w:val="right" w:leader="dot" w:pos="9016"/>
            </w:tabs>
            <w:ind w:left="0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0286657" w:history="1">
            <w:r w:rsidRPr="008239DE">
              <w:rPr>
                <w:rStyle w:val="Hyperlink"/>
                <w:noProof/>
              </w:rPr>
              <w:t>1. RIFASHORT trial chest X-ray case report form (CRF)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_Toc190286657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CC5BF" w14:textId="430F77B1" w:rsidR="00717C20" w:rsidRDefault="00717C20" w:rsidP="00717C20">
          <w:pPr>
            <w:pStyle w:val="TOC3"/>
            <w:tabs>
              <w:tab w:val="right" w:leader="dot" w:pos="9016"/>
            </w:tabs>
            <w:ind w:left="0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0286658" w:history="1">
            <w:r w:rsidRPr="008239DE">
              <w:rPr>
                <w:rStyle w:val="Hyperlink"/>
                <w:noProof/>
              </w:rPr>
              <w:t>2. Excerpt on analysis populations from the RIFASHORT trial statistical analysis plan (SAP)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_Toc190286658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AF8FE" w14:textId="39493271" w:rsidR="00717C20" w:rsidRDefault="00717C20" w:rsidP="00717C20">
          <w:pPr>
            <w:pStyle w:val="TOC3"/>
            <w:tabs>
              <w:tab w:val="right" w:leader="dot" w:pos="9016"/>
            </w:tabs>
            <w:ind w:left="0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0286659" w:history="1">
            <w:r w:rsidRPr="008239DE">
              <w:rPr>
                <w:rStyle w:val="Hyperlink"/>
                <w:noProof/>
              </w:rPr>
              <w:t>Table 1 RIFASHORT trial outcome disaggregation according to limited and extensive disease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_Toc190286659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F027C" w14:textId="1AD2FC53" w:rsidR="00717C20" w:rsidRDefault="00717C20" w:rsidP="00717C20">
          <w:pPr>
            <w:pStyle w:val="TOC3"/>
            <w:tabs>
              <w:tab w:val="right" w:leader="dot" w:pos="9016"/>
            </w:tabs>
            <w:ind w:left="0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0286660" w:history="1">
            <w:r w:rsidRPr="008239DE">
              <w:rPr>
                <w:rStyle w:val="Hyperlink"/>
                <w:noProof/>
              </w:rPr>
              <w:t>Figure 1 RIFASHORT reanalysis with stratification by semiquantitative bacterial burden only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_Toc190286660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F4390" w14:textId="7C79C26E" w:rsidR="00717C20" w:rsidRDefault="00717C20" w:rsidP="00717C20">
          <w:pPr>
            <w:pStyle w:val="TOC3"/>
            <w:tabs>
              <w:tab w:val="right" w:leader="dot" w:pos="9016"/>
            </w:tabs>
            <w:ind w:left="0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0286661" w:history="1">
            <w:r w:rsidRPr="008239DE">
              <w:rPr>
                <w:rStyle w:val="Hyperlink"/>
                <w:noProof/>
              </w:rPr>
              <w:t>Table 2 RIFASHORT trial outcome disaggregation according to limited and extensive disease defined by semiquantitative bacterial burden only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_Toc190286661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890D7" w14:textId="65CFB018" w:rsidR="00717C20" w:rsidRDefault="00717C20" w:rsidP="00717C20">
          <w:pPr>
            <w:ind w:hanging="440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EDFD87F" w14:textId="354FE258" w:rsidR="00717C20" w:rsidRDefault="00717C20"/>
    <w:p w14:paraId="4F4C4E3B" w14:textId="3D62016E" w:rsidR="00D44948" w:rsidRDefault="00D44948">
      <w:pPr>
        <w:jc w:val="left"/>
      </w:pPr>
      <w:r>
        <w:br w:type="page"/>
      </w:r>
    </w:p>
    <w:p w14:paraId="3F3E2D97" w14:textId="7E373CD5" w:rsidR="00D44948" w:rsidRDefault="00D44948" w:rsidP="00D44948">
      <w:pPr>
        <w:pStyle w:val="Heading3"/>
      </w:pPr>
      <w:bookmarkStart w:id="2" w:name="_Toc190286521"/>
      <w:bookmarkStart w:id="3" w:name="_Toc190286657"/>
      <w:r>
        <w:lastRenderedPageBreak/>
        <w:t>1. RIFASHORT trial chest X-ray case report form (CRF)</w:t>
      </w:r>
      <w:bookmarkEnd w:id="2"/>
      <w:bookmarkEnd w:id="3"/>
    </w:p>
    <w:p w14:paraId="785AF6DF" w14:textId="00500150" w:rsidR="00D44948" w:rsidRDefault="00D44948">
      <w:r w:rsidRPr="00D44948">
        <w:rPr>
          <w:noProof/>
        </w:rPr>
        <w:drawing>
          <wp:inline distT="0" distB="0" distL="0" distR="0" wp14:anchorId="26E507B7" wp14:editId="15F64899">
            <wp:extent cx="5731510" cy="7950835"/>
            <wp:effectExtent l="0" t="0" r="2540" b="0"/>
            <wp:docPr id="824801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5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EFFAE" w14:textId="77777777" w:rsidR="00D44948" w:rsidRDefault="00D44948">
      <w:pPr>
        <w:jc w:val="left"/>
      </w:pPr>
      <w:r>
        <w:br w:type="page"/>
      </w:r>
    </w:p>
    <w:p w14:paraId="0A5BD6E7" w14:textId="072D3D57" w:rsidR="00D44948" w:rsidRDefault="00D44948">
      <w:r w:rsidRPr="00D44948">
        <w:rPr>
          <w:noProof/>
        </w:rPr>
        <w:lastRenderedPageBreak/>
        <w:drawing>
          <wp:inline distT="0" distB="0" distL="0" distR="0" wp14:anchorId="3A593E01" wp14:editId="755CC883">
            <wp:extent cx="5731510" cy="8005445"/>
            <wp:effectExtent l="0" t="0" r="2540" b="0"/>
            <wp:docPr id="18938633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0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6D4FF" w14:textId="77777777" w:rsidR="00D44948" w:rsidRDefault="00D44948">
      <w:pPr>
        <w:jc w:val="left"/>
      </w:pPr>
      <w:r>
        <w:br w:type="page"/>
      </w:r>
    </w:p>
    <w:p w14:paraId="71AFFA96" w14:textId="76685D4F" w:rsidR="00D44948" w:rsidRDefault="00D44948" w:rsidP="00D44948">
      <w:pPr>
        <w:pStyle w:val="Heading3"/>
      </w:pPr>
      <w:bookmarkStart w:id="4" w:name="_Toc190286522"/>
      <w:bookmarkStart w:id="5" w:name="_Toc190286658"/>
      <w:r>
        <w:lastRenderedPageBreak/>
        <w:t>2. Excerpt on analysis populations from the RIFASHORT trial statistical analysis plan (SAP)</w:t>
      </w:r>
      <w:bookmarkEnd w:id="4"/>
      <w:bookmarkEnd w:id="5"/>
    </w:p>
    <w:p w14:paraId="6199D15E" w14:textId="2343A9D4" w:rsidR="00D44948" w:rsidRDefault="00D44948" w:rsidP="00D44948">
      <w:r w:rsidRPr="00D44948">
        <w:rPr>
          <w:noProof/>
        </w:rPr>
        <w:drawing>
          <wp:inline distT="0" distB="0" distL="0" distR="0" wp14:anchorId="5C552775" wp14:editId="6D8C9BF9">
            <wp:extent cx="5731510" cy="7988300"/>
            <wp:effectExtent l="0" t="0" r="2540" b="0"/>
            <wp:docPr id="7377803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0" b="4516"/>
                    <a:stretch/>
                  </pic:blipFill>
                  <pic:spPr bwMode="auto">
                    <a:xfrm>
                      <a:off x="0" y="0"/>
                      <a:ext cx="5731510" cy="798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14:paraId="5AE56F6E" w14:textId="25C69E1A" w:rsidR="00D44948" w:rsidRDefault="00D44948" w:rsidP="00D44948">
      <w:r w:rsidRPr="00D44948">
        <w:rPr>
          <w:noProof/>
        </w:rPr>
        <w:lastRenderedPageBreak/>
        <w:drawing>
          <wp:inline distT="0" distB="0" distL="0" distR="0" wp14:anchorId="08DA583B" wp14:editId="058A3C9B">
            <wp:extent cx="5731510" cy="8314055"/>
            <wp:effectExtent l="0" t="0" r="2540" b="0"/>
            <wp:docPr id="9790373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1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73713" w14:textId="77777777" w:rsidR="00D44948" w:rsidRDefault="00D44948" w:rsidP="00D44948">
      <w:pPr>
        <w:jc w:val="left"/>
        <w:sectPr w:rsidR="00D4494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155DB31" w14:textId="4B832065" w:rsidR="00D44948" w:rsidRDefault="00D44948" w:rsidP="00D44948">
      <w:pPr>
        <w:pStyle w:val="Heading3"/>
      </w:pPr>
      <w:bookmarkStart w:id="6" w:name="_Toc190286523"/>
      <w:bookmarkStart w:id="7" w:name="_Toc190286659"/>
      <w:r>
        <w:lastRenderedPageBreak/>
        <w:t>Table 1 RIFASHORT trial outcome disaggregation according to limited and extensive disease</w:t>
      </w:r>
      <w:bookmarkEnd w:id="6"/>
      <w:bookmarkEnd w:id="7"/>
    </w:p>
    <w:p w14:paraId="62C82C3F" w14:textId="77777777" w:rsidR="00D44948" w:rsidRDefault="00D44948" w:rsidP="00D44948">
      <w:pPr>
        <w:adjustRightInd w:val="0"/>
        <w:spacing w:before="10" w:after="10"/>
        <w:rPr>
          <w:rFonts w:ascii="Calibri" w:hAnsi="Calibri" w:cs="Calibri"/>
          <w:b/>
          <w:bCs/>
          <w:color w:val="000000"/>
        </w:rPr>
      </w:pPr>
    </w:p>
    <w:p w14:paraId="05294E91" w14:textId="33D7C80D" w:rsidR="00D44948" w:rsidRDefault="00D44948" w:rsidP="00D44948">
      <w:pPr>
        <w:adjustRightInd w:val="0"/>
        <w:spacing w:before="10" w:after="1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Limited disease</w:t>
      </w:r>
      <w:r>
        <w:rPr>
          <w:rFonts w:ascii="Calibri" w:hAnsi="Calibri" w:cs="Calibri"/>
          <w:b/>
          <w:bCs/>
          <w:color w:val="000000"/>
        </w:rPr>
        <w:t xml:space="preserve"> outcomes: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D44948">
        <w:rPr>
          <w:rFonts w:ascii="Calibri" w:hAnsi="Calibri" w:cs="Calibri"/>
          <w:color w:val="000000"/>
        </w:rPr>
        <w:t xml:space="preserve">defined by absence of CXR (≥50% lung involvement, bilateral disease, and cavitation) and </w:t>
      </w:r>
      <w:r w:rsidR="00B56011">
        <w:rPr>
          <w:rFonts w:ascii="Calibri" w:hAnsi="Calibri" w:cs="Calibri"/>
          <w:color w:val="000000"/>
        </w:rPr>
        <w:t>&lt;</w:t>
      </w:r>
      <w:r w:rsidRPr="00D44948">
        <w:rPr>
          <w:rFonts w:ascii="Calibri" w:hAnsi="Calibri" w:cs="Calibri"/>
          <w:color w:val="000000"/>
        </w:rPr>
        <w:t>high semiquantitative CT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4"/>
        <w:gridCol w:w="1711"/>
        <w:gridCol w:w="1711"/>
        <w:gridCol w:w="1711"/>
      </w:tblGrid>
      <w:tr w:rsidR="00D44948" w14:paraId="0F566ADA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9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5320447E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bookmarkStart w:id="8" w:name="IDX"/>
            <w:bookmarkEnd w:id="8"/>
            <w:proofErr w:type="spellStart"/>
            <w:r w:rsidRPr="00D44948">
              <w:rPr>
                <w:rFonts w:ascii="Calibri" w:hAnsi="Calibri" w:cs="Calibri"/>
                <w:b/>
                <w:bCs/>
                <w:color w:val="000000"/>
              </w:rPr>
              <w:t>mITT</w:t>
            </w:r>
            <w:proofErr w:type="spellEnd"/>
            <w:r w:rsidRPr="00D44948">
              <w:rPr>
                <w:rFonts w:ascii="Calibri" w:hAnsi="Calibri" w:cs="Calibri"/>
                <w:b/>
                <w:bCs/>
                <w:color w:val="000000"/>
              </w:rPr>
              <w:t>-M</w:t>
            </w:r>
            <w:r>
              <w:rPr>
                <w:rFonts w:ascii="Calibri" w:hAnsi="Calibri" w:cs="Calibri"/>
                <w:color w:val="000000"/>
              </w:rPr>
              <w:t xml:space="preserve"> analysis outcomes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17F06D11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Control</w:t>
            </w:r>
            <w:r>
              <w:rPr>
                <w:rFonts w:ascii="Calibri" w:hAnsi="Calibri" w:cs="Calibri"/>
                <w:color w:val="000000"/>
              </w:rPr>
              <w:br/>
              <w:t>(N=130)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7D94F01A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Study regimen 1</w:t>
            </w:r>
            <w:r>
              <w:rPr>
                <w:rFonts w:ascii="Calibri" w:hAnsi="Calibri" w:cs="Calibri"/>
                <w:color w:val="000000"/>
              </w:rPr>
              <w:br/>
              <w:t>(N=141)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55CC07DC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Study regimen 2</w:t>
            </w:r>
            <w:r>
              <w:rPr>
                <w:rFonts w:ascii="Calibri" w:hAnsi="Calibri" w:cs="Calibri"/>
                <w:color w:val="000000"/>
              </w:rPr>
              <w:br/>
              <w:t>(N=124)</w:t>
            </w:r>
          </w:p>
        </w:tc>
      </w:tr>
      <w:tr w:rsidR="00D44948" w14:paraId="38CB6818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14DDE34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Favourable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3521C6D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0194988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526B3C6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948" w14:paraId="72312CC8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E65228A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Participants with outcome - n (%)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8EB0B1C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 (91.5)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C15F821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 (92.9)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1DCE45A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 (86.3)</w:t>
            </w:r>
          </w:p>
        </w:tc>
      </w:tr>
      <w:tr w:rsidR="00D44948" w14:paraId="5E36C907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38FD78F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Unfavourable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04D802A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83A7E5C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70E649D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948" w14:paraId="03170A26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6CB0441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Participants with outcome - n (%)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56F3556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(8.5)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65E0AA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(7.1)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0CC2794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 (13.7)</w:t>
            </w:r>
          </w:p>
        </w:tc>
      </w:tr>
      <w:tr w:rsidR="00D44948" w14:paraId="0A157D76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5ECFBD1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Adjusted risk difference to control (95% CI)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F855A9F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9F23A24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CAD2948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948" w14:paraId="40FB4E62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57AC439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Death during the treatment phase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1C6ACE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(1.5)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DE4E16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(2.1)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0A910EF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44948" w14:paraId="19B8E6AF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3FAC9DD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Post-treatment death, TB a plausible cause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71EE8F8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7DC4917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(0.7)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8ECA66A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44948" w14:paraId="149D7E03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5768790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Lost to follow-up during the treatment phase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F3B7DCD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(1.5)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855D6D2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01F1CB8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(0.8)</w:t>
            </w:r>
          </w:p>
        </w:tc>
      </w:tr>
      <w:tr w:rsidR="00D44948" w14:paraId="25663237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8F7F148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Withdrew from the trial during the treatment phase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AF06033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(2.3)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2A766E8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(0.7)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B23BF13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(4.0)</w:t>
            </w:r>
          </w:p>
        </w:tc>
      </w:tr>
      <w:tr w:rsidR="00D44948" w14:paraId="7865C5B7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CA13AA0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Change in treatment due to adverse event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052F361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(0.8)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94F8F40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(0.7)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C37813C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(4.0)</w:t>
            </w:r>
          </w:p>
        </w:tc>
      </w:tr>
      <w:tr w:rsidR="00D44948" w14:paraId="213D0C0A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35F0579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Two consecutive positive cultures after completing treatment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F61E6E0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(0.8)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9E2D2D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(2.1)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DBFC6D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(2.4)</w:t>
            </w:r>
          </w:p>
        </w:tc>
      </w:tr>
      <w:tr w:rsidR="00D44948" w14:paraId="7F9CBF49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E03A9DC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Retreated for TB due to clinical signs and symptoms without two consecutive positive cultures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D9828AD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(1.5)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15D40D3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(0.7)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18CBF89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(2.4)</w:t>
            </w:r>
          </w:p>
        </w:tc>
      </w:tr>
      <w:tr w:rsidR="00D44948" w14:paraId="4EDE0B03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B634F87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Exclusions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BEEB932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043941F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B9644E5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948" w14:paraId="7FBD4819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7595BD1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Baseline INH resistance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A241FB6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6E1918F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69A1250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D44948" w14:paraId="1DEE1D09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B83DA66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Culture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C5E4383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750C4D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09D4F0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44948" w14:paraId="176EFF39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2DC930C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&lt;18 years old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30216B6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22E3EC7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32B191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44948" w14:paraId="525DD9FA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841DC17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  Late exclusion - Medical history that should have excluded randomisation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1A5228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72AED37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4DB0BB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44948" w14:paraId="13264A31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5802BE0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Extrapulmonary TB at baseline on assessment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1202B55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A2B3890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725E09A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44948" w14:paraId="0D630895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EF8EFE6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Post-treatment death deemed unrelated to TB or treatment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F1829F0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D0DBECC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35D4D15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44948" w14:paraId="17E64CFC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B4CE976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Post-treatment LTFU when culture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0A52996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B39318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C2E50FF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44948" w14:paraId="0E18939E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9242D3F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Evidence of exogenous TB reinfection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BE8B196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8F1B052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B05F1C2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44948" w14:paraId="2D5F7D28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FE3DCB4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Withdrawal during the treatment phase when culture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396CA18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AD3D95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C463B57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44948" w14:paraId="14F4D096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3512772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Post-treatment withdrawal when culture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B6317EF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399E54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1FE544D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44948" w14:paraId="466279D2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EF2D055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Exclusion - No evidence of culture or smear positivity at baseline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42EFC16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9899C1A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F366F8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</w:tbl>
    <w:p w14:paraId="4AE841F5" w14:textId="77777777" w:rsidR="00D44948" w:rsidRDefault="00D44948" w:rsidP="00D44948">
      <w:pPr>
        <w:adjustRightInd w:val="0"/>
        <w:rPr>
          <w:rFonts w:ascii="Calibri" w:hAnsi="Calibri" w:cs="Calibri"/>
          <w:color w:val="000000"/>
        </w:rPr>
      </w:pPr>
    </w:p>
    <w:p w14:paraId="4B373795" w14:textId="77777777" w:rsidR="00D44948" w:rsidRDefault="00D44948" w:rsidP="00D44948">
      <w:pPr>
        <w:adjustRightInd w:val="0"/>
        <w:jc w:val="center"/>
        <w:rPr>
          <w:sz w:val="24"/>
          <w:szCs w:val="24"/>
        </w:rPr>
      </w:pPr>
    </w:p>
    <w:p w14:paraId="205C3855" w14:textId="77777777" w:rsidR="00D44948" w:rsidRDefault="00D44948" w:rsidP="00D44948">
      <w:pPr>
        <w:adjustRightInd w:val="0"/>
        <w:rPr>
          <w:rFonts w:ascii="Calibri" w:hAnsi="Calibri" w:cs="Calibri"/>
          <w:color w:val="000000"/>
        </w:rPr>
        <w:sectPr w:rsidR="00D44948" w:rsidSect="00D44948">
          <w:headerReference w:type="default" r:id="rId9"/>
          <w:pgSz w:w="16837" w:h="11905" w:orient="landscape"/>
          <w:pgMar w:top="1440" w:right="1134" w:bottom="1440" w:left="1134" w:header="1440" w:footer="1440" w:gutter="0"/>
          <w:cols w:space="720"/>
        </w:sectPr>
      </w:pPr>
      <w:r>
        <w:rPr>
          <w:rFonts w:ascii="Calibri" w:hAnsi="Calibri" w:cs="Calibri"/>
          <w:color w:val="000000"/>
        </w:rPr>
        <w:br w:type="page"/>
      </w:r>
    </w:p>
    <w:tbl>
      <w:tblPr>
        <w:tblW w:w="144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5"/>
        <w:gridCol w:w="1711"/>
        <w:gridCol w:w="1711"/>
        <w:gridCol w:w="1711"/>
      </w:tblGrid>
      <w:tr w:rsidR="00D44948" w14:paraId="46B5A767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9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0800204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bookmarkStart w:id="9" w:name="IDX1"/>
            <w:bookmarkEnd w:id="9"/>
            <w:r w:rsidRPr="00D44948">
              <w:rPr>
                <w:rFonts w:ascii="Calibri" w:hAnsi="Calibri" w:cs="Calibri"/>
                <w:b/>
                <w:bCs/>
                <w:color w:val="000000"/>
              </w:rPr>
              <w:lastRenderedPageBreak/>
              <w:t>PP-M</w:t>
            </w:r>
            <w:r>
              <w:rPr>
                <w:rFonts w:ascii="Calibri" w:hAnsi="Calibri" w:cs="Calibri"/>
                <w:color w:val="000000"/>
              </w:rPr>
              <w:t xml:space="preserve"> analysis outcomes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49D9FFE3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Control</w:t>
            </w:r>
            <w:r>
              <w:rPr>
                <w:rFonts w:ascii="Calibri" w:hAnsi="Calibri" w:cs="Calibri"/>
                <w:color w:val="000000"/>
              </w:rPr>
              <w:br/>
              <w:t>(N=125)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4B3A764A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Study regimen 1</w:t>
            </w:r>
            <w:r>
              <w:rPr>
                <w:rFonts w:ascii="Calibri" w:hAnsi="Calibri" w:cs="Calibri"/>
                <w:color w:val="000000"/>
              </w:rPr>
              <w:br/>
              <w:t>(N=138)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1CD8DD7C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Study regimen 2</w:t>
            </w:r>
            <w:r>
              <w:rPr>
                <w:rFonts w:ascii="Calibri" w:hAnsi="Calibri" w:cs="Calibri"/>
                <w:color w:val="000000"/>
              </w:rPr>
              <w:br/>
              <w:t>(N=118)</w:t>
            </w:r>
          </w:p>
        </w:tc>
      </w:tr>
      <w:tr w:rsidR="00D44948" w14:paraId="2E0A66BE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1E3ED97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Favourable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01E8528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DE73E6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B52AED7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948" w14:paraId="2BA16155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0144B95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Participants with outcome - n (%)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5A474B0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 (95.2)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11D4A73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 (93.5)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BBDCE55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 (90.7)</w:t>
            </w:r>
          </w:p>
        </w:tc>
      </w:tr>
      <w:tr w:rsidR="00D44948" w14:paraId="6DFD0FEF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91FB42C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Unfavourable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04FE1F7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39C7C60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55C38D4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948" w14:paraId="10FCAC19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0593E09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Participants with outcome - n (%)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AAD9CA3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(4.8)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15EE9F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(6.5)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1436169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(9.3)</w:t>
            </w:r>
          </w:p>
        </w:tc>
      </w:tr>
      <w:tr w:rsidR="00D44948" w14:paraId="61719609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8630257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Adjusted risk difference to control (95% CI)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95D9EFC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7A8DD66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4426034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948" w14:paraId="774D8983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D95CDBB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Death during the treatment phase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7025F71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(1.6)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1144A18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(2.2)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26B3E9A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44948" w14:paraId="5ED6D6B7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4A1522F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Post-treatment death, TB a plausible cause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BDACEF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4436167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(0.7)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7FC8DBF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44948" w14:paraId="6CF6D422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2F80DC2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Change in treatment due to adverse event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134BF2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(0.8)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F96997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(0.7)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F8ADAC0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(4.2)</w:t>
            </w:r>
          </w:p>
        </w:tc>
      </w:tr>
      <w:tr w:rsidR="00D44948" w14:paraId="68FDC49D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4351B21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Two consecutive positive cultures after completing treatment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45EA7B8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(0.8)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E54F272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(2.2)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BE5C685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(2.5)</w:t>
            </w:r>
          </w:p>
        </w:tc>
      </w:tr>
      <w:tr w:rsidR="00D44948" w14:paraId="6E4B68FA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A6CB53E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Retreated for TB due to clinical signs and symptoms without two consecutive positive cultures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771EF2D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(1.6)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8F18185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(0.7)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4027B93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(2.5)</w:t>
            </w:r>
          </w:p>
        </w:tc>
      </w:tr>
      <w:tr w:rsidR="00D44948" w14:paraId="14A9B3D6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E072FF6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Exclusions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4C7D4FF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143124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52201B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948" w14:paraId="3DFBEAA5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D64DC1A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Baseline INH resistance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15CB69A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CD5EDAA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60B63A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D44948" w14:paraId="6C04A0CE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4658D05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Culture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6DF9A76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B3569B3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B24C0C9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44948" w14:paraId="121713EA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899EB1C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&lt;18 years old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3DD56C9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D5706A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EA81ABF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44948" w14:paraId="2AEACA82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A63BBAC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Medical history that should have excluded randomisation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F2369C8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C9E159F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7B020E5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44948" w14:paraId="127AD6F1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C67A47D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Extrapulmonary TB at baseline on assessment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F1DF8E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BE34156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84E64B9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44948" w14:paraId="03167A3C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D9484D7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Post-treatment death deemed unrelated to TB or treatment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5B8E2C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0E1C33D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00BE32A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44948" w14:paraId="2FCDAEDF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05BF736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Treatment phase LTFU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3279AED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16F4B72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5AE039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44948" w14:paraId="7A6A5842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0BA7F33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Post-treatment LTFU when culture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DAE875F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B8BF1B2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2C4291F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44948" w14:paraId="47EC6DDB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CC8DF8D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Evidence of exogenous TB reinfection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134FC91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8CA0013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871919F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44948" w14:paraId="630A1887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43F5661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Withdrawal during the treatment phase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CE1AFB1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91DD4B9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8767242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44948" w14:paraId="72911394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55BE8FC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Withdrawal during the treatment phase when culture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205BB48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0EE6152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418480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44948" w14:paraId="406E1166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2A91472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Post-treatment withdrawal when culture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B8220A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A2C365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D2E332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44948" w14:paraId="3B55FDA8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99E5DE7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Switched to control regimen due to pregnancy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B855DA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667B23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32D48F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44948" w14:paraId="79038C44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CF0F783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Exclusion - No evidence of culture or smear positivity at baseline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354427D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287B6D1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B7D17B7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</w:tbl>
    <w:p w14:paraId="1828F3CF" w14:textId="77777777" w:rsidR="00D44948" w:rsidRDefault="00D44948" w:rsidP="00D44948">
      <w:pPr>
        <w:adjustRightInd w:val="0"/>
        <w:rPr>
          <w:rFonts w:ascii="Calibri" w:hAnsi="Calibri" w:cs="Calibri"/>
          <w:color w:val="000000"/>
        </w:rPr>
      </w:pPr>
    </w:p>
    <w:p w14:paraId="761DFD46" w14:textId="77777777" w:rsidR="00D44948" w:rsidRDefault="00D44948" w:rsidP="00D44948">
      <w:pPr>
        <w:adjustRightInd w:val="0"/>
        <w:jc w:val="center"/>
        <w:rPr>
          <w:sz w:val="24"/>
          <w:szCs w:val="24"/>
        </w:rPr>
      </w:pPr>
    </w:p>
    <w:p w14:paraId="778A65A8" w14:textId="3FAB3228" w:rsidR="00D44948" w:rsidRPr="00D44948" w:rsidRDefault="00D44948" w:rsidP="00D44948">
      <w:pPr>
        <w:adjustRightInd w:val="0"/>
        <w:ind w:left="-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  <w:r>
        <w:rPr>
          <w:rFonts w:ascii="Calibri" w:hAnsi="Calibri" w:cs="Calibri"/>
          <w:b/>
          <w:bCs/>
          <w:color w:val="000000"/>
        </w:rPr>
        <w:lastRenderedPageBreak/>
        <w:t>Extensive disease</w:t>
      </w:r>
      <w:r>
        <w:rPr>
          <w:rFonts w:ascii="Calibri" w:hAnsi="Calibri" w:cs="Calibri"/>
          <w:b/>
          <w:bCs/>
          <w:color w:val="000000"/>
        </w:rPr>
        <w:t xml:space="preserve"> outcomes:</w:t>
      </w:r>
      <w:r w:rsidRPr="00D44948">
        <w:rPr>
          <w:rFonts w:ascii="Calibri" w:hAnsi="Calibri" w:cs="Calibri"/>
          <w:color w:val="000000"/>
        </w:rPr>
        <w:t xml:space="preserve"> defined by CXR (≥50% lung involvement, bilateral disease, and cavitation) and high semiquantitative CT</w:t>
      </w:r>
      <w:bookmarkStart w:id="10" w:name="IDX2"/>
      <w:bookmarkEnd w:id="10"/>
    </w:p>
    <w:tbl>
      <w:tblPr>
        <w:tblW w:w="144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4"/>
        <w:gridCol w:w="1711"/>
        <w:gridCol w:w="1711"/>
        <w:gridCol w:w="1711"/>
      </w:tblGrid>
      <w:tr w:rsidR="00D44948" w14:paraId="10B6C18A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9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2951B50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proofErr w:type="spellStart"/>
            <w:r w:rsidRPr="00D44948">
              <w:rPr>
                <w:rFonts w:ascii="Calibri" w:hAnsi="Calibri" w:cs="Calibri"/>
                <w:b/>
                <w:bCs/>
                <w:color w:val="000000"/>
              </w:rPr>
              <w:t>mITT</w:t>
            </w:r>
            <w:proofErr w:type="spellEnd"/>
            <w:r w:rsidRPr="00D44948">
              <w:rPr>
                <w:rFonts w:ascii="Calibri" w:hAnsi="Calibri" w:cs="Calibri"/>
                <w:b/>
                <w:bCs/>
                <w:color w:val="000000"/>
              </w:rPr>
              <w:t>-M</w:t>
            </w:r>
            <w:r>
              <w:rPr>
                <w:rFonts w:ascii="Calibri" w:hAnsi="Calibri" w:cs="Calibri"/>
                <w:color w:val="000000"/>
              </w:rPr>
              <w:t xml:space="preserve"> analysis outcomes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2D456DC8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Control</w:t>
            </w:r>
            <w:r>
              <w:rPr>
                <w:rFonts w:ascii="Calibri" w:hAnsi="Calibri" w:cs="Calibri"/>
                <w:color w:val="000000"/>
              </w:rPr>
              <w:br/>
              <w:t>(N=57)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5B916175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Study regimen 1</w:t>
            </w:r>
            <w:r>
              <w:rPr>
                <w:rFonts w:ascii="Calibri" w:hAnsi="Calibri" w:cs="Calibri"/>
                <w:color w:val="000000"/>
              </w:rPr>
              <w:br/>
              <w:t>(N=45)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7354A123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Study regimen 2</w:t>
            </w:r>
            <w:r>
              <w:rPr>
                <w:rFonts w:ascii="Calibri" w:hAnsi="Calibri" w:cs="Calibri"/>
                <w:color w:val="000000"/>
              </w:rPr>
              <w:br/>
              <w:t>(N=62)</w:t>
            </w:r>
          </w:p>
        </w:tc>
      </w:tr>
      <w:tr w:rsidR="00D44948" w14:paraId="307CAA28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E2B8E7E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Favourable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8065CEC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727D22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DB6FFB5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948" w14:paraId="7B55DBC9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9988D7C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Participants with outcome - n (%)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C78966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 (96.5)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92FBF45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 (80.0)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7C99495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 (87.1)</w:t>
            </w:r>
          </w:p>
        </w:tc>
      </w:tr>
      <w:tr w:rsidR="00D44948" w14:paraId="68901B70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7DDAF0C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Unfavourable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E91311A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315B92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36D70E1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948" w14:paraId="4E593384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B797E43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Participants with outcome - n (%)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EEDC3BA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(3.5)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27AAC49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(20.0)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7302DC8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(12.9)</w:t>
            </w:r>
          </w:p>
        </w:tc>
      </w:tr>
      <w:tr w:rsidR="00D44948" w14:paraId="66CCBAEC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F1A21F9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Adjusted risk difference to control (95% CI)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8963130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4E9CF35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8BF1D1D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948" w14:paraId="6B5A5B70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72BE452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Death during the treatment phase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9E30FE8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(1.8)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6E60343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(2.2)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117DBD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44948" w14:paraId="55907F60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472D3B3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Withdrew from the trial during the treatment phase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4301ED1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51B18E3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(2.2)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B967196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44948" w14:paraId="40754A2E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37377B1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Change in treatment due to adverse event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FC397C5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DA22B92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(2.2)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16E530F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(3.2)</w:t>
            </w:r>
          </w:p>
        </w:tc>
      </w:tr>
      <w:tr w:rsidR="00D44948" w14:paraId="646BBB0D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EAB977B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Two consecutive positive cultures after completing treatment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7DF428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(1.8)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B08A7E2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(13.3)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61D7DB0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(9.7)</w:t>
            </w:r>
          </w:p>
        </w:tc>
      </w:tr>
      <w:tr w:rsidR="00D44948" w14:paraId="32DB504B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3F3D424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Exclusions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C1E2A92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C53CD12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5EF27EC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948" w14:paraId="604C65EC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2A412A2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Baseline INH resistance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B6B8BF9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7E58EFF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CABA7AC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44948" w14:paraId="20560628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DEEF310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Post-treatment death deemed unrelated to TB or treatment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2EF8EF9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B4C9823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4753A9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44948" w14:paraId="62639522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F36E8B3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Evidence of exogenous TB reinfection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889EF66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EB1E3C2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97B832A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44948" w14:paraId="54198CCD" w14:textId="77777777" w:rsidTr="00D4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15D2001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Exclusion - No evidence of culture or smear positivity at baseline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CA19A5D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EAB86A7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559763C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14:paraId="733B665E" w14:textId="77777777" w:rsidR="00D44948" w:rsidRDefault="00D44948" w:rsidP="00D44948">
      <w:pPr>
        <w:adjustRightInd w:val="0"/>
        <w:rPr>
          <w:rFonts w:ascii="Calibri" w:hAnsi="Calibri" w:cs="Calibri"/>
          <w:color w:val="000000"/>
        </w:rPr>
      </w:pPr>
    </w:p>
    <w:p w14:paraId="48D31271" w14:textId="77777777" w:rsidR="00D44948" w:rsidRDefault="00D44948" w:rsidP="00D44948">
      <w:pPr>
        <w:adjustRightInd w:val="0"/>
        <w:jc w:val="center"/>
        <w:rPr>
          <w:sz w:val="24"/>
          <w:szCs w:val="24"/>
        </w:rPr>
      </w:pPr>
    </w:p>
    <w:p w14:paraId="64776146" w14:textId="478E7D18" w:rsidR="00D44948" w:rsidRDefault="00D44948" w:rsidP="00D44948">
      <w:pPr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52DBADAB" w14:textId="77777777" w:rsidR="00D44948" w:rsidRDefault="00D44948" w:rsidP="00D44948">
      <w:pPr>
        <w:adjustRightInd w:val="0"/>
        <w:rPr>
          <w:rFonts w:ascii="Calibri" w:hAnsi="Calibri" w:cs="Calibri"/>
          <w:b/>
          <w:bCs/>
          <w:color w:val="00000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0"/>
        <w:gridCol w:w="1711"/>
        <w:gridCol w:w="1711"/>
        <w:gridCol w:w="1711"/>
      </w:tblGrid>
      <w:tr w:rsidR="00D44948" w14:paraId="7ED789A1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93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50A260E5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bookmarkStart w:id="11" w:name="IDX3"/>
            <w:bookmarkEnd w:id="11"/>
            <w:r w:rsidRPr="00D44948">
              <w:rPr>
                <w:rFonts w:ascii="Calibri" w:hAnsi="Calibri" w:cs="Calibri"/>
                <w:b/>
                <w:bCs/>
                <w:color w:val="000000"/>
              </w:rPr>
              <w:t>PP-M</w:t>
            </w:r>
            <w:r>
              <w:rPr>
                <w:rFonts w:ascii="Calibri" w:hAnsi="Calibri" w:cs="Calibri"/>
                <w:color w:val="000000"/>
              </w:rPr>
              <w:t xml:space="preserve"> analysis outcomes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06C20FD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Control</w:t>
            </w:r>
            <w:r>
              <w:rPr>
                <w:rFonts w:ascii="Calibri" w:hAnsi="Calibri" w:cs="Calibri"/>
                <w:color w:val="000000"/>
              </w:rPr>
              <w:br/>
              <w:t>(N=57)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4F3A3DAF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Study regimen 1</w:t>
            </w:r>
            <w:r>
              <w:rPr>
                <w:rFonts w:ascii="Calibri" w:hAnsi="Calibri" w:cs="Calibri"/>
                <w:color w:val="000000"/>
              </w:rPr>
              <w:br/>
              <w:t>(N=44)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85D5020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Study regimen 2</w:t>
            </w:r>
            <w:r>
              <w:rPr>
                <w:rFonts w:ascii="Calibri" w:hAnsi="Calibri" w:cs="Calibri"/>
                <w:color w:val="000000"/>
              </w:rPr>
              <w:br/>
              <w:t>(N=62)</w:t>
            </w:r>
          </w:p>
        </w:tc>
      </w:tr>
      <w:tr w:rsidR="00D44948" w14:paraId="53D1C42E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DC7D38F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Favourable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60BE858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1DD582D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38C98E1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948" w14:paraId="407171C2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1600DC0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Participants with outcome - n (%)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CFC4DF3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 (96.5)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6473CE5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 (81.8)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5F7D9F5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 (87.1)</w:t>
            </w:r>
          </w:p>
        </w:tc>
      </w:tr>
      <w:tr w:rsidR="00D44948" w14:paraId="62B71AD5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B25ECBA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Unfavourable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8F77FD3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9EF9CD7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860C01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948" w14:paraId="6FADF96E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58D58B6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Participants with outcome - n (%)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A911735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(3.5)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B3424F7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(18.2)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A7B1A55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(12.9)</w:t>
            </w:r>
          </w:p>
        </w:tc>
      </w:tr>
      <w:tr w:rsidR="00D44948" w14:paraId="0C345E03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046E6E7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Adjusted risk difference to control (95% CI)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B14DBCC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A40FD93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A4CB7D0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948" w14:paraId="55EA824E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0075C73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Death during the treatment phase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5728CE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(1.8)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695688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(2.3)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CD86D6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44948" w14:paraId="49252443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095BB69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Change in treatment due to adverse event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B437327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5A567FF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(2.3)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59390C1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(3.2)</w:t>
            </w:r>
          </w:p>
        </w:tc>
      </w:tr>
      <w:tr w:rsidR="00D44948" w14:paraId="34F46307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0ED0A9D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Two consecutive positive cultures after completing treatment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0BCEE92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(1.8)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B192018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(13.6)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DF11661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(9.7)</w:t>
            </w:r>
          </w:p>
        </w:tc>
      </w:tr>
      <w:tr w:rsidR="00D44948" w14:paraId="44DF5016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E87CA94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Exclusions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A734ABC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406E644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7BC7B9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948" w14:paraId="781F0211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6104737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Baseline INH resistance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988E00B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30808C0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6445FE1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44948" w14:paraId="1E7E3413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89F4361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Post-treatment death deemed unrelated to TB or treatment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0E8CE28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E39C048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892456C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44948" w14:paraId="6F086BDD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AA08FD8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Evidence of exogenous TB reinfection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CBB5498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9A9201D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841CAA8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44948" w14:paraId="124DE432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11EFF83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Withdrawal during the treatment phase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D3D12B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B04C7CE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172204D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44948" w14:paraId="1A9AFDDD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3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1380ACF" w14:textId="77777777" w:rsidR="00D44948" w:rsidRDefault="00D44948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Exclusion - No evidence of culture or smear positivity at baseline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E0398D3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B0AD549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9A5041A" w14:textId="77777777" w:rsidR="00D44948" w:rsidRDefault="00D44948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14:paraId="4709C567" w14:textId="77777777" w:rsidR="00D44948" w:rsidRDefault="00D44948" w:rsidP="00D44948">
      <w:pPr>
        <w:adjustRightInd w:val="0"/>
        <w:rPr>
          <w:rFonts w:ascii="Calibri" w:hAnsi="Calibri" w:cs="Calibri"/>
          <w:color w:val="000000"/>
        </w:rPr>
      </w:pPr>
    </w:p>
    <w:p w14:paraId="5CE6CA25" w14:textId="77777777" w:rsidR="00D44948" w:rsidRDefault="00D44948" w:rsidP="00D44948">
      <w:pPr>
        <w:adjustRightInd w:val="0"/>
        <w:jc w:val="center"/>
        <w:rPr>
          <w:sz w:val="24"/>
          <w:szCs w:val="24"/>
        </w:rPr>
      </w:pPr>
    </w:p>
    <w:p w14:paraId="33BCD439" w14:textId="77777777" w:rsidR="00D44948" w:rsidRDefault="00D44948" w:rsidP="00D44948">
      <w:pPr>
        <w:jc w:val="left"/>
        <w:sectPr w:rsidR="00D44948" w:rsidSect="00D4494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2341702" w14:textId="77FBF982" w:rsidR="00D44948" w:rsidRDefault="00472B03" w:rsidP="00472B03">
      <w:pPr>
        <w:pStyle w:val="Heading3"/>
      </w:pPr>
      <w:bookmarkStart w:id="12" w:name="_Toc190286524"/>
      <w:bookmarkStart w:id="13" w:name="_Toc190286660"/>
      <w:r>
        <w:lastRenderedPageBreak/>
        <w:t xml:space="preserve">Figure 1 RIFASHORT reanalysis with stratification by semiquantitative </w:t>
      </w:r>
      <w:r w:rsidR="00717C20">
        <w:t>bacterial burden</w:t>
      </w:r>
      <w:r>
        <w:t xml:space="preserve"> only</w:t>
      </w:r>
      <w:bookmarkEnd w:id="12"/>
      <w:bookmarkEnd w:id="13"/>
    </w:p>
    <w:p w14:paraId="33780A5F" w14:textId="151BC45D" w:rsidR="00472B03" w:rsidRDefault="00472B03" w:rsidP="00D44948">
      <w:pPr>
        <w:jc w:val="left"/>
      </w:pPr>
      <w:r w:rsidRPr="00472B03">
        <w:rPr>
          <w:noProof/>
        </w:rPr>
        <w:drawing>
          <wp:inline distT="0" distB="0" distL="0" distR="0" wp14:anchorId="008C829E" wp14:editId="12201D5F">
            <wp:extent cx="8863330" cy="4418330"/>
            <wp:effectExtent l="0" t="0" r="0" b="1270"/>
            <wp:docPr id="19199966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41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8CFB1" w14:textId="77777777" w:rsidR="00472B03" w:rsidRDefault="00472B03">
      <w:pPr>
        <w:jc w:val="left"/>
      </w:pPr>
      <w:r>
        <w:br w:type="page"/>
      </w:r>
    </w:p>
    <w:p w14:paraId="7BE3236D" w14:textId="63A955BE" w:rsidR="00472B03" w:rsidRDefault="00472B03" w:rsidP="00472B03">
      <w:pPr>
        <w:pStyle w:val="Heading3"/>
      </w:pPr>
      <w:bookmarkStart w:id="14" w:name="_Toc190286525"/>
      <w:bookmarkStart w:id="15" w:name="_Toc190286661"/>
      <w:r>
        <w:lastRenderedPageBreak/>
        <w:t xml:space="preserve">Table </w:t>
      </w:r>
      <w:r>
        <w:t>2</w:t>
      </w:r>
      <w:r>
        <w:t xml:space="preserve"> RIFASHORT trial outcome disaggregation according to limited and extensive disease</w:t>
      </w:r>
      <w:r>
        <w:t xml:space="preserve"> defined by semiquantitative </w:t>
      </w:r>
      <w:r w:rsidR="00717C20">
        <w:t>bacterial burden</w:t>
      </w:r>
      <w:r>
        <w:t xml:space="preserve"> only</w:t>
      </w:r>
      <w:bookmarkEnd w:id="14"/>
      <w:bookmarkEnd w:id="15"/>
    </w:p>
    <w:p w14:paraId="15488962" w14:textId="77777777" w:rsidR="00B56011" w:rsidRDefault="00B56011" w:rsidP="00B56011">
      <w:pPr>
        <w:adjustRightInd w:val="0"/>
        <w:spacing w:before="10" w:after="10"/>
        <w:ind w:left="284"/>
        <w:jc w:val="left"/>
        <w:rPr>
          <w:rFonts w:ascii="Calibri" w:hAnsi="Calibri" w:cs="Calibri"/>
          <w:b/>
          <w:bCs/>
          <w:color w:val="000000"/>
        </w:rPr>
      </w:pPr>
    </w:p>
    <w:p w14:paraId="1AE5A331" w14:textId="140E5160" w:rsidR="00B56011" w:rsidRDefault="00B56011" w:rsidP="00B56011">
      <w:pPr>
        <w:adjustRightInd w:val="0"/>
        <w:spacing w:before="10" w:after="10"/>
        <w:ind w:left="-142"/>
        <w:jc w:val="lef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Limited disease</w:t>
      </w:r>
      <w:r>
        <w:rPr>
          <w:rFonts w:ascii="Calibri" w:hAnsi="Calibri" w:cs="Calibri"/>
          <w:b/>
          <w:bCs/>
          <w:color w:val="000000"/>
        </w:rPr>
        <w:t xml:space="preserve"> outcomes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–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B56011">
        <w:rPr>
          <w:rFonts w:ascii="Calibri" w:hAnsi="Calibri" w:cs="Calibri"/>
          <w:color w:val="000000"/>
        </w:rPr>
        <w:t>defined by CT &lt;high only</w:t>
      </w:r>
    </w:p>
    <w:tbl>
      <w:tblPr>
        <w:tblW w:w="139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  <w:gridCol w:w="1711"/>
        <w:gridCol w:w="1711"/>
        <w:gridCol w:w="1711"/>
      </w:tblGrid>
      <w:tr w:rsidR="00B56011" w14:paraId="36828A9F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88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346DF85F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proofErr w:type="spellStart"/>
            <w:r w:rsidRPr="008951BC">
              <w:rPr>
                <w:rFonts w:ascii="Calibri" w:hAnsi="Calibri" w:cs="Calibri"/>
                <w:b/>
                <w:bCs/>
                <w:color w:val="000000"/>
              </w:rPr>
              <w:t>mITT</w:t>
            </w:r>
            <w:proofErr w:type="spellEnd"/>
            <w:r w:rsidRPr="008951BC">
              <w:rPr>
                <w:rFonts w:ascii="Calibri" w:hAnsi="Calibri" w:cs="Calibri"/>
                <w:b/>
                <w:bCs/>
                <w:color w:val="000000"/>
              </w:rPr>
              <w:t>-M</w:t>
            </w:r>
            <w:r>
              <w:rPr>
                <w:rFonts w:ascii="Calibri" w:hAnsi="Calibri" w:cs="Calibri"/>
                <w:color w:val="000000"/>
              </w:rPr>
              <w:t xml:space="preserve"> analysis outcomes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79DE370A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Control</w:t>
            </w:r>
            <w:r>
              <w:rPr>
                <w:rFonts w:ascii="Calibri" w:hAnsi="Calibri" w:cs="Calibri"/>
                <w:color w:val="000000"/>
              </w:rPr>
              <w:br/>
              <w:t>(N=100)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5CF2755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Study regimen 1</w:t>
            </w:r>
            <w:r>
              <w:rPr>
                <w:rFonts w:ascii="Calibri" w:hAnsi="Calibri" w:cs="Calibri"/>
                <w:color w:val="000000"/>
              </w:rPr>
              <w:br/>
              <w:t>(N=112)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5C8D5F01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Study regimen 2</w:t>
            </w:r>
            <w:r>
              <w:rPr>
                <w:rFonts w:ascii="Calibri" w:hAnsi="Calibri" w:cs="Calibri"/>
                <w:color w:val="000000"/>
              </w:rPr>
              <w:br/>
              <w:t>(N=103)</w:t>
            </w:r>
          </w:p>
        </w:tc>
      </w:tr>
      <w:tr w:rsidR="00B56011" w14:paraId="0D6D7BE3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90CC6C2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Favourable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A31E7E2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7996FB1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45EA1AF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56011" w14:paraId="5670E2C6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C36679E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Participants with outcome - n (%)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E31DC10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 (92.0)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9D4061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 (92.0)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5FB5822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 (86.4)</w:t>
            </w:r>
          </w:p>
        </w:tc>
      </w:tr>
      <w:tr w:rsidR="00B56011" w14:paraId="6EA2E0A1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3B89847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Unfavourable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BB6A72C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938127C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729EE2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56011" w14:paraId="5F5B7AC5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99067BC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Participants with outcome - n (%)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3E8A330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(8.0)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EC94712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(8.0)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AB86731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 (13.6)</w:t>
            </w:r>
          </w:p>
        </w:tc>
      </w:tr>
      <w:tr w:rsidR="00B56011" w14:paraId="331E471F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381CBB4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Adjusted risk difference to control (95% CI)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570A710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DC5CF27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8A8E9C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56011" w14:paraId="759D1DB6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B9B4E73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Death during the treatment phase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01D519F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(1.0)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FD0EAF1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(2.7)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CD229E0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56011" w14:paraId="260D74FC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789B6D2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Post-treatment death, TB a plausible cause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93758C0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B549C03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(0.9)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7F1E5E6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56011" w14:paraId="0651E40A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D4DA583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Lost to follow-up during the treatment phase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6D374BF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(2.0)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9329B6E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5818ED8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(1.0)</w:t>
            </w:r>
          </w:p>
        </w:tc>
      </w:tr>
      <w:tr w:rsidR="00B56011" w14:paraId="1DC49A61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EA618F2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Withdrew from the trial during the treatment phase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517B011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(2.0)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8CA3FD6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(0.9)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1FFCF69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(4.9)</w:t>
            </w:r>
          </w:p>
        </w:tc>
      </w:tr>
      <w:tr w:rsidR="00B56011" w14:paraId="1EFA463D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A634DA9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Change in treatment due to adverse event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EA71EB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(1.0)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C532A67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D8E8111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(3.9)</w:t>
            </w:r>
          </w:p>
        </w:tc>
      </w:tr>
      <w:tr w:rsidR="00B56011" w14:paraId="119A490C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2655C91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Two consecutive positive cultures after completing treatment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59CE851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(1.0)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F892366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(2.7)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B1FE4D2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(1.9)</w:t>
            </w:r>
          </w:p>
        </w:tc>
      </w:tr>
      <w:tr w:rsidR="00B56011" w14:paraId="79461F53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6F11578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Retreated for TB due to clinical signs and symptoms without two consecutive positive cultures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9D17AB4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(1.0)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45D2AA1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(0.9)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53910CC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(1.9)</w:t>
            </w:r>
          </w:p>
        </w:tc>
      </w:tr>
      <w:tr w:rsidR="00B56011" w14:paraId="20FA12C9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22C9C5B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Exclusions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477036F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4CB91E3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0A8A621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56011" w14:paraId="5C68FD10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4AF77D8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Baseline INH resistance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A95769B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2F3E9AE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2589C17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B56011" w14:paraId="46C17036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2C13F6E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Culture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AAB3907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5B781C1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BF9BC81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56011" w14:paraId="770226BE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5FAAF2C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Medical history that should have excluded randomisation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D1EDF81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47164BB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D321FFE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56011" w14:paraId="238F1E02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8952E34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  Late exclusion - Extrapulmonary TB at baseline on assessment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E1A3902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F0A03C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E40B5E6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56011" w14:paraId="55E2AB01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47F0A51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Post-treatment death deemed unrelated to TB or treatment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8BBAC3A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2CB0F01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30B5C5A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56011" w14:paraId="0A1D031C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3C73C0C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Post-treatment LTFU when culture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D578DC6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2E6B0AE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714F58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B56011" w14:paraId="7BB9A105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60CF755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Evidence of exogenous TB reinfection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A79272A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4E01AF9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4779C73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56011" w14:paraId="0770DC2F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B633454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Withdrawal during the treatment phase when culture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7DB4991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2A20B5B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D9A6711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56011" w14:paraId="528956C5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FBBA4DC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Post-treatment withdrawal when culture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CB03EBA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0631EE5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5A4E8F1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56011" w14:paraId="2361D164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9D2971C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Exclusion - No evidence of culture or smear positivity at baseline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EFBFB52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3E52CD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9F6FD57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</w:tbl>
    <w:p w14:paraId="7AAABA8C" w14:textId="77777777" w:rsidR="00B56011" w:rsidRDefault="00B56011" w:rsidP="00B56011">
      <w:pPr>
        <w:adjustRightInd w:val="0"/>
        <w:rPr>
          <w:rFonts w:ascii="Calibri" w:hAnsi="Calibri" w:cs="Calibri"/>
          <w:color w:val="000000"/>
        </w:rPr>
      </w:pPr>
    </w:p>
    <w:p w14:paraId="02C3892B" w14:textId="77777777" w:rsidR="00B56011" w:rsidRDefault="00B56011" w:rsidP="00B56011">
      <w:pPr>
        <w:adjustRightInd w:val="0"/>
        <w:jc w:val="center"/>
        <w:rPr>
          <w:sz w:val="24"/>
          <w:szCs w:val="24"/>
        </w:rPr>
      </w:pPr>
    </w:p>
    <w:p w14:paraId="2271F749" w14:textId="77777777" w:rsidR="00B56011" w:rsidRDefault="00B56011" w:rsidP="00B56011">
      <w:pPr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9"/>
        <w:gridCol w:w="1711"/>
        <w:gridCol w:w="1711"/>
        <w:gridCol w:w="1711"/>
      </w:tblGrid>
      <w:tr w:rsidR="00B56011" w14:paraId="198F17CE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89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9287C00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 w:rsidRPr="008951BC">
              <w:rPr>
                <w:rFonts w:ascii="Calibri" w:hAnsi="Calibri" w:cs="Calibri"/>
                <w:b/>
                <w:bCs/>
                <w:color w:val="000000"/>
              </w:rPr>
              <w:lastRenderedPageBreak/>
              <w:t>PP-M</w:t>
            </w:r>
            <w:r>
              <w:rPr>
                <w:rFonts w:ascii="Calibri" w:hAnsi="Calibri" w:cs="Calibri"/>
                <w:color w:val="000000"/>
              </w:rPr>
              <w:t xml:space="preserve"> analysis outcomes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7129B342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Control</w:t>
            </w:r>
            <w:r>
              <w:rPr>
                <w:rFonts w:ascii="Calibri" w:hAnsi="Calibri" w:cs="Calibri"/>
                <w:color w:val="000000"/>
              </w:rPr>
              <w:br/>
              <w:t>(N=96)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67CEF212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Study regimen 1</w:t>
            </w:r>
            <w:r>
              <w:rPr>
                <w:rFonts w:ascii="Calibri" w:hAnsi="Calibri" w:cs="Calibri"/>
                <w:color w:val="000000"/>
              </w:rPr>
              <w:br/>
              <w:t>(N=109)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9298990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Study regimen 2</w:t>
            </w:r>
            <w:r>
              <w:rPr>
                <w:rFonts w:ascii="Calibri" w:hAnsi="Calibri" w:cs="Calibri"/>
                <w:color w:val="000000"/>
              </w:rPr>
              <w:br/>
              <w:t>(N=97)</w:t>
            </w:r>
          </w:p>
        </w:tc>
      </w:tr>
      <w:tr w:rsidR="00B56011" w14:paraId="22338F69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191000C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Favourable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2BB8767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F465959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8DEB0DB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56011" w14:paraId="32ABE968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F117E6C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Participants with outcome - n (%)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D2BAF74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 (95.8)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FF6D427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 (92.7)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B359BEE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 (91.8)</w:t>
            </w:r>
          </w:p>
        </w:tc>
      </w:tr>
      <w:tr w:rsidR="00B56011" w14:paraId="0EC838B1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825FC7F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Unfavourable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4545314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203EFEC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C17F96B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56011" w14:paraId="6B92B43B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233A855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Participants with outcome - n (%)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2CD8A0B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(4.2)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2356E36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(7.3)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6D1D985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(8.2)</w:t>
            </w:r>
          </w:p>
        </w:tc>
      </w:tr>
      <w:tr w:rsidR="00B56011" w14:paraId="2BECE3AF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6193171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Adjusted risk difference to control (95% CI)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F8ABF8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8E355AB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45A6BF8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56011" w14:paraId="3FC238D5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9E77B34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Death during the treatment phase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06E5070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(1.0)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310844C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(2.8)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BB02682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56011" w14:paraId="411F6861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90B1F3E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Post-treatment death, TB a plausible cause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ABA5B86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A5600E4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(0.9)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06D032C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56011" w14:paraId="6D7E49B9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CF43052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Change in treatment due to adverse event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EEEA6E2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(1.0)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48517EC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0F3A143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(4.1)</w:t>
            </w:r>
          </w:p>
        </w:tc>
      </w:tr>
      <w:tr w:rsidR="00B56011" w14:paraId="44423727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0DF3BDD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Two consecutive positive cultures after completing treatment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F08584A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(1.0)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E2FE1E7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(2.8)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DFA3EA6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(2.1)</w:t>
            </w:r>
          </w:p>
        </w:tc>
      </w:tr>
      <w:tr w:rsidR="00B56011" w14:paraId="44032690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B4AACA2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Retreated for TB due to clinical signs and symptoms without two consecutive positive cultures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ACD980C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(1.0)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C4ECBF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(0.9)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5F49B9F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(2.1)</w:t>
            </w:r>
          </w:p>
        </w:tc>
      </w:tr>
      <w:tr w:rsidR="00B56011" w14:paraId="36A01A8D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7EB2945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Exclusions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39B166F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FB8560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DC9ED44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56011" w14:paraId="0D4193EB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7276CB0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Baseline INH resistance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E817121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6DDECFC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AD94BE6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B56011" w14:paraId="5D85171C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7D45E49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Culture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931EE0A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B85AF1B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29B5E7F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56011" w14:paraId="29FCBAA1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5D4795E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Medical history that should have excluded randomisation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340F013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D46FC70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74F5857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56011" w14:paraId="28205C86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F906EBB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Extrapulmonary TB at baseline on assessment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2F4D745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5F35C04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41DD926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56011" w14:paraId="2E090DB0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C8A52B9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Post-treatment death deemed unrelated to TB or treatment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1947F70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8E9CBD3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C3D12DA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56011" w14:paraId="0CB6C806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C5EE045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Treatment phase LTFU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ECE8DE8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526EB20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1170F68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56011" w14:paraId="725BBE6A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B244D58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Post-treatment LTFU when culture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AB80788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105A8BA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126A383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B56011" w14:paraId="11E3E585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4A4E304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Evidence of exogenous TB reinfection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4A5E9B2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C0311F3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CD491A3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56011" w14:paraId="54EDC3E0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EE8E7D8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Withdrawal during the treatment phase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8134313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601289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57FDA7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B56011" w14:paraId="0F56A878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08059BE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Withdrawal during the treatment phase when culture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6FFA10C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7D206B9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F58DE57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56011" w14:paraId="16E5F62F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A89B6A0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Post-treatment withdrawal when culture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02FBFFC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2E518AA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9EFFDBC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56011" w14:paraId="6E2E9D9C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F22173C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Switched to control regimen due to pregnancy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9E20814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F5CB258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232B3F6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56011" w14:paraId="5E177604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9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D616130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Exclusion - No evidence of culture or smear positivity at baseline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BDA2E0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C258ABB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747F1E4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</w:tbl>
    <w:p w14:paraId="45176E84" w14:textId="77777777" w:rsidR="00B56011" w:rsidRDefault="00B56011" w:rsidP="00B56011">
      <w:pPr>
        <w:adjustRightInd w:val="0"/>
        <w:rPr>
          <w:rFonts w:ascii="Calibri" w:hAnsi="Calibri" w:cs="Calibri"/>
          <w:color w:val="000000"/>
        </w:rPr>
      </w:pPr>
    </w:p>
    <w:p w14:paraId="2EF7897B" w14:textId="77777777" w:rsidR="00B56011" w:rsidRDefault="00B56011" w:rsidP="00B56011">
      <w:pPr>
        <w:adjustRightInd w:val="0"/>
        <w:jc w:val="center"/>
        <w:rPr>
          <w:sz w:val="24"/>
          <w:szCs w:val="24"/>
        </w:rPr>
      </w:pPr>
    </w:p>
    <w:p w14:paraId="6962111E" w14:textId="77777777" w:rsidR="00B56011" w:rsidRDefault="00B56011" w:rsidP="00B56011">
      <w:pPr>
        <w:adjustRightInd w:val="0"/>
        <w:jc w:val="lef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72379924" w14:textId="78226413" w:rsidR="00B56011" w:rsidRDefault="00B56011" w:rsidP="00B56011">
      <w:pPr>
        <w:adjustRightInd w:val="0"/>
        <w:spacing w:before="10" w:after="10"/>
        <w:jc w:val="lef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>Extensive disease</w:t>
      </w:r>
      <w:r>
        <w:rPr>
          <w:rFonts w:ascii="Calibri" w:hAnsi="Calibri" w:cs="Calibri"/>
          <w:b/>
          <w:bCs/>
          <w:color w:val="000000"/>
        </w:rPr>
        <w:t xml:space="preserve"> outcomes: </w:t>
      </w:r>
      <w:r w:rsidRPr="00B56011">
        <w:rPr>
          <w:rFonts w:ascii="Calibri" w:hAnsi="Calibri" w:cs="Calibri"/>
          <w:color w:val="000000"/>
        </w:rPr>
        <w:t xml:space="preserve">defined by </w:t>
      </w:r>
      <w:r w:rsidRPr="00B56011">
        <w:rPr>
          <w:rFonts w:ascii="Calibri" w:hAnsi="Calibri" w:cs="Calibri"/>
          <w:color w:val="000000"/>
        </w:rPr>
        <w:t>CT</w:t>
      </w:r>
      <w:r w:rsidRPr="00B56011">
        <w:rPr>
          <w:rFonts w:ascii="Calibri" w:hAnsi="Calibri" w:cs="Calibri"/>
          <w:color w:val="000000"/>
        </w:rPr>
        <w:t xml:space="preserve"> high</w:t>
      </w:r>
      <w:r w:rsidRPr="00B56011">
        <w:rPr>
          <w:rFonts w:ascii="Calibri" w:hAnsi="Calibri" w:cs="Calibri"/>
          <w:color w:val="000000"/>
        </w:rPr>
        <w:t xml:space="preserve"> only</w:t>
      </w:r>
    </w:p>
    <w:tbl>
      <w:tblPr>
        <w:tblW w:w="139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  <w:gridCol w:w="1711"/>
        <w:gridCol w:w="1711"/>
        <w:gridCol w:w="1711"/>
      </w:tblGrid>
      <w:tr w:rsidR="00B56011" w14:paraId="13B8E714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88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B693907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proofErr w:type="spellStart"/>
            <w:r w:rsidRPr="008951BC">
              <w:rPr>
                <w:rFonts w:ascii="Calibri" w:hAnsi="Calibri" w:cs="Calibri"/>
                <w:b/>
                <w:bCs/>
                <w:color w:val="000000"/>
              </w:rPr>
              <w:t>mITT</w:t>
            </w:r>
            <w:proofErr w:type="spellEnd"/>
            <w:r w:rsidRPr="008951BC">
              <w:rPr>
                <w:rFonts w:ascii="Calibri" w:hAnsi="Calibri" w:cs="Calibri"/>
                <w:b/>
                <w:bCs/>
                <w:color w:val="000000"/>
              </w:rPr>
              <w:t>-M</w:t>
            </w:r>
            <w:r>
              <w:rPr>
                <w:rFonts w:ascii="Calibri" w:hAnsi="Calibri" w:cs="Calibri"/>
                <w:color w:val="000000"/>
              </w:rPr>
              <w:t xml:space="preserve"> analysis outcomes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5EBD84A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Control</w:t>
            </w:r>
            <w:r>
              <w:rPr>
                <w:rFonts w:ascii="Calibri" w:hAnsi="Calibri" w:cs="Calibri"/>
                <w:color w:val="000000"/>
              </w:rPr>
              <w:br/>
              <w:t>(N=85)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2797D776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Study regimen 1</w:t>
            </w:r>
            <w:r>
              <w:rPr>
                <w:rFonts w:ascii="Calibri" w:hAnsi="Calibri" w:cs="Calibri"/>
                <w:color w:val="000000"/>
              </w:rPr>
              <w:br/>
              <w:t>(N=73)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73191F4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Study regimen 2</w:t>
            </w:r>
            <w:r>
              <w:rPr>
                <w:rFonts w:ascii="Calibri" w:hAnsi="Calibri" w:cs="Calibri"/>
                <w:color w:val="000000"/>
              </w:rPr>
              <w:br/>
              <w:t>(N=83)</w:t>
            </w:r>
          </w:p>
        </w:tc>
      </w:tr>
      <w:tr w:rsidR="00B56011" w14:paraId="0B823052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785AEE7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Favourable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E939615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EF16605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DE37EBF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56011" w14:paraId="174D1352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C845F7B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Participants with outcome - n (%)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D4FB32C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 (94.1)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5996F63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 (86.3)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A52D89F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 (86.7)</w:t>
            </w:r>
          </w:p>
        </w:tc>
      </w:tr>
      <w:tr w:rsidR="00B56011" w14:paraId="420B33BA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2EAF62D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Unfavourable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AF2D778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140D623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F63C862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56011" w14:paraId="22B44395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2CC39BE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Participants with outcome - n (%)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FCFF954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(5.9)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89CD40C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(13.7)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37FA39C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(13.3)</w:t>
            </w:r>
          </w:p>
        </w:tc>
      </w:tr>
      <w:tr w:rsidR="00B56011" w14:paraId="0EF3E982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8916F89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Adjusted risk difference to control (95% CI)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E70D4C0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99EBED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A0CFA86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56011" w14:paraId="084DD1F6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E51D93F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Death during the treatment phase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508287E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(2.4)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506451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(1.4)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C962D1E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56011" w14:paraId="030AAEC0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C7C79B9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Withdrew from the trial during the treatment phase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E568041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(1.2)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783137C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(1.4)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A8F35AB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56011" w14:paraId="3E20156E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BDEB61E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Change in treatment due to adverse event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9FD89D9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E9E185B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(2.7)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21942B0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(3.6)</w:t>
            </w:r>
          </w:p>
        </w:tc>
      </w:tr>
      <w:tr w:rsidR="00B56011" w14:paraId="35AF0F13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FE2FF57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Two consecutive positive cultures after completing treatment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26A9966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(1.2)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E8BD45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(8.2)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55EECCB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(8.4)</w:t>
            </w:r>
          </w:p>
        </w:tc>
      </w:tr>
      <w:tr w:rsidR="00B56011" w14:paraId="2765A008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7E211E3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Retreated for TB due to clinical signs and symptoms without two consecutive positive cultures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6D4FDF7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(1.2)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41FD807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4AF6295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(1.2)</w:t>
            </w:r>
          </w:p>
        </w:tc>
      </w:tr>
      <w:tr w:rsidR="00B56011" w14:paraId="3CCEB4AE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0B92BB3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Exclusions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ACE2EDE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2E8E75F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C00FBF5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56011" w14:paraId="16F13EEB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0F64669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Baseline INH resistance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2F803C2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FB50C9B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FB17C10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56011" w14:paraId="0CECF443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0076D53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Culture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7F9EC94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9F5EB64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A543E74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56011" w14:paraId="74749EFC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9635539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&lt;18 years old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2C97652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5CD297E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ABD8A70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56011" w14:paraId="1BB66A10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9042182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Post-treatment death deemed unrelated to TB or treatment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E864AB8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0ED7486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09BFFF0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56011" w14:paraId="091BC0EF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00FB36A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Post-treatment LTFU when culture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562CDEA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A824CC5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3C7F556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56011" w14:paraId="721648E3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8C53864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Evidence of exogenous TB reinfection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1110436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4DB41B7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A74E8DC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56011" w14:paraId="22D5B6E3" w14:textId="77777777" w:rsidTr="00B5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BF72E2A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Exclusion - No evidence of culture or smear positivity at baseline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4B2EB48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EF903D2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21460E3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14:paraId="7BD5F4CF" w14:textId="77777777" w:rsidR="00B56011" w:rsidRDefault="00B56011" w:rsidP="00B56011">
      <w:pPr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8"/>
        <w:gridCol w:w="1711"/>
        <w:gridCol w:w="1711"/>
        <w:gridCol w:w="1711"/>
      </w:tblGrid>
      <w:tr w:rsidR="00B56011" w14:paraId="316A4EFA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8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5A1D9AF0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 w:rsidRPr="008951BC">
              <w:rPr>
                <w:rFonts w:ascii="Calibri" w:hAnsi="Calibri" w:cs="Calibri"/>
                <w:b/>
                <w:bCs/>
                <w:color w:val="000000"/>
              </w:rPr>
              <w:lastRenderedPageBreak/>
              <w:t>PP-M</w:t>
            </w:r>
            <w:r>
              <w:rPr>
                <w:rFonts w:ascii="Calibri" w:hAnsi="Calibri" w:cs="Calibri"/>
                <w:color w:val="000000"/>
              </w:rPr>
              <w:t xml:space="preserve"> analysis outcomes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3CCDDF33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Control</w:t>
            </w:r>
            <w:r>
              <w:rPr>
                <w:rFonts w:ascii="Calibri" w:hAnsi="Calibri" w:cs="Calibri"/>
                <w:color w:val="000000"/>
              </w:rPr>
              <w:br/>
              <w:t>(N=84)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40F88497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Study regimen 1</w:t>
            </w:r>
            <w:r>
              <w:rPr>
                <w:rFonts w:ascii="Calibri" w:hAnsi="Calibri" w:cs="Calibri"/>
                <w:color w:val="000000"/>
              </w:rPr>
              <w:br/>
              <w:t>(N=72)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19035F43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Study regimen 2</w:t>
            </w:r>
            <w:r>
              <w:rPr>
                <w:rFonts w:ascii="Calibri" w:hAnsi="Calibri" w:cs="Calibri"/>
                <w:color w:val="000000"/>
              </w:rPr>
              <w:br/>
              <w:t>(N=83)</w:t>
            </w:r>
          </w:p>
        </w:tc>
      </w:tr>
      <w:tr w:rsidR="00B56011" w14:paraId="36E3B7C2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664AB27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Favourable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F06EB4E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77DFE01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7865125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56011" w14:paraId="143FBC86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90D539C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Participants with outcome - n (%)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F4D621C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 (95.2)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6B9AF3B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 (87.5)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C842302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 (86.7)</w:t>
            </w:r>
          </w:p>
        </w:tc>
      </w:tr>
      <w:tr w:rsidR="00B56011" w14:paraId="34974E81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C302E61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Unfavourable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F7026F1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C92AE03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22A875B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56011" w14:paraId="6C5088B8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BAB774B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Participants with outcome - n (%)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C0C4D36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(4.8)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EFB1012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(12.5)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0A45B54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(13.3)</w:t>
            </w:r>
          </w:p>
        </w:tc>
      </w:tr>
      <w:tr w:rsidR="00B56011" w14:paraId="49836B80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899E790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Adjusted risk difference to control (95% CI)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3556EBA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F85D998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CF97828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56011" w14:paraId="102BC40A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1BFE697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Death during the treatment phase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9FE0792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(2.4)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1754847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(1.4)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B629645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56011" w14:paraId="7B35CCC5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A0C678E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Change in treatment due to adverse event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8EDAE11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13BA933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(2.8)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8D7005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(3.6)</w:t>
            </w:r>
          </w:p>
        </w:tc>
      </w:tr>
      <w:tr w:rsidR="00B56011" w14:paraId="79C5D803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9FD8B5D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Two consecutive positive cultures after completing treatment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ED85AE7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(1.2)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D24543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(8.3)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5C09FF8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(8.4)</w:t>
            </w:r>
          </w:p>
        </w:tc>
      </w:tr>
      <w:tr w:rsidR="00B56011" w14:paraId="41FF6282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5FCF316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Retreated for TB due to clinical signs and symptoms without two consecutive positive cultures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406608B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(1.2)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3B28E43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4086B0B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(1.2)</w:t>
            </w:r>
          </w:p>
        </w:tc>
      </w:tr>
      <w:tr w:rsidR="00B56011" w14:paraId="03FF8B79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D72E313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Exclusions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B7E458A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63E9FD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B87CE3B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56011" w14:paraId="347CA576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D9652DB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Baseline INH resistance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AF59AB7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B3D1B67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250E562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56011" w14:paraId="47B45DD0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CE476EF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Culture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3B38B36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9F06F09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7E06CA3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56011" w14:paraId="62B3AC76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D7FE208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Late exclusion - &lt;18 years old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E0F3534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879061A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5EBD0B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56011" w14:paraId="55B94944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1EC27DA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Post-treatment death deemed unrelated to TB or treatment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BC188C5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AA8DEB5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B74AA62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56011" w14:paraId="11891434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03CA379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Post-treatment LTFU when culture negative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15836C4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039E6E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85CF754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56011" w14:paraId="049B2A2A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2D8DBB1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Evidence of exogenous TB reinfection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470F61B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C9E5DB9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27E5BF9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56011" w14:paraId="3C1B0543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FAD4468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Unassessable</w:t>
            </w:r>
            <w:proofErr w:type="spellEnd"/>
            <w:r>
              <w:rPr>
                <w:rFonts w:ascii="Calibri" w:hAnsi="Calibri" w:cs="Calibri"/>
                <w:color w:val="000000"/>
              </w:rPr>
              <w:t> - Withdrawal during the treatment phase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52617A2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1657120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BB1B936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56011" w14:paraId="5ED9878C" w14:textId="77777777" w:rsidTr="0004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3A5C177" w14:textId="77777777" w:rsidR="00B56011" w:rsidRDefault="00B56011" w:rsidP="000401C1">
            <w:pPr>
              <w:adjustRightInd w:val="0"/>
              <w:spacing w:before="67" w:after="6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Exclusion - No evidence of culture or smear positivity at baseline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8FBE22D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2209A36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7C8D67F" w14:textId="77777777" w:rsidR="00B56011" w:rsidRDefault="00B56011" w:rsidP="000401C1">
            <w:pPr>
              <w:adjustRightInd w:val="0"/>
              <w:spacing w:before="67" w:after="6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14:paraId="07EFC9C2" w14:textId="77777777" w:rsidR="00472B03" w:rsidRPr="00D44948" w:rsidRDefault="00472B03" w:rsidP="00D44948">
      <w:pPr>
        <w:jc w:val="left"/>
      </w:pPr>
    </w:p>
    <w:sectPr w:rsidR="00472B03" w:rsidRPr="00D44948" w:rsidSect="00D449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E375" w14:textId="77777777" w:rsidR="00000000" w:rsidRDefault="00000000">
    <w:r>
      <w:rPr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48"/>
    <w:rsid w:val="001D1AD9"/>
    <w:rsid w:val="00224D42"/>
    <w:rsid w:val="004412BE"/>
    <w:rsid w:val="00472B03"/>
    <w:rsid w:val="00717C20"/>
    <w:rsid w:val="00726B55"/>
    <w:rsid w:val="009D66B3"/>
    <w:rsid w:val="00B56011"/>
    <w:rsid w:val="00C56F66"/>
    <w:rsid w:val="00CA09DA"/>
    <w:rsid w:val="00D44948"/>
    <w:rsid w:val="00F9201E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9EE1F"/>
  <w15:chartTrackingRefBased/>
  <w15:docId w15:val="{03082BCF-96F5-471D-A1DD-991F8441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948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4948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94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4948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948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948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948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948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948"/>
    <w:pPr>
      <w:keepNext/>
      <w:keepLines/>
      <w:spacing w:after="0"/>
      <w:jc w:val="lef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948"/>
    <w:pPr>
      <w:keepNext/>
      <w:keepLines/>
      <w:spacing w:after="0"/>
      <w:jc w:val="lef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4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4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9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9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94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948"/>
    <w:pPr>
      <w:numPr>
        <w:ilvl w:val="1"/>
      </w:numPr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948"/>
    <w:pPr>
      <w:ind w:left="720"/>
      <w:contextualSpacing/>
      <w:jc w:val="left"/>
    </w:pPr>
  </w:style>
  <w:style w:type="character" w:styleId="IntenseEmphasis">
    <w:name w:val="Intense Emphasis"/>
    <w:basedOn w:val="DefaultParagraphFont"/>
    <w:uiPriority w:val="21"/>
    <w:qFormat/>
    <w:rsid w:val="00D449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9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948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17C20"/>
    <w:pPr>
      <w:spacing w:before="240" w:after="0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C2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C2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17C2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17C2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99FC8-BE66-4C77-AADE-2E70BED4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Grint</dc:creator>
  <cp:keywords/>
  <dc:description/>
  <cp:lastModifiedBy>Daniel Grint</cp:lastModifiedBy>
  <cp:revision>4</cp:revision>
  <dcterms:created xsi:type="dcterms:W3CDTF">2025-02-12T10:23:00Z</dcterms:created>
  <dcterms:modified xsi:type="dcterms:W3CDTF">2025-02-12T21:04:00Z</dcterms:modified>
</cp:coreProperties>
</file>