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2D17" w14:textId="0BDB1335" w:rsidR="00C9109C" w:rsidRPr="00500BCC" w:rsidRDefault="00214ADD" w:rsidP="00C9109C">
      <w:pPr>
        <w:pStyle w:val="aaberschrift1"/>
        <w:numPr>
          <w:ilvl w:val="1"/>
          <w:numId w:val="0"/>
        </w:numPr>
      </w:pPr>
      <w:r>
        <w:t>Supplemental data</w:t>
      </w:r>
    </w:p>
    <w:tbl>
      <w:tblPr>
        <w:tblStyle w:val="Table"/>
        <w:tblW w:w="6450" w:type="dxa"/>
        <w:jc w:val="center"/>
        <w:tblInd w:w="0" w:type="dxa"/>
        <w:tblLayout w:type="fixed"/>
        <w:tblLook w:val="0420" w:firstRow="1" w:lastRow="0" w:firstColumn="0" w:lastColumn="0" w:noHBand="0" w:noVBand="1"/>
      </w:tblPr>
      <w:tblGrid>
        <w:gridCol w:w="4449"/>
        <w:gridCol w:w="2001"/>
      </w:tblGrid>
      <w:tr w:rsidR="00E06C24" w:rsidRPr="00500BCC" w14:paraId="5C16F726" w14:textId="77777777" w:rsidTr="00EF02F6">
        <w:trPr>
          <w:trHeight w:val="170"/>
          <w:tblHeader/>
          <w:jc w:val="center"/>
        </w:trPr>
        <w:tc>
          <w:tcPr>
            <w:tcW w:w="44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4F31E" w14:textId="77777777" w:rsidR="00E06C24" w:rsidRPr="00500BCC" w:rsidRDefault="00E06C24" w:rsidP="00500BCC">
            <w:pPr>
              <w:spacing w:after="0"/>
              <w:ind w:left="1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Hospital Data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FB672" w14:textId="51DE41F2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Median [IQR]; n 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(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%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E06C24" w:rsidRPr="00500BCC" w14:paraId="509DDA34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44E6F" w14:textId="427BEF48" w:rsidR="00E06C24" w:rsidRPr="00500BCC" w:rsidRDefault="00E06C24" w:rsidP="00500BCC">
            <w:pPr>
              <w:spacing w:after="0"/>
              <w:ind w:left="1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Participating </w:t>
            </w: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cent</w:t>
            </w:r>
            <w:r w:rsidR="00435738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re</w:t>
            </w: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1EC2A" w14:textId="77777777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E06C24" w:rsidRPr="00500BCC" w14:paraId="454C566F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D9A7" w14:textId="05CAE603" w:rsidR="00E06C24" w:rsidRPr="00500BCC" w:rsidRDefault="00E06C24" w:rsidP="00500BCC">
            <w:pPr>
              <w:spacing w:after="0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Beds for </w:t>
            </w: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p</w:t>
            </w:r>
            <w:r w:rsidR="00003232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a</w:t>
            </w: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ediatric</w:t>
            </w:r>
            <w:proofErr w:type="spellEnd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 patients per </w:t>
            </w: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cent</w:t>
            </w:r>
            <w:r w:rsidR="00003232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re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2B08F" w14:textId="77777777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122 [75, 130]</w:t>
            </w:r>
          </w:p>
        </w:tc>
      </w:tr>
      <w:tr w:rsidR="00E06C24" w:rsidRPr="00500BCC" w14:paraId="74AA4579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CBD2A" w14:textId="27A78C3D" w:rsidR="00E06C24" w:rsidRPr="00500BCC" w:rsidRDefault="00E06C24" w:rsidP="00500BCC">
            <w:pPr>
              <w:spacing w:after="0"/>
              <w:ind w:left="1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Cases included per </w:t>
            </w: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cent</w:t>
            </w:r>
            <w:r w:rsidR="00EE6237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re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1A9C2" w14:textId="77777777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 [37, 43]</w:t>
            </w:r>
          </w:p>
        </w:tc>
      </w:tr>
      <w:tr w:rsidR="00E06C24" w:rsidRPr="00500BCC" w14:paraId="75B19A24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83688" w14:textId="1E2DB96E" w:rsidR="00E06C24" w:rsidRPr="00500BCC" w:rsidRDefault="00E06C24" w:rsidP="00500BCC">
            <w:pPr>
              <w:spacing w:after="0"/>
              <w:ind w:left="1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PICU beds per </w:t>
            </w: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cent</w:t>
            </w:r>
            <w:r w:rsidR="009D78A6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re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0D7BF" w14:textId="77777777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 [9, 12]</w:t>
            </w:r>
          </w:p>
        </w:tc>
      </w:tr>
      <w:tr w:rsidR="00E06C24" w:rsidRPr="00500BCC" w14:paraId="46D0109F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35C87" w14:textId="70E3D63A" w:rsidR="00E06C24" w:rsidRPr="00500BCC" w:rsidRDefault="00E06C24" w:rsidP="00500BCC">
            <w:pPr>
              <w:spacing w:after="0"/>
              <w:ind w:left="1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NICU beds per </w:t>
            </w: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cent</w:t>
            </w:r>
            <w:r w:rsidR="009D78A6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re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16DDA" w14:textId="77777777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 [0, 16]</w:t>
            </w:r>
          </w:p>
        </w:tc>
      </w:tr>
      <w:tr w:rsidR="00E06C24" w:rsidRPr="00500BCC" w14:paraId="2EC3C57B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A8817" w14:textId="77777777" w:rsidR="00E06C24" w:rsidRPr="00500BCC" w:rsidRDefault="00E06C24" w:rsidP="00500BCC">
            <w:pPr>
              <w:spacing w:after="0"/>
              <w:ind w:left="1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Hospital type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BC84" w14:textId="77777777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C24" w:rsidRPr="00500BCC" w14:paraId="65B7EB7A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BDBFF" w14:textId="77777777" w:rsidR="00E06C24" w:rsidRPr="00500BCC" w:rsidRDefault="00E06C24" w:rsidP="00500BCC">
            <w:pPr>
              <w:spacing w:after="0"/>
              <w:ind w:left="3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Public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39715" w14:textId="5C6A96EA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4 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(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44%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E06C24" w:rsidRPr="00500BCC" w14:paraId="13055DFA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181E8" w14:textId="77777777" w:rsidR="00E06C24" w:rsidRPr="00500BCC" w:rsidRDefault="00E06C24" w:rsidP="00500BCC">
            <w:pPr>
              <w:spacing w:after="0"/>
              <w:ind w:left="3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University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19247" w14:textId="002C7DFB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5 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(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56%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E06C24" w:rsidRPr="00500BCC" w14:paraId="40074107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2EB6E" w14:textId="1BBAEC13" w:rsidR="00E06C24" w:rsidRPr="00500BCC" w:rsidRDefault="00E06C24" w:rsidP="00500BCC">
            <w:pPr>
              <w:spacing w:after="0"/>
              <w:ind w:left="1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Dedicated </w:t>
            </w: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p</w:t>
            </w:r>
            <w:r w:rsidR="00C519B0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a</w:t>
            </w: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ediatric</w:t>
            </w:r>
            <w:proofErr w:type="spellEnd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 surgery facilities 24/7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A9DD" w14:textId="77777777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C24" w:rsidRPr="00500BCC" w14:paraId="43A99156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676CB" w14:textId="77777777" w:rsidR="00E06C24" w:rsidRPr="00500BCC" w:rsidRDefault="00E06C24" w:rsidP="00500BCC">
            <w:pPr>
              <w:spacing w:after="0"/>
              <w:ind w:left="3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82E01" w14:textId="45E9BA09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1 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(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11%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E06C24" w:rsidRPr="00500BCC" w14:paraId="050846DC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97A31" w14:textId="77777777" w:rsidR="00E06C24" w:rsidRPr="00500BCC" w:rsidRDefault="00E06C24" w:rsidP="00500BCC">
            <w:pPr>
              <w:spacing w:after="0"/>
              <w:ind w:left="3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17D7F" w14:textId="3292B96C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8 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(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89%</w:t>
            </w:r>
            <w:r w:rsidR="007D2F63"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E06C24" w:rsidRPr="00500BCC" w14:paraId="3892C755" w14:textId="77777777" w:rsidTr="00EF02F6">
        <w:trPr>
          <w:trHeight w:val="170"/>
          <w:jc w:val="center"/>
        </w:trPr>
        <w:tc>
          <w:tcPr>
            <w:tcW w:w="44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3119B" w14:textId="368B7508" w:rsidR="00E06C24" w:rsidRPr="00500BCC" w:rsidRDefault="00E06C24" w:rsidP="00500BCC">
            <w:pPr>
              <w:spacing w:after="0"/>
              <w:ind w:left="100" w:right="102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Number of operating theat</w:t>
            </w:r>
            <w:r w:rsidR="00F71F3D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re</w:t>
            </w: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s for </w:t>
            </w: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p</w:t>
            </w:r>
            <w:r w:rsidR="00C519B0"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a</w:t>
            </w: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ediatric</w:t>
            </w:r>
            <w:proofErr w:type="spellEnd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 cases only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73D2E" w14:textId="77777777" w:rsidR="00E06C24" w:rsidRPr="00500BCC" w:rsidRDefault="00E06C24" w:rsidP="00500BCC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4.00 [1.00, 4.00]</w:t>
            </w:r>
          </w:p>
        </w:tc>
      </w:tr>
    </w:tbl>
    <w:p w14:paraId="71F5D580" w14:textId="0A98B87C" w:rsidR="00C9109C" w:rsidRDefault="00E06C24" w:rsidP="00E06C24">
      <w:pPr>
        <w:pStyle w:val="AA1UntertitelTabelle"/>
        <w:rPr>
          <w:lang w:val="en-US"/>
        </w:rPr>
      </w:pPr>
      <w:bookmarkStart w:id="0" w:name="_Toc147308619"/>
      <w:r w:rsidRPr="00E718CC">
        <w:rPr>
          <w:lang w:val="en-US"/>
        </w:rPr>
        <w:t xml:space="preserve">Table </w:t>
      </w:r>
      <w:r w:rsidR="00214ADD">
        <w:rPr>
          <w:lang w:val="en-US"/>
        </w:rPr>
        <w:t>S1</w:t>
      </w:r>
      <w:r w:rsidRPr="00E718CC">
        <w:rPr>
          <w:lang w:val="en-US"/>
        </w:rPr>
        <w:t>. Hospital Data</w:t>
      </w:r>
      <w:bookmarkEnd w:id="0"/>
      <w:r w:rsidRPr="00E718CC">
        <w:rPr>
          <w:lang w:val="en-US"/>
        </w:rPr>
        <w:t xml:space="preserve"> </w:t>
      </w:r>
    </w:p>
    <w:p w14:paraId="117A0313" w14:textId="40EBAB30" w:rsidR="00E06C24" w:rsidRPr="00C9109C" w:rsidRDefault="00C9109C" w:rsidP="00C9109C">
      <w:pPr>
        <w:rPr>
          <w:rFonts w:ascii="Times New Roman" w:eastAsiaTheme="minorEastAsia" w:hAnsi="Times New Roman"/>
          <w:color w:val="000000" w:themeColor="text1"/>
          <w:spacing w:val="15"/>
          <w:kern w:val="0"/>
          <w:lang w:val="en-US"/>
          <w14:ligatures w14:val="none"/>
        </w:rPr>
      </w:pPr>
      <w:r>
        <w:rPr>
          <w:lang w:val="en-US"/>
        </w:rPr>
        <w:br w:type="page"/>
      </w:r>
    </w:p>
    <w:p w14:paraId="7F0C9698" w14:textId="77777777" w:rsidR="00E06C24" w:rsidRPr="00E718CC" w:rsidRDefault="00E06C24" w:rsidP="00E06C24">
      <w:pPr>
        <w:spacing w:after="120" w:line="240" w:lineRule="auto"/>
        <w:ind w:right="102"/>
        <w:rPr>
          <w:rFonts w:eastAsia="Arial" w:cstheme="minorHAnsi"/>
          <w:b/>
          <w:color w:val="000000"/>
          <w:sz w:val="18"/>
          <w:szCs w:val="18"/>
          <w:lang w:val="en-US"/>
        </w:rPr>
      </w:pPr>
    </w:p>
    <w:p w14:paraId="20FA323E" w14:textId="77777777" w:rsidR="00E06C24" w:rsidRPr="00E718CC" w:rsidRDefault="00E06C24" w:rsidP="00E06C24">
      <w:pPr>
        <w:spacing w:after="120" w:line="240" w:lineRule="auto"/>
        <w:ind w:right="102"/>
        <w:rPr>
          <w:rFonts w:eastAsia="Arial" w:cstheme="minorHAnsi"/>
          <w:b/>
          <w:color w:val="000000"/>
          <w:sz w:val="18"/>
          <w:szCs w:val="18"/>
          <w:lang w:val="en-US"/>
        </w:rPr>
        <w:sectPr w:rsidR="00E06C24" w:rsidRPr="00E718C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5333"/>
        <w:gridCol w:w="3739"/>
      </w:tblGrid>
      <w:tr w:rsidR="00E06C24" w:rsidRPr="00500BCC" w14:paraId="6B472CB1" w14:textId="77777777" w:rsidTr="00500BCC">
        <w:trPr>
          <w:trHeight w:val="2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63317" w14:textId="77777777" w:rsidR="00E06C24" w:rsidRPr="00500B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N = 351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2C689" w14:textId="14A2E9F5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vertAlign w:val="superscript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Median [IQR]; n </w:t>
            </w:r>
            <w:r w:rsidR="00E74348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%</w:t>
            </w:r>
            <w:r w:rsidR="00380CA7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116DAB29" w14:textId="77777777" w:rsidTr="00500BC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A619D" w14:textId="77777777" w:rsidR="00E06C24" w:rsidRPr="00500B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Age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F794F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7.7 [4.0, 12.8]</w:t>
            </w:r>
          </w:p>
        </w:tc>
      </w:tr>
      <w:tr w:rsidR="00E06C24" w:rsidRPr="00500BCC" w14:paraId="134B9A4A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C0742" w14:textId="77777777" w:rsidR="00E06C24" w:rsidRPr="00500B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Age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2DC3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</w:p>
        </w:tc>
      </w:tr>
      <w:tr w:rsidR="00E06C24" w:rsidRPr="00500BCC" w14:paraId="7CE18E02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AB384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Neonate [0–3m]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5B65A" w14:textId="123454B4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22 </w:t>
            </w:r>
            <w:r w:rsidR="00EE216C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6.3%</w:t>
            </w:r>
            <w:r w:rsidR="000B487D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43EACF08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1D178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Infant [&gt;3–12m]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DD46A" w14:textId="7CA22A7E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16 </w:t>
            </w:r>
            <w:r w:rsidR="00506E4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4.6%</w:t>
            </w:r>
            <w:r w:rsidR="00A912FA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4BD0ED15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54EA8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Toddler [&gt;1–3y]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75A53" w14:textId="7445314F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39 </w:t>
            </w:r>
            <w:r w:rsidR="00727486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11%</w:t>
            </w:r>
            <w:r w:rsidR="00A912FA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20283F36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40AAF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Preschooler [&gt;3–6y]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A9D0F" w14:textId="1D81A88D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63 </w:t>
            </w:r>
            <w:r w:rsidR="00551D4A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18%</w:t>
            </w:r>
            <w:r w:rsidR="00A912FA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5CEA551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DD0A3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Gradeschooler</w:t>
            </w:r>
            <w:proofErr w:type="spellEnd"/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 [&gt;6–15y]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9C4C6" w14:textId="57E8BD93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183 </w:t>
            </w:r>
            <w:r w:rsidR="00684481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5</w:t>
            </w:r>
            <w:r w:rsidR="0022392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2</w:t>
            </w:r>
            <w:r w:rsidR="00A912FA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%)</w:t>
            </w:r>
          </w:p>
        </w:tc>
      </w:tr>
      <w:tr w:rsidR="00E06C24" w:rsidRPr="00500BCC" w14:paraId="49563D18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8CF8B" w14:textId="73A905BF" w:rsidR="00E06C24" w:rsidRPr="00500BCC" w:rsidRDefault="000D2402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Young adult</w:t>
            </w:r>
            <w:r w:rsidR="00E06C2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 [&gt;15–16y]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EED66" w14:textId="0377E126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28 </w:t>
            </w:r>
            <w:r w:rsidR="0085006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8</w:t>
            </w:r>
            <w:r w:rsidR="00096069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%)</w:t>
            </w:r>
          </w:p>
        </w:tc>
      </w:tr>
      <w:tr w:rsidR="00E06C24" w:rsidRPr="00500BCC" w14:paraId="722B5250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28FCC" w14:textId="77777777" w:rsidR="00E06C24" w:rsidRPr="00500B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42ED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</w:p>
        </w:tc>
      </w:tr>
      <w:tr w:rsidR="00E06C24" w:rsidRPr="00500BCC" w14:paraId="3130D3F4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1CD90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7C295" w14:textId="00001F71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122 </w:t>
            </w:r>
            <w:r w:rsidR="009C388B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35%</w:t>
            </w:r>
            <w:r w:rsidR="00214869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1D7590CB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011EE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CAC94" w14:textId="1FC2EB26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229 </w:t>
            </w:r>
            <w:r w:rsidR="0039289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65%</w:t>
            </w:r>
            <w:r w:rsidR="009E7CD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39820951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08C38" w14:textId="77777777" w:rsidR="00E06C24" w:rsidRPr="00500B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ASA physical status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1D54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</w:pPr>
          </w:p>
        </w:tc>
      </w:tr>
      <w:tr w:rsidR="00E06C24" w:rsidRPr="00500BCC" w14:paraId="0905ED92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C2E2F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49F0A" w14:textId="13C3D405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211 </w:t>
            </w:r>
            <w:r w:rsidR="004D29B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60%</w:t>
            </w:r>
            <w:r w:rsidR="00D773A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5CA93308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7B096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E4D52" w14:textId="5AA98275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83 </w:t>
            </w:r>
            <w:r w:rsidR="00C970D7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24%</w:t>
            </w:r>
            <w:r w:rsidR="00D773A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42AD3F5F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7977D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B9198" w14:textId="33FE96A6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42 </w:t>
            </w:r>
            <w:r w:rsidR="002A46F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12%</w:t>
            </w:r>
            <w:r w:rsidR="00D773A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C7B1228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50079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FD715" w14:textId="48E63778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9 </w:t>
            </w:r>
            <w:r w:rsidR="008D2030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2.6%</w:t>
            </w:r>
            <w:r w:rsidR="00D773A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4413B970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42D9E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7033B" w14:textId="42EAD64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6 </w:t>
            </w:r>
            <w:r w:rsidR="00676BF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1.7%</w:t>
            </w:r>
            <w:r w:rsidR="00D773A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6BB2CCD1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D0B5" w14:textId="77777777" w:rsidR="00E06C24" w:rsidRPr="00500BCC" w:rsidRDefault="00E06C24" w:rsidP="00500BCC">
            <w:pPr>
              <w:spacing w:after="0" w:line="240" w:lineRule="auto"/>
              <w:ind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Surgery duration in minutes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937B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46 [26, 85]</w:t>
            </w:r>
          </w:p>
        </w:tc>
      </w:tr>
      <w:tr w:rsidR="00E06C24" w:rsidRPr="00500BCC" w14:paraId="06CEB860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66C9" w14:textId="77777777" w:rsidR="00E06C24" w:rsidRPr="00500BCC" w:rsidRDefault="00E06C24" w:rsidP="00500BCC">
            <w:pPr>
              <w:spacing w:after="0" w:line="240" w:lineRule="auto"/>
              <w:ind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Emergency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0669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</w:p>
        </w:tc>
      </w:tr>
      <w:tr w:rsidR="00E06C24" w:rsidRPr="00500BCC" w14:paraId="5AD36018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E044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5CAE" w14:textId="69809A0A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261 </w:t>
            </w:r>
            <w:r w:rsidR="001507F0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74%</w:t>
            </w:r>
            <w:r w:rsidR="006A35A8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719C93FC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4D3C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F2CD" w14:textId="05A263FA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90 </w:t>
            </w:r>
            <w:r w:rsidR="00A22181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26%</w:t>
            </w:r>
            <w:r w:rsidR="006A35A8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1782E8FB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31DF" w14:textId="77777777" w:rsidR="00E06C24" w:rsidRPr="00500BCC" w:rsidRDefault="00E06C24" w:rsidP="00500BCC">
            <w:pPr>
              <w:spacing w:after="0" w:line="240" w:lineRule="auto"/>
              <w:ind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Surgical approach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ED4A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</w:p>
        </w:tc>
      </w:tr>
      <w:tr w:rsidR="00E06C24" w:rsidRPr="00500BCC" w14:paraId="3B96EC09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A866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Endoscopic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0F91" w14:textId="10AC46A1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6 </w:t>
            </w:r>
            <w:r w:rsidR="00ED6989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1.7%</w:t>
            </w:r>
            <w:r w:rsidR="004C27C8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2AA60058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EC0A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Minimally invasive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FC25" w14:textId="5D59A12F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101 </w:t>
            </w:r>
            <w:r w:rsidR="00223399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29%</w:t>
            </w:r>
            <w:r w:rsidR="004A7E1B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252E2AC4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EED6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Open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4A6D" w14:textId="633F17E3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242 </w:t>
            </w:r>
            <w:r w:rsidR="00B9610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69%</w:t>
            </w:r>
            <w:r w:rsidR="00802ED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7C4F767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5BA5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BCDB" w14:textId="06845A6D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 </w:t>
            </w:r>
            <w:r w:rsidR="00B9610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0.6%</w:t>
            </w:r>
            <w:r w:rsidR="00787C7D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F5FC098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D5BA" w14:textId="77777777" w:rsidR="00E06C24" w:rsidRPr="00500BCC" w:rsidRDefault="00E06C24" w:rsidP="00500BCC">
            <w:pPr>
              <w:spacing w:after="0" w:line="240" w:lineRule="auto"/>
              <w:ind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Degree of contamination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19F5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</w:p>
        </w:tc>
      </w:tr>
      <w:tr w:rsidR="00E06C24" w:rsidRPr="00500BCC" w14:paraId="47101135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52F8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Clean,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E66F" w14:textId="51A96A03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255 </w:t>
            </w:r>
            <w:r w:rsidR="00CA13E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73%</w:t>
            </w:r>
            <w:r w:rsidR="00A94E9E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5011B17B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F2C6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Clean-contaminated,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6B92" w14:textId="6B54DDD6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52 </w:t>
            </w:r>
            <w:r w:rsidR="00CA13E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15%</w:t>
            </w:r>
            <w:r w:rsidR="00DC270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1616B4DE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295AC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Contaminated,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C719" w14:textId="31CF5866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25 </w:t>
            </w:r>
            <w:r w:rsidR="00CA13E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7.1%</w:t>
            </w:r>
            <w:r w:rsidR="00EC56A9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7AFF4FDF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77A1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Dirty/infected,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F9D6" w14:textId="7A7F0C0E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18 </w:t>
            </w:r>
            <w:r w:rsidR="00CA13E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5.1%</w:t>
            </w:r>
            <w:r w:rsidR="006377B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2CC5F42C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1107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0C7D" w14:textId="76FE6E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1 </w:t>
            </w:r>
            <w:r w:rsidR="00CA13E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0.3%</w:t>
            </w:r>
            <w:r w:rsidR="003B09D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32E529C2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10E1" w14:textId="77777777" w:rsidR="00E06C24" w:rsidRPr="00500BCC" w:rsidRDefault="00E06C24" w:rsidP="00500BCC">
            <w:pPr>
              <w:spacing w:after="0" w:line="240" w:lineRule="auto"/>
              <w:ind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Type of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59DC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</w:p>
        </w:tc>
      </w:tr>
      <w:tr w:rsidR="00E06C24" w:rsidRPr="00500BCC" w14:paraId="7594DD84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D357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Musculoskeletal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7E9A" w14:textId="19E0D553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118 </w:t>
            </w:r>
            <w:r w:rsidR="00CA13E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34%</w:t>
            </w:r>
            <w:r w:rsidR="003B09D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1642276A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0FA8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Genito-urinary 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7FDD" w14:textId="6164A200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63 </w:t>
            </w:r>
            <w:r w:rsidR="005318E1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18%</w:t>
            </w:r>
            <w:r w:rsidR="000605B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51328E5F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D72B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Intestinal 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2EF1" w14:textId="6CA7B376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57 </w:t>
            </w:r>
            <w:r w:rsidR="005318E1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16%</w:t>
            </w:r>
            <w:r w:rsidR="003F394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614070C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B38C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Skin/Integument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BDF3" w14:textId="789CB16C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54 </w:t>
            </w:r>
            <w:r w:rsidR="005318E1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15%</w:t>
            </w:r>
            <w:r w:rsidR="003F3945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40F51D3C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FCE6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DD78" w14:textId="2E4F6A4E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27 </w:t>
            </w:r>
            <w:r w:rsidR="00576CB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7.7%</w:t>
            </w:r>
            <w:r w:rsidR="009003EF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2F758886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5C11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Cardiovascular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C6C6" w14:textId="37AE05BB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17 </w:t>
            </w:r>
            <w:r w:rsidR="00576CB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4.8%</w:t>
            </w:r>
            <w:r w:rsidR="00017A5B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3EDC2E9D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5A6A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Nervous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7743" w14:textId="2A1EB725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8 </w:t>
            </w:r>
            <w:r w:rsidR="00576CB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2.3%</w:t>
            </w:r>
            <w:r w:rsidR="00017A5B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B285146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1EBE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Endocrine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378" w14:textId="7764C29B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 </w:t>
            </w:r>
            <w:r w:rsidR="00576CB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0.6%</w:t>
            </w:r>
            <w:r w:rsidR="00313411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E40138F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9345" w14:textId="3926BE5E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Eyes</w:t>
            </w:r>
            <w:r w:rsidR="007D2F6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 (lids, muscles)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7151" w14:textId="6F8AAF0A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 </w:t>
            </w:r>
            <w:r w:rsidR="00576CB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0.6%</w:t>
            </w:r>
            <w:r w:rsidR="00313411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64756812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1457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1AB5" w14:textId="366A00DA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3 </w:t>
            </w:r>
            <w:r w:rsidR="00576CB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0.9%</w:t>
            </w:r>
            <w:r w:rsidR="00745B0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3BCC5C0A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5DF9" w14:textId="77777777" w:rsidR="00E06C24" w:rsidRPr="00500BCC" w:rsidRDefault="00E06C24" w:rsidP="00500BCC">
            <w:pPr>
              <w:spacing w:after="0" w:line="240" w:lineRule="auto"/>
              <w:ind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Placement of drain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CE5B" w14:textId="77777777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</w:p>
        </w:tc>
      </w:tr>
      <w:tr w:rsidR="00E06C24" w:rsidRPr="00500BCC" w14:paraId="4FDEC2D4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C373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E820" w14:textId="1BAF8C88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317 </w:t>
            </w:r>
            <w:r w:rsidR="00576CB2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90%</w:t>
            </w:r>
            <w:r w:rsidR="00745B04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783938E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297D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7E86" w14:textId="38AEEF02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25 </w:t>
            </w:r>
            <w:r w:rsidR="00833759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7.1%</w:t>
            </w:r>
            <w:r w:rsidR="004A43F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3B3CD0FB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5CE4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7A69" w14:textId="2A140302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9 </w:t>
            </w:r>
            <w:r w:rsidR="00833759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2.6%</w:t>
            </w:r>
            <w:r w:rsidR="004A43F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127EC14D" w14:textId="77777777" w:rsidTr="00500BCC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07EC" w14:textId="40DB0973" w:rsidR="00E06C24" w:rsidRPr="00500B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 xml:space="preserve">Placement of implant 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(Excl. PICC-line, midline, peripheral venous catheter, central line, urethral catheter, removal of </w:t>
            </w:r>
            <w:proofErr w:type="spellStart"/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orthop</w:t>
            </w:r>
            <w:r w:rsidR="009D38A1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a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edic</w:t>
            </w:r>
            <w:proofErr w:type="spellEnd"/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 hardware)</w:t>
            </w:r>
          </w:p>
        </w:tc>
      </w:tr>
      <w:tr w:rsidR="00E06C24" w:rsidRPr="00500BCC" w14:paraId="45C18D06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7546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D127" w14:textId="5CC4310D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266 </w:t>
            </w:r>
            <w:r w:rsidR="009E193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76%</w:t>
            </w:r>
            <w:r w:rsidR="004A43F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06C24" w:rsidRPr="00500BCC" w14:paraId="0649B5FB" w14:textId="77777777" w:rsidTr="00500B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0070" w14:textId="77777777" w:rsidR="00E06C24" w:rsidRPr="00500B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99AF" w14:textId="6D9AAAF1" w:rsidR="00E06C24" w:rsidRPr="00500B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 xml:space="preserve">85 </w:t>
            </w:r>
            <w:r w:rsidR="009E193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(</w:t>
            </w:r>
            <w:r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24%</w:t>
            </w:r>
            <w:r w:rsidR="004A43F3" w:rsidRPr="00500BCC">
              <w:rPr>
                <w:rFonts w:ascii="Times New Roman" w:eastAsia="Arial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</w:tbl>
    <w:p w14:paraId="54D704C5" w14:textId="0E7A8A4B" w:rsidR="00C9109C" w:rsidRPr="00E718CC" w:rsidRDefault="00C9109C" w:rsidP="00E06C24">
      <w:pPr>
        <w:pStyle w:val="AA1UntertitelTabelle"/>
        <w:rPr>
          <w:rFonts w:eastAsiaTheme="minorHAnsi"/>
          <w:u w:color="000000"/>
          <w:lang w:val="en-US"/>
        </w:rPr>
        <w:sectPr w:rsidR="00C9109C" w:rsidRPr="00E718CC" w:rsidSect="00325E6C">
          <w:type w:val="continuous"/>
          <w:pgSz w:w="11906" w:h="16838"/>
          <w:pgMar w:top="1417" w:right="1417" w:bottom="1134" w:left="1417" w:header="708" w:footer="708" w:gutter="0"/>
          <w:cols w:space="709"/>
          <w:docGrid w:linePitch="360"/>
        </w:sectPr>
      </w:pPr>
      <w:bookmarkStart w:id="1" w:name="_Toc147308620"/>
      <w:r w:rsidRPr="00E718CC">
        <w:rPr>
          <w:rFonts w:eastAsiaTheme="minorHAnsi"/>
          <w:u w:color="000000"/>
          <w:lang w:val="en-US"/>
        </w:rPr>
        <w:t xml:space="preserve">Table </w:t>
      </w:r>
      <w:r w:rsidR="00214ADD">
        <w:rPr>
          <w:rFonts w:eastAsiaTheme="minorHAnsi"/>
          <w:u w:color="000000"/>
          <w:lang w:val="en-US"/>
        </w:rPr>
        <w:t>S2</w:t>
      </w:r>
      <w:r w:rsidRPr="00E718CC">
        <w:rPr>
          <w:rFonts w:eastAsiaTheme="minorHAnsi"/>
          <w:u w:color="000000"/>
          <w:lang w:val="en-US"/>
        </w:rPr>
        <w:t>. Patient and surgery characteristics</w:t>
      </w:r>
    </w:p>
    <w:bookmarkEnd w:id="1"/>
    <w:p w14:paraId="1D830A60" w14:textId="71A17CB9" w:rsidR="00E06C24" w:rsidRPr="00E718CC" w:rsidRDefault="00E06C24" w:rsidP="00E06C24">
      <w:pPr>
        <w:rPr>
          <w:lang w:val="en-US"/>
        </w:rPr>
      </w:pPr>
    </w:p>
    <w:tbl>
      <w:tblPr>
        <w:tblW w:w="4688" w:type="pct"/>
        <w:jc w:val="center"/>
        <w:tblLook w:val="0420" w:firstRow="1" w:lastRow="0" w:firstColumn="0" w:lastColumn="0" w:noHBand="0" w:noVBand="1"/>
      </w:tblPr>
      <w:tblGrid>
        <w:gridCol w:w="7230"/>
        <w:gridCol w:w="1276"/>
      </w:tblGrid>
      <w:tr w:rsidR="00E06C24" w:rsidRPr="00E718CC" w14:paraId="1E98768E" w14:textId="77777777" w:rsidTr="00EF02F6">
        <w:trPr>
          <w:trHeight w:val="289"/>
          <w:tblHeader/>
          <w:jc w:val="center"/>
        </w:trPr>
        <w:tc>
          <w:tcPr>
            <w:tcW w:w="4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1B906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SSI prevention measures N = 351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40534" w14:textId="5D313636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n </w:t>
            </w:r>
            <w:r w:rsidR="004E4D3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%</w:t>
            </w:r>
            <w:r w:rsidR="00070D30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7C8A127B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8F72E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Surgical antibiotic prophylaxis used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987F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06C24" w:rsidRPr="00E718CC" w14:paraId="006F78F4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3EA6C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5273F" w14:textId="619CDCFB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176 </w:t>
            </w:r>
            <w:r w:rsidR="004E4D3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50%</w:t>
            </w:r>
            <w:r w:rsidR="0084406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3A735C6B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FCCAE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C1736" w14:textId="59D665B8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161 </w:t>
            </w:r>
            <w:r w:rsidR="004E4D3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46%</w:t>
            </w:r>
            <w:r w:rsidR="006441C1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4D16DD39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D3AA0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Patient already under antibiotic therapy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F1072" w14:textId="11092A33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14 </w:t>
            </w:r>
            <w:r w:rsidR="007F5923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4.0%</w:t>
            </w:r>
            <w:r w:rsidR="00A94D7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61207ADE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1BEA2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Surgical skin preparation agent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080B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06C24" w:rsidRPr="00E718CC" w14:paraId="34AA2356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6792E" w14:textId="6D0933E8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Alcohol</w:t>
            </w:r>
            <w:r w:rsidR="00055C6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based,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Softasept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3AE15" w14:textId="27A49EA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113 </w:t>
            </w:r>
            <w:r w:rsidR="005C3F0F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32%</w:t>
            </w:r>
            <w:r w:rsidR="00CB2CCE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6B0A35F2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A6D8F" w14:textId="044C9E6D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Iodine</w:t>
            </w:r>
            <w:r w:rsidR="00055C6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based, e.g. Betadine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A068D" w14:textId="71672204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106 </w:t>
            </w:r>
            <w:r w:rsidR="00F80E19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30%</w:t>
            </w:r>
            <w:r w:rsidR="00270E7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2CF02B89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4863F" w14:textId="3F31FBAC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Octenidine</w:t>
            </w:r>
            <w:proofErr w:type="spellEnd"/>
            <w:r w:rsidR="00055C6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based,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Octeniderm</w:t>
            </w:r>
            <w:proofErr w:type="spellEnd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Octenisept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EBFC7" w14:textId="1C90D9E2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35 </w:t>
            </w:r>
            <w:r w:rsidR="00F45749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10.0%</w:t>
            </w:r>
            <w:r w:rsidR="000E3FC0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62683A6F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2E317" w14:textId="7C9C9E43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Chlorhexidine</w:t>
            </w:r>
            <w:r w:rsidR="00055C6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based,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Chloraprep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EA54D" w14:textId="7C037243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2 </w:t>
            </w:r>
            <w:r w:rsidR="0023507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0.6%</w:t>
            </w:r>
            <w:r w:rsidR="00E975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62FB1C49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6AEC2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No skin disinfectant solution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B1AAC" w14:textId="2B437944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7 </w:t>
            </w:r>
            <w:r w:rsidR="0023661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2.0%</w:t>
            </w:r>
            <w:r w:rsidR="00982D6E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20741A31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91A9F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F3A7F" w14:textId="568FE22B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88 </w:t>
            </w:r>
            <w:r w:rsidR="00CA0EC7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25%</w:t>
            </w:r>
            <w:r w:rsidR="00FE2BE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5E6880C8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D8D9D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Suture material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8247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06C24" w:rsidRPr="00E718CC" w14:paraId="02000D58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17230" w14:textId="77777777" w:rsidR="00E06C24" w:rsidRPr="003D34B4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</w:pPr>
            <w:proofErr w:type="spellStart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>Antimicrobial</w:t>
            </w:r>
            <w:proofErr w:type="spellEnd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>coated</w:t>
            </w:r>
            <w:proofErr w:type="spellEnd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 xml:space="preserve"> sutures, e.g. </w:t>
            </w:r>
            <w:proofErr w:type="spellStart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>MonocrylPlus</w:t>
            </w:r>
            <w:proofErr w:type="spellEnd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 xml:space="preserve">, </w:t>
            </w:r>
            <w:proofErr w:type="spellStart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>VicrylPlus</w:t>
            </w:r>
            <w:proofErr w:type="spellEnd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 xml:space="preserve">, </w:t>
            </w:r>
            <w:proofErr w:type="spellStart"/>
            <w:r w:rsidRPr="003D34B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fr-CH"/>
              </w:rPr>
              <w:t>PDSPlus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68D1B" w14:textId="68E47BDD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84 </w:t>
            </w:r>
            <w:r w:rsidR="004E3674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24%</w:t>
            </w:r>
            <w:r w:rsidR="00FE2BE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9153D03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C95DA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No suture material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D9E79" w14:textId="2070AADF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22 </w:t>
            </w:r>
            <w:r w:rsidR="00122572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6.3%</w:t>
            </w:r>
            <w:r w:rsidR="00E820F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FC5B108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24049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Non-coated sutures, e.g. Monocryl,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Vicryl</w:t>
            </w:r>
            <w:proofErr w:type="spellEnd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, PDS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8D9BB" w14:textId="193A1D86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225 </w:t>
            </w:r>
            <w:r w:rsidR="007A60B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64%</w:t>
            </w:r>
            <w:r w:rsidR="00E820F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3C8EC954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52812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EFBCD" w14:textId="658B5340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20 </w:t>
            </w:r>
            <w:r w:rsidR="00412EA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5.7%</w:t>
            </w:r>
            <w:r w:rsidR="00E820F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1D307DD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E7DE5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Wound protection device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A6FD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06C24" w:rsidRPr="00E718CC" w14:paraId="33115097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1557F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None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9A30F" w14:textId="2D05B995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340 </w:t>
            </w:r>
            <w:r w:rsidR="006866AF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97%</w:t>
            </w:r>
            <w:r w:rsidR="00E820F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E6CDDDC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D780A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Protective film,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Ioban</w:t>
            </w:r>
            <w:proofErr w:type="spellEnd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Drape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2E08A" w14:textId="4FAD6238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4 </w:t>
            </w:r>
            <w:r w:rsidR="008F10D3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1.1%</w:t>
            </w:r>
            <w:r w:rsidR="0094216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54850017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7FE98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Specimen bag,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endobag</w:t>
            </w:r>
            <w:proofErr w:type="spellEnd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; plastic protector, e.g. </w:t>
            </w:r>
            <w:proofErr w:type="gram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Alexis</w:t>
            </w:r>
            <w:proofErr w:type="gramEnd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retractor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EAD23" w14:textId="499DD70F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5 </w:t>
            </w:r>
            <w:r w:rsidR="0071002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1.4%</w:t>
            </w:r>
            <w:r w:rsidR="0092030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170F3FC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158A3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2165E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E06C24" w:rsidRPr="00E718CC" w14:paraId="22AFA53B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CCA3C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Advanced wound dressing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48C6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06C24" w:rsidRPr="00E718CC" w14:paraId="40C0D155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27EFB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None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E4604" w14:textId="475036B0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192 </w:t>
            </w:r>
            <w:r w:rsidR="00B01F2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55%</w:t>
            </w:r>
            <w:r w:rsidR="001E050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40467EE0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B8777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Hydrocolloid, hydrogels, polyurethane matric hydrocolloid dressing,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vapour</w:t>
            </w:r>
            <w:proofErr w:type="spellEnd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-permeable films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8B50C" w14:textId="6B4EC86A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136 </w:t>
            </w:r>
            <w:r w:rsidR="0046016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39%</w:t>
            </w:r>
            <w:r w:rsidR="00557830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1D6917BF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E3854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Negative pressure wound dressing, e.g. V.A.C., VAC,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Prevena</w:t>
            </w:r>
            <w:proofErr w:type="spellEnd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, Easy Dress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3F05D" w14:textId="486B797A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4 </w:t>
            </w:r>
            <w:r w:rsidR="00BF4D49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1.1%</w:t>
            </w:r>
            <w:r w:rsidR="0014262B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58F50D3C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0CCCE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Silver impregnated wound dressing,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Aquacel</w:t>
            </w:r>
            <w:proofErr w:type="spellEnd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AG, Mepilex AG, Mepilex Transfer AG,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Metalline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DF38B" w14:textId="5E20179B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17 </w:t>
            </w:r>
            <w:r w:rsidR="00220E66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4.9%</w:t>
            </w:r>
            <w:r w:rsidR="00AA77BB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2927FABF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9ACCF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75E43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E06C24" w:rsidRPr="00E718CC" w14:paraId="506AD4CE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B3305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Wound irrigation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4B83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06C24" w:rsidRPr="00E718CC" w14:paraId="11C78104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2B230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A9CA1" w14:textId="103690CB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232 </w:t>
            </w:r>
            <w:r w:rsidR="00BE0183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66%</w:t>
            </w:r>
            <w:r w:rsidR="00CE68A9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45CD1643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D3698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42B46" w14:textId="185D7C69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89 </w:t>
            </w:r>
            <w:r w:rsidR="000A3B83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25%</w:t>
            </w:r>
            <w:r w:rsidR="004A116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ABCB988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BEF84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0795C" w14:textId="557A989E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30 </w:t>
            </w:r>
            <w:r w:rsidR="00D45899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8.5%</w:t>
            </w:r>
            <w:r w:rsidR="00847799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2CAB10D4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65AAB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Wound irrigation agent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117CE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E06C24" w:rsidRPr="00E718CC" w14:paraId="3326DE46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16A6F" w14:textId="21A379DA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Antibiotic</w:t>
            </w:r>
            <w:r w:rsidR="0003477D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based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D00DC" w14:textId="5B3DC262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 </w:t>
            </w:r>
            <w:r w:rsidR="00A51ED3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1.1%</w:t>
            </w:r>
            <w:r w:rsidR="00B90FE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5850FE45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A01E9" w14:textId="2D29C299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NaCl</w:t>
            </w:r>
            <w:r w:rsidR="00B21DCF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based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849B8" w14:textId="33A5986A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47 </w:t>
            </w:r>
            <w:r w:rsidR="007504BA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53%</w:t>
            </w:r>
            <w:r w:rsidR="007D00B0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5DE44E15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78285" w14:textId="557A4D79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Polihexanid</w:t>
            </w:r>
            <w:proofErr w:type="spellEnd"/>
            <w:r w:rsidR="00C75335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based,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Prontosan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6FFE9" w14:textId="0357CDA3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2 </w:t>
            </w:r>
            <w:r w:rsidR="008A79E9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2.2%</w:t>
            </w:r>
            <w:r w:rsidR="0066090B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59A1EC48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45D90" w14:textId="06F248CC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Povidone-iodine</w:t>
            </w:r>
            <w:r w:rsidR="008A2699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based, e.g. Betadine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6204C" w14:textId="1A94A498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6 </w:t>
            </w:r>
            <w:r w:rsidR="0078753E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6.7%</w:t>
            </w:r>
            <w:r w:rsidR="00BB5340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2276F00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27CD8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C3984" w14:textId="6A6822FC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5 </w:t>
            </w:r>
            <w:r w:rsidR="001E33CE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5.6%</w:t>
            </w:r>
            <w:r w:rsidR="00C11D5B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2FE7A1D8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9F1CC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DEBB0" w14:textId="5BEF2B10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28 </w:t>
            </w:r>
            <w:r w:rsidR="00252E2E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31%</w:t>
            </w:r>
            <w:r w:rsidR="00C11D5B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4259807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8AC51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778E3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262</w:t>
            </w:r>
          </w:p>
        </w:tc>
      </w:tr>
      <w:tr w:rsidR="00E06C24" w:rsidRPr="00E718CC" w14:paraId="140AE043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5E5E3" w14:textId="77777777" w:rsidR="00E06C24" w:rsidRPr="00E718CC" w:rsidRDefault="00E06C24" w:rsidP="00500BCC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Warming device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08C9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06C24" w:rsidRPr="00E718CC" w14:paraId="4500FE47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A2AA2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2367C" w14:textId="6B498692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168 </w:t>
            </w:r>
            <w:r w:rsidR="00470CEF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53%</w:t>
            </w:r>
            <w:r w:rsidR="00C11D5B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760B2780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7B9BE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D8098" w14:textId="0E1A95AB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152 </w:t>
            </w:r>
            <w:r w:rsidR="006E653A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48%</w:t>
            </w:r>
            <w:r w:rsidR="00AF67D3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65388A54" w14:textId="77777777" w:rsidTr="00EF02F6">
        <w:trPr>
          <w:trHeight w:val="289"/>
          <w:jc w:val="center"/>
        </w:trPr>
        <w:tc>
          <w:tcPr>
            <w:tcW w:w="42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74300" w14:textId="77777777" w:rsidR="00E06C24" w:rsidRPr="00E718CC" w:rsidRDefault="00E06C24" w:rsidP="00500BCC">
            <w:pPr>
              <w:spacing w:after="0" w:line="240" w:lineRule="auto"/>
              <w:ind w:left="284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22740" w14:textId="77777777" w:rsidR="00E06C24" w:rsidRPr="00E718CC" w:rsidRDefault="00E06C24" w:rsidP="00500BCC">
            <w:pPr>
              <w:spacing w:after="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31</w:t>
            </w:r>
          </w:p>
        </w:tc>
      </w:tr>
    </w:tbl>
    <w:p w14:paraId="6B7D0DD8" w14:textId="4BF8A5CB" w:rsidR="00E06C24" w:rsidRPr="00500BCC" w:rsidRDefault="00E06C24" w:rsidP="00500BCC">
      <w:pPr>
        <w:pStyle w:val="AA1UntertitelTabelle"/>
        <w:rPr>
          <w:rFonts w:cs="Times New Roman"/>
          <w:lang w:val="en-US"/>
        </w:rPr>
      </w:pPr>
      <w:bookmarkStart w:id="2" w:name="_Toc147308622"/>
      <w:r w:rsidRPr="00E718CC">
        <w:rPr>
          <w:lang w:val="en-US"/>
        </w:rPr>
        <w:t xml:space="preserve">Table </w:t>
      </w:r>
      <w:r w:rsidR="00214ADD">
        <w:rPr>
          <w:lang w:val="en-US"/>
        </w:rPr>
        <w:t>S3.</w:t>
      </w:r>
      <w:r w:rsidRPr="00E718CC">
        <w:rPr>
          <w:lang w:val="en-US"/>
        </w:rPr>
        <w:t xml:space="preserve"> Perioperative and Intraoperative SSI Prevention Measures</w:t>
      </w:r>
      <w:bookmarkEnd w:id="2"/>
    </w:p>
    <w:tbl>
      <w:tblPr>
        <w:tblW w:w="5445" w:type="pct"/>
        <w:jc w:val="center"/>
        <w:tblLook w:val="0420" w:firstRow="1" w:lastRow="0" w:firstColumn="0" w:lastColumn="0" w:noHBand="0" w:noVBand="1"/>
      </w:tblPr>
      <w:tblGrid>
        <w:gridCol w:w="3122"/>
        <w:gridCol w:w="1104"/>
        <w:gridCol w:w="978"/>
        <w:gridCol w:w="1033"/>
        <w:gridCol w:w="1328"/>
        <w:gridCol w:w="1223"/>
        <w:gridCol w:w="1091"/>
      </w:tblGrid>
      <w:tr w:rsidR="00E06C24" w:rsidRPr="00E718CC" w14:paraId="64120B2D" w14:textId="77777777" w:rsidTr="00EF02F6">
        <w:trPr>
          <w:trHeight w:val="289"/>
          <w:tblHeader/>
          <w:jc w:val="center"/>
        </w:trPr>
        <w:tc>
          <w:tcPr>
            <w:tcW w:w="158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FFFF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SSI prevention measures</w:t>
            </w:r>
          </w:p>
        </w:tc>
        <w:tc>
          <w:tcPr>
            <w:tcW w:w="55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9C1A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Overall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</w:p>
          <w:p w14:paraId="0D5E495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 = 351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49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7BC6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Intestinal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</w:p>
          <w:p w14:paraId="60094DB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 = 57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2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702C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Genito-urinary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</w:p>
          <w:p w14:paraId="32972A24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 = 63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67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7EF7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Musculo</w:t>
            </w: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softHyphen/>
              <w:t>skelettal</w:t>
            </w:r>
            <w:proofErr w:type="spellEnd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</w:p>
          <w:p w14:paraId="4E6BCC6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 = 118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61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833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Skin/ Integument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</w:p>
          <w:p w14:paraId="07F032EC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 = 54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3BF6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Rest</w:t>
            </w: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</w:p>
          <w:p w14:paraId="7CAF16F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 = 59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E06C24" w:rsidRPr="00E718CC" w14:paraId="560901A1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DE0E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Wound protection device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D3B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EC3A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3C7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9C4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C004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19F7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C24" w:rsidRPr="00E718CC" w14:paraId="284F5980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62B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None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EF87" w14:textId="4B8E68A0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340 </w:t>
            </w:r>
            <w:r w:rsidR="005F5FF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97%</w:t>
            </w:r>
            <w:r w:rsidR="00887C1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0135" w14:textId="27F23D63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50 </w:t>
            </w:r>
            <w:r w:rsidR="0091491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89%</w:t>
            </w:r>
            <w:r w:rsidR="006F036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2F0F" w14:textId="1F9DF8F1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63 </w:t>
            </w:r>
            <w:r w:rsidR="0030366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100%</w:t>
            </w:r>
            <w:r w:rsidR="00FC3EB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465D" w14:textId="16C22CE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117 </w:t>
            </w:r>
            <w:r w:rsidR="00D5001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99%</w:t>
            </w:r>
            <w:r w:rsidR="002B5A9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E379F" w14:textId="0B8480B9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53 </w:t>
            </w:r>
            <w:r w:rsidR="00594DC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100%</w:t>
            </w:r>
            <w:r w:rsidR="006C768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C6CC" w14:textId="429D86EC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57 </w:t>
            </w:r>
            <w:r w:rsidR="008F702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9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7%</w:t>
            </w:r>
            <w:r w:rsidR="008E238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5C24FB76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51B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Protective film,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Ioban</w:t>
            </w:r>
            <w:proofErr w:type="spellEnd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 Drape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1852" w14:textId="38CF7873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 </w:t>
            </w:r>
            <w:r w:rsidR="00C3003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1.1%</w:t>
            </w:r>
            <w:r w:rsidR="0072533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F422" w14:textId="719BDF8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66573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1.8%</w:t>
            </w:r>
            <w:r w:rsidR="005A211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76DF" w14:textId="28FF52C8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0F5D2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914D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1D89" w14:textId="429676AD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3468F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0.8%</w:t>
            </w:r>
            <w:r w:rsidR="005F664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C00D" w14:textId="7889457C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4F461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1D0F2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7DCD" w14:textId="5B4D088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 </w:t>
            </w:r>
            <w:r w:rsidR="0066664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3.4%</w:t>
            </w:r>
            <w:r w:rsidR="003263D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582E6D9C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BD7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Specimen bag,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endobag</w:t>
            </w:r>
            <w:proofErr w:type="spellEnd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; plastic protector, e.g. </w:t>
            </w:r>
            <w:proofErr w:type="gram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Alexis</w:t>
            </w:r>
            <w:proofErr w:type="gramEnd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 retractor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C277" w14:textId="3CD10B0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 </w:t>
            </w:r>
            <w:r w:rsidR="00EC459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1.4%</w:t>
            </w:r>
            <w:r w:rsidR="00DF556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54491" w14:textId="4E3A1D91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 </w:t>
            </w:r>
            <w:r w:rsidR="001965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8.9%</w:t>
            </w:r>
            <w:r w:rsidR="006B415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59BF" w14:textId="42F13FB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A77DE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5D023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E3F5" w14:textId="2AF73229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EC061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84091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F33C" w14:textId="5AB34C7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F5594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613EA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3EB4" w14:textId="68ED10C4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673BC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0B260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BB1D38B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DAEF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AD76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48E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B93C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FB2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D906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6F55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E06C24" w:rsidRPr="00E718CC" w14:paraId="2BC59642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2FCC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Advanced wound dressing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76B5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D02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20B1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180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38F6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FC79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C24" w:rsidRPr="00E718CC" w14:paraId="71BBB245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35D2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None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9CF1" w14:textId="304CA2C8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192 </w:t>
            </w:r>
            <w:r w:rsidR="004F6DF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55%</w:t>
            </w:r>
            <w:r w:rsidR="00760A0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B9B7" w14:textId="404BD635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22 </w:t>
            </w:r>
            <w:r w:rsidR="0022391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39%</w:t>
            </w:r>
            <w:r w:rsidR="00844BB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D9E89" w14:textId="1479285C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36 </w:t>
            </w:r>
            <w:r w:rsidR="006E109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57%</w:t>
            </w:r>
            <w:r w:rsidR="0098681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CDC1" w14:textId="07BD537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63 </w:t>
            </w:r>
            <w:r w:rsidR="00AC271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53%</w:t>
            </w:r>
            <w:r w:rsidR="0003022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32BD" w14:textId="419088E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34 </w:t>
            </w:r>
            <w:r w:rsidR="00FA127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64%</w:t>
            </w:r>
            <w:r w:rsidR="00A60F4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5D66" w14:textId="33269E99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37 </w:t>
            </w:r>
            <w:r w:rsidR="005A033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63%</w:t>
            </w:r>
            <w:r w:rsidR="006F52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186264DB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0551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Hydrocolloid, hydrogels, polyurethane matric hydrocolloid dressing, </w:t>
            </w:r>
            <w:proofErr w:type="spell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vapour</w:t>
            </w:r>
            <w:proofErr w:type="spellEnd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-permeable films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FCA5F" w14:textId="6ECA052F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136 </w:t>
            </w:r>
            <w:r w:rsidR="00364D3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39%</w:t>
            </w:r>
            <w:r w:rsidR="000E463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5F1A" w14:textId="45786A5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31 </w:t>
            </w:r>
            <w:r w:rsidR="0065461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55%</w:t>
            </w:r>
            <w:r w:rsidR="0010068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31F3" w14:textId="538CCAE9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26 </w:t>
            </w:r>
            <w:r w:rsidR="002F286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41%</w:t>
            </w:r>
            <w:r w:rsidR="00FF64E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1863" w14:textId="44CDAE4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46 </w:t>
            </w:r>
            <w:r w:rsidR="008D269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39%</w:t>
            </w:r>
            <w:r w:rsidR="00BC44F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5106" w14:textId="2E5FE66D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17 </w:t>
            </w:r>
            <w:r w:rsidR="004B313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32%</w:t>
            </w:r>
            <w:r w:rsidR="006970E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42D3" w14:textId="50DE451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16 </w:t>
            </w:r>
            <w:r w:rsidR="0075565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27%</w:t>
            </w:r>
            <w:r w:rsidR="006F52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1251B69D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F4FC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Negative pressure wound dressing, e.g. V.A.C., VAC, </w:t>
            </w:r>
            <w:proofErr w:type="spell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Prevena</w:t>
            </w:r>
            <w:proofErr w:type="spellEnd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, Easy Dress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2FB4" w14:textId="4E52A2B8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 </w:t>
            </w:r>
            <w:r w:rsidR="0026343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1.1%</w:t>
            </w:r>
            <w:r w:rsidR="00BF1C7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E329" w14:textId="2A7B4EB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252C4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1.8%</w:t>
            </w:r>
            <w:r w:rsidR="00262D0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B5C68" w14:textId="3A9E32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8D4EC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5C418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EAAF" w14:textId="2FD05559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F47B9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0.8%</w:t>
            </w:r>
            <w:r w:rsidR="004566B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FA70" w14:textId="69C3ABD8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E243D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56218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383BD" w14:textId="7E38DAFB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 </w:t>
            </w:r>
            <w:r w:rsidR="00670F1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3.4%</w:t>
            </w:r>
            <w:r w:rsidR="006F52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CCCA2E7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6D6A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Silver impregnated wound dressing,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Aquacel</w:t>
            </w:r>
            <w:proofErr w:type="spellEnd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 AG, Mepilex AG, Mepilex Transfer AG, </w:t>
            </w:r>
            <w:proofErr w:type="spell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Metalline</w:t>
            </w:r>
            <w:proofErr w:type="spellEnd"/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672E" w14:textId="61A362F2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17 </w:t>
            </w:r>
            <w:r w:rsidR="0092313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4.9%</w:t>
            </w:r>
            <w:r w:rsidR="00922C7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2A39" w14:textId="75C8A11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 </w:t>
            </w:r>
            <w:r w:rsidR="0033178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3.6%</w:t>
            </w:r>
            <w:r w:rsidR="00145D4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B6BB" w14:textId="3A014435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AA1A8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1.6</w:t>
            </w:r>
            <w:r w:rsidR="00FF16E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%)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FEAD" w14:textId="62531030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8 </w:t>
            </w:r>
            <w:r w:rsidR="00BF6E6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6.8%</w:t>
            </w:r>
            <w:r w:rsidR="00A341E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E50D" w14:textId="179B10C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 </w:t>
            </w:r>
            <w:r w:rsidR="005072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3.8%</w:t>
            </w:r>
            <w:r w:rsidR="00DC679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F206" w14:textId="3A76176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 </w:t>
            </w:r>
            <w:r w:rsidR="001E7D6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6.8%</w:t>
            </w:r>
            <w:r w:rsidR="00A01D6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4B00B0E5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3FC7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7031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DB270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33B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4A85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DC5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7BA1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E06C24" w:rsidRPr="00E718CC" w14:paraId="4E41BB89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201F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Wound irrigation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4AC9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CEDF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104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A11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418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C523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C24" w:rsidRPr="00E718CC" w14:paraId="4131BD06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5F4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A8FE" w14:textId="19462EA2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232 </w:t>
            </w:r>
            <w:r w:rsidR="00A9541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66%</w:t>
            </w:r>
            <w:r w:rsidR="0098194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15EE" w14:textId="18B2EA12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37 </w:t>
            </w:r>
            <w:r w:rsidR="00497DE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65%</w:t>
            </w:r>
            <w:r w:rsidR="00927FE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1663" w14:textId="358728E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60 </w:t>
            </w:r>
            <w:r w:rsidR="00EB4E9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95%</w:t>
            </w:r>
            <w:r w:rsidR="0046062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C662" w14:textId="501C5C1F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60 </w:t>
            </w:r>
            <w:r w:rsidR="00E5314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51%</w:t>
            </w:r>
            <w:r w:rsidR="00FA4F3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5F2B" w14:textId="3BB738A5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38 </w:t>
            </w:r>
            <w:r w:rsidR="006255F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70%</w:t>
            </w:r>
            <w:r w:rsidR="00441D6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A59F" w14:textId="01F293D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37 </w:t>
            </w:r>
            <w:r w:rsidR="00B64C2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63%</w:t>
            </w:r>
            <w:r w:rsidR="00207AE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38EFE532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571D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B565" w14:textId="3E5F299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89 </w:t>
            </w:r>
            <w:r w:rsidR="00E71DF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25%</w:t>
            </w:r>
            <w:r w:rsidR="001E425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2D6EF" w14:textId="1C24C581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16 </w:t>
            </w:r>
            <w:r w:rsidR="00342F3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28%</w:t>
            </w:r>
            <w:r w:rsidR="003229A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503C" w14:textId="64E87169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 </w:t>
            </w:r>
            <w:r w:rsidR="009E762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3.2%</w:t>
            </w:r>
            <w:r w:rsidR="005B7EB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FD97" w14:textId="7A6A1252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48 </w:t>
            </w:r>
            <w:r w:rsidR="004D0FE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41%</w:t>
            </w:r>
            <w:r w:rsidR="00CE511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63FF" w14:textId="3B5C8FE5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13 </w:t>
            </w:r>
            <w:r w:rsidR="00FD50C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24%</w:t>
            </w:r>
            <w:r w:rsidR="00AD37E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F4D3" w14:textId="6F531B4F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10 </w:t>
            </w:r>
            <w:r w:rsidR="00BF14F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17%</w:t>
            </w:r>
            <w:r w:rsidR="00207AE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4662D912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7EE3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AE7F" w14:textId="559E5C52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30 </w:t>
            </w:r>
            <w:r w:rsidR="00344E1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8.5%</w:t>
            </w:r>
            <w:r w:rsidR="00C2614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046B" w14:textId="10E04EF0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 </w:t>
            </w:r>
            <w:r w:rsidR="006E659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7%</w:t>
            </w:r>
            <w:r w:rsidR="00F4079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653F" w14:textId="44A74A7C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BB788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1.6%</w:t>
            </w:r>
            <w:r w:rsidR="003058C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FCC7" w14:textId="764678E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10 </w:t>
            </w:r>
            <w:r w:rsidR="00AB46C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8.5%</w:t>
            </w:r>
            <w:r w:rsidR="00C43DC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1E6F" w14:textId="4B8D1633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 </w:t>
            </w:r>
            <w:r w:rsidR="00C1584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5.6%</w:t>
            </w:r>
            <w:r w:rsidR="00D91BA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4E63" w14:textId="0C02D6D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12 </w:t>
            </w:r>
            <w:r w:rsidR="00412F7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20%</w:t>
            </w:r>
            <w:r w:rsidR="00207AE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653155AC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6EB7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40E3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83F92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AE96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9592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DD27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BF637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C24" w:rsidRPr="00E718CC" w14:paraId="526B0458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A271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Wound irrigation agent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A5A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31B7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13D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388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9FC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DA21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E06C24" w:rsidRPr="00E718CC" w14:paraId="3BC55F2A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946F" w14:textId="06C684D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1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Antibiotic</w:t>
            </w:r>
            <w:r w:rsidR="001630A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based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58D2" w14:textId="239895B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9E757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0.3%</w:t>
            </w:r>
            <w:r w:rsidR="006D4D6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1262" w14:textId="708B046B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3E5B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2%</w:t>
            </w:r>
            <w:r w:rsidR="00B218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05E1" w14:textId="0605B52F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90371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9251A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5F22" w14:textId="065F4655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5B009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CF3E1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5F63" w14:textId="3A3C56B5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F9309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9A1E0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301C" w14:textId="7BCDAB7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60555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9A5F1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0B9C89C8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A28E" w14:textId="159C4E80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1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NaCl</w:t>
            </w:r>
            <w:r w:rsidR="001630A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based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EDCA" w14:textId="7BAA2751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47 </w:t>
            </w:r>
            <w:r w:rsidR="00BD6EC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13%</w:t>
            </w:r>
            <w:r w:rsidR="00FC018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DCF" w14:textId="6D95351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11 </w:t>
            </w:r>
            <w:r w:rsidR="008A51E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19%</w:t>
            </w:r>
            <w:r w:rsidR="0024447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265C" w14:textId="1FEFC4EC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 </w:t>
            </w:r>
            <w:r w:rsidR="00903EE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3%</w:t>
            </w:r>
            <w:r w:rsidR="00CE65B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7D3" w14:textId="09E18B24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22 </w:t>
            </w:r>
            <w:r w:rsidR="00593FF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19%</w:t>
            </w:r>
            <w:r w:rsidR="004138E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5088" w14:textId="2E0853C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8 </w:t>
            </w:r>
            <w:r w:rsidR="00BA197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15%</w:t>
            </w:r>
            <w:r w:rsidR="000953F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33F2" w14:textId="3A3059B4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 </w:t>
            </w:r>
            <w:r w:rsidR="00922B8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7%</w:t>
            </w:r>
            <w:r w:rsidR="009A5F1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4A071296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8059" w14:textId="4447D7C8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1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Polihexanid</w:t>
            </w:r>
            <w:proofErr w:type="spellEnd"/>
            <w:r w:rsidR="001630A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based, e.g. </w:t>
            </w:r>
            <w:proofErr w:type="spellStart"/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Prontosan</w:t>
            </w:r>
            <w:proofErr w:type="spellEnd"/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7CC5" w14:textId="2C5E79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 </w:t>
            </w:r>
            <w:r w:rsidR="00850E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0.6%</w:t>
            </w:r>
            <w:r w:rsidR="001D391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7260" w14:textId="34E28FF2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045D1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EE6A3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9A6D" w14:textId="4E550B39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994F0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9F003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215C" w14:textId="167606CF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 </w:t>
            </w:r>
            <w:r w:rsidR="00247E3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2%</w:t>
            </w:r>
            <w:r w:rsidR="0026797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B77D" w14:textId="2A4F7C8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FA20B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7B20A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13EB" w14:textId="2ACC4E22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F6292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9A5F1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325F4718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D3C5" w14:textId="62258804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1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Povidone-iodine</w:t>
            </w:r>
            <w:r w:rsidR="001630A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based, e.g. Betadine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E6C8" w14:textId="3CC987C8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6 </w:t>
            </w:r>
            <w:r w:rsidR="006C082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1.7%</w:t>
            </w:r>
            <w:r w:rsidR="0003437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8C07" w14:textId="7077EC1C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0D773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2%</w:t>
            </w:r>
            <w:r w:rsidR="005C11B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CEAC" w14:textId="57543D3B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41286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127A6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6610" w14:textId="6461CE4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86138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1%</w:t>
            </w:r>
            <w:r w:rsidR="009064F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35BE3" w14:textId="36E5340E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 </w:t>
            </w:r>
            <w:r w:rsidR="00B0478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6%</w:t>
            </w:r>
            <w:r w:rsidR="004E7AF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F8D9" w14:textId="39C1314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7A2EA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2%</w:t>
            </w:r>
            <w:r w:rsidR="009A5F1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4F9384F9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2848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1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0D5A" w14:textId="599398A1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 </w:t>
            </w:r>
            <w:r w:rsidR="00900F4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1.4%</w:t>
            </w:r>
            <w:r w:rsidR="00FB61A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9FC35" w14:textId="17BBB77A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133A3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2%</w:t>
            </w:r>
            <w:r w:rsidR="00C562B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D2DD0" w14:textId="2F9B3DBF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30758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16370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32CA6" w14:textId="465D5CEB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 </w:t>
            </w:r>
            <w:r w:rsidR="006A3D0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1%</w:t>
            </w:r>
            <w:r w:rsidR="001F727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BCF7" w14:textId="77DF9FD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0 </w:t>
            </w:r>
            <w:r w:rsidR="0087568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0%</w:t>
            </w:r>
            <w:r w:rsidR="00E12DB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0F59" w14:textId="5E21FB7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 </w:t>
            </w:r>
            <w:r w:rsidR="006E721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5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%</w:t>
            </w:r>
            <w:r w:rsidR="000C26C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3F9FC2A6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34C6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1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Unknown/Missing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747C" w14:textId="353C3F60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290 </w:t>
            </w:r>
            <w:r w:rsidR="00900F4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83%</w:t>
            </w:r>
            <w:r w:rsidR="0079324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89BF" w14:textId="4D5A500B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43 </w:t>
            </w:r>
            <w:r w:rsidR="0066363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75%</w:t>
            </w:r>
            <w:r w:rsidR="00C8781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2FEB" w14:textId="67B232F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61 </w:t>
            </w:r>
            <w:r w:rsidR="00F147C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97%</w:t>
            </w:r>
            <w:r w:rsidR="003F0AF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0172" w14:textId="74105323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92 </w:t>
            </w:r>
            <w:r w:rsidR="004631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78%</w:t>
            </w:r>
            <w:r w:rsidR="003F656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394B" w14:textId="3944824B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43 </w:t>
            </w:r>
            <w:r w:rsidR="007A18F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80%</w:t>
            </w:r>
            <w:r w:rsidR="003655E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EC01" w14:textId="1DEAE85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51 </w:t>
            </w:r>
            <w:r w:rsidR="004668A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86%</w:t>
            </w:r>
            <w:r w:rsidR="009639C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69FB76A5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1D70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484D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7A22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1AC2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44FD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86CF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986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C24" w:rsidRPr="00E718CC" w14:paraId="15F4B265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8B1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Warming device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6B9D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59F2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991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E5A5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CB4C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1314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C24" w:rsidRPr="00E718CC" w14:paraId="63091867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9525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9F15" w14:textId="704CE922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168 </w:t>
            </w:r>
            <w:r w:rsidR="00900F4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5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3%</w:t>
            </w:r>
            <w:r w:rsidR="0042177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BF06" w14:textId="0C853E34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30 </w:t>
            </w:r>
            <w:r w:rsidR="00F9118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56%</w:t>
            </w:r>
            <w:r w:rsidR="003847E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0D36" w14:textId="555FA01C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32 </w:t>
            </w:r>
            <w:r w:rsidR="00C13BF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55%</w:t>
            </w:r>
            <w:r w:rsidR="00D63C0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CE20" w14:textId="2E9821A6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54 </w:t>
            </w:r>
            <w:r w:rsidR="0076222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51%</w:t>
            </w:r>
            <w:r w:rsidR="009B611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5E9F" w14:textId="20B843A3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26 </w:t>
            </w:r>
            <w:r w:rsidR="00C8712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55%</w:t>
            </w:r>
            <w:r w:rsidR="00EF77C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A7B1" w14:textId="61C5E5F4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26 </w:t>
            </w:r>
            <w:r w:rsidR="00EB2F0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46%</w:t>
            </w:r>
            <w:r w:rsidR="00B86AF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26591479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15DC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8F16" w14:textId="01C04F9F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152 </w:t>
            </w:r>
            <w:r w:rsidR="003B1D7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48%</w:t>
            </w:r>
            <w:r w:rsidR="008657B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F03B4" w14:textId="3BD3933B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24 </w:t>
            </w:r>
            <w:r w:rsidR="00930D2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44%</w:t>
            </w:r>
            <w:r w:rsidR="004E0D7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DD984" w14:textId="57BF5AFC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26 </w:t>
            </w:r>
            <w:r w:rsidR="00CF00F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45%</w:t>
            </w:r>
            <w:r w:rsidR="0019178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A7F2" w14:textId="40CF1AB8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51 </w:t>
            </w:r>
            <w:r w:rsidR="0003516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49%</w:t>
            </w:r>
            <w:r w:rsidR="00B35D4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C6A8" w14:textId="5CEB26A8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21 </w:t>
            </w:r>
            <w:r w:rsidR="00C862E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45%</w:t>
            </w:r>
            <w:r w:rsidR="00644F79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E969" w14:textId="2917D7A9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30 </w:t>
            </w:r>
            <w:r w:rsidR="003A498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54%</w:t>
            </w:r>
            <w:r w:rsidR="00372CE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E06C24" w:rsidRPr="00E718CC" w14:paraId="710418D2" w14:textId="77777777" w:rsidTr="00EF02F6">
        <w:trPr>
          <w:trHeight w:val="289"/>
          <w:jc w:val="center"/>
        </w:trPr>
        <w:tc>
          <w:tcPr>
            <w:tcW w:w="1580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329B1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3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559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4CEE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495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3A4D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3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6EC6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4A65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8BB77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52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959B" w14:textId="77777777" w:rsidR="00E06C24" w:rsidRPr="00E718CC" w:rsidRDefault="00E06C24" w:rsidP="00EF0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240" w:lineRule="auto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E06C24" w:rsidRPr="00500BCC" w14:paraId="0C6B88B3" w14:textId="77777777" w:rsidTr="00EF02F6">
        <w:trPr>
          <w:trHeight w:val="28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355D" w14:textId="77777777" w:rsidR="00E06C24" w:rsidRPr="00E718CC" w:rsidRDefault="00E06C24" w:rsidP="00EF02F6">
            <w:pPr>
              <w:spacing w:before="20" w:after="20" w:line="240" w:lineRule="auto"/>
              <w:ind w:left="100" w:right="102"/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n 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{</w:t>
            </w:r>
            <w:r w:rsidRPr="00E718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%</w:t>
            </w:r>
            <w:r w:rsidRPr="00E718CC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  <w:lang w:val="en-US"/>
              </w:rPr>
              <w:t>}</w:t>
            </w:r>
          </w:p>
          <w:p w14:paraId="3EC0FB0A" w14:textId="77777777" w:rsidR="00E06C24" w:rsidRPr="00E718CC" w:rsidRDefault="00E06C24" w:rsidP="00EF02F6">
            <w:pPr>
              <w:spacing w:before="20" w:after="20" w:line="240" w:lineRule="auto"/>
              <w:ind w:left="100" w:right="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18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2</w:t>
            </w:r>
            <w:r w:rsidRPr="00E718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 = surgeries on ear, nose, throat, cardiovascular system, nervous system, endocrine system, eyes</w:t>
            </w:r>
          </w:p>
        </w:tc>
      </w:tr>
    </w:tbl>
    <w:p w14:paraId="4EF69892" w14:textId="5A1E2B48" w:rsidR="00F479AB" w:rsidRDefault="00E06C24" w:rsidP="00A72171">
      <w:pPr>
        <w:pStyle w:val="AA1UntertitelTabelle"/>
        <w:rPr>
          <w:lang w:val="en-US"/>
        </w:rPr>
      </w:pPr>
      <w:r w:rsidRPr="00E718CC">
        <w:rPr>
          <w:lang w:val="en-US"/>
        </w:rPr>
        <w:t xml:space="preserve">Table </w:t>
      </w:r>
      <w:r w:rsidR="00214ADD">
        <w:rPr>
          <w:lang w:val="en-US"/>
        </w:rPr>
        <w:t>S4</w:t>
      </w:r>
      <w:r w:rsidRPr="00E718CC">
        <w:rPr>
          <w:lang w:val="en-US"/>
        </w:rPr>
        <w:t>. Perioperative and Intraoperative SSI Prevention Measures by Surgery</w:t>
      </w:r>
    </w:p>
    <w:p w14:paraId="50333474" w14:textId="57703363" w:rsidR="00EF1E93" w:rsidRPr="00107815" w:rsidRDefault="00107815" w:rsidP="00107815">
      <w:pPr>
        <w:rPr>
          <w:rFonts w:ascii="Times New Roman" w:eastAsiaTheme="minorEastAsia" w:hAnsi="Times New Roman"/>
          <w:color w:val="000000" w:themeColor="text1"/>
          <w:spacing w:val="15"/>
          <w:kern w:val="0"/>
          <w:lang w:val="en-US"/>
          <w14:ligatures w14:val="none"/>
        </w:rPr>
      </w:pPr>
      <w:r>
        <w:rPr>
          <w:lang w:val="en-US"/>
        </w:rPr>
        <w:br w:type="page"/>
      </w:r>
    </w:p>
    <w:tbl>
      <w:tblPr>
        <w:tblW w:w="9639" w:type="dxa"/>
        <w:jc w:val="center"/>
        <w:tblLayout w:type="fixed"/>
        <w:tblLook w:val="0420" w:firstRow="1" w:lastRow="0" w:firstColumn="0" w:lastColumn="0" w:noHBand="0" w:noVBand="1"/>
      </w:tblPr>
      <w:tblGrid>
        <w:gridCol w:w="2835"/>
        <w:gridCol w:w="709"/>
        <w:gridCol w:w="1418"/>
        <w:gridCol w:w="1134"/>
        <w:gridCol w:w="3543"/>
      </w:tblGrid>
      <w:tr w:rsidR="00EF1E93" w:rsidRPr="00500BCC" w14:paraId="1818E4B9" w14:textId="77777777" w:rsidTr="001A5BCA">
        <w:trPr>
          <w:tblHeader/>
          <w:jc w:val="center"/>
        </w:trPr>
        <w:tc>
          <w:tcPr>
            <w:tcW w:w="283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2829" w14:textId="56C45815" w:rsidR="00EF1E93" w:rsidRPr="00500BCC" w:rsidRDefault="00EF1E93" w:rsidP="001A5B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lastRenderedPageBreak/>
              <w:t>Contamination</w:t>
            </w:r>
            <w:proofErr w:type="spellEnd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Class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628A" w14:textId="7BE2805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4A6E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No</w:t>
            </w:r>
            <w:proofErr w:type="spellEnd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N = 176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595E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Yes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N = 161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4B49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en-US"/>
              </w:rPr>
              <w:t>Patient already under antibiotic therapy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br/>
              <w:t>N = 14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EF1E93" w:rsidRPr="00500BCC" w14:paraId="7008A6B3" w14:textId="77777777" w:rsidTr="001A5BCA">
        <w:trPr>
          <w:jc w:val="center"/>
        </w:trPr>
        <w:tc>
          <w:tcPr>
            <w:tcW w:w="283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3F56" w14:textId="2E37B452" w:rsidR="00EF1E93" w:rsidRPr="00500BCC" w:rsidRDefault="001A5BCA" w:rsidP="001A5B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8D92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173F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935F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61EC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E93" w:rsidRPr="00500BCC" w14:paraId="5B97D94D" w14:textId="77777777" w:rsidTr="001A5BCA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068F" w14:textId="0E61C1B3" w:rsidR="00EF1E93" w:rsidRPr="00500BCC" w:rsidRDefault="00EF1E93" w:rsidP="001A5B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Clean I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5439" w14:textId="16ECEA0B" w:rsidR="00EF1E93" w:rsidRPr="00500BCC" w:rsidRDefault="001A5BCA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D1FE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149 (58%)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DB75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101 (40%)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FDB6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 (2%)</w:t>
            </w:r>
          </w:p>
        </w:tc>
      </w:tr>
      <w:tr w:rsidR="00EF1E93" w:rsidRPr="00500BCC" w14:paraId="32415008" w14:textId="77777777" w:rsidTr="001A5BCA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42ED" w14:textId="1C2C88F8" w:rsidR="00EF1E93" w:rsidRPr="00500BCC" w:rsidRDefault="00EF1E93" w:rsidP="001A5B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Contaminated II-IV</w:t>
            </w:r>
            <w:r w:rsidR="0013751B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clean-contaminated, contaminated or dirty/infected)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63C6" w14:textId="1219E28F" w:rsidR="00EF1E93" w:rsidRPr="00500BCC" w:rsidRDefault="001A5BCA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0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8F81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 (27%)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02FC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60 (63%)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13D16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 (10%)</w:t>
            </w:r>
          </w:p>
        </w:tc>
      </w:tr>
      <w:tr w:rsidR="00EF1E93" w:rsidRPr="00500BCC" w14:paraId="0635D906" w14:textId="77777777" w:rsidTr="001A5BCA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10FC" w14:textId="4A5F0E35" w:rsidR="00EF1E93" w:rsidRPr="00500BCC" w:rsidRDefault="00EF1E93" w:rsidP="001A5B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Unknown</w:t>
            </w:r>
            <w:proofErr w:type="spellEnd"/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515C" w14:textId="6DA84EFE" w:rsidR="00EF1E93" w:rsidRPr="00500BCC" w:rsidRDefault="001A5BCA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3102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 (100%)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D380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8AB4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</w:tr>
      <w:tr w:rsidR="00EF1E93" w:rsidRPr="00500BCC" w14:paraId="7BB4EB5C" w14:textId="77777777" w:rsidTr="00692565">
        <w:trPr>
          <w:jc w:val="center"/>
        </w:trPr>
        <w:tc>
          <w:tcPr>
            <w:tcW w:w="9639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6ACC" w14:textId="77777777" w:rsidR="00EF1E93" w:rsidRPr="00500BCC" w:rsidRDefault="00EF1E93" w:rsidP="00692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 (%)</w:t>
            </w:r>
          </w:p>
        </w:tc>
      </w:tr>
    </w:tbl>
    <w:p w14:paraId="5F212D86" w14:textId="4BB6A1EA" w:rsidR="0013751B" w:rsidRPr="00500BCC" w:rsidRDefault="0013751B" w:rsidP="0013751B">
      <w:pPr>
        <w:pStyle w:val="AA1UntertitelTabelle"/>
        <w:rPr>
          <w:lang w:val="en-US"/>
        </w:rPr>
      </w:pPr>
      <w:r w:rsidRPr="00500BCC">
        <w:rPr>
          <w:lang w:val="en-US"/>
        </w:rPr>
        <w:t xml:space="preserve">Table S5. </w:t>
      </w:r>
      <w:r w:rsidR="003D32D3" w:rsidRPr="00500BCC">
        <w:rPr>
          <w:lang w:val="en-US"/>
        </w:rPr>
        <w:t>Use of Surgical Antibiotic Prophylaxis by Contamination Class</w:t>
      </w:r>
    </w:p>
    <w:p w14:paraId="5E37C158" w14:textId="77777777" w:rsidR="00EF1E93" w:rsidRPr="00500BCC" w:rsidRDefault="00EF1E93" w:rsidP="00A72171">
      <w:pPr>
        <w:pStyle w:val="AA1UntertitelTabelle"/>
        <w:rPr>
          <w:lang w:val="en-US"/>
        </w:rPr>
      </w:pPr>
    </w:p>
    <w:tbl>
      <w:tblPr>
        <w:tblStyle w:val="Table"/>
        <w:tblW w:w="6450" w:type="dxa"/>
        <w:jc w:val="center"/>
        <w:tblInd w:w="0" w:type="dxa"/>
        <w:tblLayout w:type="fixed"/>
        <w:tblLook w:val="0420" w:firstRow="1" w:lastRow="0" w:firstColumn="0" w:lastColumn="0" w:noHBand="0" w:noVBand="1"/>
      </w:tblPr>
      <w:tblGrid>
        <w:gridCol w:w="4449"/>
        <w:gridCol w:w="2001"/>
      </w:tblGrid>
      <w:tr w:rsidR="00801B79" w:rsidRPr="00500BCC" w14:paraId="2E4B89B3" w14:textId="77777777" w:rsidTr="009334A2">
        <w:trPr>
          <w:trHeight w:val="170"/>
          <w:tblHeader/>
          <w:jc w:val="center"/>
        </w:trPr>
        <w:tc>
          <w:tcPr>
            <w:tcW w:w="44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89797" w14:textId="4E786BBA" w:rsidR="00801B79" w:rsidRPr="00500BCC" w:rsidRDefault="00801B79" w:rsidP="00692565">
            <w:pPr>
              <w:spacing w:after="120"/>
              <w:ind w:left="100"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Antibiotic Agent</w:t>
            </w:r>
            <w:r w:rsidR="00AE116D"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for SAP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C2A9D" w14:textId="6D1A8C84" w:rsidR="00801B79" w:rsidRPr="00500BCC" w:rsidRDefault="00801B79" w:rsidP="00692565">
            <w:pPr>
              <w:spacing w:after="120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 (%)</w:t>
            </w:r>
          </w:p>
        </w:tc>
      </w:tr>
      <w:tr w:rsidR="00801B79" w:rsidRPr="00500BCC" w14:paraId="3F5D25D9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E6881" w14:textId="3C91FEB5" w:rsidR="00801B79" w:rsidRPr="00500BCC" w:rsidRDefault="00801B79" w:rsidP="00692565">
            <w:pPr>
              <w:spacing w:after="120"/>
              <w:ind w:left="100"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BD37D" w14:textId="2FF618F3" w:rsidR="00801B79" w:rsidRPr="00500BCC" w:rsidRDefault="00801B79" w:rsidP="00692565">
            <w:pPr>
              <w:spacing w:after="120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161 (100</w:t>
            </w:r>
            <w:r w:rsidR="00CE5413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%)</w:t>
            </w:r>
          </w:p>
        </w:tc>
      </w:tr>
      <w:tr w:rsidR="00801B79" w:rsidRPr="00500BCC" w14:paraId="2D3DF361" w14:textId="77777777" w:rsidTr="00BD607F">
        <w:trPr>
          <w:trHeight w:val="396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A1A8A" w14:textId="77C45416" w:rsidR="00801B79" w:rsidRPr="00500BCC" w:rsidRDefault="009334A2" w:rsidP="00692565">
            <w:pPr>
              <w:spacing w:after="0"/>
              <w:ind w:left="100"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Only 1 agent used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FC26" w14:textId="5886E611" w:rsidR="00801B79" w:rsidRPr="00500BCC" w:rsidRDefault="009334A2" w:rsidP="00692565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hAnsi="Times New Roman" w:cs="Times New Roman"/>
                <w:sz w:val="18"/>
                <w:szCs w:val="18"/>
              </w:rPr>
              <w:t>n=135</w:t>
            </w:r>
          </w:p>
        </w:tc>
      </w:tr>
      <w:tr w:rsidR="00801B79" w:rsidRPr="00500BCC" w14:paraId="3793F7AF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EA535" w14:textId="236B3FFF" w:rsidR="00801B79" w:rsidRPr="00500BCC" w:rsidRDefault="009334A2" w:rsidP="009334A2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Cefazoline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4BB59" w14:textId="1683E6B0" w:rsidR="00801B79" w:rsidRPr="00500BCC" w:rsidRDefault="009334A2" w:rsidP="009334A2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54</w:t>
            </w:r>
            <w:r w:rsidR="00BD607F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/135</w:t>
            </w:r>
            <w:r w:rsidR="00801B79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(4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</w:t>
            </w:r>
            <w:r w:rsidR="00801B79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%)</w:t>
            </w:r>
          </w:p>
        </w:tc>
      </w:tr>
      <w:tr w:rsidR="00801B79" w:rsidRPr="00500BCC" w14:paraId="1B971C9B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1D0D0" w14:textId="286799AA" w:rsidR="00801B79" w:rsidRPr="00500BCC" w:rsidRDefault="009334A2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Cefuroxime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4860A" w14:textId="15B3F203" w:rsidR="00801B79" w:rsidRPr="00500BCC" w:rsidRDefault="009334A2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43</w:t>
            </w:r>
            <w:r w:rsidR="00BD607F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/135</w:t>
            </w:r>
            <w:r w:rsidR="00801B79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32</w:t>
            </w:r>
            <w:r w:rsidR="00801B79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%)</w:t>
            </w:r>
          </w:p>
        </w:tc>
      </w:tr>
      <w:tr w:rsidR="009334A2" w:rsidRPr="00500BCC" w14:paraId="7F896EEE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C2A6" w14:textId="50BEEF64" w:rsidR="009334A2" w:rsidRPr="00500BCC" w:rsidRDefault="009334A2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Amxocillin</w:t>
            </w:r>
            <w:proofErr w:type="spellEnd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Clavulonic</w:t>
            </w:r>
            <w:proofErr w:type="spellEnd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3977" w14:textId="558047D7" w:rsidR="009334A2" w:rsidRPr="00500BCC" w:rsidRDefault="009334A2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23</w:t>
            </w:r>
            <w:r w:rsidR="00BD607F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/135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(17%)</w:t>
            </w:r>
          </w:p>
        </w:tc>
      </w:tr>
      <w:tr w:rsidR="009334A2" w:rsidRPr="00500BCC" w14:paraId="707F074E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8D39" w14:textId="518C52E8" w:rsidR="009334A2" w:rsidRPr="00500BCC" w:rsidRDefault="009334A2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Cotrimoxazole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A5C9" w14:textId="7B52B4E9" w:rsidR="009334A2" w:rsidRPr="00500BCC" w:rsidRDefault="009334A2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</w:t>
            </w:r>
            <w:r w:rsidR="00BD607F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/135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(4%)</w:t>
            </w:r>
          </w:p>
        </w:tc>
      </w:tr>
      <w:tr w:rsidR="009334A2" w:rsidRPr="00500BCC" w14:paraId="2E6ECBDA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AC74" w14:textId="66866D66" w:rsidR="009334A2" w:rsidRPr="00500BCC" w:rsidRDefault="009334A2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Amoxicillin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C95C" w14:textId="440B5046" w:rsidR="009334A2" w:rsidRPr="00500BCC" w:rsidRDefault="009334A2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</w:t>
            </w:r>
            <w:r w:rsidR="00BD607F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/135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(3%)</w:t>
            </w:r>
          </w:p>
        </w:tc>
      </w:tr>
      <w:tr w:rsidR="009334A2" w:rsidRPr="00500BCC" w14:paraId="3D7875FC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8128" w14:textId="634BC5CF" w:rsidR="009334A2" w:rsidRPr="00500BCC" w:rsidRDefault="009334A2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Fusidic</w:t>
            </w:r>
            <w:proofErr w:type="spellEnd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9EE4" w14:textId="5F623FC4" w:rsidR="009334A2" w:rsidRPr="00500BCC" w:rsidRDefault="00836BFE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</w:t>
            </w:r>
            <w:r w:rsidR="00BD607F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/135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(2%)</w:t>
            </w:r>
          </w:p>
        </w:tc>
      </w:tr>
      <w:tr w:rsidR="009334A2" w:rsidRPr="00500BCC" w14:paraId="4C5C26E7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A291" w14:textId="0D31F843" w:rsidR="009334A2" w:rsidRPr="00500BCC" w:rsidRDefault="009334A2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Piperacilline</w:t>
            </w:r>
            <w:proofErr w:type="spellEnd"/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/Tazobactam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6107" w14:textId="2B62108E" w:rsidR="009334A2" w:rsidRPr="00500BCC" w:rsidRDefault="00836BFE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  <w:r w:rsidR="00BD607F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/135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(1%)</w:t>
            </w:r>
          </w:p>
        </w:tc>
      </w:tr>
      <w:tr w:rsidR="009334A2" w:rsidRPr="00500BCC" w14:paraId="7206F755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360C" w14:textId="5A3CB2CD" w:rsidR="009334A2" w:rsidRPr="00500BCC" w:rsidRDefault="009334A2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Tobramycin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2A0D" w14:textId="6CFE36DB" w:rsidR="009334A2" w:rsidRPr="00500BCC" w:rsidRDefault="00836BFE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  <w:r w:rsidR="00BD607F"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/135 </w:t>
            </w: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(1%)</w:t>
            </w:r>
          </w:p>
        </w:tc>
      </w:tr>
      <w:tr w:rsidR="00801B79" w:rsidRPr="00500BCC" w14:paraId="4308AC09" w14:textId="77777777" w:rsidTr="00BD607F">
        <w:trPr>
          <w:trHeight w:val="496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1A3D" w14:textId="4E503267" w:rsidR="00801B79" w:rsidRPr="00500BCC" w:rsidRDefault="00BD607F" w:rsidP="00692565">
            <w:pPr>
              <w:spacing w:after="0"/>
              <w:ind w:left="100"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More than 1 agent used</w:t>
            </w:r>
            <w:r w:rsidR="00801B79" w:rsidRPr="00500BC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44EA" w14:textId="5593CC33" w:rsidR="00801B79" w:rsidRPr="00500BCC" w:rsidRDefault="00BD607F" w:rsidP="00692565">
            <w:pPr>
              <w:spacing w:after="0"/>
              <w:ind w:left="100" w:righ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BCC">
              <w:rPr>
                <w:rFonts w:ascii="Times New Roman" w:hAnsi="Times New Roman" w:cs="Times New Roman"/>
                <w:sz w:val="18"/>
                <w:szCs w:val="18"/>
              </w:rPr>
              <w:t>N=26</w:t>
            </w:r>
          </w:p>
        </w:tc>
      </w:tr>
      <w:tr w:rsidR="00801B79" w:rsidRPr="00500BCC" w14:paraId="3EC40187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CA5BE" w14:textId="60DD62D7" w:rsidR="00801B79" w:rsidRPr="00500BCC" w:rsidRDefault="00BD607F" w:rsidP="00BD607F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Cefuroxime + Metronidazole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F4702" w14:textId="044C2409" w:rsidR="00801B79" w:rsidRPr="00500BCC" w:rsidRDefault="00BD607F" w:rsidP="00692565">
            <w:pPr>
              <w:spacing w:after="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16/26 (62%)</w:t>
            </w:r>
          </w:p>
        </w:tc>
      </w:tr>
      <w:tr w:rsidR="00801B79" w:rsidRPr="00500BCC" w14:paraId="49BBF69F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B5DCE" w14:textId="2E7BFEEC" w:rsidR="00801B79" w:rsidRPr="00500BCC" w:rsidRDefault="00BD607F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Ceftriaxone + Metronidazole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A5F6F" w14:textId="1B39C959" w:rsidR="00801B79" w:rsidRPr="00500BCC" w:rsidRDefault="00BD607F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7/26 (27%)</w:t>
            </w:r>
          </w:p>
        </w:tc>
      </w:tr>
      <w:tr w:rsidR="00BD607F" w:rsidRPr="00500BCC" w14:paraId="4D7223A2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A89C" w14:textId="2145CE8E" w:rsidR="00BD607F" w:rsidRPr="00500BCC" w:rsidRDefault="00BD607F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Amoxicillin/Clavulanic acid + Cefuroxime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358D" w14:textId="0ADFC631" w:rsidR="00BD607F" w:rsidRPr="00500BCC" w:rsidRDefault="00BD607F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2/26 (8%)</w:t>
            </w:r>
          </w:p>
        </w:tc>
      </w:tr>
      <w:tr w:rsidR="00BD607F" w:rsidRPr="00500BCC" w14:paraId="24E01C52" w14:textId="77777777" w:rsidTr="009334A2">
        <w:trPr>
          <w:trHeight w:val="170"/>
          <w:jc w:val="center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C5D0" w14:textId="2A76C0D5" w:rsidR="00BD607F" w:rsidRPr="00500BCC" w:rsidRDefault="00BD607F" w:rsidP="00692565">
            <w:pPr>
              <w:spacing w:after="120"/>
              <w:ind w:left="300" w:right="10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Amoxicillin/Clavulanic acid + Doxycycline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8577" w14:textId="1A3FA87B" w:rsidR="00BD607F" w:rsidRPr="00500BCC" w:rsidRDefault="00BD607F" w:rsidP="00692565">
            <w:pPr>
              <w:spacing w:after="120"/>
              <w:ind w:left="100" w:right="102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00BC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1/26 (4%)</w:t>
            </w:r>
          </w:p>
        </w:tc>
      </w:tr>
    </w:tbl>
    <w:p w14:paraId="515362F4" w14:textId="030E5952" w:rsidR="00801B79" w:rsidRPr="00500BCC" w:rsidRDefault="00801B79" w:rsidP="00A72171">
      <w:pPr>
        <w:pStyle w:val="AA1UntertitelTabelle"/>
        <w:rPr>
          <w:lang w:val="en-US"/>
        </w:rPr>
      </w:pPr>
      <w:r w:rsidRPr="00500BCC">
        <w:rPr>
          <w:lang w:val="en-US"/>
        </w:rPr>
        <w:t>Table S</w:t>
      </w:r>
      <w:r w:rsidR="00BD607F" w:rsidRPr="00500BCC">
        <w:rPr>
          <w:lang w:val="en-US"/>
        </w:rPr>
        <w:t>6</w:t>
      </w:r>
      <w:r w:rsidRPr="00500BCC">
        <w:rPr>
          <w:lang w:val="en-US"/>
        </w:rPr>
        <w:t xml:space="preserve">. Type of Antibiotic Agent Used as Surgical Antibiotic Prophylaxis </w:t>
      </w:r>
    </w:p>
    <w:p w14:paraId="77422A51" w14:textId="1CFD3FA7" w:rsidR="00E16D50" w:rsidRPr="00500BCC" w:rsidRDefault="00E16D50" w:rsidP="00500BCC">
      <w:pPr>
        <w:rPr>
          <w:rFonts w:ascii="Times New Roman" w:eastAsiaTheme="minorEastAsia" w:hAnsi="Times New Roman"/>
          <w:color w:val="000000" w:themeColor="text1"/>
          <w:spacing w:val="15"/>
          <w:kern w:val="0"/>
          <w:lang w:val="en-US"/>
          <w14:ligatures w14:val="none"/>
        </w:rPr>
      </w:pPr>
      <w:r w:rsidRPr="00500BCC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121"/>
        <w:gridCol w:w="1303"/>
      </w:tblGrid>
      <w:tr w:rsidR="00E16D50" w:rsidRPr="00500BCC" w14:paraId="2E3BB517" w14:textId="77777777" w:rsidTr="009F5877">
        <w:trPr>
          <w:tblHeader/>
          <w:jc w:val="center"/>
        </w:trPr>
        <w:tc>
          <w:tcPr>
            <w:tcW w:w="412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3877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 w:rsidRPr="00500BCC"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lastRenderedPageBreak/>
              <w:t>Reason for SAP continuation = 'Other'</w:t>
            </w:r>
          </w:p>
        </w:tc>
        <w:tc>
          <w:tcPr>
            <w:tcW w:w="130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1635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b/>
                <w:color w:val="000000"/>
                <w:sz w:val="20"/>
              </w:rPr>
              <w:t>N = 24</w:t>
            </w:r>
            <w:r w:rsidRPr="00500BCC">
              <w:rPr>
                <w:rFonts w:ascii="Arial" w:eastAsia="Arial" w:hAnsi="Arial" w:cs="Arial"/>
                <w:color w:val="000000"/>
                <w:sz w:val="20"/>
                <w:vertAlign w:val="superscript"/>
              </w:rPr>
              <w:t>1</w:t>
            </w:r>
          </w:p>
        </w:tc>
      </w:tr>
      <w:tr w:rsidR="00E16D50" w:rsidRPr="00500BCC" w14:paraId="4A0B3A8A" w14:textId="77777777" w:rsidTr="009F5877">
        <w:trPr>
          <w:jc w:val="center"/>
        </w:trPr>
        <w:tc>
          <w:tcPr>
            <w:tcW w:w="412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F1EC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Placement </w:t>
            </w:r>
            <w:proofErr w:type="spellStart"/>
            <w:r w:rsidRPr="00500BCC">
              <w:rPr>
                <w:rFonts w:ascii="Arial" w:eastAsia="Arial" w:hAnsi="Arial" w:cs="Arial"/>
                <w:b/>
                <w:color w:val="000000"/>
                <w:sz w:val="20"/>
              </w:rPr>
              <w:t>implant</w:t>
            </w:r>
            <w:proofErr w:type="spellEnd"/>
          </w:p>
          <w:p w14:paraId="43B3B7E9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   Yes</w:t>
            </w:r>
          </w:p>
          <w:p w14:paraId="60A342EE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  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No</w:t>
            </w:r>
            <w:proofErr w:type="spellEnd"/>
          </w:p>
        </w:tc>
        <w:tc>
          <w:tcPr>
            <w:tcW w:w="130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83C4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560AF834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5 (21%)</w:t>
            </w:r>
          </w:p>
          <w:p w14:paraId="7DE0C26C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19 (79%)</w:t>
            </w:r>
          </w:p>
          <w:p w14:paraId="328F99C7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E16D50" w:rsidRPr="00500BCC" w14:paraId="38127F6C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9268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Degree </w:t>
            </w:r>
            <w:proofErr w:type="spellStart"/>
            <w:r w:rsidRPr="00500BCC">
              <w:rPr>
                <w:rFonts w:ascii="Arial" w:eastAsia="Arial" w:hAnsi="Arial" w:cs="Arial"/>
                <w:b/>
                <w:color w:val="000000"/>
                <w:sz w:val="20"/>
              </w:rPr>
              <w:t>contamination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6431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E16D50" w:rsidRPr="00500BCC" w14:paraId="2B5FF6FA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20FC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Clean (I)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39B7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8 (33%)</w:t>
            </w:r>
          </w:p>
        </w:tc>
      </w:tr>
      <w:tr w:rsidR="00E16D50" w:rsidRPr="00500BCC" w14:paraId="68B10870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91F7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Clean-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contaminated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(II)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6C99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11 (46%)</w:t>
            </w:r>
          </w:p>
        </w:tc>
      </w:tr>
      <w:tr w:rsidR="00E16D50" w:rsidRPr="00500BCC" w14:paraId="6B4BAA4B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AF3D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Contaminated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(III)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AF58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5 (21%)</w:t>
            </w:r>
          </w:p>
        </w:tc>
      </w:tr>
      <w:tr w:rsidR="00E16D50" w:rsidRPr="00500BCC" w14:paraId="457427E2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EB97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Dirty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>/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infected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(IV)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F2DE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0 (0%)</w:t>
            </w:r>
          </w:p>
        </w:tc>
      </w:tr>
      <w:tr w:rsidR="00E16D50" w:rsidRPr="00500BCC" w14:paraId="6972A7C3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DF0C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Unknown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B8FF2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0 (0%)</w:t>
            </w:r>
          </w:p>
          <w:p w14:paraId="758E26C7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E16D50" w:rsidRPr="00500BCC" w14:paraId="6F64F9E5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CD43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Type </w:t>
            </w:r>
            <w:proofErr w:type="spellStart"/>
            <w:r w:rsidRPr="00500BCC">
              <w:rPr>
                <w:rFonts w:ascii="Arial" w:eastAsia="Arial" w:hAnsi="Arial" w:cs="Arial"/>
                <w:b/>
                <w:color w:val="000000"/>
                <w:sz w:val="20"/>
              </w:rPr>
              <w:t>surgery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72FC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E16D50" w:rsidRPr="00500BCC" w14:paraId="59E213C7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C9EB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Nervous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system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5FC6F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1 (4.2%)</w:t>
            </w:r>
          </w:p>
        </w:tc>
      </w:tr>
      <w:tr w:rsidR="00E16D50" w:rsidRPr="00500BCC" w14:paraId="5FCAC3D9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90E2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Endocrinous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system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14E6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0 (0%)</w:t>
            </w:r>
          </w:p>
        </w:tc>
      </w:tr>
      <w:tr w:rsidR="00E16D50" w:rsidRPr="00500BCC" w14:paraId="4330B62E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4543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Eyes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BE42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1 (4.2%)</w:t>
            </w:r>
          </w:p>
        </w:tc>
      </w:tr>
      <w:tr w:rsidR="00E16D50" w:rsidRPr="00500BCC" w14:paraId="37556010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DDA3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Ear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nose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mouth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pharynx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8CFB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6 (25%)</w:t>
            </w:r>
          </w:p>
        </w:tc>
      </w:tr>
      <w:tr w:rsidR="00E16D50" w:rsidRPr="00500BCC" w14:paraId="07850E01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0859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Cardiovascular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system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238F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3 (13%)</w:t>
            </w:r>
          </w:p>
        </w:tc>
      </w:tr>
      <w:tr w:rsidR="00E16D50" w:rsidRPr="00500BCC" w14:paraId="78D59EB4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E2CE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Intestinal tract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B347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3 (13%)</w:t>
            </w:r>
          </w:p>
        </w:tc>
      </w:tr>
      <w:tr w:rsidR="00E16D50" w:rsidRPr="00500BCC" w14:paraId="67402911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5F85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Urinary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tract, sexual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organs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3C2B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7 (29%)</w:t>
            </w:r>
          </w:p>
        </w:tc>
      </w:tr>
      <w:tr w:rsidR="00E16D50" w:rsidRPr="00500BCC" w14:paraId="5211808E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5D26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Musculoskelettal</w:t>
            </w:r>
            <w:proofErr w:type="spellEnd"/>
            <w:r w:rsidRPr="00500BC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00BCC">
              <w:rPr>
                <w:rFonts w:ascii="Arial" w:eastAsia="Arial" w:hAnsi="Arial" w:cs="Arial"/>
                <w:color w:val="000000"/>
                <w:sz w:val="20"/>
              </w:rPr>
              <w:t>system</w:t>
            </w:r>
            <w:proofErr w:type="spellEnd"/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4AD4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1 (4.2%)</w:t>
            </w:r>
          </w:p>
        </w:tc>
      </w:tr>
      <w:tr w:rsidR="00E16D50" w:rsidRPr="00500BCC" w14:paraId="087F9712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A3C0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Skin/Integument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FC042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2 (8.3%)</w:t>
            </w:r>
          </w:p>
        </w:tc>
      </w:tr>
      <w:tr w:rsidR="00E16D50" w:rsidRPr="00500BCC" w14:paraId="71AE8D03" w14:textId="77777777" w:rsidTr="009F5877">
        <w:trPr>
          <w:jc w:val="center"/>
        </w:trPr>
        <w:tc>
          <w:tcPr>
            <w:tcW w:w="412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4104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Other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0820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</w:rPr>
              <w:t>0 (0%)</w:t>
            </w:r>
          </w:p>
        </w:tc>
      </w:tr>
      <w:tr w:rsidR="00E16D50" w:rsidRPr="00500BCC" w14:paraId="3F74FEF7" w14:textId="77777777" w:rsidTr="009F5877">
        <w:trPr>
          <w:jc w:val="center"/>
        </w:trPr>
        <w:tc>
          <w:tcPr>
            <w:tcW w:w="5424" w:type="dxa"/>
            <w:gridSpan w:val="2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A0AD" w14:textId="77777777" w:rsidR="00E16D50" w:rsidRPr="00500BCC" w:rsidRDefault="00E16D50" w:rsidP="009F58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ascii="Arial" w:eastAsia="Arial" w:hAnsi="Arial" w:cs="Arial"/>
                <w:color w:val="000000"/>
                <w:sz w:val="20"/>
              </w:rPr>
            </w:pPr>
            <w:r w:rsidRPr="00500BCC">
              <w:rPr>
                <w:rFonts w:ascii="Arial" w:eastAsia="Arial" w:hAnsi="Arial" w:cs="Arial"/>
                <w:color w:val="000000"/>
                <w:sz w:val="20"/>
                <w:vertAlign w:val="superscript"/>
              </w:rPr>
              <w:t>1</w:t>
            </w:r>
            <w:r w:rsidRPr="00500BCC">
              <w:rPr>
                <w:rFonts w:ascii="Arial" w:eastAsia="Arial" w:hAnsi="Arial" w:cs="Arial"/>
                <w:color w:val="000000"/>
                <w:sz w:val="20"/>
              </w:rPr>
              <w:t>n (%)</w:t>
            </w:r>
          </w:p>
        </w:tc>
      </w:tr>
    </w:tbl>
    <w:p w14:paraId="7D8AE48B" w14:textId="0419EF1C" w:rsidR="00E16D50" w:rsidRDefault="00E16D50" w:rsidP="00E16D50">
      <w:pPr>
        <w:pStyle w:val="AA1UntertitelTabelle"/>
        <w:rPr>
          <w:lang w:val="en-US"/>
        </w:rPr>
      </w:pPr>
      <w:r w:rsidRPr="00500BCC">
        <w:rPr>
          <w:lang w:val="en-US"/>
        </w:rPr>
        <w:t>Table S7. Postoperative antibiotics &gt;24 hours and no suspected infection or dirty/infected wound</w:t>
      </w:r>
    </w:p>
    <w:p w14:paraId="49A16172" w14:textId="77777777" w:rsidR="00E16D50" w:rsidRPr="00E718CC" w:rsidRDefault="00E16D50" w:rsidP="00A72171">
      <w:pPr>
        <w:pStyle w:val="AA1UntertitelTabelle"/>
        <w:rPr>
          <w:lang w:val="en-US"/>
        </w:rPr>
      </w:pPr>
    </w:p>
    <w:sectPr w:rsidR="00E16D50" w:rsidRPr="00E718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82D"/>
    <w:multiLevelType w:val="hybridMultilevel"/>
    <w:tmpl w:val="FC2E1E58"/>
    <w:lvl w:ilvl="0" w:tplc="36D88C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1D75"/>
    <w:multiLevelType w:val="multilevel"/>
    <w:tmpl w:val="9A0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74811"/>
    <w:multiLevelType w:val="hybridMultilevel"/>
    <w:tmpl w:val="6F5220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E08F7"/>
    <w:multiLevelType w:val="hybridMultilevel"/>
    <w:tmpl w:val="F41EA8FA"/>
    <w:lvl w:ilvl="0" w:tplc="C7A21B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513806">
    <w:abstractNumId w:val="1"/>
  </w:num>
  <w:num w:numId="2" w16cid:durableId="235362478">
    <w:abstractNumId w:val="2"/>
  </w:num>
  <w:num w:numId="3" w16cid:durableId="1170095568">
    <w:abstractNumId w:val="3"/>
  </w:num>
  <w:num w:numId="4" w16cid:durableId="25829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24"/>
    <w:rsid w:val="00003232"/>
    <w:rsid w:val="00011652"/>
    <w:rsid w:val="00017A5B"/>
    <w:rsid w:val="0002248F"/>
    <w:rsid w:val="00023020"/>
    <w:rsid w:val="0002523D"/>
    <w:rsid w:val="0003022D"/>
    <w:rsid w:val="0003437C"/>
    <w:rsid w:val="0003477D"/>
    <w:rsid w:val="00035165"/>
    <w:rsid w:val="00036B2A"/>
    <w:rsid w:val="00045D15"/>
    <w:rsid w:val="00055C6D"/>
    <w:rsid w:val="000605B5"/>
    <w:rsid w:val="00061F96"/>
    <w:rsid w:val="00070D30"/>
    <w:rsid w:val="00077E6C"/>
    <w:rsid w:val="000953F6"/>
    <w:rsid w:val="00096069"/>
    <w:rsid w:val="000A3B83"/>
    <w:rsid w:val="000A75FA"/>
    <w:rsid w:val="000B260B"/>
    <w:rsid w:val="000B487D"/>
    <w:rsid w:val="000C26C6"/>
    <w:rsid w:val="000D2402"/>
    <w:rsid w:val="000D773B"/>
    <w:rsid w:val="000E3FC0"/>
    <w:rsid w:val="000E463A"/>
    <w:rsid w:val="000F5D27"/>
    <w:rsid w:val="000F7131"/>
    <w:rsid w:val="0010068A"/>
    <w:rsid w:val="00107815"/>
    <w:rsid w:val="00122572"/>
    <w:rsid w:val="001247A0"/>
    <w:rsid w:val="00127A64"/>
    <w:rsid w:val="00133A3D"/>
    <w:rsid w:val="0013751B"/>
    <w:rsid w:val="0014145D"/>
    <w:rsid w:val="0014262B"/>
    <w:rsid w:val="00144337"/>
    <w:rsid w:val="00145D41"/>
    <w:rsid w:val="001507F0"/>
    <w:rsid w:val="001571FB"/>
    <w:rsid w:val="001630A4"/>
    <w:rsid w:val="00163700"/>
    <w:rsid w:val="00172B0F"/>
    <w:rsid w:val="0017378A"/>
    <w:rsid w:val="001914D7"/>
    <w:rsid w:val="0019178D"/>
    <w:rsid w:val="00191B1F"/>
    <w:rsid w:val="00194061"/>
    <w:rsid w:val="00196568"/>
    <w:rsid w:val="001A5BCA"/>
    <w:rsid w:val="001D0F2A"/>
    <w:rsid w:val="001D3913"/>
    <w:rsid w:val="001D4ECD"/>
    <w:rsid w:val="001D6445"/>
    <w:rsid w:val="001E050D"/>
    <w:rsid w:val="001E33CE"/>
    <w:rsid w:val="001E425A"/>
    <w:rsid w:val="001E7D64"/>
    <w:rsid w:val="001F06B1"/>
    <w:rsid w:val="001F2168"/>
    <w:rsid w:val="001F3E50"/>
    <w:rsid w:val="001F7272"/>
    <w:rsid w:val="00201D88"/>
    <w:rsid w:val="00207AED"/>
    <w:rsid w:val="00214869"/>
    <w:rsid w:val="00214ADD"/>
    <w:rsid w:val="00220E66"/>
    <w:rsid w:val="00222154"/>
    <w:rsid w:val="00222533"/>
    <w:rsid w:val="00223399"/>
    <w:rsid w:val="0022391B"/>
    <w:rsid w:val="00223922"/>
    <w:rsid w:val="002322BC"/>
    <w:rsid w:val="00235078"/>
    <w:rsid w:val="0023661D"/>
    <w:rsid w:val="00240012"/>
    <w:rsid w:val="00244473"/>
    <w:rsid w:val="00247E35"/>
    <w:rsid w:val="002527A3"/>
    <w:rsid w:val="00252C42"/>
    <w:rsid w:val="00252E2E"/>
    <w:rsid w:val="00260971"/>
    <w:rsid w:val="00262D06"/>
    <w:rsid w:val="00263124"/>
    <w:rsid w:val="00263437"/>
    <w:rsid w:val="00267972"/>
    <w:rsid w:val="00270E75"/>
    <w:rsid w:val="00274D4D"/>
    <w:rsid w:val="002761D8"/>
    <w:rsid w:val="0028545F"/>
    <w:rsid w:val="00285AF3"/>
    <w:rsid w:val="002A46F4"/>
    <w:rsid w:val="002B5A90"/>
    <w:rsid w:val="002E56F8"/>
    <w:rsid w:val="002F2865"/>
    <w:rsid w:val="00303664"/>
    <w:rsid w:val="00304731"/>
    <w:rsid w:val="003058CD"/>
    <w:rsid w:val="00306535"/>
    <w:rsid w:val="00307582"/>
    <w:rsid w:val="00313411"/>
    <w:rsid w:val="003216E6"/>
    <w:rsid w:val="003229A3"/>
    <w:rsid w:val="00323934"/>
    <w:rsid w:val="00326385"/>
    <w:rsid w:val="003263D4"/>
    <w:rsid w:val="00331781"/>
    <w:rsid w:val="0033335F"/>
    <w:rsid w:val="00342F34"/>
    <w:rsid w:val="003445D2"/>
    <w:rsid w:val="00344E1D"/>
    <w:rsid w:val="003468F4"/>
    <w:rsid w:val="00357ACC"/>
    <w:rsid w:val="00364A0F"/>
    <w:rsid w:val="00364D3E"/>
    <w:rsid w:val="00365515"/>
    <w:rsid w:val="003655EA"/>
    <w:rsid w:val="00372CD2"/>
    <w:rsid w:val="00372CE2"/>
    <w:rsid w:val="00380CA7"/>
    <w:rsid w:val="00381C7C"/>
    <w:rsid w:val="003847E8"/>
    <w:rsid w:val="00387EB3"/>
    <w:rsid w:val="00392893"/>
    <w:rsid w:val="0039691E"/>
    <w:rsid w:val="003A45FE"/>
    <w:rsid w:val="003A4987"/>
    <w:rsid w:val="003A562B"/>
    <w:rsid w:val="003A70FB"/>
    <w:rsid w:val="003B09D3"/>
    <w:rsid w:val="003B1D72"/>
    <w:rsid w:val="003D32D3"/>
    <w:rsid w:val="003D34B4"/>
    <w:rsid w:val="003E5B83"/>
    <w:rsid w:val="003F0AF0"/>
    <w:rsid w:val="003F3945"/>
    <w:rsid w:val="003F656E"/>
    <w:rsid w:val="00412860"/>
    <w:rsid w:val="00412EA5"/>
    <w:rsid w:val="00412F7B"/>
    <w:rsid w:val="004138E5"/>
    <w:rsid w:val="00421777"/>
    <w:rsid w:val="00435738"/>
    <w:rsid w:val="00440C1E"/>
    <w:rsid w:val="00441D6F"/>
    <w:rsid w:val="00441FE5"/>
    <w:rsid w:val="004566B6"/>
    <w:rsid w:val="00460165"/>
    <w:rsid w:val="00460626"/>
    <w:rsid w:val="00462C4F"/>
    <w:rsid w:val="00463183"/>
    <w:rsid w:val="004668A2"/>
    <w:rsid w:val="00467621"/>
    <w:rsid w:val="00470CEF"/>
    <w:rsid w:val="00497DEB"/>
    <w:rsid w:val="004A1165"/>
    <w:rsid w:val="004A274D"/>
    <w:rsid w:val="004A43F3"/>
    <w:rsid w:val="004A7E1B"/>
    <w:rsid w:val="004B2CA3"/>
    <w:rsid w:val="004B313C"/>
    <w:rsid w:val="004C27C8"/>
    <w:rsid w:val="004D0260"/>
    <w:rsid w:val="004D0FEB"/>
    <w:rsid w:val="004D29B5"/>
    <w:rsid w:val="004E0D78"/>
    <w:rsid w:val="004E3674"/>
    <w:rsid w:val="004E4D35"/>
    <w:rsid w:val="004E7AFF"/>
    <w:rsid w:val="004F4614"/>
    <w:rsid w:val="004F6DF3"/>
    <w:rsid w:val="004F73D6"/>
    <w:rsid w:val="00500BC9"/>
    <w:rsid w:val="00500BCC"/>
    <w:rsid w:val="00501264"/>
    <w:rsid w:val="0050652A"/>
    <w:rsid w:val="00506E43"/>
    <w:rsid w:val="00507248"/>
    <w:rsid w:val="005318E1"/>
    <w:rsid w:val="00540B87"/>
    <w:rsid w:val="00551D4A"/>
    <w:rsid w:val="00557830"/>
    <w:rsid w:val="00562188"/>
    <w:rsid w:val="005661CC"/>
    <w:rsid w:val="00567BD6"/>
    <w:rsid w:val="00576CB2"/>
    <w:rsid w:val="00585712"/>
    <w:rsid w:val="0058677D"/>
    <w:rsid w:val="00593FFE"/>
    <w:rsid w:val="00594DC1"/>
    <w:rsid w:val="005A033B"/>
    <w:rsid w:val="005A211E"/>
    <w:rsid w:val="005B0094"/>
    <w:rsid w:val="005B7EB7"/>
    <w:rsid w:val="005C11B6"/>
    <w:rsid w:val="005C3F0F"/>
    <w:rsid w:val="005C4184"/>
    <w:rsid w:val="005D0236"/>
    <w:rsid w:val="005D4491"/>
    <w:rsid w:val="005E523C"/>
    <w:rsid w:val="005F5FFE"/>
    <w:rsid w:val="005F6647"/>
    <w:rsid w:val="00602EB5"/>
    <w:rsid w:val="0060555F"/>
    <w:rsid w:val="00613EAF"/>
    <w:rsid w:val="00621A22"/>
    <w:rsid w:val="006255FD"/>
    <w:rsid w:val="006275B5"/>
    <w:rsid w:val="0063641C"/>
    <w:rsid w:val="006377B2"/>
    <w:rsid w:val="006441C1"/>
    <w:rsid w:val="00644C1E"/>
    <w:rsid w:val="00644F79"/>
    <w:rsid w:val="00650038"/>
    <w:rsid w:val="00651D3D"/>
    <w:rsid w:val="006527B1"/>
    <w:rsid w:val="0065461B"/>
    <w:rsid w:val="0066090B"/>
    <w:rsid w:val="0066363F"/>
    <w:rsid w:val="006640B5"/>
    <w:rsid w:val="0066573B"/>
    <w:rsid w:val="00666641"/>
    <w:rsid w:val="00670F18"/>
    <w:rsid w:val="00673BC8"/>
    <w:rsid w:val="00676BF2"/>
    <w:rsid w:val="00684481"/>
    <w:rsid w:val="006866AF"/>
    <w:rsid w:val="006941F4"/>
    <w:rsid w:val="00694F91"/>
    <w:rsid w:val="006970E8"/>
    <w:rsid w:val="006A35A8"/>
    <w:rsid w:val="006A3D0B"/>
    <w:rsid w:val="006B1FD6"/>
    <w:rsid w:val="006B415D"/>
    <w:rsid w:val="006B53B6"/>
    <w:rsid w:val="006C0821"/>
    <w:rsid w:val="006C363C"/>
    <w:rsid w:val="006C7680"/>
    <w:rsid w:val="006D2D66"/>
    <w:rsid w:val="006D4D67"/>
    <w:rsid w:val="006E109D"/>
    <w:rsid w:val="006E653A"/>
    <w:rsid w:val="006E6593"/>
    <w:rsid w:val="006E7214"/>
    <w:rsid w:val="006F0364"/>
    <w:rsid w:val="006F0ADC"/>
    <w:rsid w:val="006F4F13"/>
    <w:rsid w:val="006F524E"/>
    <w:rsid w:val="007001B1"/>
    <w:rsid w:val="00703F9E"/>
    <w:rsid w:val="00705C8C"/>
    <w:rsid w:val="00706732"/>
    <w:rsid w:val="0071002D"/>
    <w:rsid w:val="007157C7"/>
    <w:rsid w:val="0072533F"/>
    <w:rsid w:val="00727486"/>
    <w:rsid w:val="0073262B"/>
    <w:rsid w:val="00734F39"/>
    <w:rsid w:val="00745B04"/>
    <w:rsid w:val="007504BA"/>
    <w:rsid w:val="00752FE4"/>
    <w:rsid w:val="00755651"/>
    <w:rsid w:val="00760A0A"/>
    <w:rsid w:val="0076222D"/>
    <w:rsid w:val="007648E8"/>
    <w:rsid w:val="00773BB7"/>
    <w:rsid w:val="0077518D"/>
    <w:rsid w:val="0078753E"/>
    <w:rsid w:val="00787C7D"/>
    <w:rsid w:val="0079324A"/>
    <w:rsid w:val="00793CA3"/>
    <w:rsid w:val="007A18F7"/>
    <w:rsid w:val="007A2EAB"/>
    <w:rsid w:val="007A60B5"/>
    <w:rsid w:val="007B0077"/>
    <w:rsid w:val="007B20AA"/>
    <w:rsid w:val="007B5ED8"/>
    <w:rsid w:val="007C5009"/>
    <w:rsid w:val="007D00B0"/>
    <w:rsid w:val="007D2F63"/>
    <w:rsid w:val="007F1891"/>
    <w:rsid w:val="007F5923"/>
    <w:rsid w:val="00801B79"/>
    <w:rsid w:val="00802C52"/>
    <w:rsid w:val="00802D2E"/>
    <w:rsid w:val="00802ED2"/>
    <w:rsid w:val="00814FC2"/>
    <w:rsid w:val="0082185A"/>
    <w:rsid w:val="00827CF9"/>
    <w:rsid w:val="008322B2"/>
    <w:rsid w:val="00833759"/>
    <w:rsid w:val="00836BFE"/>
    <w:rsid w:val="0084091C"/>
    <w:rsid w:val="0084406C"/>
    <w:rsid w:val="00844BB9"/>
    <w:rsid w:val="00847799"/>
    <w:rsid w:val="00850064"/>
    <w:rsid w:val="00850E28"/>
    <w:rsid w:val="00855FCD"/>
    <w:rsid w:val="0086138D"/>
    <w:rsid w:val="008657B2"/>
    <w:rsid w:val="00875687"/>
    <w:rsid w:val="00880907"/>
    <w:rsid w:val="00884502"/>
    <w:rsid w:val="00887C18"/>
    <w:rsid w:val="0089579C"/>
    <w:rsid w:val="008A2699"/>
    <w:rsid w:val="008A51E9"/>
    <w:rsid w:val="008A79E9"/>
    <w:rsid w:val="008B1CF6"/>
    <w:rsid w:val="008C32EC"/>
    <w:rsid w:val="008D2030"/>
    <w:rsid w:val="008D2694"/>
    <w:rsid w:val="008D4EC7"/>
    <w:rsid w:val="008D5AA0"/>
    <w:rsid w:val="008D615A"/>
    <w:rsid w:val="008D684B"/>
    <w:rsid w:val="008E238D"/>
    <w:rsid w:val="008E3836"/>
    <w:rsid w:val="008F10D3"/>
    <w:rsid w:val="008F702D"/>
    <w:rsid w:val="008F7E38"/>
    <w:rsid w:val="009003EF"/>
    <w:rsid w:val="00900F4B"/>
    <w:rsid w:val="00903713"/>
    <w:rsid w:val="00903A3B"/>
    <w:rsid w:val="00903EE4"/>
    <w:rsid w:val="00904BAB"/>
    <w:rsid w:val="009064F9"/>
    <w:rsid w:val="00910013"/>
    <w:rsid w:val="00914916"/>
    <w:rsid w:val="00914D55"/>
    <w:rsid w:val="0092030C"/>
    <w:rsid w:val="00922B8F"/>
    <w:rsid w:val="00922C7C"/>
    <w:rsid w:val="00923133"/>
    <w:rsid w:val="009251A4"/>
    <w:rsid w:val="009277BB"/>
    <w:rsid w:val="00927FED"/>
    <w:rsid w:val="00930D25"/>
    <w:rsid w:val="00931EE0"/>
    <w:rsid w:val="00931F9A"/>
    <w:rsid w:val="009334A2"/>
    <w:rsid w:val="0094216C"/>
    <w:rsid w:val="0095704C"/>
    <w:rsid w:val="009574F4"/>
    <w:rsid w:val="009639C0"/>
    <w:rsid w:val="00981941"/>
    <w:rsid w:val="00982D6E"/>
    <w:rsid w:val="0098681F"/>
    <w:rsid w:val="00987ED3"/>
    <w:rsid w:val="00990D60"/>
    <w:rsid w:val="00994F03"/>
    <w:rsid w:val="009A1E07"/>
    <w:rsid w:val="009A5F16"/>
    <w:rsid w:val="009B6116"/>
    <w:rsid w:val="009C388B"/>
    <w:rsid w:val="009D23EA"/>
    <w:rsid w:val="009D38A1"/>
    <w:rsid w:val="009D78A6"/>
    <w:rsid w:val="009E1933"/>
    <w:rsid w:val="009E757E"/>
    <w:rsid w:val="009E7626"/>
    <w:rsid w:val="009E7CD5"/>
    <w:rsid w:val="009F003F"/>
    <w:rsid w:val="00A01D63"/>
    <w:rsid w:val="00A22181"/>
    <w:rsid w:val="00A341EA"/>
    <w:rsid w:val="00A51ED3"/>
    <w:rsid w:val="00A60F4D"/>
    <w:rsid w:val="00A72171"/>
    <w:rsid w:val="00A77DE8"/>
    <w:rsid w:val="00A912FA"/>
    <w:rsid w:val="00A94D78"/>
    <w:rsid w:val="00A94E9E"/>
    <w:rsid w:val="00A95414"/>
    <w:rsid w:val="00AA1A86"/>
    <w:rsid w:val="00AA552D"/>
    <w:rsid w:val="00AA77BB"/>
    <w:rsid w:val="00AA7C6C"/>
    <w:rsid w:val="00AB46CD"/>
    <w:rsid w:val="00AC271C"/>
    <w:rsid w:val="00AD37E8"/>
    <w:rsid w:val="00AE116D"/>
    <w:rsid w:val="00AF67D3"/>
    <w:rsid w:val="00B01F2D"/>
    <w:rsid w:val="00B0356D"/>
    <w:rsid w:val="00B0478B"/>
    <w:rsid w:val="00B12DC1"/>
    <w:rsid w:val="00B13BF0"/>
    <w:rsid w:val="00B218D5"/>
    <w:rsid w:val="00B21DCF"/>
    <w:rsid w:val="00B23563"/>
    <w:rsid w:val="00B35D49"/>
    <w:rsid w:val="00B47A82"/>
    <w:rsid w:val="00B64C2F"/>
    <w:rsid w:val="00B72BB3"/>
    <w:rsid w:val="00B824F8"/>
    <w:rsid w:val="00B86AF0"/>
    <w:rsid w:val="00B86B8B"/>
    <w:rsid w:val="00B875D8"/>
    <w:rsid w:val="00B90FEC"/>
    <w:rsid w:val="00B96102"/>
    <w:rsid w:val="00BA197F"/>
    <w:rsid w:val="00BA321A"/>
    <w:rsid w:val="00BA5A11"/>
    <w:rsid w:val="00BB5340"/>
    <w:rsid w:val="00BB7887"/>
    <w:rsid w:val="00BC047F"/>
    <w:rsid w:val="00BC44F5"/>
    <w:rsid w:val="00BD607F"/>
    <w:rsid w:val="00BD6EC9"/>
    <w:rsid w:val="00BE0183"/>
    <w:rsid w:val="00BE1268"/>
    <w:rsid w:val="00BF14F7"/>
    <w:rsid w:val="00BF1C7F"/>
    <w:rsid w:val="00BF4D49"/>
    <w:rsid w:val="00BF6E60"/>
    <w:rsid w:val="00C01C23"/>
    <w:rsid w:val="00C01D0B"/>
    <w:rsid w:val="00C11D5B"/>
    <w:rsid w:val="00C13BF1"/>
    <w:rsid w:val="00C1584A"/>
    <w:rsid w:val="00C26140"/>
    <w:rsid w:val="00C30036"/>
    <w:rsid w:val="00C41A59"/>
    <w:rsid w:val="00C43DC1"/>
    <w:rsid w:val="00C519B0"/>
    <w:rsid w:val="00C52C84"/>
    <w:rsid w:val="00C562BA"/>
    <w:rsid w:val="00C562D3"/>
    <w:rsid w:val="00C66546"/>
    <w:rsid w:val="00C75335"/>
    <w:rsid w:val="00C862E1"/>
    <w:rsid w:val="00C87129"/>
    <w:rsid w:val="00C8781E"/>
    <w:rsid w:val="00C9109C"/>
    <w:rsid w:val="00C970D7"/>
    <w:rsid w:val="00CA0EC7"/>
    <w:rsid w:val="00CA13E4"/>
    <w:rsid w:val="00CA51B0"/>
    <w:rsid w:val="00CB2CCE"/>
    <w:rsid w:val="00CC6DF3"/>
    <w:rsid w:val="00CE051D"/>
    <w:rsid w:val="00CE5118"/>
    <w:rsid w:val="00CE5413"/>
    <w:rsid w:val="00CE65B1"/>
    <w:rsid w:val="00CE68A9"/>
    <w:rsid w:val="00CE7C88"/>
    <w:rsid w:val="00CF00FB"/>
    <w:rsid w:val="00CF3A4A"/>
    <w:rsid w:val="00CF3E17"/>
    <w:rsid w:val="00D45899"/>
    <w:rsid w:val="00D46501"/>
    <w:rsid w:val="00D50016"/>
    <w:rsid w:val="00D60619"/>
    <w:rsid w:val="00D63C0E"/>
    <w:rsid w:val="00D773A5"/>
    <w:rsid w:val="00D81E68"/>
    <w:rsid w:val="00D91241"/>
    <w:rsid w:val="00D91BA2"/>
    <w:rsid w:val="00DA7E30"/>
    <w:rsid w:val="00DC2704"/>
    <w:rsid w:val="00DC6186"/>
    <w:rsid w:val="00DC6797"/>
    <w:rsid w:val="00DD1347"/>
    <w:rsid w:val="00DF5562"/>
    <w:rsid w:val="00E06C24"/>
    <w:rsid w:val="00E12DB1"/>
    <w:rsid w:val="00E16D50"/>
    <w:rsid w:val="00E243D0"/>
    <w:rsid w:val="00E52C80"/>
    <w:rsid w:val="00E53141"/>
    <w:rsid w:val="00E718CC"/>
    <w:rsid w:val="00E71DFA"/>
    <w:rsid w:val="00E74348"/>
    <w:rsid w:val="00E820FD"/>
    <w:rsid w:val="00E975B4"/>
    <w:rsid w:val="00EB202F"/>
    <w:rsid w:val="00EB2F01"/>
    <w:rsid w:val="00EB4CDE"/>
    <w:rsid w:val="00EB4E9B"/>
    <w:rsid w:val="00EC0617"/>
    <w:rsid w:val="00EC4599"/>
    <w:rsid w:val="00EC4AAC"/>
    <w:rsid w:val="00EC56A9"/>
    <w:rsid w:val="00EC6E7E"/>
    <w:rsid w:val="00ED6989"/>
    <w:rsid w:val="00EE216C"/>
    <w:rsid w:val="00EE6237"/>
    <w:rsid w:val="00EE67AE"/>
    <w:rsid w:val="00EE6A38"/>
    <w:rsid w:val="00EF1E93"/>
    <w:rsid w:val="00EF77C0"/>
    <w:rsid w:val="00F0257F"/>
    <w:rsid w:val="00F0700E"/>
    <w:rsid w:val="00F147CA"/>
    <w:rsid w:val="00F30650"/>
    <w:rsid w:val="00F40796"/>
    <w:rsid w:val="00F43EF8"/>
    <w:rsid w:val="00F45749"/>
    <w:rsid w:val="00F47523"/>
    <w:rsid w:val="00F479AB"/>
    <w:rsid w:val="00F47B94"/>
    <w:rsid w:val="00F47D44"/>
    <w:rsid w:val="00F53AA9"/>
    <w:rsid w:val="00F55943"/>
    <w:rsid w:val="00F62929"/>
    <w:rsid w:val="00F6306B"/>
    <w:rsid w:val="00F71F3D"/>
    <w:rsid w:val="00F7245B"/>
    <w:rsid w:val="00F80E19"/>
    <w:rsid w:val="00F9118C"/>
    <w:rsid w:val="00F93090"/>
    <w:rsid w:val="00FA09B6"/>
    <w:rsid w:val="00FA127C"/>
    <w:rsid w:val="00FA20B5"/>
    <w:rsid w:val="00FA4F39"/>
    <w:rsid w:val="00FA6504"/>
    <w:rsid w:val="00FB05FC"/>
    <w:rsid w:val="00FB3462"/>
    <w:rsid w:val="00FB61AC"/>
    <w:rsid w:val="00FC0187"/>
    <w:rsid w:val="00FC3EB8"/>
    <w:rsid w:val="00FD2B40"/>
    <w:rsid w:val="00FD50CE"/>
    <w:rsid w:val="00FD5CB6"/>
    <w:rsid w:val="00FE2BE5"/>
    <w:rsid w:val="00FE2EA8"/>
    <w:rsid w:val="00FE578E"/>
    <w:rsid w:val="00FF16E0"/>
    <w:rsid w:val="00FF2366"/>
    <w:rsid w:val="00FF54C6"/>
    <w:rsid w:val="00FF64E4"/>
    <w:rsid w:val="00FF75DF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8F2E5"/>
  <w15:chartTrackingRefBased/>
  <w15:docId w15:val="{99A6CF6B-6EA5-4C1C-AED9-8656A7F9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C24"/>
  </w:style>
  <w:style w:type="paragraph" w:styleId="berschrift1">
    <w:name w:val="heading 1"/>
    <w:basedOn w:val="Standard"/>
    <w:next w:val="Standard"/>
    <w:link w:val="berschrift1Zchn"/>
    <w:uiPriority w:val="9"/>
    <w:qFormat/>
    <w:rsid w:val="00E06C24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000000" w:themeColor="text1"/>
      <w:kern w:val="0"/>
      <w:sz w:val="32"/>
      <w:szCs w:val="32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6C24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0"/>
      <w:sz w:val="28"/>
      <w:szCs w:val="26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6C24"/>
    <w:rPr>
      <w:rFonts w:asciiTheme="majorHAnsi" w:eastAsiaTheme="majorEastAsia" w:hAnsiTheme="majorHAnsi" w:cstheme="majorBidi"/>
      <w:b/>
      <w:color w:val="000000" w:themeColor="text1"/>
      <w:kern w:val="0"/>
      <w:sz w:val="32"/>
      <w:szCs w:val="32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6C24"/>
    <w:rPr>
      <w:rFonts w:asciiTheme="majorHAnsi" w:eastAsiaTheme="majorEastAsia" w:hAnsiTheme="majorHAnsi" w:cstheme="majorBidi"/>
      <w:b/>
      <w:color w:val="000000" w:themeColor="text1"/>
      <w:kern w:val="0"/>
      <w:sz w:val="28"/>
      <w:szCs w:val="26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6C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6C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6C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6C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6C24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E0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E06C24"/>
    <w:pPr>
      <w:numPr>
        <w:ilvl w:val="1"/>
      </w:numPr>
      <w:spacing w:before="120" w:after="280" w:line="360" w:lineRule="auto"/>
    </w:pPr>
    <w:rPr>
      <w:rFonts w:eastAsiaTheme="minorEastAsia"/>
      <w:color w:val="000000" w:themeColor="text1"/>
      <w:spacing w:val="15"/>
      <w:kern w:val="0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6C24"/>
    <w:rPr>
      <w:rFonts w:eastAsiaTheme="minorEastAsia"/>
      <w:color w:val="000000" w:themeColor="text1"/>
      <w:spacing w:val="15"/>
      <w:kern w:val="0"/>
      <w14:ligatures w14:val="none"/>
    </w:rPr>
  </w:style>
  <w:style w:type="paragraph" w:customStyle="1" w:styleId="A">
    <w:name w:val="Προεπιλογή A"/>
    <w:link w:val="ACar"/>
    <w:rsid w:val="00E06C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fr-CH"/>
      <w14:ligatures w14:val="none"/>
    </w:rPr>
  </w:style>
  <w:style w:type="character" w:customStyle="1" w:styleId="ACar">
    <w:name w:val="Προεπιλογή A Car"/>
    <w:basedOn w:val="Absatz-Standardschriftart"/>
    <w:link w:val="A"/>
    <w:rsid w:val="00E06C24"/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fr-CH"/>
      <w14:ligatures w14:val="none"/>
    </w:rPr>
  </w:style>
  <w:style w:type="table" w:customStyle="1" w:styleId="Table">
    <w:name w:val="Table"/>
    <w:semiHidden/>
    <w:qFormat/>
    <w:rsid w:val="00E06C24"/>
    <w:pPr>
      <w:spacing w:after="200" w:line="240" w:lineRule="auto"/>
    </w:pPr>
    <w:rPr>
      <w:kern w:val="0"/>
      <w:sz w:val="24"/>
      <w:szCs w:val="24"/>
      <w:lang w:val="en-US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E06C2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06C2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06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C24"/>
  </w:style>
  <w:style w:type="paragraph" w:styleId="Fuzeile">
    <w:name w:val="footer"/>
    <w:basedOn w:val="Standard"/>
    <w:link w:val="FuzeileZchn"/>
    <w:uiPriority w:val="99"/>
    <w:unhideWhenUsed/>
    <w:rsid w:val="00E06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C24"/>
  </w:style>
  <w:style w:type="paragraph" w:customStyle="1" w:styleId="aaberschrift1">
    <w:name w:val="aaÜberschrift1"/>
    <w:basedOn w:val="Standard"/>
    <w:qFormat/>
    <w:rsid w:val="00E06C24"/>
    <w:pPr>
      <w:spacing w:before="120"/>
    </w:pPr>
    <w:rPr>
      <w:rFonts w:ascii="Times New Roman" w:hAnsi="Times New Roman" w:cs="Times New Roman"/>
      <w:b/>
      <w:smallCaps/>
      <w:lang w:val="en-GB"/>
    </w:rPr>
  </w:style>
  <w:style w:type="paragraph" w:customStyle="1" w:styleId="aaberschrift2">
    <w:name w:val="aaÜberschrift2"/>
    <w:basedOn w:val="Standard"/>
    <w:qFormat/>
    <w:rsid w:val="00E06C24"/>
    <w:pPr>
      <w:spacing w:line="360" w:lineRule="auto"/>
      <w:jc w:val="both"/>
    </w:pPr>
    <w:rPr>
      <w:rFonts w:ascii="Times New Roman" w:hAnsi="Times New Roman" w:cs="Times New Roman"/>
      <w:b/>
      <w:lang w:val="en-GB"/>
    </w:rPr>
  </w:style>
  <w:style w:type="paragraph" w:customStyle="1" w:styleId="EndNoteBibliographyTitle">
    <w:name w:val="EndNote Bibliography Title"/>
    <w:basedOn w:val="Standard"/>
    <w:link w:val="EndNoteBibliographyTitleZchn"/>
    <w:rsid w:val="00E06C24"/>
    <w:pPr>
      <w:spacing w:after="0"/>
      <w:jc w:val="center"/>
    </w:pPr>
    <w:rPr>
      <w:rFonts w:ascii="Times New Roman" w:hAnsi="Times New Roman" w:cs="Times New Roman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E06C24"/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E06C24"/>
    <w:pPr>
      <w:spacing w:line="240" w:lineRule="auto"/>
    </w:pPr>
    <w:rPr>
      <w:rFonts w:ascii="Times New Roman" w:hAnsi="Times New Roman" w:cs="Times New Roman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E06C24"/>
    <w:rPr>
      <w:rFonts w:ascii="Times New Roman" w:hAnsi="Times New Roman" w:cs="Times New Roman"/>
      <w:lang w:val="en-US"/>
    </w:rPr>
  </w:style>
  <w:style w:type="character" w:styleId="Hyperlink">
    <w:name w:val="Hyperlink"/>
    <w:basedOn w:val="Absatz-Standardschriftart"/>
    <w:uiPriority w:val="99"/>
    <w:unhideWhenUsed/>
    <w:rsid w:val="00E06C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C24"/>
    <w:rPr>
      <w:color w:val="605E5C"/>
      <w:shd w:val="clear" w:color="auto" w:fill="E1DFDD"/>
    </w:rPr>
  </w:style>
  <w:style w:type="paragraph" w:customStyle="1" w:styleId="AA1UntertitelTabelle">
    <w:name w:val="AA1_Untertitel Tabelle"/>
    <w:basedOn w:val="Untertitel"/>
    <w:qFormat/>
    <w:rsid w:val="00E06C24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B5DF8750E7D4AB522E3F1023638A5" ma:contentTypeVersion="18" ma:contentTypeDescription="Ein neues Dokument erstellen." ma:contentTypeScope="" ma:versionID="6c9b3663c7637500716e6153a9bc879a">
  <xsd:schema xmlns:xsd="http://www.w3.org/2001/XMLSchema" xmlns:xs="http://www.w3.org/2001/XMLSchema" xmlns:p="http://schemas.microsoft.com/office/2006/metadata/properties" xmlns:ns3="c62de273-fbcd-43d2-90bc-1a5c0fec2bcb" xmlns:ns4="01eb180c-16d1-4c18-8f0a-65995c430541" targetNamespace="http://schemas.microsoft.com/office/2006/metadata/properties" ma:root="true" ma:fieldsID="2cd2b26a45fc829db51b3baba2239794" ns3:_="" ns4:_="">
    <xsd:import namespace="c62de273-fbcd-43d2-90bc-1a5c0fec2bcb"/>
    <xsd:import namespace="01eb180c-16d1-4c18-8f0a-65995c4305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e273-fbcd-43d2-90bc-1a5c0fec2b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180c-16d1-4c18-8f0a-65995c43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eb180c-16d1-4c18-8f0a-65995c430541" xsi:nil="true"/>
  </documentManagement>
</p:properties>
</file>

<file path=customXml/itemProps1.xml><?xml version="1.0" encoding="utf-8"?>
<ds:datastoreItem xmlns:ds="http://schemas.openxmlformats.org/officeDocument/2006/customXml" ds:itemID="{FDEF0FA2-6910-4717-B5D2-D507C6DE5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de273-fbcd-43d2-90bc-1a5c0fec2bcb"/>
    <ds:schemaRef ds:uri="01eb180c-16d1-4c18-8f0a-65995c43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8583F-FCB8-487C-9254-CB31C120F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F03B7-2C9E-4259-B16C-51B09FB7BBD0}">
  <ds:schemaRefs>
    <ds:schemaRef ds:uri="http://schemas.microsoft.com/office/2006/metadata/properties"/>
    <ds:schemaRef ds:uri="http://schemas.microsoft.com/office/infopath/2007/PartnerControls"/>
    <ds:schemaRef ds:uri="01eb180c-16d1-4c18-8f0a-65995c4305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955</Words>
  <Characters>6023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Bielicki, Isabella Naomi</dc:creator>
  <cp:keywords/>
  <dc:description/>
  <cp:lastModifiedBy>Bielicki, Isabella Naomi</cp:lastModifiedBy>
  <cp:revision>2</cp:revision>
  <dcterms:created xsi:type="dcterms:W3CDTF">2025-07-06T08:52:00Z</dcterms:created>
  <dcterms:modified xsi:type="dcterms:W3CDTF">2025-07-06T08:52:00Z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0x010100D73B5DF8750E7D4AB522E3F1023638A5</vt:lpwstr>
  </property>
</Properties>
</file>