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333B" w14:textId="6878EEA4" w:rsidR="00913C44" w:rsidRPr="00F955F7" w:rsidRDefault="00A67954" w:rsidP="00F955F7">
      <w:pPr>
        <w:jc w:val="center"/>
        <w:rPr>
          <w:rStyle w:val="Strong"/>
          <w:rFonts w:ascii="Aptos" w:hAnsi="Aptos"/>
          <w:sz w:val="28"/>
          <w:szCs w:val="28"/>
        </w:rPr>
      </w:pPr>
      <w:r w:rsidRPr="001B5F4D">
        <w:rPr>
          <w:rFonts w:ascii="Aptos" w:hAnsi="Aptos"/>
          <w:b/>
          <w:bCs/>
          <w:sz w:val="28"/>
          <w:szCs w:val="28"/>
        </w:rPr>
        <w:t>Patient Experiences of Gender Identity and Inflammatory Bowel Disease: A Focus Group Study</w:t>
      </w:r>
    </w:p>
    <w:p w14:paraId="7BE29F60" w14:textId="76F32706" w:rsidR="00B61333" w:rsidRDefault="00830DFD" w:rsidP="00B61333">
      <w:pPr>
        <w:pStyle w:val="NormalWeb"/>
        <w:contextualSpacing/>
        <w:rPr>
          <w:rStyle w:val="Strong"/>
          <w:rFonts w:ascii="Aptos" w:eastAsiaTheme="majorEastAsia" w:hAnsi="Aptos"/>
        </w:rPr>
      </w:pPr>
      <w:r>
        <w:rPr>
          <w:rStyle w:val="Strong"/>
          <w:rFonts w:ascii="Aptos" w:eastAsiaTheme="majorEastAsia" w:hAnsi="Aptos"/>
        </w:rPr>
        <w:t>ABSTRACT</w:t>
      </w:r>
    </w:p>
    <w:p w14:paraId="00FAEE9C" w14:textId="1D7D1386" w:rsidR="00830DFD" w:rsidRPr="00830DFD" w:rsidRDefault="00830DFD" w:rsidP="00B61333">
      <w:pPr>
        <w:pStyle w:val="NormalWeb"/>
        <w:contextualSpacing/>
        <w:rPr>
          <w:rStyle w:val="Strong"/>
          <w:rFonts w:ascii="Aptos" w:eastAsiaTheme="majorEastAsia" w:hAnsi="Aptos"/>
        </w:rPr>
      </w:pPr>
      <w:r>
        <w:rPr>
          <w:rStyle w:val="Strong"/>
          <w:rFonts w:ascii="Aptos" w:eastAsiaTheme="majorEastAsia" w:hAnsi="Aptos"/>
        </w:rPr>
        <w:t>Objective</w:t>
      </w:r>
    </w:p>
    <w:p w14:paraId="517A6CC4" w14:textId="6002A1E8" w:rsidR="00830DFD" w:rsidRDefault="00830DFD" w:rsidP="00B61333">
      <w:pPr>
        <w:pStyle w:val="NormalWeb"/>
        <w:contextualSpacing/>
        <w:rPr>
          <w:rStyle w:val="Strong"/>
          <w:rFonts w:ascii="Aptos" w:eastAsiaTheme="majorEastAsia" w:hAnsi="Aptos"/>
        </w:rPr>
      </w:pPr>
      <w:r>
        <w:rPr>
          <w:rFonts w:ascii="Aptos" w:hAnsi="Aptos"/>
        </w:rPr>
        <w:t xml:space="preserve">Individuals who identify as transgender or gender non-conforming (TGNC) number approximately 262,000 in England and Wales. However, they are under-represented in healthcare </w:t>
      </w:r>
      <w:proofErr w:type="gramStart"/>
      <w:r>
        <w:rPr>
          <w:rFonts w:ascii="Aptos" w:hAnsi="Aptos"/>
        </w:rPr>
        <w:t>research</w:t>
      </w:r>
      <w:proofErr w:type="gramEnd"/>
      <w:r>
        <w:rPr>
          <w:rFonts w:ascii="Aptos" w:hAnsi="Aptos"/>
        </w:rPr>
        <w:t xml:space="preserve"> and little is known about their experiences managing a chronic health condition and their unique needs. Inflammatory bowel disease (IBD) is a chronic inflammatory condition of the gastrointestinal tract which can lead to long-term complications such as surgery and colorectal cancer. Ensuring a positive patient experience is crucial to maintain good adherence with medical therapy and compliance with regular invasive surveillance procedures to reduce the risks of these occurring. However, there is no data on the experiences of people who identify as TGNC and who suffer from IBD (TGNC-IBD) when engaging with IBD healthcare services.</w:t>
      </w:r>
      <w:r w:rsidR="00B97260">
        <w:rPr>
          <w:rFonts w:ascii="Aptos" w:hAnsi="Aptos"/>
        </w:rPr>
        <w:t xml:space="preserve"> Our focus group aimed to provide qualitative data on the experiences of this population.</w:t>
      </w:r>
    </w:p>
    <w:p w14:paraId="2F9E772D" w14:textId="77777777" w:rsidR="00830DFD" w:rsidRDefault="00830DFD" w:rsidP="00B61333">
      <w:pPr>
        <w:pStyle w:val="NormalWeb"/>
        <w:contextualSpacing/>
        <w:rPr>
          <w:rStyle w:val="Strong"/>
          <w:rFonts w:ascii="Aptos" w:eastAsiaTheme="majorEastAsia" w:hAnsi="Aptos"/>
        </w:rPr>
      </w:pPr>
    </w:p>
    <w:p w14:paraId="7F3D4154" w14:textId="1A0377C4" w:rsidR="00830DFD" w:rsidRPr="00830DFD" w:rsidRDefault="00830DFD" w:rsidP="00B61333">
      <w:pPr>
        <w:pStyle w:val="NormalWeb"/>
        <w:contextualSpacing/>
        <w:rPr>
          <w:rStyle w:val="Strong"/>
          <w:rFonts w:ascii="Aptos" w:eastAsiaTheme="majorEastAsia" w:hAnsi="Aptos"/>
        </w:rPr>
      </w:pPr>
      <w:r w:rsidRPr="00830DFD">
        <w:rPr>
          <w:rStyle w:val="Strong"/>
          <w:rFonts w:ascii="Aptos" w:eastAsiaTheme="majorEastAsia" w:hAnsi="Aptos"/>
        </w:rPr>
        <w:t>Methods</w:t>
      </w:r>
    </w:p>
    <w:p w14:paraId="34CA56C7" w14:textId="248833C1" w:rsidR="00830DFD" w:rsidRDefault="00830DFD" w:rsidP="00B61333">
      <w:pPr>
        <w:pStyle w:val="NormalWeb"/>
        <w:contextualSpacing/>
        <w:rPr>
          <w:rStyle w:val="Strong"/>
          <w:rFonts w:ascii="Aptos" w:eastAsiaTheme="majorEastAsia" w:hAnsi="Aptos"/>
        </w:rPr>
      </w:pPr>
      <w:r>
        <w:rPr>
          <w:rFonts w:ascii="Aptos" w:hAnsi="Aptos"/>
        </w:rPr>
        <w:t>Following established qualitative research processes, and through work with Crohn’s and Colitis UK, we held a focus group with TGNC-IBD individuals to gain, for the first time in the United Kingdom, patient-centred insight into their experiences engaging with IBD services and highlight areas that need improving.</w:t>
      </w:r>
    </w:p>
    <w:p w14:paraId="38E8231D" w14:textId="491B97EA" w:rsidR="00830DFD" w:rsidRPr="00830DFD" w:rsidRDefault="00830DFD" w:rsidP="00B61333">
      <w:pPr>
        <w:pStyle w:val="NormalWeb"/>
        <w:contextualSpacing/>
        <w:rPr>
          <w:rStyle w:val="Strong"/>
          <w:rFonts w:ascii="Aptos" w:eastAsiaTheme="majorEastAsia" w:hAnsi="Aptos"/>
        </w:rPr>
      </w:pPr>
      <w:r>
        <w:rPr>
          <w:rStyle w:val="Strong"/>
          <w:rFonts w:ascii="Aptos" w:eastAsiaTheme="majorEastAsia" w:hAnsi="Aptos"/>
        </w:rPr>
        <w:br/>
      </w:r>
      <w:r w:rsidRPr="00830DFD">
        <w:rPr>
          <w:rStyle w:val="Strong"/>
          <w:rFonts w:ascii="Aptos" w:eastAsiaTheme="majorEastAsia" w:hAnsi="Aptos"/>
        </w:rPr>
        <w:t>Results</w:t>
      </w:r>
    </w:p>
    <w:p w14:paraId="11091710" w14:textId="146659B4" w:rsidR="00830DFD" w:rsidRDefault="00830DFD" w:rsidP="00B61333">
      <w:pPr>
        <w:pStyle w:val="NormalWeb"/>
        <w:contextualSpacing/>
        <w:rPr>
          <w:rStyle w:val="Strong"/>
          <w:rFonts w:ascii="Aptos" w:eastAsiaTheme="majorEastAsia" w:hAnsi="Aptos"/>
        </w:rPr>
      </w:pPr>
      <w:r>
        <w:rPr>
          <w:rFonts w:ascii="Aptos" w:hAnsi="Aptos"/>
        </w:rPr>
        <w:t>Common themes identified were healthcare professionals making assumptions regarding gender identity, poor mental health support, a lack of research</w:t>
      </w:r>
      <w:r w:rsidR="007D7514">
        <w:rPr>
          <w:rFonts w:ascii="Aptos" w:hAnsi="Aptos"/>
        </w:rPr>
        <w:t xml:space="preserve"> into TGNC-IBD individuals</w:t>
      </w:r>
      <w:r>
        <w:rPr>
          <w:rFonts w:ascii="Aptos" w:hAnsi="Aptos"/>
        </w:rPr>
        <w:t xml:space="preserve"> and poor facilities.</w:t>
      </w:r>
    </w:p>
    <w:p w14:paraId="6CDB0761" w14:textId="1803C4D9" w:rsidR="00830DFD" w:rsidRPr="00830DFD" w:rsidRDefault="00830DFD" w:rsidP="00B61333">
      <w:pPr>
        <w:pStyle w:val="NormalWeb"/>
        <w:contextualSpacing/>
        <w:rPr>
          <w:rFonts w:ascii="Aptos" w:hAnsi="Aptos"/>
        </w:rPr>
      </w:pPr>
      <w:r>
        <w:rPr>
          <w:rStyle w:val="Strong"/>
          <w:rFonts w:ascii="Aptos" w:eastAsiaTheme="majorEastAsia" w:hAnsi="Aptos"/>
        </w:rPr>
        <w:br/>
      </w:r>
      <w:r w:rsidRPr="00830DFD">
        <w:rPr>
          <w:rStyle w:val="Strong"/>
          <w:rFonts w:ascii="Aptos" w:eastAsiaTheme="majorEastAsia" w:hAnsi="Aptos"/>
        </w:rPr>
        <w:t>Conclusion</w:t>
      </w:r>
    </w:p>
    <w:p w14:paraId="5685468B" w14:textId="46AAEB77" w:rsidR="00B61333" w:rsidRPr="001B5F4D" w:rsidRDefault="00B61333" w:rsidP="00B61333">
      <w:pPr>
        <w:pStyle w:val="NormalWeb"/>
        <w:contextualSpacing/>
        <w:rPr>
          <w:rFonts w:ascii="Aptos" w:hAnsi="Aptos"/>
        </w:rPr>
      </w:pPr>
      <w:r w:rsidRPr="001B5F4D">
        <w:rPr>
          <w:rFonts w:ascii="Aptos" w:hAnsi="Aptos"/>
        </w:rPr>
        <w:t>The findings underscore the need for improved training for healthcare providers</w:t>
      </w:r>
      <w:r w:rsidR="00E86294">
        <w:rPr>
          <w:rFonts w:ascii="Aptos" w:hAnsi="Aptos"/>
        </w:rPr>
        <w:t xml:space="preserve"> and modification to IBD services as well as </w:t>
      </w:r>
      <w:r w:rsidRPr="001B5F4D">
        <w:rPr>
          <w:rFonts w:ascii="Aptos" w:hAnsi="Aptos"/>
        </w:rPr>
        <w:t xml:space="preserve">further research to address the unique needs of TGNC-IBD individuals. </w:t>
      </w:r>
    </w:p>
    <w:p w14:paraId="10FDFE1D" w14:textId="77777777" w:rsidR="00B61333" w:rsidRDefault="00B61333">
      <w:pPr>
        <w:rPr>
          <w:rFonts w:ascii="Aptos" w:hAnsi="Aptos"/>
        </w:rPr>
      </w:pPr>
    </w:p>
    <w:p w14:paraId="27B6ABC2" w14:textId="77777777" w:rsidR="00F955F7" w:rsidRDefault="00F955F7">
      <w:pPr>
        <w:rPr>
          <w:rFonts w:ascii="Aptos" w:hAnsi="Aptos"/>
        </w:rPr>
      </w:pPr>
    </w:p>
    <w:p w14:paraId="5120FE71" w14:textId="77777777" w:rsidR="00F955F7" w:rsidRDefault="00F955F7">
      <w:pPr>
        <w:rPr>
          <w:rFonts w:ascii="Aptos" w:hAnsi="Aptos"/>
        </w:rPr>
      </w:pPr>
    </w:p>
    <w:p w14:paraId="7476ABF5" w14:textId="77777777" w:rsidR="00F955F7" w:rsidRDefault="00F955F7">
      <w:pPr>
        <w:rPr>
          <w:rFonts w:ascii="Aptos" w:hAnsi="Aptos"/>
        </w:rPr>
      </w:pPr>
    </w:p>
    <w:p w14:paraId="7F97028D" w14:textId="77777777" w:rsidR="00F955F7" w:rsidRDefault="00F955F7">
      <w:pPr>
        <w:rPr>
          <w:rFonts w:ascii="Aptos" w:hAnsi="Aptos"/>
        </w:rPr>
      </w:pPr>
    </w:p>
    <w:p w14:paraId="2C577A18" w14:textId="77777777" w:rsidR="00F955F7" w:rsidRDefault="00F955F7">
      <w:pPr>
        <w:rPr>
          <w:rFonts w:ascii="Aptos" w:hAnsi="Aptos"/>
        </w:rPr>
      </w:pPr>
    </w:p>
    <w:p w14:paraId="4B4FE490" w14:textId="77777777" w:rsidR="00F955F7" w:rsidRDefault="00F955F7">
      <w:pPr>
        <w:rPr>
          <w:rFonts w:ascii="Aptos" w:hAnsi="Aptos"/>
        </w:rPr>
      </w:pPr>
    </w:p>
    <w:p w14:paraId="4C4FBFD5" w14:textId="77777777" w:rsidR="00F955F7" w:rsidRDefault="00F955F7">
      <w:pPr>
        <w:rPr>
          <w:rFonts w:ascii="Aptos" w:hAnsi="Aptos"/>
        </w:rPr>
      </w:pPr>
    </w:p>
    <w:p w14:paraId="693FB4A5" w14:textId="77777777" w:rsidR="00F955F7" w:rsidRDefault="00F955F7">
      <w:pPr>
        <w:rPr>
          <w:rFonts w:ascii="Aptos" w:hAnsi="Aptos"/>
        </w:rPr>
      </w:pPr>
    </w:p>
    <w:p w14:paraId="0711F137" w14:textId="77777777" w:rsidR="00F955F7" w:rsidRDefault="00F955F7">
      <w:pPr>
        <w:rPr>
          <w:rFonts w:ascii="Aptos" w:hAnsi="Aptos"/>
        </w:rPr>
      </w:pPr>
    </w:p>
    <w:p w14:paraId="26C59439" w14:textId="77777777" w:rsidR="00F955F7" w:rsidRDefault="00F955F7">
      <w:pPr>
        <w:rPr>
          <w:rFonts w:ascii="Aptos" w:hAnsi="Aptos"/>
        </w:rPr>
      </w:pPr>
    </w:p>
    <w:p w14:paraId="58108C75" w14:textId="77777777" w:rsidR="00F955F7" w:rsidRDefault="00F955F7">
      <w:pPr>
        <w:rPr>
          <w:rFonts w:ascii="Aptos" w:hAnsi="Aptos"/>
        </w:rPr>
      </w:pPr>
    </w:p>
    <w:p w14:paraId="473D70D3" w14:textId="77777777" w:rsidR="00F955F7" w:rsidRDefault="00F955F7">
      <w:pPr>
        <w:rPr>
          <w:rFonts w:ascii="Aptos" w:hAnsi="Aptos"/>
        </w:rPr>
      </w:pPr>
    </w:p>
    <w:p w14:paraId="43552D8A" w14:textId="77777777" w:rsidR="0084182B" w:rsidRPr="001B5F4D" w:rsidRDefault="0084182B">
      <w:pPr>
        <w:rPr>
          <w:rFonts w:ascii="Aptos" w:hAnsi="Aptos"/>
        </w:rPr>
      </w:pPr>
    </w:p>
    <w:p w14:paraId="54AF0242" w14:textId="43440326" w:rsidR="009E5D95" w:rsidRDefault="009E5D95">
      <w:pPr>
        <w:rPr>
          <w:rFonts w:ascii="Aptos" w:hAnsi="Aptos"/>
          <w:b/>
          <w:bCs/>
        </w:rPr>
      </w:pPr>
      <w:r>
        <w:rPr>
          <w:rFonts w:ascii="Aptos" w:hAnsi="Aptos"/>
          <w:b/>
          <w:bCs/>
        </w:rPr>
        <w:lastRenderedPageBreak/>
        <w:t>KEY POINTS</w:t>
      </w:r>
    </w:p>
    <w:p w14:paraId="777D0A74" w14:textId="3939B329" w:rsidR="009E5D95" w:rsidRDefault="009E5D95">
      <w:pPr>
        <w:rPr>
          <w:rFonts w:ascii="Aptos" w:hAnsi="Aptos"/>
        </w:rPr>
      </w:pPr>
      <w:r>
        <w:rPr>
          <w:rFonts w:ascii="Aptos" w:hAnsi="Aptos"/>
          <w:b/>
          <w:bCs/>
        </w:rPr>
        <w:t xml:space="preserve">What is already known on this topic – </w:t>
      </w:r>
      <w:r>
        <w:rPr>
          <w:rFonts w:ascii="Aptos" w:hAnsi="Aptos"/>
        </w:rPr>
        <w:t xml:space="preserve">There is no published data on the experience transgender and gender non-conforming individuals who suffer from IBD when engaging with healthcare services. </w:t>
      </w:r>
    </w:p>
    <w:p w14:paraId="538059C6" w14:textId="77777777" w:rsidR="009E5D95" w:rsidRDefault="009E5D95">
      <w:pPr>
        <w:rPr>
          <w:rFonts w:ascii="Aptos" w:hAnsi="Aptos"/>
        </w:rPr>
      </w:pPr>
    </w:p>
    <w:p w14:paraId="04FA6508" w14:textId="5D9EE3F5" w:rsidR="009E5D95" w:rsidRDefault="009E5D95">
      <w:pPr>
        <w:rPr>
          <w:rFonts w:ascii="Aptos" w:hAnsi="Aptos"/>
        </w:rPr>
      </w:pPr>
      <w:r w:rsidRPr="009E5D95">
        <w:rPr>
          <w:rFonts w:ascii="Aptos" w:hAnsi="Aptos"/>
          <w:b/>
          <w:bCs/>
        </w:rPr>
        <w:t xml:space="preserve">What this study adds </w:t>
      </w:r>
      <w:r>
        <w:rPr>
          <w:rFonts w:ascii="Aptos" w:hAnsi="Aptos"/>
          <w:b/>
          <w:bCs/>
        </w:rPr>
        <w:t>–</w:t>
      </w:r>
      <w:r w:rsidRPr="009E5D95">
        <w:rPr>
          <w:rFonts w:ascii="Aptos" w:hAnsi="Aptos"/>
          <w:b/>
          <w:bCs/>
        </w:rPr>
        <w:t xml:space="preserve"> </w:t>
      </w:r>
      <w:r>
        <w:rPr>
          <w:rFonts w:ascii="Aptos" w:hAnsi="Aptos"/>
        </w:rPr>
        <w:t>Our study identifies several issues that recurrently cause negative experiences for these patients when engaging with healthcare services. These included assumptions by healthcare workers about gender identity, a lack of training and poor mental health provision.</w:t>
      </w:r>
    </w:p>
    <w:p w14:paraId="084F6852" w14:textId="77777777" w:rsidR="009E5D95" w:rsidRDefault="009E5D95">
      <w:pPr>
        <w:rPr>
          <w:rFonts w:ascii="Aptos" w:hAnsi="Aptos"/>
        </w:rPr>
      </w:pPr>
    </w:p>
    <w:p w14:paraId="1CD34753" w14:textId="0F320F05" w:rsidR="00B61333" w:rsidRPr="00677B9A" w:rsidRDefault="009E5D95">
      <w:pPr>
        <w:rPr>
          <w:rFonts w:ascii="Aptos" w:hAnsi="Aptos"/>
        </w:rPr>
      </w:pPr>
      <w:r w:rsidRPr="009A6A70">
        <w:rPr>
          <w:rFonts w:ascii="Aptos" w:hAnsi="Aptos"/>
          <w:b/>
          <w:bCs/>
        </w:rPr>
        <w:t xml:space="preserve">How this study might affect research, practice or policy </w:t>
      </w:r>
      <w:r w:rsidR="008D0692">
        <w:rPr>
          <w:rFonts w:ascii="Aptos" w:hAnsi="Aptos"/>
          <w:b/>
          <w:bCs/>
        </w:rPr>
        <w:t xml:space="preserve">– </w:t>
      </w:r>
      <w:r w:rsidR="008D0692" w:rsidRPr="00677B9A">
        <w:rPr>
          <w:rFonts w:ascii="Aptos" w:hAnsi="Aptos"/>
        </w:rPr>
        <w:t xml:space="preserve">This study identifies </w:t>
      </w:r>
      <w:r w:rsidR="00677B9A" w:rsidRPr="00677B9A">
        <w:rPr>
          <w:rFonts w:ascii="Aptos" w:hAnsi="Aptos"/>
        </w:rPr>
        <w:t>simple</w:t>
      </w:r>
      <w:r w:rsidR="008D0692" w:rsidRPr="00677B9A">
        <w:rPr>
          <w:rFonts w:ascii="Aptos" w:hAnsi="Aptos"/>
        </w:rPr>
        <w:t xml:space="preserve"> changes to practice, such as asking for preferred pronouns, that can improve patient experience and build</w:t>
      </w:r>
      <w:r w:rsidR="008D7170" w:rsidRPr="00677B9A">
        <w:rPr>
          <w:rFonts w:ascii="Aptos" w:hAnsi="Aptos"/>
        </w:rPr>
        <w:t xml:space="preserve"> </w:t>
      </w:r>
      <w:r w:rsidR="00677B9A" w:rsidRPr="00677B9A">
        <w:rPr>
          <w:rFonts w:ascii="Aptos" w:hAnsi="Aptos"/>
        </w:rPr>
        <w:t>trust and rapport. It also highlights areas where evidence is lacking and the need for greater representation of gender non-conforming individuals in healthcare research.</w:t>
      </w:r>
    </w:p>
    <w:p w14:paraId="33477CF0" w14:textId="77777777" w:rsidR="00384F16" w:rsidRDefault="00384F16">
      <w:pPr>
        <w:rPr>
          <w:rFonts w:ascii="Aptos" w:hAnsi="Aptos"/>
          <w:b/>
          <w:bCs/>
        </w:rPr>
      </w:pPr>
    </w:p>
    <w:p w14:paraId="6BF01377" w14:textId="77777777" w:rsidR="00F955F7" w:rsidRDefault="00F955F7">
      <w:pPr>
        <w:rPr>
          <w:rFonts w:ascii="Aptos" w:hAnsi="Aptos"/>
          <w:b/>
          <w:bCs/>
        </w:rPr>
      </w:pPr>
    </w:p>
    <w:p w14:paraId="6CCDF4EC" w14:textId="77777777" w:rsidR="00F955F7" w:rsidRDefault="00F955F7">
      <w:pPr>
        <w:rPr>
          <w:rFonts w:ascii="Aptos" w:hAnsi="Aptos"/>
          <w:b/>
          <w:bCs/>
        </w:rPr>
      </w:pPr>
    </w:p>
    <w:p w14:paraId="2B86BE1E" w14:textId="77777777" w:rsidR="00F955F7" w:rsidRDefault="00F955F7">
      <w:pPr>
        <w:rPr>
          <w:rFonts w:ascii="Aptos" w:hAnsi="Aptos"/>
          <w:b/>
          <w:bCs/>
        </w:rPr>
      </w:pPr>
    </w:p>
    <w:p w14:paraId="6AF67D15" w14:textId="77777777" w:rsidR="00F955F7" w:rsidRDefault="00F955F7">
      <w:pPr>
        <w:rPr>
          <w:rFonts w:ascii="Aptos" w:hAnsi="Aptos"/>
          <w:b/>
          <w:bCs/>
        </w:rPr>
      </w:pPr>
    </w:p>
    <w:p w14:paraId="0BDB2FD7" w14:textId="77777777" w:rsidR="00F955F7" w:rsidRDefault="00F955F7">
      <w:pPr>
        <w:rPr>
          <w:rFonts w:ascii="Aptos" w:hAnsi="Aptos"/>
          <w:b/>
          <w:bCs/>
        </w:rPr>
      </w:pPr>
    </w:p>
    <w:p w14:paraId="573B4AA3" w14:textId="77777777" w:rsidR="00F955F7" w:rsidRDefault="00F955F7">
      <w:pPr>
        <w:rPr>
          <w:rFonts w:ascii="Aptos" w:hAnsi="Aptos"/>
          <w:b/>
          <w:bCs/>
        </w:rPr>
      </w:pPr>
    </w:p>
    <w:p w14:paraId="79754E34" w14:textId="77777777" w:rsidR="00F955F7" w:rsidRDefault="00F955F7">
      <w:pPr>
        <w:rPr>
          <w:rFonts w:ascii="Aptos" w:hAnsi="Aptos"/>
          <w:b/>
          <w:bCs/>
        </w:rPr>
      </w:pPr>
    </w:p>
    <w:p w14:paraId="2FB5BB62" w14:textId="77777777" w:rsidR="00F955F7" w:rsidRDefault="00F955F7">
      <w:pPr>
        <w:rPr>
          <w:rFonts w:ascii="Aptos" w:hAnsi="Aptos"/>
          <w:b/>
          <w:bCs/>
        </w:rPr>
      </w:pPr>
    </w:p>
    <w:p w14:paraId="2E8CCBBC" w14:textId="77777777" w:rsidR="00F955F7" w:rsidRDefault="00F955F7">
      <w:pPr>
        <w:rPr>
          <w:rFonts w:ascii="Aptos" w:hAnsi="Aptos"/>
          <w:b/>
          <w:bCs/>
        </w:rPr>
      </w:pPr>
    </w:p>
    <w:p w14:paraId="0202D001" w14:textId="77777777" w:rsidR="00F955F7" w:rsidRDefault="00F955F7">
      <w:pPr>
        <w:rPr>
          <w:rFonts w:ascii="Aptos" w:hAnsi="Aptos"/>
          <w:b/>
          <w:bCs/>
        </w:rPr>
      </w:pPr>
    </w:p>
    <w:p w14:paraId="2F8E0660" w14:textId="77777777" w:rsidR="00F955F7" w:rsidRDefault="00F955F7">
      <w:pPr>
        <w:rPr>
          <w:rFonts w:ascii="Aptos" w:hAnsi="Aptos"/>
          <w:b/>
          <w:bCs/>
        </w:rPr>
      </w:pPr>
    </w:p>
    <w:p w14:paraId="27A11A47" w14:textId="77777777" w:rsidR="00F955F7" w:rsidRDefault="00F955F7">
      <w:pPr>
        <w:rPr>
          <w:rFonts w:ascii="Aptos" w:hAnsi="Aptos"/>
          <w:b/>
          <w:bCs/>
        </w:rPr>
      </w:pPr>
    </w:p>
    <w:p w14:paraId="611F0037" w14:textId="77777777" w:rsidR="00F955F7" w:rsidRDefault="00F955F7">
      <w:pPr>
        <w:rPr>
          <w:rFonts w:ascii="Aptos" w:hAnsi="Aptos"/>
          <w:b/>
          <w:bCs/>
        </w:rPr>
      </w:pPr>
    </w:p>
    <w:p w14:paraId="38995953" w14:textId="77777777" w:rsidR="00F955F7" w:rsidRDefault="00F955F7">
      <w:pPr>
        <w:rPr>
          <w:rFonts w:ascii="Aptos" w:hAnsi="Aptos"/>
          <w:b/>
          <w:bCs/>
        </w:rPr>
      </w:pPr>
    </w:p>
    <w:p w14:paraId="3E6BF4F3" w14:textId="77777777" w:rsidR="00F955F7" w:rsidRDefault="00F955F7">
      <w:pPr>
        <w:rPr>
          <w:rFonts w:ascii="Aptos" w:hAnsi="Aptos"/>
          <w:b/>
          <w:bCs/>
        </w:rPr>
      </w:pPr>
    </w:p>
    <w:p w14:paraId="1017C000" w14:textId="77777777" w:rsidR="00F955F7" w:rsidRDefault="00F955F7">
      <w:pPr>
        <w:rPr>
          <w:rFonts w:ascii="Aptos" w:hAnsi="Aptos"/>
          <w:b/>
          <w:bCs/>
        </w:rPr>
      </w:pPr>
    </w:p>
    <w:p w14:paraId="4006BAB6" w14:textId="77777777" w:rsidR="00F955F7" w:rsidRDefault="00F955F7">
      <w:pPr>
        <w:rPr>
          <w:rFonts w:ascii="Aptos" w:hAnsi="Aptos"/>
          <w:b/>
          <w:bCs/>
        </w:rPr>
      </w:pPr>
    </w:p>
    <w:p w14:paraId="71128900" w14:textId="77777777" w:rsidR="00F955F7" w:rsidRDefault="00F955F7">
      <w:pPr>
        <w:rPr>
          <w:rFonts w:ascii="Aptos" w:hAnsi="Aptos"/>
          <w:b/>
          <w:bCs/>
        </w:rPr>
      </w:pPr>
    </w:p>
    <w:p w14:paraId="0766D156" w14:textId="77777777" w:rsidR="00F955F7" w:rsidRDefault="00F955F7">
      <w:pPr>
        <w:rPr>
          <w:rFonts w:ascii="Aptos" w:hAnsi="Aptos"/>
          <w:b/>
          <w:bCs/>
        </w:rPr>
      </w:pPr>
    </w:p>
    <w:p w14:paraId="65B68769" w14:textId="77777777" w:rsidR="00F955F7" w:rsidRDefault="00F955F7">
      <w:pPr>
        <w:rPr>
          <w:rFonts w:ascii="Aptos" w:hAnsi="Aptos"/>
          <w:b/>
          <w:bCs/>
        </w:rPr>
      </w:pPr>
    </w:p>
    <w:p w14:paraId="0EAFBB8B" w14:textId="77777777" w:rsidR="00F955F7" w:rsidRDefault="00F955F7">
      <w:pPr>
        <w:rPr>
          <w:rFonts w:ascii="Aptos" w:hAnsi="Aptos"/>
          <w:b/>
          <w:bCs/>
        </w:rPr>
      </w:pPr>
    </w:p>
    <w:p w14:paraId="3AE5FAF5" w14:textId="77777777" w:rsidR="00F955F7" w:rsidRDefault="00F955F7">
      <w:pPr>
        <w:rPr>
          <w:rFonts w:ascii="Aptos" w:hAnsi="Aptos"/>
          <w:b/>
          <w:bCs/>
        </w:rPr>
      </w:pPr>
    </w:p>
    <w:p w14:paraId="63EB9E92" w14:textId="77777777" w:rsidR="00F955F7" w:rsidRDefault="00F955F7">
      <w:pPr>
        <w:rPr>
          <w:rFonts w:ascii="Aptos" w:hAnsi="Aptos"/>
          <w:b/>
          <w:bCs/>
        </w:rPr>
      </w:pPr>
    </w:p>
    <w:p w14:paraId="6D9369C8" w14:textId="77777777" w:rsidR="00F955F7" w:rsidRDefault="00F955F7">
      <w:pPr>
        <w:rPr>
          <w:rFonts w:ascii="Aptos" w:hAnsi="Aptos"/>
          <w:b/>
          <w:bCs/>
        </w:rPr>
      </w:pPr>
    </w:p>
    <w:p w14:paraId="09E5CBD6" w14:textId="77777777" w:rsidR="00F955F7" w:rsidRDefault="00F955F7">
      <w:pPr>
        <w:rPr>
          <w:rFonts w:ascii="Aptos" w:hAnsi="Aptos"/>
          <w:b/>
          <w:bCs/>
        </w:rPr>
      </w:pPr>
    </w:p>
    <w:p w14:paraId="7EDFA129" w14:textId="77777777" w:rsidR="00F955F7" w:rsidRDefault="00F955F7">
      <w:pPr>
        <w:rPr>
          <w:rFonts w:ascii="Aptos" w:hAnsi="Aptos"/>
          <w:b/>
          <w:bCs/>
        </w:rPr>
      </w:pPr>
    </w:p>
    <w:p w14:paraId="20347C67" w14:textId="77777777" w:rsidR="00F955F7" w:rsidRDefault="00F955F7">
      <w:pPr>
        <w:rPr>
          <w:rFonts w:ascii="Aptos" w:hAnsi="Aptos"/>
          <w:b/>
          <w:bCs/>
        </w:rPr>
      </w:pPr>
    </w:p>
    <w:p w14:paraId="2E93B499" w14:textId="77777777" w:rsidR="00F955F7" w:rsidRDefault="00F955F7">
      <w:pPr>
        <w:rPr>
          <w:rFonts w:ascii="Aptos" w:hAnsi="Aptos"/>
          <w:b/>
          <w:bCs/>
        </w:rPr>
      </w:pPr>
    </w:p>
    <w:p w14:paraId="2D4F64C4" w14:textId="77777777" w:rsidR="00F955F7" w:rsidRDefault="00F955F7">
      <w:pPr>
        <w:rPr>
          <w:rFonts w:ascii="Aptos" w:hAnsi="Aptos"/>
          <w:b/>
          <w:bCs/>
        </w:rPr>
      </w:pPr>
    </w:p>
    <w:p w14:paraId="3027BD06" w14:textId="77777777" w:rsidR="00F955F7" w:rsidRDefault="00F955F7">
      <w:pPr>
        <w:rPr>
          <w:rFonts w:ascii="Aptos" w:hAnsi="Aptos"/>
          <w:b/>
          <w:bCs/>
        </w:rPr>
      </w:pPr>
    </w:p>
    <w:p w14:paraId="1E776276" w14:textId="77777777" w:rsidR="00F955F7" w:rsidRDefault="00F955F7">
      <w:pPr>
        <w:rPr>
          <w:rFonts w:ascii="Aptos" w:hAnsi="Aptos"/>
          <w:b/>
          <w:bCs/>
        </w:rPr>
      </w:pPr>
    </w:p>
    <w:p w14:paraId="61167BCC" w14:textId="4159F637" w:rsidR="00B44A49" w:rsidRPr="001B5F4D" w:rsidRDefault="00830DFD">
      <w:pPr>
        <w:rPr>
          <w:rFonts w:ascii="Aptos" w:hAnsi="Aptos"/>
          <w:b/>
          <w:bCs/>
        </w:rPr>
      </w:pPr>
      <w:r>
        <w:rPr>
          <w:rFonts w:ascii="Aptos" w:hAnsi="Aptos"/>
          <w:b/>
          <w:bCs/>
        </w:rPr>
        <w:lastRenderedPageBreak/>
        <w:t>INTRODUCTION</w:t>
      </w:r>
    </w:p>
    <w:p w14:paraId="013CD52D" w14:textId="647483EA" w:rsidR="00132308" w:rsidRPr="001B5F4D" w:rsidRDefault="00A82F6C">
      <w:pPr>
        <w:rPr>
          <w:rFonts w:ascii="Aptos" w:hAnsi="Aptos"/>
        </w:rPr>
      </w:pPr>
      <w:r w:rsidRPr="001B5F4D">
        <w:rPr>
          <w:rFonts w:ascii="Aptos" w:hAnsi="Aptos"/>
        </w:rPr>
        <w:t xml:space="preserve">In recent years there has been growing </w:t>
      </w:r>
      <w:r w:rsidR="006B5443" w:rsidRPr="001B5F4D">
        <w:rPr>
          <w:rFonts w:ascii="Aptos" w:hAnsi="Aptos"/>
        </w:rPr>
        <w:t>discussion</w:t>
      </w:r>
      <w:r w:rsidR="009D6610" w:rsidRPr="001B5F4D">
        <w:rPr>
          <w:rFonts w:ascii="Aptos" w:hAnsi="Aptos"/>
        </w:rPr>
        <w:t xml:space="preserve"> around,</w:t>
      </w:r>
      <w:r w:rsidR="006B5443" w:rsidRPr="001B5F4D">
        <w:rPr>
          <w:rFonts w:ascii="Aptos" w:hAnsi="Aptos"/>
        </w:rPr>
        <w:t xml:space="preserve"> and acknowledgement</w:t>
      </w:r>
      <w:r w:rsidRPr="001B5F4D">
        <w:rPr>
          <w:rFonts w:ascii="Aptos" w:hAnsi="Aptos"/>
        </w:rPr>
        <w:t xml:space="preserve"> of</w:t>
      </w:r>
      <w:r w:rsidR="009D6610" w:rsidRPr="001B5F4D">
        <w:rPr>
          <w:rFonts w:ascii="Aptos" w:hAnsi="Aptos"/>
        </w:rPr>
        <w:t>,</w:t>
      </w:r>
      <w:r w:rsidR="006B5443" w:rsidRPr="001B5F4D">
        <w:rPr>
          <w:rFonts w:ascii="Aptos" w:hAnsi="Aptos"/>
        </w:rPr>
        <w:t xml:space="preserve"> the different gender identities</w:t>
      </w:r>
      <w:r w:rsidR="00706F12" w:rsidRPr="001B5F4D">
        <w:rPr>
          <w:rFonts w:ascii="Aptos" w:hAnsi="Aptos"/>
        </w:rPr>
        <w:t xml:space="preserve"> that</w:t>
      </w:r>
      <w:r w:rsidR="006B5443" w:rsidRPr="001B5F4D">
        <w:rPr>
          <w:rFonts w:ascii="Aptos" w:hAnsi="Aptos"/>
        </w:rPr>
        <w:t xml:space="preserve"> people can hold. Data from the 2021 census in England and Wales found </w:t>
      </w:r>
      <w:r w:rsidR="002D1C8C" w:rsidRPr="001B5F4D">
        <w:rPr>
          <w:rFonts w:ascii="Aptos" w:hAnsi="Aptos"/>
        </w:rPr>
        <w:t>approximately 0.5</w:t>
      </w:r>
      <w:r w:rsidR="00B91DD3" w:rsidRPr="001B5F4D">
        <w:rPr>
          <w:rFonts w:ascii="Aptos" w:hAnsi="Aptos"/>
        </w:rPr>
        <w:t>4</w:t>
      </w:r>
      <w:r w:rsidR="002D1C8C" w:rsidRPr="001B5F4D">
        <w:rPr>
          <w:rFonts w:ascii="Aptos" w:hAnsi="Aptos"/>
        </w:rPr>
        <w:t>% of the adult population</w:t>
      </w:r>
      <w:r w:rsidR="00E25BC7">
        <w:rPr>
          <w:rFonts w:ascii="Aptos" w:hAnsi="Aptos"/>
        </w:rPr>
        <w:t>, or 262,000 individuals,</w:t>
      </w:r>
      <w:r w:rsidR="002D1C8C" w:rsidRPr="001B5F4D">
        <w:rPr>
          <w:rFonts w:ascii="Aptos" w:hAnsi="Aptos"/>
        </w:rPr>
        <w:t xml:space="preserve"> identify as transgender or gender non-conforming (TGNC)</w:t>
      </w:r>
      <w:r w:rsidR="00B91DD3" w:rsidRPr="001B5F4D">
        <w:rPr>
          <w:rFonts w:ascii="Aptos" w:hAnsi="Aptos"/>
        </w:rPr>
        <w:fldChar w:fldCharType="begin"/>
      </w:r>
      <w:r w:rsidR="00B91DD3" w:rsidRPr="001B5F4D">
        <w:rPr>
          <w:rFonts w:ascii="Aptos" w:hAnsi="Aptos"/>
        </w:rPr>
        <w:instrText xml:space="preserve"> ADDIN ZOTERO_ITEM CSL_CITATION {"citationID":"7BhJde74","properties":{"formattedCitation":"[1]","plainCitation":"[1]","noteIndex":0},"citationItems":[{"id":168,"uris":["http://zotero.org/users/local/tOUCYacB/items/M3REGNZY"],"itemData":{"id":168,"type":"webpage","title":"Sexual orientation, England and Wales - Office for National Statistics","URL":"https://www.ons.gov.uk/peoplepopulationandcommunity/culturalidentity/sexuality/bulletins/sexualorientationenglandandwales/census2021","accessed":{"date-parts":[["2023",10,24]]}}}],"schema":"https://github.com/citation-style-language/schema/raw/master/csl-citation.json"} </w:instrText>
      </w:r>
      <w:r w:rsidR="00B91DD3" w:rsidRPr="001B5F4D">
        <w:rPr>
          <w:rFonts w:ascii="Aptos" w:hAnsi="Aptos"/>
        </w:rPr>
        <w:fldChar w:fldCharType="separate"/>
      </w:r>
      <w:r w:rsidR="00B91DD3" w:rsidRPr="001B5F4D">
        <w:rPr>
          <w:rFonts w:ascii="Aptos" w:hAnsi="Aptos"/>
          <w:noProof/>
        </w:rPr>
        <w:t>[1]</w:t>
      </w:r>
      <w:r w:rsidR="00B91DD3" w:rsidRPr="001B5F4D">
        <w:rPr>
          <w:rFonts w:ascii="Aptos" w:hAnsi="Aptos"/>
        </w:rPr>
        <w:fldChar w:fldCharType="end"/>
      </w:r>
      <w:r w:rsidR="00B91DD3" w:rsidRPr="001B5F4D">
        <w:rPr>
          <w:rFonts w:ascii="Aptos" w:hAnsi="Aptos"/>
        </w:rPr>
        <w:t xml:space="preserve"> and work by the United States </w:t>
      </w:r>
      <w:r w:rsidR="00383157" w:rsidRPr="001B5F4D">
        <w:rPr>
          <w:rFonts w:ascii="Aptos" w:hAnsi="Aptos"/>
        </w:rPr>
        <w:t xml:space="preserve">of America </w:t>
      </w:r>
      <w:r w:rsidR="00B91DD3" w:rsidRPr="001B5F4D">
        <w:rPr>
          <w:rFonts w:ascii="Aptos" w:hAnsi="Aptos"/>
        </w:rPr>
        <w:t>census bureau produced similar findings.</w:t>
      </w:r>
      <w:r w:rsidR="00B91DD3" w:rsidRPr="001B5F4D">
        <w:rPr>
          <w:rFonts w:ascii="Aptos" w:hAnsi="Aptos"/>
        </w:rPr>
        <w:fldChar w:fldCharType="begin"/>
      </w:r>
      <w:r w:rsidR="00B91DD3" w:rsidRPr="001B5F4D">
        <w:rPr>
          <w:rFonts w:ascii="Aptos" w:hAnsi="Aptos"/>
        </w:rPr>
        <w:instrText xml:space="preserve"> ADDIN ZOTERO_ITEM CSL_CITATION {"citationID":"CEmZ5Qz9","properties":{"formattedCitation":"[2]","plainCitation":"[2]","noteIndex":0},"citationItems":[{"id":597,"uris":["http://zotero.org/users/local/tOUCYacB/items/ENI7TBBR"],"itemData":{"id":597,"type":"webpage","abstract":"Beginning in July 2021, the U.S. Census Bureau included questions regarding sexual orientation and gender identity (SOGI) on it's Household Pulse Survey (HPS).","container-title":"Census.gov","note":"section: Government","title":"Sexual Orientation and Gender Identity in the Household Pulse Survey","URL":"https://www.census.gov/library/visualizations/interactive/sexual-orientation-and-gender-identity.html","author":[{"family":"Bureau","given":"US Census"}],"accessed":{"date-parts":[["2024",4,10]]}}}],"schema":"https://github.com/citation-style-language/schema/raw/master/csl-citation.json"} </w:instrText>
      </w:r>
      <w:r w:rsidR="00B91DD3" w:rsidRPr="001B5F4D">
        <w:rPr>
          <w:rFonts w:ascii="Aptos" w:hAnsi="Aptos"/>
        </w:rPr>
        <w:fldChar w:fldCharType="separate"/>
      </w:r>
      <w:r w:rsidR="00B91DD3" w:rsidRPr="001B5F4D">
        <w:rPr>
          <w:rFonts w:ascii="Aptos" w:hAnsi="Aptos"/>
          <w:noProof/>
        </w:rPr>
        <w:t>[2]</w:t>
      </w:r>
      <w:r w:rsidR="00B91DD3" w:rsidRPr="001B5F4D">
        <w:rPr>
          <w:rFonts w:ascii="Aptos" w:hAnsi="Aptos"/>
        </w:rPr>
        <w:fldChar w:fldCharType="end"/>
      </w:r>
      <w:r w:rsidR="00B91DD3" w:rsidRPr="001B5F4D">
        <w:rPr>
          <w:rFonts w:ascii="Aptos" w:hAnsi="Aptos"/>
        </w:rPr>
        <w:t xml:space="preserve"> </w:t>
      </w:r>
      <w:r w:rsidR="00E94EF3">
        <w:rPr>
          <w:rFonts w:ascii="Aptos" w:hAnsi="Aptos"/>
        </w:rPr>
        <w:t xml:space="preserve">In </w:t>
      </w:r>
      <w:r w:rsidR="001D0189">
        <w:rPr>
          <w:rFonts w:ascii="Aptos" w:hAnsi="Aptos"/>
        </w:rPr>
        <w:t>this</w:t>
      </w:r>
      <w:r w:rsidR="00E94EF3">
        <w:rPr>
          <w:rFonts w:ascii="Aptos" w:hAnsi="Aptos"/>
        </w:rPr>
        <w:t xml:space="preserve"> study, TGNC</w:t>
      </w:r>
      <w:r w:rsidR="001D0189">
        <w:rPr>
          <w:rFonts w:ascii="Aptos" w:hAnsi="Aptos"/>
        </w:rPr>
        <w:t xml:space="preserve"> is used</w:t>
      </w:r>
      <w:r w:rsidR="00E94EF3">
        <w:rPr>
          <w:rFonts w:ascii="Aptos" w:hAnsi="Aptos"/>
        </w:rPr>
        <w:t xml:space="preserve"> as an umbrella term to encompass transgender individuals, whose </w:t>
      </w:r>
      <w:r w:rsidR="00B948BA">
        <w:rPr>
          <w:rFonts w:ascii="Aptos" w:hAnsi="Aptos"/>
        </w:rPr>
        <w:t>self-identified</w:t>
      </w:r>
      <w:r w:rsidR="00E94EF3">
        <w:rPr>
          <w:rFonts w:ascii="Aptos" w:hAnsi="Aptos"/>
        </w:rPr>
        <w:t xml:space="preserve"> gender identity does not align with their assigned sex at birth, and individuals </w:t>
      </w:r>
      <w:r w:rsidRPr="001B5F4D">
        <w:rPr>
          <w:rFonts w:ascii="Aptos" w:hAnsi="Aptos"/>
        </w:rPr>
        <w:t xml:space="preserve"> </w:t>
      </w:r>
      <w:r w:rsidR="00E94EF3">
        <w:rPr>
          <w:rFonts w:ascii="Aptos" w:hAnsi="Aptos"/>
        </w:rPr>
        <w:t xml:space="preserve">who express their gender in ways that deviate from societal norms and expectations of their assigned sex. </w:t>
      </w:r>
      <w:r w:rsidR="00B91DD3" w:rsidRPr="001B5F4D">
        <w:rPr>
          <w:rFonts w:ascii="Aptos" w:hAnsi="Aptos"/>
        </w:rPr>
        <w:t xml:space="preserve">Despite </w:t>
      </w:r>
      <w:r w:rsidR="001D0189">
        <w:rPr>
          <w:rFonts w:ascii="Aptos" w:hAnsi="Aptos"/>
        </w:rPr>
        <w:t>significant populations of TGNC people</w:t>
      </w:r>
      <w:r w:rsidR="00B91DD3" w:rsidRPr="001B5F4D">
        <w:rPr>
          <w:rFonts w:ascii="Aptos" w:hAnsi="Aptos"/>
        </w:rPr>
        <w:t xml:space="preserve">, </w:t>
      </w:r>
      <w:r w:rsidR="00132308" w:rsidRPr="001B5F4D">
        <w:rPr>
          <w:rFonts w:ascii="Aptos" w:hAnsi="Aptos"/>
        </w:rPr>
        <w:t xml:space="preserve">knowledge of </w:t>
      </w:r>
      <w:r w:rsidR="001D0189">
        <w:rPr>
          <w:rFonts w:ascii="Aptos" w:hAnsi="Aptos"/>
        </w:rPr>
        <w:t>their</w:t>
      </w:r>
      <w:r w:rsidR="00132308" w:rsidRPr="001B5F4D">
        <w:rPr>
          <w:rFonts w:ascii="Aptos" w:hAnsi="Aptos"/>
        </w:rPr>
        <w:t xml:space="preserve"> experiences when engaging with healthcare is poor particularly with regards to chronic disease.</w:t>
      </w:r>
    </w:p>
    <w:p w14:paraId="234E4013" w14:textId="77777777" w:rsidR="00132308" w:rsidRPr="001B5F4D" w:rsidRDefault="00132308">
      <w:pPr>
        <w:rPr>
          <w:rFonts w:ascii="Aptos" w:hAnsi="Aptos"/>
        </w:rPr>
      </w:pPr>
    </w:p>
    <w:p w14:paraId="44ACB6EF" w14:textId="3E3CBB12" w:rsidR="00A67954" w:rsidRPr="001B5F4D" w:rsidRDefault="00A82F6C" w:rsidP="00A67954">
      <w:pPr>
        <w:rPr>
          <w:rFonts w:ascii="Aptos" w:hAnsi="Aptos"/>
        </w:rPr>
      </w:pPr>
      <w:r w:rsidRPr="001B5F4D">
        <w:rPr>
          <w:rFonts w:ascii="Aptos" w:hAnsi="Aptos"/>
        </w:rPr>
        <w:t xml:space="preserve">Inflammatory bowel disease (IBD) is a chronic-relapsing and remitting condition which </w:t>
      </w:r>
      <w:r w:rsidR="00132308" w:rsidRPr="001B5F4D">
        <w:rPr>
          <w:rFonts w:ascii="Aptos" w:hAnsi="Aptos"/>
        </w:rPr>
        <w:t>encompasses Ulcerative Colitis</w:t>
      </w:r>
      <w:r w:rsidR="009D6610" w:rsidRPr="001B5F4D">
        <w:rPr>
          <w:rFonts w:ascii="Aptos" w:hAnsi="Aptos"/>
        </w:rPr>
        <w:t xml:space="preserve"> (UC)</w:t>
      </w:r>
      <w:r w:rsidR="00132308" w:rsidRPr="001B5F4D">
        <w:rPr>
          <w:rFonts w:ascii="Aptos" w:hAnsi="Aptos"/>
        </w:rPr>
        <w:t>, Crohn’s disease</w:t>
      </w:r>
      <w:r w:rsidR="009D6610" w:rsidRPr="001B5F4D">
        <w:rPr>
          <w:rFonts w:ascii="Aptos" w:hAnsi="Aptos"/>
        </w:rPr>
        <w:t xml:space="preserve"> (CD)</w:t>
      </w:r>
      <w:r w:rsidR="00132308" w:rsidRPr="001B5F4D">
        <w:rPr>
          <w:rFonts w:ascii="Aptos" w:hAnsi="Aptos"/>
        </w:rPr>
        <w:t xml:space="preserve"> and IBD-unclassified</w:t>
      </w:r>
      <w:r w:rsidR="009D6610" w:rsidRPr="001B5F4D">
        <w:rPr>
          <w:rFonts w:ascii="Aptos" w:hAnsi="Aptos"/>
        </w:rPr>
        <w:t xml:space="preserve"> (IBD</w:t>
      </w:r>
      <w:r w:rsidR="000D4410" w:rsidRPr="001B5F4D">
        <w:rPr>
          <w:rFonts w:ascii="Aptos" w:hAnsi="Aptos"/>
        </w:rPr>
        <w:t>-</w:t>
      </w:r>
      <w:r w:rsidR="009D6610" w:rsidRPr="001B5F4D">
        <w:rPr>
          <w:rFonts w:ascii="Aptos" w:hAnsi="Aptos"/>
        </w:rPr>
        <w:t>U)</w:t>
      </w:r>
      <w:r w:rsidR="00132308" w:rsidRPr="001B5F4D">
        <w:rPr>
          <w:rFonts w:ascii="Aptos" w:hAnsi="Aptos"/>
        </w:rPr>
        <w:t xml:space="preserve"> and </w:t>
      </w:r>
      <w:r w:rsidRPr="001B5F4D">
        <w:rPr>
          <w:rFonts w:ascii="Aptos" w:hAnsi="Aptos"/>
        </w:rPr>
        <w:t>affects approximately 1:123 individuals in the United Kingdom (UK)</w:t>
      </w:r>
      <w:r w:rsidR="009D6610" w:rsidRPr="001B5F4D">
        <w:rPr>
          <w:rFonts w:ascii="Aptos" w:hAnsi="Aptos"/>
        </w:rPr>
        <w:t>.</w:t>
      </w:r>
      <w:r w:rsidRPr="001B5F4D">
        <w:rPr>
          <w:rFonts w:ascii="Aptos" w:hAnsi="Aptos"/>
        </w:rPr>
        <w:fldChar w:fldCharType="begin"/>
      </w:r>
      <w:r w:rsidR="00B91DD3" w:rsidRPr="001B5F4D">
        <w:rPr>
          <w:rFonts w:ascii="Aptos" w:hAnsi="Aptos"/>
        </w:rPr>
        <w:instrText xml:space="preserve"> ADDIN ZOTERO_ITEM CSL_CITATION {"citationID":"YfDzwmPM","properties":{"formattedCitation":"[3]","plainCitation":"[3]","noteIndex":0},"citationItems":[{"id":86,"uris":["http://zotero.org/users/local/tOUCYacB/items/P6487EZS"],"itemData":{"id":86,"type":"report","title":"Contemporary epidemiology of coeliac disease, dermatitis herpetiformis, Crohn’s disease and ulcerative colitis in the UK.","URL":"https://crohnsandcolitis.org.uk/news-stories/news-items/new-research-shows-over-1-in-123-people-in-uk-living-with-crohn-s-or-colitis","author":[{"family":"Tata, L","given":""}]}}],"schema":"https://github.com/citation-style-language/schema/raw/master/csl-citation.json"} </w:instrText>
      </w:r>
      <w:r w:rsidRPr="001B5F4D">
        <w:rPr>
          <w:rFonts w:ascii="Aptos" w:hAnsi="Aptos"/>
        </w:rPr>
        <w:fldChar w:fldCharType="separate"/>
      </w:r>
      <w:r w:rsidR="00B91DD3" w:rsidRPr="001B5F4D">
        <w:rPr>
          <w:rFonts w:ascii="Aptos" w:hAnsi="Aptos"/>
          <w:noProof/>
        </w:rPr>
        <w:t>[3]</w:t>
      </w:r>
      <w:r w:rsidRPr="001B5F4D">
        <w:rPr>
          <w:rFonts w:ascii="Aptos" w:hAnsi="Aptos"/>
        </w:rPr>
        <w:fldChar w:fldCharType="end"/>
      </w:r>
      <w:r w:rsidR="00132308" w:rsidRPr="001B5F4D">
        <w:rPr>
          <w:rFonts w:ascii="Aptos" w:hAnsi="Aptos"/>
        </w:rPr>
        <w:t xml:space="preserve"> Suffering from </w:t>
      </w:r>
      <w:r w:rsidR="000C42D2">
        <w:rPr>
          <w:rFonts w:ascii="Aptos" w:hAnsi="Aptos"/>
        </w:rPr>
        <w:t>IBD</w:t>
      </w:r>
      <w:r w:rsidR="00132308" w:rsidRPr="001B5F4D">
        <w:rPr>
          <w:rFonts w:ascii="Aptos" w:hAnsi="Aptos"/>
        </w:rPr>
        <w:t xml:space="preserve"> can</w:t>
      </w:r>
      <w:r w:rsidRPr="001B5F4D">
        <w:rPr>
          <w:rFonts w:ascii="Aptos" w:hAnsi="Aptos"/>
        </w:rPr>
        <w:t xml:space="preserve"> have a profound impact on patients physical wellbeing</w:t>
      </w:r>
      <w:r w:rsidR="00112844" w:rsidRPr="001B5F4D">
        <w:rPr>
          <w:rFonts w:ascii="Aptos" w:hAnsi="Aptos"/>
        </w:rPr>
        <w:t xml:space="preserve"> and </w:t>
      </w:r>
      <w:r w:rsidR="009D6610" w:rsidRPr="001B5F4D">
        <w:rPr>
          <w:rFonts w:ascii="Aptos" w:hAnsi="Aptos"/>
        </w:rPr>
        <w:t>long-term</w:t>
      </w:r>
      <w:r w:rsidR="00112844" w:rsidRPr="001B5F4D">
        <w:rPr>
          <w:rFonts w:ascii="Aptos" w:hAnsi="Aptos"/>
        </w:rPr>
        <w:t xml:space="preserve"> complications include</w:t>
      </w:r>
      <w:r w:rsidR="009D6610" w:rsidRPr="001B5F4D">
        <w:rPr>
          <w:rFonts w:ascii="Aptos" w:hAnsi="Aptos"/>
        </w:rPr>
        <w:t xml:space="preserve"> malnutrition, chronic pain,</w:t>
      </w:r>
      <w:r w:rsidR="00112844" w:rsidRPr="001B5F4D">
        <w:rPr>
          <w:rFonts w:ascii="Aptos" w:hAnsi="Aptos"/>
        </w:rPr>
        <w:t xml:space="preserve"> osteoporosis, recurrent hospitalisation</w:t>
      </w:r>
      <w:r w:rsidR="00B65DAF">
        <w:rPr>
          <w:rFonts w:ascii="Aptos" w:hAnsi="Aptos"/>
        </w:rPr>
        <w:t>, colorectal cancer</w:t>
      </w:r>
      <w:r w:rsidR="00112844" w:rsidRPr="001B5F4D">
        <w:rPr>
          <w:rFonts w:ascii="Aptos" w:hAnsi="Aptos"/>
        </w:rPr>
        <w:t xml:space="preserve"> and surgery.</w:t>
      </w:r>
      <w:r w:rsidR="00A67954" w:rsidRPr="001B5F4D">
        <w:rPr>
          <w:rFonts w:ascii="Aptos" w:hAnsi="Aptos"/>
        </w:rPr>
        <w:t xml:space="preserve"> It is also known that</w:t>
      </w:r>
      <w:r w:rsidR="000C42D2">
        <w:rPr>
          <w:rFonts w:ascii="Aptos" w:hAnsi="Aptos"/>
        </w:rPr>
        <w:t xml:space="preserve"> both</w:t>
      </w:r>
      <w:r w:rsidR="00A67954" w:rsidRPr="001B5F4D">
        <w:rPr>
          <w:rFonts w:ascii="Aptos" w:hAnsi="Aptos"/>
        </w:rPr>
        <w:t xml:space="preserve"> holding a minority gender identity and suffering from a chronic disease can impact upon mental health</w:t>
      </w:r>
      <w:r w:rsidR="00A67954" w:rsidRPr="001B5F4D">
        <w:rPr>
          <w:rFonts w:ascii="Aptos" w:hAnsi="Aptos"/>
        </w:rPr>
        <w:fldChar w:fldCharType="begin"/>
      </w:r>
      <w:r w:rsidR="00A97CD8" w:rsidRPr="001B5F4D">
        <w:rPr>
          <w:rFonts w:ascii="Aptos" w:hAnsi="Aptos"/>
        </w:rPr>
        <w:instrText xml:space="preserve"> ADDIN ZOTERO_ITEM CSL_CITATION {"citationID":"m8hKGGDl","properties":{"formattedCitation":"[4]","plainCitation":"[4]","noteIndex":0},"citationItems":[{"id":141,"uris":["http://zotero.org/users/local/tOUCYacB/items/ZQ8T8CVR"],"itemData":{"id":141,"type":"book","abstract":"DiVA portal is a finding tool for research publications and student theses written at the following 50 universities and research institutions.","language":"eng","source":"www.diva-portal.org","title":"Mental health problems in a Swedish LGBTI population and the social determinants of health : Differences in depressive symptoms and its relations to sociodemographic factors","title-short":"Mental health problems in a Swedish LGBTI population and the social determinants of health","URL":"https://urn.kb.se/resolve?urn=urn:nbn:se:mdh:diva-62987","author":[{"family":"Engelman de León Madeira","given":"Gabriel"}],"accessed":{"date-parts":[["2023",10,24]]},"issued":{"date-parts":[["2023"]]}}}],"schema":"https://github.com/citation-style-language/schema/raw/master/csl-citation.json"} </w:instrText>
      </w:r>
      <w:r w:rsidR="00A67954" w:rsidRPr="001B5F4D">
        <w:rPr>
          <w:rFonts w:ascii="Aptos" w:hAnsi="Aptos"/>
        </w:rPr>
        <w:fldChar w:fldCharType="separate"/>
      </w:r>
      <w:r w:rsidR="00A97CD8" w:rsidRPr="001B5F4D">
        <w:rPr>
          <w:rFonts w:ascii="Aptos" w:hAnsi="Aptos"/>
          <w:noProof/>
        </w:rPr>
        <w:t>[4]</w:t>
      </w:r>
      <w:r w:rsidR="00A67954" w:rsidRPr="001B5F4D">
        <w:rPr>
          <w:rFonts w:ascii="Aptos" w:hAnsi="Aptos"/>
        </w:rPr>
        <w:fldChar w:fldCharType="end"/>
      </w:r>
      <w:r w:rsidR="00A67954" w:rsidRPr="001B5F4D">
        <w:rPr>
          <w:rFonts w:ascii="Aptos" w:hAnsi="Aptos"/>
        </w:rPr>
        <w:fldChar w:fldCharType="begin"/>
      </w:r>
      <w:r w:rsidR="00A97CD8" w:rsidRPr="001B5F4D">
        <w:rPr>
          <w:rFonts w:ascii="Aptos" w:hAnsi="Aptos"/>
        </w:rPr>
        <w:instrText xml:space="preserve"> ADDIN ZOTERO_ITEM CSL_CITATION {"citationID":"mrSbtBZf","properties":{"formattedCitation":"[5]","plainCitation":"[5]","noteIndex":0},"citationItems":[{"id":601,"uris":["http://zotero.org/users/local/tOUCYacB/items/FKSVSWBN"],"itemData":{"id":601,"type":"article-journal","abstract":"BACKGROUND: Inflammatory bowel disease (IBD) patients are not routinely screened for depression and anxiety despite knowledge of an increased prevalence in people with chronic disease and negative effects on quality of life.\nMETHODS: Prevalence of anxiety and depression was assessed in IBD outpatients through retrospective chart review. The presence of anxiety and/or depression was determined using the Patient Health Questionnaire-9 and Generalized Anxiety Disorder-7 self-report questionnaires or by diagnosis through psychiatric interview. Patient demographics, disease characteristics, and medication information were also collected. Multivariable analysis was used to determine associations between patient factors and depression and anxiety.\nRESULTS: 327 patient charts were reviewed. Rates of depression and anxiety were found to be 25.8% and 21.2%, with 30.3% of patients suffering from depression and/or anxiety. Disease activity was found to be significantly associated with depression and/or anxiety (p = 0.01). Females were more likely to have anxiety (p = 0.01).\nCONCLUSION: A significant proportion of IBD patients suffer from depression and/or anxiety. The rates of these mental illnesses would justify screening and referral for psychiatric treatment in clinics treating this population. Patients with active disease are particularly at risk for anxiety and depression.","container-title":"Canadian Journal of Gastroenterology &amp; Hepatology","DOI":"10.1155/2017/6496727","ISSN":"2291-2797","journalAbbreviation":"Can J Gastroenterol Hepatol","language":"eng","note":"PMID: 29181373\nPMCID: PMC5664260","page":"6496727","source":"PubMed","title":"Prevalence of Anxiety and Depression in Patients with Inflammatory Bowel Disease","volume":"2017","author":[{"family":"Byrne","given":"Glynis"},{"family":"Rosenfeld","given":"Greg"},{"family":"Leung","given":"Yvette"},{"family":"Qian","given":"Hong"},{"family":"Raudzus","given":"Julia"},{"family":"Nunez","given":"Carlos"},{"family":"Bressler","given":"Brian"}],"issued":{"date-parts":[["2017"]]}}}],"schema":"https://github.com/citation-style-language/schema/raw/master/csl-citation.json"} </w:instrText>
      </w:r>
      <w:r w:rsidR="00A67954" w:rsidRPr="001B5F4D">
        <w:rPr>
          <w:rFonts w:ascii="Aptos" w:hAnsi="Aptos"/>
        </w:rPr>
        <w:fldChar w:fldCharType="separate"/>
      </w:r>
      <w:r w:rsidR="00A97CD8" w:rsidRPr="001B5F4D">
        <w:rPr>
          <w:rFonts w:ascii="Aptos" w:hAnsi="Aptos"/>
          <w:noProof/>
        </w:rPr>
        <w:t>[5]</w:t>
      </w:r>
      <w:r w:rsidR="00A67954" w:rsidRPr="001B5F4D">
        <w:rPr>
          <w:rFonts w:ascii="Aptos" w:hAnsi="Aptos"/>
        </w:rPr>
        <w:fldChar w:fldCharType="end"/>
      </w:r>
      <w:r w:rsidR="00A67954" w:rsidRPr="001B5F4D">
        <w:rPr>
          <w:rFonts w:ascii="Aptos" w:hAnsi="Aptos"/>
        </w:rPr>
        <w:t xml:space="preserve"> and it is likely that holding both of these traits will compound the impact on patients</w:t>
      </w:r>
      <w:r w:rsidR="001D0189">
        <w:rPr>
          <w:rFonts w:ascii="Aptos" w:hAnsi="Aptos"/>
        </w:rPr>
        <w:t>’</w:t>
      </w:r>
      <w:r w:rsidR="00A67954" w:rsidRPr="001B5F4D">
        <w:rPr>
          <w:rFonts w:ascii="Aptos" w:hAnsi="Aptos"/>
        </w:rPr>
        <w:t xml:space="preserve"> mental wellbeing.</w:t>
      </w:r>
    </w:p>
    <w:p w14:paraId="560174D9" w14:textId="77777777" w:rsidR="00112844" w:rsidRPr="001B5F4D" w:rsidRDefault="00112844">
      <w:pPr>
        <w:rPr>
          <w:rFonts w:ascii="Aptos" w:hAnsi="Aptos"/>
        </w:rPr>
      </w:pPr>
    </w:p>
    <w:p w14:paraId="5992C4E6" w14:textId="43C29723" w:rsidR="00112844" w:rsidRPr="001B5F4D" w:rsidRDefault="001D0189">
      <w:pPr>
        <w:rPr>
          <w:rFonts w:ascii="Aptos" w:hAnsi="Aptos"/>
        </w:rPr>
      </w:pPr>
      <w:proofErr w:type="gramStart"/>
      <w:r>
        <w:rPr>
          <w:rFonts w:ascii="Aptos" w:hAnsi="Aptos"/>
        </w:rPr>
        <w:t>In order to</w:t>
      </w:r>
      <w:proofErr w:type="gramEnd"/>
      <w:r>
        <w:rPr>
          <w:rFonts w:ascii="Aptos" w:hAnsi="Aptos"/>
        </w:rPr>
        <w:t xml:space="preserve"> avoid </w:t>
      </w:r>
      <w:r w:rsidR="00B65DAF">
        <w:rPr>
          <w:rFonts w:ascii="Aptos" w:hAnsi="Aptos"/>
        </w:rPr>
        <w:t>these complications</w:t>
      </w:r>
      <w:r>
        <w:rPr>
          <w:rFonts w:ascii="Aptos" w:hAnsi="Aptos"/>
        </w:rPr>
        <w:t>, patients must be compliant</w:t>
      </w:r>
      <w:r w:rsidR="00B65DAF">
        <w:rPr>
          <w:rFonts w:ascii="Aptos" w:hAnsi="Aptos"/>
        </w:rPr>
        <w:t xml:space="preserve"> </w:t>
      </w:r>
      <w:r>
        <w:rPr>
          <w:rFonts w:ascii="Aptos" w:hAnsi="Aptos"/>
        </w:rPr>
        <w:t xml:space="preserve">and remain engaged with regular </w:t>
      </w:r>
      <w:r w:rsidR="00884984" w:rsidRPr="001B5F4D">
        <w:rPr>
          <w:rFonts w:ascii="Aptos" w:hAnsi="Aptos"/>
        </w:rPr>
        <w:t>follow-up,</w:t>
      </w:r>
      <w:r w:rsidR="00B65DAF">
        <w:rPr>
          <w:rFonts w:ascii="Aptos" w:hAnsi="Aptos"/>
        </w:rPr>
        <w:t xml:space="preserve"> </w:t>
      </w:r>
      <w:r>
        <w:rPr>
          <w:rFonts w:ascii="Aptos" w:hAnsi="Aptos"/>
        </w:rPr>
        <w:t xml:space="preserve">long-term </w:t>
      </w:r>
      <w:r w:rsidR="00884984" w:rsidRPr="001B5F4D">
        <w:rPr>
          <w:rFonts w:ascii="Aptos" w:hAnsi="Aptos"/>
        </w:rPr>
        <w:t>adherence</w:t>
      </w:r>
      <w:r>
        <w:rPr>
          <w:rFonts w:ascii="Aptos" w:hAnsi="Aptos"/>
        </w:rPr>
        <w:t xml:space="preserve"> to medications</w:t>
      </w:r>
      <w:r w:rsidR="00884984" w:rsidRPr="001B5F4D">
        <w:rPr>
          <w:rFonts w:ascii="Aptos" w:hAnsi="Aptos"/>
        </w:rPr>
        <w:t xml:space="preserve"> and</w:t>
      </w:r>
      <w:r w:rsidR="00B65DAF">
        <w:rPr>
          <w:rFonts w:ascii="Aptos" w:hAnsi="Aptos"/>
        </w:rPr>
        <w:t xml:space="preserve"> </w:t>
      </w:r>
      <w:r>
        <w:rPr>
          <w:rFonts w:ascii="Aptos" w:hAnsi="Aptos"/>
        </w:rPr>
        <w:t>regular</w:t>
      </w:r>
      <w:r w:rsidR="00B65DAF">
        <w:rPr>
          <w:rFonts w:ascii="Aptos" w:hAnsi="Aptos"/>
        </w:rPr>
        <w:t xml:space="preserve"> invasive</w:t>
      </w:r>
      <w:r w:rsidR="00884984" w:rsidRPr="001B5F4D">
        <w:rPr>
          <w:rFonts w:ascii="Aptos" w:hAnsi="Aptos"/>
        </w:rPr>
        <w:t xml:space="preserve"> surveillance procedures</w:t>
      </w:r>
      <w:r w:rsidR="00B65DAF">
        <w:rPr>
          <w:rFonts w:ascii="Aptos" w:hAnsi="Aptos"/>
        </w:rPr>
        <w:t xml:space="preserve">. </w:t>
      </w:r>
      <w:r>
        <w:rPr>
          <w:rFonts w:ascii="Aptos" w:hAnsi="Aptos"/>
        </w:rPr>
        <w:t>E</w:t>
      </w:r>
      <w:r w:rsidR="00B65DAF">
        <w:rPr>
          <w:rFonts w:ascii="Aptos" w:hAnsi="Aptos"/>
        </w:rPr>
        <w:t>nsuring good patient experiences</w:t>
      </w:r>
      <w:r>
        <w:rPr>
          <w:rFonts w:ascii="Aptos" w:hAnsi="Aptos"/>
        </w:rPr>
        <w:t xml:space="preserve"> and creating a positive doctor-patient relationship, thereby maintaining long-term patient engagement with IBD services, </w:t>
      </w:r>
      <w:r w:rsidR="00B65DAF">
        <w:rPr>
          <w:rFonts w:ascii="Aptos" w:hAnsi="Aptos"/>
        </w:rPr>
        <w:t xml:space="preserve">is therefore crucial to providing quality care. However, those identifying as TGNC are under-represented in </w:t>
      </w:r>
      <w:r w:rsidR="00C83677">
        <w:rPr>
          <w:rFonts w:ascii="Aptos" w:hAnsi="Aptos"/>
        </w:rPr>
        <w:t xml:space="preserve">healthcare </w:t>
      </w:r>
      <w:r w:rsidR="00B65DAF">
        <w:rPr>
          <w:rFonts w:ascii="Aptos" w:hAnsi="Aptos"/>
        </w:rPr>
        <w:t>research</w:t>
      </w:r>
      <w:r w:rsidR="00C83677">
        <w:rPr>
          <w:rFonts w:ascii="Aptos" w:hAnsi="Aptos"/>
        </w:rPr>
        <w:fldChar w:fldCharType="begin"/>
      </w:r>
      <w:r w:rsidR="00C83677">
        <w:rPr>
          <w:rFonts w:ascii="Aptos" w:hAnsi="Aptos"/>
        </w:rPr>
        <w:instrText xml:space="preserve"> ADDIN ZOTERO_ITEM CSL_CITATION {"citationID":"AKvDbUQj","properties":{"formattedCitation":"[6]","plainCitation":"[6]","noteIndex":0},"citationItems":[{"id":1865,"uris":["http://zotero.org/users/local/tOUCYacB/items/6P93NE7G"],"itemData":{"id":1865,"type":"article-journal","abstract":"There is limited information about how transgender, nonbinary, and other gender diverse (trans) people have been studied and represented by researchers. The objectives of this study were to: (1) increase access to trans research; (2) map and describe trans research across subject fields; and (3) identify evidence gaps and opportunities for more responsible research. Eligibility criteria were established to include empirical research of any design, which included trans participants or their personal information and that was published in English in peer-reviewed journals. A search of 15 academic databases resulted in 25,230 references; data presented include 690 trans-focused articles that met the screening criteria and were published between 2010 and 2014. The 10 topics studied most frequently were: (1) therapeutics and surgeries; (2) gender identity and expression; (3) mental health; (4) biology and physiology; (5) discrimination and marginalization; (6) physical health; (7) sexual health, HIV, and sexually transmitted infections; (8) health and mental health services; (9) social support, relationships, and families; and (10) resilience, well-being, and quality of life. This map also highlights the relatively minor attention that has been paid to a number of study topics, including ethnicity, culture, race, and racialization; housing; income; employment; and space and place. Results of this review have the potential to increase awareness of existing trans research, to characterize evidence gaps, and to inform strategic research prioritization. With this information, it is more likely that trans communities and allies will be in a position to benefit from existing research and to hold researchers accountable.","container-title":"Transgender Health","DOI":"10.1089/trgh.2018.0020","ISSN":"2688-4887","issue":"1","journalAbbreviation":"Transgend Health","note":"PMID: 30842978\nPMCID: PMC6400230","page":"68-80","source":"PubMed Central","title":"Documenting Research with Transgender, Nonbinary, and Other Gender Diverse (Trans) Individuals and Communities: Introducing the Global Trans Research Evidence Map","title-short":"Documenting Research with Transgender, Nonbinary, and Other Gender Diverse (Trans) Individuals and Communities","volume":"4","author":[{"family":"Marshall","given":"Zack"},{"family":"Welch","given":"Vivian"},{"family":"Minichiello","given":"Alexa"},{"family":"Swab","given":"Michelle"},{"family":"Brunger","given":"Fern"},{"family":"Kaposy","given":"Chris"}],"issued":{"date-parts":[["2019",3,1]]}}}],"schema":"https://github.com/citation-style-language/schema/raw/master/csl-citation.json"} </w:instrText>
      </w:r>
      <w:r w:rsidR="00C83677">
        <w:rPr>
          <w:rFonts w:ascii="Aptos" w:hAnsi="Aptos"/>
        </w:rPr>
        <w:fldChar w:fldCharType="separate"/>
      </w:r>
      <w:r w:rsidR="00C83677">
        <w:rPr>
          <w:rFonts w:ascii="Aptos" w:hAnsi="Aptos"/>
          <w:noProof/>
        </w:rPr>
        <w:t>[6]</w:t>
      </w:r>
      <w:r w:rsidR="00C83677">
        <w:rPr>
          <w:rFonts w:ascii="Aptos" w:hAnsi="Aptos"/>
        </w:rPr>
        <w:fldChar w:fldCharType="end"/>
      </w:r>
      <w:r w:rsidR="00B65DAF">
        <w:rPr>
          <w:rFonts w:ascii="Aptos" w:hAnsi="Aptos"/>
        </w:rPr>
        <w:t xml:space="preserve"> and t</w:t>
      </w:r>
      <w:r w:rsidR="00E25BC7">
        <w:rPr>
          <w:rFonts w:ascii="Aptos" w:hAnsi="Aptos"/>
        </w:rPr>
        <w:t xml:space="preserve">here has been </w:t>
      </w:r>
      <w:r w:rsidR="00CD4166" w:rsidRPr="001B5F4D">
        <w:rPr>
          <w:rFonts w:ascii="Aptos" w:hAnsi="Aptos"/>
        </w:rPr>
        <w:t>no work gathering qualitative data on the experiences of these individuals</w:t>
      </w:r>
      <w:r w:rsidR="002C5D97">
        <w:rPr>
          <w:rFonts w:ascii="Aptos" w:hAnsi="Aptos"/>
        </w:rPr>
        <w:t>, or their specific needs,</w:t>
      </w:r>
      <w:r w:rsidR="00E25BC7">
        <w:rPr>
          <w:rFonts w:ascii="Aptos" w:hAnsi="Aptos"/>
        </w:rPr>
        <w:t xml:space="preserve"> when engaging with IBD healthcare providers</w:t>
      </w:r>
      <w:r w:rsidR="00CD4166" w:rsidRPr="001B5F4D">
        <w:rPr>
          <w:rFonts w:ascii="Aptos" w:hAnsi="Aptos"/>
        </w:rPr>
        <w:t>.</w:t>
      </w:r>
    </w:p>
    <w:p w14:paraId="3F99AEF6" w14:textId="77777777" w:rsidR="00A82F6C" w:rsidRPr="001B5F4D" w:rsidRDefault="00A82F6C">
      <w:pPr>
        <w:rPr>
          <w:rFonts w:ascii="Aptos" w:hAnsi="Aptos"/>
        </w:rPr>
      </w:pPr>
    </w:p>
    <w:p w14:paraId="0F15D482" w14:textId="1DE4C305" w:rsidR="00244FCD" w:rsidRPr="001B5F4D" w:rsidRDefault="00244FCD">
      <w:pPr>
        <w:rPr>
          <w:rFonts w:ascii="Aptos" w:hAnsi="Aptos"/>
        </w:rPr>
      </w:pPr>
      <w:r w:rsidRPr="001B5F4D">
        <w:rPr>
          <w:rFonts w:ascii="Aptos" w:hAnsi="Aptos"/>
        </w:rPr>
        <w:t xml:space="preserve">This report describes the outcome of a focus group which aimed to </w:t>
      </w:r>
      <w:r w:rsidR="00E25BC7">
        <w:rPr>
          <w:rFonts w:ascii="Aptos" w:hAnsi="Aptos"/>
        </w:rPr>
        <w:t>gather data on t</w:t>
      </w:r>
      <w:r w:rsidRPr="001B5F4D">
        <w:rPr>
          <w:rFonts w:ascii="Aptos" w:hAnsi="Aptos"/>
        </w:rPr>
        <w:t xml:space="preserve">he experiences of TGNC-IBD individuals when engaging with </w:t>
      </w:r>
      <w:r w:rsidR="008F7CC0" w:rsidRPr="001B5F4D">
        <w:rPr>
          <w:rFonts w:ascii="Aptos" w:hAnsi="Aptos"/>
        </w:rPr>
        <w:t xml:space="preserve">IBD services </w:t>
      </w:r>
      <w:r w:rsidRPr="001B5F4D">
        <w:rPr>
          <w:rFonts w:ascii="Aptos" w:hAnsi="Aptos"/>
        </w:rPr>
        <w:t>in the UK</w:t>
      </w:r>
      <w:r w:rsidR="00FE7CE6" w:rsidRPr="001B5F4D">
        <w:rPr>
          <w:rFonts w:ascii="Aptos" w:hAnsi="Aptos"/>
        </w:rPr>
        <w:t xml:space="preserve"> </w:t>
      </w:r>
      <w:proofErr w:type="gramStart"/>
      <w:r w:rsidR="00FE7CE6" w:rsidRPr="001B5F4D">
        <w:rPr>
          <w:rFonts w:ascii="Aptos" w:hAnsi="Aptos"/>
        </w:rPr>
        <w:t>in order to</w:t>
      </w:r>
      <w:proofErr w:type="gramEnd"/>
      <w:r w:rsidR="00FE7CE6" w:rsidRPr="001B5F4D">
        <w:rPr>
          <w:rFonts w:ascii="Aptos" w:hAnsi="Aptos"/>
        </w:rPr>
        <w:t xml:space="preserve"> identify areas that could be modified to improve care for these patients</w:t>
      </w:r>
      <w:r w:rsidRPr="001B5F4D">
        <w:rPr>
          <w:rFonts w:ascii="Aptos" w:hAnsi="Aptos"/>
        </w:rPr>
        <w:t>.</w:t>
      </w:r>
    </w:p>
    <w:p w14:paraId="15343301" w14:textId="77777777" w:rsidR="00A82F6C" w:rsidRDefault="00A82F6C">
      <w:pPr>
        <w:rPr>
          <w:rFonts w:ascii="Aptos" w:hAnsi="Aptos"/>
        </w:rPr>
      </w:pPr>
    </w:p>
    <w:p w14:paraId="08D27D38" w14:textId="77777777" w:rsidR="00A86241" w:rsidRPr="001B5F4D" w:rsidRDefault="00A86241">
      <w:pPr>
        <w:rPr>
          <w:rFonts w:ascii="Aptos" w:hAnsi="Aptos"/>
        </w:rPr>
      </w:pPr>
    </w:p>
    <w:p w14:paraId="05839359" w14:textId="395038B0" w:rsidR="00AC4D7C" w:rsidRPr="001B5F4D" w:rsidRDefault="00830DFD">
      <w:pPr>
        <w:rPr>
          <w:rFonts w:ascii="Aptos" w:hAnsi="Aptos"/>
          <w:b/>
          <w:bCs/>
        </w:rPr>
      </w:pPr>
      <w:r>
        <w:rPr>
          <w:rFonts w:ascii="Aptos" w:hAnsi="Aptos"/>
          <w:b/>
          <w:bCs/>
        </w:rPr>
        <w:t>METHOD</w:t>
      </w:r>
    </w:p>
    <w:p w14:paraId="0D97FA6C" w14:textId="50D29103" w:rsidR="00E970AE" w:rsidRPr="001B5F4D" w:rsidRDefault="00D47575" w:rsidP="00E970AE">
      <w:pPr>
        <w:rPr>
          <w:rFonts w:ascii="Aptos" w:hAnsi="Aptos"/>
        </w:rPr>
      </w:pPr>
      <w:r w:rsidRPr="001B5F4D">
        <w:rPr>
          <w:rFonts w:ascii="Aptos" w:hAnsi="Aptos"/>
        </w:rPr>
        <w:t>This article conforms to appropriate qualitative reporting guidelines.</w:t>
      </w:r>
      <w:r w:rsidRPr="001B5F4D">
        <w:rPr>
          <w:rFonts w:ascii="Aptos" w:hAnsi="Aptos"/>
        </w:rPr>
        <w:fldChar w:fldCharType="begin"/>
      </w:r>
      <w:r w:rsidR="00C83677">
        <w:rPr>
          <w:rFonts w:ascii="Aptos" w:hAnsi="Aptos"/>
        </w:rPr>
        <w:instrText xml:space="preserve"> ADDIN ZOTERO_ITEM CSL_CITATION {"citationID":"0F0SuyTn","properties":{"formattedCitation":"[7]","plainCitation":"[7]","noteIndex":0},"citationItems":[{"id":1094,"uris":["http://zotero.org/users/local/tOUCYacB/items/Z2AMGXYW"],"itemData":{"id":1094,"type":"article-journal","abstract":"PURPOSE: Standards for reporting exist for many types of quantitative research, but currently none exist for the broad spectrum of qualitative research. The purpose of the present study was to formulate and define standards for reporting qualitative research while preserving the requisite flexibility to accommodate various paradigms, approaches, and methods.\nMETHOD: The authors identified guidelines, reporting standards, and critical appraisal criteria for qualitative research by searching PubMed, Web of Science, and Google through July 2013; reviewing the reference lists of retrieved sources; and contacting experts. Specifically, two authors reviewed a sample of sources to generate an initial set of items that were potentially important in reporting qualitative research. Through an iterative process of reviewing sources, modifying the set of items, and coding all sources for items, the authors prepared a near-final list of items and descriptions and sent this list to five external reviewers for feedback. The final items and descriptions included in the reporting standards reflect this feedback.\nRESULTS: The Standards for Reporting Qualitative Research (SRQR) consists of 21 items. The authors define and explain key elements of each item and provide examples from recently published articles to illustrate ways in which the standards can be met.\nCONCLUSIONS: The SRQR aims to improve the transparency of all aspects of qualitative research by providing clear standards for reporting qualitative research. These standards will assist authors during manuscript preparation, editors and reviewers in evaluating a manuscript for potential publication, and readers when critically appraising, applying, and synthesizing study findings.","container-title":"Academic Medicine: Journal of the Association of American Medical Colleges","DOI":"10.1097/ACM.0000000000000388","ISSN":"1938-808X","issue":"9","journalAbbreviation":"Acad Med","language":"eng","note":"PMID: 24979285","page":"1245-1251","source":"PubMed","title":"Standards for reporting qualitative research: a synthesis of recommendations","title-short":"Standards for reporting qualitative research","volume":"89","author":[{"family":"O'Brien","given":"Bridget C."},{"family":"Harris","given":"Ilene B."},{"family":"Beckman","given":"Thomas J."},{"family":"Reed","given":"Darcy A."},{"family":"Cook","given":"David A."}],"issued":{"date-parts":[["2014",9]]}}}],"schema":"https://github.com/citation-style-language/schema/raw/master/csl-citation.json"} </w:instrText>
      </w:r>
      <w:r w:rsidRPr="001B5F4D">
        <w:rPr>
          <w:rFonts w:ascii="Aptos" w:hAnsi="Aptos"/>
        </w:rPr>
        <w:fldChar w:fldCharType="separate"/>
      </w:r>
      <w:r w:rsidR="00C83677">
        <w:rPr>
          <w:rFonts w:ascii="Aptos" w:hAnsi="Aptos"/>
          <w:noProof/>
        </w:rPr>
        <w:t>[7]</w:t>
      </w:r>
      <w:r w:rsidRPr="001B5F4D">
        <w:rPr>
          <w:rFonts w:ascii="Aptos" w:hAnsi="Aptos"/>
        </w:rPr>
        <w:fldChar w:fldCharType="end"/>
      </w:r>
      <w:r w:rsidRPr="001B5F4D">
        <w:rPr>
          <w:rFonts w:ascii="Aptos" w:hAnsi="Aptos"/>
        </w:rPr>
        <w:t xml:space="preserve">  </w:t>
      </w:r>
      <w:r w:rsidR="00E970AE" w:rsidRPr="001B5F4D">
        <w:rPr>
          <w:rFonts w:ascii="Aptos" w:hAnsi="Aptos"/>
        </w:rPr>
        <w:t>Prior to the focus group a comprehensive literature review was conducted to identify the literature’s understanding of issues facing TGNC-IBD individuals.</w:t>
      </w:r>
      <w:r w:rsidR="001B439A" w:rsidRPr="001B5F4D">
        <w:rPr>
          <w:rFonts w:ascii="Aptos" w:hAnsi="Aptos"/>
        </w:rPr>
        <w:fldChar w:fldCharType="begin"/>
      </w:r>
      <w:r w:rsidR="00C83677">
        <w:rPr>
          <w:rFonts w:ascii="Aptos" w:hAnsi="Aptos"/>
        </w:rPr>
        <w:instrText xml:space="preserve"> ADDIN ZOTERO_ITEM CSL_CITATION {"citationID":"IVjtyqbX","properties":{"formattedCitation":"[8]","plainCitation":"[8]","noteIndex":0},"citationItems":[{"id":928,"uris":["http://zotero.org/users/local/tOUCYacB/items/QPNL5XHT"],"itemData":{"id":928,"type":"article-journal","abstract":"There has been greater societal awareness of differences in gender identity and sexual orientation in recent years. The rates of identifying as transgender or gender non-conforming (TGNC) are increasing and are known to be higher in the younger population and will therefore be over-represented in the inflammatory bowel disease (IBD) subpopulation. However, despite this there is very little in the literature with regards to those who identify as TGNC and are diagnosed with IBD (TGNC-IBD). Many TGNC individuals have poor experiences when seeking healthcare and many physicians find it a challenging and daunting clinical situation to be faced with. We reviewed the available literature with regards to TGNC-IBD population demographics, physical, mental and sexual health considerations, medication interactions and implications for surgery in this heterogenous group. We have identified areas that need further research and suggested simple and practical steps that can be adopted in order to help healthcare providers improve the experience for TGNC individuals diagnosed with IBD and the quality of care they provide.","container-title":"Frontline Gastroenterology","DOI":"10.1136/flgastro-2024-102658","issue":"5","journalAbbreviation":"Frontline Gastroenterol","page":"401","title":"Impact of gender identity in the inflammatory bowel disease population: an evidence review and practical steps for gastroenterologists","volume":"15","author":[{"family":"Colwill","given":"Michael"},{"family":"Pollok","given":"Richard"},{"family":"Seal","given":"Leighton"},{"family":"Poullis","given":"Andrew"}],"issued":{"date-parts":[["2024",9,1]]}}}],"schema":"https://github.com/citation-style-language/schema/raw/master/csl-citation.json"} </w:instrText>
      </w:r>
      <w:r w:rsidR="001B439A" w:rsidRPr="001B5F4D">
        <w:rPr>
          <w:rFonts w:ascii="Aptos" w:hAnsi="Aptos"/>
        </w:rPr>
        <w:fldChar w:fldCharType="separate"/>
      </w:r>
      <w:r w:rsidR="00C83677">
        <w:rPr>
          <w:rFonts w:ascii="Aptos" w:hAnsi="Aptos"/>
          <w:noProof/>
        </w:rPr>
        <w:t>[8]</w:t>
      </w:r>
      <w:r w:rsidR="001B439A" w:rsidRPr="001B5F4D">
        <w:rPr>
          <w:rFonts w:ascii="Aptos" w:hAnsi="Aptos"/>
        </w:rPr>
        <w:fldChar w:fldCharType="end"/>
      </w:r>
      <w:r w:rsidR="00E970AE" w:rsidRPr="001B5F4D">
        <w:rPr>
          <w:rFonts w:ascii="Aptos" w:hAnsi="Aptos"/>
        </w:rPr>
        <w:t xml:space="preserve"> This was then used by the research team to develop an interview guide</w:t>
      </w:r>
      <w:r w:rsidRPr="001B5F4D">
        <w:rPr>
          <w:rFonts w:ascii="Aptos" w:hAnsi="Aptos"/>
        </w:rPr>
        <w:t xml:space="preserve"> (supplementary 1)</w:t>
      </w:r>
      <w:r w:rsidR="00E970AE" w:rsidRPr="001B5F4D">
        <w:rPr>
          <w:rFonts w:ascii="Aptos" w:hAnsi="Aptos"/>
        </w:rPr>
        <w:t xml:space="preserve"> which covered the objectives of the focus group and facilitated development of the questions used to structure the focus group</w:t>
      </w:r>
      <w:r w:rsidR="00843417" w:rsidRPr="001B5F4D">
        <w:rPr>
          <w:rFonts w:ascii="Aptos" w:hAnsi="Aptos"/>
        </w:rPr>
        <w:t xml:space="preserve"> discussion</w:t>
      </w:r>
      <w:r w:rsidR="00E970AE" w:rsidRPr="001B5F4D">
        <w:rPr>
          <w:rFonts w:ascii="Aptos" w:hAnsi="Aptos"/>
        </w:rPr>
        <w:t>.</w:t>
      </w:r>
    </w:p>
    <w:p w14:paraId="62EA706B" w14:textId="77777777" w:rsidR="00E970AE" w:rsidRPr="001B5F4D" w:rsidRDefault="00E970AE">
      <w:pPr>
        <w:rPr>
          <w:rFonts w:ascii="Aptos" w:hAnsi="Aptos"/>
        </w:rPr>
      </w:pPr>
    </w:p>
    <w:p w14:paraId="67837840" w14:textId="4A8F372E" w:rsidR="00843417" w:rsidRPr="007A1F2F" w:rsidRDefault="00843417">
      <w:pPr>
        <w:rPr>
          <w:rFonts w:ascii="Aptos" w:hAnsi="Aptos"/>
          <w:b/>
          <w:bCs/>
        </w:rPr>
      </w:pPr>
      <w:r w:rsidRPr="007A1F2F">
        <w:rPr>
          <w:rFonts w:ascii="Aptos" w:hAnsi="Aptos"/>
          <w:b/>
          <w:bCs/>
        </w:rPr>
        <w:t>Recruitment and Eligibility</w:t>
      </w:r>
    </w:p>
    <w:p w14:paraId="21D8260B" w14:textId="6BB9EF1F" w:rsidR="001777AE" w:rsidRPr="001B5F4D" w:rsidRDefault="002D2A17" w:rsidP="001777AE">
      <w:pPr>
        <w:rPr>
          <w:rFonts w:ascii="Aptos" w:hAnsi="Aptos"/>
        </w:rPr>
      </w:pPr>
      <w:r>
        <w:rPr>
          <w:rFonts w:ascii="Aptos" w:hAnsi="Aptos"/>
        </w:rPr>
        <w:lastRenderedPageBreak/>
        <w:t xml:space="preserve">Using purposive sampling, </w:t>
      </w:r>
      <w:r w:rsidR="00B44A49" w:rsidRPr="001B5F4D">
        <w:rPr>
          <w:rFonts w:ascii="Aptos" w:hAnsi="Aptos"/>
        </w:rPr>
        <w:t xml:space="preserve">TGNC-IBD individuals were recruited through </w:t>
      </w:r>
      <w:r w:rsidR="00BB1EA1" w:rsidRPr="001B5F4D">
        <w:rPr>
          <w:rFonts w:ascii="Aptos" w:hAnsi="Aptos"/>
        </w:rPr>
        <w:t>patient</w:t>
      </w:r>
      <w:r w:rsidR="00B44A49" w:rsidRPr="001B5F4D">
        <w:rPr>
          <w:rFonts w:ascii="Aptos" w:hAnsi="Aptos"/>
        </w:rPr>
        <w:t xml:space="preserve"> and public involvement initiatives in co-ordination with Crohn’s and Colitis UK (CCUK). An advert offering the opportunity to </w:t>
      </w:r>
      <w:r w:rsidR="00843417" w:rsidRPr="001B5F4D">
        <w:rPr>
          <w:rFonts w:ascii="Aptos" w:hAnsi="Aptos"/>
        </w:rPr>
        <w:t>participate in the</w:t>
      </w:r>
      <w:r w:rsidR="00B44A49" w:rsidRPr="001B5F4D">
        <w:rPr>
          <w:rFonts w:ascii="Aptos" w:hAnsi="Aptos"/>
        </w:rPr>
        <w:t xml:space="preserve"> project was placed on </w:t>
      </w:r>
      <w:r w:rsidR="00B07C36" w:rsidRPr="001B5F4D">
        <w:rPr>
          <w:rFonts w:ascii="Aptos" w:hAnsi="Aptos"/>
        </w:rPr>
        <w:t>the CCUK</w:t>
      </w:r>
      <w:r w:rsidR="00B44A49" w:rsidRPr="001B5F4D">
        <w:rPr>
          <w:rFonts w:ascii="Aptos" w:hAnsi="Aptos"/>
        </w:rPr>
        <w:t xml:space="preserve"> website and promoted through social media</w:t>
      </w:r>
      <w:r w:rsidR="008544DE" w:rsidRPr="001B5F4D">
        <w:rPr>
          <w:rFonts w:ascii="Aptos" w:hAnsi="Aptos"/>
        </w:rPr>
        <w:t xml:space="preserve"> </w:t>
      </w:r>
      <w:r w:rsidR="00BB1EA1" w:rsidRPr="001B5F4D">
        <w:rPr>
          <w:rFonts w:ascii="Aptos" w:hAnsi="Aptos"/>
        </w:rPr>
        <w:t>and newsletters. P</w:t>
      </w:r>
      <w:r w:rsidR="00B07C36" w:rsidRPr="001B5F4D">
        <w:rPr>
          <w:rFonts w:ascii="Aptos" w:hAnsi="Aptos"/>
        </w:rPr>
        <w:t>otential p</w:t>
      </w:r>
      <w:r w:rsidR="00BB1EA1" w:rsidRPr="001B5F4D">
        <w:rPr>
          <w:rFonts w:ascii="Aptos" w:hAnsi="Aptos"/>
        </w:rPr>
        <w:t>articipants were asked to contact the research team</w:t>
      </w:r>
      <w:r w:rsidR="00F70228" w:rsidRPr="001B5F4D">
        <w:rPr>
          <w:rFonts w:ascii="Aptos" w:hAnsi="Aptos"/>
        </w:rPr>
        <w:t xml:space="preserve"> via a portal on the CCUK website</w:t>
      </w:r>
      <w:r w:rsidR="00BB1EA1" w:rsidRPr="001B5F4D">
        <w:rPr>
          <w:rFonts w:ascii="Aptos" w:hAnsi="Aptos"/>
        </w:rPr>
        <w:t xml:space="preserve"> following which</w:t>
      </w:r>
      <w:r w:rsidR="00B07C36" w:rsidRPr="001B5F4D">
        <w:rPr>
          <w:rFonts w:ascii="Aptos" w:hAnsi="Aptos"/>
        </w:rPr>
        <w:t xml:space="preserve"> a</w:t>
      </w:r>
      <w:r w:rsidR="00BB1EA1" w:rsidRPr="001B5F4D">
        <w:rPr>
          <w:rFonts w:ascii="Aptos" w:hAnsi="Aptos"/>
        </w:rPr>
        <w:t xml:space="preserve"> patient information sheet and consent form were distributed.</w:t>
      </w:r>
      <w:r w:rsidR="00F70228" w:rsidRPr="001B5F4D">
        <w:rPr>
          <w:rFonts w:ascii="Aptos" w:hAnsi="Aptos"/>
        </w:rPr>
        <w:t xml:space="preserve"> </w:t>
      </w:r>
      <w:r w:rsidR="001777AE" w:rsidRPr="001B5F4D">
        <w:rPr>
          <w:rFonts w:ascii="Aptos" w:hAnsi="Aptos"/>
        </w:rPr>
        <w:t xml:space="preserve">There was no financial compensation offered. </w:t>
      </w:r>
    </w:p>
    <w:p w14:paraId="4AE9079B" w14:textId="77777777" w:rsidR="00843417" w:rsidRPr="001B5F4D" w:rsidRDefault="00843417">
      <w:pPr>
        <w:rPr>
          <w:rFonts w:ascii="Aptos" w:hAnsi="Aptos"/>
        </w:rPr>
      </w:pPr>
    </w:p>
    <w:p w14:paraId="0A5E4A90" w14:textId="7A67D190" w:rsidR="00F70228" w:rsidRPr="001B5F4D" w:rsidRDefault="00F70228">
      <w:pPr>
        <w:rPr>
          <w:rFonts w:ascii="Aptos" w:hAnsi="Aptos"/>
        </w:rPr>
      </w:pPr>
      <w:r w:rsidRPr="001B5F4D">
        <w:rPr>
          <w:rFonts w:ascii="Aptos" w:hAnsi="Aptos"/>
        </w:rPr>
        <w:t>Inclusion criteria w</w:t>
      </w:r>
      <w:r w:rsidR="000D4410" w:rsidRPr="001B5F4D">
        <w:rPr>
          <w:rFonts w:ascii="Aptos" w:hAnsi="Aptos"/>
        </w:rPr>
        <w:t>ere</w:t>
      </w:r>
      <w:r w:rsidRPr="001B5F4D">
        <w:rPr>
          <w:rFonts w:ascii="Aptos" w:hAnsi="Aptos"/>
        </w:rPr>
        <w:t xml:space="preserve"> as follows:</w:t>
      </w:r>
    </w:p>
    <w:p w14:paraId="03F29AA3" w14:textId="114CEC14" w:rsidR="00F70228" w:rsidRPr="001B5F4D" w:rsidRDefault="00F70228" w:rsidP="00F70228">
      <w:pPr>
        <w:pStyle w:val="ListParagraph"/>
        <w:numPr>
          <w:ilvl w:val="0"/>
          <w:numId w:val="1"/>
        </w:numPr>
        <w:rPr>
          <w:rFonts w:ascii="Aptos" w:hAnsi="Aptos"/>
        </w:rPr>
      </w:pPr>
      <w:r w:rsidRPr="001B5F4D">
        <w:rPr>
          <w:rFonts w:ascii="Aptos" w:hAnsi="Aptos"/>
        </w:rPr>
        <w:t>Aged over 18</w:t>
      </w:r>
    </w:p>
    <w:p w14:paraId="399C4D2B" w14:textId="193339CB" w:rsidR="00F70228" w:rsidRPr="001B5F4D" w:rsidRDefault="00F70228" w:rsidP="00F70228">
      <w:pPr>
        <w:pStyle w:val="ListParagraph"/>
        <w:numPr>
          <w:ilvl w:val="0"/>
          <w:numId w:val="1"/>
        </w:numPr>
        <w:rPr>
          <w:rFonts w:ascii="Aptos" w:hAnsi="Aptos"/>
        </w:rPr>
      </w:pPr>
      <w:r w:rsidRPr="001B5F4D">
        <w:rPr>
          <w:rFonts w:ascii="Aptos" w:hAnsi="Aptos"/>
        </w:rPr>
        <w:t>Diagnosed with IBD</w:t>
      </w:r>
    </w:p>
    <w:p w14:paraId="14744EC7" w14:textId="64CCB49C" w:rsidR="00F70228" w:rsidRPr="001B5F4D" w:rsidRDefault="00F70228" w:rsidP="00B07C36">
      <w:pPr>
        <w:pStyle w:val="ListParagraph"/>
        <w:numPr>
          <w:ilvl w:val="0"/>
          <w:numId w:val="1"/>
        </w:numPr>
        <w:rPr>
          <w:rFonts w:ascii="Aptos" w:hAnsi="Aptos"/>
        </w:rPr>
      </w:pPr>
      <w:r w:rsidRPr="001B5F4D">
        <w:rPr>
          <w:rFonts w:ascii="Aptos" w:hAnsi="Aptos"/>
        </w:rPr>
        <w:t>Identify as TGNC</w:t>
      </w:r>
    </w:p>
    <w:p w14:paraId="398600B0" w14:textId="77777777" w:rsidR="004C5522" w:rsidRPr="001B5F4D" w:rsidRDefault="004C5522" w:rsidP="00F70228">
      <w:pPr>
        <w:rPr>
          <w:rFonts w:ascii="Aptos" w:hAnsi="Aptos"/>
        </w:rPr>
      </w:pPr>
    </w:p>
    <w:p w14:paraId="2E8C4806" w14:textId="75488BFE" w:rsidR="00843417" w:rsidRPr="007A1F2F" w:rsidRDefault="00843417" w:rsidP="00F70228">
      <w:pPr>
        <w:rPr>
          <w:rFonts w:ascii="Aptos" w:hAnsi="Aptos"/>
          <w:b/>
          <w:bCs/>
        </w:rPr>
      </w:pPr>
      <w:r w:rsidRPr="007A1F2F">
        <w:rPr>
          <w:rFonts w:ascii="Aptos" w:hAnsi="Aptos"/>
          <w:b/>
          <w:bCs/>
        </w:rPr>
        <w:t>Data Collection</w:t>
      </w:r>
    </w:p>
    <w:p w14:paraId="32FBAD1F" w14:textId="53F36778" w:rsidR="008F5356" w:rsidRPr="001B5F4D" w:rsidRDefault="00FC41EC" w:rsidP="00F70228">
      <w:pPr>
        <w:rPr>
          <w:rFonts w:ascii="Aptos" w:hAnsi="Aptos"/>
        </w:rPr>
      </w:pPr>
      <w:r w:rsidRPr="001B5F4D">
        <w:rPr>
          <w:rFonts w:ascii="Aptos" w:hAnsi="Aptos"/>
          <w:color w:val="000000" w:themeColor="text1"/>
        </w:rPr>
        <w:t>In depth semi-structured interviews were conducted</w:t>
      </w:r>
      <w:r w:rsidR="008A7618" w:rsidRPr="001B5F4D">
        <w:rPr>
          <w:rFonts w:ascii="Aptos" w:hAnsi="Aptos"/>
          <w:color w:val="000000" w:themeColor="text1"/>
        </w:rPr>
        <w:t xml:space="preserve"> using a secure online virtual meeting platform followed</w:t>
      </w:r>
      <w:r w:rsidRPr="001B5F4D">
        <w:rPr>
          <w:rFonts w:ascii="Aptos" w:hAnsi="Aptos"/>
          <w:color w:val="000000" w:themeColor="text1"/>
        </w:rPr>
        <w:t xml:space="preserve"> by thematic analysis as our group has previously used in minority group IBD surveys.</w:t>
      </w:r>
      <w:r w:rsidR="00A97CD8" w:rsidRPr="001B5F4D">
        <w:rPr>
          <w:rFonts w:ascii="Aptos" w:hAnsi="Aptos"/>
          <w:color w:val="000000" w:themeColor="text1"/>
        </w:rPr>
        <w:fldChar w:fldCharType="begin"/>
      </w:r>
      <w:r w:rsidR="00C83677">
        <w:rPr>
          <w:rFonts w:ascii="Aptos" w:hAnsi="Aptos"/>
          <w:color w:val="000000" w:themeColor="text1"/>
        </w:rPr>
        <w:instrText xml:space="preserve"> ADDIN ZOTERO_ITEM CSL_CITATION {"citationID":"uDcjyoj0","properties":{"formattedCitation":"[9]","plainCitation":"[9]","noteIndex":0},"citationItems":[{"id":631,"uris":["http://zotero.org/users/local/tOUCYacB/items/PV844QSD"],"itemData":{"id":631,"type":"article-journal","abstract":"There is strong evidence indicating that inflammatory bowel disease (IBD) is increasing among black and minority ethnic (BME) communities. Despite this rise in prevalence, there is a paucity of research relating to ethnicity and IBD outside the USA. Furthermore, the symptoms of IBD are reported to start during childhood or adolescence in 20-25% of people with the condition. It is therefore important that young people's experiences of diagnosis, treatment and living with IBD are fully understood to ensure effective services and information provision. The study reported on in this paper was commissioned by a UK charity (Crohn's and Colitis UK) with the aim of increasing understanding of the specific issues and service needs of young people with IBD from BME communities. Empirical research entailed in-depth semi-structured interviews with 20 young people from BME groups accessed through gastroenterology departments at three collaborating NHS hospitals in England serving ethnically diverse populations. Interviews were carried out from June to December 2010 and sought to capture young people's views with IBD. A thematic analysis of their experiences identified many commonalities with other young people with IBD, such as the problematic route to formal diagnosis and the impact of IBD on education. The young people also experienced tensions between effective self-management strategies and cultural norms and practices relating to food. Moreover, the ability of parents to provide support was hampered for some young people by the absence of culturally competent services that were responsive to the families' communication needs. The findings highlight the need for more culturally appropriate information concerning IBD, and improved responsiveness to young people with IBD within primary care and the education system, as well as culturally competent messaging relating to the specific nature of the condition among the wider South Asian and black communities.","container-title":"Health &amp; Social Care in the Community","DOI":"10.1111/hsc.12188","ISSN":"1365-2524","issue":"6","journalAbbreviation":"Health Soc Care Community","language":"eng","note":"PMID: 25660726","page":"665-672","source":"PubMed","title":"Inflammatory bowel disease in young patients: challenges faced by black and minority ethnic communities in the UK","title-short":"Inflammatory bowel disease in young patients","volume":"23","author":[{"family":"Alexakis","given":"Christopher"},{"family":"Nash","given":"Avril"},{"family":"Lloyd","given":"Michele"},{"family":"Brooks","given":"Fiona"},{"family":"Lindsay","given":"James O."},{"family":"Poullis","given":"Andrew"}],"issued":{"date-parts":[["2015",11]]}}}],"schema":"https://github.com/citation-style-language/schema/raw/master/csl-citation.json"} </w:instrText>
      </w:r>
      <w:r w:rsidR="00A97CD8" w:rsidRPr="001B5F4D">
        <w:rPr>
          <w:rFonts w:ascii="Aptos" w:hAnsi="Aptos"/>
          <w:color w:val="000000" w:themeColor="text1"/>
        </w:rPr>
        <w:fldChar w:fldCharType="separate"/>
      </w:r>
      <w:r w:rsidR="00C83677">
        <w:rPr>
          <w:rFonts w:ascii="Aptos" w:hAnsi="Aptos"/>
          <w:noProof/>
          <w:color w:val="000000" w:themeColor="text1"/>
        </w:rPr>
        <w:t>[9]</w:t>
      </w:r>
      <w:r w:rsidR="00A97CD8" w:rsidRPr="001B5F4D">
        <w:rPr>
          <w:rFonts w:ascii="Aptos" w:hAnsi="Aptos"/>
          <w:color w:val="000000" w:themeColor="text1"/>
        </w:rPr>
        <w:fldChar w:fldCharType="end"/>
      </w:r>
      <w:r w:rsidRPr="001B5F4D">
        <w:rPr>
          <w:rFonts w:ascii="Aptos" w:hAnsi="Aptos"/>
          <w:color w:val="000000" w:themeColor="text1"/>
        </w:rPr>
        <w:t xml:space="preserve"> </w:t>
      </w:r>
      <w:r w:rsidR="00320C17" w:rsidRPr="001B5F4D">
        <w:rPr>
          <w:rFonts w:ascii="Aptos" w:hAnsi="Aptos"/>
          <w:color w:val="000000" w:themeColor="text1"/>
        </w:rPr>
        <w:t>As the discussion progressed the interview guide was regularly reviewed</w:t>
      </w:r>
      <w:r w:rsidR="001E6C85" w:rsidRPr="001B5F4D">
        <w:rPr>
          <w:rFonts w:ascii="Aptos" w:hAnsi="Aptos"/>
          <w:color w:val="000000" w:themeColor="text1"/>
        </w:rPr>
        <w:t xml:space="preserve"> by the interviewer</w:t>
      </w:r>
      <w:r w:rsidR="00320C17" w:rsidRPr="001B5F4D">
        <w:rPr>
          <w:rFonts w:ascii="Aptos" w:hAnsi="Aptos"/>
          <w:color w:val="000000" w:themeColor="text1"/>
        </w:rPr>
        <w:t xml:space="preserve"> to ensure </w:t>
      </w:r>
      <w:r w:rsidR="001E6C85" w:rsidRPr="001B5F4D">
        <w:rPr>
          <w:rFonts w:ascii="Aptos" w:hAnsi="Aptos"/>
          <w:color w:val="000000" w:themeColor="text1"/>
        </w:rPr>
        <w:t xml:space="preserve">that </w:t>
      </w:r>
      <w:r w:rsidR="001777AE" w:rsidRPr="001B5F4D">
        <w:rPr>
          <w:rFonts w:ascii="Aptos" w:hAnsi="Aptos"/>
          <w:color w:val="000000" w:themeColor="text1"/>
        </w:rPr>
        <w:t>all</w:t>
      </w:r>
      <w:r w:rsidR="00320C17" w:rsidRPr="001B5F4D">
        <w:rPr>
          <w:rFonts w:ascii="Aptos" w:hAnsi="Aptos"/>
          <w:color w:val="000000" w:themeColor="text1"/>
        </w:rPr>
        <w:t xml:space="preserve"> areas were </w:t>
      </w:r>
      <w:r w:rsidR="0097195D" w:rsidRPr="001B5F4D">
        <w:rPr>
          <w:rFonts w:ascii="Aptos" w:hAnsi="Aptos"/>
          <w:color w:val="000000" w:themeColor="text1"/>
        </w:rPr>
        <w:t xml:space="preserve">appropriately addressed </w:t>
      </w:r>
      <w:r w:rsidR="001777AE" w:rsidRPr="001B5F4D">
        <w:rPr>
          <w:rFonts w:ascii="Aptos" w:hAnsi="Aptos"/>
        </w:rPr>
        <w:t xml:space="preserve">and once this was completed participants were asked more open questions to freely discuss any further issues they felt </w:t>
      </w:r>
      <w:r w:rsidR="001E6C85" w:rsidRPr="001B5F4D">
        <w:rPr>
          <w:rFonts w:ascii="Aptos" w:hAnsi="Aptos"/>
        </w:rPr>
        <w:t>were important</w:t>
      </w:r>
      <w:r w:rsidR="00320C17" w:rsidRPr="001B5F4D">
        <w:rPr>
          <w:rFonts w:ascii="Aptos" w:hAnsi="Aptos"/>
        </w:rPr>
        <w:t xml:space="preserve">. </w:t>
      </w:r>
      <w:r w:rsidR="008A7618" w:rsidRPr="001B5F4D">
        <w:rPr>
          <w:rFonts w:ascii="Aptos" w:hAnsi="Aptos"/>
        </w:rPr>
        <w:t xml:space="preserve">The audiovisual recording and transcripts were then </w:t>
      </w:r>
      <w:r w:rsidR="00A8188E" w:rsidRPr="001B5F4D">
        <w:rPr>
          <w:rFonts w:ascii="Aptos" w:hAnsi="Aptos"/>
        </w:rPr>
        <w:t xml:space="preserve">anonymised and </w:t>
      </w:r>
      <w:r w:rsidR="00320C17" w:rsidRPr="001B5F4D">
        <w:rPr>
          <w:rFonts w:ascii="Aptos" w:hAnsi="Aptos"/>
        </w:rPr>
        <w:t xml:space="preserve">reviewed independently by a </w:t>
      </w:r>
      <w:r w:rsidR="00E970AE" w:rsidRPr="001B5F4D">
        <w:rPr>
          <w:rFonts w:ascii="Aptos" w:hAnsi="Aptos"/>
        </w:rPr>
        <w:t xml:space="preserve">separate </w:t>
      </w:r>
      <w:r w:rsidR="00320C17" w:rsidRPr="001B5F4D">
        <w:rPr>
          <w:rFonts w:ascii="Aptos" w:hAnsi="Aptos"/>
        </w:rPr>
        <w:t>member of the researching team</w:t>
      </w:r>
      <w:r w:rsidR="00751195" w:rsidRPr="001B5F4D">
        <w:rPr>
          <w:rFonts w:ascii="Aptos" w:hAnsi="Aptos"/>
        </w:rPr>
        <w:t xml:space="preserve"> to ensure impartiality of the interviewer and validity of the findings</w:t>
      </w:r>
      <w:r w:rsidR="00320C17" w:rsidRPr="001B5F4D">
        <w:rPr>
          <w:rFonts w:ascii="Aptos" w:hAnsi="Aptos"/>
        </w:rPr>
        <w:t xml:space="preserve">. </w:t>
      </w:r>
    </w:p>
    <w:p w14:paraId="6CE9511E" w14:textId="77777777" w:rsidR="002F4F75" w:rsidRPr="001B5F4D" w:rsidRDefault="002F4F75" w:rsidP="00F70228">
      <w:pPr>
        <w:rPr>
          <w:rFonts w:ascii="Aptos" w:hAnsi="Aptos"/>
        </w:rPr>
      </w:pPr>
    </w:p>
    <w:p w14:paraId="36D4F672" w14:textId="77777777" w:rsidR="002F4F75" w:rsidRPr="007A1F2F" w:rsidRDefault="002F4F75" w:rsidP="002F4F75">
      <w:pPr>
        <w:rPr>
          <w:rFonts w:ascii="Aptos" w:hAnsi="Aptos"/>
          <w:b/>
          <w:bCs/>
        </w:rPr>
      </w:pPr>
      <w:r w:rsidRPr="007A1F2F">
        <w:rPr>
          <w:rFonts w:ascii="Aptos" w:hAnsi="Aptos"/>
          <w:b/>
          <w:bCs/>
        </w:rPr>
        <w:t>Data analysis</w:t>
      </w:r>
    </w:p>
    <w:p w14:paraId="38F93903" w14:textId="6D5E4C94" w:rsidR="002F4F75" w:rsidRPr="001B5F4D" w:rsidRDefault="00A8188E" w:rsidP="002F4F75">
      <w:pPr>
        <w:rPr>
          <w:rFonts w:ascii="Aptos" w:hAnsi="Aptos"/>
        </w:rPr>
      </w:pPr>
      <w:r w:rsidRPr="001B5F4D">
        <w:rPr>
          <w:rFonts w:ascii="Aptos" w:hAnsi="Aptos"/>
        </w:rPr>
        <w:t xml:space="preserve">Data were analysed using inductive </w:t>
      </w:r>
      <w:r w:rsidR="002F4F75" w:rsidRPr="002F4F75">
        <w:rPr>
          <w:rFonts w:ascii="Aptos" w:hAnsi="Aptos"/>
        </w:rPr>
        <w:t xml:space="preserve">thematic analysis, following the </w:t>
      </w:r>
      <w:r w:rsidRPr="001B5F4D">
        <w:rPr>
          <w:rFonts w:ascii="Aptos" w:hAnsi="Aptos"/>
        </w:rPr>
        <w:t xml:space="preserve">six </w:t>
      </w:r>
      <w:r w:rsidR="002F4F75" w:rsidRPr="002F4F75">
        <w:rPr>
          <w:rFonts w:ascii="Aptos" w:hAnsi="Aptos"/>
        </w:rPr>
        <w:t xml:space="preserve">stages </w:t>
      </w:r>
      <w:r w:rsidRPr="001B5F4D">
        <w:rPr>
          <w:rFonts w:ascii="Aptos" w:hAnsi="Aptos"/>
        </w:rPr>
        <w:t xml:space="preserve">previously </w:t>
      </w:r>
      <w:r w:rsidR="002F4F75" w:rsidRPr="002F4F75">
        <w:rPr>
          <w:rFonts w:ascii="Aptos" w:hAnsi="Aptos"/>
        </w:rPr>
        <w:t>outlined by Braun and Clarke</w:t>
      </w:r>
      <w:r w:rsidR="00BC7A1E">
        <w:rPr>
          <w:rFonts w:ascii="Aptos" w:hAnsi="Aptos"/>
        </w:rPr>
        <w:t>.</w:t>
      </w:r>
      <w:r w:rsidR="00F57F03" w:rsidRPr="001B5F4D">
        <w:rPr>
          <w:rFonts w:ascii="Aptos" w:hAnsi="Aptos"/>
        </w:rPr>
        <w:fldChar w:fldCharType="begin"/>
      </w:r>
      <w:r w:rsidR="00C83677">
        <w:rPr>
          <w:rFonts w:ascii="Aptos" w:hAnsi="Aptos"/>
        </w:rPr>
        <w:instrText xml:space="preserve"> ADDIN ZOTERO_ITEM CSL_CITATION {"citationID":"UEScK0y7","properties":{"formattedCitation":"[10]","plainCitation":"[10]","noteIndex":0},"citationItems":[{"id":1097,"uris":["http://zotero.org/users/local/tOUCYacB/items/KLJCGPCG"],"itemData":{"id":1097,"type":"article-journal","container-title":"Qualitative Research in Psychology","DOI":"10.1191/1478088706qp063oa","ISSN":"1478-0887","issue":"2","note":"publisher: Routledge","page":"77-101","source":"tandfonline.com (Atypon)","title":"Using thematic analysis in psychology","volume":"3","author":[{"family":"Braun","given":"Virginia"},{"family":"Clarke","given":"Victoria"}],"issued":{"date-parts":[["2006",1]]}}}],"schema":"https://github.com/citation-style-language/schema/raw/master/csl-citation.json"} </w:instrText>
      </w:r>
      <w:r w:rsidR="00F57F03" w:rsidRPr="001B5F4D">
        <w:rPr>
          <w:rFonts w:ascii="Aptos" w:hAnsi="Aptos"/>
        </w:rPr>
        <w:fldChar w:fldCharType="separate"/>
      </w:r>
      <w:r w:rsidR="00C83677">
        <w:rPr>
          <w:rFonts w:ascii="Aptos" w:hAnsi="Aptos"/>
          <w:noProof/>
        </w:rPr>
        <w:t>[10]</w:t>
      </w:r>
      <w:r w:rsidR="00F57F03" w:rsidRPr="001B5F4D">
        <w:rPr>
          <w:rFonts w:ascii="Aptos" w:hAnsi="Aptos"/>
        </w:rPr>
        <w:fldChar w:fldCharType="end"/>
      </w:r>
      <w:r w:rsidR="00F57F03" w:rsidRPr="001B5F4D">
        <w:rPr>
          <w:rFonts w:ascii="Aptos" w:hAnsi="Aptos"/>
        </w:rPr>
        <w:t xml:space="preserve"> </w:t>
      </w:r>
      <w:r w:rsidR="008A7618" w:rsidRPr="001B5F4D">
        <w:rPr>
          <w:rFonts w:ascii="Aptos" w:hAnsi="Aptos"/>
        </w:rPr>
        <w:t>Anonymised transcripts were coded and codes with similar themes were grouped together. These codes and the data were then re-reviewed to identify themes that were consistent amongst all participants.</w:t>
      </w:r>
    </w:p>
    <w:p w14:paraId="25EBF4FB" w14:textId="77777777" w:rsidR="00DF221C" w:rsidRPr="001B5F4D" w:rsidRDefault="00DF221C" w:rsidP="00F70228">
      <w:pPr>
        <w:rPr>
          <w:rFonts w:ascii="Aptos" w:hAnsi="Aptos"/>
        </w:rPr>
      </w:pPr>
    </w:p>
    <w:p w14:paraId="7BF58F12" w14:textId="4A9D2B67" w:rsidR="00DF221C" w:rsidRPr="001B5F4D" w:rsidRDefault="00DF221C" w:rsidP="00F70228">
      <w:pPr>
        <w:rPr>
          <w:rFonts w:ascii="Aptos" w:hAnsi="Aptos"/>
        </w:rPr>
      </w:pPr>
      <w:r w:rsidRPr="001B5F4D">
        <w:rPr>
          <w:rFonts w:ascii="Aptos" w:hAnsi="Aptos"/>
        </w:rPr>
        <w:t>The study was approved by the Ethics Committee of St George’s</w:t>
      </w:r>
      <w:r w:rsidR="0073386E" w:rsidRPr="001B5F4D">
        <w:rPr>
          <w:rFonts w:ascii="Aptos" w:hAnsi="Aptos"/>
        </w:rPr>
        <w:t>,</w:t>
      </w:r>
      <w:r w:rsidRPr="001B5F4D">
        <w:rPr>
          <w:rFonts w:ascii="Aptos" w:hAnsi="Aptos"/>
        </w:rPr>
        <w:t xml:space="preserve"> University of London. </w:t>
      </w:r>
    </w:p>
    <w:p w14:paraId="09DE7254" w14:textId="77777777" w:rsidR="00A0726E" w:rsidRPr="001B5F4D" w:rsidRDefault="00A0726E" w:rsidP="00F70228">
      <w:pPr>
        <w:rPr>
          <w:rFonts w:ascii="Aptos" w:hAnsi="Aptos"/>
        </w:rPr>
      </w:pPr>
    </w:p>
    <w:p w14:paraId="3C5D4532" w14:textId="7E473BF0" w:rsidR="00A0726E" w:rsidRPr="001B5F4D" w:rsidRDefault="007A1F2F" w:rsidP="00F70228">
      <w:pPr>
        <w:rPr>
          <w:rFonts w:ascii="Aptos" w:hAnsi="Aptos"/>
          <w:b/>
          <w:bCs/>
        </w:rPr>
      </w:pPr>
      <w:r>
        <w:rPr>
          <w:rFonts w:ascii="Aptos" w:hAnsi="Aptos"/>
          <w:b/>
          <w:bCs/>
        </w:rPr>
        <w:t>RESULTS</w:t>
      </w:r>
    </w:p>
    <w:p w14:paraId="50AADD3B" w14:textId="7C2DC80C" w:rsidR="008A7618" w:rsidRPr="007A1F2F" w:rsidRDefault="008A7618" w:rsidP="00F70228">
      <w:pPr>
        <w:rPr>
          <w:rFonts w:ascii="Aptos" w:hAnsi="Aptos"/>
          <w:b/>
          <w:bCs/>
        </w:rPr>
      </w:pPr>
      <w:r w:rsidRPr="007A1F2F">
        <w:rPr>
          <w:rFonts w:ascii="Aptos" w:hAnsi="Aptos"/>
          <w:b/>
          <w:bCs/>
        </w:rPr>
        <w:t>Participant Characteristics</w:t>
      </w:r>
    </w:p>
    <w:p w14:paraId="076DCE89" w14:textId="531AFAA8" w:rsidR="00937415" w:rsidRPr="001B5F4D" w:rsidRDefault="00937415" w:rsidP="00F70228">
      <w:pPr>
        <w:rPr>
          <w:rFonts w:ascii="Aptos" w:hAnsi="Aptos"/>
          <w:b/>
          <w:bCs/>
        </w:rPr>
      </w:pPr>
      <w:r w:rsidRPr="001B5F4D">
        <w:rPr>
          <w:rFonts w:ascii="Aptos" w:hAnsi="Aptos"/>
        </w:rPr>
        <w:t xml:space="preserve">Seventeen initial responses were received via the website portal and six respondents continued to </w:t>
      </w:r>
      <w:r w:rsidR="00410212" w:rsidRPr="001B5F4D">
        <w:rPr>
          <w:rFonts w:ascii="Aptos" w:hAnsi="Aptos"/>
        </w:rPr>
        <w:t>reply</w:t>
      </w:r>
      <w:r w:rsidRPr="001B5F4D">
        <w:rPr>
          <w:rFonts w:ascii="Aptos" w:hAnsi="Aptos"/>
        </w:rPr>
        <w:t xml:space="preserve"> to communications and confirm potential attendance. One participant stipulated that they could only do so in a one-on-one environment which was then cancelled by the participant after they were admitted to hospital. </w:t>
      </w:r>
      <w:r w:rsidR="00A97709" w:rsidRPr="001B5F4D">
        <w:rPr>
          <w:rFonts w:ascii="Aptos" w:hAnsi="Aptos"/>
        </w:rPr>
        <w:t xml:space="preserve">One participant withdrew on the day due to </w:t>
      </w:r>
      <w:r w:rsidR="008A7618" w:rsidRPr="001B5F4D">
        <w:rPr>
          <w:rFonts w:ascii="Aptos" w:hAnsi="Aptos"/>
        </w:rPr>
        <w:t>alternative</w:t>
      </w:r>
      <w:r w:rsidR="00A97709" w:rsidRPr="001B5F4D">
        <w:rPr>
          <w:rFonts w:ascii="Aptos" w:hAnsi="Aptos"/>
        </w:rPr>
        <w:t xml:space="preserve"> commitments</w:t>
      </w:r>
      <w:r w:rsidR="008A7618" w:rsidRPr="001B5F4D">
        <w:rPr>
          <w:rFonts w:ascii="Aptos" w:hAnsi="Aptos"/>
        </w:rPr>
        <w:t>.</w:t>
      </w:r>
    </w:p>
    <w:p w14:paraId="7E70C175" w14:textId="77777777" w:rsidR="00937415" w:rsidRPr="001B5F4D" w:rsidRDefault="00937415" w:rsidP="00F70228">
      <w:pPr>
        <w:rPr>
          <w:rFonts w:ascii="Aptos" w:hAnsi="Aptos"/>
          <w:b/>
          <w:bCs/>
        </w:rPr>
      </w:pPr>
    </w:p>
    <w:p w14:paraId="31917D42" w14:textId="1EA5058D" w:rsidR="0087465B" w:rsidRPr="001B5F4D" w:rsidRDefault="00937415" w:rsidP="00F70228">
      <w:pPr>
        <w:rPr>
          <w:rFonts w:ascii="Aptos" w:hAnsi="Aptos"/>
        </w:rPr>
      </w:pPr>
      <w:r w:rsidRPr="001B5F4D">
        <w:rPr>
          <w:rFonts w:ascii="Aptos" w:hAnsi="Aptos"/>
        </w:rPr>
        <w:t>T</w:t>
      </w:r>
      <w:r w:rsidR="0087465B" w:rsidRPr="001B5F4D">
        <w:rPr>
          <w:rFonts w:ascii="Aptos" w:hAnsi="Aptos"/>
        </w:rPr>
        <w:t>he basic demographic details</w:t>
      </w:r>
      <w:r w:rsidRPr="001B5F4D">
        <w:rPr>
          <w:rFonts w:ascii="Aptos" w:hAnsi="Aptos"/>
        </w:rPr>
        <w:t xml:space="preserve"> of the </w:t>
      </w:r>
      <w:r w:rsidR="00A97709" w:rsidRPr="001B5F4D">
        <w:rPr>
          <w:rFonts w:ascii="Aptos" w:hAnsi="Aptos"/>
        </w:rPr>
        <w:t xml:space="preserve">four </w:t>
      </w:r>
      <w:r w:rsidRPr="001B5F4D">
        <w:rPr>
          <w:rFonts w:ascii="Aptos" w:hAnsi="Aptos"/>
        </w:rPr>
        <w:t>participants</w:t>
      </w:r>
      <w:r w:rsidR="0087465B" w:rsidRPr="001B5F4D">
        <w:rPr>
          <w:rFonts w:ascii="Aptos" w:hAnsi="Aptos"/>
        </w:rPr>
        <w:t xml:space="preserve"> are summarised in table 1.</w:t>
      </w:r>
    </w:p>
    <w:p w14:paraId="251EC359" w14:textId="77777777" w:rsidR="00821D5B" w:rsidRPr="001B5F4D" w:rsidRDefault="00821D5B" w:rsidP="00F70228">
      <w:pPr>
        <w:rPr>
          <w:rFonts w:ascii="Aptos" w:hAnsi="Aptos"/>
        </w:rPr>
      </w:pPr>
    </w:p>
    <w:tbl>
      <w:tblPr>
        <w:tblStyle w:val="TableGrid"/>
        <w:tblW w:w="0" w:type="auto"/>
        <w:tblLook w:val="04A0" w:firstRow="1" w:lastRow="0" w:firstColumn="1" w:lastColumn="0" w:noHBand="0" w:noVBand="1"/>
      </w:tblPr>
      <w:tblGrid>
        <w:gridCol w:w="1938"/>
        <w:gridCol w:w="1697"/>
        <w:gridCol w:w="1744"/>
        <w:gridCol w:w="1762"/>
        <w:gridCol w:w="1875"/>
      </w:tblGrid>
      <w:tr w:rsidR="009B35B4" w:rsidRPr="001B5F4D" w14:paraId="56C2721E" w14:textId="77777777" w:rsidTr="00821D5B">
        <w:tc>
          <w:tcPr>
            <w:tcW w:w="1980" w:type="dxa"/>
          </w:tcPr>
          <w:p w14:paraId="3D0DF1A9" w14:textId="5912A8C1" w:rsidR="00821D5B" w:rsidRPr="003479DD" w:rsidRDefault="00821D5B" w:rsidP="00F70228">
            <w:pPr>
              <w:rPr>
                <w:rFonts w:ascii="Aptos" w:hAnsi="Aptos"/>
                <w:b/>
                <w:bCs/>
              </w:rPr>
            </w:pPr>
            <w:r w:rsidRPr="003479DD">
              <w:rPr>
                <w:rFonts w:ascii="Aptos" w:hAnsi="Aptos"/>
                <w:b/>
                <w:bCs/>
              </w:rPr>
              <w:t>Participant Number:</w:t>
            </w:r>
          </w:p>
        </w:tc>
        <w:tc>
          <w:tcPr>
            <w:tcW w:w="1626" w:type="dxa"/>
          </w:tcPr>
          <w:p w14:paraId="5AFCC7DF" w14:textId="00055F41" w:rsidR="00821D5B" w:rsidRPr="001B5F4D" w:rsidRDefault="00821D5B" w:rsidP="00F70228">
            <w:pPr>
              <w:rPr>
                <w:rFonts w:ascii="Aptos" w:hAnsi="Aptos"/>
              </w:rPr>
            </w:pPr>
            <w:r w:rsidRPr="001B5F4D">
              <w:rPr>
                <w:rFonts w:ascii="Aptos" w:hAnsi="Aptos"/>
              </w:rPr>
              <w:t>1</w:t>
            </w:r>
          </w:p>
        </w:tc>
        <w:tc>
          <w:tcPr>
            <w:tcW w:w="1803" w:type="dxa"/>
          </w:tcPr>
          <w:p w14:paraId="2E8C89EF" w14:textId="74E31795" w:rsidR="00821D5B" w:rsidRPr="001B5F4D" w:rsidRDefault="00821D5B" w:rsidP="00F70228">
            <w:pPr>
              <w:rPr>
                <w:rFonts w:ascii="Aptos" w:hAnsi="Aptos"/>
              </w:rPr>
            </w:pPr>
            <w:r w:rsidRPr="001B5F4D">
              <w:rPr>
                <w:rFonts w:ascii="Aptos" w:hAnsi="Aptos"/>
              </w:rPr>
              <w:t>2</w:t>
            </w:r>
          </w:p>
        </w:tc>
        <w:tc>
          <w:tcPr>
            <w:tcW w:w="1803" w:type="dxa"/>
          </w:tcPr>
          <w:p w14:paraId="60945A15" w14:textId="1CB35493" w:rsidR="00821D5B" w:rsidRPr="001B5F4D" w:rsidRDefault="00821D5B" w:rsidP="00F70228">
            <w:pPr>
              <w:rPr>
                <w:rFonts w:ascii="Aptos" w:hAnsi="Aptos"/>
              </w:rPr>
            </w:pPr>
            <w:r w:rsidRPr="001B5F4D">
              <w:rPr>
                <w:rFonts w:ascii="Aptos" w:hAnsi="Aptos"/>
              </w:rPr>
              <w:t>3</w:t>
            </w:r>
          </w:p>
        </w:tc>
        <w:tc>
          <w:tcPr>
            <w:tcW w:w="1804" w:type="dxa"/>
          </w:tcPr>
          <w:p w14:paraId="3650C3AD" w14:textId="06E5AB5F" w:rsidR="00821D5B" w:rsidRPr="001B5F4D" w:rsidRDefault="00821D5B" w:rsidP="00F70228">
            <w:pPr>
              <w:rPr>
                <w:rFonts w:ascii="Aptos" w:hAnsi="Aptos"/>
              </w:rPr>
            </w:pPr>
            <w:r w:rsidRPr="001B5F4D">
              <w:rPr>
                <w:rFonts w:ascii="Aptos" w:hAnsi="Aptos"/>
              </w:rPr>
              <w:t>4</w:t>
            </w:r>
          </w:p>
        </w:tc>
      </w:tr>
      <w:tr w:rsidR="009B35B4" w:rsidRPr="001B5F4D" w14:paraId="3DD9BE5E" w14:textId="77777777" w:rsidTr="00821D5B">
        <w:tc>
          <w:tcPr>
            <w:tcW w:w="1980" w:type="dxa"/>
          </w:tcPr>
          <w:p w14:paraId="7B93FF85" w14:textId="2B41742C" w:rsidR="00821D5B" w:rsidRPr="003479DD" w:rsidRDefault="00821D5B" w:rsidP="00F70228">
            <w:pPr>
              <w:rPr>
                <w:rFonts w:ascii="Aptos" w:hAnsi="Aptos"/>
                <w:b/>
                <w:bCs/>
              </w:rPr>
            </w:pPr>
            <w:r w:rsidRPr="003479DD">
              <w:rPr>
                <w:rFonts w:ascii="Aptos" w:hAnsi="Aptos"/>
                <w:b/>
                <w:bCs/>
              </w:rPr>
              <w:t>Age</w:t>
            </w:r>
          </w:p>
        </w:tc>
        <w:tc>
          <w:tcPr>
            <w:tcW w:w="1626" w:type="dxa"/>
          </w:tcPr>
          <w:p w14:paraId="77BE9437" w14:textId="2F557F7A" w:rsidR="00821D5B" w:rsidRPr="001B5F4D" w:rsidRDefault="00821D5B" w:rsidP="00F70228">
            <w:pPr>
              <w:rPr>
                <w:rFonts w:ascii="Aptos" w:hAnsi="Aptos"/>
              </w:rPr>
            </w:pPr>
            <w:r w:rsidRPr="001B5F4D">
              <w:rPr>
                <w:rFonts w:ascii="Aptos" w:hAnsi="Aptos"/>
              </w:rPr>
              <w:t>20</w:t>
            </w:r>
          </w:p>
        </w:tc>
        <w:tc>
          <w:tcPr>
            <w:tcW w:w="1803" w:type="dxa"/>
          </w:tcPr>
          <w:p w14:paraId="6548E868" w14:textId="3AC56E63" w:rsidR="00821D5B" w:rsidRPr="001B5F4D" w:rsidRDefault="00821D5B" w:rsidP="00F70228">
            <w:pPr>
              <w:rPr>
                <w:rFonts w:ascii="Aptos" w:hAnsi="Aptos"/>
              </w:rPr>
            </w:pPr>
            <w:r w:rsidRPr="001B5F4D">
              <w:rPr>
                <w:rFonts w:ascii="Aptos" w:hAnsi="Aptos"/>
              </w:rPr>
              <w:t>27</w:t>
            </w:r>
          </w:p>
        </w:tc>
        <w:tc>
          <w:tcPr>
            <w:tcW w:w="1803" w:type="dxa"/>
          </w:tcPr>
          <w:p w14:paraId="3908C34F" w14:textId="2E964064" w:rsidR="00821D5B" w:rsidRPr="001B5F4D" w:rsidRDefault="00930346" w:rsidP="00F70228">
            <w:pPr>
              <w:rPr>
                <w:rFonts w:ascii="Aptos" w:hAnsi="Aptos"/>
              </w:rPr>
            </w:pPr>
            <w:r>
              <w:rPr>
                <w:rFonts w:ascii="Aptos" w:hAnsi="Aptos"/>
              </w:rPr>
              <w:t>32</w:t>
            </w:r>
          </w:p>
        </w:tc>
        <w:tc>
          <w:tcPr>
            <w:tcW w:w="1804" w:type="dxa"/>
          </w:tcPr>
          <w:p w14:paraId="20398C43" w14:textId="0AB9D9DF" w:rsidR="00821D5B" w:rsidRPr="001B5F4D" w:rsidRDefault="00930346" w:rsidP="00F70228">
            <w:pPr>
              <w:rPr>
                <w:rFonts w:ascii="Aptos" w:hAnsi="Aptos"/>
              </w:rPr>
            </w:pPr>
            <w:r>
              <w:rPr>
                <w:rFonts w:ascii="Aptos" w:hAnsi="Aptos"/>
              </w:rPr>
              <w:t>22</w:t>
            </w:r>
          </w:p>
        </w:tc>
      </w:tr>
      <w:tr w:rsidR="009B35B4" w:rsidRPr="001B5F4D" w14:paraId="65786A70" w14:textId="77777777" w:rsidTr="00821D5B">
        <w:tc>
          <w:tcPr>
            <w:tcW w:w="1980" w:type="dxa"/>
          </w:tcPr>
          <w:p w14:paraId="115AE957" w14:textId="6FC4AD26" w:rsidR="00821D5B" w:rsidRPr="003479DD" w:rsidRDefault="00821D5B" w:rsidP="00F70228">
            <w:pPr>
              <w:rPr>
                <w:rFonts w:ascii="Aptos" w:hAnsi="Aptos"/>
                <w:b/>
                <w:bCs/>
              </w:rPr>
            </w:pPr>
            <w:r w:rsidRPr="003479DD">
              <w:rPr>
                <w:rFonts w:ascii="Aptos" w:hAnsi="Aptos"/>
                <w:b/>
                <w:bCs/>
              </w:rPr>
              <w:t>IBD Subtype</w:t>
            </w:r>
          </w:p>
        </w:tc>
        <w:tc>
          <w:tcPr>
            <w:tcW w:w="1626" w:type="dxa"/>
          </w:tcPr>
          <w:p w14:paraId="67B66E11" w14:textId="314B2094" w:rsidR="00821D5B" w:rsidRPr="001B5F4D" w:rsidRDefault="00821D5B" w:rsidP="00F70228">
            <w:pPr>
              <w:rPr>
                <w:rFonts w:ascii="Aptos" w:hAnsi="Aptos"/>
              </w:rPr>
            </w:pPr>
            <w:r w:rsidRPr="001B5F4D">
              <w:rPr>
                <w:rFonts w:ascii="Aptos" w:hAnsi="Aptos"/>
              </w:rPr>
              <w:t>Crohn’s</w:t>
            </w:r>
            <w:r w:rsidR="00781CD2" w:rsidRPr="001B5F4D">
              <w:rPr>
                <w:rFonts w:ascii="Aptos" w:hAnsi="Aptos"/>
              </w:rPr>
              <w:t xml:space="preserve"> disease</w:t>
            </w:r>
          </w:p>
        </w:tc>
        <w:tc>
          <w:tcPr>
            <w:tcW w:w="1803" w:type="dxa"/>
          </w:tcPr>
          <w:p w14:paraId="5CA97C9B" w14:textId="0C6C64B2" w:rsidR="00821D5B" w:rsidRPr="001B5F4D" w:rsidRDefault="00821D5B" w:rsidP="00F70228">
            <w:pPr>
              <w:rPr>
                <w:rFonts w:ascii="Aptos" w:hAnsi="Aptos"/>
              </w:rPr>
            </w:pPr>
            <w:r w:rsidRPr="001B5F4D">
              <w:rPr>
                <w:rFonts w:ascii="Aptos" w:hAnsi="Aptos"/>
              </w:rPr>
              <w:t>Crohn</w:t>
            </w:r>
            <w:r w:rsidR="00781CD2" w:rsidRPr="001B5F4D">
              <w:rPr>
                <w:rFonts w:ascii="Aptos" w:hAnsi="Aptos"/>
              </w:rPr>
              <w:t>’</w:t>
            </w:r>
            <w:r w:rsidRPr="001B5F4D">
              <w:rPr>
                <w:rFonts w:ascii="Aptos" w:hAnsi="Aptos"/>
              </w:rPr>
              <w:t>s</w:t>
            </w:r>
            <w:r w:rsidR="00781CD2" w:rsidRPr="001B5F4D">
              <w:rPr>
                <w:rFonts w:ascii="Aptos" w:hAnsi="Aptos"/>
              </w:rPr>
              <w:t xml:space="preserve"> disease</w:t>
            </w:r>
          </w:p>
        </w:tc>
        <w:tc>
          <w:tcPr>
            <w:tcW w:w="1803" w:type="dxa"/>
          </w:tcPr>
          <w:p w14:paraId="6D1E3EDE" w14:textId="12B151DA" w:rsidR="00821D5B" w:rsidRPr="001B5F4D" w:rsidRDefault="00821D5B" w:rsidP="00F70228">
            <w:pPr>
              <w:rPr>
                <w:rFonts w:ascii="Aptos" w:hAnsi="Aptos"/>
              </w:rPr>
            </w:pPr>
            <w:r w:rsidRPr="001B5F4D">
              <w:rPr>
                <w:rFonts w:ascii="Aptos" w:hAnsi="Aptos"/>
              </w:rPr>
              <w:t>Ulcerative Colitis</w:t>
            </w:r>
          </w:p>
        </w:tc>
        <w:tc>
          <w:tcPr>
            <w:tcW w:w="1804" w:type="dxa"/>
          </w:tcPr>
          <w:p w14:paraId="3C5EAE74" w14:textId="4D07CC95" w:rsidR="00821D5B" w:rsidRPr="001B5F4D" w:rsidRDefault="00821D5B" w:rsidP="00F70228">
            <w:pPr>
              <w:rPr>
                <w:rFonts w:ascii="Aptos" w:hAnsi="Aptos"/>
              </w:rPr>
            </w:pPr>
            <w:r w:rsidRPr="001B5F4D">
              <w:rPr>
                <w:rFonts w:ascii="Aptos" w:hAnsi="Aptos"/>
              </w:rPr>
              <w:t>IBD-U</w:t>
            </w:r>
            <w:r w:rsidR="00781CD2" w:rsidRPr="001B5F4D">
              <w:rPr>
                <w:rFonts w:ascii="Aptos" w:hAnsi="Aptos"/>
              </w:rPr>
              <w:t>ndetermined</w:t>
            </w:r>
          </w:p>
        </w:tc>
      </w:tr>
      <w:tr w:rsidR="009B35B4" w:rsidRPr="001B5F4D" w14:paraId="1DCF5E7B" w14:textId="77777777" w:rsidTr="00821D5B">
        <w:tc>
          <w:tcPr>
            <w:tcW w:w="1980" w:type="dxa"/>
          </w:tcPr>
          <w:p w14:paraId="4BC1AC37" w14:textId="5DEC221C" w:rsidR="009B35B4" w:rsidRPr="003479DD" w:rsidRDefault="009B35B4" w:rsidP="00F70228">
            <w:pPr>
              <w:rPr>
                <w:rFonts w:ascii="Aptos" w:hAnsi="Aptos"/>
                <w:b/>
                <w:bCs/>
              </w:rPr>
            </w:pPr>
            <w:r w:rsidRPr="003479DD">
              <w:rPr>
                <w:rFonts w:ascii="Aptos" w:hAnsi="Aptos"/>
                <w:b/>
                <w:bCs/>
              </w:rPr>
              <w:lastRenderedPageBreak/>
              <w:t>Assigned Sex at Birth</w:t>
            </w:r>
          </w:p>
        </w:tc>
        <w:tc>
          <w:tcPr>
            <w:tcW w:w="1626" w:type="dxa"/>
          </w:tcPr>
          <w:p w14:paraId="5FF88F9F" w14:textId="3F1D9180" w:rsidR="009B35B4" w:rsidRPr="001B5F4D" w:rsidRDefault="009B35B4" w:rsidP="00F70228">
            <w:pPr>
              <w:rPr>
                <w:rFonts w:ascii="Aptos" w:hAnsi="Aptos"/>
              </w:rPr>
            </w:pPr>
            <w:r w:rsidRPr="001B5F4D">
              <w:rPr>
                <w:rFonts w:ascii="Aptos" w:hAnsi="Aptos"/>
              </w:rPr>
              <w:t>Male</w:t>
            </w:r>
          </w:p>
        </w:tc>
        <w:tc>
          <w:tcPr>
            <w:tcW w:w="1803" w:type="dxa"/>
          </w:tcPr>
          <w:p w14:paraId="5DAAB834" w14:textId="30C85645" w:rsidR="009B35B4" w:rsidRPr="001B5F4D" w:rsidRDefault="009B35B4" w:rsidP="00F70228">
            <w:pPr>
              <w:rPr>
                <w:rFonts w:ascii="Aptos" w:hAnsi="Aptos"/>
              </w:rPr>
            </w:pPr>
            <w:r w:rsidRPr="001B5F4D">
              <w:rPr>
                <w:rFonts w:ascii="Aptos" w:hAnsi="Aptos"/>
              </w:rPr>
              <w:t>Male</w:t>
            </w:r>
          </w:p>
        </w:tc>
        <w:tc>
          <w:tcPr>
            <w:tcW w:w="1803" w:type="dxa"/>
          </w:tcPr>
          <w:p w14:paraId="79697CE0" w14:textId="665C5719" w:rsidR="009B35B4" w:rsidRPr="001B5F4D" w:rsidRDefault="009B35B4" w:rsidP="00F70228">
            <w:pPr>
              <w:rPr>
                <w:rFonts w:ascii="Aptos" w:hAnsi="Aptos"/>
              </w:rPr>
            </w:pPr>
            <w:r w:rsidRPr="001B5F4D">
              <w:rPr>
                <w:rFonts w:ascii="Aptos" w:hAnsi="Aptos"/>
              </w:rPr>
              <w:t>Female</w:t>
            </w:r>
          </w:p>
        </w:tc>
        <w:tc>
          <w:tcPr>
            <w:tcW w:w="1804" w:type="dxa"/>
          </w:tcPr>
          <w:p w14:paraId="5EE8A358" w14:textId="2FB1633B" w:rsidR="009B35B4" w:rsidRPr="001B5F4D" w:rsidRDefault="009B35B4" w:rsidP="00F70228">
            <w:pPr>
              <w:rPr>
                <w:rFonts w:ascii="Aptos" w:hAnsi="Aptos"/>
              </w:rPr>
            </w:pPr>
            <w:r w:rsidRPr="001B5F4D">
              <w:rPr>
                <w:rFonts w:ascii="Aptos" w:hAnsi="Aptos"/>
              </w:rPr>
              <w:t>Female</w:t>
            </w:r>
          </w:p>
        </w:tc>
      </w:tr>
      <w:tr w:rsidR="009B35B4" w:rsidRPr="001B5F4D" w14:paraId="0C4229CE" w14:textId="77777777" w:rsidTr="00821D5B">
        <w:tc>
          <w:tcPr>
            <w:tcW w:w="1980" w:type="dxa"/>
          </w:tcPr>
          <w:p w14:paraId="106BFF7B" w14:textId="1E39A304" w:rsidR="00821D5B" w:rsidRPr="003479DD" w:rsidRDefault="00821D5B" w:rsidP="00F70228">
            <w:pPr>
              <w:rPr>
                <w:rFonts w:ascii="Aptos" w:hAnsi="Aptos"/>
                <w:b/>
                <w:bCs/>
              </w:rPr>
            </w:pPr>
            <w:r w:rsidRPr="003479DD">
              <w:rPr>
                <w:rFonts w:ascii="Aptos" w:hAnsi="Aptos"/>
                <w:b/>
                <w:bCs/>
              </w:rPr>
              <w:t>Gender Identity</w:t>
            </w:r>
          </w:p>
        </w:tc>
        <w:tc>
          <w:tcPr>
            <w:tcW w:w="1626" w:type="dxa"/>
          </w:tcPr>
          <w:p w14:paraId="1A34C503" w14:textId="02986F8E" w:rsidR="00821D5B" w:rsidRPr="001B5F4D" w:rsidRDefault="009B35B4" w:rsidP="00F70228">
            <w:pPr>
              <w:rPr>
                <w:rFonts w:ascii="Aptos" w:hAnsi="Aptos"/>
              </w:rPr>
            </w:pPr>
            <w:r w:rsidRPr="001B5F4D">
              <w:rPr>
                <w:rFonts w:ascii="Aptos" w:hAnsi="Aptos"/>
              </w:rPr>
              <w:t>Transfeminine</w:t>
            </w:r>
          </w:p>
        </w:tc>
        <w:tc>
          <w:tcPr>
            <w:tcW w:w="1803" w:type="dxa"/>
          </w:tcPr>
          <w:p w14:paraId="7576C7D2" w14:textId="69907ED1" w:rsidR="00821D5B" w:rsidRPr="001B5F4D" w:rsidRDefault="00821D5B" w:rsidP="00F70228">
            <w:pPr>
              <w:rPr>
                <w:rFonts w:ascii="Aptos" w:hAnsi="Aptos"/>
              </w:rPr>
            </w:pPr>
            <w:r w:rsidRPr="001B5F4D">
              <w:rPr>
                <w:rFonts w:ascii="Aptos" w:hAnsi="Aptos"/>
              </w:rPr>
              <w:t>Queer</w:t>
            </w:r>
          </w:p>
        </w:tc>
        <w:tc>
          <w:tcPr>
            <w:tcW w:w="1803" w:type="dxa"/>
          </w:tcPr>
          <w:p w14:paraId="68DCCB48" w14:textId="6195139F" w:rsidR="00821D5B" w:rsidRPr="001B5F4D" w:rsidRDefault="00821D5B" w:rsidP="00F70228">
            <w:pPr>
              <w:rPr>
                <w:rFonts w:ascii="Aptos" w:hAnsi="Aptos"/>
              </w:rPr>
            </w:pPr>
            <w:r w:rsidRPr="001B5F4D">
              <w:rPr>
                <w:rFonts w:ascii="Aptos" w:hAnsi="Aptos"/>
              </w:rPr>
              <w:t>Queer</w:t>
            </w:r>
          </w:p>
        </w:tc>
        <w:tc>
          <w:tcPr>
            <w:tcW w:w="1804" w:type="dxa"/>
          </w:tcPr>
          <w:p w14:paraId="796F7D11" w14:textId="6AEE57E2" w:rsidR="00821D5B" w:rsidRPr="001B5F4D" w:rsidRDefault="009B35B4" w:rsidP="00F70228">
            <w:pPr>
              <w:rPr>
                <w:rFonts w:ascii="Aptos" w:hAnsi="Aptos"/>
              </w:rPr>
            </w:pPr>
            <w:r w:rsidRPr="001B5F4D">
              <w:rPr>
                <w:rFonts w:ascii="Aptos" w:hAnsi="Aptos"/>
              </w:rPr>
              <w:t>Transmasculine</w:t>
            </w:r>
          </w:p>
        </w:tc>
      </w:tr>
    </w:tbl>
    <w:p w14:paraId="50600D9A" w14:textId="2FC420C2" w:rsidR="0087465B" w:rsidRPr="001B5F4D" w:rsidRDefault="0087465B" w:rsidP="0087465B">
      <w:pPr>
        <w:rPr>
          <w:rFonts w:ascii="Aptos" w:hAnsi="Aptos"/>
          <w:b/>
          <w:bCs/>
        </w:rPr>
      </w:pPr>
      <w:r w:rsidRPr="001B5F4D">
        <w:rPr>
          <w:rFonts w:ascii="Aptos" w:hAnsi="Aptos"/>
          <w:b/>
          <w:bCs/>
        </w:rPr>
        <w:t xml:space="preserve">Table 1. Demographic data of focus group participants. </w:t>
      </w:r>
    </w:p>
    <w:p w14:paraId="1EB111D9" w14:textId="77777777" w:rsidR="008C4D09" w:rsidRPr="001B5F4D" w:rsidRDefault="008C4D09" w:rsidP="00F70228">
      <w:pPr>
        <w:rPr>
          <w:rFonts w:ascii="Aptos" w:hAnsi="Aptos"/>
          <w:i/>
          <w:iCs/>
        </w:rPr>
      </w:pPr>
    </w:p>
    <w:p w14:paraId="487EC6A2" w14:textId="1CE9FAE5" w:rsidR="0087465B" w:rsidRPr="007A1F2F" w:rsidRDefault="003415A2" w:rsidP="00F70228">
      <w:pPr>
        <w:rPr>
          <w:rFonts w:ascii="Aptos" w:hAnsi="Aptos"/>
          <w:b/>
          <w:bCs/>
        </w:rPr>
      </w:pPr>
      <w:r w:rsidRPr="007A1F2F">
        <w:rPr>
          <w:rFonts w:ascii="Aptos" w:hAnsi="Aptos"/>
          <w:b/>
          <w:bCs/>
        </w:rPr>
        <w:t>Main Themes</w:t>
      </w:r>
    </w:p>
    <w:p w14:paraId="2A740D80" w14:textId="2470EDD3" w:rsidR="00D0567F" w:rsidRPr="001B5F4D" w:rsidRDefault="00D0567F" w:rsidP="00F70228">
      <w:pPr>
        <w:rPr>
          <w:rFonts w:ascii="Aptos" w:hAnsi="Aptos"/>
        </w:rPr>
      </w:pPr>
      <w:r w:rsidRPr="001B5F4D">
        <w:rPr>
          <w:rFonts w:ascii="Aptos" w:hAnsi="Aptos"/>
        </w:rPr>
        <w:t>Six recurrent themes</w:t>
      </w:r>
      <w:r w:rsidR="00E804AE" w:rsidRPr="001B5F4D">
        <w:rPr>
          <w:rFonts w:ascii="Aptos" w:hAnsi="Aptos"/>
        </w:rPr>
        <w:t xml:space="preserve"> related to negative experiences when engaging with IBD healthcare</w:t>
      </w:r>
      <w:r w:rsidRPr="001B5F4D">
        <w:rPr>
          <w:rFonts w:ascii="Aptos" w:hAnsi="Aptos"/>
        </w:rPr>
        <w:t xml:space="preserve"> were identified from our analysis.</w:t>
      </w:r>
    </w:p>
    <w:p w14:paraId="48A4DF0F" w14:textId="21F414EF" w:rsidR="00D0567F" w:rsidRPr="001B5F4D" w:rsidRDefault="00D0567F" w:rsidP="00D0567F">
      <w:pPr>
        <w:pStyle w:val="ListParagraph"/>
        <w:numPr>
          <w:ilvl w:val="0"/>
          <w:numId w:val="4"/>
        </w:numPr>
        <w:rPr>
          <w:rFonts w:ascii="Aptos" w:hAnsi="Aptos"/>
        </w:rPr>
      </w:pPr>
      <w:r w:rsidRPr="001B5F4D">
        <w:rPr>
          <w:rFonts w:ascii="Aptos" w:hAnsi="Aptos"/>
        </w:rPr>
        <w:t>Assumptions</w:t>
      </w:r>
    </w:p>
    <w:p w14:paraId="5DE6580E" w14:textId="5F7C8E6A" w:rsidR="00E804AE" w:rsidRPr="001B5F4D" w:rsidRDefault="00E804AE" w:rsidP="00D0567F">
      <w:pPr>
        <w:pStyle w:val="ListParagraph"/>
        <w:numPr>
          <w:ilvl w:val="0"/>
          <w:numId w:val="4"/>
        </w:numPr>
        <w:rPr>
          <w:rFonts w:ascii="Aptos" w:hAnsi="Aptos"/>
        </w:rPr>
      </w:pPr>
      <w:r w:rsidRPr="001B5F4D">
        <w:rPr>
          <w:rFonts w:ascii="Aptos" w:hAnsi="Aptos"/>
        </w:rPr>
        <w:t>Poor mental health provision</w:t>
      </w:r>
    </w:p>
    <w:p w14:paraId="1BD6E6AF" w14:textId="3EC6B6C0" w:rsidR="00E804AE" w:rsidRPr="001B5F4D" w:rsidRDefault="00E804AE" w:rsidP="00D0567F">
      <w:pPr>
        <w:pStyle w:val="ListParagraph"/>
        <w:numPr>
          <w:ilvl w:val="0"/>
          <w:numId w:val="4"/>
        </w:numPr>
        <w:rPr>
          <w:rFonts w:ascii="Aptos" w:hAnsi="Aptos"/>
        </w:rPr>
      </w:pPr>
      <w:r w:rsidRPr="001B5F4D">
        <w:rPr>
          <w:rFonts w:ascii="Aptos" w:hAnsi="Aptos"/>
        </w:rPr>
        <w:t xml:space="preserve">A lack of research and </w:t>
      </w:r>
      <w:r w:rsidR="003479DD" w:rsidRPr="001B5F4D">
        <w:rPr>
          <w:rFonts w:ascii="Aptos" w:hAnsi="Aptos"/>
        </w:rPr>
        <w:t>evidence-based</w:t>
      </w:r>
      <w:r w:rsidRPr="001B5F4D">
        <w:rPr>
          <w:rFonts w:ascii="Aptos" w:hAnsi="Aptos"/>
        </w:rPr>
        <w:t xml:space="preserve"> practice</w:t>
      </w:r>
    </w:p>
    <w:p w14:paraId="672FABC7" w14:textId="45455486" w:rsidR="00E804AE" w:rsidRPr="001B5F4D" w:rsidRDefault="00E804AE" w:rsidP="00D0567F">
      <w:pPr>
        <w:pStyle w:val="ListParagraph"/>
        <w:numPr>
          <w:ilvl w:val="0"/>
          <w:numId w:val="4"/>
        </w:numPr>
        <w:rPr>
          <w:rFonts w:ascii="Aptos" w:hAnsi="Aptos"/>
        </w:rPr>
      </w:pPr>
      <w:r w:rsidRPr="001B5F4D">
        <w:rPr>
          <w:rFonts w:ascii="Aptos" w:hAnsi="Aptos"/>
        </w:rPr>
        <w:t>Facilities</w:t>
      </w:r>
    </w:p>
    <w:p w14:paraId="17E109DD" w14:textId="768CE008" w:rsidR="00E804AE" w:rsidRPr="001B5F4D" w:rsidRDefault="00E804AE" w:rsidP="00D0567F">
      <w:pPr>
        <w:pStyle w:val="ListParagraph"/>
        <w:numPr>
          <w:ilvl w:val="0"/>
          <w:numId w:val="4"/>
        </w:numPr>
        <w:rPr>
          <w:rFonts w:ascii="Aptos" w:hAnsi="Aptos"/>
        </w:rPr>
      </w:pPr>
      <w:r w:rsidRPr="001B5F4D">
        <w:rPr>
          <w:rFonts w:ascii="Aptos" w:hAnsi="Aptos"/>
        </w:rPr>
        <w:t>Transphobia</w:t>
      </w:r>
    </w:p>
    <w:p w14:paraId="4100E855" w14:textId="5937C291" w:rsidR="00E804AE" w:rsidRPr="001B5F4D" w:rsidRDefault="00E804AE" w:rsidP="00D0567F">
      <w:pPr>
        <w:pStyle w:val="ListParagraph"/>
        <w:numPr>
          <w:ilvl w:val="0"/>
          <w:numId w:val="4"/>
        </w:numPr>
        <w:rPr>
          <w:rFonts w:ascii="Aptos" w:hAnsi="Aptos"/>
        </w:rPr>
      </w:pPr>
      <w:r w:rsidRPr="001B5F4D">
        <w:rPr>
          <w:rFonts w:ascii="Aptos" w:hAnsi="Aptos"/>
        </w:rPr>
        <w:t>A need for greater staff training to improve awareness</w:t>
      </w:r>
    </w:p>
    <w:p w14:paraId="03DF54AC" w14:textId="77777777" w:rsidR="00842DAB" w:rsidRPr="001B5F4D" w:rsidRDefault="00842DAB">
      <w:pPr>
        <w:rPr>
          <w:rFonts w:ascii="Aptos" w:hAnsi="Aptos"/>
        </w:rPr>
      </w:pPr>
    </w:p>
    <w:p w14:paraId="322C8AE9" w14:textId="78FD247C" w:rsidR="00842DAB" w:rsidRPr="009A1F66" w:rsidRDefault="00842DAB" w:rsidP="000D734B">
      <w:pPr>
        <w:pStyle w:val="ListParagraph"/>
        <w:numPr>
          <w:ilvl w:val="0"/>
          <w:numId w:val="5"/>
        </w:numPr>
        <w:rPr>
          <w:rFonts w:ascii="Aptos" w:hAnsi="Aptos"/>
          <w:i/>
          <w:iCs/>
        </w:rPr>
      </w:pPr>
      <w:r w:rsidRPr="009A1F66">
        <w:rPr>
          <w:rFonts w:ascii="Aptos" w:hAnsi="Aptos"/>
          <w:i/>
          <w:iCs/>
        </w:rPr>
        <w:t>Assumptions</w:t>
      </w:r>
    </w:p>
    <w:p w14:paraId="70BF0838" w14:textId="77777777" w:rsidR="00E804AE" w:rsidRPr="001B5F4D" w:rsidRDefault="004E50D7">
      <w:pPr>
        <w:rPr>
          <w:rFonts w:ascii="Aptos" w:hAnsi="Aptos"/>
        </w:rPr>
      </w:pPr>
      <w:r w:rsidRPr="001B5F4D">
        <w:rPr>
          <w:rFonts w:ascii="Aptos" w:hAnsi="Aptos"/>
        </w:rPr>
        <w:t>Healthcare professionals making</w:t>
      </w:r>
      <w:r w:rsidR="00286CB3" w:rsidRPr="001B5F4D">
        <w:rPr>
          <w:rFonts w:ascii="Aptos" w:hAnsi="Aptos"/>
        </w:rPr>
        <w:t xml:space="preserve"> assumptions about </w:t>
      </w:r>
      <w:r w:rsidRPr="001B5F4D">
        <w:rPr>
          <w:rFonts w:ascii="Aptos" w:hAnsi="Aptos"/>
        </w:rPr>
        <w:t>the participants’ gender identity was unanimously reported and what they described as</w:t>
      </w:r>
      <w:r w:rsidR="00E804AE" w:rsidRPr="001B5F4D">
        <w:rPr>
          <w:rFonts w:ascii="Aptos" w:hAnsi="Aptos"/>
        </w:rPr>
        <w:t>:</w:t>
      </w:r>
    </w:p>
    <w:p w14:paraId="26849E85" w14:textId="77777777" w:rsidR="00E804AE" w:rsidRPr="001B5F4D" w:rsidRDefault="00E804AE">
      <w:pPr>
        <w:rPr>
          <w:rFonts w:ascii="Aptos" w:hAnsi="Aptos"/>
        </w:rPr>
      </w:pPr>
    </w:p>
    <w:p w14:paraId="707A79C7" w14:textId="3B4118C2" w:rsidR="00E804AE" w:rsidRPr="001B5F4D" w:rsidRDefault="00E804AE" w:rsidP="00E804AE">
      <w:pPr>
        <w:jc w:val="center"/>
        <w:rPr>
          <w:rFonts w:ascii="Aptos" w:hAnsi="Aptos"/>
        </w:rPr>
      </w:pPr>
      <w:r w:rsidRPr="001B5F4D">
        <w:rPr>
          <w:rFonts w:ascii="Aptos" w:hAnsi="Aptos"/>
        </w:rPr>
        <w:t>‘</w:t>
      </w:r>
      <w:proofErr w:type="gramStart"/>
      <w:r w:rsidR="004E50D7" w:rsidRPr="001B5F4D">
        <w:rPr>
          <w:rFonts w:ascii="Aptos" w:hAnsi="Aptos"/>
        </w:rPr>
        <w:t>the</w:t>
      </w:r>
      <w:proofErr w:type="gramEnd"/>
      <w:r w:rsidR="004E50D7" w:rsidRPr="001B5F4D">
        <w:rPr>
          <w:rFonts w:ascii="Aptos" w:hAnsi="Aptos"/>
        </w:rPr>
        <w:t xml:space="preserve"> most common negative experience’</w:t>
      </w:r>
    </w:p>
    <w:p w14:paraId="57FEDD62" w14:textId="77777777" w:rsidR="00E804AE" w:rsidRPr="001B5F4D" w:rsidRDefault="00E804AE">
      <w:pPr>
        <w:rPr>
          <w:rFonts w:ascii="Aptos" w:hAnsi="Aptos"/>
        </w:rPr>
      </w:pPr>
    </w:p>
    <w:p w14:paraId="26042F73" w14:textId="1B2CF7AD" w:rsidR="00286CB3" w:rsidRPr="001B5F4D" w:rsidRDefault="004E50D7">
      <w:pPr>
        <w:rPr>
          <w:rFonts w:ascii="Aptos" w:hAnsi="Aptos"/>
        </w:rPr>
      </w:pPr>
      <w:r w:rsidRPr="001B5F4D">
        <w:rPr>
          <w:rFonts w:ascii="Aptos" w:hAnsi="Aptos"/>
        </w:rPr>
        <w:t xml:space="preserve"> when accessin</w:t>
      </w:r>
      <w:r w:rsidR="008F7CC0" w:rsidRPr="001B5F4D">
        <w:rPr>
          <w:rFonts w:ascii="Aptos" w:hAnsi="Aptos"/>
        </w:rPr>
        <w:t xml:space="preserve">g </w:t>
      </w:r>
      <w:r w:rsidR="008F7CC0" w:rsidRPr="001B5F4D">
        <w:rPr>
          <w:rFonts w:ascii="Aptos" w:hAnsi="Aptos"/>
          <w:color w:val="000000" w:themeColor="text1"/>
        </w:rPr>
        <w:t>IB</w:t>
      </w:r>
      <w:r w:rsidR="0056503F" w:rsidRPr="001B5F4D">
        <w:rPr>
          <w:rFonts w:ascii="Aptos" w:hAnsi="Aptos"/>
          <w:color w:val="000000" w:themeColor="text1"/>
        </w:rPr>
        <w:t>D</w:t>
      </w:r>
      <w:r w:rsidR="008F7CC0" w:rsidRPr="001B5F4D">
        <w:rPr>
          <w:rFonts w:ascii="Aptos" w:hAnsi="Aptos"/>
          <w:color w:val="000000" w:themeColor="text1"/>
        </w:rPr>
        <w:t xml:space="preserve"> </w:t>
      </w:r>
      <w:r w:rsidR="008F7CC0" w:rsidRPr="001B5F4D">
        <w:rPr>
          <w:rFonts w:ascii="Aptos" w:hAnsi="Aptos"/>
        </w:rPr>
        <w:t>services</w:t>
      </w:r>
      <w:r w:rsidR="00F22127" w:rsidRPr="001B5F4D">
        <w:rPr>
          <w:rFonts w:ascii="Aptos" w:hAnsi="Aptos"/>
        </w:rPr>
        <w:t>.</w:t>
      </w:r>
      <w:r w:rsidR="00842DAB" w:rsidRPr="001B5F4D">
        <w:rPr>
          <w:rFonts w:ascii="Aptos" w:hAnsi="Aptos"/>
        </w:rPr>
        <w:t xml:space="preserve"> This included being ‘mis-read’ by healthcare staff who would assume by looking at participants that they held a particular gender identity</w:t>
      </w:r>
      <w:r w:rsidRPr="001B5F4D">
        <w:rPr>
          <w:rFonts w:ascii="Aptos" w:hAnsi="Aptos"/>
        </w:rPr>
        <w:t xml:space="preserve"> and </w:t>
      </w:r>
      <w:r w:rsidR="0042535F" w:rsidRPr="001B5F4D">
        <w:rPr>
          <w:rFonts w:ascii="Aptos" w:hAnsi="Aptos"/>
        </w:rPr>
        <w:t xml:space="preserve">these </w:t>
      </w:r>
      <w:r w:rsidRPr="001B5F4D">
        <w:rPr>
          <w:rFonts w:ascii="Aptos" w:hAnsi="Aptos"/>
        </w:rPr>
        <w:t xml:space="preserve">assumptions </w:t>
      </w:r>
      <w:r w:rsidR="008F7CC0" w:rsidRPr="001B5F4D">
        <w:rPr>
          <w:rFonts w:ascii="Aptos" w:hAnsi="Aptos"/>
        </w:rPr>
        <w:t xml:space="preserve">also </w:t>
      </w:r>
      <w:r w:rsidR="0042535F" w:rsidRPr="001B5F4D">
        <w:rPr>
          <w:rFonts w:ascii="Aptos" w:hAnsi="Aptos"/>
        </w:rPr>
        <w:t>extended to</w:t>
      </w:r>
      <w:r w:rsidR="00AE0F51" w:rsidRPr="001B5F4D">
        <w:rPr>
          <w:rFonts w:ascii="Aptos" w:hAnsi="Aptos"/>
        </w:rPr>
        <w:t xml:space="preserve"> those </w:t>
      </w:r>
      <w:r w:rsidR="00DA0D46" w:rsidRPr="001B5F4D">
        <w:rPr>
          <w:rFonts w:ascii="Aptos" w:hAnsi="Aptos"/>
        </w:rPr>
        <w:t>accompanying</w:t>
      </w:r>
      <w:r w:rsidR="00AE0F51" w:rsidRPr="001B5F4D">
        <w:rPr>
          <w:rFonts w:ascii="Aptos" w:hAnsi="Aptos"/>
        </w:rPr>
        <w:t xml:space="preserve"> patients to appointments a</w:t>
      </w:r>
      <w:r w:rsidR="009A1F66">
        <w:rPr>
          <w:rFonts w:ascii="Aptos" w:hAnsi="Aptos"/>
        </w:rPr>
        <w:t xml:space="preserve">s well as </w:t>
      </w:r>
      <w:r w:rsidR="00AE0F51" w:rsidRPr="001B5F4D">
        <w:rPr>
          <w:rFonts w:ascii="Aptos" w:hAnsi="Aptos"/>
        </w:rPr>
        <w:t xml:space="preserve">their </w:t>
      </w:r>
      <w:r w:rsidR="0042535F" w:rsidRPr="001B5F4D">
        <w:rPr>
          <w:rFonts w:ascii="Aptos" w:hAnsi="Aptos"/>
        </w:rPr>
        <w:t>inter</w:t>
      </w:r>
      <w:r w:rsidRPr="001B5F4D">
        <w:rPr>
          <w:rFonts w:ascii="Aptos" w:hAnsi="Aptos"/>
        </w:rPr>
        <w:t xml:space="preserve">personal </w:t>
      </w:r>
      <w:r w:rsidR="00AE0F51" w:rsidRPr="001B5F4D">
        <w:rPr>
          <w:rFonts w:ascii="Aptos" w:hAnsi="Aptos"/>
        </w:rPr>
        <w:t xml:space="preserve">relationships. Participants reported that it was ‘rare’ to be asked about for their preferred pronouns or to ask about their relationship to those </w:t>
      </w:r>
      <w:r w:rsidR="00665D65">
        <w:rPr>
          <w:rFonts w:ascii="Aptos" w:hAnsi="Aptos"/>
        </w:rPr>
        <w:t>accompanying</w:t>
      </w:r>
      <w:r w:rsidR="00665D65" w:rsidRPr="001B5F4D">
        <w:rPr>
          <w:rFonts w:ascii="Aptos" w:hAnsi="Aptos"/>
        </w:rPr>
        <w:t xml:space="preserve"> </w:t>
      </w:r>
      <w:r w:rsidR="00AE0F51" w:rsidRPr="001B5F4D">
        <w:rPr>
          <w:rFonts w:ascii="Aptos" w:hAnsi="Aptos"/>
        </w:rPr>
        <w:t>them</w:t>
      </w:r>
      <w:r w:rsidRPr="001B5F4D">
        <w:rPr>
          <w:rFonts w:ascii="Aptos" w:hAnsi="Aptos"/>
        </w:rPr>
        <w:t xml:space="preserve"> or their identity</w:t>
      </w:r>
      <w:r w:rsidR="00AE0F51" w:rsidRPr="001B5F4D">
        <w:rPr>
          <w:rFonts w:ascii="Aptos" w:hAnsi="Aptos"/>
        </w:rPr>
        <w:t>.</w:t>
      </w:r>
      <w:r w:rsidR="000A43D1" w:rsidRPr="001B5F4D">
        <w:rPr>
          <w:rFonts w:ascii="Aptos" w:hAnsi="Aptos"/>
        </w:rPr>
        <w:t xml:space="preserve"> Assumptions were also made about where they should be placed during inpatient admissions</w:t>
      </w:r>
      <w:r w:rsidR="008F7CC0" w:rsidRPr="001B5F4D">
        <w:rPr>
          <w:rFonts w:ascii="Aptos" w:hAnsi="Aptos"/>
        </w:rPr>
        <w:t>, i.e. in a male or female bay,</w:t>
      </w:r>
      <w:r w:rsidR="000A43D1" w:rsidRPr="001B5F4D">
        <w:rPr>
          <w:rFonts w:ascii="Aptos" w:hAnsi="Aptos"/>
        </w:rPr>
        <w:t xml:space="preserve"> and when attending investigations such as endoscopy and th</w:t>
      </w:r>
      <w:r w:rsidR="009A1F66">
        <w:rPr>
          <w:rFonts w:ascii="Aptos" w:hAnsi="Aptos"/>
        </w:rPr>
        <w:t>e</w:t>
      </w:r>
      <w:r w:rsidR="000A43D1" w:rsidRPr="001B5F4D">
        <w:rPr>
          <w:rFonts w:ascii="Aptos" w:hAnsi="Aptos"/>
        </w:rPr>
        <w:t>s</w:t>
      </w:r>
      <w:r w:rsidR="009A1F66">
        <w:rPr>
          <w:rFonts w:ascii="Aptos" w:hAnsi="Aptos"/>
        </w:rPr>
        <w:t>e assumptions</w:t>
      </w:r>
      <w:r w:rsidR="000A43D1" w:rsidRPr="001B5F4D">
        <w:rPr>
          <w:rFonts w:ascii="Aptos" w:hAnsi="Aptos"/>
        </w:rPr>
        <w:t xml:space="preserve"> had </w:t>
      </w:r>
      <w:r w:rsidR="00665D65">
        <w:rPr>
          <w:rFonts w:ascii="Aptos" w:hAnsi="Aptos"/>
        </w:rPr>
        <w:t xml:space="preserve">all </w:t>
      </w:r>
      <w:r w:rsidR="000A43D1" w:rsidRPr="001B5F4D">
        <w:rPr>
          <w:rFonts w:ascii="Aptos" w:hAnsi="Aptos"/>
        </w:rPr>
        <w:t>caused distress and anxiety.</w:t>
      </w:r>
    </w:p>
    <w:p w14:paraId="48D9FBC6" w14:textId="77777777" w:rsidR="007A3045" w:rsidRPr="001B5F4D" w:rsidRDefault="007A3045">
      <w:pPr>
        <w:rPr>
          <w:rFonts w:ascii="Aptos" w:hAnsi="Aptos"/>
        </w:rPr>
      </w:pPr>
    </w:p>
    <w:p w14:paraId="2E292E40" w14:textId="4C3A4A59" w:rsidR="007A3045" w:rsidRPr="009A1F66" w:rsidRDefault="007A3045" w:rsidP="000D734B">
      <w:pPr>
        <w:pStyle w:val="ListParagraph"/>
        <w:numPr>
          <w:ilvl w:val="0"/>
          <w:numId w:val="5"/>
        </w:numPr>
        <w:rPr>
          <w:rFonts w:ascii="Aptos" w:hAnsi="Aptos"/>
          <w:i/>
          <w:iCs/>
        </w:rPr>
      </w:pPr>
      <w:r w:rsidRPr="009A1F66">
        <w:rPr>
          <w:rFonts w:ascii="Aptos" w:hAnsi="Aptos"/>
          <w:i/>
          <w:iCs/>
        </w:rPr>
        <w:t>Poor Mental Health Provision</w:t>
      </w:r>
    </w:p>
    <w:p w14:paraId="722ED44E" w14:textId="77777777" w:rsidR="00E804AE" w:rsidRPr="001B5F4D" w:rsidRDefault="007A3045">
      <w:pPr>
        <w:rPr>
          <w:rFonts w:ascii="Aptos" w:hAnsi="Aptos"/>
        </w:rPr>
      </w:pPr>
      <w:r w:rsidRPr="001B5F4D">
        <w:rPr>
          <w:rFonts w:ascii="Aptos" w:hAnsi="Aptos"/>
        </w:rPr>
        <w:t xml:space="preserve">All participants volunteered that they suffer or have suffered from a mental </w:t>
      </w:r>
      <w:r w:rsidR="00DA0D46" w:rsidRPr="001B5F4D">
        <w:rPr>
          <w:rFonts w:ascii="Aptos" w:hAnsi="Aptos"/>
        </w:rPr>
        <w:t>health</w:t>
      </w:r>
      <w:r w:rsidRPr="001B5F4D">
        <w:rPr>
          <w:rFonts w:ascii="Aptos" w:hAnsi="Aptos"/>
        </w:rPr>
        <w:t xml:space="preserve"> disease and felt that the support offered by both IBD services and the N</w:t>
      </w:r>
      <w:r w:rsidR="00CF5CA4" w:rsidRPr="001B5F4D">
        <w:rPr>
          <w:rFonts w:ascii="Aptos" w:hAnsi="Aptos"/>
        </w:rPr>
        <w:t xml:space="preserve">ational </w:t>
      </w:r>
      <w:r w:rsidRPr="001B5F4D">
        <w:rPr>
          <w:rFonts w:ascii="Aptos" w:hAnsi="Aptos"/>
        </w:rPr>
        <w:t>H</w:t>
      </w:r>
      <w:r w:rsidR="00CF5CA4" w:rsidRPr="001B5F4D">
        <w:rPr>
          <w:rFonts w:ascii="Aptos" w:hAnsi="Aptos"/>
        </w:rPr>
        <w:t xml:space="preserve">ealth </w:t>
      </w:r>
      <w:r w:rsidRPr="001B5F4D">
        <w:rPr>
          <w:rFonts w:ascii="Aptos" w:hAnsi="Aptos"/>
        </w:rPr>
        <w:t>S</w:t>
      </w:r>
      <w:r w:rsidR="00CF5CA4" w:rsidRPr="001B5F4D">
        <w:rPr>
          <w:rFonts w:ascii="Aptos" w:hAnsi="Aptos"/>
        </w:rPr>
        <w:t>ervice (NHS)</w:t>
      </w:r>
      <w:r w:rsidRPr="001B5F4D">
        <w:rPr>
          <w:rFonts w:ascii="Aptos" w:hAnsi="Aptos"/>
        </w:rPr>
        <w:t xml:space="preserve"> was ‘poor’ with reg</w:t>
      </w:r>
      <w:r w:rsidR="002D18CD" w:rsidRPr="001B5F4D">
        <w:rPr>
          <w:rFonts w:ascii="Aptos" w:hAnsi="Aptos"/>
        </w:rPr>
        <w:t>a</w:t>
      </w:r>
      <w:r w:rsidRPr="001B5F4D">
        <w:rPr>
          <w:rFonts w:ascii="Aptos" w:hAnsi="Aptos"/>
        </w:rPr>
        <w:t xml:space="preserve">rds to TGNC individuals. </w:t>
      </w:r>
      <w:r w:rsidR="00194550" w:rsidRPr="001B5F4D">
        <w:rPr>
          <w:rFonts w:ascii="Aptos" w:hAnsi="Aptos"/>
        </w:rPr>
        <w:t>Participant 1</w:t>
      </w:r>
      <w:r w:rsidR="00114226" w:rsidRPr="001B5F4D">
        <w:rPr>
          <w:rFonts w:ascii="Aptos" w:hAnsi="Aptos"/>
        </w:rPr>
        <w:t xml:space="preserve"> cited that when they were a teenager and young </w:t>
      </w:r>
      <w:proofErr w:type="gramStart"/>
      <w:r w:rsidR="00114226" w:rsidRPr="001B5F4D">
        <w:rPr>
          <w:rFonts w:ascii="Aptos" w:hAnsi="Aptos"/>
        </w:rPr>
        <w:t>adult</w:t>
      </w:r>
      <w:proofErr w:type="gramEnd"/>
      <w:r w:rsidR="00114226" w:rsidRPr="001B5F4D">
        <w:rPr>
          <w:rFonts w:ascii="Aptos" w:hAnsi="Aptos"/>
        </w:rPr>
        <w:t xml:space="preserve"> they found it</w:t>
      </w:r>
    </w:p>
    <w:p w14:paraId="022E878F" w14:textId="77777777" w:rsidR="00E804AE" w:rsidRPr="001B5F4D" w:rsidRDefault="00E804AE">
      <w:pPr>
        <w:rPr>
          <w:rFonts w:ascii="Aptos" w:hAnsi="Aptos"/>
        </w:rPr>
      </w:pPr>
    </w:p>
    <w:p w14:paraId="49AAA6FD" w14:textId="3B90B4DF" w:rsidR="00E804AE" w:rsidRPr="001B5F4D" w:rsidRDefault="00E804AE" w:rsidP="00E804AE">
      <w:pPr>
        <w:jc w:val="center"/>
        <w:rPr>
          <w:rFonts w:ascii="Aptos" w:hAnsi="Aptos"/>
        </w:rPr>
      </w:pPr>
      <w:r w:rsidRPr="001B5F4D">
        <w:rPr>
          <w:rFonts w:ascii="Aptos" w:hAnsi="Aptos"/>
        </w:rPr>
        <w:t>‘</w:t>
      </w:r>
      <w:proofErr w:type="gramStart"/>
      <w:r w:rsidR="00114226" w:rsidRPr="001B5F4D">
        <w:rPr>
          <w:rFonts w:ascii="Aptos" w:hAnsi="Aptos"/>
        </w:rPr>
        <w:t>difficult</w:t>
      </w:r>
      <w:proofErr w:type="gramEnd"/>
      <w:r w:rsidR="00114226" w:rsidRPr="001B5F4D">
        <w:rPr>
          <w:rFonts w:ascii="Aptos" w:hAnsi="Aptos"/>
        </w:rPr>
        <w:t xml:space="preserve"> </w:t>
      </w:r>
      <w:r w:rsidRPr="001B5F4D">
        <w:rPr>
          <w:rFonts w:ascii="Aptos" w:hAnsi="Aptos"/>
        </w:rPr>
        <w:t>to go through</w:t>
      </w:r>
      <w:r w:rsidR="00114226" w:rsidRPr="001B5F4D">
        <w:rPr>
          <w:rFonts w:ascii="Aptos" w:hAnsi="Aptos"/>
        </w:rPr>
        <w:t xml:space="preserve"> a bunch of invasive tests</w:t>
      </w:r>
      <w:r w:rsidR="003479DD">
        <w:rPr>
          <w:rFonts w:ascii="Aptos" w:hAnsi="Aptos"/>
        </w:rPr>
        <w:t>’</w:t>
      </w:r>
      <w:r w:rsidRPr="001B5F4D">
        <w:rPr>
          <w:rFonts w:ascii="Aptos" w:hAnsi="Aptos"/>
        </w:rPr>
        <w:t xml:space="preserve"> </w:t>
      </w:r>
      <w:r w:rsidR="00114226" w:rsidRPr="001B5F4D">
        <w:rPr>
          <w:rFonts w:ascii="Aptos" w:hAnsi="Aptos"/>
        </w:rPr>
        <w:t xml:space="preserve">whilst feeling </w:t>
      </w:r>
      <w:r w:rsidR="00CF5CA4" w:rsidRPr="001B5F4D">
        <w:rPr>
          <w:rFonts w:ascii="Aptos" w:hAnsi="Aptos"/>
        </w:rPr>
        <w:t>‘</w:t>
      </w:r>
      <w:r w:rsidR="00114226" w:rsidRPr="001B5F4D">
        <w:rPr>
          <w:rFonts w:ascii="Aptos" w:hAnsi="Aptos"/>
        </w:rPr>
        <w:t>disconnect</w:t>
      </w:r>
      <w:r w:rsidRPr="001B5F4D">
        <w:rPr>
          <w:rFonts w:ascii="Aptos" w:hAnsi="Aptos"/>
        </w:rPr>
        <w:t>ed</w:t>
      </w:r>
      <w:r w:rsidR="00114226" w:rsidRPr="001B5F4D">
        <w:rPr>
          <w:rFonts w:ascii="Aptos" w:hAnsi="Aptos"/>
        </w:rPr>
        <w:t xml:space="preserve"> from my own body’</w:t>
      </w:r>
    </w:p>
    <w:p w14:paraId="31CC334C" w14:textId="77777777" w:rsidR="00E804AE" w:rsidRPr="001B5F4D" w:rsidRDefault="00E804AE">
      <w:pPr>
        <w:rPr>
          <w:rFonts w:ascii="Aptos" w:hAnsi="Aptos"/>
        </w:rPr>
      </w:pPr>
    </w:p>
    <w:p w14:paraId="2EF69750" w14:textId="32D50922" w:rsidR="007A3045" w:rsidRPr="001B5F4D" w:rsidRDefault="00114226">
      <w:pPr>
        <w:rPr>
          <w:rFonts w:ascii="Aptos" w:hAnsi="Aptos"/>
        </w:rPr>
      </w:pPr>
      <w:r w:rsidRPr="001B5F4D">
        <w:rPr>
          <w:rFonts w:ascii="Aptos" w:hAnsi="Aptos"/>
        </w:rPr>
        <w:t>which significantly impacted upon their mental health</w:t>
      </w:r>
      <w:r w:rsidR="004571AC" w:rsidRPr="001B5F4D">
        <w:rPr>
          <w:rFonts w:ascii="Aptos" w:hAnsi="Aptos"/>
        </w:rPr>
        <w:t xml:space="preserve"> and that there was a lack of support for them at this time.</w:t>
      </w:r>
      <w:r w:rsidRPr="001B5F4D">
        <w:rPr>
          <w:rFonts w:ascii="Aptos" w:hAnsi="Aptos"/>
        </w:rPr>
        <w:t xml:space="preserve"> </w:t>
      </w:r>
      <w:r w:rsidR="008F7CC0" w:rsidRPr="001B5F4D">
        <w:rPr>
          <w:rFonts w:ascii="Aptos" w:hAnsi="Aptos"/>
        </w:rPr>
        <w:t>All p</w:t>
      </w:r>
      <w:r w:rsidR="007A3045" w:rsidRPr="001B5F4D">
        <w:rPr>
          <w:rFonts w:ascii="Aptos" w:hAnsi="Aptos"/>
        </w:rPr>
        <w:t xml:space="preserve">articipants also expressed frustration at the lack of specialist </w:t>
      </w:r>
      <w:r w:rsidR="004571AC" w:rsidRPr="001B5F4D">
        <w:rPr>
          <w:rFonts w:ascii="Aptos" w:hAnsi="Aptos"/>
        </w:rPr>
        <w:t>services</w:t>
      </w:r>
      <w:r w:rsidR="007A3045" w:rsidRPr="001B5F4D">
        <w:rPr>
          <w:rFonts w:ascii="Aptos" w:hAnsi="Aptos"/>
        </w:rPr>
        <w:t xml:space="preserve"> </w:t>
      </w:r>
      <w:r w:rsidR="00012FB1" w:rsidRPr="001B5F4D">
        <w:rPr>
          <w:rFonts w:ascii="Aptos" w:hAnsi="Aptos"/>
        </w:rPr>
        <w:t>focusing on</w:t>
      </w:r>
      <w:r w:rsidR="007A3045" w:rsidRPr="001B5F4D">
        <w:rPr>
          <w:rFonts w:ascii="Aptos" w:hAnsi="Aptos"/>
        </w:rPr>
        <w:t xml:space="preserve"> mental health for TGNC individuals. </w:t>
      </w:r>
    </w:p>
    <w:p w14:paraId="0D4C7D00" w14:textId="77777777" w:rsidR="007A3045" w:rsidRPr="001B5F4D" w:rsidRDefault="007A3045">
      <w:pPr>
        <w:rPr>
          <w:rFonts w:ascii="Aptos" w:hAnsi="Aptos"/>
        </w:rPr>
      </w:pPr>
    </w:p>
    <w:p w14:paraId="085A1D77" w14:textId="54512FD3" w:rsidR="00DA0D46" w:rsidRPr="009A1F66" w:rsidRDefault="00DA0D46" w:rsidP="000D734B">
      <w:pPr>
        <w:pStyle w:val="ListParagraph"/>
        <w:numPr>
          <w:ilvl w:val="0"/>
          <w:numId w:val="5"/>
        </w:numPr>
        <w:rPr>
          <w:rFonts w:ascii="Aptos" w:hAnsi="Aptos"/>
          <w:i/>
          <w:iCs/>
        </w:rPr>
      </w:pPr>
      <w:r w:rsidRPr="009A1F66">
        <w:rPr>
          <w:rFonts w:ascii="Aptos" w:hAnsi="Aptos"/>
          <w:i/>
          <w:iCs/>
        </w:rPr>
        <w:t xml:space="preserve">Lack of research and </w:t>
      </w:r>
      <w:r w:rsidR="005073E9" w:rsidRPr="009A1F66">
        <w:rPr>
          <w:rFonts w:ascii="Aptos" w:hAnsi="Aptos"/>
          <w:i/>
          <w:iCs/>
        </w:rPr>
        <w:t>evidence-based</w:t>
      </w:r>
      <w:r w:rsidRPr="009A1F66">
        <w:rPr>
          <w:rFonts w:ascii="Aptos" w:hAnsi="Aptos"/>
          <w:i/>
          <w:iCs/>
        </w:rPr>
        <w:t xml:space="preserve"> practice</w:t>
      </w:r>
    </w:p>
    <w:p w14:paraId="651FEB29" w14:textId="79C67825" w:rsidR="00DA0D46" w:rsidRPr="001B5F4D" w:rsidRDefault="00743065">
      <w:pPr>
        <w:rPr>
          <w:rFonts w:ascii="Aptos" w:hAnsi="Aptos"/>
        </w:rPr>
      </w:pPr>
      <w:r w:rsidRPr="001B5F4D">
        <w:rPr>
          <w:rFonts w:ascii="Aptos" w:hAnsi="Aptos"/>
        </w:rPr>
        <w:t>T</w:t>
      </w:r>
      <w:r w:rsidR="00134894" w:rsidRPr="001B5F4D">
        <w:rPr>
          <w:rFonts w:ascii="Aptos" w:hAnsi="Aptos"/>
        </w:rPr>
        <w:t>hroughout the discussion t</w:t>
      </w:r>
      <w:r w:rsidRPr="001B5F4D">
        <w:rPr>
          <w:rFonts w:ascii="Aptos" w:hAnsi="Aptos"/>
        </w:rPr>
        <w:t>he</w:t>
      </w:r>
      <w:r w:rsidR="00134894" w:rsidRPr="001B5F4D">
        <w:rPr>
          <w:rFonts w:ascii="Aptos" w:hAnsi="Aptos"/>
        </w:rPr>
        <w:t xml:space="preserve"> focus group participants all cited situations they had experienced where they had </w:t>
      </w:r>
      <w:r w:rsidR="00012FB1" w:rsidRPr="001B5F4D">
        <w:rPr>
          <w:rFonts w:ascii="Aptos" w:hAnsi="Aptos"/>
        </w:rPr>
        <w:t>clinical</w:t>
      </w:r>
      <w:r w:rsidR="00134894" w:rsidRPr="001B5F4D">
        <w:rPr>
          <w:rFonts w:ascii="Aptos" w:hAnsi="Aptos"/>
        </w:rPr>
        <w:t xml:space="preserve"> </w:t>
      </w:r>
      <w:proofErr w:type="gramStart"/>
      <w:r w:rsidR="00134894" w:rsidRPr="001B5F4D">
        <w:rPr>
          <w:rFonts w:ascii="Aptos" w:hAnsi="Aptos"/>
        </w:rPr>
        <w:t>questions</w:t>
      </w:r>
      <w:proofErr w:type="gramEnd"/>
      <w:r w:rsidR="00134894" w:rsidRPr="001B5F4D">
        <w:rPr>
          <w:rFonts w:ascii="Aptos" w:hAnsi="Aptos"/>
        </w:rPr>
        <w:t xml:space="preserve"> but their responsible physicians were </w:t>
      </w:r>
      <w:r w:rsidR="00134894" w:rsidRPr="001B5F4D">
        <w:rPr>
          <w:rFonts w:ascii="Aptos" w:hAnsi="Aptos"/>
        </w:rPr>
        <w:lastRenderedPageBreak/>
        <w:t xml:space="preserve">not able to give them answers. </w:t>
      </w:r>
      <w:r w:rsidR="009D00FE" w:rsidRPr="001B5F4D">
        <w:rPr>
          <w:rFonts w:ascii="Aptos" w:hAnsi="Aptos"/>
        </w:rPr>
        <w:t>The</w:t>
      </w:r>
      <w:r w:rsidR="00012FB1" w:rsidRPr="001B5F4D">
        <w:rPr>
          <w:rFonts w:ascii="Aptos" w:hAnsi="Aptos"/>
        </w:rPr>
        <w:t>y listed</w:t>
      </w:r>
      <w:r w:rsidR="00134894" w:rsidRPr="001B5F4D">
        <w:rPr>
          <w:rFonts w:ascii="Aptos" w:hAnsi="Aptos"/>
        </w:rPr>
        <w:t xml:space="preserve"> </w:t>
      </w:r>
      <w:r w:rsidR="003536C4" w:rsidRPr="001B5F4D">
        <w:rPr>
          <w:rFonts w:ascii="Aptos" w:hAnsi="Aptos"/>
        </w:rPr>
        <w:t xml:space="preserve">both </w:t>
      </w:r>
      <w:r w:rsidR="00134894" w:rsidRPr="001B5F4D">
        <w:rPr>
          <w:rFonts w:ascii="Aptos" w:hAnsi="Aptos"/>
        </w:rPr>
        <w:t>the impact of gender-affirming hormones on their IBD</w:t>
      </w:r>
      <w:r w:rsidR="00012FB1" w:rsidRPr="001B5F4D">
        <w:rPr>
          <w:rFonts w:ascii="Aptos" w:hAnsi="Aptos"/>
        </w:rPr>
        <w:t xml:space="preserve"> and</w:t>
      </w:r>
      <w:r w:rsidR="00134894" w:rsidRPr="001B5F4D">
        <w:rPr>
          <w:rFonts w:ascii="Aptos" w:hAnsi="Aptos"/>
        </w:rPr>
        <w:t xml:space="preserve"> the </w:t>
      </w:r>
      <w:r w:rsidR="00012FB1" w:rsidRPr="001B5F4D">
        <w:rPr>
          <w:rFonts w:ascii="Aptos" w:hAnsi="Aptos"/>
        </w:rPr>
        <w:t>implications</w:t>
      </w:r>
      <w:r w:rsidR="00134894" w:rsidRPr="001B5F4D">
        <w:rPr>
          <w:rFonts w:ascii="Aptos" w:hAnsi="Aptos"/>
        </w:rPr>
        <w:t xml:space="preserve"> of gender </w:t>
      </w:r>
      <w:r w:rsidR="009D00FE" w:rsidRPr="001B5F4D">
        <w:rPr>
          <w:rFonts w:ascii="Aptos" w:hAnsi="Aptos"/>
        </w:rPr>
        <w:t>affirming</w:t>
      </w:r>
      <w:r w:rsidR="00134894" w:rsidRPr="001B5F4D">
        <w:rPr>
          <w:rFonts w:ascii="Aptos" w:hAnsi="Aptos"/>
        </w:rPr>
        <w:t xml:space="preserve"> </w:t>
      </w:r>
      <w:r w:rsidR="0073386E" w:rsidRPr="001B5F4D">
        <w:rPr>
          <w:rFonts w:ascii="Aptos" w:hAnsi="Aptos"/>
        </w:rPr>
        <w:t>s</w:t>
      </w:r>
      <w:r w:rsidR="00134894" w:rsidRPr="001B5F4D">
        <w:rPr>
          <w:rFonts w:ascii="Aptos" w:hAnsi="Aptos"/>
        </w:rPr>
        <w:t xml:space="preserve">urgery </w:t>
      </w:r>
      <w:r w:rsidR="00012FB1" w:rsidRPr="001B5F4D">
        <w:rPr>
          <w:rFonts w:ascii="Aptos" w:hAnsi="Aptos"/>
        </w:rPr>
        <w:t xml:space="preserve">for their IBD </w:t>
      </w:r>
      <w:r w:rsidR="00E24221" w:rsidRPr="001B5F4D">
        <w:rPr>
          <w:rFonts w:ascii="Aptos" w:hAnsi="Aptos"/>
        </w:rPr>
        <w:t xml:space="preserve">health </w:t>
      </w:r>
      <w:r w:rsidR="003536C4" w:rsidRPr="001B5F4D">
        <w:rPr>
          <w:rFonts w:ascii="Aptos" w:hAnsi="Aptos"/>
        </w:rPr>
        <w:t>as pressing questions.</w:t>
      </w:r>
      <w:r w:rsidR="00E804AE" w:rsidRPr="001B5F4D">
        <w:rPr>
          <w:rFonts w:ascii="Aptos" w:hAnsi="Aptos"/>
        </w:rPr>
        <w:t xml:space="preserve"> Participant 2 gave an example of wishing to undergo laser hair removal but being told ‘no one knows’ the impact of their current IBD treatment on this procedure.</w:t>
      </w:r>
    </w:p>
    <w:p w14:paraId="37AA3224" w14:textId="77777777" w:rsidR="00DA0D46" w:rsidRPr="001B5F4D" w:rsidRDefault="00DA0D46">
      <w:pPr>
        <w:rPr>
          <w:rFonts w:ascii="Aptos" w:hAnsi="Aptos"/>
        </w:rPr>
      </w:pPr>
    </w:p>
    <w:p w14:paraId="7DB3A558" w14:textId="7FD6CCC2" w:rsidR="007A3045" w:rsidRPr="005A0462" w:rsidRDefault="00DA0D46" w:rsidP="000D734B">
      <w:pPr>
        <w:pStyle w:val="ListParagraph"/>
        <w:numPr>
          <w:ilvl w:val="0"/>
          <w:numId w:val="5"/>
        </w:numPr>
        <w:rPr>
          <w:rFonts w:ascii="Aptos" w:hAnsi="Aptos"/>
          <w:i/>
          <w:iCs/>
        </w:rPr>
      </w:pPr>
      <w:r w:rsidRPr="005A0462">
        <w:rPr>
          <w:rFonts w:ascii="Aptos" w:hAnsi="Aptos"/>
          <w:i/>
          <w:iCs/>
        </w:rPr>
        <w:t>Facilities</w:t>
      </w:r>
    </w:p>
    <w:p w14:paraId="3E379355" w14:textId="09BEEA3B" w:rsidR="00E34E55" w:rsidRPr="001B5F4D" w:rsidRDefault="000C3550">
      <w:pPr>
        <w:rPr>
          <w:rFonts w:ascii="Aptos" w:hAnsi="Aptos"/>
        </w:rPr>
      </w:pPr>
      <w:r w:rsidRPr="001B5F4D">
        <w:rPr>
          <w:rFonts w:ascii="Aptos" w:hAnsi="Aptos"/>
        </w:rPr>
        <w:t>All partic</w:t>
      </w:r>
      <w:r w:rsidR="00F84CAA" w:rsidRPr="001B5F4D">
        <w:rPr>
          <w:rFonts w:ascii="Aptos" w:hAnsi="Aptos"/>
        </w:rPr>
        <w:t>i</w:t>
      </w:r>
      <w:r w:rsidRPr="001B5F4D">
        <w:rPr>
          <w:rFonts w:ascii="Aptos" w:hAnsi="Aptos"/>
        </w:rPr>
        <w:t>pants described</w:t>
      </w:r>
      <w:r w:rsidR="003479DD">
        <w:rPr>
          <w:rFonts w:ascii="Aptos" w:hAnsi="Aptos"/>
        </w:rPr>
        <w:t xml:space="preserve"> experiencing</w:t>
      </w:r>
      <w:r w:rsidRPr="001B5F4D">
        <w:rPr>
          <w:rFonts w:ascii="Aptos" w:hAnsi="Aptos"/>
        </w:rPr>
        <w:t xml:space="preserve"> distress or anxie</w:t>
      </w:r>
      <w:r w:rsidR="00F84CAA" w:rsidRPr="001B5F4D">
        <w:rPr>
          <w:rFonts w:ascii="Aptos" w:hAnsi="Aptos"/>
        </w:rPr>
        <w:t>t</w:t>
      </w:r>
      <w:r w:rsidRPr="001B5F4D">
        <w:rPr>
          <w:rFonts w:ascii="Aptos" w:hAnsi="Aptos"/>
        </w:rPr>
        <w:t xml:space="preserve">y when attending for investigations </w:t>
      </w:r>
      <w:r w:rsidR="007E34FF" w:rsidRPr="001B5F4D">
        <w:rPr>
          <w:rFonts w:ascii="Aptos" w:hAnsi="Aptos"/>
        </w:rPr>
        <w:t xml:space="preserve">such as colonoscopies or scans </w:t>
      </w:r>
      <w:r w:rsidRPr="001B5F4D">
        <w:rPr>
          <w:rFonts w:ascii="Aptos" w:hAnsi="Aptos"/>
        </w:rPr>
        <w:t xml:space="preserve">and being placed in a male or female area when this was incongruous with </w:t>
      </w:r>
      <w:r w:rsidR="00013B20" w:rsidRPr="001B5F4D">
        <w:rPr>
          <w:rFonts w:ascii="Aptos" w:hAnsi="Aptos"/>
        </w:rPr>
        <w:t>their</w:t>
      </w:r>
      <w:r w:rsidRPr="001B5F4D">
        <w:rPr>
          <w:rFonts w:ascii="Aptos" w:hAnsi="Aptos"/>
        </w:rPr>
        <w:t xml:space="preserve"> gender identi</w:t>
      </w:r>
      <w:r w:rsidR="00F84CAA" w:rsidRPr="001B5F4D">
        <w:rPr>
          <w:rFonts w:ascii="Aptos" w:hAnsi="Aptos"/>
        </w:rPr>
        <w:t>t</w:t>
      </w:r>
      <w:r w:rsidRPr="001B5F4D">
        <w:rPr>
          <w:rFonts w:ascii="Aptos" w:hAnsi="Aptos"/>
        </w:rPr>
        <w:t xml:space="preserve">y. </w:t>
      </w:r>
      <w:r w:rsidR="00194550" w:rsidRPr="001B5F4D">
        <w:rPr>
          <w:rFonts w:ascii="Aptos" w:hAnsi="Aptos"/>
        </w:rPr>
        <w:t>P</w:t>
      </w:r>
      <w:r w:rsidR="000C5C2F" w:rsidRPr="001B5F4D">
        <w:rPr>
          <w:rFonts w:ascii="Aptos" w:hAnsi="Aptos"/>
        </w:rPr>
        <w:t>articipants</w:t>
      </w:r>
      <w:r w:rsidR="00194550" w:rsidRPr="001B5F4D">
        <w:rPr>
          <w:rFonts w:ascii="Aptos" w:hAnsi="Aptos"/>
        </w:rPr>
        <w:t xml:space="preserve"> 1 and 3</w:t>
      </w:r>
      <w:r w:rsidR="000C5C2F" w:rsidRPr="001B5F4D">
        <w:rPr>
          <w:rFonts w:ascii="Aptos" w:hAnsi="Aptos"/>
        </w:rPr>
        <w:t xml:space="preserve"> reported feeling </w:t>
      </w:r>
      <w:r w:rsidR="00E34E55" w:rsidRPr="001B5F4D">
        <w:rPr>
          <w:rFonts w:ascii="Aptos" w:hAnsi="Aptos"/>
        </w:rPr>
        <w:t>‘</w:t>
      </w:r>
      <w:r w:rsidR="000C5C2F" w:rsidRPr="001B5F4D">
        <w:rPr>
          <w:rFonts w:ascii="Aptos" w:hAnsi="Aptos"/>
        </w:rPr>
        <w:t>uncomfortable</w:t>
      </w:r>
      <w:r w:rsidR="00E34E55" w:rsidRPr="001B5F4D">
        <w:rPr>
          <w:rFonts w:ascii="Aptos" w:hAnsi="Aptos"/>
        </w:rPr>
        <w:t>’</w:t>
      </w:r>
      <w:r w:rsidR="000C5C2F" w:rsidRPr="001B5F4D">
        <w:rPr>
          <w:rFonts w:ascii="Aptos" w:hAnsi="Aptos"/>
        </w:rPr>
        <w:t xml:space="preserve"> and recalled frustration at </w:t>
      </w:r>
    </w:p>
    <w:p w14:paraId="3CC428DC" w14:textId="77777777" w:rsidR="00E34E55" w:rsidRPr="001B5F4D" w:rsidRDefault="00E34E55">
      <w:pPr>
        <w:rPr>
          <w:rFonts w:ascii="Aptos" w:hAnsi="Aptos"/>
        </w:rPr>
      </w:pPr>
    </w:p>
    <w:p w14:paraId="7EF26E18" w14:textId="77777777" w:rsidR="003479DD" w:rsidRDefault="00E34E55" w:rsidP="003479DD">
      <w:pPr>
        <w:jc w:val="center"/>
        <w:rPr>
          <w:rFonts w:ascii="Aptos" w:hAnsi="Aptos"/>
        </w:rPr>
      </w:pPr>
      <w:r w:rsidRPr="001B5F4D">
        <w:rPr>
          <w:rFonts w:ascii="Aptos" w:hAnsi="Aptos"/>
        </w:rPr>
        <w:t>‘</w:t>
      </w:r>
      <w:proofErr w:type="gramStart"/>
      <w:r w:rsidR="000C5C2F" w:rsidRPr="001B5F4D">
        <w:rPr>
          <w:rFonts w:ascii="Aptos" w:hAnsi="Aptos"/>
        </w:rPr>
        <w:t>not</w:t>
      </w:r>
      <w:proofErr w:type="gramEnd"/>
      <w:r w:rsidR="000C5C2F" w:rsidRPr="001B5F4D">
        <w:rPr>
          <w:rFonts w:ascii="Aptos" w:hAnsi="Aptos"/>
        </w:rPr>
        <w:t xml:space="preserve"> being asked whether to have a curtain closed</w:t>
      </w:r>
      <w:r w:rsidRPr="001B5F4D">
        <w:rPr>
          <w:rFonts w:ascii="Aptos" w:hAnsi="Aptos"/>
        </w:rPr>
        <w:t>’</w:t>
      </w:r>
      <w:r w:rsidR="000D734B" w:rsidRPr="001B5F4D">
        <w:rPr>
          <w:rFonts w:ascii="Aptos" w:hAnsi="Aptos"/>
        </w:rPr>
        <w:t xml:space="preserve"> and a ‘lack of </w:t>
      </w:r>
      <w:proofErr w:type="gramStart"/>
      <w:r w:rsidR="000D734B" w:rsidRPr="001B5F4D">
        <w:rPr>
          <w:rFonts w:ascii="Aptos" w:hAnsi="Aptos"/>
        </w:rPr>
        <w:t>gender neutral</w:t>
      </w:r>
      <w:proofErr w:type="gramEnd"/>
      <w:r w:rsidR="000D734B" w:rsidRPr="001B5F4D">
        <w:rPr>
          <w:rFonts w:ascii="Aptos" w:hAnsi="Aptos"/>
        </w:rPr>
        <w:t xml:space="preserve"> </w:t>
      </w:r>
      <w:proofErr w:type="gramStart"/>
      <w:r w:rsidR="000D734B" w:rsidRPr="001B5F4D">
        <w:rPr>
          <w:rFonts w:ascii="Aptos" w:hAnsi="Aptos"/>
        </w:rPr>
        <w:t>facilities’</w:t>
      </w:r>
      <w:proofErr w:type="gramEnd"/>
      <w:r w:rsidR="000C5C2F" w:rsidRPr="001B5F4D">
        <w:rPr>
          <w:rFonts w:ascii="Aptos" w:hAnsi="Aptos"/>
        </w:rPr>
        <w:t>.</w:t>
      </w:r>
    </w:p>
    <w:p w14:paraId="275E9342" w14:textId="77777777" w:rsidR="003479DD" w:rsidRDefault="003479DD" w:rsidP="003479DD">
      <w:pPr>
        <w:rPr>
          <w:rFonts w:ascii="Aptos" w:hAnsi="Aptos"/>
        </w:rPr>
      </w:pPr>
    </w:p>
    <w:p w14:paraId="1CDFC45E" w14:textId="6E90729A" w:rsidR="00DA0D46" w:rsidRPr="001B5F4D" w:rsidRDefault="00194550" w:rsidP="003479DD">
      <w:pPr>
        <w:rPr>
          <w:rFonts w:ascii="Aptos" w:hAnsi="Aptos"/>
        </w:rPr>
      </w:pPr>
      <w:r w:rsidRPr="001B5F4D">
        <w:rPr>
          <w:rFonts w:ascii="Aptos" w:hAnsi="Aptos"/>
        </w:rPr>
        <w:t>All p</w:t>
      </w:r>
      <w:r w:rsidR="000C3550" w:rsidRPr="001B5F4D">
        <w:rPr>
          <w:rFonts w:ascii="Aptos" w:hAnsi="Aptos"/>
        </w:rPr>
        <w:t>articipants also stated they</w:t>
      </w:r>
      <w:r w:rsidR="000A43D1" w:rsidRPr="001B5F4D">
        <w:rPr>
          <w:rFonts w:ascii="Aptos" w:hAnsi="Aptos"/>
        </w:rPr>
        <w:t xml:space="preserve"> all</w:t>
      </w:r>
      <w:r w:rsidR="000C3550" w:rsidRPr="001B5F4D">
        <w:rPr>
          <w:rFonts w:ascii="Aptos" w:hAnsi="Aptos"/>
        </w:rPr>
        <w:t xml:space="preserve"> understood why </w:t>
      </w:r>
      <w:r w:rsidR="00CF5CA4" w:rsidRPr="001B5F4D">
        <w:rPr>
          <w:rFonts w:ascii="Aptos" w:hAnsi="Aptos"/>
        </w:rPr>
        <w:t>adapting</w:t>
      </w:r>
      <w:r w:rsidR="000C3550" w:rsidRPr="001B5F4D">
        <w:rPr>
          <w:rFonts w:ascii="Aptos" w:hAnsi="Aptos"/>
        </w:rPr>
        <w:t xml:space="preserve"> </w:t>
      </w:r>
      <w:r w:rsidR="004C1C81" w:rsidRPr="001B5F4D">
        <w:rPr>
          <w:rFonts w:ascii="Aptos" w:hAnsi="Aptos"/>
        </w:rPr>
        <w:t>facilities</w:t>
      </w:r>
      <w:r w:rsidR="000C3550" w:rsidRPr="001B5F4D">
        <w:rPr>
          <w:rFonts w:ascii="Aptos" w:hAnsi="Aptos"/>
        </w:rPr>
        <w:t xml:space="preserve"> was difficult </w:t>
      </w:r>
      <w:r w:rsidR="001E3397" w:rsidRPr="001B5F4D">
        <w:rPr>
          <w:rFonts w:ascii="Aptos" w:hAnsi="Aptos"/>
        </w:rPr>
        <w:t>given the budgetary constraints on the NHS.</w:t>
      </w:r>
      <w:r w:rsidR="00E34E55" w:rsidRPr="001B5F4D">
        <w:rPr>
          <w:rFonts w:ascii="Aptos" w:hAnsi="Aptos"/>
        </w:rPr>
        <w:t xml:space="preserve"> </w:t>
      </w:r>
      <w:r w:rsidR="005A0462">
        <w:rPr>
          <w:rFonts w:ascii="Aptos" w:hAnsi="Aptos"/>
        </w:rPr>
        <w:t>They also</w:t>
      </w:r>
      <w:r w:rsidR="00E34E55" w:rsidRPr="001B5F4D">
        <w:rPr>
          <w:rFonts w:ascii="Aptos" w:hAnsi="Aptos"/>
        </w:rPr>
        <w:t xml:space="preserve"> advocated for improved gender-neutral facilities.</w:t>
      </w:r>
    </w:p>
    <w:p w14:paraId="55AD9EFB" w14:textId="77777777" w:rsidR="000C3550" w:rsidRPr="001B5F4D" w:rsidRDefault="000C3550">
      <w:pPr>
        <w:rPr>
          <w:rFonts w:ascii="Aptos" w:hAnsi="Aptos"/>
        </w:rPr>
      </w:pPr>
    </w:p>
    <w:p w14:paraId="00013620" w14:textId="4263C03A" w:rsidR="00AC0781" w:rsidRPr="005A0462" w:rsidRDefault="00AC0781" w:rsidP="000D734B">
      <w:pPr>
        <w:pStyle w:val="ListParagraph"/>
        <w:numPr>
          <w:ilvl w:val="0"/>
          <w:numId w:val="5"/>
        </w:numPr>
        <w:rPr>
          <w:rFonts w:ascii="Aptos" w:hAnsi="Aptos"/>
          <w:i/>
          <w:iCs/>
        </w:rPr>
      </w:pPr>
      <w:r w:rsidRPr="005A0462">
        <w:rPr>
          <w:rFonts w:ascii="Aptos" w:hAnsi="Aptos"/>
          <w:i/>
          <w:iCs/>
        </w:rPr>
        <w:t>Transphobic comments</w:t>
      </w:r>
    </w:p>
    <w:p w14:paraId="789133AC" w14:textId="77777777" w:rsidR="00E34E55" w:rsidRPr="001B5F4D" w:rsidRDefault="00194550">
      <w:pPr>
        <w:rPr>
          <w:rFonts w:ascii="Aptos" w:hAnsi="Aptos"/>
        </w:rPr>
      </w:pPr>
      <w:r w:rsidRPr="001B5F4D">
        <w:rPr>
          <w:rFonts w:ascii="Aptos" w:hAnsi="Aptos"/>
        </w:rPr>
        <w:t>P</w:t>
      </w:r>
      <w:r w:rsidR="000C3550" w:rsidRPr="001B5F4D">
        <w:rPr>
          <w:rFonts w:ascii="Aptos" w:hAnsi="Aptos"/>
        </w:rPr>
        <w:t xml:space="preserve">articipant </w:t>
      </w:r>
      <w:r w:rsidRPr="001B5F4D">
        <w:rPr>
          <w:rFonts w:ascii="Aptos" w:hAnsi="Aptos"/>
        </w:rPr>
        <w:t xml:space="preserve">1 </w:t>
      </w:r>
      <w:r w:rsidR="000C3550" w:rsidRPr="001B5F4D">
        <w:rPr>
          <w:rFonts w:ascii="Aptos" w:hAnsi="Aptos"/>
        </w:rPr>
        <w:t xml:space="preserve">described being victim of transphobic comments with one physician stating they </w:t>
      </w:r>
    </w:p>
    <w:p w14:paraId="2465BDCF" w14:textId="77777777" w:rsidR="00E34E55" w:rsidRPr="001B5F4D" w:rsidRDefault="00E34E55">
      <w:pPr>
        <w:rPr>
          <w:rFonts w:ascii="Aptos" w:hAnsi="Aptos"/>
        </w:rPr>
      </w:pPr>
    </w:p>
    <w:p w14:paraId="05E57D24" w14:textId="77777777" w:rsidR="00E34E55" w:rsidRPr="001B5F4D" w:rsidRDefault="000C3550" w:rsidP="00E34E55">
      <w:pPr>
        <w:jc w:val="center"/>
        <w:rPr>
          <w:rFonts w:ascii="Aptos" w:hAnsi="Aptos"/>
        </w:rPr>
      </w:pPr>
      <w:r w:rsidRPr="001B5F4D">
        <w:rPr>
          <w:rFonts w:ascii="Aptos" w:hAnsi="Aptos"/>
        </w:rPr>
        <w:t xml:space="preserve">‘didn’t </w:t>
      </w:r>
      <w:r w:rsidR="0048135B" w:rsidRPr="001B5F4D">
        <w:rPr>
          <w:rFonts w:ascii="Aptos" w:hAnsi="Aptos"/>
        </w:rPr>
        <w:t>believe</w:t>
      </w:r>
      <w:r w:rsidR="00E34E55" w:rsidRPr="001B5F4D">
        <w:rPr>
          <w:rFonts w:ascii="Aptos" w:hAnsi="Aptos"/>
        </w:rPr>
        <w:t xml:space="preserve"> my</w:t>
      </w:r>
      <w:r w:rsidRPr="001B5F4D">
        <w:rPr>
          <w:rFonts w:ascii="Aptos" w:hAnsi="Aptos"/>
        </w:rPr>
        <w:t xml:space="preserve"> gender identity.</w:t>
      </w:r>
      <w:r w:rsidR="00E34E55" w:rsidRPr="001B5F4D">
        <w:rPr>
          <w:rFonts w:ascii="Aptos" w:hAnsi="Aptos"/>
        </w:rPr>
        <w:t>’</w:t>
      </w:r>
    </w:p>
    <w:p w14:paraId="72A00C0A" w14:textId="77777777" w:rsidR="00E34E55" w:rsidRPr="001B5F4D" w:rsidRDefault="00E34E55">
      <w:pPr>
        <w:rPr>
          <w:rFonts w:ascii="Aptos" w:hAnsi="Aptos"/>
        </w:rPr>
      </w:pPr>
    </w:p>
    <w:p w14:paraId="10836034" w14:textId="00FAC8BC" w:rsidR="00AC0781" w:rsidRPr="001B5F4D" w:rsidRDefault="0067247D">
      <w:pPr>
        <w:rPr>
          <w:rFonts w:ascii="Aptos" w:hAnsi="Aptos"/>
        </w:rPr>
      </w:pPr>
      <w:r w:rsidRPr="001B5F4D">
        <w:rPr>
          <w:rFonts w:ascii="Aptos" w:hAnsi="Aptos"/>
        </w:rPr>
        <w:t>The other</w:t>
      </w:r>
      <w:r w:rsidR="0048135B" w:rsidRPr="001B5F4D">
        <w:rPr>
          <w:rFonts w:ascii="Aptos" w:hAnsi="Aptos"/>
        </w:rPr>
        <w:t xml:space="preserve"> participants did not describe direct transphobia but </w:t>
      </w:r>
      <w:r w:rsidR="00194550" w:rsidRPr="001B5F4D">
        <w:rPr>
          <w:rFonts w:ascii="Aptos" w:hAnsi="Aptos"/>
        </w:rPr>
        <w:t xml:space="preserve">participant 3 </w:t>
      </w:r>
      <w:r w:rsidR="0048135B" w:rsidRPr="001B5F4D">
        <w:rPr>
          <w:rFonts w:ascii="Aptos" w:hAnsi="Aptos"/>
        </w:rPr>
        <w:t>did report experiences of a nurse try</w:t>
      </w:r>
      <w:r w:rsidR="00AC40F4" w:rsidRPr="001B5F4D">
        <w:rPr>
          <w:rFonts w:ascii="Aptos" w:hAnsi="Aptos"/>
        </w:rPr>
        <w:t>i</w:t>
      </w:r>
      <w:r w:rsidR="0048135B" w:rsidRPr="001B5F4D">
        <w:rPr>
          <w:rFonts w:ascii="Aptos" w:hAnsi="Aptos"/>
        </w:rPr>
        <w:t>ng to ‘</w:t>
      </w:r>
      <w:r w:rsidR="0042575E" w:rsidRPr="001B5F4D">
        <w:rPr>
          <w:rFonts w:ascii="Aptos" w:hAnsi="Aptos"/>
        </w:rPr>
        <w:t xml:space="preserve">convert’ them to Christianity after discovering they identified as queer which they found </w:t>
      </w:r>
      <w:r w:rsidR="00AC40F4" w:rsidRPr="001B5F4D">
        <w:rPr>
          <w:rFonts w:ascii="Aptos" w:hAnsi="Aptos"/>
        </w:rPr>
        <w:t>‘</w:t>
      </w:r>
      <w:r w:rsidR="0042575E" w:rsidRPr="001B5F4D">
        <w:rPr>
          <w:rFonts w:ascii="Aptos" w:hAnsi="Aptos"/>
        </w:rPr>
        <w:t>very uncom</w:t>
      </w:r>
      <w:r w:rsidR="00AC40F4" w:rsidRPr="001B5F4D">
        <w:rPr>
          <w:rFonts w:ascii="Aptos" w:hAnsi="Aptos"/>
        </w:rPr>
        <w:t>f</w:t>
      </w:r>
      <w:r w:rsidR="0042575E" w:rsidRPr="001B5F4D">
        <w:rPr>
          <w:rFonts w:ascii="Aptos" w:hAnsi="Aptos"/>
        </w:rPr>
        <w:t>o</w:t>
      </w:r>
      <w:r w:rsidR="00AC40F4" w:rsidRPr="001B5F4D">
        <w:rPr>
          <w:rFonts w:ascii="Aptos" w:hAnsi="Aptos"/>
        </w:rPr>
        <w:t>rtable’</w:t>
      </w:r>
      <w:r w:rsidR="00CF5CA4" w:rsidRPr="001B5F4D">
        <w:rPr>
          <w:rFonts w:ascii="Aptos" w:hAnsi="Aptos"/>
        </w:rPr>
        <w:t xml:space="preserve"> and ‘weird’</w:t>
      </w:r>
      <w:r w:rsidR="0048135B" w:rsidRPr="001B5F4D">
        <w:rPr>
          <w:rFonts w:ascii="Aptos" w:hAnsi="Aptos"/>
        </w:rPr>
        <w:t xml:space="preserve">. </w:t>
      </w:r>
    </w:p>
    <w:p w14:paraId="27A6086A" w14:textId="77777777" w:rsidR="00827132" w:rsidRPr="001B5F4D" w:rsidRDefault="00827132">
      <w:pPr>
        <w:rPr>
          <w:rFonts w:ascii="Aptos" w:hAnsi="Aptos"/>
        </w:rPr>
      </w:pPr>
    </w:p>
    <w:p w14:paraId="61E847D8" w14:textId="62F65EBC" w:rsidR="00827132" w:rsidRPr="002C44B1" w:rsidRDefault="009E5DD0" w:rsidP="000D734B">
      <w:pPr>
        <w:pStyle w:val="ListParagraph"/>
        <w:numPr>
          <w:ilvl w:val="0"/>
          <w:numId w:val="5"/>
        </w:numPr>
        <w:rPr>
          <w:rFonts w:ascii="Aptos" w:hAnsi="Aptos"/>
          <w:i/>
          <w:iCs/>
        </w:rPr>
      </w:pPr>
      <w:r w:rsidRPr="002C44B1">
        <w:rPr>
          <w:rFonts w:ascii="Aptos" w:hAnsi="Aptos"/>
          <w:i/>
          <w:iCs/>
        </w:rPr>
        <w:t>Improving</w:t>
      </w:r>
      <w:r w:rsidR="000E6F25" w:rsidRPr="002C44B1">
        <w:rPr>
          <w:rFonts w:ascii="Aptos" w:hAnsi="Aptos"/>
          <w:i/>
          <w:iCs/>
        </w:rPr>
        <w:t xml:space="preserve"> their experience</w:t>
      </w:r>
    </w:p>
    <w:p w14:paraId="3F2C3C84" w14:textId="68B46C54" w:rsidR="00827132" w:rsidRPr="001B5F4D" w:rsidRDefault="00A562E3">
      <w:pPr>
        <w:rPr>
          <w:rFonts w:ascii="Aptos" w:hAnsi="Aptos"/>
        </w:rPr>
      </w:pPr>
      <w:r w:rsidRPr="001B5F4D">
        <w:rPr>
          <w:rFonts w:ascii="Aptos" w:hAnsi="Aptos"/>
        </w:rPr>
        <w:t>Participants cited training for healthcare staff to increase awareness</w:t>
      </w:r>
      <w:r w:rsidR="005D6F15" w:rsidRPr="001B5F4D">
        <w:rPr>
          <w:rFonts w:ascii="Aptos" w:hAnsi="Aptos"/>
        </w:rPr>
        <w:t xml:space="preserve">, </w:t>
      </w:r>
      <w:r w:rsidR="00B00CC8" w:rsidRPr="001B5F4D">
        <w:rPr>
          <w:rFonts w:ascii="Aptos" w:hAnsi="Aptos"/>
        </w:rPr>
        <w:t>sensitivity</w:t>
      </w:r>
      <w:r w:rsidRPr="001B5F4D">
        <w:rPr>
          <w:rFonts w:ascii="Aptos" w:hAnsi="Aptos"/>
        </w:rPr>
        <w:t xml:space="preserve"> and understanding of the needs </w:t>
      </w:r>
      <w:r w:rsidR="00B00CC8" w:rsidRPr="001B5F4D">
        <w:rPr>
          <w:rFonts w:ascii="Aptos" w:hAnsi="Aptos"/>
        </w:rPr>
        <w:t>of</w:t>
      </w:r>
      <w:r w:rsidRPr="001B5F4D">
        <w:rPr>
          <w:rFonts w:ascii="Aptos" w:hAnsi="Aptos"/>
        </w:rPr>
        <w:t xml:space="preserve"> TGNC-IBD individuals</w:t>
      </w:r>
      <w:r w:rsidR="00B00CC8" w:rsidRPr="001B5F4D">
        <w:rPr>
          <w:rFonts w:ascii="Aptos" w:hAnsi="Aptos"/>
        </w:rPr>
        <w:t xml:space="preserve"> and </w:t>
      </w:r>
      <w:r w:rsidR="003479DD">
        <w:rPr>
          <w:rFonts w:ascii="Aptos" w:hAnsi="Aptos"/>
        </w:rPr>
        <w:t>better</w:t>
      </w:r>
      <w:r w:rsidRPr="001B5F4D">
        <w:rPr>
          <w:rFonts w:ascii="Aptos" w:hAnsi="Aptos"/>
        </w:rPr>
        <w:t xml:space="preserve"> access to mental health support</w:t>
      </w:r>
      <w:r w:rsidR="00B00325" w:rsidRPr="001B5F4D">
        <w:rPr>
          <w:rFonts w:ascii="Aptos" w:hAnsi="Aptos"/>
        </w:rPr>
        <w:t>,</w:t>
      </w:r>
      <w:r w:rsidRPr="001B5F4D">
        <w:rPr>
          <w:rFonts w:ascii="Aptos" w:hAnsi="Aptos"/>
        </w:rPr>
        <w:t xml:space="preserve"> via both their IBD teams and wider healthcare providers</w:t>
      </w:r>
      <w:r w:rsidR="00B00325" w:rsidRPr="001B5F4D">
        <w:rPr>
          <w:rFonts w:ascii="Aptos" w:hAnsi="Aptos"/>
        </w:rPr>
        <w:t xml:space="preserve">, as </w:t>
      </w:r>
      <w:r w:rsidR="0067247D" w:rsidRPr="001B5F4D">
        <w:rPr>
          <w:rFonts w:ascii="Aptos" w:hAnsi="Aptos"/>
        </w:rPr>
        <w:t>areas</w:t>
      </w:r>
      <w:r w:rsidR="00B00325" w:rsidRPr="001B5F4D">
        <w:rPr>
          <w:rFonts w:ascii="Aptos" w:hAnsi="Aptos"/>
        </w:rPr>
        <w:t xml:space="preserve"> they feel could improve their experience</w:t>
      </w:r>
      <w:r w:rsidR="00B00CC8" w:rsidRPr="001B5F4D">
        <w:rPr>
          <w:rFonts w:ascii="Aptos" w:hAnsi="Aptos"/>
        </w:rPr>
        <w:t>. Greater clinical</w:t>
      </w:r>
      <w:r w:rsidRPr="001B5F4D">
        <w:rPr>
          <w:rFonts w:ascii="Aptos" w:hAnsi="Aptos"/>
        </w:rPr>
        <w:t xml:space="preserve"> research into the</w:t>
      </w:r>
      <w:r w:rsidR="001371AB" w:rsidRPr="001B5F4D">
        <w:rPr>
          <w:rFonts w:ascii="Aptos" w:hAnsi="Aptos"/>
        </w:rPr>
        <w:t xml:space="preserve"> interaction between a TGNC identity and IBD</w:t>
      </w:r>
      <w:r w:rsidR="00114226" w:rsidRPr="001B5F4D">
        <w:rPr>
          <w:rFonts w:ascii="Aptos" w:hAnsi="Aptos"/>
        </w:rPr>
        <w:t xml:space="preserve"> </w:t>
      </w:r>
      <w:r w:rsidR="00B00CC8" w:rsidRPr="001B5F4D">
        <w:rPr>
          <w:rFonts w:ascii="Aptos" w:hAnsi="Aptos"/>
        </w:rPr>
        <w:t xml:space="preserve">was also suggested </w:t>
      </w:r>
      <w:r w:rsidR="00114226" w:rsidRPr="001B5F4D">
        <w:rPr>
          <w:rFonts w:ascii="Aptos" w:hAnsi="Aptos"/>
        </w:rPr>
        <w:t>with two participants citing concerns regarding the impact of</w:t>
      </w:r>
      <w:r w:rsidR="0067247D" w:rsidRPr="001B5F4D">
        <w:rPr>
          <w:rFonts w:ascii="Aptos" w:hAnsi="Aptos"/>
        </w:rPr>
        <w:t xml:space="preserve"> gender-affirming</w:t>
      </w:r>
      <w:r w:rsidR="00114226" w:rsidRPr="001B5F4D">
        <w:rPr>
          <w:rFonts w:ascii="Aptos" w:hAnsi="Aptos"/>
        </w:rPr>
        <w:t xml:space="preserve"> hormone therapy for TG</w:t>
      </w:r>
      <w:r w:rsidR="005D6F15" w:rsidRPr="001B5F4D">
        <w:rPr>
          <w:rFonts w:ascii="Aptos" w:hAnsi="Aptos"/>
        </w:rPr>
        <w:t>N</w:t>
      </w:r>
      <w:r w:rsidR="00114226" w:rsidRPr="001B5F4D">
        <w:rPr>
          <w:rFonts w:ascii="Aptos" w:hAnsi="Aptos"/>
        </w:rPr>
        <w:t>C individuals</w:t>
      </w:r>
      <w:r w:rsidR="0067247D" w:rsidRPr="001B5F4D">
        <w:rPr>
          <w:rFonts w:ascii="Aptos" w:hAnsi="Aptos"/>
        </w:rPr>
        <w:t xml:space="preserve"> on their IBD</w:t>
      </w:r>
      <w:r w:rsidR="001371AB" w:rsidRPr="001B5F4D">
        <w:rPr>
          <w:rFonts w:ascii="Aptos" w:hAnsi="Aptos"/>
        </w:rPr>
        <w:t xml:space="preserve">. </w:t>
      </w:r>
    </w:p>
    <w:p w14:paraId="3ED8A07C" w14:textId="77777777" w:rsidR="000C3550" w:rsidRPr="001B5F4D" w:rsidRDefault="000C3550">
      <w:pPr>
        <w:rPr>
          <w:rFonts w:ascii="Aptos" w:hAnsi="Aptos"/>
        </w:rPr>
      </w:pPr>
    </w:p>
    <w:p w14:paraId="50BDAE05" w14:textId="77777777" w:rsidR="002C7C71" w:rsidRPr="001B5F4D" w:rsidRDefault="002C7C71">
      <w:pPr>
        <w:rPr>
          <w:rFonts w:ascii="Aptos" w:hAnsi="Aptos"/>
        </w:rPr>
      </w:pPr>
    </w:p>
    <w:p w14:paraId="45011933" w14:textId="081813EF" w:rsidR="000C3550" w:rsidRPr="001B5F4D" w:rsidRDefault="00B44F58">
      <w:pPr>
        <w:rPr>
          <w:rFonts w:ascii="Aptos" w:hAnsi="Aptos"/>
          <w:b/>
          <w:bCs/>
        </w:rPr>
      </w:pPr>
      <w:r>
        <w:rPr>
          <w:rFonts w:ascii="Aptos" w:hAnsi="Aptos"/>
          <w:b/>
          <w:bCs/>
        </w:rPr>
        <w:t>DISCUSSION</w:t>
      </w:r>
    </w:p>
    <w:p w14:paraId="375E965B" w14:textId="049EFE95" w:rsidR="005D583C" w:rsidRPr="001B5F4D" w:rsidRDefault="009D00FE">
      <w:pPr>
        <w:rPr>
          <w:rFonts w:ascii="Aptos" w:hAnsi="Aptos"/>
        </w:rPr>
      </w:pPr>
      <w:r w:rsidRPr="001B5F4D">
        <w:rPr>
          <w:rFonts w:ascii="Aptos" w:hAnsi="Aptos"/>
        </w:rPr>
        <w:t>This focus group</w:t>
      </w:r>
      <w:r w:rsidR="00D67962">
        <w:rPr>
          <w:rFonts w:ascii="Aptos" w:hAnsi="Aptos"/>
        </w:rPr>
        <w:t xml:space="preserve"> study</w:t>
      </w:r>
      <w:r w:rsidRPr="001B5F4D">
        <w:rPr>
          <w:rFonts w:ascii="Aptos" w:hAnsi="Aptos"/>
        </w:rPr>
        <w:t xml:space="preserve"> has</w:t>
      </w:r>
      <w:r w:rsidR="00B00325" w:rsidRPr="001B5F4D">
        <w:rPr>
          <w:rFonts w:ascii="Aptos" w:hAnsi="Aptos"/>
        </w:rPr>
        <w:t>,</w:t>
      </w:r>
      <w:r w:rsidRPr="001B5F4D">
        <w:rPr>
          <w:rFonts w:ascii="Aptos" w:hAnsi="Aptos"/>
        </w:rPr>
        <w:t xml:space="preserve"> for the first time in the UK</w:t>
      </w:r>
      <w:r w:rsidR="00B00325" w:rsidRPr="001B5F4D">
        <w:rPr>
          <w:rFonts w:ascii="Aptos" w:hAnsi="Aptos"/>
        </w:rPr>
        <w:t>,</w:t>
      </w:r>
      <w:r w:rsidR="00E708DE" w:rsidRPr="001B5F4D">
        <w:rPr>
          <w:rFonts w:ascii="Aptos" w:hAnsi="Aptos"/>
        </w:rPr>
        <w:t xml:space="preserve"> </w:t>
      </w:r>
      <w:r w:rsidRPr="001B5F4D">
        <w:rPr>
          <w:rFonts w:ascii="Aptos" w:hAnsi="Aptos"/>
        </w:rPr>
        <w:t xml:space="preserve">provided qualitative data on the experience of TGNC-IBD individuals </w:t>
      </w:r>
      <w:r w:rsidR="00E708DE" w:rsidRPr="001B5F4D">
        <w:rPr>
          <w:rFonts w:ascii="Aptos" w:hAnsi="Aptos"/>
        </w:rPr>
        <w:t>when accessing IBD services</w:t>
      </w:r>
      <w:r w:rsidRPr="001B5F4D">
        <w:rPr>
          <w:rFonts w:ascii="Aptos" w:hAnsi="Aptos"/>
        </w:rPr>
        <w:t xml:space="preserve">. </w:t>
      </w:r>
      <w:r w:rsidR="00E34E55" w:rsidRPr="001B5F4D">
        <w:rPr>
          <w:rFonts w:ascii="Aptos" w:hAnsi="Aptos"/>
        </w:rPr>
        <w:t xml:space="preserve">The results provide a unique </w:t>
      </w:r>
      <w:r w:rsidR="00167D96" w:rsidRPr="001B5F4D">
        <w:rPr>
          <w:rFonts w:ascii="Aptos" w:hAnsi="Aptos"/>
        </w:rPr>
        <w:t>patient-centred perspective</w:t>
      </w:r>
      <w:r w:rsidR="0067247D" w:rsidRPr="001B5F4D">
        <w:rPr>
          <w:rFonts w:ascii="Aptos" w:hAnsi="Aptos"/>
        </w:rPr>
        <w:t xml:space="preserve"> and</w:t>
      </w:r>
      <w:r w:rsidR="00E34E55" w:rsidRPr="001B5F4D">
        <w:rPr>
          <w:rFonts w:ascii="Aptos" w:hAnsi="Aptos"/>
        </w:rPr>
        <w:t xml:space="preserve"> have</w:t>
      </w:r>
      <w:r w:rsidR="0067247D" w:rsidRPr="001B5F4D">
        <w:rPr>
          <w:rFonts w:ascii="Aptos" w:hAnsi="Aptos"/>
        </w:rPr>
        <w:t xml:space="preserve"> highlight</w:t>
      </w:r>
      <w:r w:rsidR="00E34E55" w:rsidRPr="001B5F4D">
        <w:rPr>
          <w:rFonts w:ascii="Aptos" w:hAnsi="Aptos"/>
        </w:rPr>
        <w:t>ed several</w:t>
      </w:r>
      <w:r w:rsidR="0067247D" w:rsidRPr="001B5F4D">
        <w:rPr>
          <w:rFonts w:ascii="Aptos" w:hAnsi="Aptos"/>
        </w:rPr>
        <w:t xml:space="preserve"> </w:t>
      </w:r>
      <w:r w:rsidR="00E34E55" w:rsidRPr="001B5F4D">
        <w:rPr>
          <w:rFonts w:ascii="Aptos" w:hAnsi="Aptos"/>
        </w:rPr>
        <w:t xml:space="preserve">common themes that negatively impact upon their experience of care provided by their IBD </w:t>
      </w:r>
      <w:r w:rsidR="00B65DAF">
        <w:rPr>
          <w:rFonts w:ascii="Aptos" w:hAnsi="Aptos"/>
        </w:rPr>
        <w:t>service</w:t>
      </w:r>
      <w:r w:rsidR="00C6594F">
        <w:rPr>
          <w:rFonts w:ascii="Aptos" w:hAnsi="Aptos"/>
        </w:rPr>
        <w:t>.</w:t>
      </w:r>
    </w:p>
    <w:p w14:paraId="166A6A0C" w14:textId="77777777" w:rsidR="00924E3A" w:rsidRPr="001B5F4D" w:rsidRDefault="00924E3A" w:rsidP="0066132E">
      <w:pPr>
        <w:rPr>
          <w:rFonts w:ascii="Aptos" w:hAnsi="Aptos"/>
        </w:rPr>
      </w:pPr>
    </w:p>
    <w:p w14:paraId="5FA4699C" w14:textId="1FB76DE7" w:rsidR="00831E37" w:rsidRDefault="00831E37" w:rsidP="0066132E">
      <w:pPr>
        <w:rPr>
          <w:rFonts w:ascii="Aptos" w:hAnsi="Aptos"/>
        </w:rPr>
      </w:pPr>
      <w:r>
        <w:rPr>
          <w:rFonts w:ascii="Aptos" w:hAnsi="Aptos"/>
        </w:rPr>
        <w:t xml:space="preserve">Our findings are in keeping with previous work investigating experiences of TGNC individuals when accessing healthcare. A </w:t>
      </w:r>
      <w:r w:rsidR="000323AD">
        <w:rPr>
          <w:rFonts w:ascii="Aptos" w:hAnsi="Aptos"/>
        </w:rPr>
        <w:t xml:space="preserve">study by McLaughlin </w:t>
      </w:r>
      <w:r w:rsidR="000323AD" w:rsidRPr="00AD3CDB">
        <w:rPr>
          <w:rFonts w:ascii="Aptos" w:hAnsi="Aptos"/>
          <w:i/>
          <w:iCs/>
        </w:rPr>
        <w:t>et al</w:t>
      </w:r>
      <w:r w:rsidR="000323AD">
        <w:rPr>
          <w:rFonts w:ascii="Aptos" w:hAnsi="Aptos"/>
        </w:rPr>
        <w:t xml:space="preserve"> also identified </w:t>
      </w:r>
      <w:r w:rsidR="000323AD">
        <w:rPr>
          <w:rFonts w:ascii="Aptos" w:hAnsi="Aptos"/>
        </w:rPr>
        <w:lastRenderedPageBreak/>
        <w:t>assumption</w:t>
      </w:r>
      <w:r w:rsidR="00665D65">
        <w:rPr>
          <w:rFonts w:ascii="Aptos" w:hAnsi="Aptos"/>
        </w:rPr>
        <w:t>s</w:t>
      </w:r>
      <w:r w:rsidR="00B01BFB">
        <w:rPr>
          <w:rFonts w:ascii="Aptos" w:hAnsi="Aptos"/>
        </w:rPr>
        <w:t xml:space="preserve"> </w:t>
      </w:r>
      <w:r w:rsidR="00635A6B">
        <w:rPr>
          <w:rFonts w:ascii="Aptos" w:hAnsi="Aptos"/>
        </w:rPr>
        <w:t xml:space="preserve">– about </w:t>
      </w:r>
      <w:r w:rsidR="00B01BFB">
        <w:rPr>
          <w:rFonts w:ascii="Aptos" w:hAnsi="Aptos"/>
        </w:rPr>
        <w:t>gender identity and inter-personal relationships</w:t>
      </w:r>
      <w:r w:rsidR="000323AD">
        <w:rPr>
          <w:rFonts w:ascii="Aptos" w:hAnsi="Aptos"/>
        </w:rPr>
        <w:t xml:space="preserve"> </w:t>
      </w:r>
      <w:r w:rsidR="00635A6B">
        <w:rPr>
          <w:rFonts w:ascii="Aptos" w:hAnsi="Aptos"/>
        </w:rPr>
        <w:t xml:space="preserve">– and </w:t>
      </w:r>
      <w:r w:rsidR="008977E5">
        <w:rPr>
          <w:rFonts w:ascii="Aptos" w:hAnsi="Aptos"/>
        </w:rPr>
        <w:t xml:space="preserve"> transphobic behaviours as being commonplace </w:t>
      </w:r>
      <w:r w:rsidR="000323AD">
        <w:rPr>
          <w:rFonts w:ascii="Aptos" w:hAnsi="Aptos"/>
        </w:rPr>
        <w:t xml:space="preserve">when </w:t>
      </w:r>
      <w:r w:rsidR="00635A6B">
        <w:rPr>
          <w:rFonts w:ascii="Aptos" w:hAnsi="Aptos"/>
        </w:rPr>
        <w:t>investigating</w:t>
      </w:r>
      <w:r w:rsidR="000323AD">
        <w:rPr>
          <w:rFonts w:ascii="Aptos" w:hAnsi="Aptos"/>
        </w:rPr>
        <w:t xml:space="preserve"> TGNC individuals experiences of healthcare</w:t>
      </w:r>
      <w:r w:rsidR="009E3BA4">
        <w:rPr>
          <w:rFonts w:ascii="Aptos" w:hAnsi="Aptos"/>
        </w:rPr>
        <w:t>.</w:t>
      </w:r>
      <w:r w:rsidR="000323AD">
        <w:rPr>
          <w:rFonts w:ascii="Aptos" w:hAnsi="Aptos"/>
        </w:rPr>
        <w:fldChar w:fldCharType="begin"/>
      </w:r>
      <w:r w:rsidR="00407D5C">
        <w:rPr>
          <w:rFonts w:ascii="Aptos" w:hAnsi="Aptos"/>
        </w:rPr>
        <w:instrText xml:space="preserve"> ADDIN ZOTERO_ITEM CSL_CITATION {"citationID":"uun36rWu","properties":{"formattedCitation":"[11]","plainCitation":"[11]","noteIndex":0},"citationItems":[{"id":1868,"uris":["http://zotero.org/users/local/tOUCYacB/items/G3VIRFFT"],"itemData":{"id":1868,"type":"article-journal","abstract":"Transgender (T+) people report negative healthcare experiences such as being misgendered, pathologizing gender, and gatekeeping care, as well as treatment refusal. Less is known about T+ patients’ perceptions of interrelated factors associated with, and consequences of, negative experiences. The purpose of this analysis was to explore T+ patients’ negative healthcare experiences through Twitter posts using the hashtag #transhealthfail. Publicly available Tweets published between July 2015 and November 2021 from US-based Twitter accounts were collected via Mozdeh. Tweets were deductively analyzed for content using a list of a-priori codes developed from existing literature. Additional codes were developed as new ideas emerged from the data. When possible, type of care location, providers interacted with, and initial reason for seeking care were extracted. Each Tweet was coded by at least two team members using NVivo12. A total of 1,340 tweets from 652 unique Twitter users were analyzed. Negative experiences were reported across healthcare settings and professional types, with physicians, nurses, and counselors/therapists being named most frequently. Primary antecedents of negative healthcare experiences and barriers to accessing care were related to health insurance issues and providers’ lack of knowledge, discomfort, and binary gender beliefs. Negative healthcare interactions led T+ patients to perceive receiving a different standard of care and having unmet needs, which could lead to delaying/avoiding care in the future. As such, these results highlight the potential for direct and indirect harm related to providers’ specific actions. Patient strategies to prevent and/or manage negative encounters and care facilitators were also identified. A multi-pronged approach addressing healthcare policy, improving knowledge and attitudes of healthcare providers and ancillary staff, and creating clinical settings that are physically and psychologically safe for T+ patients is critical to improving the healthcare experiences, and ultimately health, of T+ people., Transgender people, who have a gender identity that is different than societal expectations based on their assigned sex at birth, have worse physical and mental health compared to their non-transgender counterparts, which could be due to unequal healthcare treatment. We conducted a historical analysis of Twitter data to healthcare experiences reported by transgender people using #TransHealthFail, which was introduced on Twitter in 2015 to bring attention to the frequently poor treatment experienced by transgender people seeking healthcare. Transgender people reported a range of barriers to healthcare at the level of healthcare systems, including insurance issues and organizational policies. Negative interactions were identified across healthcare setting and provider types, often demonstrating providers’ lack of knowledge about, discomfort with, and negative attitudes toward transgender people. Our findings reinforce that negative healthcare experiences have the potential to impact transgender individuals’ health both directly and indirectly. Despite general improvements in social attitudes about transgender people since #TransHealthFail was introduced, many of the problems and negative experiences that were identified in the historical tweets are still common themes in more current literature. Our results highlight the critical need to address healthcare issues at all levels of influence to improve the health of transgender people.","container-title":"PLOS Digital Health","DOI":"10.1371/journal.pdig.0000718","ISSN":"2767-3170","issue":"3","journalAbbreviation":"PLOS Digit Health","note":"PMID: 40072968\nPMCID: PMC11902059","page":"e0000718","source":"PubMed Central","title":"Systemic transphobia and ongoing barriers to healthcare for transgender and nonbinary people: A historical analysis of #TransHealthFail","title-short":"Systemic transphobia and ongoing barriers to healthcare for transgender and nonbinary people","volume":"4","author":[{"family":"McLaughlin","given":"Allison J."},{"family":"Nonoyama","given":"Saren"},{"family":"Glupe","given":"Lauren"},{"family":"Bosse","given":"Jordon D."}],"issued":{"date-parts":[["2025",3,12]]}}}],"schema":"https://github.com/citation-style-language/schema/raw/master/csl-citation.json"} </w:instrText>
      </w:r>
      <w:r w:rsidR="000323AD">
        <w:rPr>
          <w:rFonts w:ascii="Aptos" w:hAnsi="Aptos"/>
        </w:rPr>
        <w:fldChar w:fldCharType="separate"/>
      </w:r>
      <w:r w:rsidR="00407D5C">
        <w:rPr>
          <w:rFonts w:ascii="Aptos" w:hAnsi="Aptos"/>
          <w:noProof/>
        </w:rPr>
        <w:t>[11]</w:t>
      </w:r>
      <w:r w:rsidR="000323AD">
        <w:rPr>
          <w:rFonts w:ascii="Aptos" w:hAnsi="Aptos"/>
        </w:rPr>
        <w:fldChar w:fldCharType="end"/>
      </w:r>
      <w:r w:rsidR="009E3BA4">
        <w:rPr>
          <w:rFonts w:ascii="Aptos" w:hAnsi="Aptos"/>
        </w:rPr>
        <w:t xml:space="preserve"> </w:t>
      </w:r>
      <w:r>
        <w:rPr>
          <w:rFonts w:ascii="Aptos" w:hAnsi="Aptos"/>
        </w:rPr>
        <w:t xml:space="preserve">Similarly, the findings of inadequate mental health support </w:t>
      </w:r>
      <w:r w:rsidR="00665D65">
        <w:rPr>
          <w:rFonts w:ascii="Aptos" w:hAnsi="Aptos"/>
        </w:rPr>
        <w:t>highlighted by</w:t>
      </w:r>
      <w:r>
        <w:rPr>
          <w:rFonts w:ascii="Aptos" w:hAnsi="Aptos"/>
        </w:rPr>
        <w:t xml:space="preserve"> our participants has also been previously </w:t>
      </w:r>
      <w:r w:rsidR="00F74A60">
        <w:rPr>
          <w:rFonts w:ascii="Aptos" w:hAnsi="Aptos"/>
        </w:rPr>
        <w:t>identified</w:t>
      </w:r>
      <w:r>
        <w:rPr>
          <w:rFonts w:ascii="Aptos" w:hAnsi="Aptos"/>
        </w:rPr>
        <w:t xml:space="preserve"> as an issue for the wider TGNC population</w:t>
      </w:r>
      <w:r w:rsidR="00F74A60">
        <w:rPr>
          <w:rFonts w:ascii="Aptos" w:hAnsi="Aptos"/>
        </w:rPr>
        <w:fldChar w:fldCharType="begin"/>
      </w:r>
      <w:r w:rsidR="00407D5C">
        <w:rPr>
          <w:rFonts w:ascii="Aptos" w:hAnsi="Aptos"/>
        </w:rPr>
        <w:instrText xml:space="preserve"> ADDIN ZOTERO_ITEM CSL_CITATION {"citationID":"r8zDOtPP","properties":{"formattedCitation":"[12]","plainCitation":"[12]","noteIndex":0},"citationItems":[{"id":1870,"uris":["http://zotero.org/users/local/tOUCYacB/items/L4W8DW5F"],"itemData":{"id":1870,"type":"article-journal","abstract":"BACKGROUND: This research concerns improving the National Health Service health services trans adults need. These include the national specialist Gender Identity Clinics that support people making a medical transition. Not all trans people need to make a medical transition, and transition can take many different paths. Waits to be seen by Gender Identity Clinics are, however, several years long, and there may be significant problems of co-ordination between different aspects of transition-related care, and between transition-related care and general health care.\nOBJECTIVES: The main objectives were to understand: Which factors make services more or less accessible and acceptable to the variety of trans adults? How initiatives for providing more person-centred and integrated care can be successfully implemented and further improved?\nDESIGN, DATA SOURCES AND PARTICIPANTS: An online and paper screening survey was used to gather data on demographics and service use of trans people across the United Kingdom, with 2056 responses. Researchers used survey data to construct five purposive subsamples for individual qualitative interviews, identifying groups of people more likely to experience social exclusion or stigma. There were 65 online interviews. In addition, 23 trans Black people and people of colour attended focus groups. Six case studies were completed: four on initiatives to improve care and two on experiences of particular trans populations. Fifty-five service provider staff and 45 service users were interviewed.\nRESULTS: The following undermine person-centred co-ordinated care and can lead to experiences of harm: lack of respectful treatment of trans people by general practitioner practices; inadequate funding of services; lack of support during waiting; the extended and challenging nature of Gender Identity Clinic diagnostic assessments, sometimes experienced as adversarial; breakdowns in collaboration between Gender Identity Clinics and general practitioner practices over hormone therapy; lack of National Health Service psychological support for trans people. Case studies indicated ways to improve care, although each has significant unresolved issues: training in trans health care for general practitioners; third-sector peer-support workers for trans people who come to National Health Services; gender services taking a collaborative approach to assessing what people need, clarifying treatment options, benefits and risks; regional general practitioner-led hormone therapy clinics, bringing trans health care into the mainstream; psychology services that support trans people rather than assess them.\nLIMITATIONS: Some contexts of care and experiences of particular groups of trans people were not addressed sufficiently within the scope of the project. While efforts were made to recruit people subject to multiple forms of stigma, there remained gaps in representation.\nCONCLUSIONS AND FUTURE WORK: The findings have significant implications for commissioners and providers of existing National Health Services gender services, including recently established pilot services in primary care. In particular they point to the need for assessments for access to transition care to be more collaborative and culturally aware, implying the value of exploring informed consent models for accessing transition-related care. Further research is needed to investigate how far the findings apply with particular subpopulations.\nSTUDY REGISTRATION: This study is registered as Research Registry, no. 5235.\nFUNDING: This award was funded by the National Institute for Health and Care Research (NIHR) Health and Social Care Delivery Research programme (NIHR award ref: 17/51/08) and is published in full in Health and Social Care Delivery Research; Vol. 12, No. 28. See the NIHR Funding and Awards website for further award information.","container-title":"Health and Social Care Delivery Research","DOI":"10.3310/EWTA4502","ISSN":"2755-0079","issue":"28","journalAbbreviation":"Health Soc Care Deliv Res","language":"eng","note":"PMID: 39259688","page":"1-217","source":"PubMed","title":"Improving the integration of care for trans adults: ICTA a mixed-methods study","title-short":"Improving the integration of care for trans adults","volume":"12","author":[{"family":"Holti","given":"Richard"},{"family":"Callahan","given":"Evelyn"},{"family":"Fletcher","given":"Jamie"},{"family":"Hope","given":"Sam"},{"family":"Moller","given":"Naomi"},{"family":"Vincent","given":"Ben"},{"family":"Walley","given":"Paul"}],"issued":{"date-parts":[["2024",8]]}}}],"schema":"https://github.com/citation-style-language/schema/raw/master/csl-citation.json"} </w:instrText>
      </w:r>
      <w:r w:rsidR="00F74A60">
        <w:rPr>
          <w:rFonts w:ascii="Aptos" w:hAnsi="Aptos"/>
        </w:rPr>
        <w:fldChar w:fldCharType="separate"/>
      </w:r>
      <w:r w:rsidR="00407D5C">
        <w:rPr>
          <w:rFonts w:ascii="Aptos" w:hAnsi="Aptos"/>
          <w:noProof/>
        </w:rPr>
        <w:t>[12]</w:t>
      </w:r>
      <w:r w:rsidR="00F74A60">
        <w:rPr>
          <w:rFonts w:ascii="Aptos" w:hAnsi="Aptos"/>
        </w:rPr>
        <w:fldChar w:fldCharType="end"/>
      </w:r>
      <w:r w:rsidR="008144CE">
        <w:rPr>
          <w:rFonts w:ascii="Aptos" w:hAnsi="Aptos"/>
        </w:rPr>
        <w:t xml:space="preserve"> </w:t>
      </w:r>
      <w:r w:rsidR="005C08C0">
        <w:rPr>
          <w:rFonts w:ascii="Aptos" w:hAnsi="Aptos"/>
        </w:rPr>
        <w:t>and the recently published</w:t>
      </w:r>
      <w:r w:rsidR="005C08C0" w:rsidRPr="001B5F4D">
        <w:rPr>
          <w:rFonts w:ascii="Aptos" w:hAnsi="Aptos"/>
        </w:rPr>
        <w:t xml:space="preserve"> Cass report also highlighted inadequate mental health care for these patients</w:t>
      </w:r>
      <w:r w:rsidR="00665D65">
        <w:rPr>
          <w:rFonts w:ascii="Aptos" w:hAnsi="Aptos"/>
        </w:rPr>
        <w:t xml:space="preserve"> across the UK</w:t>
      </w:r>
      <w:r w:rsidR="005C08C0" w:rsidRPr="001B5F4D">
        <w:rPr>
          <w:rFonts w:ascii="Aptos" w:hAnsi="Aptos"/>
        </w:rPr>
        <w:t>.</w:t>
      </w:r>
      <w:r w:rsidR="005C08C0" w:rsidRPr="001B5F4D">
        <w:rPr>
          <w:rFonts w:ascii="Aptos" w:hAnsi="Aptos"/>
        </w:rPr>
        <w:fldChar w:fldCharType="begin"/>
      </w:r>
      <w:r w:rsidR="00407D5C">
        <w:rPr>
          <w:rFonts w:ascii="Aptos" w:hAnsi="Aptos"/>
        </w:rPr>
        <w:instrText xml:space="preserve"> ADDIN ZOTERO_ITEM CSL_CITATION {"citationID":"h8UVwpFU","properties":{"formattedCitation":"[13]","plainCitation":"[13]","noteIndex":0},"citationItems":[{"id":625,"uris":["http://zotero.org/users/local/tOUCYacB/items/RBTZA8MK"],"itemData":{"id":625,"type":"webpage","language":"en","title":"Final Report – Cass Review","URL":"https://cass.independent-review.uk/home/publications/final-report/","accessed":{"date-parts":[["2024",5,1]]}}}],"schema":"https://github.com/citation-style-language/schema/raw/master/csl-citation.json"} </w:instrText>
      </w:r>
      <w:r w:rsidR="005C08C0" w:rsidRPr="001B5F4D">
        <w:rPr>
          <w:rFonts w:ascii="Aptos" w:hAnsi="Aptos"/>
        </w:rPr>
        <w:fldChar w:fldCharType="separate"/>
      </w:r>
      <w:r w:rsidR="00407D5C">
        <w:rPr>
          <w:rFonts w:ascii="Aptos" w:hAnsi="Aptos"/>
          <w:noProof/>
        </w:rPr>
        <w:t>[13]</w:t>
      </w:r>
      <w:r w:rsidR="005C08C0" w:rsidRPr="001B5F4D">
        <w:rPr>
          <w:rFonts w:ascii="Aptos" w:hAnsi="Aptos"/>
        </w:rPr>
        <w:fldChar w:fldCharType="end"/>
      </w:r>
    </w:p>
    <w:p w14:paraId="367FDD5B" w14:textId="77777777" w:rsidR="00F74A60" w:rsidRDefault="00F74A60" w:rsidP="0066132E">
      <w:pPr>
        <w:rPr>
          <w:rFonts w:ascii="Aptos" w:hAnsi="Aptos"/>
        </w:rPr>
      </w:pPr>
    </w:p>
    <w:p w14:paraId="647E4AD6" w14:textId="7F8A4B65" w:rsidR="00D67962" w:rsidRDefault="000A7304" w:rsidP="0066132E">
      <w:pPr>
        <w:rPr>
          <w:rFonts w:ascii="Aptos" w:hAnsi="Aptos"/>
        </w:rPr>
      </w:pPr>
      <w:r>
        <w:rPr>
          <w:rFonts w:ascii="Aptos" w:hAnsi="Aptos"/>
        </w:rPr>
        <w:t>Wh</w:t>
      </w:r>
      <w:r w:rsidR="00C76D3C">
        <w:rPr>
          <w:rFonts w:ascii="Aptos" w:hAnsi="Aptos"/>
        </w:rPr>
        <w:t>ilst our study did not include a cisgender control group, wh</w:t>
      </w:r>
      <w:r>
        <w:rPr>
          <w:rFonts w:ascii="Aptos" w:hAnsi="Aptos"/>
        </w:rPr>
        <w:t xml:space="preserve">en comparing our findings to those of </w:t>
      </w:r>
      <w:r w:rsidR="00C76D3C">
        <w:rPr>
          <w:rFonts w:ascii="Aptos" w:hAnsi="Aptos"/>
        </w:rPr>
        <w:t xml:space="preserve">all </w:t>
      </w:r>
      <w:r>
        <w:rPr>
          <w:rFonts w:ascii="Aptos" w:hAnsi="Aptos"/>
        </w:rPr>
        <w:t>IBD patients</w:t>
      </w:r>
      <w:r w:rsidR="00C76D3C">
        <w:rPr>
          <w:rFonts w:ascii="Aptos" w:hAnsi="Aptos"/>
        </w:rPr>
        <w:t xml:space="preserve"> in the UK</w:t>
      </w:r>
      <w:r>
        <w:rPr>
          <w:rFonts w:ascii="Aptos" w:hAnsi="Aptos"/>
        </w:rPr>
        <w:t>, inad</w:t>
      </w:r>
      <w:r w:rsidR="008144CE">
        <w:rPr>
          <w:rFonts w:ascii="Aptos" w:hAnsi="Aptos"/>
        </w:rPr>
        <w:t>e</w:t>
      </w:r>
      <w:r>
        <w:rPr>
          <w:rFonts w:ascii="Aptos" w:hAnsi="Aptos"/>
        </w:rPr>
        <w:t xml:space="preserve">quate mental health support is also highlighted in the most recent </w:t>
      </w:r>
      <w:r w:rsidRPr="001B5F4D">
        <w:rPr>
          <w:rFonts w:ascii="Aptos" w:hAnsi="Aptos"/>
        </w:rPr>
        <w:t>CCUK IBD national report which found that 60% of patients are not regularly asked about their mental health at IBD appointments</w:t>
      </w:r>
      <w:r w:rsidR="001270F5">
        <w:rPr>
          <w:rFonts w:ascii="Aptos" w:hAnsi="Aptos"/>
        </w:rPr>
        <w:t>.</w:t>
      </w:r>
      <w:r w:rsidRPr="001B5F4D">
        <w:rPr>
          <w:rFonts w:ascii="Aptos" w:hAnsi="Aptos"/>
        </w:rPr>
        <w:fldChar w:fldCharType="begin"/>
      </w:r>
      <w:r w:rsidR="00407D5C">
        <w:rPr>
          <w:rFonts w:ascii="Aptos" w:hAnsi="Aptos"/>
        </w:rPr>
        <w:instrText xml:space="preserve"> ADDIN ZOTERO_ITEM CSL_CITATION {"citationID":"pxmYwcPd","properties":{"formattedCitation":"[14]","plainCitation":"[14]","noteIndex":0},"citationItems":[{"id":176,"uris":["http://zotero.org/users/local/tOUCYacB/items/AKQJ6MZW"],"itemData":{"id":176,"type":"webpage","language":"en","title":"Crohn’s and Colitis Care in the UK: The Hidden Cost and a Vision for Change","title-short":"Crohn’s and Colitis Care in the UK","URL":"https://crohnsandcolitis.org.uk/our-work/campaigns/improving-your-healthcare/ibd-uk-and-the-ibd-standards/crohn-s-and-colitis-care-in-the-uk-the-hidden-cost-and-a-vision-for-change","accessed":{"date-parts":[["2023",10,25]]}}}],"schema":"https://github.com/citation-style-language/schema/raw/master/csl-citation.json"} </w:instrText>
      </w:r>
      <w:r w:rsidRPr="001B5F4D">
        <w:rPr>
          <w:rFonts w:ascii="Aptos" w:hAnsi="Aptos"/>
        </w:rPr>
        <w:fldChar w:fldCharType="separate"/>
      </w:r>
      <w:r w:rsidR="00407D5C">
        <w:rPr>
          <w:rFonts w:ascii="Aptos" w:hAnsi="Aptos"/>
          <w:noProof/>
        </w:rPr>
        <w:t>[14]</w:t>
      </w:r>
      <w:r w:rsidRPr="001B5F4D">
        <w:rPr>
          <w:rFonts w:ascii="Aptos" w:hAnsi="Aptos"/>
        </w:rPr>
        <w:fldChar w:fldCharType="end"/>
      </w:r>
      <w:r w:rsidR="00EC5684">
        <w:rPr>
          <w:rFonts w:ascii="Aptos" w:hAnsi="Aptos"/>
        </w:rPr>
        <w:t xml:space="preserve"> </w:t>
      </w:r>
      <w:r w:rsidR="00812E63">
        <w:rPr>
          <w:rFonts w:ascii="Aptos" w:hAnsi="Aptos"/>
        </w:rPr>
        <w:t>Additionally, o</w:t>
      </w:r>
      <w:r w:rsidR="00B728F9">
        <w:rPr>
          <w:rFonts w:ascii="Aptos" w:hAnsi="Aptos"/>
        </w:rPr>
        <w:t>nly 2% of healthcare trusts reported meeting the standards for psychologist</w:t>
      </w:r>
      <w:r w:rsidR="00AD5FEC">
        <w:rPr>
          <w:rFonts w:ascii="Aptos" w:hAnsi="Aptos"/>
        </w:rPr>
        <w:t xml:space="preserve"> staffing</w:t>
      </w:r>
      <w:r w:rsidR="00812E63">
        <w:rPr>
          <w:rFonts w:ascii="Aptos" w:hAnsi="Aptos"/>
        </w:rPr>
        <w:t>.</w:t>
      </w:r>
      <w:r w:rsidR="00B728F9">
        <w:rPr>
          <w:rFonts w:ascii="Aptos" w:hAnsi="Aptos"/>
        </w:rPr>
        <w:t xml:space="preserve"> </w:t>
      </w:r>
      <w:r>
        <w:rPr>
          <w:rFonts w:ascii="Aptos" w:hAnsi="Aptos"/>
        </w:rPr>
        <w:t>Research</w:t>
      </w:r>
      <w:r w:rsidRPr="001B5F4D">
        <w:rPr>
          <w:rFonts w:ascii="Aptos" w:hAnsi="Aptos"/>
        </w:rPr>
        <w:t xml:space="preserve"> from the </w:t>
      </w:r>
      <w:proofErr w:type="spellStart"/>
      <w:r w:rsidRPr="001B5F4D">
        <w:rPr>
          <w:rFonts w:ascii="Aptos" w:hAnsi="Aptos"/>
        </w:rPr>
        <w:t>Wellcome</w:t>
      </w:r>
      <w:proofErr w:type="spellEnd"/>
      <w:r w:rsidRPr="001B5F4D">
        <w:rPr>
          <w:rFonts w:ascii="Aptos" w:hAnsi="Aptos"/>
        </w:rPr>
        <w:t xml:space="preserve"> Trust has also found that across the UK satisfaction with NHS mental health services is extremely poor</w:t>
      </w:r>
      <w:r w:rsidR="0039464D">
        <w:rPr>
          <w:rFonts w:ascii="Aptos" w:hAnsi="Aptos"/>
        </w:rPr>
        <w:t xml:space="preserve"> suggesting this is not restricted to patients with IBD</w:t>
      </w:r>
      <w:r w:rsidR="006402E8">
        <w:rPr>
          <w:rFonts w:ascii="Aptos" w:hAnsi="Aptos"/>
        </w:rPr>
        <w:t>.</w:t>
      </w:r>
      <w:r w:rsidRPr="001B5F4D">
        <w:rPr>
          <w:rFonts w:ascii="Aptos" w:hAnsi="Aptos"/>
        </w:rPr>
        <w:fldChar w:fldCharType="begin"/>
      </w:r>
      <w:r w:rsidR="00407D5C">
        <w:rPr>
          <w:rFonts w:ascii="Aptos" w:hAnsi="Aptos"/>
        </w:rPr>
        <w:instrText xml:space="preserve"> ADDIN ZOTERO_ITEM CSL_CITATION {"citationID":"CmYh8wK3","properties":{"formattedCitation":"[15]","plainCitation":"[15]","noteIndex":0},"citationItems":[{"id":609,"uris":["http://zotero.org/users/local/tOUCYacB/items/N5RZT4J7"],"itemData":{"id":609,"type":"article-journal","abstract":"Introduction - Despite extensive debate surrounding mental health services in the UK, there is little empirical evidence regarding the views of those who use them. We therefore used data collected as part of a wider survey to examine satisfaction amongst those seeking treatment from mental and physical health services., \nMethods – An online survey designed with input from people with experience of mental illness was used to measure satisfaction with NHS mental and physical health services at first contact and in the previous 12 months., \nResults – A total of 2187 people responded. During the 12 months prior to the survey, 526 respondents had sought mental health care and 1379 had sought physical health care. Participants were significantly more satisfied with their most recent contact with mental health services (48.1% very/satisfied) than with their first contact (38.2% very/satisfied). More than 1 in 10 respondents who sought mental health care (11.4%) stated that they received no treatment/support from the NHS, compared to approximately 1 in 20 respondents who sought physical health care (4.6%). Of those who received the mental health treatment they requested (n = 424), most were satisfied or very satisfied with their care (54.7%), although this was lower than the corresponding figure (77.9%) for satisfaction with physical health care received (n = 1190)., \nConclusion –There was evidence that mental health services are satisfactory for a slim majority of users, but people were generally more satisfied with NHS physical health care. This survey was conducted in the year prior to the coronavirus disease 2019 pandemic. Future research could examine what influences satisfaction with care and whether this picture has changed following the emergence of the pandemic and consequent impact on health service delivery and daily life.","container-title":"Wellcome Open Research","DOI":"10.12688/wellcomeopenres.17973.1","ISSN":"2398-502X","journalAbbreviation":"Wellcome Open Res","note":"PMID: 37680686\nPMCID: PMC10480769","page":"198","source":"PubMed Central","title":"Patient satisfaction with mental and physical health services: Findings from a UK-wide online survey","title-short":"Patient satisfaction with mental and physical health services","volume":"7","author":[{"family":"Kirkham","given":"Elizabeth J."},{"family":"Fletcher-Watson","given":"Sue"},{"family":"Beange","given":"Iona"},{"family":"Chan","given":"Stella W.Y."},{"family":"Lawrie","given":"Stephen M."}],"issued":{"date-parts":[["2022",8,1]]}}}],"schema":"https://github.com/citation-style-language/schema/raw/master/csl-citation.json"} </w:instrText>
      </w:r>
      <w:r w:rsidRPr="001B5F4D">
        <w:rPr>
          <w:rFonts w:ascii="Aptos" w:hAnsi="Aptos"/>
        </w:rPr>
        <w:fldChar w:fldCharType="separate"/>
      </w:r>
      <w:r w:rsidR="00407D5C">
        <w:rPr>
          <w:rFonts w:ascii="Aptos" w:hAnsi="Aptos"/>
          <w:noProof/>
        </w:rPr>
        <w:t>[15]</w:t>
      </w:r>
      <w:r w:rsidRPr="001B5F4D">
        <w:rPr>
          <w:rFonts w:ascii="Aptos" w:hAnsi="Aptos"/>
        </w:rPr>
        <w:fldChar w:fldCharType="end"/>
      </w:r>
      <w:r w:rsidR="00B728F9">
        <w:rPr>
          <w:rFonts w:ascii="Aptos" w:hAnsi="Aptos"/>
        </w:rPr>
        <w:t xml:space="preserve"> </w:t>
      </w:r>
    </w:p>
    <w:p w14:paraId="357C22EF" w14:textId="77777777" w:rsidR="000A7304" w:rsidRDefault="000A7304" w:rsidP="0066132E">
      <w:pPr>
        <w:rPr>
          <w:rFonts w:ascii="Aptos" w:hAnsi="Aptos"/>
        </w:rPr>
      </w:pPr>
    </w:p>
    <w:p w14:paraId="07D78FC5" w14:textId="74E680E1" w:rsidR="001270F5" w:rsidRDefault="002E235F" w:rsidP="0066132E">
      <w:pPr>
        <w:rPr>
          <w:rFonts w:ascii="Aptos" w:hAnsi="Aptos"/>
        </w:rPr>
      </w:pPr>
      <w:r>
        <w:rPr>
          <w:rFonts w:ascii="Aptos" w:hAnsi="Aptos"/>
        </w:rPr>
        <w:t xml:space="preserve">The participants also </w:t>
      </w:r>
      <w:r w:rsidR="00C2070F">
        <w:rPr>
          <w:rFonts w:ascii="Aptos" w:hAnsi="Aptos"/>
        </w:rPr>
        <w:t>cited a</w:t>
      </w:r>
      <w:r>
        <w:rPr>
          <w:rFonts w:ascii="Aptos" w:hAnsi="Aptos"/>
        </w:rPr>
        <w:t xml:space="preserve"> lack of research and evidence-based medicine </w:t>
      </w:r>
      <w:r w:rsidR="00C2070F">
        <w:rPr>
          <w:rFonts w:ascii="Aptos" w:hAnsi="Aptos"/>
        </w:rPr>
        <w:t>with regards to issues that they face including the impact of gender-affirming hormones or surgery on IBD</w:t>
      </w:r>
      <w:r w:rsidR="001270F5">
        <w:rPr>
          <w:rFonts w:ascii="Aptos" w:hAnsi="Aptos"/>
        </w:rPr>
        <w:t xml:space="preserve"> and this has also been highlighted in previous work.</w:t>
      </w:r>
      <w:r w:rsidR="001270F5">
        <w:rPr>
          <w:rFonts w:ascii="Aptos" w:hAnsi="Aptos"/>
        </w:rPr>
        <w:fldChar w:fldCharType="begin"/>
      </w:r>
      <w:r w:rsidR="001270F5">
        <w:rPr>
          <w:rFonts w:ascii="Aptos" w:hAnsi="Aptos"/>
        </w:rPr>
        <w:instrText xml:space="preserve"> ADDIN ZOTERO_ITEM CSL_CITATION {"citationID":"mbBv0HWj","properties":{"formattedCitation":"[8]","plainCitation":"[8]","noteIndex":0},"citationItems":[{"id":928,"uris":["http://zotero.org/users/local/tOUCYacB/items/QPNL5XHT"],"itemData":{"id":928,"type":"article-journal","abstract":"There has been greater societal awareness of differences in gender identity and sexual orientation in recent years. The rates of identifying as transgender or gender non-conforming (TGNC) are increasing and are known to be higher in the younger population and will therefore be over-represented in the inflammatory bowel disease (IBD) subpopulation. However, despite this there is very little in the literature with regards to those who identify as TGNC and are diagnosed with IBD (TGNC-IBD). Many TGNC individuals have poor experiences when seeking healthcare and many physicians find it a challenging and daunting clinical situation to be faced with. We reviewed the available literature with regards to TGNC-IBD population demographics, physical, mental and sexual health considerations, medication interactions and implications for surgery in this heterogenous group. We have identified areas that need further research and suggested simple and practical steps that can be adopted in order to help healthcare providers improve the experience for TGNC individuals diagnosed with IBD and the quality of care they provide.","container-title":"Frontline Gastroenterology","DOI":"10.1136/flgastro-2024-102658","issue":"5","journalAbbreviation":"Frontline Gastroenterol","page":"401","title":"Impact of gender identity in the inflammatory bowel disease population: an evidence review and practical steps for gastroenterologists","volume":"15","author":[{"family":"Colwill","given":"Michael"},{"family":"Pollok","given":"Richard"},{"family":"Seal","given":"Leighton"},{"family":"Poullis","given":"Andrew"}],"issued":{"date-parts":[["2024",9,1]]}}}],"schema":"https://github.com/citation-style-language/schema/raw/master/csl-citation.json"} </w:instrText>
      </w:r>
      <w:r w:rsidR="001270F5">
        <w:rPr>
          <w:rFonts w:ascii="Aptos" w:hAnsi="Aptos"/>
        </w:rPr>
        <w:fldChar w:fldCharType="separate"/>
      </w:r>
      <w:r w:rsidR="001270F5">
        <w:rPr>
          <w:rFonts w:ascii="Aptos" w:hAnsi="Aptos"/>
          <w:noProof/>
        </w:rPr>
        <w:t>[8]</w:t>
      </w:r>
      <w:r w:rsidR="001270F5">
        <w:rPr>
          <w:rFonts w:ascii="Aptos" w:hAnsi="Aptos"/>
        </w:rPr>
        <w:fldChar w:fldCharType="end"/>
      </w:r>
      <w:r w:rsidR="00C2070F">
        <w:rPr>
          <w:rFonts w:ascii="Aptos" w:hAnsi="Aptos"/>
        </w:rPr>
        <w:t xml:space="preserve"> Whilst there is no good quality data specifically investigating TGNC-IBD patients, </w:t>
      </w:r>
      <w:r w:rsidR="00407D5C">
        <w:rPr>
          <w:rFonts w:ascii="Aptos" w:hAnsi="Aptos"/>
        </w:rPr>
        <w:t xml:space="preserve">the use of testosterone therapy has been shown to improve the course of </w:t>
      </w:r>
      <w:r w:rsidR="001270F5">
        <w:rPr>
          <w:rFonts w:ascii="Aptos" w:hAnsi="Aptos"/>
        </w:rPr>
        <w:t>CD</w:t>
      </w:r>
      <w:r w:rsidR="00407D5C">
        <w:rPr>
          <w:rFonts w:ascii="Aptos" w:hAnsi="Aptos"/>
        </w:rPr>
        <w:fldChar w:fldCharType="begin"/>
      </w:r>
      <w:r w:rsidR="00407D5C">
        <w:rPr>
          <w:rFonts w:ascii="Aptos" w:hAnsi="Aptos"/>
        </w:rPr>
        <w:instrText xml:space="preserve"> ADDIN ZOTERO_ITEM CSL_CITATION {"citationID":"9t6taVr6","properties":{"formattedCitation":"[16]","plainCitation":"[16]","noteIndex":0},"citationItems":[{"id":182,"uris":["http://zotero.org/users/local/tOUCYacB/items/Q4LPF69G"],"itemData":{"id":182,"type":"article-journal","abstract":"Background : Crohn’s disease is an inflammatory chronic bowel disease characterized by an imbalanced production of pro-inflammatory mediators (tumor necrosis factor-α) and an increased recruitment of leukocytes to the site of inflammation. Low serum testosterone is associated with an increase in inflammatory factors, while testosterone administration reduces them. There is evidence for an immunomodulatory effect of testosterone on differentiation of regulatory T cells. Materials and methods : The research was carried out in clinics in Germany and Syria. The study was a cumulative, prospective, registry study with an increasing number of men over time receiving testosterone. While men diagnosed with Crohn’s disease received appropriate treatment for Crohn’s disease, they were tested for testosterone deficiency (cut-off point ≤12.1 nmol/L). In total, 92 men received parenteral testosterone undecanoate 1000 mg/12 weeks for up to 7 years. Fourteen men opted not to receive testosterone and served as a comparison group. Results : In men receiving testosterone, the Crohn’s Disease Activity Index declined from 239.36±36.96 to 71.67±3.26 at 84 months (p&amp;lt;0.0001 vs. baseline). C-reactive protein levels decreased from 12.89±8.64 to 1.78±1.37 mg/L at 84 months (p&amp;lt;0.0001 vs. baseline). Leukocyte count decreased from 11.93±2.85 to 6.21±1.01×10 9 /L (p&amp;lt;0.0001 at 84 months vs. baseline). No changes were observed in the comparison group. There were no significant side effects of testosterone. Conclusions : Normalizing serum testosterone in hypogonadal men with Crohn’s disease had a positive effect on the clinical course, also evidenced by biochemical parameters. Testosterone administration appeared safe.","container-title":"Hormone Molecular Biology and Clinical Investigation","DOI":"10.1515/hmbci-2015-0014","ISSN":"1868-1891","issue":"3","language":"en","license":"De Gruyter expressly reserves the right to use all content for commercial text and data mining within the meaning of Section 44b of the German Copyright Act.","note":"publisher: De Gruyter","page":"111-117","source":"www.degruyter.com","title":"Testosterone therapy in men with Crohn’s disease improves the clinical course of the disease: data from long-term observational registry study","title-short":"Testosterone therapy in men with Crohn’s disease improves the clinical course of the disease","volume":"22","author":[{"family":"Nasser","given":"Mahmoud"},{"family":"Haider","given":"Ahmad"},{"family":"Saad","given":"Farid"},{"family":"Kurtz","given":"Winfried"},{"family":"Doros","given":"Gheorghe"},{"family":"Fijak","given":"Monika"},{"family":"Vignozzi","given":"Linda"},{"family":"Gooren","given":"Louis"}],"issued":{"date-parts":[["2015",6,1]]}}}],"schema":"https://github.com/citation-style-language/schema/raw/master/csl-citation.json"} </w:instrText>
      </w:r>
      <w:r w:rsidR="00407D5C">
        <w:rPr>
          <w:rFonts w:ascii="Aptos" w:hAnsi="Aptos"/>
        </w:rPr>
        <w:fldChar w:fldCharType="separate"/>
      </w:r>
      <w:r w:rsidR="00407D5C">
        <w:rPr>
          <w:rFonts w:ascii="Aptos" w:hAnsi="Aptos"/>
          <w:noProof/>
        </w:rPr>
        <w:t>[16]</w:t>
      </w:r>
      <w:r w:rsidR="00407D5C">
        <w:rPr>
          <w:rFonts w:ascii="Aptos" w:hAnsi="Aptos"/>
        </w:rPr>
        <w:fldChar w:fldCharType="end"/>
      </w:r>
      <w:r w:rsidR="00407D5C">
        <w:rPr>
          <w:rFonts w:ascii="Aptos" w:hAnsi="Aptos"/>
        </w:rPr>
        <w:t xml:space="preserve"> and the use of hormone replacement therapy in post-menopausal women has</w:t>
      </w:r>
      <w:r w:rsidR="00575F35">
        <w:rPr>
          <w:rFonts w:ascii="Aptos" w:hAnsi="Aptos"/>
        </w:rPr>
        <w:t xml:space="preserve"> not been shown to impact upon clinical activity</w:t>
      </w:r>
      <w:r w:rsidR="001270F5">
        <w:rPr>
          <w:rFonts w:ascii="Aptos" w:hAnsi="Aptos"/>
        </w:rPr>
        <w:t xml:space="preserve"> in IBD</w:t>
      </w:r>
      <w:r w:rsidR="00575F35">
        <w:rPr>
          <w:rFonts w:ascii="Aptos" w:hAnsi="Aptos"/>
        </w:rPr>
        <w:t>.</w:t>
      </w:r>
      <w:r w:rsidR="00575F35">
        <w:rPr>
          <w:rFonts w:ascii="Aptos" w:hAnsi="Aptos"/>
        </w:rPr>
        <w:fldChar w:fldCharType="begin"/>
      </w:r>
      <w:r w:rsidR="00575F35">
        <w:rPr>
          <w:rFonts w:ascii="Aptos" w:hAnsi="Aptos"/>
        </w:rPr>
        <w:instrText xml:space="preserve"> ADDIN ZOTERO_ITEM CSL_CITATION {"citationID":"6MTEDn9B","properties":{"formattedCitation":"[17]","plainCitation":"[17]","noteIndex":0},"citationItems":[{"id":160,"uris":["http://zotero.org/users/local/tOUCYacB/items/2X85PYMD"],"itemData":{"id":160,"type":"article-journal","abstract":"BACKGROUND AND AIMS \n          The nature of inflammatory bowel disease (IBD) following menopause has not been previously studied. The aim of this study was to characterize the effect of menopause on disease activity and identify possible modifiers of disease activity.\n          METHODS \n          This was a retrospective study of women followed at the University of Chicago IBD Clinic. Disease activity was assessed using clinical scoring systems during the pre- and postmenstrual periods of subjects. Variables of interest included: history of smoking, use of oral contraceptives (OCP) prior to onset of menopause, and use of hormone replacement therapy (HRT).\n          RESULTS \n          Sixty-five women were included, 20 with ulcerative colitis and 45 with Crohn's disease. The median age of menopause was similar to historical controls. Twenty-three patients (35%) experienced active symptoms in the premenopausal time period and 25 patients (38%) had disease indices consistent with a flare within the first 2 yr after menopause (P &gt; 0.05). There was no relation between those who had a pre- versus postmenstrual flare as a group (P &gt; 0.05). However, there was a significant protective effect on disease activity with postmenopausal HRT use (hazard ratio [HR] 0.18, 95% confidence interval [CI] 0.04–0.72). There was also a dose–response effect noted with an HR with longer duration of use (0.20, 0.07–0.65).\n          CONCLUSIONS \n          The likelihood of having a flare postmenopause is not different from having it premenopause. HRT, however, may provide a protective effect for disease activity in the postmenopausal period. The anti-inflammatory effects of estrogen may be the mechanism for this observation.","container-title":"Official journal of the American College of Gastroenterology | ACG","DOI":"10.1111/j.1572-0241.2007.01700.x","ISSN":"0002-9270","issue":"5","language":"en-US","page":"1193","source":"journals.lww.com","title":"Hormonal Replacement Therapy After Menopause Is Protective of Disease Activity in Women With Inflammatory Bowel Disease","volume":"103","author":[{"family":"Kane","given":"Sunanda V."},{"family":"Reddy","given":"Deepa"}],"issued":{"date-parts":[["2008",5]]}}}],"schema":"https://github.com/citation-style-language/schema/raw/master/csl-citation.json"} </w:instrText>
      </w:r>
      <w:r w:rsidR="00575F35">
        <w:rPr>
          <w:rFonts w:ascii="Aptos" w:hAnsi="Aptos"/>
        </w:rPr>
        <w:fldChar w:fldCharType="separate"/>
      </w:r>
      <w:r w:rsidR="00575F35">
        <w:rPr>
          <w:rFonts w:ascii="Aptos" w:hAnsi="Aptos"/>
          <w:noProof/>
        </w:rPr>
        <w:t>[17]</w:t>
      </w:r>
      <w:r w:rsidR="00575F35">
        <w:rPr>
          <w:rFonts w:ascii="Aptos" w:hAnsi="Aptos"/>
        </w:rPr>
        <w:fldChar w:fldCharType="end"/>
      </w:r>
      <w:r w:rsidR="00575F35">
        <w:rPr>
          <w:rFonts w:ascii="Aptos" w:hAnsi="Aptos"/>
        </w:rPr>
        <w:t xml:space="preserve">  </w:t>
      </w:r>
      <w:r w:rsidR="00574876">
        <w:rPr>
          <w:rFonts w:ascii="Aptos" w:hAnsi="Aptos"/>
        </w:rPr>
        <w:t xml:space="preserve">Experience from gynaecological surgery in those with perianal </w:t>
      </w:r>
      <w:r w:rsidR="001270F5">
        <w:rPr>
          <w:rFonts w:ascii="Aptos" w:hAnsi="Aptos"/>
        </w:rPr>
        <w:t>CD</w:t>
      </w:r>
      <w:r w:rsidR="00574876">
        <w:rPr>
          <w:rFonts w:ascii="Aptos" w:hAnsi="Aptos"/>
        </w:rPr>
        <w:t xml:space="preserve"> also highlights the need for multi-</w:t>
      </w:r>
      <w:r w:rsidR="001270F5">
        <w:rPr>
          <w:rFonts w:ascii="Aptos" w:hAnsi="Aptos"/>
        </w:rPr>
        <w:t>disciplinary</w:t>
      </w:r>
      <w:r w:rsidR="00574876">
        <w:rPr>
          <w:rFonts w:ascii="Aptos" w:hAnsi="Aptos"/>
        </w:rPr>
        <w:t xml:space="preserve"> management and optimal medical control of </w:t>
      </w:r>
      <w:r w:rsidR="001270F5">
        <w:rPr>
          <w:rFonts w:ascii="Aptos" w:hAnsi="Aptos"/>
        </w:rPr>
        <w:t>inflammation in the pre- and post-operative periods</w:t>
      </w:r>
      <w:r w:rsidR="00574876">
        <w:rPr>
          <w:rFonts w:ascii="Aptos" w:hAnsi="Aptos"/>
        </w:rPr>
        <w:t xml:space="preserve"> in order to reduce complications.</w:t>
      </w:r>
      <w:r w:rsidR="007F4499">
        <w:rPr>
          <w:rFonts w:ascii="Aptos" w:hAnsi="Aptos"/>
        </w:rPr>
        <w:fldChar w:fldCharType="begin"/>
      </w:r>
      <w:r w:rsidR="007F4499">
        <w:rPr>
          <w:rFonts w:ascii="Aptos" w:hAnsi="Aptos"/>
        </w:rPr>
        <w:instrText xml:space="preserve"> ADDIN ZOTERO_ITEM CSL_CITATION {"citationID":"Vt4LrjCT","properties":{"formattedCitation":"[18\\uc0\\u8211{}20]","plainCitation":"[18–20]","noteIndex":0},"citationItems":[{"id":1877,"uris":["http://zotero.org/users/local/tOUCYacB/items/EIVNW9IU"],"itemData":{"id":1877,"type":"article-journal","abstract":"BACKGROUND: The optimal delivery method in patients with Crohn's disease is unknown, and there is no large-scale evidence on which to base decisions.\nOBJECTIVE: The aim of this study was to compare delivery methods and outcomes in patients with and without Crohn's disease.\nDESIGN AND PATIENTS: The Nationwide Inpatient Sample and International Classification of Diseases, Ninth Revision codes were used to identify childbirth deliveries. Patients were stratified by the presence or absence of Crohn's disease and perianal disease (anorectal fistula or abscess, rectovaginal fistula, anal fissure, and anal stenosis).\nSETTINGS: A large population-cohort database was used for the analysis.\nMAIN OUTCOME MEASURES: The primary outcomes measured were cesarean delivery and perineal lacerations.\nRESULTS: Of 6,794,787 pregnant women who delivered, 2882 had a diagnosis of Crohn's disease. Rates of cesarean delivery were higher in patients who had Crohn's disease with (83.1%) and without (42.8%) perianal disease in comparison with patients who did not have Crohn's disease with (38.9%) and without (25.6%) perianal disease (p &lt; 0.001). Rates of 4th degree perineal lacerations were similar between patients who had or did not have Crohn's disease without perianal disease (1.4% vs 1.3%), but these rates increased significantly in patients with perianal disease (12.3%, p &lt; 0.001). On multivariate analysis, perianal disease (OR, 10.9; 95% CI, 8.3-4.1; p &lt; 0.001) and smoking (OR, 1.6; 95% CI, 1.5-1.7; p &lt; 0.001) were independently associated with higher rates of 4th degree laceration. Crohn's disease was not independently associated with 4th degree laceration.\nLIMITATIONS: This was a retrospective study with the inherent limitations of large databases.\nCONCLUSIONS: Patients with Crohn's disease have higher rates of cesarean delivery. Perianal disease predicts severe perineal laceration independent of the presence of Crohn's disease. In the absence of perianal disease, the method of delivery in women with Crohn's disease should be predicated on obstetric indication.","container-title":"Diseases of the Colon and Rectum","DOI":"10.1097/DCR.0b013e3182a41381","ISSN":"1530-0358","issue":"2","journalAbbreviation":"Dis Colon Rectum","language":"eng","note":"PMID: 24401878","page":"174-178","source":"PubMed","title":"Crohn's disease and pregnancy: the impact of perianal disease on delivery methods and complications","title-short":"Crohn's disease and pregnancy","volume":"57","author":[{"family":"Hatch","given":"Quinton"},{"family":"Champagne","given":"Bradley J."},{"family":"Maykel","given":"Justin A."},{"family":"Davis","given":"Bradley R."},{"family":"Johnson","given":"Eric K."},{"family":"Bleier","given":"Joshua S."},{"family":"Francone","given":"Todd D."},{"family":"Steele","given":"Scott R."}],"issued":{"date-parts":[["2014",2]]}}},{"id":1872,"uris":["http://zotero.org/users/local/tOUCYacB/items/XUT338DN"],"itemData":{"id":1872,"type":"article-journal","abstract":"Chronic, severe Crohn's disease in a young female patient can result in surgical complexity. The rarity of the presentation of intractable pelvic abscesses within this etiology with additional considerations given to fertility concerns and hence requirement for input from a multi-disciplinary team makes this a vital case in building a consensus for evidence-based surgical management. A 29-year-old nulliparous woman was referred to our tertiary centre for surgical management of Crohn's disease with known tubo-ovarian abscess and abdominoperineal and abdominal wall sinuses. Her previous surgical history included 4 midline laparotomies, subtotal colectomy and proctectomy with stoma formation. The patient underwent egg collection to preserve fertility. This was followed by midline laparotomy and abdominoperineal resection, which involved a retrograde radical modified hysterectomy using the Hudson technique, alongside excision of the perineal sinus, with reconstruction of the perineal defect using an internal pudendal artery perforator gluteal fold flap, and in addition to excision and drainage of the abdominal wall abscess. Involvement was sought from gynecological oncology, colorectal, urology, plastics, stoma, fertility, microbiology, and gastroenterology teams, which enabled successful preservation of end organ function and improvement in patient psychological well-being. This case is a paradigm of surgical challenge, requiring expert gynecological oncology techniques including a retroperitoneal approach, nerve and vessel sparing considerations alongside colorectal and urological procedures. Moreover, we believe that our blueprint for effective multi-disciplinary practice will inform the future management of gynecological surgery. Therefore this report aims to contribute towards the optimum management of the gynecological sequelae of Crohn's disease.","container-title":"International Journal of Gynecology &amp; Obstetrics","DOI":"10.1002/ijgo.15196","ISSN":"1879-3479","issue":"2","language":"en","license":"© 2023 The Authors. International Journal of Gynecology &amp; Obstetrics published by John Wiley &amp; Sons Ltd on behalf of International Federation of Gynecology and Obstetrics.","note":"_eprint: https://onlinelibrary.wiley.com/doi/pdf/10.1002/ijgo.15196","page":"535-541","source":"Wiley Online Library","title":"The role of the multidisciplinary team in surgical management of intractable tubo-ovarian abscess as a late sequelae of challenging Crohn's disease in the modern era: A case report and review of current literature","title-short":"The role of the multidisciplinary team in surgical management of intractable tubo-ovarian abscess as a late sequelae of challenging Crohn's disease in the modern era","volume":"165","author":[{"family":"Loganathan","given":"Shanghavie"},{"family":"Smyth","given":"Sarah Louise"},{"family":"Mykula","given":"Roman"},{"family":"Soleymani Majd","given":"Hooman"}],"issued":{"date-parts":[["2024"]]}}},{"id":1873,"uris":["http://zotero.org/users/local/tOUCYacB/items/D9WZ9YEZ"],"itemData":{"id":1873,"type":"article-journal","abstract":"BACKGROUND AND AIMS: For pregnant women with perianal Crohn's disease (CD), major guidelines recommend delivery by caesarean section (c-section) for active disease, and that delivery mode be governed by obstetric indications for women with inactive disease. However, a significant gray zone exists between active versus inactive disease, such as for women who had a history of prior perianal surgery. We examined adverse maternal outcomes of vaginal delivery versus c-section in women with perianal CD and prior perianal surgeries.\nMETHODS: We used the Danish national registries to collect information on singleton live births from 1997 through 2022 by mothers with CD and previous perianal surgery. Adverse postpartum maternal outcomes included new perianal or intestinal surgery within 12 months, hospital diagnosed infection or outpatient antibiotic prescription within 6 months, and major haemorrhage within 3 days. Adjusted odds ratios (aOR) were estimated in logistic regression models.\nRESULTS: There were 704 deliveries by women with CD and prior perianal surgery, including 245 vaginal deliveries (34.8%) and 459 c-sections (65.2%). Women who delivered vaginally versus by c-section had less new perianal surgery (aOR 0.47, 95% CI, 0.24-0.93) and no significant differences in intestinal CD surgery (aOR 0.87, 95% CI, 0.43-1.75), hospital diagnosed infection (aOR 0.50, 95% CI, 0.18-1.38), outpatient antibiotic prescription (aOR 0.92, 95% CI, 0.65-1.28), or major hemorrhage (aOR 0.79, 95% CI, 0.39-1.59).\nCONCLUSIONS: Vaginal delivery was not associated with increased important adverse maternal outcomes in mothers with CD and prior perianal surgery.","container-title":"Journal of Crohn's &amp; Colitis","DOI":"10.1093/ecco-jcc/jjaf028","ISSN":"1876-4479","issue":"2","journalAbbreviation":"J Crohns Colitis","language":"eng","note":"PMID: 39937749","page":"jjaf028","source":"PubMed","title":"Adverse maternal outcomes after vaginal versus caesarean delivery in women with Crohn's disease and prior perianal surgery: a population-based study","title-short":"Adverse maternal outcomes after vaginal versus caesarean delivery in women with Crohn's disease and prior perianal surgery","volume":"19","author":[{"family":"Zhang","given":"Xiaocen"},{"family":"Nørgård","given":"Bente Mertz"},{"family":"Garvik","given":"Olav Sivertsen"},{"family":"Nielsen","given":"Jan"},{"family":"Andersen","given":"Mette Louise"},{"family":"Friedman","given":"Sonia"}],"issued":{"date-parts":[["2025",2,4]]}}}],"schema":"https://github.com/citation-style-language/schema/raw/master/csl-citation.json"} </w:instrText>
      </w:r>
      <w:r w:rsidR="007F4499">
        <w:rPr>
          <w:rFonts w:ascii="Aptos" w:hAnsi="Aptos"/>
        </w:rPr>
        <w:fldChar w:fldCharType="separate"/>
      </w:r>
      <w:r w:rsidR="007F4499" w:rsidRPr="007F4499">
        <w:rPr>
          <w:rFonts w:ascii="Aptos" w:hAnsi="Aptos"/>
        </w:rPr>
        <w:t>[18–20]</w:t>
      </w:r>
      <w:r w:rsidR="007F4499">
        <w:rPr>
          <w:rFonts w:ascii="Aptos" w:hAnsi="Aptos"/>
        </w:rPr>
        <w:fldChar w:fldCharType="end"/>
      </w:r>
      <w:r w:rsidR="00AE6162">
        <w:rPr>
          <w:rFonts w:ascii="Aptos" w:hAnsi="Aptos"/>
        </w:rPr>
        <w:t xml:space="preserve"> Given the lack of data in the TGNC-IBD population</w:t>
      </w:r>
      <w:r w:rsidR="001270F5">
        <w:rPr>
          <w:rFonts w:ascii="Aptos" w:hAnsi="Aptos"/>
        </w:rPr>
        <w:t>, physicians may be able to</w:t>
      </w:r>
      <w:r w:rsidR="00AE6162">
        <w:rPr>
          <w:rFonts w:ascii="Aptos" w:hAnsi="Aptos"/>
        </w:rPr>
        <w:t xml:space="preserve"> extrapolat</w:t>
      </w:r>
      <w:r w:rsidR="001270F5">
        <w:rPr>
          <w:rFonts w:ascii="Aptos" w:hAnsi="Aptos"/>
        </w:rPr>
        <w:t>e</w:t>
      </w:r>
      <w:r w:rsidR="00AE6162">
        <w:rPr>
          <w:rFonts w:ascii="Aptos" w:hAnsi="Aptos"/>
        </w:rPr>
        <w:t xml:space="preserve"> data from these </w:t>
      </w:r>
      <w:r w:rsidR="001270F5">
        <w:rPr>
          <w:rFonts w:ascii="Aptos" w:hAnsi="Aptos"/>
        </w:rPr>
        <w:t xml:space="preserve">areas in order to </w:t>
      </w:r>
      <w:r w:rsidR="00F9137C">
        <w:rPr>
          <w:rFonts w:ascii="Aptos" w:hAnsi="Aptos"/>
        </w:rPr>
        <w:t>make clinical decisions and support patients</w:t>
      </w:r>
      <w:r w:rsidR="007F4499">
        <w:rPr>
          <w:rFonts w:ascii="Aptos" w:hAnsi="Aptos"/>
        </w:rPr>
        <w:t xml:space="preserve"> with IBD</w:t>
      </w:r>
      <w:r w:rsidR="00F9137C">
        <w:rPr>
          <w:rFonts w:ascii="Aptos" w:hAnsi="Aptos"/>
        </w:rPr>
        <w:t xml:space="preserve"> when undergoing gender-affirming therapy or surgery. </w:t>
      </w:r>
    </w:p>
    <w:p w14:paraId="640F80FF" w14:textId="77777777" w:rsidR="001A64E0" w:rsidRDefault="001A64E0" w:rsidP="0066132E">
      <w:pPr>
        <w:rPr>
          <w:rFonts w:ascii="Aptos" w:hAnsi="Aptos"/>
        </w:rPr>
      </w:pPr>
    </w:p>
    <w:p w14:paraId="6D0A5C40" w14:textId="22F8212D" w:rsidR="00322C9C" w:rsidRPr="001B5F4D" w:rsidRDefault="001A64E0" w:rsidP="00322C9C">
      <w:pPr>
        <w:rPr>
          <w:rFonts w:ascii="Aptos" w:hAnsi="Aptos"/>
        </w:rPr>
      </w:pPr>
      <w:r>
        <w:rPr>
          <w:rFonts w:ascii="Aptos" w:hAnsi="Aptos"/>
        </w:rPr>
        <w:t xml:space="preserve">Participants in our study also expressed their </w:t>
      </w:r>
      <w:r w:rsidR="00A939F5">
        <w:rPr>
          <w:rFonts w:ascii="Aptos" w:hAnsi="Aptos"/>
        </w:rPr>
        <w:t>views</w:t>
      </w:r>
      <w:r>
        <w:rPr>
          <w:rFonts w:ascii="Aptos" w:hAnsi="Aptos"/>
        </w:rPr>
        <w:t xml:space="preserve"> that improved training and awareness amongst healthcare staff </w:t>
      </w:r>
      <w:r w:rsidR="00322C9C">
        <w:rPr>
          <w:rFonts w:ascii="Aptos" w:hAnsi="Aptos"/>
        </w:rPr>
        <w:t>could</w:t>
      </w:r>
      <w:r>
        <w:rPr>
          <w:rFonts w:ascii="Aptos" w:hAnsi="Aptos"/>
        </w:rPr>
        <w:t xml:space="preserve"> improve </w:t>
      </w:r>
      <w:r w:rsidR="00A939F5">
        <w:rPr>
          <w:rFonts w:ascii="Aptos" w:hAnsi="Aptos"/>
        </w:rPr>
        <w:t>the experience of TGNC-IBD individuals</w:t>
      </w:r>
      <w:r w:rsidR="00322C9C">
        <w:rPr>
          <w:rFonts w:ascii="Aptos" w:hAnsi="Aptos"/>
        </w:rPr>
        <w:t xml:space="preserve"> and this is supported by data which has p</w:t>
      </w:r>
      <w:r w:rsidR="00322C9C" w:rsidRPr="001B5F4D">
        <w:rPr>
          <w:rFonts w:ascii="Aptos" w:hAnsi="Aptos"/>
        </w:rPr>
        <w:t xml:space="preserve">reviously </w:t>
      </w:r>
      <w:r w:rsidR="005C470F">
        <w:rPr>
          <w:rFonts w:ascii="Aptos" w:hAnsi="Aptos"/>
        </w:rPr>
        <w:t>found</w:t>
      </w:r>
      <w:r w:rsidR="00322C9C" w:rsidRPr="001B5F4D">
        <w:rPr>
          <w:rFonts w:ascii="Aptos" w:hAnsi="Aptos"/>
        </w:rPr>
        <w:t xml:space="preserve"> anxiety amongst physicians about discussing gender identity and mis-gendering patients</w:t>
      </w:r>
      <w:r w:rsidR="00322C9C">
        <w:rPr>
          <w:rFonts w:ascii="Aptos" w:hAnsi="Aptos"/>
        </w:rPr>
        <w:t>.</w:t>
      </w:r>
      <w:r w:rsidR="00322C9C" w:rsidRPr="001B5F4D">
        <w:rPr>
          <w:rFonts w:ascii="Aptos" w:hAnsi="Aptos"/>
        </w:rPr>
        <w:fldChar w:fldCharType="begin"/>
      </w:r>
      <w:r w:rsidR="007F4499">
        <w:rPr>
          <w:rFonts w:ascii="Aptos" w:hAnsi="Aptos"/>
        </w:rPr>
        <w:instrText xml:space="preserve"> ADDIN ZOTERO_ITEM CSL_CITATION {"citationID":"qFMVWCmN","properties":{"formattedCitation":"[21]","plainCitation":"[21]","noteIndex":0},"citationItems":[{"id":612,"uris":["http://zotero.org/users/local/tOUCYacB/items/XZSBRP3K"],"itemData":{"id":612,"type":"article-journal","abstract":"Over the past decade","container-title":"AMA Journal of Ethics","DOI":"10.1001/amajethics.2023.452","ISSN":"2376-6980","issue":"6","language":"en","note":"publisher: American Medical Association","page":"452-457","source":"journalofethics.ama-assn.org","title":"More Lessons for Health Professionals From a Transgender Patient","volume":"25","author":[{"family":"Sallans","given":"Ryan K."}],"issued":{"date-parts":[["2023",6,1]]}}}],"schema":"https://github.com/citation-style-language/schema/raw/master/csl-citation.json"} </w:instrText>
      </w:r>
      <w:r w:rsidR="00322C9C" w:rsidRPr="001B5F4D">
        <w:rPr>
          <w:rFonts w:ascii="Aptos" w:hAnsi="Aptos"/>
        </w:rPr>
        <w:fldChar w:fldCharType="separate"/>
      </w:r>
      <w:r w:rsidR="007F4499">
        <w:rPr>
          <w:rFonts w:ascii="Aptos" w:hAnsi="Aptos"/>
          <w:noProof/>
        </w:rPr>
        <w:t>[21]</w:t>
      </w:r>
      <w:r w:rsidR="00322C9C" w:rsidRPr="001B5F4D">
        <w:rPr>
          <w:rFonts w:ascii="Aptos" w:hAnsi="Aptos"/>
        </w:rPr>
        <w:fldChar w:fldCharType="end"/>
      </w:r>
      <w:r w:rsidR="00322C9C" w:rsidRPr="001B5F4D">
        <w:rPr>
          <w:rFonts w:ascii="Aptos" w:hAnsi="Aptos"/>
        </w:rPr>
        <w:t xml:space="preserve"> This, compounded by a lack of training and poor awareness</w:t>
      </w:r>
      <w:r w:rsidR="00322C9C">
        <w:rPr>
          <w:rFonts w:ascii="Aptos" w:hAnsi="Aptos"/>
        </w:rPr>
        <w:t>,</w:t>
      </w:r>
      <w:r w:rsidR="00322C9C" w:rsidRPr="001B5F4D">
        <w:rPr>
          <w:rFonts w:ascii="Aptos" w:hAnsi="Aptos"/>
        </w:rPr>
        <w:fldChar w:fldCharType="begin"/>
      </w:r>
      <w:r w:rsidR="007F4499">
        <w:rPr>
          <w:rFonts w:ascii="Aptos" w:hAnsi="Aptos"/>
        </w:rPr>
        <w:instrText xml:space="preserve"> ADDIN ZOTERO_ITEM CSL_CITATION {"citationID":"FR2xAn9K","properties":{"formattedCitation":"[22]","plainCitation":"[22]","noteIndex":0},"citationItems":[{"id":604,"uris":["http://zotero.org/users/local/tOUCYacB/items/RI56GXGW"],"itemData":{"id":604,"type":"article-journal","abstract":"Purpose: The transgender community is a diverse group that requires unique consideration in the healthcare setting. However, several studies have suggested that their needs are not currently being met by our medical system. Although the reason for this discrepancy is likely multifactorial, inadequate training of healthcare professionals to manage this population has been cited as a contributing factor. Methods: To evaluate the role that Canadian medical schools play in addressing these proposed deficits, program administrators were invited to provide curricular information detailing their delivery of transgender health, and medical students were surveyed to assess the impact of current curricula on their knowledge, attitudes, and experiences with regard to transgender health. Results: Six of fourteen schools provided curricular information about their instruction in transgender health and wide variation was found; 255/1152 University of British Columbia (UBC) students and 155/2358 students from eight other Canadian medical schools responded to the survey. Greater than 95% of responders agreed that transgender issues are important and should be addressed by physicians. However, fewer than 10% of students felt that they were sufficiently knowledgeable to do so. At UBC, there was no significant improvement in the self-reported knowledge levels after receiving the transgender-related curricula, and only 24% of students felt the topic was proficiently taught. Conclusion: This study showed that the majority of students who responded do not feel comfortable addressing the needs of transgender individuals in a healthcare setting and suggests that a reevaluation of related curricula may be warranted.","container-title":"Transgender Health","DOI":"10.1089/trgh.2016.0010","ISSN":"2688-4887","issue":"1","journalAbbreviation":"Transgend Health","language":"eng","note":"PMID: 29159305\nPMCID: PMC5685270","page":"142-150","source":"PubMed","title":"Gaps in Transgender Medicine Content Identified Among Canadian Medical School Curricula","volume":"1","author":[{"family":"Chan","given":"Benjamin"},{"family":"Skocylas","given":"Rachel"},{"family":"Safer","given":"Joshua D."}],"issued":{"date-parts":[["2016"]]}}}],"schema":"https://github.com/citation-style-language/schema/raw/master/csl-citation.json"} </w:instrText>
      </w:r>
      <w:r w:rsidR="00322C9C" w:rsidRPr="001B5F4D">
        <w:rPr>
          <w:rFonts w:ascii="Aptos" w:hAnsi="Aptos"/>
        </w:rPr>
        <w:fldChar w:fldCharType="separate"/>
      </w:r>
      <w:r w:rsidR="007F4499">
        <w:rPr>
          <w:rFonts w:ascii="Aptos" w:hAnsi="Aptos"/>
          <w:noProof/>
        </w:rPr>
        <w:t>[22]</w:t>
      </w:r>
      <w:r w:rsidR="00322C9C" w:rsidRPr="001B5F4D">
        <w:rPr>
          <w:rFonts w:ascii="Aptos" w:hAnsi="Aptos"/>
        </w:rPr>
        <w:fldChar w:fldCharType="end"/>
      </w:r>
      <w:r w:rsidR="00322C9C" w:rsidRPr="001B5F4D">
        <w:rPr>
          <w:rFonts w:ascii="Aptos" w:hAnsi="Aptos"/>
        </w:rPr>
        <w:t xml:space="preserve"> results in TGNC-IBD patients’ specific needs not being acknowledged and openly discussed resulting in negative experiences for these patients. There are also clearly some professionals who hold transphobic views which are entirely inappropriate and should be challenged and if appropriate escalated to regulatory bodies by both patients and colleagues. </w:t>
      </w:r>
    </w:p>
    <w:p w14:paraId="5657423B" w14:textId="77777777" w:rsidR="000A7304" w:rsidRPr="001B5F4D" w:rsidRDefault="000A7304" w:rsidP="0066132E">
      <w:pPr>
        <w:rPr>
          <w:rFonts w:ascii="Aptos" w:hAnsi="Aptos"/>
        </w:rPr>
      </w:pPr>
    </w:p>
    <w:p w14:paraId="3A929F0D" w14:textId="1C400FE8" w:rsidR="00E34E55" w:rsidRPr="00291C6E" w:rsidRDefault="00E34E55" w:rsidP="0066132E">
      <w:pPr>
        <w:rPr>
          <w:rFonts w:ascii="Aptos" w:hAnsi="Aptos"/>
          <w:b/>
          <w:bCs/>
        </w:rPr>
      </w:pPr>
      <w:r w:rsidRPr="00291C6E">
        <w:rPr>
          <w:rFonts w:ascii="Aptos" w:hAnsi="Aptos"/>
          <w:b/>
          <w:bCs/>
        </w:rPr>
        <w:t>Strengths and Limitations</w:t>
      </w:r>
    </w:p>
    <w:p w14:paraId="6FC38AB6" w14:textId="752D4656" w:rsidR="006402E8" w:rsidRPr="001B5F4D" w:rsidRDefault="00AD48FE" w:rsidP="0066132E">
      <w:pPr>
        <w:rPr>
          <w:rFonts w:ascii="Aptos" w:hAnsi="Aptos"/>
        </w:rPr>
      </w:pPr>
      <w:r w:rsidRPr="001B5F4D">
        <w:rPr>
          <w:rFonts w:ascii="Aptos" w:hAnsi="Aptos"/>
        </w:rPr>
        <w:t xml:space="preserve">Whilst </w:t>
      </w:r>
      <w:r w:rsidR="00D67962">
        <w:rPr>
          <w:rFonts w:ascii="Aptos" w:hAnsi="Aptos"/>
        </w:rPr>
        <w:t>this</w:t>
      </w:r>
      <w:r w:rsidR="00D67962" w:rsidRPr="001B5F4D">
        <w:rPr>
          <w:rFonts w:ascii="Aptos" w:hAnsi="Aptos"/>
        </w:rPr>
        <w:t xml:space="preserve"> </w:t>
      </w:r>
      <w:r w:rsidRPr="001B5F4D">
        <w:rPr>
          <w:rFonts w:ascii="Aptos" w:hAnsi="Aptos"/>
        </w:rPr>
        <w:t>study has highlighte</w:t>
      </w:r>
      <w:r w:rsidR="00260F52" w:rsidRPr="001B5F4D">
        <w:rPr>
          <w:rFonts w:ascii="Aptos" w:hAnsi="Aptos"/>
        </w:rPr>
        <w:t>d</w:t>
      </w:r>
      <w:r w:rsidRPr="001B5F4D">
        <w:rPr>
          <w:rFonts w:ascii="Aptos" w:hAnsi="Aptos"/>
        </w:rPr>
        <w:t xml:space="preserve"> important issues from a patient perspective</w:t>
      </w:r>
      <w:r w:rsidR="000B6049" w:rsidRPr="001B5F4D">
        <w:rPr>
          <w:rFonts w:ascii="Aptos" w:hAnsi="Aptos"/>
        </w:rPr>
        <w:t xml:space="preserve"> for the first time</w:t>
      </w:r>
      <w:r w:rsidRPr="001B5F4D">
        <w:rPr>
          <w:rFonts w:ascii="Aptos" w:hAnsi="Aptos"/>
        </w:rPr>
        <w:t>,</w:t>
      </w:r>
      <w:r w:rsidR="00774FAB" w:rsidRPr="001B5F4D">
        <w:rPr>
          <w:rFonts w:ascii="Aptos" w:hAnsi="Aptos"/>
        </w:rPr>
        <w:t xml:space="preserve"> and </w:t>
      </w:r>
      <w:r w:rsidRPr="001B5F4D">
        <w:rPr>
          <w:rFonts w:ascii="Aptos" w:hAnsi="Aptos"/>
        </w:rPr>
        <w:t xml:space="preserve">despite a </w:t>
      </w:r>
      <w:r w:rsidR="00905F1D" w:rsidRPr="001B5F4D">
        <w:rPr>
          <w:rFonts w:ascii="Aptos" w:hAnsi="Aptos"/>
        </w:rPr>
        <w:t>well-publicised</w:t>
      </w:r>
      <w:r w:rsidRPr="001B5F4D">
        <w:rPr>
          <w:rFonts w:ascii="Aptos" w:hAnsi="Aptos"/>
        </w:rPr>
        <w:t xml:space="preserve"> recruitment campaign</w:t>
      </w:r>
      <w:r w:rsidR="00774FAB" w:rsidRPr="001B5F4D">
        <w:rPr>
          <w:rFonts w:ascii="Aptos" w:hAnsi="Aptos"/>
        </w:rPr>
        <w:t xml:space="preserve">, the number of participants </w:t>
      </w:r>
      <w:r w:rsidR="00937415" w:rsidRPr="001B5F4D">
        <w:rPr>
          <w:rFonts w:ascii="Aptos" w:hAnsi="Aptos"/>
        </w:rPr>
        <w:t>was relatively</w:t>
      </w:r>
      <w:r w:rsidR="00774FAB" w:rsidRPr="001B5F4D">
        <w:rPr>
          <w:rFonts w:ascii="Aptos" w:hAnsi="Aptos"/>
        </w:rPr>
        <w:t xml:space="preserve"> low</w:t>
      </w:r>
      <w:r w:rsidR="00937415" w:rsidRPr="001B5F4D">
        <w:rPr>
          <w:rFonts w:ascii="Aptos" w:hAnsi="Aptos"/>
        </w:rPr>
        <w:t xml:space="preserve"> with a significant proportion offering interest in being part of the study but not responding to any further</w:t>
      </w:r>
      <w:r w:rsidR="00366725" w:rsidRPr="001B5F4D">
        <w:rPr>
          <w:rFonts w:ascii="Aptos" w:hAnsi="Aptos"/>
        </w:rPr>
        <w:t xml:space="preserve"> contact</w:t>
      </w:r>
      <w:r w:rsidR="00937415" w:rsidRPr="001B5F4D">
        <w:rPr>
          <w:rFonts w:ascii="Aptos" w:hAnsi="Aptos"/>
        </w:rPr>
        <w:t xml:space="preserve">. This is likely due to </w:t>
      </w:r>
      <w:r w:rsidRPr="001B5F4D">
        <w:rPr>
          <w:rFonts w:ascii="Aptos" w:hAnsi="Aptos"/>
        </w:rPr>
        <w:t>low number of TGNC-IBD individuals, estimated a</w:t>
      </w:r>
      <w:r w:rsidR="00232BBA" w:rsidRPr="001B5F4D">
        <w:rPr>
          <w:rFonts w:ascii="Aptos" w:hAnsi="Aptos"/>
        </w:rPr>
        <w:t xml:space="preserve">t </w:t>
      </w:r>
      <w:r w:rsidRPr="001B5F4D">
        <w:rPr>
          <w:rFonts w:ascii="Aptos" w:hAnsi="Aptos"/>
        </w:rPr>
        <w:t xml:space="preserve">approximately </w:t>
      </w:r>
      <w:r w:rsidR="00590EDC" w:rsidRPr="001B5F4D">
        <w:rPr>
          <w:rFonts w:ascii="Aptos" w:hAnsi="Aptos"/>
        </w:rPr>
        <w:t>2500</w:t>
      </w:r>
      <w:r w:rsidR="00884984" w:rsidRPr="001B5F4D">
        <w:rPr>
          <w:rFonts w:ascii="Aptos" w:hAnsi="Aptos"/>
        </w:rPr>
        <w:t>,</w:t>
      </w:r>
      <w:r w:rsidR="00590EDC" w:rsidRPr="001B5F4D">
        <w:rPr>
          <w:rFonts w:ascii="Aptos" w:hAnsi="Aptos"/>
        </w:rPr>
        <w:fldChar w:fldCharType="begin"/>
      </w:r>
      <w:r w:rsidR="007F4499">
        <w:rPr>
          <w:rFonts w:ascii="Aptos" w:hAnsi="Aptos"/>
        </w:rPr>
        <w:instrText xml:space="preserve"> ADDIN ZOTERO_ITEM CSL_CITATION {"citationID":"s9mE2euo","properties":{"formattedCitation":"[23]","plainCitation":"[23]","noteIndex":0},"citationItems":[{"id":103,"uris":["http://zotero.org/users/local/tOUCYacB/items/AK7Z7VE8"],"itemData":{"id":103,"type":"paper-conference","event-title":"UEGW","title":"Inflammatory bowel disease in the LGBTIQ+ population: estimates of prevalence in England &amp; Wales and the implication for services","author":[{"family":"Colwill, Michael","given":""}],"issued":{"date-parts":[["2023"]]}}}],"schema":"https://github.com/citation-style-language/schema/raw/master/csl-citation.json"} </w:instrText>
      </w:r>
      <w:r w:rsidR="00590EDC" w:rsidRPr="001B5F4D">
        <w:rPr>
          <w:rFonts w:ascii="Aptos" w:hAnsi="Aptos"/>
        </w:rPr>
        <w:fldChar w:fldCharType="separate"/>
      </w:r>
      <w:r w:rsidR="007F4499">
        <w:rPr>
          <w:rFonts w:ascii="Aptos" w:hAnsi="Aptos"/>
          <w:noProof/>
        </w:rPr>
        <w:t>[23]</w:t>
      </w:r>
      <w:r w:rsidR="00590EDC" w:rsidRPr="001B5F4D">
        <w:rPr>
          <w:rFonts w:ascii="Aptos" w:hAnsi="Aptos"/>
        </w:rPr>
        <w:fldChar w:fldCharType="end"/>
      </w:r>
      <w:r w:rsidR="00884984" w:rsidRPr="001B5F4D">
        <w:rPr>
          <w:rFonts w:ascii="Aptos" w:hAnsi="Aptos"/>
        </w:rPr>
        <w:t xml:space="preserve"> </w:t>
      </w:r>
      <w:r w:rsidRPr="001B5F4D">
        <w:rPr>
          <w:rFonts w:ascii="Aptos" w:hAnsi="Aptos"/>
        </w:rPr>
        <w:t>across the UK</w:t>
      </w:r>
      <w:r w:rsidR="00232BBA" w:rsidRPr="001B5F4D">
        <w:rPr>
          <w:rFonts w:ascii="Aptos" w:hAnsi="Aptos"/>
        </w:rPr>
        <w:t xml:space="preserve"> </w:t>
      </w:r>
      <w:r w:rsidR="00232BBA" w:rsidRPr="001B5F4D">
        <w:rPr>
          <w:rFonts w:ascii="Aptos" w:hAnsi="Aptos"/>
        </w:rPr>
        <w:lastRenderedPageBreak/>
        <w:t>but also possibl</w:t>
      </w:r>
      <w:r w:rsidR="00DA436C" w:rsidRPr="001B5F4D">
        <w:rPr>
          <w:rFonts w:ascii="Aptos" w:hAnsi="Aptos"/>
        </w:rPr>
        <w:t>y</w:t>
      </w:r>
      <w:r w:rsidR="00232BBA" w:rsidRPr="001B5F4D">
        <w:rPr>
          <w:rFonts w:ascii="Aptos" w:hAnsi="Aptos"/>
        </w:rPr>
        <w:t xml:space="preserve"> concerns amongst these individuals about engaging with research</w:t>
      </w:r>
      <w:r w:rsidR="00774FAB" w:rsidRPr="001B5F4D">
        <w:rPr>
          <w:rFonts w:ascii="Aptos" w:hAnsi="Aptos"/>
        </w:rPr>
        <w:t xml:space="preserve"> and losing anonymity</w:t>
      </w:r>
      <w:r w:rsidR="0091327E">
        <w:rPr>
          <w:rFonts w:ascii="Aptos" w:hAnsi="Aptos"/>
        </w:rPr>
        <w:t>.</w:t>
      </w:r>
    </w:p>
    <w:p w14:paraId="18F02901" w14:textId="77777777" w:rsidR="0066132E" w:rsidRPr="001B5F4D" w:rsidRDefault="0066132E" w:rsidP="0066132E">
      <w:pPr>
        <w:rPr>
          <w:rFonts w:ascii="Aptos" w:hAnsi="Aptos"/>
        </w:rPr>
      </w:pPr>
    </w:p>
    <w:p w14:paraId="36506E06" w14:textId="45BD5C1A" w:rsidR="00E34E55" w:rsidRPr="00291C6E" w:rsidRDefault="00E34E55" w:rsidP="0066132E">
      <w:pPr>
        <w:rPr>
          <w:rFonts w:ascii="Aptos" w:hAnsi="Aptos"/>
          <w:b/>
          <w:bCs/>
        </w:rPr>
      </w:pPr>
      <w:r w:rsidRPr="00291C6E">
        <w:rPr>
          <w:rFonts w:ascii="Aptos" w:hAnsi="Aptos"/>
          <w:b/>
          <w:bCs/>
        </w:rPr>
        <w:t>Future Work</w:t>
      </w:r>
    </w:p>
    <w:p w14:paraId="735EFCA6" w14:textId="106BFE1E" w:rsidR="00AD48FE" w:rsidRPr="001B5F4D" w:rsidRDefault="003873FF" w:rsidP="0066132E">
      <w:pPr>
        <w:rPr>
          <w:rFonts w:ascii="Aptos" w:hAnsi="Aptos"/>
        </w:rPr>
      </w:pPr>
      <w:r w:rsidRPr="001B5F4D">
        <w:rPr>
          <w:rFonts w:ascii="Aptos" w:hAnsi="Aptos"/>
        </w:rPr>
        <w:t xml:space="preserve">Further work </w:t>
      </w:r>
      <w:r w:rsidR="006C4760" w:rsidRPr="001B5F4D">
        <w:rPr>
          <w:rFonts w:ascii="Aptos" w:hAnsi="Aptos"/>
        </w:rPr>
        <w:t>is required to</w:t>
      </w:r>
      <w:r w:rsidR="002C7C71" w:rsidRPr="001B5F4D">
        <w:rPr>
          <w:rFonts w:ascii="Aptos" w:hAnsi="Aptos"/>
        </w:rPr>
        <w:t xml:space="preserve"> gather data from a larger cohort as well as to</w:t>
      </w:r>
      <w:r w:rsidR="006C4760" w:rsidRPr="001B5F4D">
        <w:rPr>
          <w:rFonts w:ascii="Aptos" w:hAnsi="Aptos"/>
        </w:rPr>
        <w:t xml:space="preserve"> </w:t>
      </w:r>
      <w:r w:rsidR="002C7C71" w:rsidRPr="001B5F4D">
        <w:rPr>
          <w:rFonts w:ascii="Aptos" w:hAnsi="Aptos"/>
        </w:rPr>
        <w:t>design and implement</w:t>
      </w:r>
      <w:r w:rsidR="006C4760" w:rsidRPr="001B5F4D">
        <w:rPr>
          <w:rFonts w:ascii="Aptos" w:hAnsi="Aptos"/>
        </w:rPr>
        <w:t xml:space="preserve"> strategies that can help to address the problem areas we have identified.</w:t>
      </w:r>
      <w:r w:rsidR="00DC4976">
        <w:rPr>
          <w:rFonts w:ascii="Aptos" w:hAnsi="Aptos"/>
        </w:rPr>
        <w:t xml:space="preserve"> We will also be performing a study that assesses the views and experiences of healthcare providers when treating TGNC-IBD individuals.</w:t>
      </w:r>
    </w:p>
    <w:p w14:paraId="3F331281" w14:textId="77777777" w:rsidR="006A7D4F" w:rsidRDefault="006A7D4F" w:rsidP="006A7D4F">
      <w:pPr>
        <w:rPr>
          <w:rFonts w:ascii="Aptos" w:hAnsi="Aptos"/>
        </w:rPr>
      </w:pPr>
    </w:p>
    <w:p w14:paraId="13E6AAE7" w14:textId="77777777" w:rsidR="006A7D4F" w:rsidRPr="001B5F4D" w:rsidRDefault="006A7D4F" w:rsidP="00F641B7">
      <w:pPr>
        <w:rPr>
          <w:rFonts w:ascii="Aptos" w:hAnsi="Aptos"/>
        </w:rPr>
      </w:pPr>
    </w:p>
    <w:p w14:paraId="34271BCF" w14:textId="21C82034" w:rsidR="00625989" w:rsidRPr="001B5F4D" w:rsidRDefault="00291C6E" w:rsidP="00625989">
      <w:pPr>
        <w:rPr>
          <w:rFonts w:ascii="Aptos" w:hAnsi="Aptos"/>
          <w:b/>
          <w:bCs/>
        </w:rPr>
      </w:pPr>
      <w:r>
        <w:rPr>
          <w:rFonts w:ascii="Aptos" w:hAnsi="Aptos"/>
          <w:b/>
          <w:bCs/>
        </w:rPr>
        <w:t>CONCLUSION</w:t>
      </w:r>
    </w:p>
    <w:p w14:paraId="4C76193E" w14:textId="0A49309D" w:rsidR="00FA0761" w:rsidRPr="001B5F4D" w:rsidRDefault="00625989" w:rsidP="00625989">
      <w:pPr>
        <w:rPr>
          <w:rFonts w:ascii="Aptos" w:hAnsi="Aptos"/>
        </w:rPr>
      </w:pPr>
      <w:r w:rsidRPr="001B5F4D">
        <w:rPr>
          <w:rFonts w:ascii="Aptos" w:hAnsi="Aptos"/>
        </w:rPr>
        <w:t>TGNC-IBD patients face unique challenges when accessi</w:t>
      </w:r>
      <w:r w:rsidR="00E50530" w:rsidRPr="001B5F4D">
        <w:rPr>
          <w:rFonts w:ascii="Aptos" w:hAnsi="Aptos"/>
        </w:rPr>
        <w:t>n</w:t>
      </w:r>
      <w:r w:rsidRPr="001B5F4D">
        <w:rPr>
          <w:rFonts w:ascii="Aptos" w:hAnsi="Aptos"/>
        </w:rPr>
        <w:t xml:space="preserve">g healthcare and report </w:t>
      </w:r>
      <w:r w:rsidR="00E50530" w:rsidRPr="001B5F4D">
        <w:rPr>
          <w:rFonts w:ascii="Aptos" w:hAnsi="Aptos"/>
        </w:rPr>
        <w:t>negative</w:t>
      </w:r>
      <w:r w:rsidRPr="001B5F4D">
        <w:rPr>
          <w:rFonts w:ascii="Aptos" w:hAnsi="Aptos"/>
        </w:rPr>
        <w:t xml:space="preserve"> </w:t>
      </w:r>
      <w:r w:rsidR="00E50530" w:rsidRPr="001B5F4D">
        <w:rPr>
          <w:rFonts w:ascii="Aptos" w:hAnsi="Aptos"/>
        </w:rPr>
        <w:t>experiences</w:t>
      </w:r>
      <w:r w:rsidRPr="001B5F4D">
        <w:rPr>
          <w:rFonts w:ascii="Aptos" w:hAnsi="Aptos"/>
        </w:rPr>
        <w:t xml:space="preserve"> resulting from a combination of assumptions, </w:t>
      </w:r>
      <w:r w:rsidR="00E50530" w:rsidRPr="001B5F4D">
        <w:rPr>
          <w:rFonts w:ascii="Aptos" w:hAnsi="Aptos"/>
        </w:rPr>
        <w:t xml:space="preserve">inadequate </w:t>
      </w:r>
      <w:r w:rsidR="007B2F09" w:rsidRPr="001B5F4D">
        <w:rPr>
          <w:rFonts w:ascii="Aptos" w:hAnsi="Aptos"/>
        </w:rPr>
        <w:t>facilities,</w:t>
      </w:r>
      <w:r w:rsidRPr="001B5F4D">
        <w:rPr>
          <w:rFonts w:ascii="Aptos" w:hAnsi="Aptos"/>
        </w:rPr>
        <w:t xml:space="preserve"> and </w:t>
      </w:r>
      <w:r w:rsidR="00E50530" w:rsidRPr="001B5F4D">
        <w:rPr>
          <w:rFonts w:ascii="Aptos" w:hAnsi="Aptos"/>
        </w:rPr>
        <w:t>deficiencies in</w:t>
      </w:r>
      <w:r w:rsidRPr="001B5F4D">
        <w:rPr>
          <w:rFonts w:ascii="Aptos" w:hAnsi="Aptos"/>
        </w:rPr>
        <w:t xml:space="preserve"> mental health care provision. Greater</w:t>
      </w:r>
      <w:r w:rsidR="00FA0761" w:rsidRPr="001B5F4D">
        <w:rPr>
          <w:rFonts w:ascii="Aptos" w:hAnsi="Aptos"/>
        </w:rPr>
        <w:t xml:space="preserve"> staff</w:t>
      </w:r>
      <w:r w:rsidRPr="001B5F4D">
        <w:rPr>
          <w:rFonts w:ascii="Aptos" w:hAnsi="Aptos"/>
        </w:rPr>
        <w:t xml:space="preserve"> training and</w:t>
      </w:r>
      <w:r w:rsidR="00FA0761" w:rsidRPr="001B5F4D">
        <w:rPr>
          <w:rFonts w:ascii="Aptos" w:hAnsi="Aptos"/>
        </w:rPr>
        <w:t xml:space="preserve"> encouraging</w:t>
      </w:r>
      <w:r w:rsidRPr="001B5F4D">
        <w:rPr>
          <w:rFonts w:ascii="Aptos" w:hAnsi="Aptos"/>
        </w:rPr>
        <w:t xml:space="preserve"> open discussion</w:t>
      </w:r>
      <w:r w:rsidR="00FA0761" w:rsidRPr="001B5F4D">
        <w:rPr>
          <w:rFonts w:ascii="Aptos" w:hAnsi="Aptos"/>
        </w:rPr>
        <w:t>s with patients at the point of healthcare delivery will help to create a more welcoming environment</w:t>
      </w:r>
      <w:r w:rsidR="00410212" w:rsidRPr="001B5F4D">
        <w:rPr>
          <w:rFonts w:ascii="Aptos" w:hAnsi="Aptos"/>
        </w:rPr>
        <w:t xml:space="preserve"> and improve patient experience</w:t>
      </w:r>
      <w:r w:rsidR="00FA0761" w:rsidRPr="001B5F4D">
        <w:rPr>
          <w:rFonts w:ascii="Aptos" w:hAnsi="Aptos"/>
        </w:rPr>
        <w:t>. Further research into the TGNC-IBD population is needed to help raise awareness</w:t>
      </w:r>
      <w:r w:rsidR="004019B0" w:rsidRPr="001B5F4D">
        <w:rPr>
          <w:rFonts w:ascii="Aptos" w:hAnsi="Aptos"/>
        </w:rPr>
        <w:t xml:space="preserve"> and </w:t>
      </w:r>
      <w:r w:rsidR="002C5D97">
        <w:rPr>
          <w:rFonts w:ascii="Aptos" w:hAnsi="Aptos"/>
        </w:rPr>
        <w:t>improve patient care and experiences</w:t>
      </w:r>
      <w:r w:rsidR="004019B0" w:rsidRPr="001B5F4D">
        <w:rPr>
          <w:rFonts w:ascii="Aptos" w:hAnsi="Aptos"/>
        </w:rPr>
        <w:t>.</w:t>
      </w:r>
    </w:p>
    <w:p w14:paraId="53B673C9" w14:textId="488B9B40" w:rsidR="00AD48FE" w:rsidRDefault="00AD48FE" w:rsidP="005D583C">
      <w:pPr>
        <w:ind w:firstLine="720"/>
      </w:pPr>
    </w:p>
    <w:p w14:paraId="4D2D5A88" w14:textId="77777777" w:rsidR="00A82F6C" w:rsidRDefault="00A82F6C"/>
    <w:p w14:paraId="55924B1B" w14:textId="77777777" w:rsidR="00346F06" w:rsidRPr="001B5F4D" w:rsidRDefault="00346F06" w:rsidP="00346F06">
      <w:pPr>
        <w:rPr>
          <w:rFonts w:ascii="Aptos" w:hAnsi="Aptos"/>
          <w:b/>
          <w:bCs/>
        </w:rPr>
      </w:pPr>
      <w:r w:rsidRPr="001B5F4D">
        <w:rPr>
          <w:rFonts w:ascii="Aptos" w:hAnsi="Aptos"/>
          <w:b/>
          <w:bCs/>
        </w:rPr>
        <w:t>FUNDING</w:t>
      </w:r>
    </w:p>
    <w:p w14:paraId="68583880" w14:textId="66B9BAA0" w:rsidR="00346F06" w:rsidRPr="001B5F4D" w:rsidRDefault="002E2CAC" w:rsidP="00346F06">
      <w:pPr>
        <w:rPr>
          <w:rFonts w:ascii="Aptos" w:hAnsi="Aptos"/>
        </w:rPr>
      </w:pPr>
      <w:r>
        <w:rPr>
          <w:rFonts w:ascii="Aptos" w:hAnsi="Aptos"/>
        </w:rPr>
        <w:t>None</w:t>
      </w:r>
    </w:p>
    <w:p w14:paraId="1B7C83B5" w14:textId="77777777" w:rsidR="00346F06" w:rsidRPr="001B5F4D" w:rsidRDefault="00346F06" w:rsidP="00346F06">
      <w:pPr>
        <w:rPr>
          <w:rFonts w:ascii="Aptos" w:hAnsi="Aptos"/>
        </w:rPr>
      </w:pPr>
    </w:p>
    <w:p w14:paraId="12D57E3D" w14:textId="77777777" w:rsidR="00346F06" w:rsidRPr="001B5F4D" w:rsidRDefault="00346F06" w:rsidP="00346F06">
      <w:pPr>
        <w:rPr>
          <w:rFonts w:ascii="Aptos" w:hAnsi="Aptos"/>
          <w:b/>
          <w:bCs/>
        </w:rPr>
      </w:pPr>
      <w:r w:rsidRPr="001B5F4D">
        <w:rPr>
          <w:rFonts w:ascii="Aptos" w:hAnsi="Aptos"/>
          <w:b/>
          <w:bCs/>
        </w:rPr>
        <w:t>ETHICAL APPROVAL</w:t>
      </w:r>
    </w:p>
    <w:p w14:paraId="2358A894" w14:textId="77777777" w:rsidR="00346F06" w:rsidRPr="001B5F4D" w:rsidRDefault="00346F06" w:rsidP="00346F06">
      <w:pPr>
        <w:rPr>
          <w:rFonts w:ascii="Aptos" w:hAnsi="Aptos"/>
        </w:rPr>
      </w:pPr>
      <w:r w:rsidRPr="001B5F4D">
        <w:rPr>
          <w:rFonts w:ascii="Aptos" w:hAnsi="Aptos"/>
        </w:rPr>
        <w:t>Ethical approval was granted through St George’s, University of London ethics committee. (ref: 2024.0114)</w:t>
      </w:r>
    </w:p>
    <w:p w14:paraId="1B47F502" w14:textId="77777777" w:rsidR="00346F06" w:rsidRPr="001B5F4D" w:rsidRDefault="00346F06" w:rsidP="00346F06">
      <w:pPr>
        <w:rPr>
          <w:rFonts w:ascii="Aptos" w:hAnsi="Aptos"/>
        </w:rPr>
      </w:pPr>
    </w:p>
    <w:p w14:paraId="328F0CE4" w14:textId="77777777" w:rsidR="00346F06" w:rsidRDefault="00346F06" w:rsidP="00346F06">
      <w:pPr>
        <w:rPr>
          <w:rFonts w:ascii="Aptos" w:hAnsi="Aptos"/>
        </w:rPr>
      </w:pPr>
      <w:r w:rsidRPr="001B5F4D">
        <w:rPr>
          <w:rFonts w:ascii="Aptos" w:hAnsi="Aptos"/>
          <w:b/>
          <w:bCs/>
        </w:rPr>
        <w:t>CONFLICTS OF INTEREST</w:t>
      </w:r>
      <w:r w:rsidRPr="001B5F4D">
        <w:rPr>
          <w:rFonts w:ascii="Aptos" w:hAnsi="Aptos"/>
          <w:b/>
          <w:bCs/>
        </w:rPr>
        <w:br/>
      </w:r>
      <w:r w:rsidRPr="001B5F4D">
        <w:rPr>
          <w:rFonts w:ascii="Aptos" w:hAnsi="Aptos"/>
        </w:rPr>
        <w:t>None</w:t>
      </w:r>
    </w:p>
    <w:p w14:paraId="1F8312B9" w14:textId="77777777" w:rsidR="00E66D7A" w:rsidRDefault="00E66D7A" w:rsidP="00346F06">
      <w:pPr>
        <w:rPr>
          <w:rFonts w:ascii="Aptos" w:hAnsi="Aptos"/>
        </w:rPr>
      </w:pPr>
    </w:p>
    <w:p w14:paraId="69EBDF6A" w14:textId="5D5E417C" w:rsidR="00E66D7A" w:rsidRPr="00E66D7A" w:rsidRDefault="00E66D7A" w:rsidP="00346F06">
      <w:pPr>
        <w:rPr>
          <w:rFonts w:ascii="Aptos" w:hAnsi="Aptos"/>
          <w:b/>
          <w:bCs/>
        </w:rPr>
      </w:pPr>
      <w:r w:rsidRPr="00E66D7A">
        <w:rPr>
          <w:rFonts w:ascii="Aptos" w:hAnsi="Aptos"/>
          <w:b/>
          <w:bCs/>
        </w:rPr>
        <w:t>CONTRIBUTORSHIP STATEMENT</w:t>
      </w:r>
    </w:p>
    <w:p w14:paraId="06FC91D6" w14:textId="12A52093" w:rsidR="00E66D7A" w:rsidRDefault="00E66D7A" w:rsidP="00346F06">
      <w:pPr>
        <w:rPr>
          <w:rFonts w:ascii="Aptos" w:hAnsi="Aptos"/>
        </w:rPr>
      </w:pPr>
      <w:r>
        <w:rPr>
          <w:rFonts w:ascii="Aptos" w:hAnsi="Aptos"/>
        </w:rPr>
        <w:t>MC: Conceptualisation, data curation, formal analysis, investigation, project administration, writing – original draft and writing – review &amp; editing</w:t>
      </w:r>
    </w:p>
    <w:p w14:paraId="091BCD85" w14:textId="54C9DC0A" w:rsidR="00E66D7A" w:rsidRDefault="00E66D7A" w:rsidP="00346F06">
      <w:pPr>
        <w:rPr>
          <w:rFonts w:ascii="Aptos" w:hAnsi="Aptos"/>
        </w:rPr>
      </w:pPr>
      <w:r>
        <w:rPr>
          <w:rFonts w:ascii="Aptos" w:hAnsi="Aptos"/>
        </w:rPr>
        <w:t xml:space="preserve">KJ – Investigation, </w:t>
      </w:r>
      <w:r>
        <w:rPr>
          <w:rFonts w:ascii="Aptos" w:hAnsi="Aptos"/>
        </w:rPr>
        <w:t>writing – review &amp; editing</w:t>
      </w:r>
    </w:p>
    <w:p w14:paraId="39E86870" w14:textId="2316CDB2" w:rsidR="00E66D7A" w:rsidRDefault="00E66D7A" w:rsidP="00346F06">
      <w:pPr>
        <w:rPr>
          <w:rFonts w:ascii="Aptos" w:hAnsi="Aptos"/>
        </w:rPr>
      </w:pPr>
      <w:r>
        <w:rPr>
          <w:rFonts w:ascii="Aptos" w:hAnsi="Aptos"/>
        </w:rPr>
        <w:t>RP/LS – Writing – review and editing</w:t>
      </w:r>
    </w:p>
    <w:p w14:paraId="2A3599D5" w14:textId="622403E5" w:rsidR="00E66D7A" w:rsidRDefault="00E66D7A" w:rsidP="00346F06">
      <w:pPr>
        <w:rPr>
          <w:rFonts w:ascii="Aptos" w:hAnsi="Aptos"/>
        </w:rPr>
      </w:pPr>
      <w:r>
        <w:rPr>
          <w:rFonts w:ascii="Aptos" w:hAnsi="Aptos"/>
        </w:rPr>
        <w:t xml:space="preserve">AP – Conceptualisation, </w:t>
      </w:r>
      <w:r>
        <w:rPr>
          <w:rFonts w:ascii="Aptos" w:hAnsi="Aptos"/>
        </w:rPr>
        <w:t>writing – review &amp; editing</w:t>
      </w:r>
      <w:r>
        <w:rPr>
          <w:rFonts w:ascii="Aptos" w:hAnsi="Aptos"/>
        </w:rPr>
        <w:t>, supervision</w:t>
      </w:r>
    </w:p>
    <w:p w14:paraId="2AA0161C" w14:textId="77777777" w:rsidR="00E66D7A" w:rsidRDefault="00E66D7A" w:rsidP="00346F06">
      <w:pPr>
        <w:rPr>
          <w:rFonts w:ascii="Aptos" w:hAnsi="Aptos"/>
        </w:rPr>
      </w:pPr>
    </w:p>
    <w:p w14:paraId="6DE5829A" w14:textId="1F16AEEF" w:rsidR="00E66D7A" w:rsidRPr="001B5F4D" w:rsidRDefault="00E66D7A" w:rsidP="00346F06">
      <w:pPr>
        <w:rPr>
          <w:rFonts w:ascii="Aptos" w:hAnsi="Aptos"/>
          <w:b/>
          <w:bCs/>
        </w:rPr>
      </w:pPr>
      <w:r>
        <w:rPr>
          <w:rFonts w:ascii="Aptos" w:hAnsi="Aptos"/>
        </w:rPr>
        <w:t>MC and AP are responsible for the overall content as guarantors.</w:t>
      </w:r>
    </w:p>
    <w:p w14:paraId="34EE6563" w14:textId="77777777" w:rsidR="00346F06" w:rsidRPr="001B5F4D" w:rsidRDefault="00346F06" w:rsidP="00346F06">
      <w:pPr>
        <w:rPr>
          <w:rFonts w:ascii="Aptos" w:hAnsi="Aptos"/>
        </w:rPr>
      </w:pPr>
    </w:p>
    <w:p w14:paraId="38B469A5" w14:textId="77777777" w:rsidR="00346F06" w:rsidRPr="001B5F4D" w:rsidRDefault="00346F06" w:rsidP="00346F06">
      <w:pPr>
        <w:rPr>
          <w:rFonts w:ascii="Aptos" w:hAnsi="Aptos"/>
          <w:b/>
          <w:bCs/>
        </w:rPr>
      </w:pPr>
      <w:r w:rsidRPr="001B5F4D">
        <w:rPr>
          <w:rFonts w:ascii="Aptos" w:hAnsi="Aptos"/>
          <w:b/>
          <w:bCs/>
        </w:rPr>
        <w:t>ACKNOWLEDGEMENTS</w:t>
      </w:r>
    </w:p>
    <w:p w14:paraId="7C45C13E" w14:textId="77777777" w:rsidR="00346F06" w:rsidRPr="001B5F4D" w:rsidRDefault="00346F06" w:rsidP="00346F06">
      <w:pPr>
        <w:rPr>
          <w:rFonts w:ascii="Aptos" w:hAnsi="Aptos"/>
        </w:rPr>
      </w:pPr>
      <w:r w:rsidRPr="001B5F4D">
        <w:rPr>
          <w:rFonts w:ascii="Aptos" w:hAnsi="Aptos"/>
        </w:rPr>
        <w:t xml:space="preserve">The authors wish to thank all participants in the study as well as the research team at Crohn’s and Colitis UK who helped promote the research opportunity to </w:t>
      </w:r>
      <w:proofErr w:type="spellStart"/>
      <w:proofErr w:type="gramStart"/>
      <w:r w:rsidRPr="001B5F4D">
        <w:rPr>
          <w:rFonts w:ascii="Aptos" w:hAnsi="Aptos"/>
        </w:rPr>
        <w:t>it’s</w:t>
      </w:r>
      <w:proofErr w:type="spellEnd"/>
      <w:proofErr w:type="gramEnd"/>
      <w:r w:rsidRPr="001B5F4D">
        <w:rPr>
          <w:rFonts w:ascii="Aptos" w:hAnsi="Aptos"/>
        </w:rPr>
        <w:t xml:space="preserve"> members.</w:t>
      </w:r>
    </w:p>
    <w:p w14:paraId="1B1373B8" w14:textId="77777777" w:rsidR="00346F06" w:rsidRDefault="00346F06" w:rsidP="00346F06">
      <w:pPr>
        <w:rPr>
          <w:rFonts w:ascii="Aptos" w:hAnsi="Aptos"/>
        </w:rPr>
      </w:pPr>
    </w:p>
    <w:p w14:paraId="09B13988" w14:textId="77777777" w:rsidR="008943F6" w:rsidRPr="001B5F4D" w:rsidRDefault="008943F6" w:rsidP="00346F06">
      <w:pPr>
        <w:rPr>
          <w:rFonts w:ascii="Aptos" w:hAnsi="Aptos"/>
        </w:rPr>
      </w:pPr>
    </w:p>
    <w:p w14:paraId="307F3578" w14:textId="7B31A7A1" w:rsidR="00D56F5E" w:rsidRPr="00257A7E" w:rsidRDefault="00257A7E">
      <w:pPr>
        <w:rPr>
          <w:rFonts w:ascii="Aptos" w:hAnsi="Aptos"/>
          <w:b/>
          <w:bCs/>
        </w:rPr>
      </w:pPr>
      <w:r w:rsidRPr="00257A7E">
        <w:rPr>
          <w:rFonts w:ascii="Aptos" w:hAnsi="Aptos"/>
          <w:b/>
          <w:bCs/>
        </w:rPr>
        <w:t>REFERENCES</w:t>
      </w:r>
    </w:p>
    <w:p w14:paraId="691DC1D3" w14:textId="77777777" w:rsidR="00F76051" w:rsidRPr="00F76051" w:rsidRDefault="00F76051" w:rsidP="00F76051">
      <w:pPr>
        <w:pStyle w:val="Bibliography"/>
        <w:rPr>
          <w:rFonts w:ascii="Aptos" w:hAnsi="Aptos"/>
        </w:rPr>
      </w:pPr>
      <w:r>
        <w:rPr>
          <w:rFonts w:ascii="Aptos" w:hAnsi="Aptos"/>
        </w:rPr>
        <w:fldChar w:fldCharType="begin"/>
      </w:r>
      <w:r>
        <w:rPr>
          <w:rFonts w:ascii="Aptos" w:hAnsi="Aptos"/>
        </w:rPr>
        <w:instrText xml:space="preserve"> ADDIN ZOTERO_BIBL {"uncited":[],"omitted":[],"custom":[]} CSL_BIBLIOGRAPHY </w:instrText>
      </w:r>
      <w:r>
        <w:rPr>
          <w:rFonts w:ascii="Aptos" w:hAnsi="Aptos"/>
        </w:rPr>
        <w:fldChar w:fldCharType="separate"/>
      </w:r>
      <w:r w:rsidRPr="00F76051">
        <w:rPr>
          <w:rFonts w:ascii="Aptos" w:hAnsi="Aptos"/>
        </w:rPr>
        <w:t>[1]</w:t>
      </w:r>
      <w:r w:rsidRPr="00F76051">
        <w:rPr>
          <w:rFonts w:ascii="Aptos" w:hAnsi="Aptos"/>
        </w:rPr>
        <w:tab/>
        <w:t>Sexual orientation, England and Wales - Office for National Statistics n.d. https://www.ons.gov.uk/peoplepopulationandcommunity/culturalidentity/sexuality</w:t>
      </w:r>
      <w:r w:rsidRPr="00F76051">
        <w:rPr>
          <w:rFonts w:ascii="Aptos" w:hAnsi="Aptos"/>
        </w:rPr>
        <w:lastRenderedPageBreak/>
        <w:t>/bulletins/sexualorientationenglandandwales/census2021 (accessed October 24, 2023).</w:t>
      </w:r>
    </w:p>
    <w:p w14:paraId="35A19A5D" w14:textId="77777777" w:rsidR="00F76051" w:rsidRPr="00F76051" w:rsidRDefault="00F76051" w:rsidP="00F76051">
      <w:pPr>
        <w:pStyle w:val="Bibliography"/>
        <w:rPr>
          <w:rFonts w:ascii="Aptos" w:hAnsi="Aptos"/>
        </w:rPr>
      </w:pPr>
      <w:r w:rsidRPr="00F76051">
        <w:rPr>
          <w:rFonts w:ascii="Aptos" w:hAnsi="Aptos"/>
        </w:rPr>
        <w:t>[2]</w:t>
      </w:r>
      <w:r w:rsidRPr="00F76051">
        <w:rPr>
          <w:rFonts w:ascii="Aptos" w:hAnsi="Aptos"/>
        </w:rPr>
        <w:tab/>
        <w:t>Bureau UC. Sexual Orientation and Gender Identity in the Household Pulse Survey. CensusGov n.d. https://www.census.gov/library/visualizations/interactive/sexual-orientation-and-gender-identity.html (accessed April 10, 2024).</w:t>
      </w:r>
    </w:p>
    <w:p w14:paraId="13ABAC0B" w14:textId="77777777" w:rsidR="00F76051" w:rsidRPr="00F76051" w:rsidRDefault="00F76051" w:rsidP="00F76051">
      <w:pPr>
        <w:pStyle w:val="Bibliography"/>
        <w:rPr>
          <w:rFonts w:ascii="Aptos" w:hAnsi="Aptos"/>
        </w:rPr>
      </w:pPr>
      <w:r w:rsidRPr="00F76051">
        <w:rPr>
          <w:rFonts w:ascii="Aptos" w:hAnsi="Aptos"/>
        </w:rPr>
        <w:t>[3]</w:t>
      </w:r>
      <w:r w:rsidRPr="00F76051">
        <w:rPr>
          <w:rFonts w:ascii="Aptos" w:hAnsi="Aptos"/>
        </w:rPr>
        <w:tab/>
        <w:t>Tata, L. Contemporary epidemiology of coeliac disease, dermatitis herpetiformis, Crohn’s disease and ulcerative colitis in the UK. n.d.</w:t>
      </w:r>
    </w:p>
    <w:p w14:paraId="3BF3D5B2" w14:textId="77777777" w:rsidR="00F76051" w:rsidRPr="00F76051" w:rsidRDefault="00F76051" w:rsidP="00F76051">
      <w:pPr>
        <w:pStyle w:val="Bibliography"/>
        <w:rPr>
          <w:rFonts w:ascii="Aptos" w:hAnsi="Aptos"/>
        </w:rPr>
      </w:pPr>
      <w:r w:rsidRPr="00F76051">
        <w:rPr>
          <w:rFonts w:ascii="Aptos" w:hAnsi="Aptos"/>
        </w:rPr>
        <w:t>[4]</w:t>
      </w:r>
      <w:r w:rsidRPr="00F76051">
        <w:rPr>
          <w:rFonts w:ascii="Aptos" w:hAnsi="Aptos"/>
        </w:rPr>
        <w:tab/>
        <w:t>Engelman de León Madeira G. Mental health problems in a Swedish LGBTI population and the social determinants of health : Differences in depressive symptoms and its relations to sociodemographic factors. 2023.</w:t>
      </w:r>
    </w:p>
    <w:p w14:paraId="1459F43E" w14:textId="77777777" w:rsidR="00F76051" w:rsidRPr="00F76051" w:rsidRDefault="00F76051" w:rsidP="00F76051">
      <w:pPr>
        <w:pStyle w:val="Bibliography"/>
        <w:rPr>
          <w:rFonts w:ascii="Aptos" w:hAnsi="Aptos"/>
        </w:rPr>
      </w:pPr>
      <w:r w:rsidRPr="00F76051">
        <w:rPr>
          <w:rFonts w:ascii="Aptos" w:hAnsi="Aptos"/>
        </w:rPr>
        <w:t>[5]</w:t>
      </w:r>
      <w:r w:rsidRPr="00F76051">
        <w:rPr>
          <w:rFonts w:ascii="Aptos" w:hAnsi="Aptos"/>
        </w:rPr>
        <w:tab/>
        <w:t>Byrne G, Rosenfeld G, Leung Y, Qian H, Raudzus J, Nunez C, et al. Prevalence of Anxiety and Depression in Patients with Inflammatory Bowel Disease. Can J Gastroenterol Hepatol 2017;2017:6496727. https://doi.org/10.1155/2017/6496727.</w:t>
      </w:r>
    </w:p>
    <w:p w14:paraId="59FBBB8C" w14:textId="77777777" w:rsidR="00F76051" w:rsidRPr="00F76051" w:rsidRDefault="00F76051" w:rsidP="00F76051">
      <w:pPr>
        <w:pStyle w:val="Bibliography"/>
        <w:rPr>
          <w:rFonts w:ascii="Aptos" w:hAnsi="Aptos"/>
        </w:rPr>
      </w:pPr>
      <w:r w:rsidRPr="00F76051">
        <w:rPr>
          <w:rFonts w:ascii="Aptos" w:hAnsi="Aptos"/>
        </w:rPr>
        <w:t>[6]</w:t>
      </w:r>
      <w:r w:rsidRPr="00F76051">
        <w:rPr>
          <w:rFonts w:ascii="Aptos" w:hAnsi="Aptos"/>
        </w:rPr>
        <w:tab/>
        <w:t>Marshall Z, Welch V, Minichiello A, Swab M, Brunger F, Kaposy C. Documenting Research with Transgender, Nonbinary, and Other Gender Diverse (Trans) Individuals and Communities: Introducing the Global Trans Research Evidence Map. Transgend Health 2019;4:68–80. https://doi.org/10.1089/trgh.2018.0020.</w:t>
      </w:r>
    </w:p>
    <w:p w14:paraId="2956DF93" w14:textId="77777777" w:rsidR="00F76051" w:rsidRPr="00F76051" w:rsidRDefault="00F76051" w:rsidP="00F76051">
      <w:pPr>
        <w:pStyle w:val="Bibliography"/>
        <w:rPr>
          <w:rFonts w:ascii="Aptos" w:hAnsi="Aptos"/>
        </w:rPr>
      </w:pPr>
      <w:r w:rsidRPr="00F76051">
        <w:rPr>
          <w:rFonts w:ascii="Aptos" w:hAnsi="Aptos"/>
        </w:rPr>
        <w:t>[7]</w:t>
      </w:r>
      <w:r w:rsidRPr="00F76051">
        <w:rPr>
          <w:rFonts w:ascii="Aptos" w:hAnsi="Aptos"/>
        </w:rPr>
        <w:tab/>
        <w:t>O’Brien BC, Harris IB, Beckman TJ, Reed DA, Cook DA. Standards for reporting qualitative research: a synthesis of recommendations. Acad Med 2014;89:1245–51. https://doi.org/10.1097/ACM.0000000000000388.</w:t>
      </w:r>
    </w:p>
    <w:p w14:paraId="04CBCB98" w14:textId="77777777" w:rsidR="00F76051" w:rsidRPr="00F76051" w:rsidRDefault="00F76051" w:rsidP="00F76051">
      <w:pPr>
        <w:pStyle w:val="Bibliography"/>
        <w:rPr>
          <w:rFonts w:ascii="Aptos" w:hAnsi="Aptos"/>
        </w:rPr>
      </w:pPr>
      <w:r w:rsidRPr="00F76051">
        <w:rPr>
          <w:rFonts w:ascii="Aptos" w:hAnsi="Aptos"/>
        </w:rPr>
        <w:t>[8]</w:t>
      </w:r>
      <w:r w:rsidRPr="00F76051">
        <w:rPr>
          <w:rFonts w:ascii="Aptos" w:hAnsi="Aptos"/>
        </w:rPr>
        <w:tab/>
        <w:t>Colwill M, Pollok R, Seal L, Poullis A. Impact of gender identity in the inflammatory bowel disease population: an evidence review and practical steps for gastroenterologists. Frontline Gastroenterol 2024;15:401. https://doi.org/10.1136/flgastro-2024-102658.</w:t>
      </w:r>
    </w:p>
    <w:p w14:paraId="194E3ABF" w14:textId="77777777" w:rsidR="00F76051" w:rsidRPr="00F76051" w:rsidRDefault="00F76051" w:rsidP="00F76051">
      <w:pPr>
        <w:pStyle w:val="Bibliography"/>
        <w:rPr>
          <w:rFonts w:ascii="Aptos" w:hAnsi="Aptos"/>
        </w:rPr>
      </w:pPr>
      <w:r w:rsidRPr="00F76051">
        <w:rPr>
          <w:rFonts w:ascii="Aptos" w:hAnsi="Aptos"/>
        </w:rPr>
        <w:t>[9]</w:t>
      </w:r>
      <w:r w:rsidRPr="00F76051">
        <w:rPr>
          <w:rFonts w:ascii="Aptos" w:hAnsi="Aptos"/>
        </w:rPr>
        <w:tab/>
        <w:t>Alexakis C, Nash A, Lloyd M, Brooks F, Lindsay JO, Poullis A. Inflammatory bowel disease in young patients: challenges faced by black and minority ethnic communities in the UK. Health Soc Care Community 2015;23:665–72. https://doi.org/10.1111/hsc.12188.</w:t>
      </w:r>
    </w:p>
    <w:p w14:paraId="69307186" w14:textId="77777777" w:rsidR="00F76051" w:rsidRPr="00F76051" w:rsidRDefault="00F76051" w:rsidP="00F76051">
      <w:pPr>
        <w:pStyle w:val="Bibliography"/>
        <w:rPr>
          <w:rFonts w:ascii="Aptos" w:hAnsi="Aptos"/>
        </w:rPr>
      </w:pPr>
      <w:r w:rsidRPr="00F76051">
        <w:rPr>
          <w:rFonts w:ascii="Aptos" w:hAnsi="Aptos"/>
        </w:rPr>
        <w:t>[10]</w:t>
      </w:r>
      <w:r w:rsidRPr="00F76051">
        <w:rPr>
          <w:rFonts w:ascii="Aptos" w:hAnsi="Aptos"/>
        </w:rPr>
        <w:tab/>
        <w:t>Braun V, Clarke V. Using thematic analysis in psychology. Qualitative Research in Psychology 2006;3:77–101. https://doi.org/10.1191/1478088706qp063oa.</w:t>
      </w:r>
    </w:p>
    <w:p w14:paraId="02800E1B" w14:textId="77777777" w:rsidR="00F76051" w:rsidRPr="00F76051" w:rsidRDefault="00F76051" w:rsidP="00F76051">
      <w:pPr>
        <w:pStyle w:val="Bibliography"/>
        <w:rPr>
          <w:rFonts w:ascii="Aptos" w:hAnsi="Aptos"/>
        </w:rPr>
      </w:pPr>
      <w:r w:rsidRPr="00F76051">
        <w:rPr>
          <w:rFonts w:ascii="Aptos" w:hAnsi="Aptos"/>
        </w:rPr>
        <w:t>[11]</w:t>
      </w:r>
      <w:r w:rsidRPr="00F76051">
        <w:rPr>
          <w:rFonts w:ascii="Aptos" w:hAnsi="Aptos"/>
        </w:rPr>
        <w:tab/>
        <w:t>McLaughlin AJ, Nonoyama S, Glupe L, Bosse JD. Systemic transphobia and ongoing barriers to healthcare for transgender and nonbinary people: A historical analysis of #TransHealthFail. PLOS Digit Health 2025;4:e0000718. https://doi.org/10.1371/journal.pdig.0000718.</w:t>
      </w:r>
    </w:p>
    <w:p w14:paraId="05A9CEEB" w14:textId="77777777" w:rsidR="00F76051" w:rsidRPr="00F76051" w:rsidRDefault="00F76051" w:rsidP="00F76051">
      <w:pPr>
        <w:pStyle w:val="Bibliography"/>
        <w:rPr>
          <w:rFonts w:ascii="Aptos" w:hAnsi="Aptos"/>
        </w:rPr>
      </w:pPr>
      <w:r w:rsidRPr="00F76051">
        <w:rPr>
          <w:rFonts w:ascii="Aptos" w:hAnsi="Aptos"/>
        </w:rPr>
        <w:t>[12]</w:t>
      </w:r>
      <w:r w:rsidRPr="00F76051">
        <w:rPr>
          <w:rFonts w:ascii="Aptos" w:hAnsi="Aptos"/>
        </w:rPr>
        <w:tab/>
        <w:t>Holti R, Callahan E, Fletcher J, Hope S, Moller N, Vincent B, et al. Improving the integration of care for trans adults: ICTA a mixed-methods study. Health Soc Care Deliv Res 2024;12:1–217. https://doi.org/10.3310/EWTA4502.</w:t>
      </w:r>
    </w:p>
    <w:p w14:paraId="5E73CE2F" w14:textId="77777777" w:rsidR="00F76051" w:rsidRPr="00F76051" w:rsidRDefault="00F76051" w:rsidP="00F76051">
      <w:pPr>
        <w:pStyle w:val="Bibliography"/>
        <w:rPr>
          <w:rFonts w:ascii="Aptos" w:hAnsi="Aptos"/>
        </w:rPr>
      </w:pPr>
      <w:r w:rsidRPr="00F76051">
        <w:rPr>
          <w:rFonts w:ascii="Aptos" w:hAnsi="Aptos"/>
        </w:rPr>
        <w:t>[13]</w:t>
      </w:r>
      <w:r w:rsidRPr="00F76051">
        <w:rPr>
          <w:rFonts w:ascii="Aptos" w:hAnsi="Aptos"/>
        </w:rPr>
        <w:tab/>
        <w:t>Final Report – Cass Review n.d. https://cass.independent-review.uk/home/publications/final-report/ (accessed May 1, 2024).</w:t>
      </w:r>
    </w:p>
    <w:p w14:paraId="1BB9D67C" w14:textId="77777777" w:rsidR="00F76051" w:rsidRPr="00F76051" w:rsidRDefault="00F76051" w:rsidP="00F76051">
      <w:pPr>
        <w:pStyle w:val="Bibliography"/>
        <w:rPr>
          <w:rFonts w:ascii="Aptos" w:hAnsi="Aptos"/>
        </w:rPr>
      </w:pPr>
      <w:r w:rsidRPr="00F76051">
        <w:rPr>
          <w:rFonts w:ascii="Aptos" w:hAnsi="Aptos"/>
        </w:rPr>
        <w:t>[14]</w:t>
      </w:r>
      <w:r w:rsidRPr="00F76051">
        <w:rPr>
          <w:rFonts w:ascii="Aptos" w:hAnsi="Aptos"/>
        </w:rPr>
        <w:tab/>
        <w:t>Crohn’s and Colitis Care in the UK: The Hidden Cost and a Vision for Change n.d. https://crohnsandcolitis.org.uk/our-work/campaigns/improving-your-healthcare/ibd-uk-and-the-ibd-standards/crohn-s-and-colitis-care-in-the-uk-the-hidden-cost-and-a-vision-for-change (accessed October 25, 2023).</w:t>
      </w:r>
    </w:p>
    <w:p w14:paraId="43661715" w14:textId="77777777" w:rsidR="00F76051" w:rsidRPr="00F76051" w:rsidRDefault="00F76051" w:rsidP="00F76051">
      <w:pPr>
        <w:pStyle w:val="Bibliography"/>
        <w:rPr>
          <w:rFonts w:ascii="Aptos" w:hAnsi="Aptos"/>
        </w:rPr>
      </w:pPr>
      <w:r w:rsidRPr="00F76051">
        <w:rPr>
          <w:rFonts w:ascii="Aptos" w:hAnsi="Aptos"/>
        </w:rPr>
        <w:t>[15]</w:t>
      </w:r>
      <w:r w:rsidRPr="00F76051">
        <w:rPr>
          <w:rFonts w:ascii="Aptos" w:hAnsi="Aptos"/>
        </w:rPr>
        <w:tab/>
        <w:t>Kirkham EJ, Fletcher-Watson S, Beange I, Chan SWY, Lawrie SM. Patient satisfaction with mental and physical health services: Findings from a UK-wide online survey. Wellcome Open Res 2022;7:198. https://doi.org/10.12688/wellcomeopenres.17973.1.</w:t>
      </w:r>
    </w:p>
    <w:p w14:paraId="3E9057C5" w14:textId="77777777" w:rsidR="00F76051" w:rsidRPr="00F76051" w:rsidRDefault="00F76051" w:rsidP="00F76051">
      <w:pPr>
        <w:pStyle w:val="Bibliography"/>
        <w:rPr>
          <w:rFonts w:ascii="Aptos" w:hAnsi="Aptos"/>
        </w:rPr>
      </w:pPr>
      <w:r w:rsidRPr="00F76051">
        <w:rPr>
          <w:rFonts w:ascii="Aptos" w:hAnsi="Aptos"/>
        </w:rPr>
        <w:lastRenderedPageBreak/>
        <w:t>[16]</w:t>
      </w:r>
      <w:r w:rsidRPr="00F76051">
        <w:rPr>
          <w:rFonts w:ascii="Aptos" w:hAnsi="Aptos"/>
        </w:rPr>
        <w:tab/>
        <w:t>Nasser M, Haider A, Saad F, Kurtz W, Doros G, Fijak M, et al. Testosterone therapy in men with Crohn’s disease improves the clinical course of the disease: data from long-term observational registry study. Hormone Molecular Biology and Clinical Investigation 2015;22:111–7. https://doi.org/10.1515/hmbci-2015-0014.</w:t>
      </w:r>
    </w:p>
    <w:p w14:paraId="428403EC" w14:textId="77777777" w:rsidR="00F76051" w:rsidRPr="00F76051" w:rsidRDefault="00F76051" w:rsidP="00F76051">
      <w:pPr>
        <w:pStyle w:val="Bibliography"/>
        <w:rPr>
          <w:rFonts w:ascii="Aptos" w:hAnsi="Aptos"/>
        </w:rPr>
      </w:pPr>
      <w:r w:rsidRPr="00F76051">
        <w:rPr>
          <w:rFonts w:ascii="Aptos" w:hAnsi="Aptos"/>
        </w:rPr>
        <w:t>[17]</w:t>
      </w:r>
      <w:r w:rsidRPr="00F76051">
        <w:rPr>
          <w:rFonts w:ascii="Aptos" w:hAnsi="Aptos"/>
        </w:rPr>
        <w:tab/>
        <w:t>Kane SV, Reddy D. Hormonal Replacement Therapy After Menopause Is Protective of Disease Activity in Women With Inflammatory Bowel Disease. Official Journal of the American College of Gastroenterology | ACG 2008;103:1193. https://doi.org/10.1111/j.1572-0241.2007.01700.x.</w:t>
      </w:r>
    </w:p>
    <w:p w14:paraId="5D974907" w14:textId="77777777" w:rsidR="00F76051" w:rsidRPr="00F76051" w:rsidRDefault="00F76051" w:rsidP="00F76051">
      <w:pPr>
        <w:pStyle w:val="Bibliography"/>
        <w:rPr>
          <w:rFonts w:ascii="Aptos" w:hAnsi="Aptos"/>
        </w:rPr>
      </w:pPr>
      <w:r w:rsidRPr="00F76051">
        <w:rPr>
          <w:rFonts w:ascii="Aptos" w:hAnsi="Aptos"/>
        </w:rPr>
        <w:t>[18]</w:t>
      </w:r>
      <w:r w:rsidRPr="00F76051">
        <w:rPr>
          <w:rFonts w:ascii="Aptos" w:hAnsi="Aptos"/>
        </w:rPr>
        <w:tab/>
        <w:t>Hatch Q, Champagne BJ, Maykel JA, Davis BR, Johnson EK, Bleier JS, et al. Crohn’s disease and pregnancy: the impact of perianal disease on delivery methods and complications. Dis Colon Rectum 2014;57:174–8. https://doi.org/10.1097/DCR.0b013e3182a41381.</w:t>
      </w:r>
    </w:p>
    <w:p w14:paraId="0FD978A6" w14:textId="77777777" w:rsidR="00F76051" w:rsidRPr="00F76051" w:rsidRDefault="00F76051" w:rsidP="00F76051">
      <w:pPr>
        <w:pStyle w:val="Bibliography"/>
        <w:rPr>
          <w:rFonts w:ascii="Aptos" w:hAnsi="Aptos"/>
        </w:rPr>
      </w:pPr>
      <w:r w:rsidRPr="00F76051">
        <w:rPr>
          <w:rFonts w:ascii="Aptos" w:hAnsi="Aptos"/>
        </w:rPr>
        <w:t>[19]</w:t>
      </w:r>
      <w:r w:rsidRPr="00F76051">
        <w:rPr>
          <w:rFonts w:ascii="Aptos" w:hAnsi="Aptos"/>
        </w:rPr>
        <w:tab/>
        <w:t>Loganathan S, Smyth SL, Mykula R, Soleymani Majd H. The role of the multidisciplinary team in surgical management of intractable tubo-ovarian abscess as a late sequelae of challenging Crohn’s disease in the modern era: A case report and review of current literature. International Journal of Gynecology &amp; Obstetrics 2024;165:535–41. https://doi.org/10.1002/ijgo.15196.</w:t>
      </w:r>
    </w:p>
    <w:p w14:paraId="24F62962" w14:textId="77777777" w:rsidR="00F76051" w:rsidRPr="00F76051" w:rsidRDefault="00F76051" w:rsidP="00F76051">
      <w:pPr>
        <w:pStyle w:val="Bibliography"/>
        <w:rPr>
          <w:rFonts w:ascii="Aptos" w:hAnsi="Aptos"/>
        </w:rPr>
      </w:pPr>
      <w:r w:rsidRPr="00F76051">
        <w:rPr>
          <w:rFonts w:ascii="Aptos" w:hAnsi="Aptos"/>
        </w:rPr>
        <w:t>[20]</w:t>
      </w:r>
      <w:r w:rsidRPr="00F76051">
        <w:rPr>
          <w:rFonts w:ascii="Aptos" w:hAnsi="Aptos"/>
        </w:rPr>
        <w:tab/>
        <w:t>Zhang X, Nørgård BM, Garvik OS, Nielsen J, Andersen ML, Friedman S. Adverse maternal outcomes after vaginal versus caesarean delivery in women with Crohn’s disease and prior perianal surgery: a population-based study. J Crohns Colitis 2025;19:jjaf028. https://doi.org/10.1093/ecco-jcc/jjaf028.</w:t>
      </w:r>
    </w:p>
    <w:p w14:paraId="129E6D78" w14:textId="77777777" w:rsidR="00F76051" w:rsidRPr="00F76051" w:rsidRDefault="00F76051" w:rsidP="00F76051">
      <w:pPr>
        <w:pStyle w:val="Bibliography"/>
        <w:rPr>
          <w:rFonts w:ascii="Aptos" w:hAnsi="Aptos"/>
        </w:rPr>
      </w:pPr>
      <w:r w:rsidRPr="00F76051">
        <w:rPr>
          <w:rFonts w:ascii="Aptos" w:hAnsi="Aptos"/>
        </w:rPr>
        <w:t>[21]</w:t>
      </w:r>
      <w:r w:rsidRPr="00F76051">
        <w:rPr>
          <w:rFonts w:ascii="Aptos" w:hAnsi="Aptos"/>
        </w:rPr>
        <w:tab/>
        <w:t>Sallans RK. More Lessons for Health Professionals From a Transgender Patient. AMA Journal of Ethics 2023;25:452–7. https://doi.org/10.1001/amajethics.2023.452.</w:t>
      </w:r>
    </w:p>
    <w:p w14:paraId="62DA5867" w14:textId="77777777" w:rsidR="00F76051" w:rsidRPr="00F76051" w:rsidRDefault="00F76051" w:rsidP="00F76051">
      <w:pPr>
        <w:pStyle w:val="Bibliography"/>
        <w:rPr>
          <w:rFonts w:ascii="Aptos" w:hAnsi="Aptos"/>
        </w:rPr>
      </w:pPr>
      <w:r w:rsidRPr="00F76051">
        <w:rPr>
          <w:rFonts w:ascii="Aptos" w:hAnsi="Aptos"/>
        </w:rPr>
        <w:t>[22]</w:t>
      </w:r>
      <w:r w:rsidRPr="00F76051">
        <w:rPr>
          <w:rFonts w:ascii="Aptos" w:hAnsi="Aptos"/>
        </w:rPr>
        <w:tab/>
        <w:t>Chan B, Skocylas R, Safer JD. Gaps in Transgender Medicine Content Identified Among Canadian Medical School Curricula. Transgend Health 2016;1:142–50. https://doi.org/10.1089/trgh.2016.0010.</w:t>
      </w:r>
    </w:p>
    <w:p w14:paraId="6D7E5004" w14:textId="77777777" w:rsidR="00F76051" w:rsidRPr="00F76051" w:rsidRDefault="00F76051" w:rsidP="00F76051">
      <w:pPr>
        <w:pStyle w:val="Bibliography"/>
        <w:rPr>
          <w:rFonts w:ascii="Aptos" w:hAnsi="Aptos"/>
        </w:rPr>
      </w:pPr>
      <w:r w:rsidRPr="00F76051">
        <w:rPr>
          <w:rFonts w:ascii="Aptos" w:hAnsi="Aptos"/>
        </w:rPr>
        <w:t>[23]</w:t>
      </w:r>
      <w:r w:rsidRPr="00F76051">
        <w:rPr>
          <w:rFonts w:ascii="Aptos" w:hAnsi="Aptos"/>
        </w:rPr>
        <w:tab/>
        <w:t>Colwill, Michael. Inflammatory bowel disease in the LGBTIQ+ population: estimates of prevalence in England &amp; Wales and the implication for services, 2023.</w:t>
      </w:r>
    </w:p>
    <w:p w14:paraId="1D22F037" w14:textId="2F0FBD7D" w:rsidR="00257A7E" w:rsidRPr="008943F6" w:rsidRDefault="00F76051">
      <w:pPr>
        <w:rPr>
          <w:rFonts w:ascii="Aptos" w:hAnsi="Aptos"/>
        </w:rPr>
      </w:pPr>
      <w:r>
        <w:rPr>
          <w:rFonts w:ascii="Aptos" w:hAnsi="Aptos"/>
        </w:rPr>
        <w:fldChar w:fldCharType="end"/>
      </w:r>
    </w:p>
    <w:p w14:paraId="0FC88AD4" w14:textId="77777777" w:rsidR="00D56F5E" w:rsidRPr="008943F6" w:rsidRDefault="00D56F5E">
      <w:pPr>
        <w:rPr>
          <w:rFonts w:ascii="Aptos" w:hAnsi="Aptos"/>
        </w:rPr>
      </w:pPr>
    </w:p>
    <w:p w14:paraId="7FF43CD5" w14:textId="77777777" w:rsidR="00D56F5E" w:rsidRPr="008943F6" w:rsidRDefault="00D56F5E">
      <w:pPr>
        <w:rPr>
          <w:rFonts w:ascii="Aptos" w:hAnsi="Aptos"/>
        </w:rPr>
      </w:pPr>
    </w:p>
    <w:p w14:paraId="31E10FCE" w14:textId="77777777" w:rsidR="00D56F5E" w:rsidRPr="008943F6" w:rsidRDefault="00D56F5E">
      <w:pPr>
        <w:rPr>
          <w:rFonts w:ascii="Aptos" w:hAnsi="Aptos"/>
        </w:rPr>
      </w:pPr>
    </w:p>
    <w:p w14:paraId="7A11FE2A" w14:textId="77777777" w:rsidR="00D56F5E" w:rsidRDefault="00D56F5E"/>
    <w:p w14:paraId="6E2EACF6" w14:textId="77777777" w:rsidR="00D56F5E" w:rsidRDefault="00D56F5E"/>
    <w:p w14:paraId="32CFAAF1" w14:textId="77777777" w:rsidR="00D765C8" w:rsidRDefault="00D765C8">
      <w:pPr>
        <w:rPr>
          <w:rFonts w:ascii="Aptos" w:hAnsi="Aptos"/>
        </w:rPr>
      </w:pPr>
    </w:p>
    <w:p w14:paraId="44B8B34C" w14:textId="77777777" w:rsidR="00D47575" w:rsidRPr="00C8080C" w:rsidRDefault="00D47575">
      <w:pPr>
        <w:rPr>
          <w:rFonts w:ascii="Aptos" w:hAnsi="Aptos"/>
        </w:rPr>
      </w:pPr>
    </w:p>
    <w:p w14:paraId="67965EEF" w14:textId="77777777" w:rsidR="00D47575" w:rsidRDefault="00D47575"/>
    <w:p w14:paraId="73F848A4" w14:textId="1B890A31" w:rsidR="00D47575" w:rsidRDefault="00D47575"/>
    <w:sectPr w:rsidR="00D475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A180" w14:textId="77777777" w:rsidR="009E0B1A" w:rsidRDefault="009E0B1A" w:rsidP="00B61333">
      <w:r>
        <w:separator/>
      </w:r>
    </w:p>
  </w:endnote>
  <w:endnote w:type="continuationSeparator" w:id="0">
    <w:p w14:paraId="71A7D11E" w14:textId="77777777" w:rsidR="009E0B1A" w:rsidRDefault="009E0B1A" w:rsidP="00B6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37EB" w14:textId="77777777" w:rsidR="009E0B1A" w:rsidRDefault="009E0B1A" w:rsidP="00B61333">
      <w:r>
        <w:separator/>
      </w:r>
    </w:p>
  </w:footnote>
  <w:footnote w:type="continuationSeparator" w:id="0">
    <w:p w14:paraId="16CDF135" w14:textId="77777777" w:rsidR="009E0B1A" w:rsidRDefault="009E0B1A" w:rsidP="00B6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644"/>
    <w:multiLevelType w:val="hybridMultilevel"/>
    <w:tmpl w:val="1BEE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86E4F"/>
    <w:multiLevelType w:val="hybridMultilevel"/>
    <w:tmpl w:val="38BC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5537A"/>
    <w:multiLevelType w:val="hybridMultilevel"/>
    <w:tmpl w:val="95601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0E46A2"/>
    <w:multiLevelType w:val="hybridMultilevel"/>
    <w:tmpl w:val="0DCA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051C4"/>
    <w:multiLevelType w:val="multilevel"/>
    <w:tmpl w:val="1E9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C221E0"/>
    <w:multiLevelType w:val="hybridMultilevel"/>
    <w:tmpl w:val="0CA69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A375BD"/>
    <w:multiLevelType w:val="hybridMultilevel"/>
    <w:tmpl w:val="6E4E3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438056">
    <w:abstractNumId w:val="1"/>
  </w:num>
  <w:num w:numId="2" w16cid:durableId="2014524994">
    <w:abstractNumId w:val="2"/>
  </w:num>
  <w:num w:numId="3" w16cid:durableId="1656911192">
    <w:abstractNumId w:val="6"/>
  </w:num>
  <w:num w:numId="4" w16cid:durableId="1748990263">
    <w:abstractNumId w:val="5"/>
  </w:num>
  <w:num w:numId="5" w16cid:durableId="151140285">
    <w:abstractNumId w:val="0"/>
  </w:num>
  <w:num w:numId="6" w16cid:durableId="685059833">
    <w:abstractNumId w:val="3"/>
  </w:num>
  <w:num w:numId="7" w16cid:durableId="3068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C6"/>
    <w:rsid w:val="00001505"/>
    <w:rsid w:val="00012FB1"/>
    <w:rsid w:val="00013B20"/>
    <w:rsid w:val="000217AD"/>
    <w:rsid w:val="000323AD"/>
    <w:rsid w:val="00033D00"/>
    <w:rsid w:val="0005723D"/>
    <w:rsid w:val="000606DF"/>
    <w:rsid w:val="0006335A"/>
    <w:rsid w:val="00077CBD"/>
    <w:rsid w:val="00095AF8"/>
    <w:rsid w:val="000A43D1"/>
    <w:rsid w:val="000A631E"/>
    <w:rsid w:val="000A7304"/>
    <w:rsid w:val="000A79D2"/>
    <w:rsid w:val="000B6049"/>
    <w:rsid w:val="000C3550"/>
    <w:rsid w:val="000C42D2"/>
    <w:rsid w:val="000C5C2F"/>
    <w:rsid w:val="000D4410"/>
    <w:rsid w:val="000D734B"/>
    <w:rsid w:val="000E6F25"/>
    <w:rsid w:val="001055B7"/>
    <w:rsid w:val="00112844"/>
    <w:rsid w:val="001130BD"/>
    <w:rsid w:val="00114226"/>
    <w:rsid w:val="00123C70"/>
    <w:rsid w:val="001270F5"/>
    <w:rsid w:val="001274B3"/>
    <w:rsid w:val="00132308"/>
    <w:rsid w:val="00134894"/>
    <w:rsid w:val="001371AB"/>
    <w:rsid w:val="00167D96"/>
    <w:rsid w:val="001777AE"/>
    <w:rsid w:val="00191DFF"/>
    <w:rsid w:val="00194550"/>
    <w:rsid w:val="001A64E0"/>
    <w:rsid w:val="001B439A"/>
    <w:rsid w:val="001B5F4D"/>
    <w:rsid w:val="001C0823"/>
    <w:rsid w:val="001D0189"/>
    <w:rsid w:val="001E3397"/>
    <w:rsid w:val="001E6C70"/>
    <w:rsid w:val="001E6C85"/>
    <w:rsid w:val="001F7997"/>
    <w:rsid w:val="00226732"/>
    <w:rsid w:val="00231DA7"/>
    <w:rsid w:val="00232BBA"/>
    <w:rsid w:val="00244533"/>
    <w:rsid w:val="00244FCD"/>
    <w:rsid w:val="002472B1"/>
    <w:rsid w:val="002513D9"/>
    <w:rsid w:val="002575D6"/>
    <w:rsid w:val="00257A7E"/>
    <w:rsid w:val="00260F52"/>
    <w:rsid w:val="00286CB3"/>
    <w:rsid w:val="00291C6E"/>
    <w:rsid w:val="002956E9"/>
    <w:rsid w:val="002C44B1"/>
    <w:rsid w:val="002C5D97"/>
    <w:rsid w:val="002C7C71"/>
    <w:rsid w:val="002D18CD"/>
    <w:rsid w:val="002D1C8C"/>
    <w:rsid w:val="002D2A17"/>
    <w:rsid w:val="002D7217"/>
    <w:rsid w:val="002E235F"/>
    <w:rsid w:val="002E2CAC"/>
    <w:rsid w:val="002E74C2"/>
    <w:rsid w:val="002F4F75"/>
    <w:rsid w:val="00307284"/>
    <w:rsid w:val="00320C17"/>
    <w:rsid w:val="00322C9C"/>
    <w:rsid w:val="003415A2"/>
    <w:rsid w:val="00346F06"/>
    <w:rsid w:val="003479DD"/>
    <w:rsid w:val="003536C4"/>
    <w:rsid w:val="0036401C"/>
    <w:rsid w:val="0036405C"/>
    <w:rsid w:val="00366725"/>
    <w:rsid w:val="003714E6"/>
    <w:rsid w:val="00380A7F"/>
    <w:rsid w:val="00383157"/>
    <w:rsid w:val="00384F16"/>
    <w:rsid w:val="003873FF"/>
    <w:rsid w:val="00394624"/>
    <w:rsid w:val="0039464D"/>
    <w:rsid w:val="00397201"/>
    <w:rsid w:val="003B7A3B"/>
    <w:rsid w:val="003C2104"/>
    <w:rsid w:val="003C7570"/>
    <w:rsid w:val="003D0B2C"/>
    <w:rsid w:val="003D5230"/>
    <w:rsid w:val="003D7C22"/>
    <w:rsid w:val="003E2841"/>
    <w:rsid w:val="003F1D19"/>
    <w:rsid w:val="004019B0"/>
    <w:rsid w:val="00407D5C"/>
    <w:rsid w:val="00410212"/>
    <w:rsid w:val="00412C86"/>
    <w:rsid w:val="0042535F"/>
    <w:rsid w:val="0042575E"/>
    <w:rsid w:val="004377DA"/>
    <w:rsid w:val="00444465"/>
    <w:rsid w:val="004561DB"/>
    <w:rsid w:val="004571AC"/>
    <w:rsid w:val="0047693A"/>
    <w:rsid w:val="00476A7C"/>
    <w:rsid w:val="0048135B"/>
    <w:rsid w:val="00482FA8"/>
    <w:rsid w:val="00493FC0"/>
    <w:rsid w:val="00494B3C"/>
    <w:rsid w:val="004B4B10"/>
    <w:rsid w:val="004C1C81"/>
    <w:rsid w:val="004C5522"/>
    <w:rsid w:val="004D328A"/>
    <w:rsid w:val="004E3BBF"/>
    <w:rsid w:val="004E50D7"/>
    <w:rsid w:val="004F736E"/>
    <w:rsid w:val="005023A9"/>
    <w:rsid w:val="0050449A"/>
    <w:rsid w:val="005073E9"/>
    <w:rsid w:val="005207B1"/>
    <w:rsid w:val="00520F6B"/>
    <w:rsid w:val="00535AA6"/>
    <w:rsid w:val="00541B8E"/>
    <w:rsid w:val="005578AD"/>
    <w:rsid w:val="00564B97"/>
    <w:rsid w:val="0056503F"/>
    <w:rsid w:val="00574876"/>
    <w:rsid w:val="00575F35"/>
    <w:rsid w:val="00580176"/>
    <w:rsid w:val="00590EDC"/>
    <w:rsid w:val="005A0462"/>
    <w:rsid w:val="005C08C0"/>
    <w:rsid w:val="005C470F"/>
    <w:rsid w:val="005D583C"/>
    <w:rsid w:val="005D6F15"/>
    <w:rsid w:val="005F0F53"/>
    <w:rsid w:val="00603D10"/>
    <w:rsid w:val="006053AF"/>
    <w:rsid w:val="00623FA9"/>
    <w:rsid w:val="00625989"/>
    <w:rsid w:val="006300ED"/>
    <w:rsid w:val="00635A6B"/>
    <w:rsid w:val="006402E8"/>
    <w:rsid w:val="00652F18"/>
    <w:rsid w:val="006602E9"/>
    <w:rsid w:val="0066132E"/>
    <w:rsid w:val="00665D65"/>
    <w:rsid w:val="0067247D"/>
    <w:rsid w:val="006745F8"/>
    <w:rsid w:val="00677B9A"/>
    <w:rsid w:val="00690CBB"/>
    <w:rsid w:val="006A36B3"/>
    <w:rsid w:val="006A7D4F"/>
    <w:rsid w:val="006B5443"/>
    <w:rsid w:val="006C4760"/>
    <w:rsid w:val="006C6B06"/>
    <w:rsid w:val="00706F12"/>
    <w:rsid w:val="00726BEC"/>
    <w:rsid w:val="0073062E"/>
    <w:rsid w:val="00732C10"/>
    <w:rsid w:val="0073386E"/>
    <w:rsid w:val="00742BFB"/>
    <w:rsid w:val="00743065"/>
    <w:rsid w:val="00751195"/>
    <w:rsid w:val="007546D2"/>
    <w:rsid w:val="00770A5F"/>
    <w:rsid w:val="00774FAB"/>
    <w:rsid w:val="00781CD2"/>
    <w:rsid w:val="00792010"/>
    <w:rsid w:val="007A1F2F"/>
    <w:rsid w:val="007A3045"/>
    <w:rsid w:val="007B2F09"/>
    <w:rsid w:val="007B5E86"/>
    <w:rsid w:val="007C42FB"/>
    <w:rsid w:val="007D7514"/>
    <w:rsid w:val="007D7D27"/>
    <w:rsid w:val="007E34FF"/>
    <w:rsid w:val="007F2869"/>
    <w:rsid w:val="007F4499"/>
    <w:rsid w:val="007F5319"/>
    <w:rsid w:val="00800D23"/>
    <w:rsid w:val="00806C9A"/>
    <w:rsid w:val="00812E63"/>
    <w:rsid w:val="008144CE"/>
    <w:rsid w:val="00821D5B"/>
    <w:rsid w:val="00827132"/>
    <w:rsid w:val="00830DFD"/>
    <w:rsid w:val="00831BC0"/>
    <w:rsid w:val="00831E37"/>
    <w:rsid w:val="0084182B"/>
    <w:rsid w:val="00842DAB"/>
    <w:rsid w:val="00843417"/>
    <w:rsid w:val="00845D4F"/>
    <w:rsid w:val="00846858"/>
    <w:rsid w:val="008530CF"/>
    <w:rsid w:val="008544DE"/>
    <w:rsid w:val="008607E3"/>
    <w:rsid w:val="00860BED"/>
    <w:rsid w:val="00872B69"/>
    <w:rsid w:val="0087465B"/>
    <w:rsid w:val="00882F5A"/>
    <w:rsid w:val="00884984"/>
    <w:rsid w:val="008943F6"/>
    <w:rsid w:val="008977E5"/>
    <w:rsid w:val="008A34BF"/>
    <w:rsid w:val="008A7618"/>
    <w:rsid w:val="008B7DD7"/>
    <w:rsid w:val="008C4D09"/>
    <w:rsid w:val="008D0692"/>
    <w:rsid w:val="008D7170"/>
    <w:rsid w:val="008F0395"/>
    <w:rsid w:val="008F12AB"/>
    <w:rsid w:val="008F5356"/>
    <w:rsid w:val="008F7CC0"/>
    <w:rsid w:val="00905F1D"/>
    <w:rsid w:val="00906335"/>
    <w:rsid w:val="0091036B"/>
    <w:rsid w:val="0091327E"/>
    <w:rsid w:val="00913C44"/>
    <w:rsid w:val="00924E3A"/>
    <w:rsid w:val="009301E5"/>
    <w:rsid w:val="00930346"/>
    <w:rsid w:val="00932402"/>
    <w:rsid w:val="00932915"/>
    <w:rsid w:val="00937415"/>
    <w:rsid w:val="00941AD7"/>
    <w:rsid w:val="00943CF8"/>
    <w:rsid w:val="0097195D"/>
    <w:rsid w:val="009A1034"/>
    <w:rsid w:val="009A1F66"/>
    <w:rsid w:val="009A6A70"/>
    <w:rsid w:val="009B35B4"/>
    <w:rsid w:val="009D00FE"/>
    <w:rsid w:val="009D2936"/>
    <w:rsid w:val="009D495E"/>
    <w:rsid w:val="009D6610"/>
    <w:rsid w:val="009E0B1A"/>
    <w:rsid w:val="009E3BA4"/>
    <w:rsid w:val="009E5D95"/>
    <w:rsid w:val="009E5DD0"/>
    <w:rsid w:val="00A05BEF"/>
    <w:rsid w:val="00A0726E"/>
    <w:rsid w:val="00A10334"/>
    <w:rsid w:val="00A5302D"/>
    <w:rsid w:val="00A562E3"/>
    <w:rsid w:val="00A67954"/>
    <w:rsid w:val="00A80F08"/>
    <w:rsid w:val="00A8188E"/>
    <w:rsid w:val="00A82F6C"/>
    <w:rsid w:val="00A8563B"/>
    <w:rsid w:val="00A86241"/>
    <w:rsid w:val="00A939F5"/>
    <w:rsid w:val="00A97709"/>
    <w:rsid w:val="00A97CD8"/>
    <w:rsid w:val="00AA7FA2"/>
    <w:rsid w:val="00AB42C5"/>
    <w:rsid w:val="00AC0781"/>
    <w:rsid w:val="00AC40F4"/>
    <w:rsid w:val="00AC4D7C"/>
    <w:rsid w:val="00AC6251"/>
    <w:rsid w:val="00AD3B25"/>
    <w:rsid w:val="00AD48FE"/>
    <w:rsid w:val="00AD5FEC"/>
    <w:rsid w:val="00AE0F51"/>
    <w:rsid w:val="00AE6162"/>
    <w:rsid w:val="00AF1FD9"/>
    <w:rsid w:val="00AF2283"/>
    <w:rsid w:val="00AF7E70"/>
    <w:rsid w:val="00B00325"/>
    <w:rsid w:val="00B00CC8"/>
    <w:rsid w:val="00B01BFB"/>
    <w:rsid w:val="00B07C36"/>
    <w:rsid w:val="00B2258E"/>
    <w:rsid w:val="00B2795C"/>
    <w:rsid w:val="00B402B3"/>
    <w:rsid w:val="00B42B96"/>
    <w:rsid w:val="00B44A49"/>
    <w:rsid w:val="00B44F58"/>
    <w:rsid w:val="00B61333"/>
    <w:rsid w:val="00B65DAF"/>
    <w:rsid w:val="00B728F9"/>
    <w:rsid w:val="00B91DD3"/>
    <w:rsid w:val="00B948BA"/>
    <w:rsid w:val="00B97260"/>
    <w:rsid w:val="00BB1EA1"/>
    <w:rsid w:val="00BC7A1E"/>
    <w:rsid w:val="00BF37FD"/>
    <w:rsid w:val="00C0171B"/>
    <w:rsid w:val="00C2070F"/>
    <w:rsid w:val="00C25534"/>
    <w:rsid w:val="00C60F55"/>
    <w:rsid w:val="00C628A4"/>
    <w:rsid w:val="00C6594F"/>
    <w:rsid w:val="00C65E0F"/>
    <w:rsid w:val="00C75777"/>
    <w:rsid w:val="00C76D3C"/>
    <w:rsid w:val="00C8080C"/>
    <w:rsid w:val="00C83677"/>
    <w:rsid w:val="00C90704"/>
    <w:rsid w:val="00CB3113"/>
    <w:rsid w:val="00CB48AD"/>
    <w:rsid w:val="00CB72EF"/>
    <w:rsid w:val="00CD211C"/>
    <w:rsid w:val="00CD4166"/>
    <w:rsid w:val="00CF1B4D"/>
    <w:rsid w:val="00CF5CA4"/>
    <w:rsid w:val="00D0567F"/>
    <w:rsid w:val="00D45F15"/>
    <w:rsid w:val="00D47575"/>
    <w:rsid w:val="00D56F5E"/>
    <w:rsid w:val="00D67962"/>
    <w:rsid w:val="00D67AD7"/>
    <w:rsid w:val="00D7639A"/>
    <w:rsid w:val="00D765C8"/>
    <w:rsid w:val="00D904C6"/>
    <w:rsid w:val="00DA0D46"/>
    <w:rsid w:val="00DA20D7"/>
    <w:rsid w:val="00DA436C"/>
    <w:rsid w:val="00DC4976"/>
    <w:rsid w:val="00DE4915"/>
    <w:rsid w:val="00DF221C"/>
    <w:rsid w:val="00E07B9F"/>
    <w:rsid w:val="00E24221"/>
    <w:rsid w:val="00E25BC7"/>
    <w:rsid w:val="00E32F44"/>
    <w:rsid w:val="00E34E55"/>
    <w:rsid w:val="00E426A5"/>
    <w:rsid w:val="00E458B2"/>
    <w:rsid w:val="00E50530"/>
    <w:rsid w:val="00E66D7A"/>
    <w:rsid w:val="00E708DE"/>
    <w:rsid w:val="00E73E05"/>
    <w:rsid w:val="00E804AE"/>
    <w:rsid w:val="00E86294"/>
    <w:rsid w:val="00E94EF3"/>
    <w:rsid w:val="00E970AE"/>
    <w:rsid w:val="00EB7AA4"/>
    <w:rsid w:val="00EC5684"/>
    <w:rsid w:val="00ED1853"/>
    <w:rsid w:val="00ED1CF8"/>
    <w:rsid w:val="00ED58BA"/>
    <w:rsid w:val="00ED6994"/>
    <w:rsid w:val="00EE3D1C"/>
    <w:rsid w:val="00F21057"/>
    <w:rsid w:val="00F22127"/>
    <w:rsid w:val="00F57F03"/>
    <w:rsid w:val="00F61F44"/>
    <w:rsid w:val="00F641B7"/>
    <w:rsid w:val="00F70228"/>
    <w:rsid w:val="00F74A60"/>
    <w:rsid w:val="00F76051"/>
    <w:rsid w:val="00F84CAA"/>
    <w:rsid w:val="00F9137C"/>
    <w:rsid w:val="00F955F7"/>
    <w:rsid w:val="00FA02AD"/>
    <w:rsid w:val="00FA0761"/>
    <w:rsid w:val="00FB05B6"/>
    <w:rsid w:val="00FC41EC"/>
    <w:rsid w:val="00FE7CE6"/>
    <w:rsid w:val="00FF0131"/>
    <w:rsid w:val="00FF47F9"/>
    <w:rsid w:val="00FF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951B"/>
  <w15:chartTrackingRefBased/>
  <w15:docId w15:val="{BBD5C944-0E37-C549-88F8-DE7671ED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3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90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C6"/>
    <w:rPr>
      <w:rFonts w:eastAsiaTheme="majorEastAsia" w:cstheme="majorBidi"/>
      <w:color w:val="272727" w:themeColor="text1" w:themeTint="D8"/>
    </w:rPr>
  </w:style>
  <w:style w:type="paragraph" w:styleId="Title">
    <w:name w:val="Title"/>
    <w:basedOn w:val="Normal"/>
    <w:next w:val="Normal"/>
    <w:link w:val="TitleChar"/>
    <w:uiPriority w:val="10"/>
    <w:qFormat/>
    <w:rsid w:val="00D90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4C6"/>
    <w:rPr>
      <w:i/>
      <w:iCs/>
      <w:color w:val="404040" w:themeColor="text1" w:themeTint="BF"/>
    </w:rPr>
  </w:style>
  <w:style w:type="paragraph" w:styleId="ListParagraph">
    <w:name w:val="List Paragraph"/>
    <w:basedOn w:val="Normal"/>
    <w:uiPriority w:val="34"/>
    <w:qFormat/>
    <w:rsid w:val="00D904C6"/>
    <w:pPr>
      <w:ind w:left="720"/>
      <w:contextualSpacing/>
    </w:pPr>
  </w:style>
  <w:style w:type="character" w:styleId="IntenseEmphasis">
    <w:name w:val="Intense Emphasis"/>
    <w:basedOn w:val="DefaultParagraphFont"/>
    <w:uiPriority w:val="21"/>
    <w:qFormat/>
    <w:rsid w:val="00D904C6"/>
    <w:rPr>
      <w:i/>
      <w:iCs/>
      <w:color w:val="0F4761" w:themeColor="accent1" w:themeShade="BF"/>
    </w:rPr>
  </w:style>
  <w:style w:type="paragraph" w:styleId="IntenseQuote">
    <w:name w:val="Intense Quote"/>
    <w:basedOn w:val="Normal"/>
    <w:next w:val="Normal"/>
    <w:link w:val="IntenseQuoteChar"/>
    <w:uiPriority w:val="30"/>
    <w:qFormat/>
    <w:rsid w:val="00D90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4C6"/>
    <w:rPr>
      <w:i/>
      <w:iCs/>
      <w:color w:val="0F4761" w:themeColor="accent1" w:themeShade="BF"/>
    </w:rPr>
  </w:style>
  <w:style w:type="character" w:styleId="IntenseReference">
    <w:name w:val="Intense Reference"/>
    <w:basedOn w:val="DefaultParagraphFont"/>
    <w:uiPriority w:val="32"/>
    <w:qFormat/>
    <w:rsid w:val="00D904C6"/>
    <w:rPr>
      <w:b/>
      <w:bCs/>
      <w:smallCaps/>
      <w:color w:val="0F4761" w:themeColor="accent1" w:themeShade="BF"/>
      <w:spacing w:val="5"/>
    </w:rPr>
  </w:style>
  <w:style w:type="paragraph" w:styleId="Bibliography">
    <w:name w:val="Bibliography"/>
    <w:basedOn w:val="Normal"/>
    <w:next w:val="Normal"/>
    <w:uiPriority w:val="37"/>
    <w:unhideWhenUsed/>
    <w:rsid w:val="00A82F6C"/>
    <w:pPr>
      <w:tabs>
        <w:tab w:val="left" w:pos="380"/>
      </w:tabs>
      <w:ind w:left="384" w:hanging="384"/>
    </w:pPr>
  </w:style>
  <w:style w:type="table" w:styleId="TableGrid">
    <w:name w:val="Table Grid"/>
    <w:basedOn w:val="TableNormal"/>
    <w:uiPriority w:val="39"/>
    <w:rsid w:val="00A0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75D6"/>
  </w:style>
  <w:style w:type="character" w:styleId="CommentReference">
    <w:name w:val="annotation reference"/>
    <w:basedOn w:val="DefaultParagraphFont"/>
    <w:uiPriority w:val="99"/>
    <w:semiHidden/>
    <w:unhideWhenUsed/>
    <w:rsid w:val="002575D6"/>
    <w:rPr>
      <w:sz w:val="16"/>
      <w:szCs w:val="16"/>
    </w:rPr>
  </w:style>
  <w:style w:type="paragraph" w:styleId="CommentText">
    <w:name w:val="annotation text"/>
    <w:basedOn w:val="Normal"/>
    <w:link w:val="CommentTextChar"/>
    <w:uiPriority w:val="99"/>
    <w:unhideWhenUsed/>
    <w:rsid w:val="002575D6"/>
    <w:rPr>
      <w:sz w:val="20"/>
      <w:szCs w:val="20"/>
    </w:rPr>
  </w:style>
  <w:style w:type="character" w:customStyle="1" w:styleId="CommentTextChar">
    <w:name w:val="Comment Text Char"/>
    <w:basedOn w:val="DefaultParagraphFont"/>
    <w:link w:val="CommentText"/>
    <w:uiPriority w:val="99"/>
    <w:rsid w:val="002575D6"/>
    <w:rPr>
      <w:sz w:val="20"/>
      <w:szCs w:val="20"/>
    </w:rPr>
  </w:style>
  <w:style w:type="paragraph" w:styleId="CommentSubject">
    <w:name w:val="annotation subject"/>
    <w:basedOn w:val="CommentText"/>
    <w:next w:val="CommentText"/>
    <w:link w:val="CommentSubjectChar"/>
    <w:uiPriority w:val="99"/>
    <w:semiHidden/>
    <w:unhideWhenUsed/>
    <w:rsid w:val="002575D6"/>
    <w:rPr>
      <w:b/>
      <w:bCs/>
    </w:rPr>
  </w:style>
  <w:style w:type="character" w:customStyle="1" w:styleId="CommentSubjectChar">
    <w:name w:val="Comment Subject Char"/>
    <w:basedOn w:val="CommentTextChar"/>
    <w:link w:val="CommentSubject"/>
    <w:uiPriority w:val="99"/>
    <w:semiHidden/>
    <w:rsid w:val="002575D6"/>
    <w:rPr>
      <w:b/>
      <w:bCs/>
      <w:sz w:val="20"/>
      <w:szCs w:val="20"/>
    </w:rPr>
  </w:style>
  <w:style w:type="paragraph" w:styleId="NormalWeb">
    <w:name w:val="Normal (Web)"/>
    <w:basedOn w:val="Normal"/>
    <w:uiPriority w:val="99"/>
    <w:unhideWhenUsed/>
    <w:rsid w:val="00B61333"/>
    <w:pPr>
      <w:spacing w:before="100" w:beforeAutospacing="1" w:after="100" w:afterAutospacing="1"/>
    </w:pPr>
  </w:style>
  <w:style w:type="character" w:styleId="Strong">
    <w:name w:val="Strong"/>
    <w:basedOn w:val="DefaultParagraphFont"/>
    <w:uiPriority w:val="22"/>
    <w:qFormat/>
    <w:rsid w:val="00B61333"/>
    <w:rPr>
      <w:b/>
      <w:bCs/>
    </w:rPr>
  </w:style>
  <w:style w:type="paragraph" w:styleId="Header">
    <w:name w:val="header"/>
    <w:basedOn w:val="Normal"/>
    <w:link w:val="HeaderChar"/>
    <w:uiPriority w:val="99"/>
    <w:unhideWhenUsed/>
    <w:rsid w:val="00B61333"/>
    <w:pPr>
      <w:tabs>
        <w:tab w:val="center" w:pos="4513"/>
        <w:tab w:val="right" w:pos="9026"/>
      </w:tabs>
    </w:pPr>
  </w:style>
  <w:style w:type="character" w:customStyle="1" w:styleId="HeaderChar">
    <w:name w:val="Header Char"/>
    <w:basedOn w:val="DefaultParagraphFont"/>
    <w:link w:val="Header"/>
    <w:uiPriority w:val="99"/>
    <w:rsid w:val="00B6133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61333"/>
    <w:pPr>
      <w:tabs>
        <w:tab w:val="center" w:pos="4513"/>
        <w:tab w:val="right" w:pos="9026"/>
      </w:tabs>
    </w:pPr>
  </w:style>
  <w:style w:type="character" w:customStyle="1" w:styleId="FooterChar">
    <w:name w:val="Footer Char"/>
    <w:basedOn w:val="DefaultParagraphFont"/>
    <w:link w:val="Footer"/>
    <w:uiPriority w:val="99"/>
    <w:rsid w:val="00B61333"/>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1312">
      <w:bodyDiv w:val="1"/>
      <w:marLeft w:val="0"/>
      <w:marRight w:val="0"/>
      <w:marTop w:val="0"/>
      <w:marBottom w:val="0"/>
      <w:divBdr>
        <w:top w:val="none" w:sz="0" w:space="0" w:color="auto"/>
        <w:left w:val="none" w:sz="0" w:space="0" w:color="auto"/>
        <w:bottom w:val="none" w:sz="0" w:space="0" w:color="auto"/>
        <w:right w:val="none" w:sz="0" w:space="0" w:color="auto"/>
      </w:divBdr>
      <w:divsChild>
        <w:div w:id="1608806402">
          <w:marLeft w:val="0"/>
          <w:marRight w:val="0"/>
          <w:marTop w:val="0"/>
          <w:marBottom w:val="0"/>
          <w:divBdr>
            <w:top w:val="none" w:sz="0" w:space="0" w:color="auto"/>
            <w:left w:val="none" w:sz="0" w:space="0" w:color="auto"/>
            <w:bottom w:val="none" w:sz="0" w:space="0" w:color="auto"/>
            <w:right w:val="none" w:sz="0" w:space="0" w:color="auto"/>
          </w:divBdr>
          <w:divsChild>
            <w:div w:id="513690822">
              <w:marLeft w:val="0"/>
              <w:marRight w:val="0"/>
              <w:marTop w:val="0"/>
              <w:marBottom w:val="0"/>
              <w:divBdr>
                <w:top w:val="none" w:sz="0" w:space="0" w:color="auto"/>
                <w:left w:val="none" w:sz="0" w:space="0" w:color="auto"/>
                <w:bottom w:val="none" w:sz="0" w:space="0" w:color="auto"/>
                <w:right w:val="none" w:sz="0" w:space="0" w:color="auto"/>
              </w:divBdr>
              <w:divsChild>
                <w:div w:id="1626931337">
                  <w:marLeft w:val="0"/>
                  <w:marRight w:val="0"/>
                  <w:marTop w:val="0"/>
                  <w:marBottom w:val="0"/>
                  <w:divBdr>
                    <w:top w:val="none" w:sz="0" w:space="0" w:color="auto"/>
                    <w:left w:val="none" w:sz="0" w:space="0" w:color="auto"/>
                    <w:bottom w:val="none" w:sz="0" w:space="0" w:color="auto"/>
                    <w:right w:val="none" w:sz="0" w:space="0" w:color="auto"/>
                  </w:divBdr>
                  <w:divsChild>
                    <w:div w:id="151793780">
                      <w:marLeft w:val="0"/>
                      <w:marRight w:val="0"/>
                      <w:marTop w:val="0"/>
                      <w:marBottom w:val="0"/>
                      <w:divBdr>
                        <w:top w:val="none" w:sz="0" w:space="0" w:color="auto"/>
                        <w:left w:val="none" w:sz="0" w:space="0" w:color="auto"/>
                        <w:bottom w:val="none" w:sz="0" w:space="0" w:color="auto"/>
                        <w:right w:val="none" w:sz="0" w:space="0" w:color="auto"/>
                      </w:divBdr>
                      <w:divsChild>
                        <w:div w:id="881868561">
                          <w:marLeft w:val="0"/>
                          <w:marRight w:val="0"/>
                          <w:marTop w:val="0"/>
                          <w:marBottom w:val="0"/>
                          <w:divBdr>
                            <w:top w:val="none" w:sz="0" w:space="0" w:color="auto"/>
                            <w:left w:val="none" w:sz="0" w:space="0" w:color="auto"/>
                            <w:bottom w:val="none" w:sz="0" w:space="0" w:color="auto"/>
                            <w:right w:val="none" w:sz="0" w:space="0" w:color="auto"/>
                          </w:divBdr>
                          <w:divsChild>
                            <w:div w:id="11488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11226</Words>
  <Characters>63989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Colwill</dc:creator>
  <cp:keywords/>
  <dc:description/>
  <cp:lastModifiedBy>Michael Colwill</cp:lastModifiedBy>
  <cp:revision>3</cp:revision>
  <dcterms:created xsi:type="dcterms:W3CDTF">2025-06-03T11:11:00Z</dcterms:created>
  <dcterms:modified xsi:type="dcterms:W3CDTF">2025-06-03T14:28:00Z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id="kVr5aEFM"/&gt;&lt;style id="http://www.zotero.org/styles/elsevier-vancouver" hasBibliography="1" bibliographyStyleHasBeenSet="1"/&gt;&lt;prefs&gt;&lt;pref name="fieldType" value="Field"/&gt;&lt;/prefs&gt;&lt;/data&gt;</vt:lpwstr>
  </property>
</Properties>
</file>