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6569" w14:textId="77777777" w:rsidR="00984625" w:rsidRDefault="00984625" w:rsidP="00984625">
      <w:pPr>
        <w:jc w:val="both"/>
        <w:rPr>
          <w:rFonts w:eastAsiaTheme="minorEastAsia" w:hAnsi="Calibri"/>
          <w:color w:val="000000" w:themeColor="text1"/>
          <w:kern w:val="24"/>
          <w:sz w:val="18"/>
          <w:szCs w:val="18"/>
        </w:rPr>
      </w:pPr>
      <w:r w:rsidRPr="00CC2308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Supplementary Fig 1.</w:t>
      </w:r>
      <w:r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</w:t>
      </w:r>
      <w:r w:rsidRPr="00A07C2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(A)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Additional fluorescence microscopy images confirming the expression of HER2 protein in both cell types, with secondary antibody only staining (2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°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only control) used as a control to check if cells are autofluorescence. HER2 protein. 20x magnification. Scale bars: 50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μ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m. Images were analysed using </w:t>
      </w:r>
      <w:proofErr w:type="spellStart"/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imageJ</w:t>
      </w:r>
      <w:proofErr w:type="spellEnd"/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. Background subtraction was applied using a rolling ball radius of 50 pixels, followed by automatic brightness adjustment. A threshold was set to highlight HER2-positive regions (red), and the 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‘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analyse particles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’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function was used to identify and quantify these regions. Mean fluorescence intensities were extracted, grouped by cell type, and analysed in GraphPad Prism. An unpaired t-test with Welch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>’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s correction (accounting for unequal variances) revealed a significant difference in HER2 expression between groups (p &lt; 0.0001, two-tailed). Data represent individual HER2-positive regions: n = 79 for parental cells and n = 31 for lapatinib-resistant cells. </w:t>
      </w:r>
      <w:r w:rsidRPr="00A07C2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(B)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The representative insert size distribution demonstrates clear modulation of the signal, with distinct peaks corresponding to both mono-nucleosomes and di-nucleosomes, indicating well-defined nucleosome positioning. </w:t>
      </w:r>
      <w:r w:rsidRPr="00A07C2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(C)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Representative plot of aggregate signal around transcription start sites (TSS) shows strong enrichment of reads near TSS regions. </w:t>
      </w:r>
      <w:r w:rsidRPr="00A07C2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(D)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Correlation of chromatin accessibility between different cell lines and across technical replicates. </w:t>
      </w:r>
      <w:r w:rsidRPr="00A07C2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(E)</w:t>
      </w:r>
      <w:r w:rsidRPr="00CC2308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MA Plot of differential accessibility (log2 fold change in reads per accessible region) versus the mean number of reads per region, adjusted p value &lt;0.05.</w:t>
      </w:r>
    </w:p>
    <w:p w14:paraId="608E2916" w14:textId="77777777" w:rsidR="00984625" w:rsidRDefault="00984625" w:rsidP="00984625">
      <w:pPr>
        <w:jc w:val="both"/>
        <w:rPr>
          <w:rFonts w:eastAsiaTheme="minorEastAsia" w:hAnsi="Calibri"/>
          <w:color w:val="000000" w:themeColor="text1"/>
          <w:kern w:val="24"/>
          <w:sz w:val="18"/>
          <w:szCs w:val="18"/>
        </w:rPr>
      </w:pPr>
    </w:p>
    <w:p w14:paraId="5398A1B3" w14:textId="5A85D3EF" w:rsidR="00984625" w:rsidRPr="00984625" w:rsidRDefault="00984625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 xml:space="preserve">Supplementary Fig 2. </w:t>
      </w:r>
      <w:r w:rsidRPr="003528EC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 xml:space="preserve">(A) </w:t>
      </w:r>
      <w:r w:rsidRPr="003528EC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A comparison of SKBR3 SKBR3-L cell lines based on their significant differential </w:t>
      </w:r>
      <w:proofErr w:type="spellStart"/>
      <w:r w:rsidRPr="003528EC">
        <w:rPr>
          <w:rFonts w:eastAsiaTheme="minorEastAsia" w:hAnsi="Calibri"/>
          <w:color w:val="000000" w:themeColor="text1"/>
          <w:kern w:val="24"/>
          <w:sz w:val="18"/>
          <w:szCs w:val="18"/>
        </w:rPr>
        <w:t>logfold</w:t>
      </w:r>
      <w:proofErr w:type="spellEnd"/>
      <w:r w:rsidRPr="003528EC">
        <w:rPr>
          <w:rFonts w:eastAsiaTheme="minorEastAsia" w:hAnsi="Calibri"/>
          <w:color w:val="000000" w:themeColor="text1"/>
          <w:kern w:val="24"/>
          <w:sz w:val="18"/>
          <w:szCs w:val="18"/>
        </w:rPr>
        <w:t xml:space="preserve"> changes with adjusted p value of &lt; 0.05. </w:t>
      </w:r>
      <w:r w:rsidRPr="003528EC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 xml:space="preserve">(B) </w:t>
      </w:r>
      <w:r w:rsidRPr="003528EC">
        <w:rPr>
          <w:rFonts w:eastAsiaTheme="minorEastAsia" w:hAnsi="Calibri"/>
          <w:color w:val="000000" w:themeColor="text1"/>
          <w:kern w:val="24"/>
          <w:sz w:val="18"/>
          <w:szCs w:val="18"/>
        </w:rPr>
        <w:t>Distance to the nearest transcription start sites (TSSs) for all differentially accessible regions in SKBR3 and SKBR3-L cells (p value of &lt;0.05).</w:t>
      </w:r>
    </w:p>
    <w:sectPr w:rsidR="00984625" w:rsidRPr="00984625" w:rsidSect="00984625">
      <w:headerReference w:type="default" r:id="rId4"/>
      <w:footerReference w:type="even" r:id="rId5"/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74A2" w14:textId="77777777" w:rsidR="00984625" w:rsidRDefault="009846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EF9393B" w14:textId="77777777" w:rsidR="00984625" w:rsidRDefault="009846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DF93" w14:textId="77777777" w:rsidR="00984625" w:rsidRDefault="009846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4FFCEC09" w14:textId="77777777" w:rsidR="00984625" w:rsidRDefault="009846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16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374A5C" w14:textId="77777777" w:rsidR="00984625" w:rsidRDefault="009846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C7D9F" w14:textId="77777777" w:rsidR="00984625" w:rsidRDefault="00984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5"/>
    <w:rsid w:val="0078451B"/>
    <w:rsid w:val="009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CDF9"/>
  <w15:chartTrackingRefBased/>
  <w15:docId w15:val="{AB53DCF0-3A60-4225-B225-3D14DC3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25"/>
    <w:pPr>
      <w:spacing w:after="0" w:line="48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6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6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6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6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6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6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6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6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6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6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6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4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6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4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6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6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25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8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St Georges, University of London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Ateequllah Hayat</dc:creator>
  <cp:keywords/>
  <dc:description/>
  <cp:lastModifiedBy>Ateequllah Hayat</cp:lastModifiedBy>
  <cp:revision>1</cp:revision>
  <dcterms:created xsi:type="dcterms:W3CDTF">2025-08-15T11:12:00Z</dcterms:created>
  <dcterms:modified xsi:type="dcterms:W3CDTF">2025-08-15T11:13:00Z</dcterms:modified>
</cp:coreProperties>
</file>