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B817" w14:textId="408E9803" w:rsidR="00E734BB" w:rsidRPr="0063783C" w:rsidRDefault="00C34C0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60450237"/>
      <w:bookmarkEnd w:id="0"/>
      <w:r w:rsidRPr="0063783C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SUPPLEMENTARY</w:t>
      </w:r>
      <w:r w:rsidR="00B639BD" w:rsidRPr="006378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APPENDIX</w:t>
      </w:r>
    </w:p>
    <w:p w14:paraId="4771A503" w14:textId="77777777" w:rsidR="00B639BD" w:rsidRPr="0063783C" w:rsidRDefault="00B639B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BA4E72" w14:textId="5F6E7956" w:rsidR="00D317D1" w:rsidRPr="0063783C" w:rsidRDefault="00D317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1. Variables included </w:t>
      </w:r>
      <w:r w:rsidR="00E47841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in each frailty domain of the HFA</w:t>
      </w:r>
      <w:r w:rsidR="00F007AE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-ESC</w:t>
      </w:r>
      <w:r w:rsidR="00E47841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2019 definition</w:t>
      </w:r>
      <w:r w:rsidR="00F007AE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in the frailty index.</w:t>
      </w:r>
    </w:p>
    <w:tbl>
      <w:tblPr>
        <w:tblStyle w:val="Grigliatabella"/>
        <w:tblW w:w="9771" w:type="dxa"/>
        <w:jc w:val="center"/>
        <w:tblLook w:val="04A0" w:firstRow="1" w:lastRow="0" w:firstColumn="1" w:lastColumn="0" w:noHBand="0" w:noVBand="1"/>
      </w:tblPr>
      <w:tblGrid>
        <w:gridCol w:w="4957"/>
        <w:gridCol w:w="4814"/>
      </w:tblGrid>
      <w:tr w:rsidR="0063783C" w:rsidRPr="0063783C" w14:paraId="0CCEEAB9" w14:textId="77777777" w:rsidTr="00A71AC5">
        <w:trPr>
          <w:jc w:val="center"/>
        </w:trPr>
        <w:tc>
          <w:tcPr>
            <w:tcW w:w="4957" w:type="dxa"/>
          </w:tcPr>
          <w:p w14:paraId="02ED1E57" w14:textId="231090BE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Hlk160451515"/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HFA</w:t>
            </w:r>
            <w:r w:rsidR="00F007AE"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-ESC</w:t>
            </w:r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2019 frailty domains</w:t>
            </w:r>
            <w:r w:rsidR="00DA2DC3"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4814" w:type="dxa"/>
          </w:tcPr>
          <w:p w14:paraId="55817E57" w14:textId="49F09506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Frailty index</w:t>
            </w:r>
            <w:r w:rsidR="00DA2DC3"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°</w:t>
            </w:r>
          </w:p>
        </w:tc>
      </w:tr>
      <w:tr w:rsidR="0063783C" w:rsidRPr="0063783C" w14:paraId="317526F9" w14:textId="24DFE879" w:rsidTr="00A71AC5">
        <w:trPr>
          <w:jc w:val="center"/>
        </w:trPr>
        <w:tc>
          <w:tcPr>
            <w:tcW w:w="4957" w:type="dxa"/>
            <w:vMerge w:val="restart"/>
          </w:tcPr>
          <w:p w14:paraId="6F0D208D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Clinical domain</w:t>
            </w:r>
          </w:p>
          <w:p w14:paraId="65A6A80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588D01C" w14:textId="0CC336F5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At least 3 comorbidities among hypertension, dyslipidemia, diabetes mellitus, peripheral artery disease, prior stroke or transie</w:t>
            </w:r>
            <w:r w:rsidR="00DA2DC3"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ischemic attack, history of atrial fibrillation, history of myocardial infarction, previous valve surgery, chronic obstructive pulmonary disease, chronic kidney disease, history of cancer</w:t>
            </w:r>
          </w:p>
          <w:p w14:paraId="2CA4AB8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54F5FE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Falls</w:t>
            </w:r>
          </w:p>
          <w:p w14:paraId="0A6DE19A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D8E4AE" w14:textId="347479A2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Cardiac cachexia</w:t>
            </w:r>
          </w:p>
        </w:tc>
        <w:tc>
          <w:tcPr>
            <w:tcW w:w="4814" w:type="dxa"/>
          </w:tcPr>
          <w:p w14:paraId="6E4ACB72" w14:textId="5C2AFF84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Hypertension</w:t>
            </w:r>
          </w:p>
        </w:tc>
      </w:tr>
      <w:tr w:rsidR="0063783C" w:rsidRPr="0063783C" w14:paraId="7A08B077" w14:textId="6490AB26" w:rsidTr="00A71AC5">
        <w:trPr>
          <w:jc w:val="center"/>
        </w:trPr>
        <w:tc>
          <w:tcPr>
            <w:tcW w:w="4957" w:type="dxa"/>
            <w:vMerge/>
          </w:tcPr>
          <w:p w14:paraId="213D183B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7664E3D6" w14:textId="2E5515D4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Dyslipidemia</w:t>
            </w:r>
          </w:p>
        </w:tc>
      </w:tr>
      <w:tr w:rsidR="0063783C" w:rsidRPr="0063783C" w14:paraId="7D149A1B" w14:textId="0B4AC2C1" w:rsidTr="00A71AC5">
        <w:trPr>
          <w:jc w:val="center"/>
        </w:trPr>
        <w:tc>
          <w:tcPr>
            <w:tcW w:w="4957" w:type="dxa"/>
            <w:vMerge/>
          </w:tcPr>
          <w:p w14:paraId="44FB8F08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A66CD9A" w14:textId="7259F1F1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Diabetes</w:t>
            </w:r>
          </w:p>
        </w:tc>
      </w:tr>
      <w:tr w:rsidR="0063783C" w:rsidRPr="0063783C" w14:paraId="1B7D9D71" w14:textId="7394C9DA" w:rsidTr="00A71AC5">
        <w:trPr>
          <w:jc w:val="center"/>
        </w:trPr>
        <w:tc>
          <w:tcPr>
            <w:tcW w:w="4957" w:type="dxa"/>
            <w:vMerge/>
          </w:tcPr>
          <w:p w14:paraId="15A110E7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1A68F4DF" w14:textId="40CFAE6B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Peripheral artery disease</w:t>
            </w:r>
          </w:p>
        </w:tc>
      </w:tr>
      <w:tr w:rsidR="0063783C" w:rsidRPr="0063783C" w14:paraId="5A084690" w14:textId="50D90FF9" w:rsidTr="00A71AC5">
        <w:trPr>
          <w:jc w:val="center"/>
        </w:trPr>
        <w:tc>
          <w:tcPr>
            <w:tcW w:w="4957" w:type="dxa"/>
            <w:vMerge/>
          </w:tcPr>
          <w:p w14:paraId="5544AC1E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D0DBAD0" w14:textId="45D1DA23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 cerebrovascular event</w:t>
            </w:r>
          </w:p>
        </w:tc>
      </w:tr>
      <w:tr w:rsidR="0063783C" w:rsidRPr="0063783C" w14:paraId="7B3A35E5" w14:textId="5CBC3F5F" w:rsidTr="00A71AC5">
        <w:trPr>
          <w:jc w:val="center"/>
        </w:trPr>
        <w:tc>
          <w:tcPr>
            <w:tcW w:w="4957" w:type="dxa"/>
            <w:vMerge/>
          </w:tcPr>
          <w:p w14:paraId="7CA9B11F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0A87F69B" w14:textId="039996AE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 atrial fibrillation</w:t>
            </w:r>
            <w:bookmarkStart w:id="2" w:name="_GoBack"/>
            <w:bookmarkEnd w:id="2"/>
          </w:p>
        </w:tc>
      </w:tr>
      <w:tr w:rsidR="0063783C" w:rsidRPr="0063783C" w14:paraId="41568AF5" w14:textId="46548E8C" w:rsidTr="00A71AC5">
        <w:trPr>
          <w:jc w:val="center"/>
        </w:trPr>
        <w:tc>
          <w:tcPr>
            <w:tcW w:w="4957" w:type="dxa"/>
            <w:vMerge/>
          </w:tcPr>
          <w:p w14:paraId="489DBD94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033297F1" w14:textId="59973563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 myocardial infarction</w:t>
            </w:r>
          </w:p>
        </w:tc>
      </w:tr>
      <w:tr w:rsidR="0063783C" w:rsidRPr="0063783C" w14:paraId="42F07C7A" w14:textId="115FDB02" w:rsidTr="00A71AC5">
        <w:trPr>
          <w:jc w:val="center"/>
        </w:trPr>
        <w:tc>
          <w:tcPr>
            <w:tcW w:w="4957" w:type="dxa"/>
            <w:vMerge/>
          </w:tcPr>
          <w:p w14:paraId="259D583B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7E577D26" w14:textId="1597DA4E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PCI or CABG</w:t>
            </w:r>
          </w:p>
        </w:tc>
      </w:tr>
      <w:tr w:rsidR="0063783C" w:rsidRPr="0063783C" w14:paraId="4EF24C9F" w14:textId="29E7F943" w:rsidTr="00A71AC5">
        <w:trPr>
          <w:jc w:val="center"/>
        </w:trPr>
        <w:tc>
          <w:tcPr>
            <w:tcW w:w="4957" w:type="dxa"/>
            <w:vMerge/>
          </w:tcPr>
          <w:p w14:paraId="0405DC83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1EE42013" w14:textId="46EEE95B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obstructive pulmonary disease</w:t>
            </w:r>
          </w:p>
        </w:tc>
      </w:tr>
      <w:tr w:rsidR="0063783C" w:rsidRPr="0063783C" w14:paraId="2645AA8D" w14:textId="49762868" w:rsidTr="00A71AC5">
        <w:trPr>
          <w:jc w:val="center"/>
        </w:trPr>
        <w:tc>
          <w:tcPr>
            <w:tcW w:w="4957" w:type="dxa"/>
            <w:vMerge/>
          </w:tcPr>
          <w:p w14:paraId="6246DCC9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40724448" w14:textId="4E1DB739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kidney disease</w:t>
            </w:r>
          </w:p>
        </w:tc>
      </w:tr>
      <w:tr w:rsidR="0063783C" w:rsidRPr="0063783C" w14:paraId="5E1375FF" w14:textId="713A1E29" w:rsidTr="00A71AC5">
        <w:trPr>
          <w:jc w:val="center"/>
        </w:trPr>
        <w:tc>
          <w:tcPr>
            <w:tcW w:w="4957" w:type="dxa"/>
            <w:vMerge/>
          </w:tcPr>
          <w:p w14:paraId="7C1DF5C2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59ACBD5C" w14:textId="7036EC9C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cancer</w:t>
            </w:r>
          </w:p>
        </w:tc>
      </w:tr>
      <w:tr w:rsidR="0063783C" w:rsidRPr="0063783C" w14:paraId="6F97C871" w14:textId="768A4F96" w:rsidTr="00A71AC5">
        <w:trPr>
          <w:jc w:val="center"/>
        </w:trPr>
        <w:tc>
          <w:tcPr>
            <w:tcW w:w="4957" w:type="dxa"/>
            <w:vMerge/>
          </w:tcPr>
          <w:p w14:paraId="13F2126D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2BA2ADBA" w14:textId="18E99029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Depressive disorder</w:t>
            </w:r>
          </w:p>
        </w:tc>
      </w:tr>
      <w:tr w:rsidR="0063783C" w:rsidRPr="0063783C" w14:paraId="1F39A28D" w14:textId="592C0D57" w:rsidTr="00A71AC5">
        <w:trPr>
          <w:jc w:val="center"/>
        </w:trPr>
        <w:tc>
          <w:tcPr>
            <w:tcW w:w="4957" w:type="dxa"/>
            <w:vMerge/>
          </w:tcPr>
          <w:p w14:paraId="15684DC1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2CF17F6D" w14:textId="2BE0B43F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Dementia</w:t>
            </w:r>
          </w:p>
        </w:tc>
      </w:tr>
      <w:tr w:rsidR="0063783C" w:rsidRPr="0063783C" w14:paraId="4AE0734D" w14:textId="0A4F1198" w:rsidTr="00A71AC5">
        <w:trPr>
          <w:jc w:val="center"/>
        </w:trPr>
        <w:tc>
          <w:tcPr>
            <w:tcW w:w="4957" w:type="dxa"/>
            <w:vMerge w:val="restart"/>
          </w:tcPr>
          <w:p w14:paraId="736B0787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domain</w:t>
            </w:r>
          </w:p>
          <w:p w14:paraId="6C0CB16A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DFF149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Absence of caregiver</w:t>
            </w:r>
          </w:p>
          <w:p w14:paraId="7DC599AD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EFBB23" w14:textId="20A5843A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Institutionalized</w:t>
            </w:r>
          </w:p>
        </w:tc>
        <w:tc>
          <w:tcPr>
            <w:tcW w:w="4814" w:type="dxa"/>
          </w:tcPr>
          <w:p w14:paraId="011DC149" w14:textId="61F9F07F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 or IADL impairment</w:t>
            </w:r>
          </w:p>
        </w:tc>
      </w:tr>
      <w:tr w:rsidR="0063783C" w:rsidRPr="0063783C" w14:paraId="4A7F1292" w14:textId="62BC7E57" w:rsidTr="00A71AC5">
        <w:trPr>
          <w:jc w:val="center"/>
        </w:trPr>
        <w:tc>
          <w:tcPr>
            <w:tcW w:w="4957" w:type="dxa"/>
            <w:vMerge/>
          </w:tcPr>
          <w:p w14:paraId="19BB76AE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1FB43B00" w14:textId="3613048D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Inability to perform exercise</w:t>
            </w:r>
          </w:p>
        </w:tc>
      </w:tr>
      <w:tr w:rsidR="0063783C" w:rsidRPr="0063783C" w14:paraId="1A27C7DC" w14:textId="012A3351" w:rsidTr="00A71AC5">
        <w:trPr>
          <w:jc w:val="center"/>
        </w:trPr>
        <w:tc>
          <w:tcPr>
            <w:tcW w:w="4957" w:type="dxa"/>
            <w:vMerge/>
          </w:tcPr>
          <w:p w14:paraId="620236AA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0640CB5D" w14:textId="7C0FF00B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Cardiac cachexia</w:t>
            </w:r>
          </w:p>
        </w:tc>
      </w:tr>
      <w:tr w:rsidR="0063783C" w:rsidRPr="0063783C" w14:paraId="10FF637B" w14:textId="40CB03B7" w:rsidTr="00A71AC5">
        <w:trPr>
          <w:jc w:val="center"/>
        </w:trPr>
        <w:tc>
          <w:tcPr>
            <w:tcW w:w="4957" w:type="dxa"/>
            <w:vMerge/>
          </w:tcPr>
          <w:p w14:paraId="07F3ACA5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032B1592" w14:textId="567C6E58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Implantable device</w:t>
            </w:r>
          </w:p>
        </w:tc>
      </w:tr>
      <w:tr w:rsidR="0063783C" w:rsidRPr="0063783C" w14:paraId="1D06AEF3" w14:textId="6E0063E2" w:rsidTr="00A71AC5">
        <w:trPr>
          <w:jc w:val="center"/>
        </w:trPr>
        <w:tc>
          <w:tcPr>
            <w:tcW w:w="4957" w:type="dxa"/>
            <w:vMerge/>
          </w:tcPr>
          <w:p w14:paraId="7FFA8AFA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09826F3" w14:textId="278C1DA0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valve interventions</w:t>
            </w:r>
          </w:p>
        </w:tc>
      </w:tr>
      <w:tr w:rsidR="0063783C" w:rsidRPr="0063783C" w14:paraId="190372C0" w14:textId="74FEFD14" w:rsidTr="00A71AC5">
        <w:trPr>
          <w:jc w:val="center"/>
        </w:trPr>
        <w:tc>
          <w:tcPr>
            <w:tcW w:w="4957" w:type="dxa"/>
            <w:vMerge w:val="restart"/>
          </w:tcPr>
          <w:p w14:paraId="08CE5AA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Psycho-cognitive domain</w:t>
            </w:r>
          </w:p>
          <w:p w14:paraId="6F7840E8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35F03BB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Depressive disorder</w:t>
            </w:r>
          </w:p>
          <w:p w14:paraId="1F1F1C17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1E32EE" w14:textId="07855B4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Cognitive impairment or dementia</w:t>
            </w:r>
          </w:p>
        </w:tc>
        <w:tc>
          <w:tcPr>
            <w:tcW w:w="4814" w:type="dxa"/>
          </w:tcPr>
          <w:p w14:paraId="247266B6" w14:textId="0B2BBCA3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 &gt;30 or &lt;18</w:t>
            </w:r>
          </w:p>
        </w:tc>
      </w:tr>
      <w:tr w:rsidR="0063783C" w:rsidRPr="0063783C" w14:paraId="0BF35A03" w14:textId="2BC3E396" w:rsidTr="00A71AC5">
        <w:trPr>
          <w:jc w:val="center"/>
        </w:trPr>
        <w:tc>
          <w:tcPr>
            <w:tcW w:w="4957" w:type="dxa"/>
            <w:vMerge/>
          </w:tcPr>
          <w:p w14:paraId="1B262F31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455E9AC" w14:textId="4E9A878F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LVEF &lt;50%</w:t>
            </w:r>
          </w:p>
        </w:tc>
      </w:tr>
      <w:tr w:rsidR="0063783C" w:rsidRPr="0063783C" w14:paraId="618463A7" w14:textId="0C166136" w:rsidTr="00A71AC5">
        <w:trPr>
          <w:jc w:val="center"/>
        </w:trPr>
        <w:tc>
          <w:tcPr>
            <w:tcW w:w="4957" w:type="dxa"/>
            <w:vMerge/>
          </w:tcPr>
          <w:p w14:paraId="7D61BEF4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11D0ED2D" w14:textId="114AB68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Thromobocytopenia</w:t>
            </w:r>
            <w:proofErr w:type="spellEnd"/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thromobocytosis</w:t>
            </w:r>
            <w:proofErr w:type="spellEnd"/>
          </w:p>
        </w:tc>
      </w:tr>
      <w:tr w:rsidR="0063783C" w:rsidRPr="0063783C" w14:paraId="0426CE85" w14:textId="6BC0FD70" w:rsidTr="00A71AC5">
        <w:trPr>
          <w:jc w:val="center"/>
        </w:trPr>
        <w:tc>
          <w:tcPr>
            <w:tcW w:w="4957" w:type="dxa"/>
            <w:vMerge/>
          </w:tcPr>
          <w:p w14:paraId="33EED5AA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2EEFE632" w14:textId="5E69A7E2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Hypo/hyperkalemia</w:t>
            </w:r>
          </w:p>
        </w:tc>
      </w:tr>
      <w:tr w:rsidR="0063783C" w:rsidRPr="0063783C" w14:paraId="5E512A04" w14:textId="369EE4FE" w:rsidTr="00A71AC5">
        <w:trPr>
          <w:jc w:val="center"/>
        </w:trPr>
        <w:tc>
          <w:tcPr>
            <w:tcW w:w="4957" w:type="dxa"/>
            <w:vMerge/>
          </w:tcPr>
          <w:p w14:paraId="2A22E60B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5FCD68E1" w14:textId="299A4F49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Hypo/hypernatremia</w:t>
            </w:r>
          </w:p>
        </w:tc>
      </w:tr>
      <w:tr w:rsidR="0063783C" w:rsidRPr="0063783C" w14:paraId="7F1FBFAF" w14:textId="580DD3F5" w:rsidTr="00A71AC5">
        <w:trPr>
          <w:jc w:val="center"/>
        </w:trPr>
        <w:tc>
          <w:tcPr>
            <w:tcW w:w="4957" w:type="dxa"/>
            <w:vMerge w:val="restart"/>
          </w:tcPr>
          <w:p w14:paraId="220B59C2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Functional domain</w:t>
            </w:r>
          </w:p>
          <w:p w14:paraId="287F2C5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1D4B64F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ADL or IADL impairment</w:t>
            </w:r>
          </w:p>
          <w:p w14:paraId="4862D11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FC1169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Balance disturbances</w:t>
            </w:r>
          </w:p>
          <w:p w14:paraId="0E34A983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D8E3EB" w14:textId="1557BB31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Inability to perform exercise</w:t>
            </w:r>
          </w:p>
        </w:tc>
        <w:tc>
          <w:tcPr>
            <w:tcW w:w="4814" w:type="dxa"/>
          </w:tcPr>
          <w:p w14:paraId="56823B72" w14:textId="016CCD2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TAPSE&lt;18 mm</w:t>
            </w:r>
          </w:p>
        </w:tc>
      </w:tr>
      <w:tr w:rsidR="0063783C" w:rsidRPr="0063783C" w14:paraId="1678E764" w14:textId="1CC8844A" w:rsidTr="00A71AC5">
        <w:trPr>
          <w:jc w:val="center"/>
        </w:trPr>
        <w:tc>
          <w:tcPr>
            <w:tcW w:w="4957" w:type="dxa"/>
            <w:vMerge/>
          </w:tcPr>
          <w:p w14:paraId="08748506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00099EA7" w14:textId="1375A035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Hemoglobin &lt;9 g/L or &gt;18 g/L</w:t>
            </w:r>
          </w:p>
        </w:tc>
      </w:tr>
      <w:tr w:rsidR="0063783C" w:rsidRPr="0063783C" w14:paraId="1F43A874" w14:textId="1B50AD91" w:rsidTr="00A71AC5">
        <w:trPr>
          <w:jc w:val="center"/>
        </w:trPr>
        <w:tc>
          <w:tcPr>
            <w:tcW w:w="4957" w:type="dxa"/>
            <w:vMerge/>
          </w:tcPr>
          <w:p w14:paraId="583AC38C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751A636" w14:textId="028913F1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Severe tricuspid regurgitation</w:t>
            </w:r>
          </w:p>
        </w:tc>
      </w:tr>
      <w:tr w:rsidR="0063783C" w:rsidRPr="0063783C" w14:paraId="417F0FB0" w14:textId="2C632204" w:rsidTr="00A71AC5">
        <w:trPr>
          <w:jc w:val="center"/>
        </w:trPr>
        <w:tc>
          <w:tcPr>
            <w:tcW w:w="4957" w:type="dxa"/>
            <w:vMerge/>
          </w:tcPr>
          <w:p w14:paraId="23092C6C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78EBC7F1" w14:textId="1A5C805D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Severe mitral regurgitation</w:t>
            </w:r>
          </w:p>
        </w:tc>
      </w:tr>
      <w:tr w:rsidR="0063783C" w:rsidRPr="0063783C" w14:paraId="2CFDDB6D" w14:textId="54AC428D" w:rsidTr="00A71AC5">
        <w:trPr>
          <w:jc w:val="center"/>
        </w:trPr>
        <w:tc>
          <w:tcPr>
            <w:tcW w:w="4957" w:type="dxa"/>
            <w:vMerge/>
          </w:tcPr>
          <w:p w14:paraId="5DA1D298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4289B997" w14:textId="6794B64D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Falls</w:t>
            </w:r>
          </w:p>
        </w:tc>
      </w:tr>
      <w:tr w:rsidR="0063783C" w:rsidRPr="0063783C" w14:paraId="6443BE3C" w14:textId="674CFC5D" w:rsidTr="00A71AC5">
        <w:trPr>
          <w:jc w:val="center"/>
        </w:trPr>
        <w:tc>
          <w:tcPr>
            <w:tcW w:w="4957" w:type="dxa"/>
            <w:vMerge/>
          </w:tcPr>
          <w:p w14:paraId="6B9F68E0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21D7A629" w14:textId="7AA9D0EB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 HF hospitalization in the last year</w:t>
            </w:r>
          </w:p>
        </w:tc>
      </w:tr>
      <w:tr w:rsidR="0063783C" w:rsidRPr="0063783C" w14:paraId="4CD17380" w14:textId="646A1ED4" w:rsidTr="00A71AC5">
        <w:trPr>
          <w:jc w:val="center"/>
        </w:trPr>
        <w:tc>
          <w:tcPr>
            <w:tcW w:w="4957" w:type="dxa"/>
            <w:vMerge/>
          </w:tcPr>
          <w:p w14:paraId="2C5C1653" w14:textId="7777777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10151469" w14:textId="032AD357" w:rsidR="00A71AC5" w:rsidRPr="0063783C" w:rsidRDefault="00A71AC5" w:rsidP="00A71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SBP at inclusion &gt;130 or &lt;90 mmHg</w:t>
            </w:r>
          </w:p>
        </w:tc>
      </w:tr>
    </w:tbl>
    <w:bookmarkEnd w:id="1"/>
    <w:p w14:paraId="33192CEA" w14:textId="3E1989C0" w:rsidR="00A71AC5" w:rsidRPr="0063783C" w:rsidRDefault="00A71AC5" w:rsidP="00E478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>*Each domain is satisfied if at least one item is present.</w:t>
      </w:r>
    </w:p>
    <w:p w14:paraId="53101BFA" w14:textId="7736873E" w:rsidR="00EC7B28" w:rsidRPr="0063783C" w:rsidRDefault="00A71AC5" w:rsidP="00E478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°</w:t>
      </w:r>
      <w:r w:rsidR="00E47841" w:rsidRPr="0063783C">
        <w:rPr>
          <w:rFonts w:ascii="Times New Roman" w:hAnsi="Times New Roman" w:cs="Times New Roman"/>
          <w:sz w:val="24"/>
          <w:szCs w:val="24"/>
          <w:lang w:val="en-US"/>
        </w:rPr>
        <w:t>Each variable gives 1 point if satisfied. The frailty index is calculated as the ratio between the actual variables present and all the variables considered (range from 0 to 1)</w:t>
      </w:r>
    </w:p>
    <w:p w14:paraId="53847D08" w14:textId="77777777" w:rsidR="00A71AC5" w:rsidRPr="0063783C" w:rsidRDefault="00A71AC5" w:rsidP="00F64A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09916F1" w14:textId="7FEA1DC1" w:rsidR="00F64A70" w:rsidRPr="0063783C" w:rsidRDefault="007868A2" w:rsidP="00F64A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2.</w:t>
      </w:r>
      <w:r w:rsidR="00F64A70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20076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Impact of the number of frailty domains fulfilled on </w:t>
      </w:r>
      <w:r w:rsidR="00F64A70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clinical outcomes, after multivariable adjustment for GDMT prescription.</w:t>
      </w:r>
    </w:p>
    <w:tbl>
      <w:tblPr>
        <w:tblW w:w="5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039"/>
        <w:gridCol w:w="1418"/>
      </w:tblGrid>
      <w:tr w:rsidR="0063783C" w:rsidRPr="0063783C" w14:paraId="7FD54AB9" w14:textId="77777777" w:rsidTr="00B639BD">
        <w:trPr>
          <w:trHeight w:val="28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C53D" w14:textId="77777777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730E" w14:textId="00D109B7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94E8" w14:textId="77777777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</w:tr>
      <w:tr w:rsidR="0063783C" w:rsidRPr="0063783C" w14:paraId="069EA394" w14:textId="77777777" w:rsidTr="00B639BD">
        <w:trPr>
          <w:trHeight w:val="28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A08A8D" w14:textId="6E6E591D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-cause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F01A11" w14:textId="19CA3BC2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1.67 (1.42 – 1.97)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24C5A8" w14:textId="77777777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</w:tr>
      <w:tr w:rsidR="0063783C" w:rsidRPr="0063783C" w14:paraId="251FDDA6" w14:textId="77777777" w:rsidTr="00B639BD">
        <w:trPr>
          <w:trHeight w:val="288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1ACE0" w14:textId="6650658D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CV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0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41C068" w14:textId="2F00D7E7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1.71 (1.41 – 2.09)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7EFDA4" w14:textId="1CB27D20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</w:tr>
      <w:tr w:rsidR="0063783C" w:rsidRPr="0063783C" w14:paraId="16AAD34F" w14:textId="77777777" w:rsidTr="00B639BD">
        <w:trPr>
          <w:trHeight w:val="288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DE1223" w14:textId="1DA63033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First HFH</w:t>
            </w:r>
          </w:p>
        </w:tc>
        <w:tc>
          <w:tcPr>
            <w:tcW w:w="20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6AB42A" w14:textId="286E1FA7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1.20 (1.03 – 1.40)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8E7505" w14:textId="3F8F84C5" w:rsidR="00085236" w:rsidRPr="0063783C" w:rsidRDefault="00085236" w:rsidP="00A2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0.02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</w:tr>
      <w:tr w:rsidR="0063783C" w:rsidRPr="0063783C" w14:paraId="2043BB6D" w14:textId="77777777" w:rsidTr="00B639BD">
        <w:trPr>
          <w:trHeight w:val="288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793021" w14:textId="00671C9A" w:rsidR="00085236" w:rsidRPr="0063783C" w:rsidRDefault="00085236" w:rsidP="000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>All-cause death or HFH</w:t>
            </w:r>
          </w:p>
        </w:tc>
        <w:tc>
          <w:tcPr>
            <w:tcW w:w="20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81ED4" w14:textId="7CED52E8" w:rsidR="00085236" w:rsidRPr="0063783C" w:rsidRDefault="00085236" w:rsidP="000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>1.40 (1.2 – 1.59)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397BC" w14:textId="0023E4EA" w:rsidR="00085236" w:rsidRPr="0063783C" w:rsidRDefault="00085236" w:rsidP="000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>&lt;0.001</w:t>
            </w:r>
          </w:p>
        </w:tc>
      </w:tr>
    </w:tbl>
    <w:p w14:paraId="20B8918F" w14:textId="520E86AF" w:rsidR="00085236" w:rsidRPr="0063783C" w:rsidRDefault="00746103" w:rsidP="00706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HR are </w:t>
      </w:r>
      <w:r w:rsidR="00C00B41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presented for each domain increase and 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adjusted for prescription of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50% target doses of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beta-blockers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, ACE-I/ARB/ARNI and </w:t>
      </w:r>
      <w:proofErr w:type="spellStart"/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>mineralcorticoid</w:t>
      </w:r>
      <w:proofErr w:type="spellEnd"/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receptor antagonists. Sub-hazard ratio</w:t>
      </w:r>
      <w:r w:rsidR="009B2E3B" w:rsidRPr="006378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are presented for HFH.</w:t>
      </w:r>
      <w:r w:rsidR="007B0A8E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>CI = confidence interval; CV = cardiovascular; GDMT = guideline directed medical therapy; HFH = heart failure hospitalization; HR = hazard ratio</w:t>
      </w:r>
    </w:p>
    <w:p w14:paraId="5A507FBF" w14:textId="08B0BD7B" w:rsidR="00C00B41" w:rsidRPr="0063783C" w:rsidRDefault="00C00B41" w:rsidP="00706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61DBCA" w14:textId="77777777" w:rsidR="00C00B41" w:rsidRPr="0063783C" w:rsidRDefault="00C00B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BDA16FD" w14:textId="77777777" w:rsidR="00706861" w:rsidRPr="0063783C" w:rsidRDefault="00706861" w:rsidP="00706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4128CC" w14:textId="25E8F051" w:rsidR="00C00B41" w:rsidRPr="0063783C" w:rsidRDefault="00C00B41" w:rsidP="00C00B4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520076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Impact of the number of frailty domains fulfilled 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on clinical outcomes, after multivariable adjustment for known modifiers.</w:t>
      </w:r>
    </w:p>
    <w:tbl>
      <w:tblPr>
        <w:tblW w:w="5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039"/>
        <w:gridCol w:w="1418"/>
      </w:tblGrid>
      <w:tr w:rsidR="0063783C" w:rsidRPr="0063783C" w14:paraId="1D79D9C6" w14:textId="77777777" w:rsidTr="00AC11BE">
        <w:trPr>
          <w:trHeight w:val="28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A1BA7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ACE3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446C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</w:tr>
      <w:tr w:rsidR="0063783C" w:rsidRPr="0063783C" w14:paraId="10E526F2" w14:textId="77777777" w:rsidTr="00AC11BE">
        <w:trPr>
          <w:trHeight w:val="28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A44231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-cause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8C33A8" w14:textId="72E7DA1B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1.45 (1.22 – 1.74)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A6966A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</w:tr>
      <w:tr w:rsidR="0063783C" w:rsidRPr="0063783C" w14:paraId="40D8DBCA" w14:textId="77777777" w:rsidTr="00AC11BE">
        <w:trPr>
          <w:trHeight w:val="288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3BB80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CV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0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0CF013" w14:textId="6CC35428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1.47 (1.19 – 1.81)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2C2D3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</w:tr>
      <w:tr w:rsidR="0063783C" w:rsidRPr="0063783C" w14:paraId="616410C2" w14:textId="77777777" w:rsidTr="00AC11BE">
        <w:trPr>
          <w:trHeight w:val="288"/>
          <w:jc w:val="center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74A4A1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First HFH</w:t>
            </w:r>
          </w:p>
        </w:tc>
        <w:tc>
          <w:tcPr>
            <w:tcW w:w="20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DCA2EF" w14:textId="3165D4D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1.17 (0.99 – 1.38)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637A9F" w14:textId="5F39FD12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0.07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</w:tr>
      <w:tr w:rsidR="0063783C" w:rsidRPr="0063783C" w14:paraId="7CEF98FF" w14:textId="77777777" w:rsidTr="00AC11BE">
        <w:trPr>
          <w:trHeight w:val="288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3CB00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>All-cause death or HFH</w:t>
            </w:r>
          </w:p>
        </w:tc>
        <w:tc>
          <w:tcPr>
            <w:tcW w:w="20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FA7BF" w14:textId="5BA21529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>1.27 (1.11 – 1.45)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3480B" w14:textId="77777777" w:rsidR="00C00B41" w:rsidRPr="0063783C" w:rsidRDefault="00C00B41" w:rsidP="00AC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>&lt;0.001</w:t>
            </w:r>
          </w:p>
        </w:tc>
      </w:tr>
    </w:tbl>
    <w:p w14:paraId="38661E39" w14:textId="231D548E" w:rsidR="00C00B41" w:rsidRPr="0063783C" w:rsidRDefault="00C00B41" w:rsidP="00C00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HR are presented for each domain increase and adjusted for known modifiers (All-cause death: </w:t>
      </w:r>
      <w:r w:rsidRPr="0063783C">
        <w:rPr>
          <w:rFonts w:ascii="Times New Roman" w:hAnsi="Times New Roman" w:cs="Times New Roman"/>
          <w:i/>
          <w:iCs/>
          <w:sz w:val="24"/>
          <w:szCs w:val="24"/>
          <w:lang w:val="en-US"/>
        </w:rPr>
        <w:t>fulfillment of the HFA-ESC definition of advanced HF, age, sex, inpatient versus outpatient status, New York Heart Association class III–IV, systolic blood pressure, heart rate and estimated glomerular filtration rate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; CV death</w:t>
      </w:r>
      <w:r w:rsidRPr="0063783C">
        <w:rPr>
          <w:rFonts w:ascii="Times New Roman" w:hAnsi="Times New Roman" w:cs="Times New Roman"/>
          <w:i/>
          <w:iCs/>
          <w:sz w:val="24"/>
          <w:szCs w:val="24"/>
          <w:lang w:val="en-US"/>
        </w:rPr>
        <w:t>: fulfillment of the HFA-ESC definition of advanced HF, age, sex, inpatient versus outpatient status, New York Heart Association class III–IV, left ventricular ejection fraction &lt;40%, systolic blood pressure, heart rate and estimated glomerular filtration rate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; First HFH: </w:t>
      </w:r>
      <w:r w:rsidRPr="0063783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fulfillment of the HFA-ESC definition of advanced HF, age, sex, history of atrial fibrillation, chronic obstructive pulmonary disease, New York Heart Association class III–IV, left ventricular ejection fraction &lt;40% and estimated glomerular filtration rate; 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all-cause death or HFH: </w:t>
      </w:r>
      <w:r w:rsidRPr="0063783C">
        <w:rPr>
          <w:rFonts w:ascii="Times New Roman" w:hAnsi="Times New Roman" w:cs="Times New Roman"/>
          <w:i/>
          <w:iCs/>
          <w:sz w:val="24"/>
          <w:szCs w:val="24"/>
          <w:lang w:val="en-US"/>
        </w:rPr>
        <w:t>fulfillment of the HFA-ESC definition of advanced HF, age, sex, inpatient versus outpatient status, New York Heart Association class III–IV, systolic blood pressure and estimated glomerular filtration rate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). Sub-hazard ratios are presented for HFH.</w:t>
      </w:r>
    </w:p>
    <w:p w14:paraId="653C53C4" w14:textId="600AE1F3" w:rsidR="00C00B41" w:rsidRPr="0063783C" w:rsidRDefault="00C00B41" w:rsidP="00C00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>CI = confidence interval; CV = cardiovascular; GDMT = guideline directed medical therapy; HFH = heart failure hospitalization; HR = hazard ratio</w:t>
      </w:r>
    </w:p>
    <w:p w14:paraId="1302C2F1" w14:textId="77777777" w:rsidR="00C00B41" w:rsidRPr="0063783C" w:rsidRDefault="00C00B41" w:rsidP="00C00B4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0B7B9B" w14:textId="77777777" w:rsidR="009B2E3B" w:rsidRPr="0063783C" w:rsidRDefault="009B2E3B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C4EA909" w14:textId="716F2DAE" w:rsidR="00B32300" w:rsidRPr="0063783C" w:rsidRDefault="00B32300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Impact of each frailty domain on clinical outcomes at </w:t>
      </w:r>
      <w:r w:rsidR="00D719A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multivariable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analysis</w:t>
      </w:r>
      <w:r w:rsidR="00D719A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11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588"/>
        <w:gridCol w:w="993"/>
        <w:gridCol w:w="1559"/>
        <w:gridCol w:w="992"/>
        <w:gridCol w:w="1701"/>
        <w:gridCol w:w="992"/>
        <w:gridCol w:w="1531"/>
        <w:gridCol w:w="994"/>
      </w:tblGrid>
      <w:tr w:rsidR="0063783C" w:rsidRPr="0063783C" w14:paraId="070A9D9E" w14:textId="77777777" w:rsidTr="00B639BD">
        <w:trPr>
          <w:trHeight w:val="288"/>
          <w:jc w:val="center"/>
        </w:trPr>
        <w:tc>
          <w:tcPr>
            <w:tcW w:w="12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7F89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6644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-cause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FAB8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CV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51A4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First HFH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D086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>All-cause death or HFH</w:t>
            </w:r>
          </w:p>
        </w:tc>
      </w:tr>
      <w:tr w:rsidR="0063783C" w:rsidRPr="0063783C" w14:paraId="3BF650E3" w14:textId="77777777" w:rsidTr="00B639BD">
        <w:trPr>
          <w:trHeight w:val="288"/>
          <w:jc w:val="center"/>
        </w:trPr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7078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7CAA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7420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DED1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E70B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7926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SHR 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6CB6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6E03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5883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</w:tr>
      <w:tr w:rsidR="0063783C" w:rsidRPr="0063783C" w14:paraId="782884DC" w14:textId="77777777" w:rsidTr="00B639BD">
        <w:trPr>
          <w:trHeight w:val="288"/>
          <w:jc w:val="center"/>
        </w:trPr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F040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Clinical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domain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B4A6" w14:textId="280E6CD9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1.43 (1.01 - 2.04)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FF45" w14:textId="7520AA9D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865" w14:textId="596255A4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51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99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- 2.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DF8" w14:textId="700B12CE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</w:t>
            </w:r>
            <w:r w:rsidR="002E79A9"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A6C9" w14:textId="7DBECEEE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0.97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89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31E0" w14:textId="6D49873C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0.0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5BCF" w14:textId="1A1A4DD5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35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(1.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1.74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CA5F" w14:textId="7AE589B9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</w:t>
            </w:r>
            <w:r w:rsidR="00520076"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D719A5"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</w:tr>
      <w:tr w:rsidR="0063783C" w:rsidRPr="0063783C" w14:paraId="1307BA51" w14:textId="77777777" w:rsidTr="00B639BD">
        <w:trPr>
          <w:trHeight w:val="288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F0C5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domain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915B" w14:textId="72D7379F" w:rsidR="00B32300" w:rsidRPr="0063783C" w:rsidRDefault="002E79A9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2.77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(1.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75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- 4.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39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717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AEAF" w14:textId="476C13C9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1.85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5.78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DE7" w14:textId="11DE7399" w:rsidR="00B32300" w:rsidRPr="0063783C" w:rsidRDefault="002E79A9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&lt;</w:t>
            </w:r>
            <w:r w:rsidR="00B32300"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0.00</w:t>
            </w: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1A59" w14:textId="3989EDBD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(0.9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2.04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A399" w14:textId="38D5FD76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0.06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E134" w14:textId="33986698" w:rsidR="00B32300" w:rsidRPr="0063783C" w:rsidRDefault="0052007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1.83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(1.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2.46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3959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</w:tr>
      <w:tr w:rsidR="0063783C" w:rsidRPr="0063783C" w14:paraId="67CD11AE" w14:textId="77777777" w:rsidTr="00B639BD">
        <w:trPr>
          <w:trHeight w:val="288"/>
          <w:jc w:val="center"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64A2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Social domain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5EF7" w14:textId="177F5FE2" w:rsidR="00B32300" w:rsidRPr="0063783C" w:rsidRDefault="002E79A9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1.31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(0.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96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- 1.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79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E179" w14:textId="522EB531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0.092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E48D" w14:textId="74243748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45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01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09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F054" w14:textId="28E9230C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B111" w14:textId="45A6C392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91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67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980B" w14:textId="5773A533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A0AF" w14:textId="4046E423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(0.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- 1.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60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265F" w14:textId="48113355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57</w:t>
            </w:r>
          </w:p>
        </w:tc>
      </w:tr>
      <w:tr w:rsidR="0063783C" w:rsidRPr="0063783C" w14:paraId="7FAA32E9" w14:textId="77777777" w:rsidTr="00B639BD">
        <w:trPr>
          <w:trHeight w:val="288"/>
          <w:jc w:val="center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C3420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Psycho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-cognitive domain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8963" w14:textId="3CD9EE2F" w:rsidR="00B32300" w:rsidRPr="0063783C" w:rsidRDefault="002E79A9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1.75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(1.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- 2.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B8C09" w14:textId="77777777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EC6B" w14:textId="1C4FEF4B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62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(1.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- 2.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33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92B9" w14:textId="1CA655F1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0.00</w:t>
            </w:r>
            <w:r w:rsidR="002E79A9"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927C" w14:textId="367FEBB2" w:rsidR="00B32300" w:rsidRPr="0063783C" w:rsidRDefault="002E79A9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0.95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(0.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68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- 1.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33</w:t>
            </w:r>
            <w:r w:rsidR="00B32300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5945" w14:textId="2E0C8B7B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</w:t>
            </w:r>
            <w:r w:rsidR="002E79A9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64B6" w14:textId="54F7C252" w:rsidR="00B32300" w:rsidRPr="0063783C" w:rsidRDefault="00B3230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 (1.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06</w:t>
            </w:r>
            <w:r w:rsidR="00D719A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20076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1.73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973F" w14:textId="4FDF0FA6" w:rsidR="00B32300" w:rsidRPr="0063783C" w:rsidRDefault="0052007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0.015</w:t>
            </w:r>
          </w:p>
        </w:tc>
      </w:tr>
    </w:tbl>
    <w:p w14:paraId="103A0223" w14:textId="77777777" w:rsidR="00706861" w:rsidRPr="0063783C" w:rsidRDefault="00D719A5" w:rsidP="00706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>In the multivariable models, each domain is adjusted for all other three domains. CI = confidence interval; CV = cardiovascular; HFH = heart failure hospitalization; HR = hazard ratio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; SHR = </w:t>
      </w:r>
      <w:proofErr w:type="spellStart"/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>subhazard</w:t>
      </w:r>
      <w:proofErr w:type="spellEnd"/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ratio</w:t>
      </w:r>
    </w:p>
    <w:p w14:paraId="2BDACAD5" w14:textId="77777777" w:rsidR="00706861" w:rsidRPr="0063783C" w:rsidRDefault="00706861" w:rsidP="007068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0540F8" w14:textId="77777777" w:rsidR="009B2E3B" w:rsidRPr="0063783C" w:rsidRDefault="009B2E3B" w:rsidP="007068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45B49A8" w14:textId="7B5C3EFF" w:rsidR="00FF7626" w:rsidRPr="0063783C" w:rsidRDefault="00D719A5" w:rsidP="007068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FF7626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Comparison between adjusted hazard ratios evaluating the independent prognostic impact of each individual domain on all-cause death.</w:t>
      </w:r>
    </w:p>
    <w:tbl>
      <w:tblPr>
        <w:tblW w:w="10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  <w:gridCol w:w="2151"/>
      </w:tblGrid>
      <w:tr w:rsidR="0063783C" w:rsidRPr="0063783C" w14:paraId="230D0E75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A79F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5ED2" w14:textId="26ACCDE3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Clinical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7309" w14:textId="4E63507C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E474" w14:textId="531388C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1B37" w14:textId="2F730B11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Psycho-cognitive </w:t>
            </w:r>
          </w:p>
        </w:tc>
      </w:tr>
      <w:tr w:rsidR="0063783C" w:rsidRPr="0063783C" w14:paraId="0F915AF1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E618" w14:textId="6B7C5DAB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Clinical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39E5D712" w14:textId="1DE73026" w:rsidR="00FF7626" w:rsidRPr="0063783C" w:rsidRDefault="00FF7626" w:rsidP="00FF7626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B825" w14:textId="731455D4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1BE8" w14:textId="7780012C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4C00" w14:textId="0F800F36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0.44</w:t>
            </w:r>
          </w:p>
        </w:tc>
      </w:tr>
      <w:tr w:rsidR="0063783C" w:rsidRPr="0063783C" w14:paraId="7CE2A3F7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9934" w14:textId="1D2268CD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0801" w14:textId="02C5BEA9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414CFD82" w14:textId="3DC5046D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01DB" w14:textId="2B3CB34A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0.004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40AE3" w14:textId="0F7F57A5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0.12</w:t>
            </w:r>
          </w:p>
        </w:tc>
      </w:tr>
      <w:tr w:rsidR="0063783C" w:rsidRPr="0063783C" w14:paraId="28A835F9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4487" w14:textId="4C1B47BB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4F1767" w14:textId="63D98E43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0.69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B9440" w14:textId="0237E1AF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0.004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noWrap/>
            <w:vAlign w:val="center"/>
          </w:tcPr>
          <w:p w14:paraId="77BD5056" w14:textId="4A47AE9A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2279D2" w14:textId="18249E19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0.17</w:t>
            </w:r>
          </w:p>
        </w:tc>
      </w:tr>
      <w:tr w:rsidR="0063783C" w:rsidRPr="0063783C" w14:paraId="06D62BF8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4C46" w14:textId="2F46CCE1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Psycho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-cognitive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7A8CF" w14:textId="32C2AD48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630FC" w14:textId="2645DA70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B82B9" w14:textId="12C8258A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F11BEEC" w14:textId="3B021E1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62A9D49" w14:textId="14543CF6" w:rsidR="007B0A8E" w:rsidRPr="0063783C" w:rsidRDefault="007B0A8E" w:rsidP="007068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>Data are presented as p-values derived from a formal test of equality. Each adjusted HR (for a specific frailty domain) was compared with all other adjusted HRs (for all other individual frailty domains). Overall p-value (for global differences between all adjusted HRs) is 0.0</w:t>
      </w:r>
      <w:r w:rsidR="00706861" w:rsidRPr="0063783C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6475B7" w14:textId="77777777" w:rsidR="00B639BD" w:rsidRPr="0063783C" w:rsidRDefault="00B639BD" w:rsidP="0070686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7307C8" w14:textId="77777777" w:rsidR="009B2E3B" w:rsidRPr="0063783C" w:rsidRDefault="009B2E3B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B4672D2" w14:textId="4AA2DC72" w:rsidR="00FF7626" w:rsidRPr="0063783C" w:rsidRDefault="00FF7626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 Comparison between adjusted hazard ratios evaluating the independent prognostic impact of each individual domain on CV death.</w:t>
      </w:r>
    </w:p>
    <w:tbl>
      <w:tblPr>
        <w:tblW w:w="10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  <w:gridCol w:w="2151"/>
      </w:tblGrid>
      <w:tr w:rsidR="0063783C" w:rsidRPr="0063783C" w14:paraId="550333C1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A3FF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794F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Clinical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6EFE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CEF3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47D3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Psycho-cognitive </w:t>
            </w:r>
          </w:p>
        </w:tc>
      </w:tr>
      <w:tr w:rsidR="0063783C" w:rsidRPr="0063783C" w14:paraId="24B7AF52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659A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Clinical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5977B3C3" w14:textId="13B217E6" w:rsidR="00FF7626" w:rsidRPr="0063783C" w:rsidRDefault="00FF7626" w:rsidP="0076296C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8328E" w14:textId="64004DFC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0.039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4EF2" w14:textId="6A2036E3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0.88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8031" w14:textId="427448B8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0.82</w:t>
            </w:r>
          </w:p>
        </w:tc>
      </w:tr>
      <w:tr w:rsidR="0063783C" w:rsidRPr="0063783C" w14:paraId="14C95C7A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9643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A4808" w14:textId="7F0F5648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447A1D84" w14:textId="324B9A1D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3D27" w14:textId="25747879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BFBB" w14:textId="2725F273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0.05</w:t>
            </w:r>
          </w:p>
        </w:tc>
      </w:tr>
      <w:tr w:rsidR="0063783C" w:rsidRPr="0063783C" w14:paraId="1B66E290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6B3F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3808D5" w14:textId="3D711FF1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0.88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B7AF04" w14:textId="5676AE0B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0.01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noWrap/>
            <w:vAlign w:val="center"/>
          </w:tcPr>
          <w:p w14:paraId="3FC20BE9" w14:textId="19640FEC" w:rsidR="00FF7626" w:rsidRPr="0063783C" w:rsidRDefault="00FF7626" w:rsidP="001B7F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4FD339" w14:textId="015CFB7F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0.65</w:t>
            </w:r>
          </w:p>
        </w:tc>
      </w:tr>
      <w:tr w:rsidR="0063783C" w:rsidRPr="0063783C" w14:paraId="24AA546E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7246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Psycho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-cognitive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2B79B" w14:textId="46F3CFC2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A766B" w14:textId="12F4D0BD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DE128" w14:textId="2E1DF718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AE37FCB" w14:textId="2EC38BDB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0E4AB4D" w14:textId="49B60D33" w:rsidR="00FF7626" w:rsidRPr="0063783C" w:rsidRDefault="007B0A8E" w:rsidP="00706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>Data are presented as p-values derived from a formal test of equality. Each adjusted HR (for a specific frailty domain) was compared with all other adjusted HRs (for all other individual frailty domains). Overall p-value (for global differences between all adjusted HRs) is 0.0</w:t>
      </w:r>
      <w:r w:rsidR="00706861" w:rsidRPr="0063783C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38C3A925" w14:textId="77777777" w:rsidR="00706861" w:rsidRPr="0063783C" w:rsidRDefault="00706861" w:rsidP="007068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FC6270" w14:textId="77777777" w:rsidR="009B2E3B" w:rsidRPr="0063783C" w:rsidRDefault="009B2E3B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070748ED" w14:textId="6159372C" w:rsidR="00FF7626" w:rsidRPr="0063783C" w:rsidRDefault="00FF7626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 Comparison</w:t>
      </w:r>
      <w:r w:rsidR="000A4FB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between adjusted hazard ratios evaluating the independent prognostic impact of each individual domain on first HFH.</w:t>
      </w:r>
    </w:p>
    <w:tbl>
      <w:tblPr>
        <w:tblW w:w="10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  <w:gridCol w:w="2151"/>
      </w:tblGrid>
      <w:tr w:rsidR="0063783C" w:rsidRPr="0063783C" w14:paraId="6135C37B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70E2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5E33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Clinical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AB09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504F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D0F4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Psycho-cognitive </w:t>
            </w:r>
          </w:p>
        </w:tc>
      </w:tr>
      <w:tr w:rsidR="0063783C" w:rsidRPr="0063783C" w14:paraId="38E6C32B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3148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Clinical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1E0481B5" w14:textId="5CDCF979" w:rsidR="00FF7626" w:rsidRPr="0063783C" w:rsidRDefault="00FF7626" w:rsidP="0076296C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0BB78" w14:textId="341BA17C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0.88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C5B6" w14:textId="6A25EA26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85CC" w14:textId="71725126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0.14</w:t>
            </w:r>
          </w:p>
        </w:tc>
      </w:tr>
      <w:tr w:rsidR="0063783C" w:rsidRPr="0063783C" w14:paraId="69DA38DE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1D38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A397" w14:textId="6B55AC2B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6853C52C" w14:textId="49A00861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29B5" w14:textId="4C4035D0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0735" w14:textId="2930AB7B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0.15</w:t>
            </w:r>
          </w:p>
        </w:tc>
      </w:tr>
      <w:tr w:rsidR="0063783C" w:rsidRPr="0063783C" w14:paraId="4440848E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9AD3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748C5C" w14:textId="6B6F7B8B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0.66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397B12" w14:textId="09CDEFD0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0.51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noWrap/>
            <w:vAlign w:val="center"/>
          </w:tcPr>
          <w:p w14:paraId="5A330641" w14:textId="3C75C465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83C599" w14:textId="666A752E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0.25</w:t>
            </w:r>
          </w:p>
        </w:tc>
      </w:tr>
      <w:tr w:rsidR="0063783C" w:rsidRPr="0063783C" w14:paraId="536BE5EA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0CBB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Psycho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-cognitive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75746" w14:textId="1E3D3DF5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BDD49" w14:textId="1424142B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536F3" w14:textId="7E46E724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319E4D0" w14:textId="0CFC3BA0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6B69D74" w14:textId="5EC18CE1" w:rsidR="007B0A8E" w:rsidRPr="0063783C" w:rsidRDefault="007B0A8E" w:rsidP="00706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Data are presented as p-values derived from a formal test of equality. Each adjusted </w:t>
      </w:r>
      <w:r w:rsidR="00706861" w:rsidRPr="006378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HR (for a specific frailty domain) was compared with all other adjusted </w:t>
      </w:r>
      <w:r w:rsidR="00706861" w:rsidRPr="006378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HRs (for all other individual frailty domains). Overall p-value (for global differences between all adjusted </w:t>
      </w:r>
      <w:r w:rsidR="00706861" w:rsidRPr="006378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HRs) is 0.</w:t>
      </w:r>
      <w:r w:rsidR="00706861" w:rsidRPr="0063783C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190A89" w14:textId="77777777" w:rsidR="00706861" w:rsidRPr="0063783C" w:rsidRDefault="00706861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6993F1" w14:textId="77777777" w:rsidR="009B2E3B" w:rsidRPr="0063783C" w:rsidRDefault="009B2E3B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6E83DF2" w14:textId="2A1F8706" w:rsidR="00FF7626" w:rsidRPr="0063783C" w:rsidRDefault="00FF7626" w:rsidP="007068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 Comparison between adjusted hazard ratios evaluating the independent prognostic impact of each individual domain on all-cause death or HFH.</w:t>
      </w:r>
    </w:p>
    <w:tbl>
      <w:tblPr>
        <w:tblW w:w="10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  <w:gridCol w:w="2151"/>
      </w:tblGrid>
      <w:tr w:rsidR="0063783C" w:rsidRPr="0063783C" w14:paraId="7055BC28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5704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EFB8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Clinical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59AF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6186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0814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Psycho-cognitive </w:t>
            </w:r>
          </w:p>
        </w:tc>
      </w:tr>
      <w:tr w:rsidR="0063783C" w:rsidRPr="0063783C" w14:paraId="6CC649B0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4305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Clinical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04B7CD4B" w14:textId="2EAA1942" w:rsidR="00FF7626" w:rsidRPr="0063783C" w:rsidRDefault="00FF7626" w:rsidP="0076296C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6BBF" w14:textId="1CC57DAF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14C63" w14:textId="1A9F0AB7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</w:t>
            </w:r>
            <w:r w:rsidR="000A4FB7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4F2D" w14:textId="36B678E5" w:rsidR="00FF7626" w:rsidRPr="0063783C" w:rsidRDefault="001B7F80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0.97</w:t>
            </w:r>
          </w:p>
        </w:tc>
      </w:tr>
      <w:tr w:rsidR="0063783C" w:rsidRPr="0063783C" w14:paraId="27DA0B95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C4B3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Functional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BFE7" w14:textId="51833D55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5769AF39" w14:textId="4E97C3E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014A" w14:textId="7704335E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36B8" w14:textId="44E73266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0.15</w:t>
            </w:r>
          </w:p>
        </w:tc>
      </w:tr>
      <w:tr w:rsidR="0063783C" w:rsidRPr="0063783C" w14:paraId="01FC9565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2BB1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Social 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C819F7" w14:textId="464FEADC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0.69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98EB87" w14:textId="787ED850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0.03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noWrap/>
            <w:vAlign w:val="center"/>
          </w:tcPr>
          <w:p w14:paraId="489068DE" w14:textId="2F436756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13E9C8" w14:textId="50939BED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0.66</w:t>
            </w:r>
          </w:p>
        </w:tc>
      </w:tr>
      <w:tr w:rsidR="0063783C" w:rsidRPr="0063783C" w14:paraId="11688F87" w14:textId="77777777" w:rsidTr="001B7F80">
        <w:trPr>
          <w:trHeight w:val="288"/>
          <w:jc w:val="center"/>
        </w:trPr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0135" w14:textId="77777777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Psycho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-cognitive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72CF7" w14:textId="5F3FE40C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0.97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4E0FD" w14:textId="48813AB4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81AE8" w14:textId="1CFA686B" w:rsidR="00FF7626" w:rsidRPr="0063783C" w:rsidRDefault="000A4FB7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0.66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28FD1DAF" w14:textId="47E00FBB" w:rsidR="00FF7626" w:rsidRPr="0063783C" w:rsidRDefault="00FF7626" w:rsidP="007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6DB64C0" w14:textId="63A30802" w:rsidR="00D719A5" w:rsidRPr="0063783C" w:rsidRDefault="007B0A8E" w:rsidP="007068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>Data are presented as p-values derived from a formal test of equality. Each adjusted HR (for a specific frailty domain) was compared with all other adjusted HRs (for all other individual frailty domains). Overall p-value (for global differences between all adjusted HRs) is 0.20.</w:t>
      </w:r>
    </w:p>
    <w:p w14:paraId="2328B577" w14:textId="77777777" w:rsidR="00706861" w:rsidRPr="0063783C" w:rsidRDefault="007068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DDD2CEB" w14:textId="09940C0A" w:rsidR="00C34C06" w:rsidRPr="0063783C" w:rsidRDefault="00C34C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2A2F67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 Impact of frailty index on clinical outcomes</w:t>
      </w:r>
      <w:r w:rsidR="00706861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992"/>
        <w:gridCol w:w="1701"/>
        <w:gridCol w:w="142"/>
        <w:gridCol w:w="851"/>
        <w:gridCol w:w="1561"/>
        <w:gridCol w:w="140"/>
        <w:gridCol w:w="992"/>
        <w:gridCol w:w="1559"/>
        <w:gridCol w:w="992"/>
      </w:tblGrid>
      <w:tr w:rsidR="0063783C" w:rsidRPr="0063783C" w14:paraId="7706C7C9" w14:textId="2E7EF67D" w:rsidTr="00B639BD">
        <w:trPr>
          <w:trHeight w:val="288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2A00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2787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All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-cause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449A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CV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death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AAA0" w14:textId="77777777" w:rsidR="00DC0988" w:rsidRPr="0063783C" w:rsidRDefault="00DC0988" w:rsidP="00DC0988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First HFH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7C2E34A" w14:textId="3950D90D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>All-cause death or HFH</w:t>
            </w:r>
          </w:p>
        </w:tc>
      </w:tr>
      <w:tr w:rsidR="0063783C" w:rsidRPr="0063783C" w14:paraId="537FA5B3" w14:textId="6A966B77" w:rsidTr="00B639BD">
        <w:trPr>
          <w:trHeight w:val="288"/>
          <w:jc w:val="center"/>
        </w:trPr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6473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887C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EEC9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8AE2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CF39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B6B8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SHR 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71CE" w14:textId="77777777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0F5D249E" w14:textId="58DAC7FA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HR 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5AF6A" w14:textId="0CBF0C03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p-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value</w:t>
            </w:r>
            <w:proofErr w:type="spellEnd"/>
          </w:p>
        </w:tc>
      </w:tr>
      <w:tr w:rsidR="0063783C" w:rsidRPr="0063783C" w14:paraId="28833E76" w14:textId="1A4740AA" w:rsidTr="00B639BD">
        <w:trPr>
          <w:trHeight w:val="288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4A20F" w14:textId="7656CADF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Frailty</w:t>
            </w:r>
            <w:proofErr w:type="spellEnd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6378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index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A1814" w14:textId="56790E72" w:rsidR="00DC0988" w:rsidRPr="0063783C" w:rsidRDefault="00C86D15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1.75 (1.52 – 2.02)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A900E" w14:textId="788FA0CC" w:rsidR="00DC0988" w:rsidRPr="0063783C" w:rsidRDefault="00C86D15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54C4B" w14:textId="439FEC00" w:rsidR="00DC0988" w:rsidRPr="0063783C" w:rsidRDefault="00C86D15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1.80 (1.51 – 2.13)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C9F9B" w14:textId="743E4035" w:rsidR="00DC0988" w:rsidRPr="0063783C" w:rsidRDefault="00C86D15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3C649" w14:textId="0A6478AF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C86D1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(1.2</w:t>
            </w:r>
            <w:r w:rsidR="00C86D1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– 1.</w:t>
            </w:r>
            <w:r w:rsidR="00C86D15"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47</w:t>
            </w: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ADB92" w14:textId="7CC270BD" w:rsidR="00DC0988" w:rsidRPr="0063783C" w:rsidRDefault="00DC0988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18604" w14:textId="78218469" w:rsidR="00DC0988" w:rsidRPr="0063783C" w:rsidRDefault="00C86D15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1.51 (1.36 – 1.68)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8745A" w14:textId="44A43C93" w:rsidR="00DC0988" w:rsidRPr="0063783C" w:rsidRDefault="00C86D15" w:rsidP="00D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78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&lt;0.001</w:t>
            </w:r>
          </w:p>
        </w:tc>
      </w:tr>
    </w:tbl>
    <w:p w14:paraId="72FFE030" w14:textId="2C0E3758" w:rsidR="00C34C06" w:rsidRPr="0063783C" w:rsidRDefault="00C34C06" w:rsidP="007068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HR 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and SHR </w:t>
      </w:r>
      <w:r w:rsidRPr="0063783C">
        <w:rPr>
          <w:rFonts w:ascii="Times New Roman" w:hAnsi="Times New Roman" w:cs="Times New Roman"/>
          <w:sz w:val="24"/>
          <w:szCs w:val="24"/>
          <w:lang w:val="en-US"/>
        </w:rPr>
        <w:t>are showed per 0.1 increase in frailty index. CI = confidence interval; CV = cardiovascular; HFH = heart failure hospitalization; HR = hazard ratio</w:t>
      </w:r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; SHR = </w:t>
      </w:r>
      <w:proofErr w:type="spellStart"/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>subhazard</w:t>
      </w:r>
      <w:proofErr w:type="spellEnd"/>
      <w:r w:rsidR="00085236" w:rsidRPr="0063783C">
        <w:rPr>
          <w:rFonts w:ascii="Times New Roman" w:hAnsi="Times New Roman" w:cs="Times New Roman"/>
          <w:sz w:val="24"/>
          <w:szCs w:val="24"/>
          <w:lang w:val="en-US"/>
        </w:rPr>
        <w:t xml:space="preserve"> ratio</w:t>
      </w:r>
    </w:p>
    <w:p w14:paraId="4DA1B302" w14:textId="77777777" w:rsidR="00050CBC" w:rsidRPr="0063783C" w:rsidRDefault="00050CBC" w:rsidP="007068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28B6AD" w14:textId="77777777" w:rsidR="00050CBC" w:rsidRPr="0063783C" w:rsidRDefault="00050CBC" w:rsidP="007068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EFD1A8" w14:textId="77777777" w:rsidR="000A4FB7" w:rsidRPr="0063783C" w:rsidRDefault="000A4FB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003428" w14:textId="77777777" w:rsidR="00706861" w:rsidRPr="0063783C" w:rsidRDefault="007068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A1E1A6E" w14:textId="6BC65D8F" w:rsidR="00050CBC" w:rsidRPr="0063783C" w:rsidRDefault="00050C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Figure </w:t>
      </w:r>
      <w:r w:rsidR="001E2891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 Frailty index distribution.</w:t>
      </w:r>
    </w:p>
    <w:p w14:paraId="3B4A1F81" w14:textId="211E5675" w:rsidR="00050CBC" w:rsidRPr="0063783C" w:rsidRDefault="00050CBC">
      <w:pPr>
        <w:rPr>
          <w:lang w:val="en-US"/>
        </w:rPr>
      </w:pPr>
      <w:r w:rsidRPr="0063783C">
        <w:rPr>
          <w:noProof/>
          <w:lang w:eastAsia="it-IT"/>
        </w:rPr>
        <w:drawing>
          <wp:inline distT="0" distB="0" distL="0" distR="0" wp14:anchorId="23E782E6" wp14:editId="55072CD2">
            <wp:extent cx="4939665" cy="3566160"/>
            <wp:effectExtent l="0" t="0" r="0" b="0"/>
            <wp:docPr id="9895764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76411" name="Immagine 98957641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b="2640"/>
                    <a:stretch/>
                  </pic:blipFill>
                  <pic:spPr bwMode="auto">
                    <a:xfrm>
                      <a:off x="0" y="0"/>
                      <a:ext cx="4940800" cy="356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62E2F" w14:textId="77777777" w:rsidR="00AF1D04" w:rsidRPr="0063783C" w:rsidRDefault="00AF1D04">
      <w:pPr>
        <w:rPr>
          <w:lang w:val="en-US"/>
        </w:rPr>
      </w:pPr>
    </w:p>
    <w:p w14:paraId="1F9CB7BD" w14:textId="57EF8BBE" w:rsidR="00AF1D04" w:rsidRPr="0063783C" w:rsidRDefault="00AF1D04">
      <w:pPr>
        <w:rPr>
          <w:lang w:val="en-US"/>
        </w:rPr>
      </w:pPr>
    </w:p>
    <w:p w14:paraId="1BD0EC04" w14:textId="77777777" w:rsidR="00AF1D04" w:rsidRPr="0063783C" w:rsidRDefault="00AF1D04">
      <w:pPr>
        <w:rPr>
          <w:lang w:val="en-US"/>
        </w:rPr>
      </w:pPr>
      <w:r w:rsidRPr="0063783C">
        <w:rPr>
          <w:lang w:val="en-US"/>
        </w:rPr>
        <w:br w:type="page"/>
      </w:r>
    </w:p>
    <w:p w14:paraId="38664086" w14:textId="1F34C247" w:rsidR="00AF1D04" w:rsidRPr="0063783C" w:rsidRDefault="00AF1D04" w:rsidP="00AF1D0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Figure 2. </w:t>
      </w:r>
      <w:r w:rsidR="00A71AC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Additional c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linical outcomes stratified by </w:t>
      </w:r>
      <w:r w:rsidR="00A71AC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(A) 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number of frailty domains fulfilled</w:t>
      </w:r>
      <w:r w:rsidR="00A71AC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 </w:t>
      </w:r>
      <w:r w:rsidR="00A71AC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(B) 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frailty quintile</w:t>
      </w:r>
      <w:r w:rsidR="00A71AC5"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63783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EB7E203" w14:textId="211F3D63" w:rsidR="00AF1D04" w:rsidRPr="0063783C" w:rsidRDefault="00AF1D04" w:rsidP="00AF1D0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04561F03" wp14:editId="2FE871EB">
            <wp:extent cx="6623032" cy="4419600"/>
            <wp:effectExtent l="0" t="0" r="6985" b="0"/>
            <wp:docPr id="1809081890" name="Immagine 1" descr="Immagine che contiene testo, diagramma, schermata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81890" name="Immagine 1" descr="Immagine che contiene testo, diagramma, schermata, Pian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2" t="3611" r="9218"/>
                    <a:stretch/>
                  </pic:blipFill>
                  <pic:spPr bwMode="auto">
                    <a:xfrm>
                      <a:off x="0" y="0"/>
                      <a:ext cx="6634589" cy="442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783C">
        <w:rPr>
          <w:rFonts w:ascii="Times New Roman" w:hAnsi="Times New Roman" w:cs="Times New Roman"/>
          <w:noProof/>
          <w:sz w:val="24"/>
          <w:szCs w:val="24"/>
          <w:lang w:val="en-US"/>
        </w:rPr>
        <w:t>A. Kaplan-Meyer curves showing the impact of the number frailty domains on cardiovascular death and HF hospitalizations. B. Kaplan-Meyer curves showing the impact of the frailty quintiles on cardiovascular death and HF hospitalizations.</w:t>
      </w:r>
    </w:p>
    <w:p w14:paraId="5F6666DA" w14:textId="77777777" w:rsidR="00AF1D04" w:rsidRPr="0063783C" w:rsidRDefault="00AF1D04" w:rsidP="00AF1D0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3783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HF = heart failure. </w:t>
      </w:r>
    </w:p>
    <w:p w14:paraId="3BB8721B" w14:textId="474EF4CF" w:rsidR="00AF1D04" w:rsidRPr="0063783C" w:rsidRDefault="00AF1D04" w:rsidP="00AF1D04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298B8A0" w14:textId="45C61E56" w:rsidR="00AF1D04" w:rsidRPr="0063783C" w:rsidRDefault="00AF1D04">
      <w:pPr>
        <w:rPr>
          <w:lang w:val="en-US"/>
        </w:rPr>
      </w:pPr>
    </w:p>
    <w:sectPr w:rsidR="00AF1D04" w:rsidRPr="00637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F9A"/>
    <w:multiLevelType w:val="hybridMultilevel"/>
    <w:tmpl w:val="9796EC9E"/>
    <w:lvl w:ilvl="0" w:tplc="1A908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FDB"/>
    <w:multiLevelType w:val="hybridMultilevel"/>
    <w:tmpl w:val="8E7CD3DC"/>
    <w:lvl w:ilvl="0" w:tplc="C1C67F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6F73"/>
    <w:multiLevelType w:val="hybridMultilevel"/>
    <w:tmpl w:val="886C0FBC"/>
    <w:lvl w:ilvl="0" w:tplc="1160DE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564B"/>
    <w:multiLevelType w:val="hybridMultilevel"/>
    <w:tmpl w:val="3E2EB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D51C6"/>
    <w:multiLevelType w:val="hybridMultilevel"/>
    <w:tmpl w:val="1548B88A"/>
    <w:lvl w:ilvl="0" w:tplc="321813C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77B5"/>
    <w:multiLevelType w:val="hybridMultilevel"/>
    <w:tmpl w:val="0F0818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542B9"/>
    <w:multiLevelType w:val="hybridMultilevel"/>
    <w:tmpl w:val="40A0C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40CB8"/>
    <w:multiLevelType w:val="hybridMultilevel"/>
    <w:tmpl w:val="535A1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43"/>
    <w:rsid w:val="00050CBC"/>
    <w:rsid w:val="00084B8D"/>
    <w:rsid w:val="00085236"/>
    <w:rsid w:val="000A4FB7"/>
    <w:rsid w:val="00175478"/>
    <w:rsid w:val="001B7F80"/>
    <w:rsid w:val="001E2891"/>
    <w:rsid w:val="002708F5"/>
    <w:rsid w:val="002A2F67"/>
    <w:rsid w:val="002D6E58"/>
    <w:rsid w:val="002E79A9"/>
    <w:rsid w:val="003E7BC6"/>
    <w:rsid w:val="00520076"/>
    <w:rsid w:val="0063783C"/>
    <w:rsid w:val="00706861"/>
    <w:rsid w:val="00746103"/>
    <w:rsid w:val="007868A2"/>
    <w:rsid w:val="007B0A8E"/>
    <w:rsid w:val="009B2E3B"/>
    <w:rsid w:val="00A71AC5"/>
    <w:rsid w:val="00AF1D04"/>
    <w:rsid w:val="00B32300"/>
    <w:rsid w:val="00B639BD"/>
    <w:rsid w:val="00B92E59"/>
    <w:rsid w:val="00BC5143"/>
    <w:rsid w:val="00C00B41"/>
    <w:rsid w:val="00C34C06"/>
    <w:rsid w:val="00C86D15"/>
    <w:rsid w:val="00CE7F71"/>
    <w:rsid w:val="00CF6CCA"/>
    <w:rsid w:val="00D317D1"/>
    <w:rsid w:val="00D719A5"/>
    <w:rsid w:val="00DA2DC3"/>
    <w:rsid w:val="00DC0988"/>
    <w:rsid w:val="00E47841"/>
    <w:rsid w:val="00E734BB"/>
    <w:rsid w:val="00EC7B28"/>
    <w:rsid w:val="00F007AE"/>
    <w:rsid w:val="00F22FF0"/>
    <w:rsid w:val="00F64A70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E784"/>
  <w15:chartTrackingRefBased/>
  <w15:docId w15:val="{4D1811F9-65D7-4AA3-BD6D-FFB9C67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Villaschi</dc:creator>
  <cp:keywords/>
  <dc:description/>
  <cp:lastModifiedBy>Utente: mchiarito - Computer: PORT01007201</cp:lastModifiedBy>
  <cp:revision>25</cp:revision>
  <dcterms:created xsi:type="dcterms:W3CDTF">2023-09-28T11:04:00Z</dcterms:created>
  <dcterms:modified xsi:type="dcterms:W3CDTF">2024-04-18T10:48:00Z</dcterms:modified>
</cp:coreProperties>
</file>