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29F4" w14:textId="6C130727" w:rsidR="007C5E33" w:rsidRPr="00D624B5" w:rsidRDefault="007C5E33" w:rsidP="00C45FBA">
      <w:pPr>
        <w:tabs>
          <w:tab w:val="left" w:pos="8054"/>
        </w:tabs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</w:t>
      </w:r>
      <w:r w:rsidR="00C45FBA"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for the </w:t>
      </w:r>
      <w:r w:rsidR="00C45FBA" w:rsidRPr="00915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Subclinical Postpartum Renal Structure Following Hypertensive Pregnancy Disorders Magnetic Resonance Study</w:t>
      </w:r>
    </w:p>
    <w:p w14:paraId="454319D8" w14:textId="1EE159E1" w:rsidR="00C45FBA" w:rsidRPr="00915AA8" w:rsidRDefault="00C45FBA" w:rsidP="00915AA8">
      <w:pPr>
        <w:tabs>
          <w:tab w:val="left" w:pos="8054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15AA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INDEX OF SUPPLEMENTARY MATERIAL</w:t>
      </w:r>
    </w:p>
    <w:p w14:paraId="484A45CB" w14:textId="55A20489" w:rsidR="00C45FBA" w:rsidRPr="00915AA8" w:rsidRDefault="00C45FBA" w:rsidP="00C45FBA">
      <w:pPr>
        <w:pStyle w:val="ListParagraph"/>
        <w:numPr>
          <w:ilvl w:val="0"/>
          <w:numId w:val="23"/>
        </w:numPr>
        <w:tabs>
          <w:tab w:val="left" w:pos="8054"/>
        </w:tabs>
        <w:spacing w:line="480" w:lineRule="auto"/>
        <w:rPr>
          <w:rFonts w:ascii="Times New Roman" w:hAnsi="Times New Roman" w:cs="Times New Roman"/>
          <w:lang w:val="en-US"/>
        </w:rPr>
      </w:pPr>
      <w:r w:rsidRPr="00915AA8">
        <w:rPr>
          <w:rFonts w:ascii="Times New Roman" w:hAnsi="Times New Roman" w:cs="Times New Roman"/>
          <w:lang w:val="en-US"/>
        </w:rPr>
        <w:t xml:space="preserve">Supplementary methods providing additional details of </w:t>
      </w:r>
      <w:r w:rsidR="00D624B5">
        <w:rPr>
          <w:rFonts w:ascii="Times New Roman" w:hAnsi="Times New Roman" w:cs="Times New Roman"/>
          <w:lang w:val="en-US"/>
        </w:rPr>
        <w:t xml:space="preserve">the </w:t>
      </w:r>
      <w:r w:rsidRPr="00915AA8">
        <w:rPr>
          <w:rFonts w:ascii="Times New Roman" w:hAnsi="Times New Roman" w:cs="Times New Roman"/>
          <w:lang w:val="en-US"/>
        </w:rPr>
        <w:t xml:space="preserve">inclusion and exclusion criteria, anthropometric measurements and </w:t>
      </w:r>
      <w:r w:rsidR="00E8613C" w:rsidRPr="00915AA8">
        <w:rPr>
          <w:rFonts w:ascii="Times New Roman" w:hAnsi="Times New Roman" w:cs="Times New Roman"/>
          <w:lang w:val="en-US"/>
        </w:rPr>
        <w:t>magnetic resonance imaging</w:t>
      </w:r>
      <w:r w:rsidRPr="00915AA8">
        <w:rPr>
          <w:rFonts w:ascii="Times New Roman" w:hAnsi="Times New Roman" w:cs="Times New Roman"/>
          <w:lang w:val="en-US"/>
        </w:rPr>
        <w:t xml:space="preserve"> acquisition</w:t>
      </w:r>
      <w:r w:rsidR="00B36498">
        <w:rPr>
          <w:rFonts w:ascii="Times New Roman" w:hAnsi="Times New Roman" w:cs="Times New Roman"/>
          <w:lang w:val="en-US"/>
        </w:rPr>
        <w:t xml:space="preserve"> protocols</w:t>
      </w:r>
      <w:r w:rsidRPr="00915AA8">
        <w:rPr>
          <w:rFonts w:ascii="Times New Roman" w:hAnsi="Times New Roman" w:cs="Times New Roman"/>
          <w:lang w:val="en-US"/>
        </w:rPr>
        <w:t>.</w:t>
      </w:r>
    </w:p>
    <w:p w14:paraId="55B60789" w14:textId="20F73F76" w:rsidR="00C45FBA" w:rsidRPr="00915AA8" w:rsidRDefault="00C45FBA" w:rsidP="00915AA8">
      <w:pPr>
        <w:pStyle w:val="ListParagraph"/>
        <w:numPr>
          <w:ilvl w:val="0"/>
          <w:numId w:val="23"/>
        </w:numPr>
        <w:tabs>
          <w:tab w:val="left" w:pos="8054"/>
        </w:tabs>
        <w:spacing w:line="480" w:lineRule="auto"/>
        <w:rPr>
          <w:rFonts w:ascii="Times New Roman" w:hAnsi="Times New Roman" w:cs="Times New Roman"/>
          <w:lang w:val="en-US"/>
        </w:rPr>
      </w:pPr>
      <w:r w:rsidRPr="00915AA8">
        <w:rPr>
          <w:rFonts w:ascii="Times New Roman" w:hAnsi="Times New Roman" w:cs="Times New Roman"/>
          <w:lang w:val="en-US"/>
        </w:rPr>
        <w:t xml:space="preserve">Figure S1: </w:t>
      </w:r>
      <w:r w:rsidRPr="00915AA8">
        <w:rPr>
          <w:rFonts w:ascii="Times New Roman" w:hAnsi="Times New Roman" w:cs="Times New Roman"/>
        </w:rPr>
        <w:t>Interobserver variability limits of agreement, tested using Bland-Altman Analysis.</w:t>
      </w:r>
    </w:p>
    <w:p w14:paraId="2448D721" w14:textId="0E6C8FED" w:rsidR="00C45FBA" w:rsidRPr="00915AA8" w:rsidRDefault="00C45FBA" w:rsidP="00C45FBA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</w:rPr>
      </w:pPr>
      <w:r w:rsidRPr="00915AA8">
        <w:rPr>
          <w:rFonts w:ascii="Times New Roman" w:hAnsi="Times New Roman" w:cs="Times New Roman"/>
          <w:lang w:val="en-US"/>
        </w:rPr>
        <w:t>Figure S</w:t>
      </w:r>
      <w:r w:rsidRPr="00915AA8">
        <w:rPr>
          <w:rFonts w:ascii="Times New Roman" w:hAnsi="Times New Roman" w:cs="Times New Roman"/>
        </w:rPr>
        <w:t>2</w:t>
      </w:r>
      <w:r w:rsidR="00B30327">
        <w:rPr>
          <w:rFonts w:ascii="Times New Roman" w:hAnsi="Times New Roman" w:cs="Times New Roman"/>
        </w:rPr>
        <w:t>:</w:t>
      </w:r>
      <w:r w:rsidRPr="00915AA8">
        <w:rPr>
          <w:rFonts w:ascii="Times New Roman" w:hAnsi="Times New Roman" w:cs="Times New Roman"/>
          <w:b/>
          <w:bCs/>
        </w:rPr>
        <w:t xml:space="preserve"> </w:t>
      </w:r>
      <w:r w:rsidRPr="00915AA8">
        <w:rPr>
          <w:rFonts w:ascii="Times New Roman" w:hAnsi="Times New Roman" w:cs="Times New Roman"/>
        </w:rPr>
        <w:t>Intra-observer variability agreement. The difference in kidney volumes over multiple days, tested using Bland-Altman analysis.</w:t>
      </w:r>
    </w:p>
    <w:p w14:paraId="68AAD406" w14:textId="14B83C26" w:rsidR="00C45FBA" w:rsidRPr="00915AA8" w:rsidRDefault="00C45FBA" w:rsidP="00C45FBA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</w:rPr>
      </w:pPr>
      <w:r w:rsidRPr="00915AA8">
        <w:rPr>
          <w:rFonts w:ascii="Times New Roman" w:hAnsi="Times New Roman" w:cs="Times New Roman"/>
        </w:rPr>
        <w:t>Figure S3</w:t>
      </w:r>
      <w:r w:rsidR="00B30327">
        <w:rPr>
          <w:rFonts w:ascii="Times New Roman" w:hAnsi="Times New Roman" w:cs="Times New Roman"/>
          <w:b/>
          <w:bCs/>
        </w:rPr>
        <w:t>:</w:t>
      </w:r>
      <w:r w:rsidRPr="00915AA8">
        <w:rPr>
          <w:rFonts w:ascii="Times New Roman" w:hAnsi="Times New Roman" w:cs="Times New Roman"/>
          <w:b/>
          <w:bCs/>
        </w:rPr>
        <w:t xml:space="preserve"> </w:t>
      </w:r>
      <w:r w:rsidRPr="00915AA8">
        <w:rPr>
          <w:rFonts w:ascii="Times New Roman" w:hAnsi="Times New Roman" w:cs="Times New Roman"/>
        </w:rPr>
        <w:t>Flowchart of the women involved in the study.</w:t>
      </w:r>
    </w:p>
    <w:p w14:paraId="5AABC42A" w14:textId="5C79431F" w:rsidR="00C45FBA" w:rsidRPr="00915AA8" w:rsidRDefault="00C45FBA" w:rsidP="00C45FBA">
      <w:pPr>
        <w:pStyle w:val="ListParagraph"/>
        <w:numPr>
          <w:ilvl w:val="0"/>
          <w:numId w:val="23"/>
        </w:numPr>
        <w:tabs>
          <w:tab w:val="left" w:pos="8054"/>
        </w:tabs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915AA8">
        <w:rPr>
          <w:rFonts w:ascii="Times New Roman" w:hAnsi="Times New Roman" w:cs="Times New Roman"/>
          <w:lang w:val="en-US"/>
        </w:rPr>
        <w:t>Figure S4</w:t>
      </w:r>
      <w:r w:rsidR="00B30327">
        <w:rPr>
          <w:rFonts w:ascii="Times New Roman" w:hAnsi="Times New Roman" w:cs="Times New Roman"/>
          <w:lang w:val="en-US"/>
        </w:rPr>
        <w:t>:</w:t>
      </w:r>
      <w:r w:rsidRPr="00915AA8">
        <w:rPr>
          <w:rFonts w:ascii="Times New Roman" w:hAnsi="Times New Roman" w:cs="Times New Roman"/>
          <w:lang w:val="en-US"/>
        </w:rPr>
        <w:t xml:space="preserve"> Linear regression models showing systolic (Panel A) and diastolic blood pressure 6-12 months postpartum (Panel B) vs total kidney volume indexed to body surface area.</w:t>
      </w:r>
    </w:p>
    <w:p w14:paraId="5C7CF26E" w14:textId="69A18702" w:rsidR="00C45FBA" w:rsidRPr="00915AA8" w:rsidRDefault="00C45FBA" w:rsidP="00C45FBA">
      <w:pPr>
        <w:pStyle w:val="ListParagraph"/>
        <w:numPr>
          <w:ilvl w:val="0"/>
          <w:numId w:val="23"/>
        </w:numPr>
        <w:tabs>
          <w:tab w:val="left" w:pos="8054"/>
        </w:tabs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915AA8">
        <w:rPr>
          <w:rFonts w:ascii="Times New Roman" w:hAnsi="Times New Roman" w:cs="Times New Roman"/>
          <w:lang w:val="en-US"/>
        </w:rPr>
        <w:t>Figure S5</w:t>
      </w:r>
      <w:r w:rsidR="00B30327">
        <w:rPr>
          <w:rFonts w:ascii="Times New Roman" w:hAnsi="Times New Roman" w:cs="Times New Roman"/>
          <w:lang w:val="en-US"/>
        </w:rPr>
        <w:t>:</w:t>
      </w:r>
      <w:r w:rsidRPr="00915AA8">
        <w:rPr>
          <w:rFonts w:ascii="Times New Roman" w:hAnsi="Times New Roman" w:cs="Times New Roman"/>
          <w:lang w:val="en-US"/>
        </w:rPr>
        <w:t xml:space="preserve"> Boxplots</w:t>
      </w:r>
      <w:r w:rsidR="00796A53">
        <w:rPr>
          <w:rFonts w:ascii="Times New Roman" w:hAnsi="Times New Roman" w:cs="Times New Roman"/>
          <w:lang w:val="en-US"/>
        </w:rPr>
        <w:t xml:space="preserve"> presenting</w:t>
      </w:r>
      <w:r w:rsidRPr="00915AA8">
        <w:rPr>
          <w:rFonts w:ascii="Times New Roman" w:hAnsi="Times New Roman" w:cs="Times New Roman"/>
          <w:lang w:val="en-US"/>
        </w:rPr>
        <w:t xml:space="preserve"> total kidney volume indexed to body surface area for control vs intervention</w:t>
      </w:r>
      <w:r w:rsidR="00B43840">
        <w:rPr>
          <w:rFonts w:ascii="Times New Roman" w:hAnsi="Times New Roman" w:cs="Times New Roman"/>
          <w:lang w:val="en-US"/>
        </w:rPr>
        <w:t xml:space="preserve"> groups</w:t>
      </w:r>
      <w:r w:rsidRPr="00915AA8">
        <w:rPr>
          <w:rFonts w:ascii="Times New Roman" w:hAnsi="Times New Roman" w:cs="Times New Roman"/>
          <w:lang w:val="en-US"/>
        </w:rPr>
        <w:t>.</w:t>
      </w:r>
    </w:p>
    <w:p w14:paraId="66873212" w14:textId="30B6C278" w:rsidR="00C45FBA" w:rsidRPr="00915AA8" w:rsidRDefault="00C45FBA" w:rsidP="00C45FBA">
      <w:pPr>
        <w:pStyle w:val="ListParagraph"/>
        <w:numPr>
          <w:ilvl w:val="0"/>
          <w:numId w:val="23"/>
        </w:numPr>
        <w:tabs>
          <w:tab w:val="left" w:pos="8054"/>
        </w:tabs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915AA8">
        <w:rPr>
          <w:rFonts w:ascii="Times New Roman" w:hAnsi="Times New Roman" w:cs="Times New Roman"/>
          <w:lang w:val="en-US"/>
        </w:rPr>
        <w:t>Figure S6</w:t>
      </w:r>
      <w:r w:rsidR="00B30327">
        <w:rPr>
          <w:rFonts w:ascii="Times New Roman" w:hAnsi="Times New Roman" w:cs="Times New Roman"/>
          <w:lang w:val="en-US"/>
        </w:rPr>
        <w:t>:</w:t>
      </w:r>
      <w:r w:rsidRPr="00915AA8">
        <w:rPr>
          <w:rFonts w:ascii="Times New Roman" w:hAnsi="Times New Roman" w:cs="Times New Roman"/>
          <w:lang w:val="en-US"/>
        </w:rPr>
        <w:t xml:space="preserve"> Boxplots </w:t>
      </w:r>
      <w:r w:rsidR="00796A53">
        <w:rPr>
          <w:rFonts w:ascii="Times New Roman" w:hAnsi="Times New Roman" w:cs="Times New Roman"/>
          <w:lang w:val="en-US"/>
        </w:rPr>
        <w:t>displaying</w:t>
      </w:r>
      <w:r w:rsidRPr="00915AA8">
        <w:rPr>
          <w:rFonts w:ascii="Times New Roman" w:hAnsi="Times New Roman" w:cs="Times New Roman"/>
          <w:lang w:val="en-US"/>
        </w:rPr>
        <w:t xml:space="preserve"> corticomedullary differentiation across control </w:t>
      </w:r>
      <w:r w:rsidR="00B30327">
        <w:rPr>
          <w:rFonts w:ascii="Times New Roman" w:hAnsi="Times New Roman" w:cs="Times New Roman"/>
          <w:lang w:val="en-US"/>
        </w:rPr>
        <w:t>vs</w:t>
      </w:r>
      <w:r w:rsidRPr="00915AA8">
        <w:rPr>
          <w:rFonts w:ascii="Times New Roman" w:hAnsi="Times New Roman" w:cs="Times New Roman"/>
          <w:lang w:val="en-US"/>
        </w:rPr>
        <w:t xml:space="preserve"> intervention</w:t>
      </w:r>
      <w:r w:rsidR="00B30327">
        <w:rPr>
          <w:rFonts w:ascii="Times New Roman" w:hAnsi="Times New Roman" w:cs="Times New Roman"/>
          <w:lang w:val="en-US"/>
        </w:rPr>
        <w:t xml:space="preserve"> groups.</w:t>
      </w:r>
    </w:p>
    <w:p w14:paraId="70A70A18" w14:textId="3ACD42C3" w:rsidR="00C45FBA" w:rsidRPr="00915AA8" w:rsidRDefault="00C45FBA" w:rsidP="00915AA8">
      <w:pPr>
        <w:tabs>
          <w:tab w:val="left" w:pos="8054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E4B002E" w14:textId="77777777" w:rsidR="00C45FBA" w:rsidRPr="00915AA8" w:rsidRDefault="00C45FBA" w:rsidP="007C5E33">
      <w:pPr>
        <w:tabs>
          <w:tab w:val="left" w:pos="8054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3C1451" w14:textId="77777777" w:rsidR="00C45FBA" w:rsidRPr="00915AA8" w:rsidRDefault="00C45FBA" w:rsidP="007C5E33">
      <w:pPr>
        <w:tabs>
          <w:tab w:val="left" w:pos="8054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902C2CB" w14:textId="77777777" w:rsidR="00C45FBA" w:rsidRPr="00915AA8" w:rsidRDefault="00C45FBA" w:rsidP="007C5E33">
      <w:pPr>
        <w:tabs>
          <w:tab w:val="left" w:pos="8054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F93B36" w14:textId="77777777" w:rsidR="00C45FBA" w:rsidRPr="00915AA8" w:rsidRDefault="00C45FBA" w:rsidP="007C5E33">
      <w:pPr>
        <w:tabs>
          <w:tab w:val="left" w:pos="8054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46742C2" w14:textId="5CD9693D" w:rsidR="00A652F0" w:rsidRPr="00D624B5" w:rsidRDefault="00A652F0" w:rsidP="00A652F0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624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Supplementary </w:t>
      </w:r>
      <w:r w:rsidR="00E411D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</w:t>
      </w:r>
      <w:r w:rsidRPr="00D624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ethods</w:t>
      </w:r>
      <w:r w:rsidRPr="00D624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624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Inclusion </w:t>
      </w:r>
      <w:r w:rsidR="00E411D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</w:t>
      </w:r>
      <w:r w:rsidRPr="00D624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riteria for Hypertensive Cohort</w:t>
      </w:r>
      <w:r w:rsidRPr="00D624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Participant is willing and able to give informed consent for participation in the trial.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Female, aged 18 years or above.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Clinician confirmed diagnosis of either gestational hypertension or pre-eclampsia defined by </w:t>
      </w:r>
      <w:r w:rsidR="00825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A811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ational </w:t>
      </w:r>
      <w:r w:rsidR="00A81137"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A811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nstitute for Health and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A811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are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A811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xcellence</w:t>
      </w:r>
      <w:r w:rsidR="00825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guidelines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(see below).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Requiring anti-hypertensive medication at the point of discharge from secondary care.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 Participant has clinically acceptable laboratory results and clinical course postpartum with no other adverse complicating factor</w:t>
      </w:r>
      <w:r w:rsidR="00CF5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requiring prolonged admission postpartum that would make participation unfeasible as judged by the </w:t>
      </w:r>
      <w:r w:rsidR="00B30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chief investigator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Examples would include stroke sequalae, ongoing </w:t>
      </w:r>
      <w:r w:rsidR="008D0BCF"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disseminated intravascular </w:t>
      </w:r>
      <w:r w:rsidR="00E411D8"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coagulation etc.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In the </w:t>
      </w:r>
      <w:r w:rsidR="00A811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nvestigator’s opinion, is able and willing to comply with all trial requirements including ownership of a ‘Smart-phone/Tablet’ and willing to use the smart-phone app if randomised to that arm.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Sufficient competence in English Language to follow the app instructions and partake in the study, as judged by the </w:t>
      </w:r>
      <w:r w:rsidR="00B30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chief investigator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14:paraId="14CEB912" w14:textId="1D791E04" w:rsidR="00A652F0" w:rsidRPr="008E46DB" w:rsidRDefault="00A652F0" w:rsidP="008E46DB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24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Diagnosis </w:t>
      </w:r>
      <w:r w:rsidR="00E411D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</w:t>
      </w:r>
      <w:r w:rsidRPr="00D624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riteria</w:t>
      </w:r>
      <w:r w:rsidRPr="00D624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Gestational hypertension diagnosis requires a </w:t>
      </w:r>
      <w:r w:rsidR="008D0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blood pressure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&gt;140</w:t>
      </w:r>
      <w:r w:rsidR="008D0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mmHg systolic or &gt; 90</w:t>
      </w:r>
      <w:r w:rsidR="008D0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mnHg diastolic on &gt;</w:t>
      </w:r>
      <w:r w:rsidR="008D0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occasions after 20 weeks of this pregnancy.  Preeclampsia diagnosis will be defined as per</w:t>
      </w:r>
      <w:r w:rsidR="00825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54F5"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825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ational </w:t>
      </w:r>
      <w:r w:rsidR="008254F5"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825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nstitute for Health and </w:t>
      </w:r>
      <w:r w:rsidR="008254F5"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825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are </w:t>
      </w:r>
      <w:r w:rsidR="008254F5"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825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xcellence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guidelines and as follows: new onset of hypertension (&gt;140 mmHg systolic or over 90 mmHg diastolic) after 20 weeks of pregnancy and the coexistence of </w:t>
      </w:r>
      <w:r w:rsidR="00B54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one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 more of the following new onset conditions: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• Proteinuria (spot urine protein/creatinine over 30 mg/mmol [0.3 mg/mg] or over 300 mg/day or at least 1 g/L [‘2 +’] on dipstick testing) or </w:t>
      </w:r>
      <w:r w:rsidR="00127BD3">
        <w:rPr>
          <w:rFonts w:ascii="Times New Roman" w:hAnsi="Times New Roman" w:cs="Times New Roman"/>
          <w:color w:val="000000"/>
          <w:shd w:val="clear" w:color="auto" w:fill="FFFFFF"/>
        </w:rPr>
        <w:t>o</w:t>
      </w:r>
      <w:r w:rsidRPr="008E46DB">
        <w:rPr>
          <w:rFonts w:ascii="Times New Roman" w:hAnsi="Times New Roman" w:cs="Times New Roman"/>
          <w:color w:val="000000"/>
          <w:shd w:val="clear" w:color="auto" w:fill="FFFFFF"/>
        </w:rPr>
        <w:t xml:space="preserve">ther maternal organ dysfunction: </w:t>
      </w:r>
      <w:r w:rsidRPr="008E46DB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599E9DF0" w14:textId="77777777" w:rsidR="00A652F0" w:rsidRPr="00D624B5" w:rsidRDefault="00A652F0" w:rsidP="00127BD3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624B5">
        <w:rPr>
          <w:rFonts w:ascii="Times New Roman" w:hAnsi="Times New Roman" w:cs="Times New Roman"/>
          <w:color w:val="000000"/>
          <w:shd w:val="clear" w:color="auto" w:fill="FFFFFF"/>
        </w:rPr>
        <w:t>Renal insufficiency (creatinine 90 umol/L or more, 1.02 mg/dL</w:t>
      </w:r>
      <w:proofErr w:type="gramStart"/>
      <w:r w:rsidRPr="00D624B5">
        <w:rPr>
          <w:rFonts w:ascii="Times New Roman" w:hAnsi="Times New Roman" w:cs="Times New Roman"/>
          <w:color w:val="000000"/>
          <w:shd w:val="clear" w:color="auto" w:fill="FFFFFF"/>
        </w:rPr>
        <w:t>);</w:t>
      </w:r>
      <w:proofErr w:type="gramEnd"/>
      <w:r w:rsidRPr="00D624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624B5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351DD515" w14:textId="77777777" w:rsidR="00A652F0" w:rsidRPr="00D624B5" w:rsidRDefault="00A652F0" w:rsidP="00127BD3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624B5">
        <w:rPr>
          <w:rFonts w:ascii="Times New Roman" w:hAnsi="Times New Roman" w:cs="Times New Roman"/>
          <w:color w:val="000000"/>
          <w:shd w:val="clear" w:color="auto" w:fill="FFFFFF"/>
        </w:rPr>
        <w:t>Liver involvement (elevated transaminases [ALT or AST over 40 IU/L] with or without right upper quadrant or epigastric abdominal pain</w:t>
      </w:r>
      <w:proofErr w:type="gramStart"/>
      <w:r w:rsidRPr="00D624B5">
        <w:rPr>
          <w:rFonts w:ascii="Times New Roman" w:hAnsi="Times New Roman" w:cs="Times New Roman"/>
          <w:color w:val="000000"/>
          <w:shd w:val="clear" w:color="auto" w:fill="FFFFFF"/>
        </w:rPr>
        <w:t>);</w:t>
      </w:r>
      <w:proofErr w:type="gramEnd"/>
      <w:r w:rsidRPr="00D624B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624B5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548458C0" w14:textId="2F9ED8FE" w:rsidR="00A652F0" w:rsidRPr="00D624B5" w:rsidRDefault="00A652F0" w:rsidP="00127BD3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624B5">
        <w:rPr>
          <w:rFonts w:ascii="Times New Roman" w:hAnsi="Times New Roman" w:cs="Times New Roman"/>
          <w:color w:val="000000"/>
          <w:shd w:val="clear" w:color="auto" w:fill="FFFFFF"/>
        </w:rPr>
        <w:t xml:space="preserve">Neurological complications such as eclampsia, altered mental status, blindness, stroke, clonus, severe headaches or persistent visual scotomata; </w:t>
      </w:r>
      <w:r w:rsidRPr="00D624B5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744D9A95" w14:textId="7BF749AF" w:rsidR="00A652F0" w:rsidRPr="00D624B5" w:rsidRDefault="00A652F0" w:rsidP="00127BD3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624B5">
        <w:rPr>
          <w:rFonts w:ascii="Times New Roman" w:hAnsi="Times New Roman" w:cs="Times New Roman"/>
          <w:color w:val="000000"/>
          <w:shd w:val="clear" w:color="auto" w:fill="FFFFFF"/>
        </w:rPr>
        <w:t>Haematological complications such as thrombocytopenia (platelet count below 150,000 cells/µL), disseminated intravascular coagulation or haemolysis;</w:t>
      </w:r>
    </w:p>
    <w:p w14:paraId="6030485A" w14:textId="22CA1288" w:rsidR="00A652F0" w:rsidRPr="00D624B5" w:rsidRDefault="00A652F0" w:rsidP="00127BD3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624B5">
        <w:rPr>
          <w:rFonts w:ascii="Times New Roman" w:hAnsi="Times New Roman" w:cs="Times New Roman"/>
          <w:color w:val="000000"/>
          <w:shd w:val="clear" w:color="auto" w:fill="FFFFFF"/>
        </w:rPr>
        <w:t xml:space="preserve">Utero-placental dysfunction such as </w:t>
      </w:r>
      <w:r w:rsidR="00AF283E" w:rsidRPr="00D624B5">
        <w:rPr>
          <w:rFonts w:ascii="Times New Roman" w:hAnsi="Times New Roman" w:cs="Times New Roman"/>
          <w:color w:val="000000"/>
          <w:shd w:val="clear" w:color="auto" w:fill="FFFFFF"/>
        </w:rPr>
        <w:t>foetal</w:t>
      </w:r>
      <w:r w:rsidRPr="00D624B5">
        <w:rPr>
          <w:rFonts w:ascii="Times New Roman" w:hAnsi="Times New Roman" w:cs="Times New Roman"/>
          <w:color w:val="000000"/>
          <w:shd w:val="clear" w:color="auto" w:fill="FFFFFF"/>
        </w:rPr>
        <w:t xml:space="preserve"> growth restriction, abnormal umbilical artery Doppler waveform analysis, or stillbirth. </w:t>
      </w:r>
      <w:r w:rsidRPr="00D624B5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D624B5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D624B5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37549936" w14:textId="2579840E" w:rsidR="00A652F0" w:rsidRPr="00D624B5" w:rsidRDefault="00A652F0" w:rsidP="008E46DB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24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Exclusion Criteria for</w:t>
      </w:r>
      <w:r w:rsidR="008E46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Hypertensive </w:t>
      </w:r>
      <w:r w:rsidRPr="00D624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Cohort:</w:t>
      </w:r>
      <w:r w:rsidRPr="00D624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Significant renal or hepatic impairment that would affect safe medication titration and adjustment as part of the trial, as deemed by the </w:t>
      </w:r>
      <w:r w:rsidR="008D0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chief i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nvestigator.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Scheduled elective surgery (excluding caesarean sections) or other procedures requiring general anaesthesia during the trial.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Participant with life expectancy of less than </w:t>
      </w:r>
      <w:r w:rsidR="00AF2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six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months.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Any other significant disease or disorder, which, in the opinion of the </w:t>
      </w:r>
      <w:r w:rsidR="00552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nvestigator, may either, put the participants at risk because of participation in the trial, or may influence the result of the trial, or the participant’s ability to participate in the trial.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Participants who have participated in another research trial involving an investigational product in the past 12 weeks.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An absolute contraindication to </w:t>
      </w:r>
      <w:r w:rsidR="00AE63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magnetic resonance imaging</w:t>
      </w:r>
      <w:r w:rsidR="00AE6314"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(as per </w:t>
      </w:r>
      <w:r w:rsidR="00AE63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magnetic resonance imaging</w:t>
      </w:r>
      <w:r w:rsidR="00AE6314"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safety questionnaire) precludes the women from having an </w:t>
      </w:r>
      <w:r w:rsidR="00AE63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magnetic resonance </w:t>
      </w:r>
      <w:r w:rsidR="00AE63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imaging</w:t>
      </w:r>
      <w:r w:rsidR="00AE6314"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but they can still participate in the remainder of the study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• Women with pre-existing hypertension will be excluded, as this is a separate pathology that would affect the efficacy of the study intervention and affect the primary and secondary outcomes of the study. </w:t>
      </w:r>
    </w:p>
    <w:p w14:paraId="43867167" w14:textId="77777777" w:rsidR="00A652F0" w:rsidRPr="00D624B5" w:rsidRDefault="00A652F0" w:rsidP="00123B3B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624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Inclusion Criteria for Normotensive Cohort</w:t>
      </w:r>
      <w:r w:rsidRPr="00D624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</w:p>
    <w:p w14:paraId="17B94C85" w14:textId="77777777" w:rsidR="00A652F0" w:rsidRPr="00D624B5" w:rsidRDefault="00A652F0" w:rsidP="00123B3B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D624B5">
        <w:rPr>
          <w:rFonts w:ascii="Times New Roman" w:hAnsi="Times New Roman" w:cs="Times New Roman"/>
          <w:color w:val="000000"/>
          <w:shd w:val="clear" w:color="auto" w:fill="FFFFFF"/>
        </w:rPr>
        <w:t>Participant is willing and able to give informed consent for participation in the study </w:t>
      </w:r>
    </w:p>
    <w:p w14:paraId="3AB94476" w14:textId="2F1E4E46" w:rsidR="00A652F0" w:rsidRPr="00D624B5" w:rsidRDefault="00A652F0" w:rsidP="00123B3B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Age &gt;18 and ≤</w:t>
      </w:r>
      <w:r w:rsidR="00AE63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45 years </w:t>
      </w:r>
    </w:p>
    <w:p w14:paraId="70843AE8" w14:textId="43B5F869" w:rsidR="00A652F0" w:rsidRPr="00D624B5" w:rsidRDefault="00A652F0" w:rsidP="00123B3B">
      <w:pPr>
        <w:numPr>
          <w:ilvl w:val="0"/>
          <w:numId w:val="4"/>
        </w:numPr>
        <w:tabs>
          <w:tab w:val="clear" w:pos="720"/>
          <w:tab w:val="num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Normotensive, blood pressures &lt;140/90</w:t>
      </w:r>
      <w:r w:rsidR="00AE63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mmHg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throughout </w:t>
      </w:r>
      <w:r w:rsidR="00FA7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antenatal period </w:t>
      </w:r>
    </w:p>
    <w:p w14:paraId="1BD4C088" w14:textId="35F1CA13" w:rsidR="00A652F0" w:rsidRPr="00D624B5" w:rsidRDefault="00A652F0" w:rsidP="00123B3B">
      <w:pPr>
        <w:numPr>
          <w:ilvl w:val="0"/>
          <w:numId w:val="5"/>
        </w:numPr>
        <w:tabs>
          <w:tab w:val="clear" w:pos="720"/>
          <w:tab w:val="num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Less than </w:t>
      </w:r>
      <w:r w:rsidR="007612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two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moderate risk factors for hypertensive disease in pregnancy according to the </w:t>
      </w:r>
      <w:r w:rsidR="00761242"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7612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ational </w:t>
      </w:r>
      <w:r w:rsidR="00761242"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7612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nstitute for Health and </w:t>
      </w:r>
      <w:r w:rsidR="00761242"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7612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are </w:t>
      </w:r>
      <w:r w:rsidR="00761242"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7612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xcellence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guideline</w:t>
      </w:r>
      <w:r w:rsidR="007612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management of hypertension in pregnancy </w:t>
      </w:r>
    </w:p>
    <w:p w14:paraId="58DB97C6" w14:textId="77777777" w:rsidR="00123B3B" w:rsidRDefault="00A652F0" w:rsidP="00A652F0">
      <w:pPr>
        <w:numPr>
          <w:ilvl w:val="0"/>
          <w:numId w:val="6"/>
        </w:numPr>
        <w:tabs>
          <w:tab w:val="clear" w:pos="720"/>
          <w:tab w:val="num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SFlt</w:t>
      </w:r>
      <w:proofErr w:type="spellEnd"/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/PIGF ratio &lt;</w:t>
      </w:r>
      <w:r w:rsidR="00963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35 </w:t>
      </w:r>
    </w:p>
    <w:p w14:paraId="7D0244DC" w14:textId="77777777" w:rsidR="00123B3B" w:rsidRDefault="00123B3B" w:rsidP="00123B3B">
      <w:pPr>
        <w:spacing w:after="0"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E3D0E03" w14:textId="07665CC9" w:rsidR="00A652F0" w:rsidRPr="00123B3B" w:rsidRDefault="00A652F0" w:rsidP="00123B3B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3B3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Exclusion Criteria for </w:t>
      </w:r>
      <w:r w:rsidR="008E46DB" w:rsidRPr="00123B3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Normotensive</w:t>
      </w:r>
      <w:r w:rsidRPr="00123B3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Cohort</w:t>
      </w:r>
    </w:p>
    <w:p w14:paraId="574F5464" w14:textId="77777777" w:rsidR="00A652F0" w:rsidRPr="00D624B5" w:rsidRDefault="00A652F0" w:rsidP="00A652F0">
      <w:pPr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Diagnosis of hypertensive disorder of pregnancy </w:t>
      </w:r>
    </w:p>
    <w:p w14:paraId="19656F3A" w14:textId="77777777" w:rsidR="00A652F0" w:rsidRPr="00D624B5" w:rsidRDefault="00A652F0" w:rsidP="00A652F0">
      <w:pPr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 of beta blockers such as atenolol or equivalent </w:t>
      </w:r>
    </w:p>
    <w:p w14:paraId="6368B0F3" w14:textId="77777777" w:rsidR="00A652F0" w:rsidRPr="00D624B5" w:rsidRDefault="00A652F0" w:rsidP="00A652F0">
      <w:pPr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History of cardiac impairments including uncontrolled arrhythmia, unstable angina, decompensated congestive heart failure or valve disease </w:t>
      </w:r>
    </w:p>
    <w:p w14:paraId="425952E9" w14:textId="77777777" w:rsidR="00A652F0" w:rsidRPr="00D624B5" w:rsidRDefault="00A652F0" w:rsidP="00A652F0">
      <w:pPr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History of pre-existing chronic renal disease </w:t>
      </w:r>
    </w:p>
    <w:p w14:paraId="77CE9F6A" w14:textId="27EBE25B" w:rsidR="00A652F0" w:rsidRPr="00D624B5" w:rsidRDefault="00A652F0" w:rsidP="00A652F0">
      <w:pPr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Contraindication to </w:t>
      </w:r>
      <w:r w:rsidR="00963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magnetic resonance imaging</w:t>
      </w: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e.g. pregnancy, pacemaker, ferromagnetic implant, shrapnel injury, severe claustrophobia </w:t>
      </w:r>
    </w:p>
    <w:p w14:paraId="7AE17385" w14:textId="3BCB58C9" w:rsidR="00A652F0" w:rsidRPr="00B158B8" w:rsidRDefault="00A652F0" w:rsidP="00A652F0">
      <w:pPr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2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Any known trisomy, foetus with congenital heart defect, foetus at a high risk of heart disease, known infection of foetus or known severe anaemia </w:t>
      </w:r>
    </w:p>
    <w:p w14:paraId="12C8A77A" w14:textId="345B446E" w:rsidR="00A652F0" w:rsidRPr="00B158B8" w:rsidRDefault="00A652F0" w:rsidP="00A652F0">
      <w:pPr>
        <w:spacing w:line="48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D624B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Anthropometry measurements</w:t>
      </w:r>
      <w:r w:rsidR="00B158B8">
        <w:rPr>
          <w:rFonts w:ascii="Times New Roman" w:eastAsiaTheme="majorEastAsia" w:hAnsi="Times New Roman" w:cs="Times New Roman"/>
          <w:b/>
          <w:bCs/>
          <w:sz w:val="24"/>
          <w:szCs w:val="24"/>
        </w:rPr>
        <w:tab/>
      </w:r>
      <w:r w:rsidR="00B158B8">
        <w:rPr>
          <w:rFonts w:ascii="Times New Roman" w:eastAsiaTheme="majorEastAsia" w:hAnsi="Times New Roman" w:cs="Times New Roman"/>
          <w:b/>
          <w:bCs/>
          <w:sz w:val="24"/>
          <w:szCs w:val="24"/>
        </w:rPr>
        <w:br/>
      </w:r>
      <w:r w:rsidRPr="00D624B5">
        <w:rPr>
          <w:rFonts w:ascii="Times New Roman" w:eastAsiaTheme="majorEastAsia" w:hAnsi="Times New Roman" w:cs="Times New Roman"/>
          <w:sz w:val="24"/>
          <w:szCs w:val="24"/>
        </w:rPr>
        <w:t xml:space="preserve">Height and weight were measured, after removal of shoes and heaving clothing, to the nearest centimetre and 0.1kg, respectively. </w:t>
      </w:r>
      <w:r w:rsidRPr="00D624B5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Height was measured on a free-standing stadiometer and weight was measured on scales. </w:t>
      </w:r>
      <w:r w:rsidRPr="00D624B5">
        <w:rPr>
          <w:rFonts w:ascii="Times New Roman" w:eastAsiaTheme="majorEastAsia" w:hAnsi="Times New Roman" w:cs="Times New Roman"/>
          <w:sz w:val="24"/>
          <w:szCs w:val="24"/>
        </w:rPr>
        <w:t>Body mass index (BMI) was calculated using the formula: BMI (kg/m</w:t>
      </w:r>
      <w:r w:rsidRPr="00D624B5">
        <w:rPr>
          <w:rFonts w:ascii="Times New Roman" w:eastAsiaTheme="majorEastAsia" w:hAnsi="Times New Roman" w:cs="Times New Roman"/>
          <w:sz w:val="24"/>
          <w:szCs w:val="24"/>
          <w:vertAlign w:val="superscript"/>
        </w:rPr>
        <w:t>2</w:t>
      </w:r>
      <w:r w:rsidRPr="00D624B5">
        <w:rPr>
          <w:rFonts w:ascii="Times New Roman" w:eastAsiaTheme="majorEastAsia" w:hAnsi="Times New Roman" w:cs="Times New Roman"/>
          <w:sz w:val="24"/>
          <w:szCs w:val="24"/>
        </w:rPr>
        <w:t>) = weight (kg) / height (m)</w:t>
      </w:r>
      <w:r w:rsidRPr="00D624B5">
        <w:rPr>
          <w:rFonts w:ascii="Times New Roman" w:eastAsiaTheme="majorEastAsia" w:hAnsi="Times New Roman" w:cs="Times New Roman"/>
          <w:sz w:val="24"/>
          <w:szCs w:val="24"/>
          <w:vertAlign w:val="superscript"/>
        </w:rPr>
        <w:t>2</w:t>
      </w:r>
      <w:r w:rsidRPr="00D624B5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r w:rsidRPr="00D624B5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Hip circumference was measured at the widest part of the gluteal region, whilst waist circumference was measured just above the belly button. </w:t>
      </w:r>
      <w:r w:rsidRPr="00D624B5">
        <w:rPr>
          <w:rFonts w:ascii="Times New Roman" w:eastAsiaTheme="majorEastAsia" w:hAnsi="Times New Roman" w:cs="Times New Roman"/>
          <w:sz w:val="24"/>
          <w:szCs w:val="24"/>
        </w:rPr>
        <w:t xml:space="preserve">Waist to hip ratio was then calculated. </w:t>
      </w:r>
      <w:r w:rsidRPr="00D624B5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Left arm circumference was measured at the widest part of the upper arm while relaxed.</w:t>
      </w:r>
      <w:r w:rsidRPr="00D624B5">
        <w:rPr>
          <w:rFonts w:ascii="Times New Roman" w:eastAsiaTheme="majorEastAsia" w:hAnsi="Times New Roman" w:cs="Times New Roman"/>
          <w:sz w:val="24"/>
          <w:szCs w:val="24"/>
          <w:lang w:val="en-US"/>
        </w:rPr>
        <w:tab/>
      </w:r>
      <w:r w:rsidRPr="00D624B5">
        <w:rPr>
          <w:rFonts w:ascii="Times New Roman" w:eastAsiaTheme="majorEastAsia" w:hAnsi="Times New Roman" w:cs="Times New Roman"/>
          <w:sz w:val="24"/>
          <w:szCs w:val="24"/>
          <w:lang w:val="en-US"/>
        </w:rPr>
        <w:br/>
      </w:r>
    </w:p>
    <w:p w14:paraId="108B0613" w14:textId="7DFDC184" w:rsidR="00A652F0" w:rsidRPr="00B158B8" w:rsidRDefault="00A652F0" w:rsidP="00B158B8">
      <w:pPr>
        <w:spacing w:line="480" w:lineRule="auto"/>
        <w:jc w:val="both"/>
        <w:rPr>
          <w:rFonts w:ascii="Times New Roman" w:eastAsiaTheme="majorEastAsia" w:hAnsi="Times New Roman" w:cs="Times New Roman"/>
          <w:sz w:val="24"/>
          <w:szCs w:val="24"/>
          <w:lang w:val="en-US"/>
        </w:rPr>
      </w:pPr>
      <w:r w:rsidRPr="00D624B5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>M</w:t>
      </w:r>
      <w:r w:rsidR="0096333C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 xml:space="preserve">agnetic </w:t>
      </w:r>
      <w:r w:rsidRPr="00D624B5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>R</w:t>
      </w:r>
      <w:r w:rsidR="0096333C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 xml:space="preserve">esonance </w:t>
      </w:r>
      <w:r w:rsidRPr="00D624B5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>I</w:t>
      </w:r>
      <w:r w:rsidR="0096333C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>maging</w:t>
      </w:r>
      <w:r w:rsidRPr="00D624B5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 xml:space="preserve"> Acquisition</w:t>
      </w:r>
      <w:r w:rsidR="00B158B8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ab/>
      </w:r>
      <w:r w:rsidR="00B158B8">
        <w:rPr>
          <w:rFonts w:ascii="Times New Roman" w:eastAsiaTheme="majorEastAsia" w:hAnsi="Times New Roman" w:cs="Times New Roman"/>
          <w:sz w:val="24"/>
          <w:szCs w:val="24"/>
          <w:lang w:val="en-US"/>
        </w:rPr>
        <w:br/>
      </w:r>
      <w:r w:rsidRPr="00D624B5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D624B5">
        <w:rPr>
          <w:rFonts w:ascii="Times New Roman" w:hAnsi="Times New Roman" w:cs="Times New Roman"/>
          <w:sz w:val="24"/>
          <w:szCs w:val="24"/>
        </w:rPr>
        <w:t xml:space="preserve">olumetric </w:t>
      </w:r>
      <w:r w:rsidRPr="00D624B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images were acquired using a slice thickness of 3.0</w:t>
      </w:r>
      <w:r w:rsidR="0096333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624B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mm, 320</w:t>
      </w:r>
      <w:r w:rsidR="003A5B1D" w:rsidRPr="00D624B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624B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×</w:t>
      </w:r>
      <w:r w:rsidR="003A5B1D" w:rsidRPr="00D624B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624B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256 matrix, 380</w:t>
      </w:r>
      <w:r w:rsidR="0038718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624B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mm field of view, 1.2×1.2×3</w:t>
      </w:r>
      <w:r w:rsidR="0096333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624B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mm acquired voxel size, 1.26</w:t>
      </w:r>
      <w:r w:rsidR="00D6292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D624B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ms</w:t>
      </w:r>
      <w:proofErr w:type="spellEnd"/>
      <w:r w:rsidRPr="00D624B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echo time, 3.17</w:t>
      </w:r>
      <w:r w:rsidR="00D6292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D624B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ms</w:t>
      </w:r>
      <w:proofErr w:type="spellEnd"/>
      <w:r w:rsidRPr="00D624B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repetition time and 7° flip angle.</w:t>
      </w:r>
      <w:r w:rsidRPr="00D624B5">
        <w:rPr>
          <w:rFonts w:ascii="Times New Roman" w:hAnsi="Times New Roman" w:cs="Times New Roman"/>
          <w:sz w:val="24"/>
          <w:szCs w:val="24"/>
        </w:rPr>
        <w:t xml:space="preserve"> T1 maps were acquired with a 5-3s</w:t>
      </w:r>
      <w:r w:rsidR="0096333C">
        <w:rPr>
          <w:rFonts w:ascii="Times New Roman" w:hAnsi="Times New Roman" w:cs="Times New Roman"/>
          <w:sz w:val="24"/>
          <w:szCs w:val="24"/>
        </w:rPr>
        <w:t xml:space="preserve"> </w:t>
      </w:r>
      <w:r w:rsidRPr="00D624B5">
        <w:rPr>
          <w:rFonts w:ascii="Times New Roman" w:hAnsi="Times New Roman" w:cs="Times New Roman"/>
          <w:sz w:val="24"/>
          <w:szCs w:val="24"/>
        </w:rPr>
        <w:t>-</w:t>
      </w:r>
      <w:r w:rsidR="0096333C">
        <w:rPr>
          <w:rFonts w:ascii="Times New Roman" w:hAnsi="Times New Roman" w:cs="Times New Roman"/>
          <w:sz w:val="24"/>
          <w:szCs w:val="24"/>
        </w:rPr>
        <w:t xml:space="preserve"> </w:t>
      </w:r>
      <w:r w:rsidRPr="00D624B5">
        <w:rPr>
          <w:rFonts w:ascii="Times New Roman" w:hAnsi="Times New Roman" w:cs="Times New Roman"/>
          <w:sz w:val="24"/>
          <w:szCs w:val="24"/>
        </w:rPr>
        <w:t>3 sampling scheme 40 [oblique coronal; repetition time/echo time = 2.7/1.15</w:t>
      </w:r>
      <w:r w:rsidR="0096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B5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D624B5">
        <w:rPr>
          <w:rFonts w:ascii="Times New Roman" w:hAnsi="Times New Roman" w:cs="Times New Roman"/>
          <w:sz w:val="24"/>
          <w:szCs w:val="24"/>
        </w:rPr>
        <w:t>; R=4; flip angle =35°; 320</w:t>
      </w:r>
      <w:r w:rsidR="0096333C">
        <w:rPr>
          <w:rFonts w:ascii="Times New Roman" w:hAnsi="Times New Roman" w:cs="Times New Roman"/>
          <w:sz w:val="24"/>
          <w:szCs w:val="24"/>
        </w:rPr>
        <w:t xml:space="preserve"> </w:t>
      </w:r>
      <w:r w:rsidRPr="00D624B5">
        <w:rPr>
          <w:rFonts w:ascii="Times New Roman" w:hAnsi="Times New Roman" w:cs="Times New Roman"/>
          <w:sz w:val="24"/>
          <w:szCs w:val="24"/>
        </w:rPr>
        <w:t>×</w:t>
      </w:r>
      <w:r w:rsidR="0096333C">
        <w:rPr>
          <w:rFonts w:ascii="Times New Roman" w:hAnsi="Times New Roman" w:cs="Times New Roman"/>
          <w:sz w:val="24"/>
          <w:szCs w:val="24"/>
        </w:rPr>
        <w:t xml:space="preserve"> </w:t>
      </w:r>
      <w:r w:rsidRPr="00D624B5">
        <w:rPr>
          <w:rFonts w:ascii="Times New Roman" w:hAnsi="Times New Roman" w:cs="Times New Roman"/>
          <w:sz w:val="24"/>
          <w:szCs w:val="24"/>
        </w:rPr>
        <w:t>320 mm</w:t>
      </w:r>
      <w:r w:rsidRPr="00D624B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D624B5">
        <w:rPr>
          <w:rFonts w:ascii="Times New Roman" w:hAnsi="Times New Roman" w:cs="Times New Roman"/>
          <w:sz w:val="24"/>
          <w:szCs w:val="24"/>
        </w:rPr>
        <w:t>field of view, 194</w:t>
      </w:r>
      <w:r w:rsidR="0096333C">
        <w:rPr>
          <w:rFonts w:ascii="Times New Roman" w:hAnsi="Times New Roman" w:cs="Times New Roman"/>
          <w:sz w:val="24"/>
          <w:szCs w:val="24"/>
        </w:rPr>
        <w:t xml:space="preserve"> </w:t>
      </w:r>
      <w:r w:rsidRPr="00D624B5">
        <w:rPr>
          <w:rFonts w:ascii="Times New Roman" w:hAnsi="Times New Roman" w:cs="Times New Roman"/>
          <w:sz w:val="24"/>
          <w:szCs w:val="24"/>
        </w:rPr>
        <w:t>×</w:t>
      </w:r>
      <w:r w:rsidR="0096333C">
        <w:rPr>
          <w:rFonts w:ascii="Times New Roman" w:hAnsi="Times New Roman" w:cs="Times New Roman"/>
          <w:sz w:val="24"/>
          <w:szCs w:val="24"/>
        </w:rPr>
        <w:t xml:space="preserve"> </w:t>
      </w:r>
      <w:r w:rsidRPr="00D624B5">
        <w:rPr>
          <w:rFonts w:ascii="Times New Roman" w:hAnsi="Times New Roman" w:cs="Times New Roman"/>
          <w:sz w:val="24"/>
          <w:szCs w:val="24"/>
        </w:rPr>
        <w:t>192 matrix, 5.5</w:t>
      </w:r>
      <w:r w:rsidR="007C0989">
        <w:rPr>
          <w:rFonts w:ascii="Times New Roman" w:hAnsi="Times New Roman" w:cs="Times New Roman"/>
          <w:sz w:val="24"/>
          <w:szCs w:val="24"/>
        </w:rPr>
        <w:t xml:space="preserve"> </w:t>
      </w:r>
      <w:r w:rsidRPr="00D624B5">
        <w:rPr>
          <w:rFonts w:ascii="Times New Roman" w:hAnsi="Times New Roman" w:cs="Times New Roman"/>
          <w:sz w:val="24"/>
          <w:szCs w:val="24"/>
        </w:rPr>
        <w:t>mm slice thickness, simulated heart rate =</w:t>
      </w:r>
      <w:r w:rsidR="0096333C">
        <w:rPr>
          <w:rFonts w:ascii="Times New Roman" w:hAnsi="Times New Roman" w:cs="Times New Roman"/>
          <w:sz w:val="24"/>
          <w:szCs w:val="24"/>
        </w:rPr>
        <w:t xml:space="preserve"> </w:t>
      </w:r>
      <w:r w:rsidRPr="00D624B5">
        <w:rPr>
          <w:rFonts w:ascii="Times New Roman" w:hAnsi="Times New Roman" w:cs="Times New Roman"/>
          <w:sz w:val="24"/>
          <w:szCs w:val="24"/>
        </w:rPr>
        <w:t>1s, TI1 =100ms, TI2 =</w:t>
      </w:r>
      <w:r w:rsidR="0096333C">
        <w:rPr>
          <w:rFonts w:ascii="Times New Roman" w:hAnsi="Times New Roman" w:cs="Times New Roman"/>
          <w:sz w:val="24"/>
          <w:szCs w:val="24"/>
        </w:rPr>
        <w:t xml:space="preserve"> </w:t>
      </w:r>
      <w:r w:rsidRPr="00D624B5">
        <w:rPr>
          <w:rFonts w:ascii="Times New Roman" w:hAnsi="Times New Roman" w:cs="Times New Roman"/>
          <w:sz w:val="24"/>
          <w:szCs w:val="24"/>
        </w:rPr>
        <w:t>180</w:t>
      </w:r>
      <w:r w:rsidR="0096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B5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D624B5">
        <w:rPr>
          <w:rFonts w:ascii="Times New Roman" w:hAnsi="Times New Roman" w:cs="Times New Roman"/>
          <w:sz w:val="24"/>
          <w:szCs w:val="24"/>
        </w:rPr>
        <w:t>].</w:t>
      </w:r>
    </w:p>
    <w:p w14:paraId="1B655F46" w14:textId="253F7A0E" w:rsidR="005B165B" w:rsidRPr="00915AA8" w:rsidRDefault="005B165B" w:rsidP="005B165B">
      <w:pPr>
        <w:tabs>
          <w:tab w:val="left" w:pos="8054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5AA8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 wp14:anchorId="25CEB169" wp14:editId="0578C371">
            <wp:simplePos x="0" y="0"/>
            <wp:positionH relativeFrom="margin">
              <wp:align>left</wp:align>
            </wp:positionH>
            <wp:positionV relativeFrom="paragraph">
              <wp:posOffset>225011</wp:posOffset>
            </wp:positionV>
            <wp:extent cx="5797550" cy="2902514"/>
            <wp:effectExtent l="0" t="0" r="0" b="0"/>
            <wp:wrapTight wrapText="bothSides">
              <wp:wrapPolygon edited="0">
                <wp:start x="0" y="0"/>
                <wp:lineTo x="0" y="21411"/>
                <wp:lineTo x="21505" y="21411"/>
                <wp:lineTo x="21505" y="0"/>
                <wp:lineTo x="0" y="0"/>
              </wp:wrapPolygon>
            </wp:wrapTight>
            <wp:docPr id="10" name="Picture 9" descr="A diagram of a diagram with blue dot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C9D7D1E-52CF-CB1A-B60D-3F65382A30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diagram of a diagram with blue dots&#10;&#10;Description automatically generated">
                      <a:extLst>
                        <a:ext uri="{FF2B5EF4-FFF2-40B4-BE49-F238E27FC236}">
                          <a16:creationId xmlns:a16="http://schemas.microsoft.com/office/drawing/2014/main" id="{FC9D7D1E-52CF-CB1A-B60D-3F65382A30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94"/>
                    <a:stretch/>
                  </pic:blipFill>
                  <pic:spPr>
                    <a:xfrm>
                      <a:off x="0" y="0"/>
                      <a:ext cx="5797550" cy="2902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4D002" w14:textId="5991FA0F" w:rsidR="005B165B" w:rsidRPr="00915AA8" w:rsidRDefault="005B165B" w:rsidP="005B16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915AA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915AA8">
        <w:rPr>
          <w:rFonts w:ascii="Times New Roman" w:hAnsi="Times New Roman" w:cs="Times New Roman"/>
          <w:sz w:val="24"/>
          <w:szCs w:val="24"/>
        </w:rPr>
        <w:t>Interobserver variability limits of agreement, tested using Bland-Altman Analysis.</w:t>
      </w:r>
    </w:p>
    <w:p w14:paraId="1250E4B4" w14:textId="77777777" w:rsidR="005B165B" w:rsidRPr="00915AA8" w:rsidRDefault="005B165B" w:rsidP="005B165B">
      <w:pPr>
        <w:tabs>
          <w:tab w:val="left" w:pos="8054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6293E6" w14:textId="6CD5AA31" w:rsidR="005B165B" w:rsidRPr="00915AA8" w:rsidRDefault="005B165B" w:rsidP="005B165B">
      <w:pPr>
        <w:tabs>
          <w:tab w:val="left" w:pos="8054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5AA8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04EE85AB" wp14:editId="7DA5F70A">
            <wp:simplePos x="0" y="0"/>
            <wp:positionH relativeFrom="margin">
              <wp:posOffset>-150522</wp:posOffset>
            </wp:positionH>
            <wp:positionV relativeFrom="paragraph">
              <wp:posOffset>66371</wp:posOffset>
            </wp:positionV>
            <wp:extent cx="6203315" cy="2775585"/>
            <wp:effectExtent l="0" t="0" r="6985" b="5715"/>
            <wp:wrapTight wrapText="bothSides">
              <wp:wrapPolygon edited="0">
                <wp:start x="0" y="0"/>
                <wp:lineTo x="0" y="21496"/>
                <wp:lineTo x="21558" y="21496"/>
                <wp:lineTo x="21558" y="0"/>
                <wp:lineTo x="0" y="0"/>
              </wp:wrapPolygon>
            </wp:wrapTight>
            <wp:docPr id="15" name="Picture 14" descr="A diagram of a graph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11D9F05-770A-DA6B-DBAA-248507C6A0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diagram of a graph&#10;&#10;Description automatically generated">
                      <a:extLst>
                        <a:ext uri="{FF2B5EF4-FFF2-40B4-BE49-F238E27FC236}">
                          <a16:creationId xmlns:a16="http://schemas.microsoft.com/office/drawing/2014/main" id="{811D9F05-770A-DA6B-DBAA-248507C6A0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315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0B579" w14:textId="01E1D16A" w:rsidR="005B165B" w:rsidRPr="00915AA8" w:rsidRDefault="005B165B" w:rsidP="005B16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915AA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915AA8">
        <w:rPr>
          <w:rFonts w:ascii="Times New Roman" w:hAnsi="Times New Roman" w:cs="Times New Roman"/>
          <w:sz w:val="24"/>
          <w:szCs w:val="24"/>
        </w:rPr>
        <w:t>Intra-observer variability agreement. The difference in kidney volumes over multiple days, tested using Bland-Altman analysis.</w:t>
      </w:r>
    </w:p>
    <w:p w14:paraId="35059383" w14:textId="77777777" w:rsidR="008C0AE3" w:rsidRPr="00915AA8" w:rsidRDefault="008C0AE3" w:rsidP="008C0AE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5FEC8" w14:textId="1337AD2B" w:rsidR="00E30653" w:rsidRPr="00915AA8" w:rsidRDefault="00E30653" w:rsidP="008C0AE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AA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3036941F" wp14:editId="1AB3EB5D">
            <wp:simplePos x="0" y="0"/>
            <wp:positionH relativeFrom="page">
              <wp:posOffset>1191378</wp:posOffset>
            </wp:positionH>
            <wp:positionV relativeFrom="paragraph">
              <wp:posOffset>369</wp:posOffset>
            </wp:positionV>
            <wp:extent cx="4709795" cy="4929505"/>
            <wp:effectExtent l="0" t="0" r="0" b="4445"/>
            <wp:wrapTight wrapText="bothSides">
              <wp:wrapPolygon edited="0">
                <wp:start x="0" y="0"/>
                <wp:lineTo x="0" y="21536"/>
                <wp:lineTo x="21492" y="21536"/>
                <wp:lineTo x="21492" y="0"/>
                <wp:lineTo x="0" y="0"/>
              </wp:wrapPolygon>
            </wp:wrapTight>
            <wp:docPr id="59552637" name="Picture 1" descr="A flowchart of wome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2637" name="Picture 1" descr="A flowchart of women with black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795" cy="492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0ED8A" w14:textId="77777777" w:rsidR="00E30653" w:rsidRPr="00915AA8" w:rsidRDefault="00E30653" w:rsidP="008C0AE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793E3" w14:textId="0DBD1C8E" w:rsidR="00E30653" w:rsidRPr="00915AA8" w:rsidRDefault="00E30653" w:rsidP="008C0AE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8E31D" w14:textId="77777777" w:rsidR="00E30653" w:rsidRPr="00915AA8" w:rsidRDefault="00E30653" w:rsidP="008C0AE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350B2" w14:textId="77777777" w:rsidR="00E30653" w:rsidRPr="00915AA8" w:rsidRDefault="00E30653" w:rsidP="008C0AE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004A8" w14:textId="77777777" w:rsidR="00E30653" w:rsidRPr="00915AA8" w:rsidRDefault="00E30653" w:rsidP="008C0AE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DEBC7" w14:textId="77777777" w:rsidR="00E30653" w:rsidRPr="00915AA8" w:rsidRDefault="00E30653" w:rsidP="008C0AE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0BEF5" w14:textId="77777777" w:rsidR="00E30653" w:rsidRPr="00915AA8" w:rsidRDefault="00E30653" w:rsidP="008C0AE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62A05" w14:textId="77777777" w:rsidR="00E30653" w:rsidRPr="00915AA8" w:rsidRDefault="00E30653" w:rsidP="008C0AE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6B5D7" w14:textId="77777777" w:rsidR="00E30653" w:rsidRPr="00915AA8" w:rsidRDefault="00E30653" w:rsidP="008C0AE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AE541" w14:textId="77777777" w:rsidR="00E30653" w:rsidRPr="00915AA8" w:rsidRDefault="00E30653" w:rsidP="008C0AE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8C8A8" w14:textId="2D3B88B4" w:rsidR="008C0AE3" w:rsidRPr="00915AA8" w:rsidRDefault="008C0AE3" w:rsidP="008C0AE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AA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B165B" w:rsidRPr="00915AA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15AA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15AA8">
        <w:rPr>
          <w:rFonts w:ascii="Times New Roman" w:hAnsi="Times New Roman" w:cs="Times New Roman"/>
          <w:sz w:val="24"/>
          <w:szCs w:val="24"/>
        </w:rPr>
        <w:t>Flowchart of the women involved in the study.</w:t>
      </w:r>
    </w:p>
    <w:p w14:paraId="16968C47" w14:textId="77777777" w:rsidR="008C0AE3" w:rsidRPr="00915AA8" w:rsidRDefault="008C0AE3" w:rsidP="007C5E33">
      <w:pPr>
        <w:tabs>
          <w:tab w:val="left" w:pos="8054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2F8F65" w14:textId="77777777" w:rsidR="00BD719E" w:rsidRPr="00915AA8" w:rsidRDefault="00BD719E" w:rsidP="007C5E33">
      <w:pPr>
        <w:tabs>
          <w:tab w:val="left" w:pos="8054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4C358DD" w14:textId="6409855E" w:rsidR="007C5E33" w:rsidRPr="00915AA8" w:rsidRDefault="00C06F2E" w:rsidP="007C5E33">
      <w:pPr>
        <w:tabs>
          <w:tab w:val="left" w:pos="8054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5AA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5C4E43E9" wp14:editId="4190168A">
            <wp:extent cx="5683542" cy="6045511"/>
            <wp:effectExtent l="0" t="0" r="0" b="0"/>
            <wp:docPr id="1232868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86832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3542" cy="604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014F3" w14:textId="48C04072" w:rsidR="00BD719E" w:rsidRPr="00915AA8" w:rsidRDefault="00BD719E" w:rsidP="000D0D2F">
      <w:pPr>
        <w:tabs>
          <w:tab w:val="left" w:pos="805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5B165B"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915AA8">
        <w:rPr>
          <w:rFonts w:ascii="Times New Roman" w:hAnsi="Times New Roman" w:cs="Times New Roman"/>
          <w:sz w:val="24"/>
          <w:szCs w:val="24"/>
          <w:lang w:val="en-US"/>
        </w:rPr>
        <w:t xml:space="preserve">Linear </w:t>
      </w:r>
      <w:r w:rsidR="00DC0F8A" w:rsidRPr="00915AA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15AA8">
        <w:rPr>
          <w:rFonts w:ascii="Times New Roman" w:hAnsi="Times New Roman" w:cs="Times New Roman"/>
          <w:sz w:val="24"/>
          <w:szCs w:val="24"/>
          <w:lang w:val="en-US"/>
        </w:rPr>
        <w:t xml:space="preserve">egression models showing </w:t>
      </w:r>
      <w:r w:rsidR="00DC0F8A" w:rsidRPr="00915AA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15AA8">
        <w:rPr>
          <w:rFonts w:ascii="Times New Roman" w:hAnsi="Times New Roman" w:cs="Times New Roman"/>
          <w:sz w:val="24"/>
          <w:szCs w:val="24"/>
          <w:lang w:val="en-US"/>
        </w:rPr>
        <w:t xml:space="preserve">ystolic </w:t>
      </w:r>
      <w:r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C06F2E"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>Panel A</w:t>
      </w:r>
      <w:r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915AA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C0F8A" w:rsidRPr="00915AA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15AA8">
        <w:rPr>
          <w:rFonts w:ascii="Times New Roman" w:hAnsi="Times New Roman" w:cs="Times New Roman"/>
          <w:sz w:val="24"/>
          <w:szCs w:val="24"/>
          <w:lang w:val="en-US"/>
        </w:rPr>
        <w:t xml:space="preserve">iastolic </w:t>
      </w:r>
      <w:r w:rsidR="00DC0F8A" w:rsidRPr="00915A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15AA8">
        <w:rPr>
          <w:rFonts w:ascii="Times New Roman" w:hAnsi="Times New Roman" w:cs="Times New Roman"/>
          <w:sz w:val="24"/>
          <w:szCs w:val="24"/>
          <w:lang w:val="en-US"/>
        </w:rPr>
        <w:t xml:space="preserve">lood </w:t>
      </w:r>
      <w:r w:rsidR="00DC0F8A" w:rsidRPr="00915AA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15AA8">
        <w:rPr>
          <w:rFonts w:ascii="Times New Roman" w:hAnsi="Times New Roman" w:cs="Times New Roman"/>
          <w:sz w:val="24"/>
          <w:szCs w:val="24"/>
          <w:lang w:val="en-US"/>
        </w:rPr>
        <w:t xml:space="preserve">ressure </w:t>
      </w:r>
      <w:r w:rsidR="008C0AE3" w:rsidRPr="00915AA8">
        <w:rPr>
          <w:rFonts w:ascii="Times New Roman" w:hAnsi="Times New Roman" w:cs="Times New Roman"/>
          <w:sz w:val="24"/>
          <w:szCs w:val="24"/>
          <w:lang w:val="en-US"/>
        </w:rPr>
        <w:t xml:space="preserve">6-12 months postpartum </w:t>
      </w:r>
      <w:r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C06F2E"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>Panel B</w:t>
      </w:r>
      <w:r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r w:rsidR="00DB3F8B" w:rsidRPr="00915AA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15AA8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DC0F8A" w:rsidRPr="00915AA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15AA8">
        <w:rPr>
          <w:rFonts w:ascii="Times New Roman" w:hAnsi="Times New Roman" w:cs="Times New Roman"/>
          <w:sz w:val="24"/>
          <w:szCs w:val="24"/>
          <w:lang w:val="en-US"/>
        </w:rPr>
        <w:t xml:space="preserve">otal </w:t>
      </w:r>
      <w:r w:rsidR="00DC0F8A" w:rsidRPr="00915AA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15AA8">
        <w:rPr>
          <w:rFonts w:ascii="Times New Roman" w:hAnsi="Times New Roman" w:cs="Times New Roman"/>
          <w:sz w:val="24"/>
          <w:szCs w:val="24"/>
          <w:lang w:val="en-US"/>
        </w:rPr>
        <w:t xml:space="preserve">idney </w:t>
      </w:r>
      <w:r w:rsidR="00DC0F8A" w:rsidRPr="00915AA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15AA8">
        <w:rPr>
          <w:rFonts w:ascii="Times New Roman" w:hAnsi="Times New Roman" w:cs="Times New Roman"/>
          <w:sz w:val="24"/>
          <w:szCs w:val="24"/>
          <w:lang w:val="en-US"/>
        </w:rPr>
        <w:t>olumes</w:t>
      </w:r>
      <w:r w:rsidR="00DC0F8A" w:rsidRPr="00915AA8">
        <w:rPr>
          <w:rFonts w:ascii="Times New Roman" w:hAnsi="Times New Roman" w:cs="Times New Roman"/>
          <w:sz w:val="24"/>
          <w:szCs w:val="24"/>
          <w:lang w:val="en-US"/>
        </w:rPr>
        <w:t xml:space="preserve"> indexed to body surface area</w:t>
      </w:r>
      <w:r w:rsidRPr="00915A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34CF28" w14:textId="77777777" w:rsidR="007C5E33" w:rsidRPr="00915AA8" w:rsidRDefault="007C5E33" w:rsidP="007C5E33">
      <w:pPr>
        <w:tabs>
          <w:tab w:val="left" w:pos="8054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B051316" w14:textId="77777777" w:rsidR="007C5E33" w:rsidRPr="00915AA8" w:rsidRDefault="007C5E33" w:rsidP="007C5E33">
      <w:pPr>
        <w:tabs>
          <w:tab w:val="left" w:pos="8054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B9EE55" w14:textId="77777777" w:rsidR="007C5E33" w:rsidRPr="00915AA8" w:rsidRDefault="007C5E33" w:rsidP="007C5E33">
      <w:pPr>
        <w:tabs>
          <w:tab w:val="left" w:pos="8054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84338E" w14:textId="258EF2B3" w:rsidR="007C5E33" w:rsidRPr="00915AA8" w:rsidRDefault="007C5E33" w:rsidP="007C5E33">
      <w:pPr>
        <w:tabs>
          <w:tab w:val="left" w:pos="8054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5AA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6EBDE8AF" wp14:editId="6EEBE0FE">
            <wp:extent cx="5731510" cy="3771900"/>
            <wp:effectExtent l="0" t="0" r="2540" b="0"/>
            <wp:docPr id="410083048" name="Picture 1" descr="A graph showing a diagram of a number of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83048" name="Picture 1" descr="A graph showing a diagram of a number of object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14EA0" w14:textId="7AECB03E" w:rsidR="00BD719E" w:rsidRPr="00915AA8" w:rsidRDefault="00BD719E" w:rsidP="000D0D2F">
      <w:pPr>
        <w:tabs>
          <w:tab w:val="left" w:pos="805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5B165B"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915AA8">
        <w:rPr>
          <w:rFonts w:ascii="Times New Roman" w:hAnsi="Times New Roman" w:cs="Times New Roman"/>
          <w:sz w:val="24"/>
          <w:szCs w:val="24"/>
          <w:lang w:val="en-US"/>
        </w:rPr>
        <w:t xml:space="preserve">Boxplots </w:t>
      </w:r>
      <w:r w:rsidR="0096333C">
        <w:rPr>
          <w:rFonts w:ascii="Times New Roman" w:hAnsi="Times New Roman" w:cs="Times New Roman"/>
          <w:sz w:val="24"/>
          <w:szCs w:val="24"/>
          <w:lang w:val="en-US"/>
        </w:rPr>
        <w:t>presenting</w:t>
      </w:r>
      <w:r w:rsidR="0096333C" w:rsidRPr="00915A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5AA8">
        <w:rPr>
          <w:rFonts w:ascii="Times New Roman" w:hAnsi="Times New Roman" w:cs="Times New Roman"/>
          <w:sz w:val="24"/>
          <w:szCs w:val="24"/>
          <w:lang w:val="en-US"/>
        </w:rPr>
        <w:t>total kidney volume indexed to body surface area for control vs intervention</w:t>
      </w:r>
      <w:r w:rsidR="0096333C">
        <w:rPr>
          <w:rFonts w:ascii="Times New Roman" w:hAnsi="Times New Roman" w:cs="Times New Roman"/>
          <w:sz w:val="24"/>
          <w:szCs w:val="24"/>
          <w:lang w:val="en-US"/>
        </w:rPr>
        <w:t xml:space="preserve"> groups</w:t>
      </w:r>
      <w:r w:rsidRPr="00915A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BA916C" w14:textId="0C42CA5B" w:rsidR="007C5E33" w:rsidRPr="00915AA8" w:rsidRDefault="000D0D2F" w:rsidP="007C5E33">
      <w:pPr>
        <w:tabs>
          <w:tab w:val="left" w:pos="8054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5AA8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057AF823" wp14:editId="7DF652E2">
            <wp:simplePos x="0" y="0"/>
            <wp:positionH relativeFrom="margin">
              <wp:posOffset>14246</wp:posOffset>
            </wp:positionH>
            <wp:positionV relativeFrom="paragraph">
              <wp:posOffset>510926</wp:posOffset>
            </wp:positionV>
            <wp:extent cx="5731510" cy="2659380"/>
            <wp:effectExtent l="0" t="0" r="2540" b="7620"/>
            <wp:wrapTight wrapText="bothSides">
              <wp:wrapPolygon edited="0">
                <wp:start x="0" y="0"/>
                <wp:lineTo x="0" y="21507"/>
                <wp:lineTo x="21538" y="21507"/>
                <wp:lineTo x="21538" y="0"/>
                <wp:lineTo x="0" y="0"/>
              </wp:wrapPolygon>
            </wp:wrapTight>
            <wp:docPr id="17751577" name="Picture 1" descr="A graph of a number of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1577" name="Picture 1" descr="A graph of a number of dot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1FE20" w14:textId="587C9225" w:rsidR="00BD719E" w:rsidRPr="00915AA8" w:rsidRDefault="00BD719E" w:rsidP="007C5E33">
      <w:pPr>
        <w:tabs>
          <w:tab w:val="left" w:pos="8054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2DE817" w14:textId="63EC6EFB" w:rsidR="00F4500A" w:rsidRPr="00123B3B" w:rsidRDefault="00E901A5" w:rsidP="00123B3B">
      <w:pPr>
        <w:tabs>
          <w:tab w:val="left" w:pos="805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5B165B"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7C5E33" w:rsidRPr="00915A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7C5E33" w:rsidRPr="00915AA8">
        <w:rPr>
          <w:rFonts w:ascii="Times New Roman" w:hAnsi="Times New Roman" w:cs="Times New Roman"/>
          <w:sz w:val="24"/>
          <w:szCs w:val="24"/>
          <w:lang w:val="en-US"/>
        </w:rPr>
        <w:t xml:space="preserve">Boxplots </w:t>
      </w:r>
      <w:r w:rsidR="0096333C">
        <w:rPr>
          <w:rFonts w:ascii="Times New Roman" w:hAnsi="Times New Roman" w:cs="Times New Roman"/>
          <w:sz w:val="24"/>
          <w:szCs w:val="24"/>
          <w:lang w:val="en-US"/>
        </w:rPr>
        <w:t xml:space="preserve">displaying </w:t>
      </w:r>
      <w:r w:rsidR="007C5E33" w:rsidRPr="00915AA8">
        <w:rPr>
          <w:rFonts w:ascii="Times New Roman" w:hAnsi="Times New Roman" w:cs="Times New Roman"/>
          <w:sz w:val="24"/>
          <w:szCs w:val="24"/>
          <w:lang w:val="en-US"/>
        </w:rPr>
        <w:t xml:space="preserve">corticomedullary differentiation across control </w:t>
      </w:r>
      <w:r w:rsidR="0096333C">
        <w:rPr>
          <w:rFonts w:ascii="Times New Roman" w:hAnsi="Times New Roman" w:cs="Times New Roman"/>
          <w:sz w:val="24"/>
          <w:szCs w:val="24"/>
          <w:lang w:val="en-US"/>
        </w:rPr>
        <w:t>vs</w:t>
      </w:r>
      <w:r w:rsidR="0096333C" w:rsidRPr="00915A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5E33" w:rsidRPr="00915AA8">
        <w:rPr>
          <w:rFonts w:ascii="Times New Roman" w:hAnsi="Times New Roman" w:cs="Times New Roman"/>
          <w:sz w:val="24"/>
          <w:szCs w:val="24"/>
          <w:lang w:val="en-US"/>
        </w:rPr>
        <w:t>intervention</w:t>
      </w:r>
      <w:r w:rsidR="0096333C">
        <w:rPr>
          <w:rFonts w:ascii="Times New Roman" w:hAnsi="Times New Roman" w:cs="Times New Roman"/>
          <w:sz w:val="24"/>
          <w:szCs w:val="24"/>
          <w:lang w:val="en-US"/>
        </w:rPr>
        <w:t xml:space="preserve"> groups.</w:t>
      </w:r>
    </w:p>
    <w:sectPr w:rsidR="00F4500A" w:rsidRPr="00123B3B" w:rsidSect="007C5E33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8D20" w14:textId="77777777" w:rsidR="00CE2AF9" w:rsidRDefault="00CE2AF9">
      <w:pPr>
        <w:spacing w:after="0" w:line="240" w:lineRule="auto"/>
      </w:pPr>
      <w:r>
        <w:separator/>
      </w:r>
    </w:p>
  </w:endnote>
  <w:endnote w:type="continuationSeparator" w:id="0">
    <w:p w14:paraId="2231F4ED" w14:textId="77777777" w:rsidR="00CE2AF9" w:rsidRDefault="00CE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F1B0" w14:textId="77777777" w:rsidR="005D325D" w:rsidRPr="00E02AE0" w:rsidRDefault="00000000">
    <w:pPr>
      <w:pStyle w:val="Footer"/>
    </w:pPr>
    <w:r>
      <w:t xml:space="preserve"> </w:t>
    </w:r>
  </w:p>
  <w:p w14:paraId="1DBAB4DF" w14:textId="77777777" w:rsidR="005D325D" w:rsidRDefault="005D32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B4A7" w14:textId="77777777" w:rsidR="00CE2AF9" w:rsidRDefault="00CE2AF9">
      <w:pPr>
        <w:spacing w:after="0" w:line="240" w:lineRule="auto"/>
      </w:pPr>
      <w:r>
        <w:separator/>
      </w:r>
    </w:p>
  </w:footnote>
  <w:footnote w:type="continuationSeparator" w:id="0">
    <w:p w14:paraId="74C30E58" w14:textId="77777777" w:rsidR="00CE2AF9" w:rsidRDefault="00CE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1A84" w14:textId="77777777" w:rsidR="005D325D" w:rsidRPr="00F96BB3" w:rsidRDefault="005D325D">
    <w:pPr>
      <w:pStyle w:val="Header"/>
    </w:pPr>
  </w:p>
  <w:p w14:paraId="44DEFB84" w14:textId="77777777" w:rsidR="005D325D" w:rsidRDefault="005D32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6F1"/>
    <w:multiLevelType w:val="multilevel"/>
    <w:tmpl w:val="DED2B9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4054D"/>
    <w:multiLevelType w:val="hybridMultilevel"/>
    <w:tmpl w:val="C5700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936E2"/>
    <w:multiLevelType w:val="multilevel"/>
    <w:tmpl w:val="6044A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3B7FCE"/>
    <w:multiLevelType w:val="hybridMultilevel"/>
    <w:tmpl w:val="8CD4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06B64"/>
    <w:multiLevelType w:val="multilevel"/>
    <w:tmpl w:val="6044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E448B8"/>
    <w:multiLevelType w:val="multilevel"/>
    <w:tmpl w:val="23F25F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1810162"/>
    <w:multiLevelType w:val="multilevel"/>
    <w:tmpl w:val="864477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087B14"/>
    <w:multiLevelType w:val="multilevel"/>
    <w:tmpl w:val="1878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661C06"/>
    <w:multiLevelType w:val="multilevel"/>
    <w:tmpl w:val="6044A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327746"/>
    <w:multiLevelType w:val="multilevel"/>
    <w:tmpl w:val="11C2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4C1778"/>
    <w:multiLevelType w:val="multilevel"/>
    <w:tmpl w:val="C252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2F6B5C"/>
    <w:multiLevelType w:val="multilevel"/>
    <w:tmpl w:val="09EC0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E0993"/>
    <w:multiLevelType w:val="multilevel"/>
    <w:tmpl w:val="202201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82E5696"/>
    <w:multiLevelType w:val="multilevel"/>
    <w:tmpl w:val="85F2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B75373"/>
    <w:multiLevelType w:val="multilevel"/>
    <w:tmpl w:val="55B43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56B2F6F"/>
    <w:multiLevelType w:val="multilevel"/>
    <w:tmpl w:val="FDF65D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84A5729"/>
    <w:multiLevelType w:val="multilevel"/>
    <w:tmpl w:val="EF2ABDE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B2659DE"/>
    <w:multiLevelType w:val="multilevel"/>
    <w:tmpl w:val="E96679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D9A68F3"/>
    <w:multiLevelType w:val="multilevel"/>
    <w:tmpl w:val="2120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8475A2"/>
    <w:multiLevelType w:val="multilevel"/>
    <w:tmpl w:val="470C1A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AB67A14"/>
    <w:multiLevelType w:val="multilevel"/>
    <w:tmpl w:val="6720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0F4501"/>
    <w:multiLevelType w:val="multilevel"/>
    <w:tmpl w:val="1736CB7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F024DFF"/>
    <w:multiLevelType w:val="multilevel"/>
    <w:tmpl w:val="DAF47E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93158160">
    <w:abstractNumId w:val="0"/>
  </w:num>
  <w:num w:numId="2" w16cid:durableId="589582159">
    <w:abstractNumId w:val="20"/>
  </w:num>
  <w:num w:numId="3" w16cid:durableId="1036201316">
    <w:abstractNumId w:val="2"/>
  </w:num>
  <w:num w:numId="4" w16cid:durableId="243223430">
    <w:abstractNumId w:val="9"/>
  </w:num>
  <w:num w:numId="5" w16cid:durableId="710106162">
    <w:abstractNumId w:val="7"/>
  </w:num>
  <w:num w:numId="6" w16cid:durableId="1418672290">
    <w:abstractNumId w:val="18"/>
  </w:num>
  <w:num w:numId="7" w16cid:durableId="902712449">
    <w:abstractNumId w:val="11"/>
  </w:num>
  <w:num w:numId="8" w16cid:durableId="641622298">
    <w:abstractNumId w:val="21"/>
  </w:num>
  <w:num w:numId="9" w16cid:durableId="544801683">
    <w:abstractNumId w:val="16"/>
  </w:num>
  <w:num w:numId="10" w16cid:durableId="1880508993">
    <w:abstractNumId w:val="22"/>
  </w:num>
  <w:num w:numId="11" w16cid:durableId="307707479">
    <w:abstractNumId w:val="12"/>
  </w:num>
  <w:num w:numId="12" w16cid:durableId="439617056">
    <w:abstractNumId w:val="6"/>
  </w:num>
  <w:num w:numId="13" w16cid:durableId="242380141">
    <w:abstractNumId w:val="14"/>
  </w:num>
  <w:num w:numId="14" w16cid:durableId="180362598">
    <w:abstractNumId w:val="15"/>
  </w:num>
  <w:num w:numId="15" w16cid:durableId="2143764124">
    <w:abstractNumId w:val="5"/>
  </w:num>
  <w:num w:numId="16" w16cid:durableId="2051302187">
    <w:abstractNumId w:val="17"/>
  </w:num>
  <w:num w:numId="17" w16cid:durableId="1961644831">
    <w:abstractNumId w:val="19"/>
  </w:num>
  <w:num w:numId="18" w16cid:durableId="337735214">
    <w:abstractNumId w:val="8"/>
  </w:num>
  <w:num w:numId="19" w16cid:durableId="916549352">
    <w:abstractNumId w:val="4"/>
  </w:num>
  <w:num w:numId="20" w16cid:durableId="103229717">
    <w:abstractNumId w:val="13"/>
  </w:num>
  <w:num w:numId="21" w16cid:durableId="48959951">
    <w:abstractNumId w:val="10"/>
  </w:num>
  <w:num w:numId="22" w16cid:durableId="1657032111">
    <w:abstractNumId w:val="1"/>
  </w:num>
  <w:num w:numId="23" w16cid:durableId="306207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33"/>
    <w:rsid w:val="00035CBE"/>
    <w:rsid w:val="00070C8B"/>
    <w:rsid w:val="000D0D2F"/>
    <w:rsid w:val="000D2161"/>
    <w:rsid w:val="000F0ABD"/>
    <w:rsid w:val="001151DB"/>
    <w:rsid w:val="00123B3B"/>
    <w:rsid w:val="0012701F"/>
    <w:rsid w:val="00127BD3"/>
    <w:rsid w:val="00183800"/>
    <w:rsid w:val="00194408"/>
    <w:rsid w:val="001A307C"/>
    <w:rsid w:val="001B6046"/>
    <w:rsid w:val="001D2FF4"/>
    <w:rsid w:val="00204907"/>
    <w:rsid w:val="00205199"/>
    <w:rsid w:val="0023072B"/>
    <w:rsid w:val="00285FE0"/>
    <w:rsid w:val="002D43D3"/>
    <w:rsid w:val="002E0CEF"/>
    <w:rsid w:val="002F3248"/>
    <w:rsid w:val="002F6DD9"/>
    <w:rsid w:val="003042BE"/>
    <w:rsid w:val="00357EA3"/>
    <w:rsid w:val="00380058"/>
    <w:rsid w:val="00381E4B"/>
    <w:rsid w:val="00386D9D"/>
    <w:rsid w:val="0038718B"/>
    <w:rsid w:val="00394903"/>
    <w:rsid w:val="003A5B1D"/>
    <w:rsid w:val="003B558C"/>
    <w:rsid w:val="003E029B"/>
    <w:rsid w:val="003F3791"/>
    <w:rsid w:val="00402C37"/>
    <w:rsid w:val="00404309"/>
    <w:rsid w:val="004731DC"/>
    <w:rsid w:val="004B3D87"/>
    <w:rsid w:val="004B568B"/>
    <w:rsid w:val="004E40DF"/>
    <w:rsid w:val="00514F11"/>
    <w:rsid w:val="0052360A"/>
    <w:rsid w:val="00540E9B"/>
    <w:rsid w:val="0055272E"/>
    <w:rsid w:val="005B165B"/>
    <w:rsid w:val="005D2AF2"/>
    <w:rsid w:val="005D2E0A"/>
    <w:rsid w:val="005D325D"/>
    <w:rsid w:val="00631927"/>
    <w:rsid w:val="00671E23"/>
    <w:rsid w:val="00677D22"/>
    <w:rsid w:val="006C12D4"/>
    <w:rsid w:val="006F4E8E"/>
    <w:rsid w:val="007211C4"/>
    <w:rsid w:val="007400F9"/>
    <w:rsid w:val="0075026A"/>
    <w:rsid w:val="00761242"/>
    <w:rsid w:val="00796A53"/>
    <w:rsid w:val="007B51C5"/>
    <w:rsid w:val="007C0989"/>
    <w:rsid w:val="007C39BF"/>
    <w:rsid w:val="007C5E33"/>
    <w:rsid w:val="007E6317"/>
    <w:rsid w:val="007F0B6C"/>
    <w:rsid w:val="007F772E"/>
    <w:rsid w:val="00821BCD"/>
    <w:rsid w:val="008254F5"/>
    <w:rsid w:val="008C0AE3"/>
    <w:rsid w:val="008D0BCF"/>
    <w:rsid w:val="008E46DB"/>
    <w:rsid w:val="00902F04"/>
    <w:rsid w:val="00915AA8"/>
    <w:rsid w:val="0096333C"/>
    <w:rsid w:val="009729B3"/>
    <w:rsid w:val="009C1713"/>
    <w:rsid w:val="009F3B06"/>
    <w:rsid w:val="00A02682"/>
    <w:rsid w:val="00A50E66"/>
    <w:rsid w:val="00A652F0"/>
    <w:rsid w:val="00A81137"/>
    <w:rsid w:val="00AE6314"/>
    <w:rsid w:val="00AF283E"/>
    <w:rsid w:val="00AF58EA"/>
    <w:rsid w:val="00B0454D"/>
    <w:rsid w:val="00B12B09"/>
    <w:rsid w:val="00B158B8"/>
    <w:rsid w:val="00B30327"/>
    <w:rsid w:val="00B36498"/>
    <w:rsid w:val="00B377DB"/>
    <w:rsid w:val="00B43840"/>
    <w:rsid w:val="00B5463A"/>
    <w:rsid w:val="00B63F10"/>
    <w:rsid w:val="00B73198"/>
    <w:rsid w:val="00B93BF5"/>
    <w:rsid w:val="00BD719E"/>
    <w:rsid w:val="00BE7245"/>
    <w:rsid w:val="00BF515D"/>
    <w:rsid w:val="00C06F2E"/>
    <w:rsid w:val="00C45FBA"/>
    <w:rsid w:val="00C46C54"/>
    <w:rsid w:val="00CB7031"/>
    <w:rsid w:val="00CD2AD1"/>
    <w:rsid w:val="00CE2AF9"/>
    <w:rsid w:val="00CF516E"/>
    <w:rsid w:val="00D624B5"/>
    <w:rsid w:val="00D62920"/>
    <w:rsid w:val="00DA461E"/>
    <w:rsid w:val="00DB3F8B"/>
    <w:rsid w:val="00DC0F8A"/>
    <w:rsid w:val="00E169A2"/>
    <w:rsid w:val="00E25AD9"/>
    <w:rsid w:val="00E30653"/>
    <w:rsid w:val="00E376DC"/>
    <w:rsid w:val="00E411D8"/>
    <w:rsid w:val="00E8613C"/>
    <w:rsid w:val="00E901A5"/>
    <w:rsid w:val="00EA6AF5"/>
    <w:rsid w:val="00ED3463"/>
    <w:rsid w:val="00ED7A90"/>
    <w:rsid w:val="00EE10D2"/>
    <w:rsid w:val="00EE6F10"/>
    <w:rsid w:val="00EF6787"/>
    <w:rsid w:val="00F13FBC"/>
    <w:rsid w:val="00F4500A"/>
    <w:rsid w:val="00F51F48"/>
    <w:rsid w:val="00F93AA2"/>
    <w:rsid w:val="00FA7E26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A9414"/>
  <w15:chartTrackingRefBased/>
  <w15:docId w15:val="{81BF5465-2650-4785-A7B7-79D3F13E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E3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E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E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E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E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E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E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E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E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E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E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E3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5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E3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C5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E3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7C5E33"/>
    <w:pPr>
      <w:tabs>
        <w:tab w:val="center" w:pos="4153"/>
        <w:tab w:val="right" w:pos="8987"/>
      </w:tabs>
      <w:spacing w:after="0" w:line="240" w:lineRule="auto"/>
    </w:pPr>
    <w:rPr>
      <w:rFonts w:ascii="Arial" w:eastAsia="Calibri" w:hAnsi="Arial" w:cs="Times New Roman"/>
      <w:kern w:val="0"/>
      <w:sz w:val="16"/>
      <w:szCs w:val="20"/>
      <w:lang w:val="en-US"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C5E33"/>
    <w:rPr>
      <w:rFonts w:ascii="Arial" w:eastAsia="Calibri" w:hAnsi="Arial" w:cs="Times New Roman"/>
      <w:kern w:val="0"/>
      <w:sz w:val="16"/>
      <w:szCs w:val="20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rsid w:val="007C5E33"/>
    <w:pPr>
      <w:tabs>
        <w:tab w:val="center" w:pos="4513"/>
        <w:tab w:val="right" w:pos="9026"/>
      </w:tabs>
      <w:spacing w:after="120" w:line="276" w:lineRule="auto"/>
    </w:pPr>
    <w:rPr>
      <w:rFonts w:ascii="Calibri" w:eastAsia="Times New Roman" w:hAnsi="Calibri" w:cs="Times New Roman"/>
      <w:kern w:val="0"/>
      <w:sz w:val="20"/>
      <w:szCs w:val="20"/>
      <w:lang w:val="en-US"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C5E33"/>
    <w:rPr>
      <w:rFonts w:ascii="Calibri" w:eastAsia="Times New Roman" w:hAnsi="Calibri" w:cs="Times New Roman"/>
      <w:kern w:val="0"/>
      <w:sz w:val="20"/>
      <w:szCs w:val="20"/>
      <w:lang w:val="en-US" w:eastAsia="en-GB"/>
      <w14:ligatures w14:val="none"/>
    </w:rPr>
  </w:style>
  <w:style w:type="table" w:styleId="ListTable6Colourful">
    <w:name w:val="List Table 6 Colorful"/>
    <w:basedOn w:val="TableNormal"/>
    <w:uiPriority w:val="51"/>
    <w:rsid w:val="007C5E33"/>
    <w:pPr>
      <w:spacing w:after="0"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C5E33"/>
  </w:style>
  <w:style w:type="character" w:styleId="CommentReference">
    <w:name w:val="annotation reference"/>
    <w:basedOn w:val="DefaultParagraphFont"/>
    <w:uiPriority w:val="99"/>
    <w:unhideWhenUsed/>
    <w:rsid w:val="003B5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5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5FBA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Cutler</dc:creator>
  <cp:keywords/>
  <dc:description/>
  <cp:lastModifiedBy>Hannah Cutler</cp:lastModifiedBy>
  <cp:revision>18</cp:revision>
  <dcterms:created xsi:type="dcterms:W3CDTF">2025-06-17T11:57:00Z</dcterms:created>
  <dcterms:modified xsi:type="dcterms:W3CDTF">2025-08-23T21:24:00Z</dcterms:modified>
</cp:coreProperties>
</file>