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D8AA" w14:textId="77777777" w:rsidR="00F02B86" w:rsidRPr="00B15DBE" w:rsidRDefault="00F02B86" w:rsidP="00F02B86">
      <w:pPr>
        <w:pStyle w:val="Heading1"/>
      </w:pPr>
      <w:bookmarkStart w:id="0" w:name="_Hlk155784785"/>
      <w:r w:rsidRPr="00B15DBE">
        <w:t>Supporting information</w:t>
      </w:r>
    </w:p>
    <w:p w14:paraId="120949F3" w14:textId="5E4979BA" w:rsidR="00D529D8" w:rsidRPr="00B15DBE" w:rsidRDefault="00B83C70" w:rsidP="007C2D5E">
      <w:pPr>
        <w:pStyle w:val="Heading1"/>
      </w:pPr>
      <w:r w:rsidRPr="00B15DBE">
        <w:t>I</w:t>
      </w:r>
      <w:r w:rsidR="00D0703B" w:rsidRPr="00B15DBE">
        <w:t xml:space="preserve">nterdisciplinary </w:t>
      </w:r>
      <w:r w:rsidR="00884334" w:rsidRPr="00B15DBE">
        <w:t>r</w:t>
      </w:r>
      <w:r w:rsidR="00B948D3" w:rsidRPr="00B15DBE">
        <w:t xml:space="preserve">ecommendations for </w:t>
      </w:r>
      <w:r w:rsidR="00C110E7" w:rsidRPr="00B15DBE">
        <w:t>r</w:t>
      </w:r>
      <w:r w:rsidR="00B948D3" w:rsidRPr="00B15DBE">
        <w:t xml:space="preserve">ecurrent </w:t>
      </w:r>
      <w:r w:rsidR="00C110E7" w:rsidRPr="00B15DBE">
        <w:t>h</w:t>
      </w:r>
      <w:r w:rsidR="00B948D3" w:rsidRPr="00B15DBE">
        <w:t>yperkal</w:t>
      </w:r>
      <w:r w:rsidR="00D71507" w:rsidRPr="00B15DBE">
        <w:t>a</w:t>
      </w:r>
      <w:r w:rsidR="00B948D3" w:rsidRPr="00B15DBE">
        <w:t>emia</w:t>
      </w:r>
      <w:r w:rsidR="002E5FC3" w:rsidRPr="00B15DBE">
        <w:t xml:space="preserve">: </w:t>
      </w:r>
      <w:bookmarkStart w:id="1" w:name="_Hlk164644880"/>
      <w:r w:rsidR="00307063" w:rsidRPr="00B15DBE">
        <w:t>I</w:t>
      </w:r>
      <w:r w:rsidR="00B948D3" w:rsidRPr="00B15DBE">
        <w:t>nsights from the GUARDIAN</w:t>
      </w:r>
      <w:r w:rsidR="00F714BA" w:rsidRPr="00B15DBE">
        <w:t>-</w:t>
      </w:r>
      <w:r w:rsidR="00B948D3" w:rsidRPr="00B15DBE">
        <w:t xml:space="preserve">HK European </w:t>
      </w:r>
      <w:r w:rsidR="00510111" w:rsidRPr="00B15DBE">
        <w:t>Steering Committee</w:t>
      </w:r>
      <w:bookmarkEnd w:id="1"/>
    </w:p>
    <w:bookmarkEnd w:id="0"/>
    <w:p w14:paraId="2792EF57" w14:textId="77777777" w:rsidR="00A1514D" w:rsidRPr="00B15DBE" w:rsidRDefault="001013DE" w:rsidP="00872A12">
      <w:pPr>
        <w:pStyle w:val="Heading2"/>
      </w:pPr>
      <w:r w:rsidRPr="00B15DBE">
        <w:t xml:space="preserve">Authors: </w:t>
      </w:r>
      <w:bookmarkStart w:id="2" w:name="_Hlk159422910"/>
    </w:p>
    <w:p w14:paraId="1696A3D7" w14:textId="575B490A" w:rsidR="00A66A69" w:rsidRPr="00B15DBE" w:rsidRDefault="00A66A69" w:rsidP="00CB1926">
      <w:pPr>
        <w:pStyle w:val="Authorlist"/>
        <w:ind w:left="284"/>
        <w:rPr>
          <w:vertAlign w:val="superscript"/>
        </w:rPr>
      </w:pPr>
      <w:r w:rsidRPr="00B15DBE">
        <w:t>Gianluigi Savarese</w:t>
      </w:r>
      <w:r w:rsidR="00F714BA" w:rsidRPr="00B15DBE">
        <w:rPr>
          <w:vertAlign w:val="superscript"/>
        </w:rPr>
        <w:t>1</w:t>
      </w:r>
      <w:r w:rsidR="00EC6851" w:rsidRPr="00B15DBE">
        <w:t>;</w:t>
      </w:r>
      <w:r w:rsidRPr="00B15DBE">
        <w:t xml:space="preserve"> </w:t>
      </w:r>
      <w:r w:rsidR="00F77655" w:rsidRPr="00B15DBE">
        <w:t>María Jesús Izquierdo</w:t>
      </w:r>
      <w:r w:rsidR="00F714BA" w:rsidRPr="00B15DBE">
        <w:rPr>
          <w:vertAlign w:val="superscript"/>
        </w:rPr>
        <w:t>2</w:t>
      </w:r>
      <w:r w:rsidR="00EC6851" w:rsidRPr="00B15DBE">
        <w:t>;</w:t>
      </w:r>
      <w:r w:rsidRPr="00B15DBE">
        <w:t xml:space="preserve"> Clara Bonanad</w:t>
      </w:r>
      <w:r w:rsidR="00F714BA" w:rsidRPr="00B15DBE">
        <w:rPr>
          <w:vertAlign w:val="superscript"/>
        </w:rPr>
        <w:t>3</w:t>
      </w:r>
      <w:r w:rsidR="00B85268" w:rsidRPr="00B15DBE">
        <w:t>;</w:t>
      </w:r>
      <w:r w:rsidRPr="00B15DBE">
        <w:t xml:space="preserve"> Aaron Wong</w:t>
      </w:r>
      <w:r w:rsidR="00F714BA" w:rsidRPr="00B15DBE">
        <w:rPr>
          <w:vertAlign w:val="superscript"/>
        </w:rPr>
        <w:t>4</w:t>
      </w:r>
      <w:r w:rsidR="00B85268" w:rsidRPr="00B15DBE">
        <w:t>;</w:t>
      </w:r>
      <w:r w:rsidRPr="00B15DBE">
        <w:t xml:space="preserve"> Roland Schmitt</w:t>
      </w:r>
      <w:r w:rsidR="00F714BA" w:rsidRPr="00B15DBE">
        <w:rPr>
          <w:vertAlign w:val="superscript"/>
        </w:rPr>
        <w:t>5</w:t>
      </w:r>
      <w:r w:rsidR="00B85268" w:rsidRPr="00B15DBE">
        <w:t>;</w:t>
      </w:r>
      <w:r w:rsidRPr="00B15DBE">
        <w:t xml:space="preserve"> Pietro Manuel Ferraro</w:t>
      </w:r>
      <w:r w:rsidR="00F714BA" w:rsidRPr="00B15DBE">
        <w:rPr>
          <w:vertAlign w:val="superscript"/>
        </w:rPr>
        <w:t>6</w:t>
      </w:r>
      <w:r w:rsidR="00B85268" w:rsidRPr="00B15DBE">
        <w:t>;</w:t>
      </w:r>
      <w:r w:rsidRPr="00B15DBE">
        <w:t xml:space="preserve"> Francesco Dentali</w:t>
      </w:r>
      <w:r w:rsidR="00F714BA" w:rsidRPr="00B15DBE">
        <w:rPr>
          <w:vertAlign w:val="superscript"/>
        </w:rPr>
        <w:t>7</w:t>
      </w:r>
      <w:r w:rsidR="00B85268" w:rsidRPr="00B15DBE">
        <w:t>;</w:t>
      </w:r>
      <w:r w:rsidRPr="00B15DBE">
        <w:t xml:space="preserve"> James </w:t>
      </w:r>
      <w:r w:rsidR="006F6538" w:rsidRPr="00B15DBE">
        <w:t xml:space="preserve">O. </w:t>
      </w:r>
      <w:r w:rsidRPr="00B15DBE">
        <w:t>Burton</w:t>
      </w:r>
      <w:r w:rsidR="00F714BA" w:rsidRPr="00B15DBE">
        <w:rPr>
          <w:vertAlign w:val="superscript"/>
        </w:rPr>
        <w:t>8</w:t>
      </w:r>
      <w:r w:rsidR="00B85268" w:rsidRPr="00B15DBE">
        <w:t>;</w:t>
      </w:r>
      <w:r w:rsidRPr="00B15DBE">
        <w:t xml:space="preserve"> Giuseppe Rosano</w:t>
      </w:r>
      <w:r w:rsidR="00F714BA" w:rsidRPr="00B15DBE">
        <w:rPr>
          <w:vertAlign w:val="superscript"/>
        </w:rPr>
        <w:t>9</w:t>
      </w:r>
      <w:bookmarkEnd w:id="2"/>
    </w:p>
    <w:p w14:paraId="3445B247" w14:textId="1BCF8FB7" w:rsidR="00CB1926" w:rsidRPr="00B15DBE" w:rsidRDefault="00CB1926" w:rsidP="00872A12">
      <w:pPr>
        <w:pStyle w:val="Heading2"/>
      </w:pPr>
      <w:r w:rsidRPr="00B15DBE">
        <w:t>Affiliations:</w:t>
      </w:r>
    </w:p>
    <w:p w14:paraId="615CCFDE" w14:textId="1E7FEA4B" w:rsidR="005F06C3" w:rsidRPr="00F02B86" w:rsidRDefault="005F06C3" w:rsidP="00CB1926">
      <w:pPr>
        <w:pStyle w:val="Authorlist"/>
        <w:ind w:left="284"/>
        <w:rPr>
          <w:sz w:val="20"/>
          <w:szCs w:val="20"/>
        </w:rPr>
      </w:pPr>
      <w:r w:rsidRPr="00F02B86">
        <w:rPr>
          <w:sz w:val="20"/>
          <w:szCs w:val="20"/>
          <w:vertAlign w:val="superscript"/>
        </w:rPr>
        <w:t>1</w:t>
      </w:r>
      <w:r w:rsidR="00CE44E5" w:rsidRPr="00F02B86">
        <w:rPr>
          <w:sz w:val="20"/>
          <w:szCs w:val="20"/>
        </w:rPr>
        <w:t>Department of Medicine, Karolinska Institute, Stockholm, Sweden</w:t>
      </w:r>
      <w:r w:rsidR="004A0712" w:rsidRPr="00F02B86">
        <w:rPr>
          <w:sz w:val="20"/>
          <w:szCs w:val="20"/>
        </w:rPr>
        <w:t>; Heart and Vascular and Neurology Theme, Karolinska University Hospital, Stockholm, Sweden</w:t>
      </w:r>
    </w:p>
    <w:p w14:paraId="10EA59A1" w14:textId="7B2398B3" w:rsidR="00060846" w:rsidRPr="00F02B86" w:rsidRDefault="00060846" w:rsidP="00CB1926">
      <w:pPr>
        <w:pStyle w:val="Authorlist"/>
        <w:ind w:left="284"/>
        <w:rPr>
          <w:sz w:val="20"/>
          <w:szCs w:val="20"/>
        </w:rPr>
      </w:pPr>
      <w:r w:rsidRPr="00F02B86">
        <w:rPr>
          <w:sz w:val="20"/>
          <w:szCs w:val="20"/>
          <w:vertAlign w:val="superscript"/>
        </w:rPr>
        <w:t>2</w:t>
      </w:r>
      <w:r w:rsidR="00A207FD" w:rsidRPr="00F02B86">
        <w:rPr>
          <w:sz w:val="20"/>
          <w:szCs w:val="20"/>
        </w:rPr>
        <w:t>Department of Nephrology</w:t>
      </w:r>
      <w:r w:rsidRPr="00F02B86">
        <w:rPr>
          <w:sz w:val="20"/>
          <w:szCs w:val="20"/>
        </w:rPr>
        <w:t xml:space="preserve">, Hospital Universitario de Burgos, Burgos, </w:t>
      </w:r>
      <w:r w:rsidR="00A207FD" w:rsidRPr="00F02B86">
        <w:rPr>
          <w:sz w:val="20"/>
          <w:szCs w:val="20"/>
        </w:rPr>
        <w:t>Spain</w:t>
      </w:r>
    </w:p>
    <w:p w14:paraId="12D813A2" w14:textId="71A1E59A" w:rsidR="00A207FD" w:rsidRPr="00F02B86" w:rsidRDefault="00A207FD" w:rsidP="00CB1926">
      <w:pPr>
        <w:pStyle w:val="Authorlist"/>
        <w:ind w:left="284"/>
        <w:rPr>
          <w:sz w:val="20"/>
          <w:szCs w:val="20"/>
        </w:rPr>
      </w:pPr>
      <w:r w:rsidRPr="00F02B86">
        <w:rPr>
          <w:sz w:val="20"/>
          <w:szCs w:val="20"/>
          <w:vertAlign w:val="superscript"/>
        </w:rPr>
        <w:t>3</w:t>
      </w:r>
      <w:r w:rsidRPr="00F02B86">
        <w:rPr>
          <w:sz w:val="20"/>
          <w:szCs w:val="20"/>
        </w:rPr>
        <w:t>Cardiology Department, Hospital Clínico Universitario de Valencia, Valencia, Spain</w:t>
      </w:r>
    </w:p>
    <w:p w14:paraId="61909DC0" w14:textId="31880FE7" w:rsidR="007857B0" w:rsidRPr="00F02B86" w:rsidRDefault="007C0492" w:rsidP="00CB1926">
      <w:pPr>
        <w:pStyle w:val="Authorlist"/>
        <w:ind w:left="284"/>
        <w:rPr>
          <w:sz w:val="20"/>
          <w:szCs w:val="20"/>
        </w:rPr>
      </w:pPr>
      <w:r w:rsidRPr="00F02B86">
        <w:rPr>
          <w:sz w:val="20"/>
          <w:szCs w:val="20"/>
          <w:vertAlign w:val="superscript"/>
        </w:rPr>
        <w:t>4</w:t>
      </w:r>
      <w:r w:rsidR="00C005B1" w:rsidRPr="00F02B86">
        <w:rPr>
          <w:sz w:val="20"/>
          <w:szCs w:val="20"/>
        </w:rPr>
        <w:t xml:space="preserve">Department of Cardiology, Princess of Wales Hospital, </w:t>
      </w:r>
      <w:r w:rsidR="007A066F" w:rsidRPr="00F02B86">
        <w:rPr>
          <w:sz w:val="20"/>
          <w:szCs w:val="20"/>
        </w:rPr>
        <w:t>Bridgend</w:t>
      </w:r>
      <w:r w:rsidR="00C005B1" w:rsidRPr="00F02B86">
        <w:rPr>
          <w:sz w:val="20"/>
          <w:szCs w:val="20"/>
        </w:rPr>
        <w:t>, United Kingdom</w:t>
      </w:r>
    </w:p>
    <w:p w14:paraId="6413A51E" w14:textId="77777777" w:rsidR="001013DE" w:rsidRPr="00F02B86" w:rsidRDefault="00F714BA" w:rsidP="00CB1926">
      <w:pPr>
        <w:pStyle w:val="Authorlist"/>
        <w:ind w:left="284"/>
        <w:rPr>
          <w:sz w:val="20"/>
          <w:szCs w:val="20"/>
        </w:rPr>
      </w:pPr>
      <w:r w:rsidRPr="00F02B86">
        <w:rPr>
          <w:sz w:val="20"/>
          <w:szCs w:val="20"/>
          <w:vertAlign w:val="superscript"/>
        </w:rPr>
        <w:t>5</w:t>
      </w:r>
      <w:r w:rsidRPr="00F02B86">
        <w:rPr>
          <w:sz w:val="20"/>
          <w:szCs w:val="20"/>
        </w:rPr>
        <w:t>Department of Nephrology and Hypertension, University Hospital Schleswig-Holstein, Kiel, Germany</w:t>
      </w:r>
    </w:p>
    <w:p w14:paraId="56F946A3" w14:textId="557A7ECA" w:rsidR="00DA7ADB" w:rsidRPr="00F02B86" w:rsidRDefault="004E11E7" w:rsidP="00CB1926">
      <w:pPr>
        <w:pStyle w:val="Authorlist"/>
        <w:ind w:left="284"/>
        <w:rPr>
          <w:sz w:val="20"/>
          <w:szCs w:val="20"/>
        </w:rPr>
      </w:pPr>
      <w:r w:rsidRPr="00F02B86">
        <w:rPr>
          <w:sz w:val="20"/>
          <w:szCs w:val="20"/>
          <w:vertAlign w:val="superscript"/>
        </w:rPr>
        <w:t>6</w:t>
      </w:r>
      <w:r w:rsidR="00FC522B" w:rsidRPr="00F02B86">
        <w:rPr>
          <w:sz w:val="20"/>
          <w:szCs w:val="20"/>
        </w:rPr>
        <w:t>Section</w:t>
      </w:r>
      <w:r w:rsidRPr="00F02B86">
        <w:rPr>
          <w:sz w:val="20"/>
          <w:szCs w:val="20"/>
        </w:rPr>
        <w:t xml:space="preserve"> of Nephrology, Department of Medicine, Università degli Studi di Verona, Verona, Italy</w:t>
      </w:r>
    </w:p>
    <w:p w14:paraId="47A109FB" w14:textId="07CF8F7D" w:rsidR="004E11E7" w:rsidRPr="00F02B86" w:rsidRDefault="000654FE" w:rsidP="00CB1926">
      <w:pPr>
        <w:pStyle w:val="Authorlist"/>
        <w:ind w:left="284"/>
        <w:rPr>
          <w:sz w:val="20"/>
          <w:szCs w:val="20"/>
        </w:rPr>
      </w:pPr>
      <w:r w:rsidRPr="00F02B86">
        <w:rPr>
          <w:sz w:val="20"/>
          <w:szCs w:val="20"/>
          <w:vertAlign w:val="superscript"/>
        </w:rPr>
        <w:t>7</w:t>
      </w:r>
      <w:r w:rsidRPr="00F02B86">
        <w:rPr>
          <w:sz w:val="20"/>
          <w:szCs w:val="20"/>
        </w:rPr>
        <w:t>Division of Internal Medicine, Medical Center, Ospedale di Circolo &amp; Fondazion</w:t>
      </w:r>
      <w:r w:rsidR="005602FA" w:rsidRPr="00F02B86">
        <w:rPr>
          <w:sz w:val="20"/>
          <w:szCs w:val="20"/>
        </w:rPr>
        <w:t>e</w:t>
      </w:r>
      <w:r w:rsidRPr="00F02B86">
        <w:rPr>
          <w:sz w:val="20"/>
          <w:szCs w:val="20"/>
        </w:rPr>
        <w:t xml:space="preserve"> Macchi, ASST Sette Laghi, Varese, Italy</w:t>
      </w:r>
    </w:p>
    <w:p w14:paraId="5D0178E6" w14:textId="0D4B0F85" w:rsidR="000654FE" w:rsidRPr="00F02B86" w:rsidRDefault="00F43B68" w:rsidP="00CB1926">
      <w:pPr>
        <w:pStyle w:val="Authorlist"/>
        <w:ind w:left="284"/>
        <w:rPr>
          <w:sz w:val="20"/>
          <w:szCs w:val="20"/>
        </w:rPr>
      </w:pPr>
      <w:r w:rsidRPr="00F02B86">
        <w:rPr>
          <w:sz w:val="20"/>
          <w:szCs w:val="20"/>
          <w:vertAlign w:val="superscript"/>
        </w:rPr>
        <w:t>8</w:t>
      </w:r>
      <w:r w:rsidR="00F168D3" w:rsidRPr="00F02B86">
        <w:rPr>
          <w:sz w:val="20"/>
          <w:szCs w:val="20"/>
        </w:rPr>
        <w:t>Department of Cardiovascular Sciences, University of Leicester, Leicester, United Kingdom</w:t>
      </w:r>
    </w:p>
    <w:p w14:paraId="6A6961E8" w14:textId="4BC59C75" w:rsidR="00CB1926" w:rsidRPr="00B15DBE" w:rsidRDefault="00D26CC0" w:rsidP="00501065">
      <w:pPr>
        <w:pStyle w:val="Authorlist"/>
        <w:ind w:left="284"/>
      </w:pPr>
      <w:r w:rsidRPr="00F02B86">
        <w:rPr>
          <w:sz w:val="20"/>
          <w:szCs w:val="20"/>
          <w:vertAlign w:val="superscript"/>
        </w:rPr>
        <w:t>9</w:t>
      </w:r>
      <w:r w:rsidR="00501065" w:rsidRPr="00501065">
        <w:rPr>
          <w:sz w:val="20"/>
          <w:szCs w:val="20"/>
        </w:rPr>
        <w:t>Department of Human Sciences and Promotion of Quality of Life, Chair of Pharmacology, San Raffaele University of Rome, Rome, Italy; IRCCS San Raffaele, Roma, Italy</w:t>
      </w:r>
    </w:p>
    <w:p w14:paraId="266BC3C8" w14:textId="77777777" w:rsidR="00A1514D" w:rsidRPr="00B15DBE" w:rsidRDefault="001013DE" w:rsidP="00872A12">
      <w:pPr>
        <w:pStyle w:val="Heading2"/>
      </w:pPr>
      <w:r w:rsidRPr="00B15DBE">
        <w:t xml:space="preserve">Corresponding author: </w:t>
      </w:r>
    </w:p>
    <w:p w14:paraId="2AE52A79" w14:textId="3C2AFACD" w:rsidR="0083588F" w:rsidRPr="00B15DBE" w:rsidRDefault="00A54B23" w:rsidP="00CB1926">
      <w:pPr>
        <w:pStyle w:val="Authorlist"/>
        <w:ind w:left="284"/>
      </w:pPr>
      <w:r w:rsidRPr="00B15DBE">
        <w:t>Gianluigi Savarese</w:t>
      </w:r>
      <w:r w:rsidR="003D45EB" w:rsidRPr="00B15DBE">
        <w:t xml:space="preserve">, Department of Medicine, Karolinska Institute, Stockholm, Sweden. </w:t>
      </w:r>
      <w:hyperlink r:id="rId11" w:history="1">
        <w:r w:rsidR="0066165A" w:rsidRPr="00B15DBE">
          <w:rPr>
            <w:rStyle w:val="Hyperlink"/>
          </w:rPr>
          <w:t>gianluigi.savarese@ki.se</w:t>
        </w:r>
      </w:hyperlink>
    </w:p>
    <w:p w14:paraId="07ABD656" w14:textId="7CBF1A67" w:rsidR="0054311C" w:rsidRPr="00B15DBE" w:rsidRDefault="00DD4CDA" w:rsidP="00F02B86">
      <w:pPr>
        <w:pStyle w:val="Authorlist"/>
      </w:pPr>
      <w:r w:rsidRPr="00B15DBE">
        <w:br w:type="page"/>
      </w:r>
      <w:bookmarkStart w:id="3" w:name="_Hlk146702586"/>
    </w:p>
    <w:p w14:paraId="6444EE6A" w14:textId="2E034EB3" w:rsidR="00231553" w:rsidRPr="00B15DBE" w:rsidRDefault="000A072A" w:rsidP="000B299A">
      <w:pPr>
        <w:pStyle w:val="Heading2"/>
      </w:pPr>
      <w:bookmarkStart w:id="4" w:name="_Ref160049273"/>
      <w:bookmarkStart w:id="5" w:name="_Ref160049236"/>
      <w:bookmarkStart w:id="6" w:name="_Ref160051559"/>
      <w:bookmarkStart w:id="7" w:name="_Ref166141671"/>
      <w:bookmarkEnd w:id="3"/>
      <w:r w:rsidRPr="00DE7FE6">
        <w:lastRenderedPageBreak/>
        <w:t xml:space="preserve">Supplementary </w:t>
      </w:r>
      <w:r w:rsidR="00231553" w:rsidRPr="00DE7FE6">
        <w:t xml:space="preserve">Table </w:t>
      </w:r>
      <w:r w:rsidRPr="00DE7FE6">
        <w:t>S</w:t>
      </w:r>
      <w:bookmarkEnd w:id="4"/>
      <w:r w:rsidR="000B299A" w:rsidRPr="00DE7FE6">
        <w:t>1</w:t>
      </w:r>
      <w:r w:rsidR="00231553" w:rsidRPr="00DE7FE6">
        <w:t xml:space="preserve">: Guideline recommendations for the prevention of </w:t>
      </w:r>
      <w:bookmarkEnd w:id="5"/>
      <w:r w:rsidR="00231553" w:rsidRPr="00DE7FE6">
        <w:t>HK</w:t>
      </w:r>
    </w:p>
    <w:tbl>
      <w:tblPr>
        <w:tblStyle w:val="TableGrid"/>
        <w:tblW w:w="0" w:type="auto"/>
        <w:tblLook w:val="04A0" w:firstRow="1" w:lastRow="0" w:firstColumn="1" w:lastColumn="0" w:noHBand="0" w:noVBand="1"/>
      </w:tblPr>
      <w:tblGrid>
        <w:gridCol w:w="1584"/>
        <w:gridCol w:w="1307"/>
        <w:gridCol w:w="596"/>
        <w:gridCol w:w="1186"/>
        <w:gridCol w:w="5783"/>
      </w:tblGrid>
      <w:tr w:rsidR="00231553" w:rsidRPr="00B15DBE" w14:paraId="0F3DEBE8" w14:textId="77777777" w:rsidTr="00083E5E">
        <w:trPr>
          <w:cantSplit/>
          <w:tblHeader/>
        </w:trPr>
        <w:tc>
          <w:tcPr>
            <w:tcW w:w="0" w:type="auto"/>
          </w:tcPr>
          <w:p w14:paraId="437B4C32" w14:textId="77777777" w:rsidR="00231553" w:rsidRPr="00B15DBE" w:rsidRDefault="00231553" w:rsidP="00A42FA1">
            <w:pPr>
              <w:pStyle w:val="Table"/>
              <w:jc w:val="center"/>
              <w:rPr>
                <w:b/>
                <w:bCs/>
              </w:rPr>
            </w:pPr>
            <w:r w:rsidRPr="00B15DBE">
              <w:rPr>
                <w:b/>
                <w:bCs/>
              </w:rPr>
              <w:t>Association</w:t>
            </w:r>
          </w:p>
        </w:tc>
        <w:tc>
          <w:tcPr>
            <w:tcW w:w="0" w:type="auto"/>
          </w:tcPr>
          <w:p w14:paraId="6C270562" w14:textId="77777777" w:rsidR="00231553" w:rsidRPr="00B15DBE" w:rsidRDefault="00231553" w:rsidP="00A42FA1">
            <w:pPr>
              <w:pStyle w:val="Table"/>
              <w:jc w:val="center"/>
              <w:rPr>
                <w:b/>
                <w:bCs/>
              </w:rPr>
            </w:pPr>
            <w:r w:rsidRPr="00B15DBE">
              <w:rPr>
                <w:b/>
                <w:bCs/>
              </w:rPr>
              <w:t>Reference</w:t>
            </w:r>
          </w:p>
        </w:tc>
        <w:tc>
          <w:tcPr>
            <w:tcW w:w="0" w:type="auto"/>
          </w:tcPr>
          <w:p w14:paraId="30067E08" w14:textId="77777777" w:rsidR="00231553" w:rsidRPr="00B15DBE" w:rsidRDefault="00231553" w:rsidP="00A42FA1">
            <w:pPr>
              <w:pStyle w:val="Table"/>
              <w:jc w:val="center"/>
              <w:rPr>
                <w:b/>
                <w:bCs/>
              </w:rPr>
            </w:pPr>
            <w:r w:rsidRPr="00B15DBE">
              <w:rPr>
                <w:b/>
                <w:bCs/>
              </w:rPr>
              <w:t>Year</w:t>
            </w:r>
          </w:p>
        </w:tc>
        <w:tc>
          <w:tcPr>
            <w:tcW w:w="1186" w:type="dxa"/>
          </w:tcPr>
          <w:p w14:paraId="041DD572" w14:textId="77777777" w:rsidR="00231553" w:rsidRPr="00B15DBE" w:rsidRDefault="00231553" w:rsidP="00A42FA1">
            <w:pPr>
              <w:pStyle w:val="Table"/>
              <w:jc w:val="center"/>
              <w:rPr>
                <w:b/>
                <w:bCs/>
              </w:rPr>
            </w:pPr>
            <w:r w:rsidRPr="00B15DBE">
              <w:rPr>
                <w:b/>
                <w:bCs/>
              </w:rPr>
              <w:t>Population</w:t>
            </w:r>
          </w:p>
        </w:tc>
        <w:tc>
          <w:tcPr>
            <w:tcW w:w="5783" w:type="dxa"/>
          </w:tcPr>
          <w:p w14:paraId="07923668" w14:textId="77777777" w:rsidR="00231553" w:rsidRPr="00B15DBE" w:rsidRDefault="00231553" w:rsidP="00A42FA1">
            <w:pPr>
              <w:pStyle w:val="Table"/>
              <w:jc w:val="center"/>
              <w:rPr>
                <w:b/>
                <w:bCs/>
              </w:rPr>
            </w:pPr>
            <w:r w:rsidRPr="00B15DBE">
              <w:rPr>
                <w:b/>
                <w:bCs/>
              </w:rPr>
              <w:t>Preventing HK occurrence/recurrence</w:t>
            </w:r>
          </w:p>
        </w:tc>
      </w:tr>
      <w:tr w:rsidR="00231553" w:rsidRPr="00B15DBE" w14:paraId="29D9D83F" w14:textId="77777777" w:rsidTr="00083E5E">
        <w:trPr>
          <w:cantSplit/>
        </w:trPr>
        <w:tc>
          <w:tcPr>
            <w:tcW w:w="0" w:type="auto"/>
          </w:tcPr>
          <w:p w14:paraId="558FD8A1" w14:textId="77777777" w:rsidR="00231553" w:rsidRPr="00B15DBE" w:rsidRDefault="00231553" w:rsidP="00A42FA1">
            <w:pPr>
              <w:pStyle w:val="Table"/>
            </w:pPr>
            <w:r w:rsidRPr="00B15DBE">
              <w:t>SIN/SIMI/FADOI</w:t>
            </w:r>
          </w:p>
        </w:tc>
        <w:tc>
          <w:tcPr>
            <w:tcW w:w="0" w:type="auto"/>
          </w:tcPr>
          <w:p w14:paraId="0A767EEB" w14:textId="7F0A105C" w:rsidR="00231553" w:rsidRPr="00B15DBE" w:rsidRDefault="00231553" w:rsidP="00A42FA1">
            <w:pPr>
              <w:pStyle w:val="Table"/>
            </w:pPr>
            <w:r w:rsidRPr="00B15DBE">
              <w:t xml:space="preserve">De Nicola </w:t>
            </w:r>
            <w:r w:rsidR="0080682E">
              <w:t>et al</w:t>
            </w:r>
            <w:r w:rsidRPr="00B15DBE">
              <w:t>.</w:t>
            </w:r>
            <w:r w:rsidR="00B607E6" w:rsidRPr="000A072A">
              <w:rPr>
                <w:noProof/>
                <w:vertAlign w:val="superscript"/>
              </w:rPr>
              <w:t xml:space="preserve"> 1</w:t>
            </w:r>
          </w:p>
        </w:tc>
        <w:tc>
          <w:tcPr>
            <w:tcW w:w="0" w:type="auto"/>
          </w:tcPr>
          <w:p w14:paraId="7EEFBC75" w14:textId="77777777" w:rsidR="00231553" w:rsidRPr="00B15DBE" w:rsidRDefault="00231553" w:rsidP="00A42FA1">
            <w:pPr>
              <w:pStyle w:val="Table"/>
            </w:pPr>
            <w:r w:rsidRPr="00B15DBE">
              <w:t>2024</w:t>
            </w:r>
          </w:p>
        </w:tc>
        <w:tc>
          <w:tcPr>
            <w:tcW w:w="1186" w:type="dxa"/>
          </w:tcPr>
          <w:p w14:paraId="4E1DD275" w14:textId="77777777" w:rsidR="00231553" w:rsidRPr="00B15DBE" w:rsidRDefault="00231553" w:rsidP="00A42FA1">
            <w:pPr>
              <w:pStyle w:val="Table"/>
            </w:pPr>
            <w:r w:rsidRPr="00B15DBE">
              <w:t>On RAASi</w:t>
            </w:r>
          </w:p>
        </w:tc>
        <w:tc>
          <w:tcPr>
            <w:tcW w:w="5783" w:type="dxa"/>
          </w:tcPr>
          <w:p w14:paraId="691FB961" w14:textId="77777777" w:rsidR="00231553" w:rsidRPr="00923BCA" w:rsidRDefault="00231553" w:rsidP="00923BCA">
            <w:pPr>
              <w:pStyle w:val="Table"/>
            </w:pPr>
            <w:r w:rsidRPr="00923BCA">
              <w:t>Check serum potassium prior to initiating RAASi treatments, and then regularly throughout treatment.</w:t>
            </w:r>
          </w:p>
          <w:p w14:paraId="0117A724" w14:textId="77777777" w:rsidR="00231553" w:rsidRPr="00923BCA" w:rsidRDefault="00231553" w:rsidP="00923BCA">
            <w:pPr>
              <w:pStyle w:val="Table"/>
            </w:pPr>
            <w:r w:rsidRPr="00923BCA">
              <w:t xml:space="preserve">Educate patients on HK, as well as the risks of discontinuing their current RAASi treatments and the need to avoid excessive dietary potassium intake. </w:t>
            </w:r>
          </w:p>
          <w:p w14:paraId="0373CEF2" w14:textId="77777777" w:rsidR="00231553" w:rsidRPr="00923BCA" w:rsidRDefault="00231553" w:rsidP="00923BCA">
            <w:pPr>
              <w:pStyle w:val="Table"/>
            </w:pPr>
            <w:r w:rsidRPr="00923BCA">
              <w:t>A potassium intake of &lt;3 g/day is recommended in patients with CKD and recurrent HK, while maintaining a healthy diet rich in fruits and vegetables.</w:t>
            </w:r>
          </w:p>
          <w:p w14:paraId="0CD6DC9B" w14:textId="77777777" w:rsidR="00231553" w:rsidRPr="00B15DBE" w:rsidRDefault="00231553" w:rsidP="00923BCA">
            <w:pPr>
              <w:pStyle w:val="Table"/>
            </w:pPr>
            <w:r w:rsidRPr="00923BCA">
              <w:t>A successful combination of optimal RAASi plus potassium binder can avoid/delay the need for dialysis and other serious clinical outcomes.</w:t>
            </w:r>
          </w:p>
        </w:tc>
      </w:tr>
      <w:tr w:rsidR="00231553" w:rsidRPr="00B15DBE" w14:paraId="57157655" w14:textId="77777777" w:rsidTr="00083E5E">
        <w:trPr>
          <w:cantSplit/>
        </w:trPr>
        <w:tc>
          <w:tcPr>
            <w:tcW w:w="0" w:type="auto"/>
            <w:shd w:val="clear" w:color="auto" w:fill="auto"/>
          </w:tcPr>
          <w:p w14:paraId="2549AA5B" w14:textId="77777777" w:rsidR="00231553" w:rsidRPr="00B15DBE" w:rsidRDefault="00231553" w:rsidP="00A42FA1">
            <w:pPr>
              <w:pStyle w:val="Table"/>
            </w:pPr>
            <w:r w:rsidRPr="00B15DBE">
              <w:t>UK Kidney Association</w:t>
            </w:r>
          </w:p>
        </w:tc>
        <w:tc>
          <w:tcPr>
            <w:tcW w:w="0" w:type="auto"/>
            <w:shd w:val="clear" w:color="auto" w:fill="auto"/>
          </w:tcPr>
          <w:p w14:paraId="16193D54" w14:textId="33F9F92D" w:rsidR="00231553" w:rsidRPr="00B15DBE" w:rsidRDefault="00231553" w:rsidP="00A42FA1">
            <w:pPr>
              <w:pStyle w:val="Table"/>
            </w:pPr>
            <w:r w:rsidRPr="00B15DBE">
              <w:t xml:space="preserve">Alfonzo </w:t>
            </w:r>
            <w:r w:rsidR="0080682E">
              <w:t>et al</w:t>
            </w:r>
            <w:r w:rsidRPr="00B15DBE">
              <w:t>.</w:t>
            </w:r>
            <w:r w:rsidR="00B607E6" w:rsidRPr="000A072A">
              <w:rPr>
                <w:noProof/>
                <w:vertAlign w:val="superscript"/>
              </w:rPr>
              <w:t xml:space="preserve"> 2</w:t>
            </w:r>
          </w:p>
        </w:tc>
        <w:tc>
          <w:tcPr>
            <w:tcW w:w="0" w:type="auto"/>
            <w:shd w:val="clear" w:color="auto" w:fill="auto"/>
          </w:tcPr>
          <w:p w14:paraId="615271F1" w14:textId="77777777" w:rsidR="00231553" w:rsidRPr="00B15DBE" w:rsidRDefault="00231553" w:rsidP="00A42FA1">
            <w:pPr>
              <w:pStyle w:val="Table"/>
            </w:pPr>
            <w:r w:rsidRPr="00B15DBE">
              <w:t>2023</w:t>
            </w:r>
          </w:p>
        </w:tc>
        <w:tc>
          <w:tcPr>
            <w:tcW w:w="1186" w:type="dxa"/>
            <w:shd w:val="clear" w:color="auto" w:fill="auto"/>
          </w:tcPr>
          <w:p w14:paraId="32EA0DC2" w14:textId="77777777" w:rsidR="00231553" w:rsidRPr="00B15DBE" w:rsidRDefault="00231553" w:rsidP="00A42FA1">
            <w:pPr>
              <w:pStyle w:val="Table"/>
            </w:pPr>
            <w:r w:rsidRPr="00B15DBE">
              <w:t>Any</w:t>
            </w:r>
          </w:p>
        </w:tc>
        <w:tc>
          <w:tcPr>
            <w:tcW w:w="5783" w:type="dxa"/>
            <w:shd w:val="clear" w:color="auto" w:fill="auto"/>
          </w:tcPr>
          <w:p w14:paraId="581E91D5" w14:textId="77777777" w:rsidR="00231553" w:rsidRPr="00B15DBE" w:rsidRDefault="00231553" w:rsidP="00A42FA1">
            <w:pPr>
              <w:pStyle w:val="Table"/>
              <w:rPr>
                <w:b/>
                <w:bCs/>
              </w:rPr>
            </w:pPr>
            <w:r w:rsidRPr="00B15DBE">
              <w:rPr>
                <w:b/>
                <w:bCs/>
              </w:rPr>
              <w:t>Prevention of HK in the community:</w:t>
            </w:r>
          </w:p>
          <w:p w14:paraId="27CD87B9" w14:textId="77777777" w:rsidR="00231553" w:rsidRPr="00B15DBE" w:rsidRDefault="00231553" w:rsidP="00A42FA1">
            <w:pPr>
              <w:pStyle w:val="Table"/>
            </w:pPr>
            <w:r w:rsidRPr="00B15DBE">
              <w:t>Consider low-potassium diet for patients with persistent serum potassium &gt;5.5 mEq/L after non-dietary causes of HK (constipation, acidosis and poorly controlled diabetes) have been addressed.</w:t>
            </w:r>
          </w:p>
          <w:p w14:paraId="12DC9AE7" w14:textId="77777777" w:rsidR="00231553" w:rsidRPr="00B15DBE" w:rsidRDefault="00231553" w:rsidP="00A42FA1">
            <w:pPr>
              <w:pStyle w:val="Table"/>
            </w:pPr>
            <w:r w:rsidRPr="00B15DBE">
              <w:t>Consider sodium bicarbonate in CKD patients with a serum bicarbonate level &lt;22 mmol/L with or without HK, loop diuretics for the treatment of chronic HK in patients who are non-oliguric and volume replete, and exercise caution in prescribing trimethoprim to patients with renal impairment or those taking RAASi.</w:t>
            </w:r>
          </w:p>
          <w:p w14:paraId="342F4977" w14:textId="77777777" w:rsidR="00231553" w:rsidRPr="00B15DBE" w:rsidRDefault="00231553" w:rsidP="00A42FA1">
            <w:pPr>
              <w:pStyle w:val="Table"/>
            </w:pPr>
            <w:r w:rsidRPr="00B15DBE">
              <w:t xml:space="preserve">Consider patiromer or SZC (initiated in secondary care only) for persistent HK with a confirmed serum potassium ≥6.0 mEq/L in outpatients with CKD stage 3b–5 (not on dialysis) or HF receiving a suboptimal dose or not receiving RAASi therapy owing to HK. </w:t>
            </w:r>
          </w:p>
          <w:p w14:paraId="152220E4" w14:textId="77777777" w:rsidR="00231553" w:rsidRPr="00B15DBE" w:rsidRDefault="00231553" w:rsidP="00A42FA1">
            <w:pPr>
              <w:pStyle w:val="Table"/>
            </w:pPr>
            <w:r w:rsidRPr="00B15DBE">
              <w:t>Discontinue patiromer or SZC if RAASi therapy is stopped. Calcium resonium may be used as a short-term option to treat chronic HK in non-hospitalised patients who do not meet the criteria for patiromer or SZC.</w:t>
            </w:r>
          </w:p>
          <w:p w14:paraId="59548951" w14:textId="77777777" w:rsidR="00231553" w:rsidRPr="00B15DBE" w:rsidRDefault="00231553" w:rsidP="00A42FA1">
            <w:pPr>
              <w:pStyle w:val="Table"/>
            </w:pPr>
            <w:r w:rsidRPr="00B15DBE">
              <w:t>Advise patients regarding the risks of AKI and HK during acute illness and measures to avoid these complications.</w:t>
            </w:r>
          </w:p>
          <w:p w14:paraId="1B24D500" w14:textId="77777777" w:rsidR="00231553" w:rsidRPr="00B15DBE" w:rsidRDefault="00231553" w:rsidP="00A42FA1">
            <w:pPr>
              <w:pStyle w:val="Table"/>
              <w:rPr>
                <w:b/>
                <w:bCs/>
              </w:rPr>
            </w:pPr>
            <w:r w:rsidRPr="00B15DBE">
              <w:rPr>
                <w:b/>
                <w:bCs/>
              </w:rPr>
              <w:t>Prevention of HK in hospitalised patients:</w:t>
            </w:r>
          </w:p>
          <w:p w14:paraId="6F0C1C0A" w14:textId="77777777" w:rsidR="00231553" w:rsidRPr="00B15DBE" w:rsidRDefault="00231553" w:rsidP="00A42FA1">
            <w:pPr>
              <w:pStyle w:val="Table"/>
            </w:pPr>
            <w:r w:rsidRPr="00B15DBE">
              <w:t>Review medication that can cause HK in the context of the current illness and level of renal function both on and during hospital admission.</w:t>
            </w:r>
          </w:p>
          <w:p w14:paraId="3E9CB0EE" w14:textId="77777777" w:rsidR="00231553" w:rsidRPr="00B15DBE" w:rsidRDefault="00231553" w:rsidP="00A42FA1">
            <w:pPr>
              <w:pStyle w:val="Table"/>
            </w:pPr>
            <w:r w:rsidRPr="00B15DBE">
              <w:t>Consider low-potassium diet for hospitalised patients with moderate or severe HK after non-dietary causes of HK (constipation, acidosis and poorly controlled diabetes) have been addressed.</w:t>
            </w:r>
          </w:p>
          <w:p w14:paraId="1C3C79B3" w14:textId="77777777" w:rsidR="00231553" w:rsidRPr="00B15DBE" w:rsidRDefault="00231553" w:rsidP="00A42FA1">
            <w:pPr>
              <w:pStyle w:val="Table"/>
            </w:pPr>
            <w:r w:rsidRPr="00B15DBE">
              <w:t>Evaluate the risk of recurrence of HK before reinstating previous medication that may have contributed to the episode.</w:t>
            </w:r>
          </w:p>
        </w:tc>
      </w:tr>
      <w:tr w:rsidR="00231553" w:rsidRPr="00B15DBE" w14:paraId="451866B3" w14:textId="77777777" w:rsidTr="00083E5E">
        <w:trPr>
          <w:cantSplit/>
        </w:trPr>
        <w:tc>
          <w:tcPr>
            <w:tcW w:w="0" w:type="auto"/>
            <w:shd w:val="clear" w:color="auto" w:fill="auto"/>
          </w:tcPr>
          <w:p w14:paraId="6D697E75" w14:textId="77777777" w:rsidR="00231553" w:rsidRPr="00B15DBE" w:rsidRDefault="00231553" w:rsidP="00A42FA1">
            <w:pPr>
              <w:pStyle w:val="Table"/>
            </w:pPr>
            <w:r w:rsidRPr="00B15DBE">
              <w:t>KDIGO</w:t>
            </w:r>
          </w:p>
        </w:tc>
        <w:tc>
          <w:tcPr>
            <w:tcW w:w="0" w:type="auto"/>
            <w:shd w:val="clear" w:color="auto" w:fill="auto"/>
          </w:tcPr>
          <w:p w14:paraId="032537B5" w14:textId="3AE61114" w:rsidR="00231553" w:rsidRPr="00B15DBE" w:rsidRDefault="00231553" w:rsidP="00A42FA1">
            <w:pPr>
              <w:pStyle w:val="Table"/>
            </w:pPr>
            <w:r w:rsidRPr="00B15DBE">
              <w:t>KDIGO CKD Work Group</w:t>
            </w:r>
            <w:r w:rsidR="00B607E6" w:rsidRPr="000A072A">
              <w:rPr>
                <w:noProof/>
                <w:vertAlign w:val="superscript"/>
              </w:rPr>
              <w:t>3</w:t>
            </w:r>
          </w:p>
        </w:tc>
        <w:tc>
          <w:tcPr>
            <w:tcW w:w="0" w:type="auto"/>
            <w:shd w:val="clear" w:color="auto" w:fill="auto"/>
          </w:tcPr>
          <w:p w14:paraId="45D6CF21" w14:textId="77777777" w:rsidR="00231553" w:rsidRPr="00B15DBE" w:rsidRDefault="00231553" w:rsidP="00A42FA1">
            <w:pPr>
              <w:pStyle w:val="Table"/>
            </w:pPr>
            <w:r w:rsidRPr="00B15DBE">
              <w:t>2024</w:t>
            </w:r>
          </w:p>
        </w:tc>
        <w:tc>
          <w:tcPr>
            <w:tcW w:w="1186" w:type="dxa"/>
            <w:shd w:val="clear" w:color="auto" w:fill="auto"/>
          </w:tcPr>
          <w:p w14:paraId="5CD4FD8E" w14:textId="77777777" w:rsidR="00231553" w:rsidRPr="00B15DBE" w:rsidRDefault="00231553" w:rsidP="00A42FA1">
            <w:pPr>
              <w:pStyle w:val="Table"/>
            </w:pPr>
            <w:r w:rsidRPr="00B15DBE">
              <w:t>CKD</w:t>
            </w:r>
          </w:p>
        </w:tc>
        <w:tc>
          <w:tcPr>
            <w:tcW w:w="5783" w:type="dxa"/>
            <w:shd w:val="clear" w:color="auto" w:fill="auto"/>
          </w:tcPr>
          <w:p w14:paraId="721015E3" w14:textId="77777777" w:rsidR="00231553" w:rsidRPr="00B15DBE" w:rsidRDefault="00231553" w:rsidP="00A42FA1">
            <w:pPr>
              <w:pStyle w:val="Table"/>
            </w:pPr>
            <w:r w:rsidRPr="00B15DBE">
              <w:t>In people with CKD and the management of non-emergent hyperkalaemia, a systematic approach of treating correctable factors (e.g. correction of severe metabolic acidosis) and understanding the role of diet and medications may provide a pragmatic framework.</w:t>
            </w:r>
          </w:p>
          <w:p w14:paraId="6E24957B" w14:textId="77777777" w:rsidR="00231553" w:rsidRPr="00B15DBE" w:rsidRDefault="00231553" w:rsidP="00A42FA1">
            <w:pPr>
              <w:pStyle w:val="Table"/>
            </w:pPr>
            <w:r w:rsidRPr="00B15DBE">
              <w:t>For people with CKD and severe recurrent HK (potassium &gt;6 mmol/L), balance the additional cost of potassium exchange agents against the health benefits and net savings of healthcare costs resulting from potassium-lowering treatment. The key is to implement a successful affordable strategy for HK management that allows the maintenance of other therapies.</w:t>
            </w:r>
          </w:p>
          <w:p w14:paraId="0C877ECE" w14:textId="77777777" w:rsidR="00231553" w:rsidRPr="00B15DBE" w:rsidRDefault="00231553" w:rsidP="00A42FA1">
            <w:pPr>
              <w:pStyle w:val="Table"/>
            </w:pPr>
            <w:r w:rsidRPr="00B15DBE">
              <w:t>Provide advice to limit the intake of foods rich in bioavailable potassium (e.g. processed foods) for people with CKD G3–G5 who have a history of HK or as a prevention strategy during disease periods in which HK risk may be a concern (the guideline does not endorse restrictions in early stages of CKD because high intake of foods naturally rich in potassium appears to be protective against disease progression, and dietary restriction of foods naturally containing potassium, such as fruits and vegetables, may be harmful to cardiac health)</w:t>
            </w:r>
          </w:p>
        </w:tc>
      </w:tr>
      <w:tr w:rsidR="00231553" w:rsidRPr="00B15DBE" w14:paraId="43A209A4" w14:textId="77777777" w:rsidTr="00083E5E">
        <w:trPr>
          <w:cantSplit/>
        </w:trPr>
        <w:tc>
          <w:tcPr>
            <w:tcW w:w="0" w:type="auto"/>
            <w:shd w:val="clear" w:color="auto" w:fill="auto"/>
          </w:tcPr>
          <w:p w14:paraId="5428ADE7" w14:textId="77777777" w:rsidR="00231553" w:rsidRPr="00B15DBE" w:rsidRDefault="00231553" w:rsidP="00A42FA1">
            <w:pPr>
              <w:pStyle w:val="Table"/>
            </w:pPr>
            <w:r w:rsidRPr="00B15DBE">
              <w:lastRenderedPageBreak/>
              <w:t>KDIGO</w:t>
            </w:r>
          </w:p>
        </w:tc>
        <w:tc>
          <w:tcPr>
            <w:tcW w:w="0" w:type="auto"/>
            <w:shd w:val="clear" w:color="auto" w:fill="auto"/>
          </w:tcPr>
          <w:p w14:paraId="37A45EB2" w14:textId="419E1289" w:rsidR="00231553" w:rsidRPr="00B15DBE" w:rsidRDefault="00231553" w:rsidP="00A42FA1">
            <w:pPr>
              <w:pStyle w:val="Table"/>
            </w:pPr>
            <w:r w:rsidRPr="00B15DBE">
              <w:t>KDIGO Diabetes Work Group</w:t>
            </w:r>
            <w:r w:rsidR="00B607E6" w:rsidRPr="000A072A">
              <w:rPr>
                <w:noProof/>
                <w:vertAlign w:val="superscript"/>
              </w:rPr>
              <w:t>4</w:t>
            </w:r>
          </w:p>
        </w:tc>
        <w:tc>
          <w:tcPr>
            <w:tcW w:w="0" w:type="auto"/>
            <w:shd w:val="clear" w:color="auto" w:fill="auto"/>
          </w:tcPr>
          <w:p w14:paraId="37D19C18" w14:textId="77777777" w:rsidR="00231553" w:rsidRPr="00B15DBE" w:rsidRDefault="00231553" w:rsidP="00A42FA1">
            <w:pPr>
              <w:pStyle w:val="Table"/>
            </w:pPr>
            <w:r w:rsidRPr="00B15DBE">
              <w:t>2022</w:t>
            </w:r>
          </w:p>
        </w:tc>
        <w:tc>
          <w:tcPr>
            <w:tcW w:w="1186" w:type="dxa"/>
            <w:shd w:val="clear" w:color="auto" w:fill="auto"/>
          </w:tcPr>
          <w:p w14:paraId="7F5E1EDB" w14:textId="77777777" w:rsidR="00231553" w:rsidRPr="00B15DBE" w:rsidRDefault="00231553" w:rsidP="00A42FA1">
            <w:pPr>
              <w:pStyle w:val="Table"/>
            </w:pPr>
            <w:r w:rsidRPr="00B15DBE">
              <w:t>CKD and diabetes</w:t>
            </w:r>
          </w:p>
        </w:tc>
        <w:tc>
          <w:tcPr>
            <w:tcW w:w="5783" w:type="dxa"/>
            <w:shd w:val="clear" w:color="auto" w:fill="auto"/>
          </w:tcPr>
          <w:p w14:paraId="58D2A51A" w14:textId="77777777" w:rsidR="00231553" w:rsidRPr="00B15DBE" w:rsidRDefault="00231553" w:rsidP="00A42FA1">
            <w:pPr>
              <w:pStyle w:val="Table"/>
            </w:pPr>
            <w:r w:rsidRPr="00B15DBE">
              <w:t>Moderate potassium intake, avoid potassium-containing salt substitutes or food products containing the salt substitutes.</w:t>
            </w:r>
          </w:p>
          <w:p w14:paraId="2414C5DE" w14:textId="77777777" w:rsidR="00231553" w:rsidRPr="00B15DBE" w:rsidRDefault="00231553" w:rsidP="00A42FA1">
            <w:pPr>
              <w:pStyle w:val="Table"/>
            </w:pPr>
            <w:r w:rsidRPr="00B15DBE">
              <w:t>Review medications and avoid drugs that can impair kidney excretion of potassium.</w:t>
            </w:r>
          </w:p>
          <w:p w14:paraId="4BF78CF2" w14:textId="77777777" w:rsidR="00231553" w:rsidRPr="00B15DBE" w:rsidRDefault="00231553" w:rsidP="00A42FA1">
            <w:pPr>
              <w:pStyle w:val="Table"/>
            </w:pPr>
            <w:r w:rsidRPr="00B15DBE">
              <w:t>Avoid constipation (sufficient fluid intake and exercise).</w:t>
            </w:r>
          </w:p>
          <w:p w14:paraId="72E6FBB3" w14:textId="77777777" w:rsidR="00231553" w:rsidRPr="00B15DBE" w:rsidRDefault="00231553" w:rsidP="00A42FA1">
            <w:pPr>
              <w:pStyle w:val="Table"/>
            </w:pPr>
            <w:r w:rsidRPr="00B15DBE">
              <w:t>Initiate diuretics treatment to enhance the excretion of potassium in the kidneys, especially when there is concomitant volume overload or hypertension.</w:t>
            </w:r>
          </w:p>
          <w:p w14:paraId="2252EF6D" w14:textId="77777777" w:rsidR="00231553" w:rsidRPr="00B15DBE" w:rsidRDefault="00231553" w:rsidP="00A42FA1">
            <w:pPr>
              <w:pStyle w:val="Table"/>
            </w:pPr>
            <w:r w:rsidRPr="00B15DBE">
              <w:t>Treat with oral sodium bicarbonate to minimise the risk of HK in patients with CKD and metabolic acidosis. Concurrent use of diuretics will reduce the risk of fluid overload that can occur from sodium bicarbonate treatment.</w:t>
            </w:r>
          </w:p>
          <w:p w14:paraId="62B7E390" w14:textId="77777777" w:rsidR="00231553" w:rsidRPr="00B15DBE" w:rsidRDefault="00231553" w:rsidP="00A42FA1">
            <w:pPr>
              <w:pStyle w:val="Table"/>
            </w:pPr>
            <w:r w:rsidRPr="00B15DBE">
              <w:t>Consider treatment with potassium binders, such as patiromer or SZC, when other measures fail to control serum potassium levels.</w:t>
            </w:r>
          </w:p>
        </w:tc>
      </w:tr>
      <w:tr w:rsidR="00231553" w:rsidRPr="00B15DBE" w14:paraId="7C930819" w14:textId="77777777" w:rsidTr="00083E5E">
        <w:trPr>
          <w:cantSplit/>
        </w:trPr>
        <w:tc>
          <w:tcPr>
            <w:tcW w:w="0" w:type="auto"/>
            <w:shd w:val="clear" w:color="auto" w:fill="auto"/>
          </w:tcPr>
          <w:p w14:paraId="3A58BBDC" w14:textId="77777777" w:rsidR="00231553" w:rsidRPr="00B15DBE" w:rsidRDefault="00231553" w:rsidP="00A42FA1">
            <w:pPr>
              <w:pStyle w:val="Table"/>
            </w:pPr>
            <w:r w:rsidRPr="00B15DBE">
              <w:t>KDIGO</w:t>
            </w:r>
          </w:p>
        </w:tc>
        <w:tc>
          <w:tcPr>
            <w:tcW w:w="0" w:type="auto"/>
            <w:shd w:val="clear" w:color="auto" w:fill="auto"/>
          </w:tcPr>
          <w:p w14:paraId="792BB43F" w14:textId="7EE45C77" w:rsidR="00231553" w:rsidRPr="00B15DBE" w:rsidRDefault="00231553" w:rsidP="00A42FA1">
            <w:pPr>
              <w:pStyle w:val="Table"/>
            </w:pPr>
            <w:r w:rsidRPr="00B15DBE">
              <w:t>KDIGO Blood Pressure Work Group</w:t>
            </w:r>
            <w:r w:rsidR="00B607E6" w:rsidRPr="000A072A">
              <w:rPr>
                <w:noProof/>
                <w:vertAlign w:val="superscript"/>
              </w:rPr>
              <w:t>5</w:t>
            </w:r>
          </w:p>
        </w:tc>
        <w:tc>
          <w:tcPr>
            <w:tcW w:w="0" w:type="auto"/>
            <w:shd w:val="clear" w:color="auto" w:fill="auto"/>
          </w:tcPr>
          <w:p w14:paraId="1CAEC01D" w14:textId="77777777" w:rsidR="00231553" w:rsidRPr="00B15DBE" w:rsidRDefault="00231553" w:rsidP="00A42FA1">
            <w:pPr>
              <w:pStyle w:val="Table"/>
            </w:pPr>
            <w:r w:rsidRPr="00B15DBE">
              <w:t>2021</w:t>
            </w:r>
          </w:p>
        </w:tc>
        <w:tc>
          <w:tcPr>
            <w:tcW w:w="1186" w:type="dxa"/>
            <w:shd w:val="clear" w:color="auto" w:fill="auto"/>
          </w:tcPr>
          <w:p w14:paraId="770CC94F" w14:textId="77777777" w:rsidR="00231553" w:rsidRPr="00B15DBE" w:rsidRDefault="00231553" w:rsidP="00A42FA1">
            <w:pPr>
              <w:pStyle w:val="Table"/>
            </w:pPr>
            <w:r w:rsidRPr="00B15DBE">
              <w:t>Hypertension and CKD</w:t>
            </w:r>
          </w:p>
        </w:tc>
        <w:tc>
          <w:tcPr>
            <w:tcW w:w="5783" w:type="dxa"/>
            <w:shd w:val="clear" w:color="auto" w:fill="auto"/>
          </w:tcPr>
          <w:p w14:paraId="4093E56B" w14:textId="77777777" w:rsidR="00231553" w:rsidRPr="00B15DBE" w:rsidRDefault="00231553" w:rsidP="00A42FA1">
            <w:pPr>
              <w:pStyle w:val="Table"/>
            </w:pPr>
            <w:r w:rsidRPr="00B15DBE">
              <w:t>Use caution in implementing</w:t>
            </w:r>
            <w:r w:rsidRPr="00B15DBE">
              <w:rPr>
                <w:rStyle w:val="Strong"/>
                <w:b w:val="0"/>
                <w:bCs w:val="0"/>
              </w:rPr>
              <w:t xml:space="preserve"> DASH-type diet or</w:t>
            </w:r>
            <w:r w:rsidRPr="00B15DBE">
              <w:t xml:space="preserve"> potassium-containing salt substitutes in CKD populations, especially in those with advanced CKD, hyporeninaemic hypoaldosteronism or HK from other causes.</w:t>
            </w:r>
          </w:p>
          <w:p w14:paraId="04D50E52" w14:textId="77777777" w:rsidR="00231553" w:rsidRPr="00B15DBE" w:rsidRDefault="00231553" w:rsidP="00A42FA1">
            <w:pPr>
              <w:pStyle w:val="Table"/>
            </w:pPr>
            <w:r w:rsidRPr="00B15DBE">
              <w:t>Consider dietary potassium restriction; discontinuation of potassium supplements, certain salt substitutes and drugs that cause HK; and adding potassium-wasting diuretics and oral potassium binders.</w:t>
            </w:r>
          </w:p>
        </w:tc>
      </w:tr>
      <w:tr w:rsidR="00231553" w:rsidRPr="00B15DBE" w14:paraId="6BB82A63" w14:textId="77777777" w:rsidTr="00083E5E">
        <w:trPr>
          <w:cantSplit/>
        </w:trPr>
        <w:tc>
          <w:tcPr>
            <w:tcW w:w="0" w:type="auto"/>
            <w:shd w:val="clear" w:color="auto" w:fill="auto"/>
          </w:tcPr>
          <w:p w14:paraId="2FAA9CA5" w14:textId="77777777" w:rsidR="00231553" w:rsidRPr="00B15DBE" w:rsidRDefault="00231553" w:rsidP="00A42FA1">
            <w:pPr>
              <w:pStyle w:val="Table"/>
            </w:pPr>
            <w:r w:rsidRPr="00B15DBE">
              <w:t>KDIGO</w:t>
            </w:r>
          </w:p>
        </w:tc>
        <w:tc>
          <w:tcPr>
            <w:tcW w:w="0" w:type="auto"/>
            <w:shd w:val="clear" w:color="auto" w:fill="auto"/>
          </w:tcPr>
          <w:p w14:paraId="3F483FA2" w14:textId="5376BEBF" w:rsidR="00231553" w:rsidRPr="00B15DBE" w:rsidRDefault="00231553" w:rsidP="00A42FA1">
            <w:pPr>
              <w:pStyle w:val="Table"/>
            </w:pPr>
            <w:r w:rsidRPr="00B15DBE">
              <w:t xml:space="preserve">Lindner </w:t>
            </w:r>
            <w:r w:rsidR="0080682E">
              <w:t>et al</w:t>
            </w:r>
            <w:r w:rsidRPr="00B15DBE">
              <w:t>.</w:t>
            </w:r>
            <w:r w:rsidR="00B607E6" w:rsidRPr="000A072A">
              <w:rPr>
                <w:noProof/>
                <w:vertAlign w:val="superscript"/>
              </w:rPr>
              <w:t xml:space="preserve"> 6</w:t>
            </w:r>
          </w:p>
        </w:tc>
        <w:tc>
          <w:tcPr>
            <w:tcW w:w="0" w:type="auto"/>
            <w:shd w:val="clear" w:color="auto" w:fill="auto"/>
          </w:tcPr>
          <w:p w14:paraId="51BDED96" w14:textId="77777777" w:rsidR="00231553" w:rsidRPr="00B15DBE" w:rsidRDefault="00231553" w:rsidP="00A42FA1">
            <w:pPr>
              <w:pStyle w:val="Table"/>
            </w:pPr>
            <w:r w:rsidRPr="00B15DBE">
              <w:t>2020</w:t>
            </w:r>
          </w:p>
        </w:tc>
        <w:tc>
          <w:tcPr>
            <w:tcW w:w="1186" w:type="dxa"/>
            <w:shd w:val="clear" w:color="auto" w:fill="auto"/>
          </w:tcPr>
          <w:p w14:paraId="7E50751F" w14:textId="77777777" w:rsidR="00231553" w:rsidRPr="00B15DBE" w:rsidRDefault="00231553" w:rsidP="00A42FA1">
            <w:pPr>
              <w:pStyle w:val="Table"/>
            </w:pPr>
            <w:r w:rsidRPr="00B15DBE">
              <w:t>CKD</w:t>
            </w:r>
          </w:p>
        </w:tc>
        <w:tc>
          <w:tcPr>
            <w:tcW w:w="5783" w:type="dxa"/>
            <w:shd w:val="clear" w:color="auto" w:fill="auto"/>
          </w:tcPr>
          <w:p w14:paraId="6FAA1A19" w14:textId="77777777" w:rsidR="00231553" w:rsidRPr="00B15DBE" w:rsidRDefault="00231553" w:rsidP="00A42FA1">
            <w:pPr>
              <w:pStyle w:val="Table"/>
            </w:pPr>
            <w:r w:rsidRPr="00B15DBE">
              <w:t>If the risk of HK remains an ongoing issue, provide dietary instructions regarding low-potassium foods and avoidance of potassium-rich foods to patients with moderate and severe kidney disease.</w:t>
            </w:r>
          </w:p>
        </w:tc>
      </w:tr>
      <w:tr w:rsidR="00231553" w:rsidRPr="00B15DBE" w14:paraId="2D333DF0" w14:textId="77777777" w:rsidTr="00083E5E">
        <w:trPr>
          <w:cantSplit/>
        </w:trPr>
        <w:tc>
          <w:tcPr>
            <w:tcW w:w="0" w:type="auto"/>
            <w:shd w:val="clear" w:color="auto" w:fill="auto"/>
          </w:tcPr>
          <w:p w14:paraId="133F1B2B" w14:textId="77777777" w:rsidR="00231553" w:rsidRPr="00B15DBE" w:rsidRDefault="00231553" w:rsidP="00A42FA1">
            <w:pPr>
              <w:pStyle w:val="Table"/>
            </w:pPr>
            <w:r w:rsidRPr="00B15DBE">
              <w:t>KDIGO</w:t>
            </w:r>
          </w:p>
        </w:tc>
        <w:tc>
          <w:tcPr>
            <w:tcW w:w="0" w:type="auto"/>
            <w:shd w:val="clear" w:color="auto" w:fill="auto"/>
          </w:tcPr>
          <w:p w14:paraId="7701F631" w14:textId="430F98B9" w:rsidR="00231553" w:rsidRPr="00B15DBE" w:rsidRDefault="00231553" w:rsidP="00A42FA1">
            <w:pPr>
              <w:pStyle w:val="Table"/>
            </w:pPr>
            <w:r w:rsidRPr="00B15DBE">
              <w:t xml:space="preserve">Clase </w:t>
            </w:r>
            <w:r w:rsidR="0080682E">
              <w:t>et al</w:t>
            </w:r>
            <w:r w:rsidRPr="00B15DBE">
              <w:t>.</w:t>
            </w:r>
            <w:r w:rsidR="00B607E6" w:rsidRPr="000A072A">
              <w:rPr>
                <w:noProof/>
                <w:vertAlign w:val="superscript"/>
              </w:rPr>
              <w:t xml:space="preserve"> 7</w:t>
            </w:r>
          </w:p>
        </w:tc>
        <w:tc>
          <w:tcPr>
            <w:tcW w:w="0" w:type="auto"/>
            <w:shd w:val="clear" w:color="auto" w:fill="auto"/>
          </w:tcPr>
          <w:p w14:paraId="214EB123" w14:textId="77777777" w:rsidR="00231553" w:rsidRPr="00B15DBE" w:rsidRDefault="00231553" w:rsidP="00A42FA1">
            <w:pPr>
              <w:pStyle w:val="Table"/>
            </w:pPr>
            <w:r w:rsidRPr="00B15DBE">
              <w:t>2020</w:t>
            </w:r>
          </w:p>
        </w:tc>
        <w:tc>
          <w:tcPr>
            <w:tcW w:w="1186" w:type="dxa"/>
            <w:shd w:val="clear" w:color="auto" w:fill="auto"/>
          </w:tcPr>
          <w:p w14:paraId="62EE3E97" w14:textId="77777777" w:rsidR="00231553" w:rsidRPr="00B15DBE" w:rsidRDefault="00231553" w:rsidP="00A42FA1">
            <w:pPr>
              <w:pStyle w:val="Table"/>
            </w:pPr>
            <w:r w:rsidRPr="00B15DBE">
              <w:t>CKD</w:t>
            </w:r>
          </w:p>
        </w:tc>
        <w:tc>
          <w:tcPr>
            <w:tcW w:w="5783" w:type="dxa"/>
            <w:shd w:val="clear" w:color="auto" w:fill="auto"/>
          </w:tcPr>
          <w:p w14:paraId="68E40D81" w14:textId="77777777" w:rsidR="00231553" w:rsidRPr="00B15DBE" w:rsidRDefault="00231553" w:rsidP="00A42FA1">
            <w:pPr>
              <w:pStyle w:val="Table"/>
            </w:pPr>
            <w:r w:rsidRPr="00B15DBE">
              <w:t>Unable to provide evidence-based recommendations or suggestions on preferential strategies because of a lack of evidence for most of the strategies, the absence of evidence on comparative efficacy of alternative strategies and the potential for harm with at least some of them.</w:t>
            </w:r>
          </w:p>
          <w:p w14:paraId="0FE70839" w14:textId="77777777" w:rsidR="00231553" w:rsidRPr="00B15DBE" w:rsidRDefault="00231553" w:rsidP="00A42FA1">
            <w:pPr>
              <w:pStyle w:val="Table"/>
            </w:pPr>
            <w:r w:rsidRPr="00B15DBE">
              <w:t>Approaches include dietary potassium restriction, permissive approach (no additions or changes to management despite awareness of HK), discontinuation of medications elevating potassium (e.g. RAASi), use of potassium-wasting diuretics, gastrointestinal potassium wasting and potassium binders.</w:t>
            </w:r>
          </w:p>
        </w:tc>
      </w:tr>
      <w:tr w:rsidR="00231553" w:rsidRPr="00B15DBE" w14:paraId="68D3F0E2" w14:textId="77777777" w:rsidTr="00083E5E">
        <w:trPr>
          <w:cantSplit/>
        </w:trPr>
        <w:tc>
          <w:tcPr>
            <w:tcW w:w="0" w:type="auto"/>
            <w:shd w:val="clear" w:color="auto" w:fill="auto"/>
          </w:tcPr>
          <w:p w14:paraId="21DBE1C0" w14:textId="77777777" w:rsidR="00231553" w:rsidRPr="00B15DBE" w:rsidRDefault="00231553" w:rsidP="00A42FA1">
            <w:pPr>
              <w:pStyle w:val="Table"/>
            </w:pPr>
            <w:r w:rsidRPr="00B15DBE">
              <w:t>ESH/ISH/ERA</w:t>
            </w:r>
          </w:p>
        </w:tc>
        <w:tc>
          <w:tcPr>
            <w:tcW w:w="0" w:type="auto"/>
            <w:shd w:val="clear" w:color="auto" w:fill="auto"/>
          </w:tcPr>
          <w:p w14:paraId="0B705A1F" w14:textId="55774090" w:rsidR="00231553" w:rsidRPr="00B15DBE" w:rsidRDefault="00231553" w:rsidP="00A42FA1">
            <w:pPr>
              <w:pStyle w:val="Table"/>
            </w:pPr>
            <w:r w:rsidRPr="00B15DBE">
              <w:t xml:space="preserve">Mancia </w:t>
            </w:r>
            <w:r w:rsidR="0080682E">
              <w:t>et al</w:t>
            </w:r>
            <w:r w:rsidRPr="00B15DBE">
              <w:t>.</w:t>
            </w:r>
            <w:r w:rsidR="00B607E6" w:rsidRPr="000A072A">
              <w:rPr>
                <w:noProof/>
                <w:vertAlign w:val="superscript"/>
              </w:rPr>
              <w:t xml:space="preserve"> 8</w:t>
            </w:r>
          </w:p>
        </w:tc>
        <w:tc>
          <w:tcPr>
            <w:tcW w:w="0" w:type="auto"/>
            <w:shd w:val="clear" w:color="auto" w:fill="auto"/>
          </w:tcPr>
          <w:p w14:paraId="703E02CB" w14:textId="77777777" w:rsidR="00231553" w:rsidRPr="00B15DBE" w:rsidRDefault="00231553" w:rsidP="00A42FA1">
            <w:pPr>
              <w:pStyle w:val="Table"/>
            </w:pPr>
            <w:r w:rsidRPr="00B15DBE">
              <w:t>2023</w:t>
            </w:r>
          </w:p>
        </w:tc>
        <w:tc>
          <w:tcPr>
            <w:tcW w:w="1186" w:type="dxa"/>
            <w:shd w:val="clear" w:color="auto" w:fill="auto"/>
          </w:tcPr>
          <w:p w14:paraId="15FE140B" w14:textId="77777777" w:rsidR="00231553" w:rsidRPr="00B15DBE" w:rsidRDefault="00231553" w:rsidP="00A42FA1">
            <w:pPr>
              <w:pStyle w:val="Table"/>
            </w:pPr>
            <w:r w:rsidRPr="00B15DBE">
              <w:t>Arterial hypertension</w:t>
            </w:r>
          </w:p>
        </w:tc>
        <w:tc>
          <w:tcPr>
            <w:tcW w:w="5783" w:type="dxa"/>
            <w:shd w:val="clear" w:color="auto" w:fill="auto"/>
          </w:tcPr>
          <w:p w14:paraId="4F53ABDC" w14:textId="77777777" w:rsidR="00231553" w:rsidRPr="00B15DBE" w:rsidRDefault="00231553" w:rsidP="00A42FA1">
            <w:pPr>
              <w:pStyle w:val="Table"/>
            </w:pPr>
            <w:r w:rsidRPr="00B15DBE">
              <w:t>Do not combine ACEi, ARB, or aliskiren.</w:t>
            </w:r>
          </w:p>
          <w:p w14:paraId="57F4E3CC" w14:textId="77777777" w:rsidR="00231553" w:rsidRPr="00B15DBE" w:rsidRDefault="00231553" w:rsidP="00A42FA1">
            <w:pPr>
              <w:pStyle w:val="Table"/>
            </w:pPr>
            <w:r w:rsidRPr="00B15DBE">
              <w:t>Consider a potassium binder in CKD patients with HK to maintain serum potassium levels &lt;5.5 mEq/L and allow optimal treatment with a RAASi.</w:t>
            </w:r>
          </w:p>
        </w:tc>
      </w:tr>
      <w:tr w:rsidR="00231553" w:rsidRPr="00B15DBE" w14:paraId="443E6C09" w14:textId="77777777" w:rsidTr="00083E5E">
        <w:trPr>
          <w:cantSplit/>
        </w:trPr>
        <w:tc>
          <w:tcPr>
            <w:tcW w:w="0" w:type="auto"/>
            <w:shd w:val="clear" w:color="auto" w:fill="auto"/>
          </w:tcPr>
          <w:p w14:paraId="25CCFDE6" w14:textId="77777777" w:rsidR="00231553" w:rsidRPr="00B15DBE" w:rsidRDefault="00231553" w:rsidP="00A42FA1">
            <w:pPr>
              <w:pStyle w:val="Table"/>
            </w:pPr>
            <w:r w:rsidRPr="00B15DBE">
              <w:t>AHA/ACC/HFSA</w:t>
            </w:r>
          </w:p>
        </w:tc>
        <w:tc>
          <w:tcPr>
            <w:tcW w:w="0" w:type="auto"/>
            <w:shd w:val="clear" w:color="auto" w:fill="auto"/>
          </w:tcPr>
          <w:p w14:paraId="44351455" w14:textId="386B5737" w:rsidR="00231553" w:rsidRPr="00B15DBE" w:rsidRDefault="00231553" w:rsidP="00A42FA1">
            <w:pPr>
              <w:pStyle w:val="Table"/>
            </w:pPr>
            <w:r w:rsidRPr="00B15DBE">
              <w:t xml:space="preserve">Heidenreich </w:t>
            </w:r>
            <w:r w:rsidR="0080682E">
              <w:t>et al</w:t>
            </w:r>
            <w:r w:rsidRPr="00B15DBE">
              <w:t>.</w:t>
            </w:r>
            <w:r w:rsidR="00B607E6" w:rsidRPr="000A072A">
              <w:rPr>
                <w:noProof/>
                <w:vertAlign w:val="superscript"/>
              </w:rPr>
              <w:t xml:space="preserve"> 9</w:t>
            </w:r>
          </w:p>
        </w:tc>
        <w:tc>
          <w:tcPr>
            <w:tcW w:w="0" w:type="auto"/>
            <w:shd w:val="clear" w:color="auto" w:fill="auto"/>
          </w:tcPr>
          <w:p w14:paraId="4359C810" w14:textId="77777777" w:rsidR="00231553" w:rsidRPr="00B15DBE" w:rsidRDefault="00231553" w:rsidP="00A42FA1">
            <w:pPr>
              <w:pStyle w:val="Table"/>
            </w:pPr>
            <w:r w:rsidRPr="00B15DBE">
              <w:t>2022</w:t>
            </w:r>
          </w:p>
        </w:tc>
        <w:tc>
          <w:tcPr>
            <w:tcW w:w="1186" w:type="dxa"/>
            <w:shd w:val="clear" w:color="auto" w:fill="auto"/>
          </w:tcPr>
          <w:p w14:paraId="665CD6B7" w14:textId="77777777" w:rsidR="00231553" w:rsidRPr="00B15DBE" w:rsidRDefault="00231553" w:rsidP="00A42FA1">
            <w:pPr>
              <w:pStyle w:val="Table"/>
            </w:pPr>
            <w:r w:rsidRPr="00B15DBE">
              <w:t>HF</w:t>
            </w:r>
          </w:p>
        </w:tc>
        <w:tc>
          <w:tcPr>
            <w:tcW w:w="5783" w:type="dxa"/>
            <w:shd w:val="clear" w:color="auto" w:fill="auto"/>
          </w:tcPr>
          <w:p w14:paraId="12A62092" w14:textId="77777777" w:rsidR="00231553" w:rsidRPr="00B15DBE" w:rsidRDefault="00231553" w:rsidP="00A42FA1">
            <w:pPr>
              <w:pStyle w:val="Table"/>
            </w:pPr>
            <w:r w:rsidRPr="00B15DBE">
              <w:t>Use newer potassium binders to maintain serum potassium &lt;5.5 mEq/L.</w:t>
            </w:r>
          </w:p>
          <w:p w14:paraId="0A3C3EB5" w14:textId="77777777" w:rsidR="00231553" w:rsidRPr="00B15DBE" w:rsidRDefault="00231553" w:rsidP="00A42FA1">
            <w:pPr>
              <w:pStyle w:val="Table"/>
            </w:pPr>
            <w:r w:rsidRPr="00B15DBE">
              <w:t>Avoid MRAs in patients with HFrEF and NYHA class II to IV symptoms if potassium is ≥5.0 mEq/L.</w:t>
            </w:r>
          </w:p>
        </w:tc>
      </w:tr>
      <w:tr w:rsidR="00231553" w:rsidRPr="00B15DBE" w14:paraId="360213E0" w14:textId="77777777" w:rsidTr="00083E5E">
        <w:trPr>
          <w:cantSplit/>
        </w:trPr>
        <w:tc>
          <w:tcPr>
            <w:tcW w:w="0" w:type="auto"/>
            <w:shd w:val="clear" w:color="auto" w:fill="auto"/>
          </w:tcPr>
          <w:p w14:paraId="29C37DA5" w14:textId="77777777" w:rsidR="00231553" w:rsidRPr="00B15DBE" w:rsidRDefault="00231553" w:rsidP="00A42FA1">
            <w:pPr>
              <w:pStyle w:val="Table"/>
            </w:pPr>
            <w:r w:rsidRPr="00B15DBE">
              <w:t>ESC</w:t>
            </w:r>
          </w:p>
        </w:tc>
        <w:tc>
          <w:tcPr>
            <w:tcW w:w="0" w:type="auto"/>
            <w:shd w:val="clear" w:color="auto" w:fill="auto"/>
          </w:tcPr>
          <w:p w14:paraId="4BB7FDC1" w14:textId="56C254BB" w:rsidR="00231553" w:rsidRPr="00B15DBE" w:rsidRDefault="00231553" w:rsidP="00A42FA1">
            <w:pPr>
              <w:pStyle w:val="Table"/>
            </w:pPr>
            <w:r w:rsidRPr="00B15DBE">
              <w:t xml:space="preserve">McDonagh </w:t>
            </w:r>
            <w:r w:rsidR="0080682E">
              <w:t>et al</w:t>
            </w:r>
            <w:r w:rsidRPr="00B15DBE">
              <w:t>.</w:t>
            </w:r>
            <w:r w:rsidR="00B607E6" w:rsidRPr="000A072A">
              <w:rPr>
                <w:noProof/>
                <w:vertAlign w:val="superscript"/>
              </w:rPr>
              <w:t xml:space="preserve"> 10</w:t>
            </w:r>
          </w:p>
        </w:tc>
        <w:tc>
          <w:tcPr>
            <w:tcW w:w="0" w:type="auto"/>
            <w:shd w:val="clear" w:color="auto" w:fill="auto"/>
          </w:tcPr>
          <w:p w14:paraId="6C8EB4A5" w14:textId="77777777" w:rsidR="00231553" w:rsidRPr="00B15DBE" w:rsidRDefault="00231553" w:rsidP="00A42FA1">
            <w:pPr>
              <w:pStyle w:val="Table"/>
            </w:pPr>
            <w:r w:rsidRPr="00B15DBE">
              <w:t>2021</w:t>
            </w:r>
          </w:p>
        </w:tc>
        <w:tc>
          <w:tcPr>
            <w:tcW w:w="1186" w:type="dxa"/>
            <w:shd w:val="clear" w:color="auto" w:fill="auto"/>
          </w:tcPr>
          <w:p w14:paraId="39B50E7C" w14:textId="77777777" w:rsidR="00231553" w:rsidRPr="00B15DBE" w:rsidRDefault="00231553" w:rsidP="00A42FA1">
            <w:pPr>
              <w:pStyle w:val="Table"/>
            </w:pPr>
            <w:r w:rsidRPr="00B15DBE">
              <w:t>HF</w:t>
            </w:r>
          </w:p>
        </w:tc>
        <w:tc>
          <w:tcPr>
            <w:tcW w:w="5783" w:type="dxa"/>
            <w:shd w:val="clear" w:color="auto" w:fill="auto"/>
          </w:tcPr>
          <w:p w14:paraId="71F97E4A" w14:textId="77777777" w:rsidR="00231553" w:rsidRPr="00B15DBE" w:rsidRDefault="00231553" w:rsidP="00A42FA1">
            <w:pPr>
              <w:pStyle w:val="Table"/>
            </w:pPr>
            <w:r w:rsidRPr="00B15DBE">
              <w:t>Potassium binders can be used for acute and chronic potassium lowering. In patients with chronic or recurrent HK on RAASi, an approved potassium-lowering agent may be initiated as soon as potassium levels are confirmed to be &gt;5.0 mEq/L. Potassium-lowering treatment should be maintained unless alternative treatable aetiology for HK is identified.</w:t>
            </w:r>
          </w:p>
          <w:p w14:paraId="0B6ED585" w14:textId="77777777" w:rsidR="00231553" w:rsidRPr="00B15DBE" w:rsidRDefault="00231553" w:rsidP="00A42FA1">
            <w:pPr>
              <w:pStyle w:val="Table"/>
            </w:pPr>
            <w:r w:rsidRPr="00B15DBE">
              <w:t>Discontinue/reduce RAASi in patients with potassium levels of &gt;6.5 mEq/L on either maximal or submaximal tolerated, guideline-recommended target dose of RAASi.</w:t>
            </w:r>
          </w:p>
        </w:tc>
      </w:tr>
      <w:tr w:rsidR="00231553" w:rsidRPr="00B15DBE" w14:paraId="6A3C6149" w14:textId="77777777" w:rsidTr="00083E5E">
        <w:trPr>
          <w:cantSplit/>
        </w:trPr>
        <w:tc>
          <w:tcPr>
            <w:tcW w:w="0" w:type="auto"/>
            <w:shd w:val="clear" w:color="auto" w:fill="auto"/>
          </w:tcPr>
          <w:p w14:paraId="08C159EF" w14:textId="77777777" w:rsidR="00231553" w:rsidRPr="00B15DBE" w:rsidRDefault="00231553" w:rsidP="00A42FA1">
            <w:pPr>
              <w:pStyle w:val="Table"/>
            </w:pPr>
            <w:r w:rsidRPr="00B15DBE">
              <w:t>ESC</w:t>
            </w:r>
          </w:p>
        </w:tc>
        <w:tc>
          <w:tcPr>
            <w:tcW w:w="0" w:type="auto"/>
            <w:shd w:val="clear" w:color="auto" w:fill="auto"/>
          </w:tcPr>
          <w:p w14:paraId="7CA3EC54" w14:textId="19699B67" w:rsidR="00231553" w:rsidRPr="00B15DBE" w:rsidRDefault="00231553" w:rsidP="00A42FA1">
            <w:pPr>
              <w:pStyle w:val="Table"/>
            </w:pPr>
            <w:r w:rsidRPr="00B15DBE">
              <w:t xml:space="preserve">Rosano </w:t>
            </w:r>
            <w:r w:rsidR="0080682E">
              <w:t>et al</w:t>
            </w:r>
            <w:r w:rsidRPr="00B15DBE">
              <w:t>.</w:t>
            </w:r>
            <w:r w:rsidR="00B607E6" w:rsidRPr="000A072A">
              <w:rPr>
                <w:noProof/>
                <w:vertAlign w:val="superscript"/>
              </w:rPr>
              <w:t xml:space="preserve"> 11</w:t>
            </w:r>
          </w:p>
        </w:tc>
        <w:tc>
          <w:tcPr>
            <w:tcW w:w="0" w:type="auto"/>
            <w:shd w:val="clear" w:color="auto" w:fill="auto"/>
          </w:tcPr>
          <w:p w14:paraId="37AE4FCC" w14:textId="77777777" w:rsidR="00231553" w:rsidRPr="00B15DBE" w:rsidRDefault="00231553" w:rsidP="00A42FA1">
            <w:pPr>
              <w:pStyle w:val="Table"/>
            </w:pPr>
            <w:r w:rsidRPr="00B15DBE">
              <w:t>2018</w:t>
            </w:r>
          </w:p>
        </w:tc>
        <w:tc>
          <w:tcPr>
            <w:tcW w:w="1186" w:type="dxa"/>
            <w:shd w:val="clear" w:color="auto" w:fill="auto"/>
          </w:tcPr>
          <w:p w14:paraId="3538138F" w14:textId="77777777" w:rsidR="00231553" w:rsidRPr="00B15DBE" w:rsidRDefault="00231553" w:rsidP="00A42FA1">
            <w:pPr>
              <w:pStyle w:val="Table"/>
            </w:pPr>
            <w:r w:rsidRPr="00B15DBE">
              <w:t>CVD treated with RAASi</w:t>
            </w:r>
          </w:p>
        </w:tc>
        <w:tc>
          <w:tcPr>
            <w:tcW w:w="5783" w:type="dxa"/>
            <w:shd w:val="clear" w:color="auto" w:fill="auto"/>
          </w:tcPr>
          <w:p w14:paraId="4353359B" w14:textId="77777777" w:rsidR="00231553" w:rsidRPr="00B15DBE" w:rsidRDefault="00231553" w:rsidP="00A42FA1">
            <w:pPr>
              <w:pStyle w:val="Table"/>
            </w:pPr>
            <w:r w:rsidRPr="00B15DBE">
              <w:t>Review diet, supplements and medications. Consider a low-potassium diet and loop or thiazide diuretics that increase potassium excretion.</w:t>
            </w:r>
          </w:p>
        </w:tc>
      </w:tr>
      <w:tr w:rsidR="00083E5E" w:rsidRPr="00B15DBE" w14:paraId="297AFA3A" w14:textId="77777777" w:rsidTr="00083E5E">
        <w:trPr>
          <w:cantSplit/>
        </w:trPr>
        <w:tc>
          <w:tcPr>
            <w:tcW w:w="0" w:type="auto"/>
            <w:shd w:val="clear" w:color="auto" w:fill="auto"/>
          </w:tcPr>
          <w:p w14:paraId="10143F0F" w14:textId="2059FA7F" w:rsidR="00083E5E" w:rsidRPr="00B15DBE" w:rsidRDefault="00083E5E" w:rsidP="00A42FA1">
            <w:pPr>
              <w:pStyle w:val="Table"/>
            </w:pPr>
            <w:r>
              <w:t>JCS/JHFS</w:t>
            </w:r>
          </w:p>
        </w:tc>
        <w:tc>
          <w:tcPr>
            <w:tcW w:w="0" w:type="auto"/>
            <w:shd w:val="clear" w:color="auto" w:fill="auto"/>
          </w:tcPr>
          <w:p w14:paraId="73C3DFAA" w14:textId="6025ECC5" w:rsidR="00083E5E" w:rsidRPr="00B15DBE" w:rsidRDefault="00083E5E" w:rsidP="00A42FA1">
            <w:pPr>
              <w:pStyle w:val="Table"/>
            </w:pPr>
            <w:r>
              <w:t>Kitai et al.</w:t>
            </w:r>
            <w:r w:rsidR="00B607E6" w:rsidRPr="00083E5E">
              <w:rPr>
                <w:noProof/>
                <w:vertAlign w:val="superscript"/>
              </w:rPr>
              <w:t xml:space="preserve"> 12</w:t>
            </w:r>
          </w:p>
        </w:tc>
        <w:tc>
          <w:tcPr>
            <w:tcW w:w="0" w:type="auto"/>
            <w:shd w:val="clear" w:color="auto" w:fill="auto"/>
          </w:tcPr>
          <w:p w14:paraId="3C687176" w14:textId="2A34FE98" w:rsidR="00083E5E" w:rsidRPr="00B15DBE" w:rsidRDefault="00083E5E" w:rsidP="00A42FA1">
            <w:pPr>
              <w:pStyle w:val="Table"/>
            </w:pPr>
            <w:r>
              <w:t>2025</w:t>
            </w:r>
          </w:p>
        </w:tc>
        <w:tc>
          <w:tcPr>
            <w:tcW w:w="1186" w:type="dxa"/>
            <w:shd w:val="clear" w:color="auto" w:fill="auto"/>
          </w:tcPr>
          <w:p w14:paraId="0DD57EEE" w14:textId="5CC0ECC3" w:rsidR="00083E5E" w:rsidRPr="00B15DBE" w:rsidRDefault="00083E5E" w:rsidP="00A42FA1">
            <w:pPr>
              <w:pStyle w:val="Table"/>
            </w:pPr>
            <w:r>
              <w:t>HF</w:t>
            </w:r>
          </w:p>
        </w:tc>
        <w:tc>
          <w:tcPr>
            <w:tcW w:w="5783" w:type="dxa"/>
            <w:shd w:val="clear" w:color="auto" w:fill="auto"/>
          </w:tcPr>
          <w:p w14:paraId="2C0AB3AF" w14:textId="77777777" w:rsidR="009C132C" w:rsidRDefault="009C132C" w:rsidP="00A42FA1">
            <w:pPr>
              <w:pStyle w:val="Table"/>
            </w:pPr>
            <w:r>
              <w:t>Educate patients on a potassium-restricted diet</w:t>
            </w:r>
          </w:p>
          <w:p w14:paraId="3EDB78F3" w14:textId="77777777" w:rsidR="009C132C" w:rsidRDefault="009C132C" w:rsidP="00A42FA1">
            <w:pPr>
              <w:pStyle w:val="Table"/>
            </w:pPr>
            <w:r>
              <w:t>Reduce or discontinue medications that increase potassium levels of have nephrotoxic effects (e.g. non-steroidal anti-inflammatory drugs</w:t>
            </w:r>
          </w:p>
          <w:p w14:paraId="527339BD" w14:textId="616DCDA7" w:rsidR="009C132C" w:rsidRPr="00B15DBE" w:rsidRDefault="009C132C" w:rsidP="00A42FA1">
            <w:pPr>
              <w:pStyle w:val="Table"/>
            </w:pPr>
            <w:r>
              <w:t>Considered maintaining or initiating potassium binders to prevent recurrent HK, and administer, reintroduce, or uptitrate RAASi</w:t>
            </w:r>
          </w:p>
        </w:tc>
      </w:tr>
    </w:tbl>
    <w:p w14:paraId="296D0F87" w14:textId="516078B0" w:rsidR="00231553" w:rsidRPr="00B15DBE" w:rsidRDefault="00231553" w:rsidP="00231553">
      <w:pPr>
        <w:pStyle w:val="Table"/>
      </w:pPr>
      <w:r w:rsidRPr="00B15DBE">
        <w:t xml:space="preserve">ACC, American College of Cardiology; ACEi, angiotensin-converting enzyme inhibitor; AHA, American Heart Association; AKI, acute kidney injury; ARB, angiotensin receptor blocker; CKD, chronic kidney disease; CVD, cardiovascular disease; DASH, </w:t>
      </w:r>
      <w:r w:rsidRPr="00B15DBE">
        <w:rPr>
          <w:rStyle w:val="Strong"/>
          <w:b w:val="0"/>
          <w:bCs w:val="0"/>
        </w:rPr>
        <w:t xml:space="preserve">Dietary Approaches to Stop Hypertension; </w:t>
      </w:r>
      <w:r w:rsidRPr="00B15DBE">
        <w:t xml:space="preserve">ERA, European Renal Association; ESC, European Society of Cardiology; ESH, European Society of Hypertension; FADOI, Federation of Associations of Hospital Doctors on Internal Medicine; HF, heart failure; HFrEF, heart failure with reduced ejection fraction; </w:t>
      </w:r>
      <w:r w:rsidRPr="00B15DBE">
        <w:lastRenderedPageBreak/>
        <w:t xml:space="preserve">HFSA, Heart Failure Society of America; HK, hyperkalaemia; ISH, International Society of Hypertension; </w:t>
      </w:r>
      <w:r w:rsidR="00083E5E">
        <w:t>JCS, Japanese Circulation Society; JHFS, Japanese Heart Failure Society;</w:t>
      </w:r>
      <w:r w:rsidR="000D7531">
        <w:t xml:space="preserve"> </w:t>
      </w:r>
      <w:r w:rsidRPr="00B15DBE">
        <w:t>KDIGO, Kidney Disease: Improving Global Outcomes; MRA, mineralocorticoid receptor antagonist; NYHA, New York Heart Association; RAASi, renin–angiotensin–aldosterone system inhibitor; SIMI, Italian Society of Internal Medicine; SIN, Italian Society of Nephrology; SZC, sodium zirconium cyclosilicate.</w:t>
      </w:r>
    </w:p>
    <w:p w14:paraId="635FC988" w14:textId="57F977FF" w:rsidR="00231553" w:rsidRDefault="00231553" w:rsidP="00231553">
      <w:pPr>
        <w:pStyle w:val="Heading2"/>
      </w:pPr>
      <w:r w:rsidRPr="00B15DBE">
        <w:br w:type="page"/>
      </w:r>
    </w:p>
    <w:p w14:paraId="5C9F31B2" w14:textId="154478CC" w:rsidR="007F2A0D" w:rsidRPr="00B15DBE" w:rsidRDefault="007F2A0D" w:rsidP="00872A12">
      <w:pPr>
        <w:pStyle w:val="Heading2"/>
      </w:pPr>
      <w:r w:rsidRPr="00B15DBE">
        <w:lastRenderedPageBreak/>
        <w:t xml:space="preserve">Supplementary Table </w:t>
      </w:r>
      <w:bookmarkEnd w:id="6"/>
      <w:r w:rsidRPr="00B15DBE">
        <w:t>S</w:t>
      </w:r>
      <w:bookmarkEnd w:id="7"/>
      <w:r w:rsidR="000B299A">
        <w:t>2</w:t>
      </w:r>
      <w:r w:rsidRPr="00B15DBE">
        <w:t xml:space="preserve">: Summary of studies evaluating RAASi </w:t>
      </w:r>
      <w:r w:rsidR="00551025" w:rsidRPr="00B15DBE">
        <w:t xml:space="preserve">utilisation </w:t>
      </w:r>
      <w:r w:rsidRPr="00B15DBE">
        <w:t>with potassium binders</w:t>
      </w:r>
    </w:p>
    <w:tbl>
      <w:tblPr>
        <w:tblStyle w:val="TableGrid"/>
        <w:tblW w:w="10513" w:type="dxa"/>
        <w:tblLayout w:type="fixed"/>
        <w:tblCellMar>
          <w:left w:w="57" w:type="dxa"/>
          <w:right w:w="57" w:type="dxa"/>
        </w:tblCellMar>
        <w:tblLook w:val="04A0" w:firstRow="1" w:lastRow="0" w:firstColumn="1" w:lastColumn="0" w:noHBand="0" w:noVBand="1"/>
      </w:tblPr>
      <w:tblGrid>
        <w:gridCol w:w="1196"/>
        <w:gridCol w:w="1474"/>
        <w:gridCol w:w="905"/>
        <w:gridCol w:w="584"/>
        <w:gridCol w:w="1134"/>
        <w:gridCol w:w="964"/>
        <w:gridCol w:w="2034"/>
        <w:gridCol w:w="2222"/>
      </w:tblGrid>
      <w:tr w:rsidR="00AA2461" w:rsidRPr="00B15DBE" w14:paraId="17780461" w14:textId="77777777" w:rsidTr="00B31C78">
        <w:tc>
          <w:tcPr>
            <w:tcW w:w="1196" w:type="dxa"/>
          </w:tcPr>
          <w:p w14:paraId="2CEEEA4C" w14:textId="4C19666D" w:rsidR="00AC5DE9" w:rsidRPr="00AA2461" w:rsidRDefault="00AC5DE9" w:rsidP="00DB4993">
            <w:pPr>
              <w:pStyle w:val="Table"/>
              <w:jc w:val="center"/>
              <w:rPr>
                <w:b/>
                <w:bCs/>
              </w:rPr>
            </w:pPr>
            <w:r w:rsidRPr="00AA2461">
              <w:rPr>
                <w:b/>
                <w:bCs/>
              </w:rPr>
              <w:t>Study</w:t>
            </w:r>
            <w:r w:rsidR="008F171C">
              <w:rPr>
                <w:b/>
                <w:bCs/>
              </w:rPr>
              <w:t xml:space="preserve"> / </w:t>
            </w:r>
            <w:r w:rsidR="008F171C">
              <w:rPr>
                <w:b/>
                <w:bCs/>
              </w:rPr>
              <w:br/>
              <w:t>Study type</w:t>
            </w:r>
          </w:p>
        </w:tc>
        <w:tc>
          <w:tcPr>
            <w:tcW w:w="1474" w:type="dxa"/>
          </w:tcPr>
          <w:p w14:paraId="649F3B07" w14:textId="77777777" w:rsidR="00AC5DE9" w:rsidRPr="00AA2461" w:rsidRDefault="00AC5DE9" w:rsidP="00DB4993">
            <w:pPr>
              <w:pStyle w:val="Table"/>
              <w:jc w:val="center"/>
              <w:rPr>
                <w:b/>
                <w:bCs/>
              </w:rPr>
            </w:pPr>
            <w:r w:rsidRPr="00AA2461">
              <w:rPr>
                <w:b/>
                <w:bCs/>
              </w:rPr>
              <w:t>Aim</w:t>
            </w:r>
          </w:p>
        </w:tc>
        <w:tc>
          <w:tcPr>
            <w:tcW w:w="905" w:type="dxa"/>
          </w:tcPr>
          <w:p w14:paraId="4BA85814" w14:textId="77777777" w:rsidR="00AC5DE9" w:rsidRPr="00AA2461" w:rsidRDefault="00AC5DE9" w:rsidP="00DB4993">
            <w:pPr>
              <w:pStyle w:val="Table"/>
              <w:jc w:val="center"/>
              <w:rPr>
                <w:b/>
                <w:bCs/>
              </w:rPr>
            </w:pPr>
            <w:r w:rsidRPr="00AA2461">
              <w:rPr>
                <w:b/>
                <w:bCs/>
              </w:rPr>
              <w:t>Potassium binder</w:t>
            </w:r>
          </w:p>
        </w:tc>
        <w:tc>
          <w:tcPr>
            <w:tcW w:w="584" w:type="dxa"/>
          </w:tcPr>
          <w:p w14:paraId="1447DD9F" w14:textId="77777777" w:rsidR="00AC5DE9" w:rsidRPr="00AA2461" w:rsidRDefault="00AC5DE9" w:rsidP="00DB4993">
            <w:pPr>
              <w:pStyle w:val="Table"/>
              <w:jc w:val="center"/>
              <w:rPr>
                <w:b/>
                <w:bCs/>
              </w:rPr>
            </w:pPr>
            <w:r w:rsidRPr="00AA2461">
              <w:rPr>
                <w:b/>
                <w:bCs/>
              </w:rPr>
              <w:t>Study type</w:t>
            </w:r>
          </w:p>
        </w:tc>
        <w:tc>
          <w:tcPr>
            <w:tcW w:w="1134" w:type="dxa"/>
          </w:tcPr>
          <w:p w14:paraId="240DD4E3" w14:textId="77777777" w:rsidR="00AC5DE9" w:rsidRPr="00AA2461" w:rsidRDefault="00AC5DE9" w:rsidP="00DB4993">
            <w:pPr>
              <w:pStyle w:val="Table"/>
              <w:jc w:val="center"/>
              <w:rPr>
                <w:b/>
                <w:bCs/>
              </w:rPr>
            </w:pPr>
            <w:r w:rsidRPr="00AA2461">
              <w:rPr>
                <w:b/>
                <w:bCs/>
              </w:rPr>
              <w:t>Number of participants</w:t>
            </w:r>
          </w:p>
        </w:tc>
        <w:tc>
          <w:tcPr>
            <w:tcW w:w="964" w:type="dxa"/>
          </w:tcPr>
          <w:p w14:paraId="41ACBDD0" w14:textId="77777777" w:rsidR="00AC5DE9" w:rsidRPr="00AA2461" w:rsidRDefault="00AC5DE9" w:rsidP="00DB4993">
            <w:pPr>
              <w:pStyle w:val="Table"/>
              <w:jc w:val="center"/>
              <w:rPr>
                <w:b/>
                <w:bCs/>
              </w:rPr>
            </w:pPr>
            <w:r w:rsidRPr="00AA2461">
              <w:rPr>
                <w:b/>
                <w:bCs/>
              </w:rPr>
              <w:t>Follow-up</w:t>
            </w:r>
          </w:p>
        </w:tc>
        <w:tc>
          <w:tcPr>
            <w:tcW w:w="2034" w:type="dxa"/>
          </w:tcPr>
          <w:p w14:paraId="1AFABAFE" w14:textId="770C81F1" w:rsidR="00AC5DE9" w:rsidRPr="00AA2461" w:rsidRDefault="00AC5DE9" w:rsidP="00DB4993">
            <w:pPr>
              <w:pStyle w:val="Table"/>
              <w:jc w:val="center"/>
              <w:rPr>
                <w:b/>
                <w:bCs/>
              </w:rPr>
            </w:pPr>
            <w:r w:rsidRPr="00AA2461">
              <w:rPr>
                <w:b/>
                <w:bCs/>
              </w:rPr>
              <w:t>Effect of binder on RAASi utili</w:t>
            </w:r>
            <w:r w:rsidR="00551025" w:rsidRPr="00AA2461">
              <w:rPr>
                <w:b/>
                <w:bCs/>
              </w:rPr>
              <w:t>s</w:t>
            </w:r>
            <w:r w:rsidRPr="00AA2461">
              <w:rPr>
                <w:b/>
                <w:bCs/>
              </w:rPr>
              <w:t>ation</w:t>
            </w:r>
          </w:p>
        </w:tc>
        <w:tc>
          <w:tcPr>
            <w:tcW w:w="2222" w:type="dxa"/>
          </w:tcPr>
          <w:p w14:paraId="1FE4615E" w14:textId="572F7D96" w:rsidR="00AC5DE9" w:rsidRPr="00AA2461" w:rsidRDefault="00AC5DE9" w:rsidP="00DB4993">
            <w:pPr>
              <w:pStyle w:val="Table"/>
              <w:jc w:val="center"/>
              <w:rPr>
                <w:b/>
                <w:bCs/>
              </w:rPr>
            </w:pPr>
            <w:r w:rsidRPr="00AA2461">
              <w:rPr>
                <w:b/>
                <w:bCs/>
              </w:rPr>
              <w:t xml:space="preserve">Effect of binder on </w:t>
            </w:r>
            <w:r w:rsidR="00651280" w:rsidRPr="00AA2461">
              <w:rPr>
                <w:b/>
                <w:bCs/>
              </w:rPr>
              <w:t>potassium</w:t>
            </w:r>
            <w:r w:rsidRPr="00AA2461">
              <w:rPr>
                <w:b/>
                <w:bCs/>
              </w:rPr>
              <w:t xml:space="preserve"> </w:t>
            </w:r>
            <w:r w:rsidR="002C472C" w:rsidRPr="00AA2461">
              <w:rPr>
                <w:b/>
                <w:bCs/>
              </w:rPr>
              <w:t>levels</w:t>
            </w:r>
          </w:p>
        </w:tc>
      </w:tr>
      <w:tr w:rsidR="00AA2461" w:rsidRPr="00B15DBE" w14:paraId="1CEB9DA7" w14:textId="77777777" w:rsidTr="00B31C78">
        <w:tc>
          <w:tcPr>
            <w:tcW w:w="1196" w:type="dxa"/>
          </w:tcPr>
          <w:p w14:paraId="582E660A" w14:textId="0BE3EE7C" w:rsidR="0061696E" w:rsidRPr="00D33BFF" w:rsidRDefault="0061696E" w:rsidP="000B299A">
            <w:pPr>
              <w:pStyle w:val="Table"/>
            </w:pPr>
            <w:r w:rsidRPr="000B299A">
              <w:t>REALIZE</w:t>
            </w:r>
            <w:r w:rsidRPr="00D33BFF">
              <w:t>-K, 202</w:t>
            </w:r>
            <w:r>
              <w:t>5</w:t>
            </w:r>
            <w:r w:rsidR="00B607E6" w:rsidRPr="00083E5E">
              <w:rPr>
                <w:noProof/>
                <w:vertAlign w:val="superscript"/>
              </w:rPr>
              <w:t>13</w:t>
            </w:r>
          </w:p>
        </w:tc>
        <w:tc>
          <w:tcPr>
            <w:tcW w:w="1474" w:type="dxa"/>
          </w:tcPr>
          <w:p w14:paraId="070D8080" w14:textId="5F8C3FE1" w:rsidR="0061696E" w:rsidRPr="000B299A" w:rsidRDefault="0061696E" w:rsidP="000B299A">
            <w:pPr>
              <w:pStyle w:val="Table"/>
            </w:pPr>
            <w:r w:rsidRPr="000B299A">
              <w:t xml:space="preserve">Evaluate </w:t>
            </w:r>
            <w:r w:rsidR="001750F3" w:rsidRPr="000B299A">
              <w:t>the efficacy and safety of</w:t>
            </w:r>
            <w:r w:rsidR="00261DF8" w:rsidRPr="000B299A">
              <w:t xml:space="preserve"> SZC in optimising spironolactone use</w:t>
            </w:r>
            <w:r w:rsidRPr="000B299A">
              <w:t xml:space="preserve"> patients with HFrEF and prevalent hyperkalaemia (or at high risk).</w:t>
            </w:r>
          </w:p>
        </w:tc>
        <w:tc>
          <w:tcPr>
            <w:tcW w:w="905" w:type="dxa"/>
          </w:tcPr>
          <w:p w14:paraId="2C077370" w14:textId="42040F69" w:rsidR="0061696E" w:rsidRPr="000B299A" w:rsidRDefault="0061696E" w:rsidP="000B299A">
            <w:pPr>
              <w:pStyle w:val="Table"/>
            </w:pPr>
            <w:r w:rsidRPr="000B299A">
              <w:t>SZC</w:t>
            </w:r>
          </w:p>
        </w:tc>
        <w:tc>
          <w:tcPr>
            <w:tcW w:w="584" w:type="dxa"/>
          </w:tcPr>
          <w:p w14:paraId="34E4475C" w14:textId="30D01366" w:rsidR="0061696E" w:rsidRPr="000B299A" w:rsidRDefault="0061696E" w:rsidP="000B299A">
            <w:pPr>
              <w:pStyle w:val="Table"/>
            </w:pPr>
            <w:r w:rsidRPr="000B299A">
              <w:t>RCT</w:t>
            </w:r>
          </w:p>
        </w:tc>
        <w:tc>
          <w:tcPr>
            <w:tcW w:w="1134" w:type="dxa"/>
          </w:tcPr>
          <w:p w14:paraId="39850B3E" w14:textId="77777777" w:rsidR="0061696E" w:rsidRPr="000B299A" w:rsidRDefault="0061696E" w:rsidP="000B299A">
            <w:pPr>
              <w:pStyle w:val="Table"/>
            </w:pPr>
            <w:r w:rsidRPr="000B299A">
              <w:t>102 treated with SZC</w:t>
            </w:r>
          </w:p>
          <w:p w14:paraId="34926CB0" w14:textId="400D2589" w:rsidR="0061696E" w:rsidRPr="000B299A" w:rsidRDefault="0061696E" w:rsidP="000B299A">
            <w:pPr>
              <w:pStyle w:val="Table"/>
            </w:pPr>
            <w:r w:rsidRPr="000B299A">
              <w:t>101 treated with placebo</w:t>
            </w:r>
          </w:p>
        </w:tc>
        <w:tc>
          <w:tcPr>
            <w:tcW w:w="964" w:type="dxa"/>
          </w:tcPr>
          <w:p w14:paraId="706074BA" w14:textId="5365D4B5" w:rsidR="0061696E" w:rsidRPr="000B299A" w:rsidRDefault="0061696E" w:rsidP="000B299A">
            <w:pPr>
              <w:pStyle w:val="Table"/>
            </w:pPr>
            <w:r w:rsidRPr="000B299A">
              <w:t>6 months total</w:t>
            </w:r>
          </w:p>
        </w:tc>
        <w:tc>
          <w:tcPr>
            <w:tcW w:w="2034" w:type="dxa"/>
          </w:tcPr>
          <w:p w14:paraId="22FB4F2F" w14:textId="77777777" w:rsidR="0061696E" w:rsidRPr="000B299A" w:rsidRDefault="0061696E" w:rsidP="000B299A">
            <w:pPr>
              <w:pStyle w:val="Table"/>
            </w:pPr>
            <w:r w:rsidRPr="000B299A">
              <w:t>More patients received spironolactone ≥25 mg/day on SZC (81%) than on placebo (50%; OR: 4.33; 95% CI: 2.50 to 7.52; P&lt;0.001) (secondary endpoint)</w:t>
            </w:r>
          </w:p>
          <w:p w14:paraId="3F6AE6C7" w14:textId="5A6265E7" w:rsidR="0061696E" w:rsidRPr="000B299A" w:rsidRDefault="0061696E" w:rsidP="000B299A">
            <w:pPr>
              <w:pStyle w:val="Table"/>
            </w:pPr>
            <w:r w:rsidRPr="000B299A">
              <w:t xml:space="preserve">Patients on SZC took longer </w:t>
            </w:r>
            <w:r w:rsidR="00594329" w:rsidRPr="000B299A">
              <w:t xml:space="preserve">to require </w:t>
            </w:r>
            <w:r w:rsidR="005217B7" w:rsidRPr="000B299A">
              <w:t xml:space="preserve">a decrease or discontinuation of </w:t>
            </w:r>
            <w:r w:rsidRPr="000B299A">
              <w:t xml:space="preserve">spironolactone </w:t>
            </w:r>
            <w:r w:rsidR="005217B7" w:rsidRPr="000B299A">
              <w:t xml:space="preserve">due </w:t>
            </w:r>
            <w:r w:rsidRPr="000B299A">
              <w:t xml:space="preserve">to hyperkalaemia than </w:t>
            </w:r>
            <w:r w:rsidR="005217B7" w:rsidRPr="000B299A">
              <w:t xml:space="preserve">those </w:t>
            </w:r>
            <w:r w:rsidRPr="000B299A">
              <w:t>on placebo (HR: 0.37; 95% CI: 0.17 to 0.73; P=0.006) (secondary endpoint)</w:t>
            </w:r>
          </w:p>
        </w:tc>
        <w:tc>
          <w:tcPr>
            <w:tcW w:w="2222" w:type="dxa"/>
          </w:tcPr>
          <w:p w14:paraId="52149529" w14:textId="77777777" w:rsidR="0061696E" w:rsidRPr="000B299A" w:rsidRDefault="0061696E" w:rsidP="000B299A">
            <w:pPr>
              <w:pStyle w:val="Table"/>
            </w:pPr>
            <w:r w:rsidRPr="000B299A">
              <w:t>Patients on SZC were more likely to maintain normokalaemia on spironolactone ≥25 mg/day without rescue therapy for hyperkalaemia compared with placebo (71% vs 36%; OR: 4.45; 95% CI: 2.89 to 6.86; P&lt;0.001) (primary endpoint)</w:t>
            </w:r>
          </w:p>
          <w:p w14:paraId="032426A8" w14:textId="7AAB2281" w:rsidR="0061696E" w:rsidRPr="000B299A" w:rsidRDefault="0061696E" w:rsidP="000B299A">
            <w:pPr>
              <w:pStyle w:val="Table"/>
            </w:pPr>
            <w:r w:rsidRPr="000B299A">
              <w:t>SZC (vs placebo) also improved the following secondary endpoints: normokalaemia on randomization dose of spironolactone and without rescue therapy (58% vs 23%; OR: 4.58; 95% CI: 2.78 to 7.55; P&lt;0.001); time to HK (HR: 0.51; 95% CI: 0.37 to 0.71; P&lt;0.001)</w:t>
            </w:r>
          </w:p>
        </w:tc>
      </w:tr>
      <w:tr w:rsidR="00AA2461" w:rsidRPr="00B15DBE" w14:paraId="73D6D883" w14:textId="77777777" w:rsidTr="00B31C78">
        <w:tc>
          <w:tcPr>
            <w:tcW w:w="1196" w:type="dxa"/>
          </w:tcPr>
          <w:p w14:paraId="724CBDAD" w14:textId="6248F952" w:rsidR="00AC5DE9" w:rsidRPr="00B15DBE" w:rsidRDefault="00AC5DE9" w:rsidP="00AA2461">
            <w:pPr>
              <w:pStyle w:val="Table"/>
            </w:pPr>
            <w:r w:rsidRPr="00AA2461">
              <w:t>ZORA</w:t>
            </w:r>
            <w:r w:rsidRPr="00B15DBE">
              <w:t>, 2023</w:t>
            </w:r>
            <w:r w:rsidR="00B607E6" w:rsidRPr="00083E5E">
              <w:rPr>
                <w:noProof/>
                <w:vertAlign w:val="superscript"/>
              </w:rPr>
              <w:t>14</w:t>
            </w:r>
          </w:p>
        </w:tc>
        <w:tc>
          <w:tcPr>
            <w:tcW w:w="1474" w:type="dxa"/>
          </w:tcPr>
          <w:p w14:paraId="051577C8" w14:textId="1632765B" w:rsidR="00AC5DE9" w:rsidRPr="000B299A" w:rsidRDefault="00AC5DE9" w:rsidP="000B299A">
            <w:pPr>
              <w:pStyle w:val="Table"/>
            </w:pPr>
            <w:r w:rsidRPr="000B299A">
              <w:t xml:space="preserve">Investigate RAASi </w:t>
            </w:r>
            <w:r w:rsidR="00551025" w:rsidRPr="000B299A">
              <w:t xml:space="preserve">utilisation </w:t>
            </w:r>
            <w:r w:rsidRPr="000B299A">
              <w:t>after an episode of HK in patients with HF and/or CKD</w:t>
            </w:r>
          </w:p>
        </w:tc>
        <w:tc>
          <w:tcPr>
            <w:tcW w:w="905" w:type="dxa"/>
          </w:tcPr>
          <w:p w14:paraId="23A0F6B8" w14:textId="77777777" w:rsidR="00AC5DE9" w:rsidRPr="000B299A" w:rsidRDefault="00AC5DE9" w:rsidP="000B299A">
            <w:pPr>
              <w:pStyle w:val="Table"/>
            </w:pPr>
            <w:r w:rsidRPr="000B299A">
              <w:t>SZC</w:t>
            </w:r>
          </w:p>
        </w:tc>
        <w:tc>
          <w:tcPr>
            <w:tcW w:w="584" w:type="dxa"/>
          </w:tcPr>
          <w:p w14:paraId="7125BA1F" w14:textId="77777777" w:rsidR="00AC5DE9" w:rsidRPr="000B299A" w:rsidRDefault="00AC5DE9" w:rsidP="000B299A">
            <w:pPr>
              <w:pStyle w:val="Table"/>
            </w:pPr>
            <w:r w:rsidRPr="000B299A">
              <w:t>RWD</w:t>
            </w:r>
          </w:p>
        </w:tc>
        <w:tc>
          <w:tcPr>
            <w:tcW w:w="1134" w:type="dxa"/>
          </w:tcPr>
          <w:p w14:paraId="4F6229D4" w14:textId="56B1613E" w:rsidR="00AC5DE9" w:rsidRPr="000B299A" w:rsidRDefault="00AC5DE9" w:rsidP="000B299A">
            <w:pPr>
              <w:pStyle w:val="Table"/>
            </w:pPr>
            <w:r w:rsidRPr="000B299A">
              <w:t>565 (US</w:t>
            </w:r>
            <w:r w:rsidR="00651280" w:rsidRPr="000B299A">
              <w:t>A</w:t>
            </w:r>
            <w:r w:rsidRPr="000B299A">
              <w:t>), 776 (Japan)</w:t>
            </w:r>
            <w:r w:rsidR="00B31C78">
              <w:t>,</w:t>
            </w:r>
            <w:r w:rsidRPr="000B299A">
              <w:t xml:space="preserve"> 56 (Spain) treated with SZC </w:t>
            </w:r>
          </w:p>
          <w:p w14:paraId="03EB7985" w14:textId="4AD80728" w:rsidR="00AC5DE9" w:rsidRPr="000B299A" w:rsidRDefault="00AC5DE9" w:rsidP="000B299A">
            <w:pPr>
              <w:pStyle w:val="Table"/>
            </w:pPr>
            <w:r w:rsidRPr="000B299A">
              <w:t>2068 (US</w:t>
            </w:r>
            <w:r w:rsidR="00651280" w:rsidRPr="000B299A">
              <w:t>A</w:t>
            </w:r>
            <w:r w:rsidRPr="000B299A">
              <w:t>), 2629 (Japan)</w:t>
            </w:r>
            <w:r w:rsidR="00B31C78">
              <w:t>,</w:t>
            </w:r>
            <w:r w:rsidRPr="000B299A">
              <w:t xml:space="preserve"> 203 (Spain) without a </w:t>
            </w:r>
            <w:r w:rsidR="0089647B" w:rsidRPr="000B299A">
              <w:t>potassium</w:t>
            </w:r>
            <w:r w:rsidRPr="000B299A">
              <w:t xml:space="preserve"> binder</w:t>
            </w:r>
          </w:p>
        </w:tc>
        <w:tc>
          <w:tcPr>
            <w:tcW w:w="964" w:type="dxa"/>
          </w:tcPr>
          <w:p w14:paraId="7BA18C13" w14:textId="77777777" w:rsidR="00AC5DE9" w:rsidRPr="000B299A" w:rsidRDefault="00AC5DE9" w:rsidP="000B299A">
            <w:pPr>
              <w:pStyle w:val="Table"/>
            </w:pPr>
            <w:r w:rsidRPr="000B299A">
              <w:t>6 months total</w:t>
            </w:r>
          </w:p>
        </w:tc>
        <w:tc>
          <w:tcPr>
            <w:tcW w:w="2034" w:type="dxa"/>
          </w:tcPr>
          <w:p w14:paraId="7F87ADE8" w14:textId="0DB34102" w:rsidR="00AC5DE9" w:rsidRPr="000B299A" w:rsidRDefault="00AC5DE9" w:rsidP="000B299A">
            <w:pPr>
              <w:pStyle w:val="Table"/>
            </w:pPr>
            <w:r w:rsidRPr="000B299A">
              <w:t>Patients on SZC were more likely to maintain guideline-recommended RAASi therapy at 6</w:t>
            </w:r>
            <w:r w:rsidR="00B140E8" w:rsidRPr="000B299A">
              <w:t> </w:t>
            </w:r>
            <w:r w:rsidRPr="000B299A">
              <w:t>months following a</w:t>
            </w:r>
            <w:r w:rsidR="00B140E8" w:rsidRPr="000B299A">
              <w:t>n</w:t>
            </w:r>
            <w:r w:rsidRPr="000B299A">
              <w:t xml:space="preserve"> HK episode compared with patients not treated with a </w:t>
            </w:r>
            <w:r w:rsidR="00B140E8" w:rsidRPr="000B299A">
              <w:t>potassium</w:t>
            </w:r>
            <w:r w:rsidRPr="000B299A">
              <w:t xml:space="preserve"> binder (OR: 2.56; 95% CI: 1.92 to 3.41; P&lt;0.0001)</w:t>
            </w:r>
          </w:p>
        </w:tc>
        <w:tc>
          <w:tcPr>
            <w:tcW w:w="2222" w:type="dxa"/>
          </w:tcPr>
          <w:p w14:paraId="1327AAF9" w14:textId="77777777" w:rsidR="00AC5DE9" w:rsidRPr="000B299A" w:rsidRDefault="00AC5DE9" w:rsidP="000B299A">
            <w:pPr>
              <w:pStyle w:val="Table"/>
            </w:pPr>
          </w:p>
        </w:tc>
      </w:tr>
      <w:tr w:rsidR="00AA2461" w:rsidRPr="00B15DBE" w14:paraId="072725EE" w14:textId="77777777" w:rsidTr="00B31C78">
        <w:tc>
          <w:tcPr>
            <w:tcW w:w="1196" w:type="dxa"/>
          </w:tcPr>
          <w:p w14:paraId="143D136D" w14:textId="253FC554" w:rsidR="00AC5DE9" w:rsidRPr="00B15DBE" w:rsidRDefault="00AC5DE9" w:rsidP="00AA2461">
            <w:pPr>
              <w:pStyle w:val="Table"/>
            </w:pPr>
            <w:r w:rsidRPr="00AA2461">
              <w:t>OPTIMIZE</w:t>
            </w:r>
            <w:r w:rsidRPr="00B15DBE">
              <w:t xml:space="preserve"> I, 2023</w:t>
            </w:r>
            <w:r w:rsidR="00B607E6" w:rsidRPr="00083E5E">
              <w:rPr>
                <w:noProof/>
                <w:vertAlign w:val="superscript"/>
              </w:rPr>
              <w:t>15</w:t>
            </w:r>
          </w:p>
        </w:tc>
        <w:tc>
          <w:tcPr>
            <w:tcW w:w="1474" w:type="dxa"/>
          </w:tcPr>
          <w:p w14:paraId="061EFD90" w14:textId="77777777" w:rsidR="00AC5DE9" w:rsidRPr="00AA2461" w:rsidRDefault="00AC5DE9" w:rsidP="00AA2461">
            <w:pPr>
              <w:pStyle w:val="Table"/>
            </w:pPr>
            <w:r w:rsidRPr="00AA2461">
              <w:t>Evaluate RAASi modifications among patients who initiated SZC for HK</w:t>
            </w:r>
          </w:p>
        </w:tc>
        <w:tc>
          <w:tcPr>
            <w:tcW w:w="905" w:type="dxa"/>
          </w:tcPr>
          <w:p w14:paraId="6DF2434B" w14:textId="77777777" w:rsidR="00AC5DE9" w:rsidRPr="00AA2461" w:rsidRDefault="00AC5DE9" w:rsidP="00AA2461">
            <w:pPr>
              <w:pStyle w:val="Table"/>
            </w:pPr>
            <w:r w:rsidRPr="00AA2461">
              <w:t>SZC</w:t>
            </w:r>
          </w:p>
        </w:tc>
        <w:tc>
          <w:tcPr>
            <w:tcW w:w="584" w:type="dxa"/>
          </w:tcPr>
          <w:p w14:paraId="020C871E" w14:textId="77777777" w:rsidR="00AC5DE9" w:rsidRPr="00AA2461" w:rsidRDefault="00AC5DE9" w:rsidP="00AA2461">
            <w:pPr>
              <w:pStyle w:val="Table"/>
            </w:pPr>
            <w:r w:rsidRPr="00AA2461">
              <w:t>RWD</w:t>
            </w:r>
          </w:p>
        </w:tc>
        <w:tc>
          <w:tcPr>
            <w:tcW w:w="1134" w:type="dxa"/>
          </w:tcPr>
          <w:p w14:paraId="35A8288C" w14:textId="77777777" w:rsidR="00AC5DE9" w:rsidRPr="00AA2461" w:rsidRDefault="00AC5DE9" w:rsidP="00AA2461">
            <w:pPr>
              <w:pStyle w:val="Table"/>
            </w:pPr>
            <w:r w:rsidRPr="00AA2461">
              <w:t>589</w:t>
            </w:r>
          </w:p>
        </w:tc>
        <w:tc>
          <w:tcPr>
            <w:tcW w:w="964" w:type="dxa"/>
          </w:tcPr>
          <w:p w14:paraId="0F284181" w14:textId="77777777" w:rsidR="00AC5DE9" w:rsidRPr="00AA2461" w:rsidRDefault="00AC5DE9" w:rsidP="00AA2461">
            <w:pPr>
              <w:pStyle w:val="Table"/>
            </w:pPr>
            <w:r w:rsidRPr="00AA2461">
              <w:t>Mean follow-up = 244.5 days (SD: 98.9, median: 229.0)</w:t>
            </w:r>
          </w:p>
        </w:tc>
        <w:tc>
          <w:tcPr>
            <w:tcW w:w="2034" w:type="dxa"/>
          </w:tcPr>
          <w:p w14:paraId="1665B6A6" w14:textId="28484892" w:rsidR="00AC5DE9" w:rsidRPr="00AA2461" w:rsidRDefault="00AC5DE9" w:rsidP="00AA2461">
            <w:pPr>
              <w:pStyle w:val="Table"/>
            </w:pPr>
            <w:r w:rsidRPr="00AA2461">
              <w:t>Most patients (77.4%) optimi</w:t>
            </w:r>
            <w:r w:rsidR="001E75DD" w:rsidRPr="00AA2461">
              <w:t>s</w:t>
            </w:r>
            <w:r w:rsidRPr="00AA2461">
              <w:t>ed RAASi therapy after initiating SZC; 69.6% maintained the same dosage while 7.8% had up-titrations</w:t>
            </w:r>
          </w:p>
        </w:tc>
        <w:tc>
          <w:tcPr>
            <w:tcW w:w="2222" w:type="dxa"/>
          </w:tcPr>
          <w:p w14:paraId="571CCE67" w14:textId="77777777" w:rsidR="00AC5DE9" w:rsidRPr="00AA2461" w:rsidRDefault="00AC5DE9" w:rsidP="00AA2461">
            <w:pPr>
              <w:pStyle w:val="Table"/>
            </w:pPr>
          </w:p>
        </w:tc>
      </w:tr>
      <w:tr w:rsidR="00AA2461" w:rsidRPr="00B15DBE" w14:paraId="4C64B474" w14:textId="77777777" w:rsidTr="00B31C78">
        <w:tc>
          <w:tcPr>
            <w:tcW w:w="1196" w:type="dxa"/>
          </w:tcPr>
          <w:p w14:paraId="03E6CD24" w14:textId="17ED1FFC" w:rsidR="00AC5DE9" w:rsidRPr="00B15DBE" w:rsidRDefault="00AC5DE9" w:rsidP="00AA2461">
            <w:pPr>
              <w:pStyle w:val="Table"/>
            </w:pPr>
            <w:r w:rsidRPr="00AA2461">
              <w:t>PRIORITIZE</w:t>
            </w:r>
            <w:r w:rsidRPr="00B15DBE">
              <w:t>-HF</w:t>
            </w:r>
            <w:r w:rsidRPr="00B15DBE">
              <w:rPr>
                <w:vertAlign w:val="superscript"/>
              </w:rPr>
              <w:t>a</w:t>
            </w:r>
            <w:r w:rsidRPr="00B15DBE">
              <w:t>, 2023</w:t>
            </w:r>
            <w:r w:rsidR="00B607E6" w:rsidRPr="00083E5E">
              <w:rPr>
                <w:noProof/>
                <w:vertAlign w:val="superscript"/>
              </w:rPr>
              <w:t>16</w:t>
            </w:r>
          </w:p>
        </w:tc>
        <w:tc>
          <w:tcPr>
            <w:tcW w:w="1474" w:type="dxa"/>
          </w:tcPr>
          <w:p w14:paraId="4858A1F7" w14:textId="77777777" w:rsidR="00AC5DE9" w:rsidRPr="00AA2461" w:rsidRDefault="00AC5DE9" w:rsidP="00AA2461">
            <w:pPr>
              <w:pStyle w:val="Table"/>
            </w:pPr>
            <w:r w:rsidRPr="00AA2461">
              <w:t>Evaluate the benefits and risks of using SZC to intensify RAASi therapy</w:t>
            </w:r>
          </w:p>
        </w:tc>
        <w:tc>
          <w:tcPr>
            <w:tcW w:w="905" w:type="dxa"/>
          </w:tcPr>
          <w:p w14:paraId="0B4A49F0" w14:textId="77777777" w:rsidR="00AC5DE9" w:rsidRPr="00AA2461" w:rsidRDefault="00AC5DE9" w:rsidP="00AA2461">
            <w:pPr>
              <w:pStyle w:val="Table"/>
            </w:pPr>
            <w:r w:rsidRPr="00AA2461">
              <w:t>SZC</w:t>
            </w:r>
          </w:p>
        </w:tc>
        <w:tc>
          <w:tcPr>
            <w:tcW w:w="584" w:type="dxa"/>
          </w:tcPr>
          <w:p w14:paraId="3C03416C" w14:textId="77777777" w:rsidR="00AC5DE9" w:rsidRPr="00AA2461" w:rsidRDefault="00AC5DE9" w:rsidP="00AA2461">
            <w:pPr>
              <w:pStyle w:val="Table"/>
            </w:pPr>
            <w:r w:rsidRPr="00AA2461">
              <w:t>RCT</w:t>
            </w:r>
          </w:p>
        </w:tc>
        <w:tc>
          <w:tcPr>
            <w:tcW w:w="1134" w:type="dxa"/>
          </w:tcPr>
          <w:p w14:paraId="63F19FC7" w14:textId="77777777" w:rsidR="00AC5DE9" w:rsidRPr="00AA2461" w:rsidRDefault="00AC5DE9" w:rsidP="00AA2461">
            <w:pPr>
              <w:pStyle w:val="Table"/>
            </w:pPr>
            <w:r w:rsidRPr="00AA2461">
              <w:t>92 (SZC)</w:t>
            </w:r>
          </w:p>
          <w:p w14:paraId="478B8370" w14:textId="77777777" w:rsidR="00AC5DE9" w:rsidRPr="00AA2461" w:rsidRDefault="00AC5DE9" w:rsidP="00AA2461">
            <w:pPr>
              <w:pStyle w:val="Table"/>
            </w:pPr>
            <w:r w:rsidRPr="00AA2461">
              <w:t>90 (placebo)</w:t>
            </w:r>
          </w:p>
        </w:tc>
        <w:tc>
          <w:tcPr>
            <w:tcW w:w="964" w:type="dxa"/>
          </w:tcPr>
          <w:p w14:paraId="4E3E39FA" w14:textId="77777777" w:rsidR="00AC5DE9" w:rsidRPr="00AA2461" w:rsidRDefault="00AC5DE9" w:rsidP="00AA2461">
            <w:pPr>
              <w:pStyle w:val="Table"/>
            </w:pPr>
            <w:r w:rsidRPr="00AA2461">
              <w:t>12 weeks total</w:t>
            </w:r>
          </w:p>
        </w:tc>
        <w:tc>
          <w:tcPr>
            <w:tcW w:w="2034" w:type="dxa"/>
          </w:tcPr>
          <w:p w14:paraId="444300F0" w14:textId="77777777" w:rsidR="00AC5DE9" w:rsidRPr="00AA2461" w:rsidRDefault="00AC5DE9" w:rsidP="00AA2461">
            <w:pPr>
              <w:pStyle w:val="Table"/>
            </w:pPr>
            <w:r w:rsidRPr="00AA2461">
              <w:t>No statistically significant difference in the percentage of patients at RAASi target dose at 3 months between the groups (P=0.43)</w:t>
            </w:r>
          </w:p>
        </w:tc>
        <w:tc>
          <w:tcPr>
            <w:tcW w:w="2222" w:type="dxa"/>
          </w:tcPr>
          <w:p w14:paraId="5987DE36" w14:textId="03A1922A" w:rsidR="00AC5DE9" w:rsidRPr="00AA2461" w:rsidRDefault="00AC5DE9" w:rsidP="00AA2461">
            <w:pPr>
              <w:pStyle w:val="Table"/>
            </w:pPr>
            <w:r w:rsidRPr="00AA2461">
              <w:t>Mean serum</w:t>
            </w:r>
            <w:r w:rsidR="00B140E8" w:rsidRPr="00AA2461">
              <w:t xml:space="preserve"> potassium </w:t>
            </w:r>
            <w:r w:rsidRPr="00AA2461">
              <w:t>concentrations during the treatment period were numerically lower in patients randomi</w:t>
            </w:r>
            <w:r w:rsidR="00551025" w:rsidRPr="00AA2461">
              <w:t>s</w:t>
            </w:r>
            <w:r w:rsidRPr="00AA2461">
              <w:t>ed to SZC than those in the placebo group</w:t>
            </w:r>
          </w:p>
        </w:tc>
      </w:tr>
      <w:tr w:rsidR="00AA2461" w:rsidRPr="00B15DBE" w14:paraId="0817D26A" w14:textId="77777777" w:rsidTr="00B31C78">
        <w:tc>
          <w:tcPr>
            <w:tcW w:w="1196" w:type="dxa"/>
          </w:tcPr>
          <w:p w14:paraId="4E6BA320" w14:textId="73E894D5" w:rsidR="00AC5DE9" w:rsidRPr="00B15DBE" w:rsidRDefault="00AC5DE9" w:rsidP="00AA2461">
            <w:pPr>
              <w:pStyle w:val="Table"/>
            </w:pPr>
            <w:r w:rsidRPr="00AA2461">
              <w:t>DIAMOND</w:t>
            </w:r>
            <w:r w:rsidRPr="00B15DBE">
              <w:t>, 2022</w:t>
            </w:r>
            <w:r w:rsidR="00B607E6" w:rsidRPr="00083E5E">
              <w:rPr>
                <w:noProof/>
                <w:vertAlign w:val="superscript"/>
              </w:rPr>
              <w:t>17</w:t>
            </w:r>
          </w:p>
        </w:tc>
        <w:tc>
          <w:tcPr>
            <w:tcW w:w="1474" w:type="dxa"/>
          </w:tcPr>
          <w:p w14:paraId="125DEC6D" w14:textId="028A9CC4" w:rsidR="00AC5DE9" w:rsidRPr="00AA2461" w:rsidRDefault="00AC5DE9" w:rsidP="00AA2461">
            <w:pPr>
              <w:pStyle w:val="Table"/>
            </w:pPr>
            <w:r w:rsidRPr="00AA2461">
              <w:t xml:space="preserve">Investigate the impact of patiromer on serum </w:t>
            </w:r>
            <w:r w:rsidR="00B140E8" w:rsidRPr="00AA2461">
              <w:t>potassium</w:t>
            </w:r>
            <w:r w:rsidRPr="00AA2461">
              <w:t xml:space="preserve"> level and its ability to enable specified target doses of RAASi use in patients with HF and reduced ejection fraction</w:t>
            </w:r>
          </w:p>
        </w:tc>
        <w:tc>
          <w:tcPr>
            <w:tcW w:w="905" w:type="dxa"/>
          </w:tcPr>
          <w:p w14:paraId="3843D75B" w14:textId="77777777" w:rsidR="00AC5DE9" w:rsidRPr="00AA2461" w:rsidRDefault="00AC5DE9" w:rsidP="00AA2461">
            <w:pPr>
              <w:pStyle w:val="Table"/>
            </w:pPr>
            <w:r w:rsidRPr="00AA2461">
              <w:t>Patiromer</w:t>
            </w:r>
          </w:p>
        </w:tc>
        <w:tc>
          <w:tcPr>
            <w:tcW w:w="584" w:type="dxa"/>
          </w:tcPr>
          <w:p w14:paraId="1DA99C05" w14:textId="77777777" w:rsidR="00AC5DE9" w:rsidRPr="00AA2461" w:rsidRDefault="00AC5DE9" w:rsidP="00AA2461">
            <w:pPr>
              <w:pStyle w:val="Table"/>
            </w:pPr>
            <w:r w:rsidRPr="00AA2461">
              <w:t>RCT</w:t>
            </w:r>
          </w:p>
        </w:tc>
        <w:tc>
          <w:tcPr>
            <w:tcW w:w="1134" w:type="dxa"/>
          </w:tcPr>
          <w:p w14:paraId="0ED33D1E" w14:textId="77777777" w:rsidR="00AC5DE9" w:rsidRPr="00AA2461" w:rsidRDefault="00AC5DE9" w:rsidP="00AA2461">
            <w:pPr>
              <w:pStyle w:val="Table"/>
            </w:pPr>
            <w:r w:rsidRPr="00AA2461">
              <w:t>439 (patiromer)</w:t>
            </w:r>
          </w:p>
          <w:p w14:paraId="58DC5E72" w14:textId="77777777" w:rsidR="00AC5DE9" w:rsidRPr="00AA2461" w:rsidRDefault="00AC5DE9" w:rsidP="00AA2461">
            <w:pPr>
              <w:pStyle w:val="Table"/>
            </w:pPr>
            <w:r w:rsidRPr="00AA2461">
              <w:t>439 (placebo)</w:t>
            </w:r>
          </w:p>
        </w:tc>
        <w:tc>
          <w:tcPr>
            <w:tcW w:w="964" w:type="dxa"/>
          </w:tcPr>
          <w:p w14:paraId="19201E3F" w14:textId="2E3715F3" w:rsidR="00AC5DE9" w:rsidRPr="00AA2461" w:rsidRDefault="00AC5DE9" w:rsidP="00AA2461">
            <w:pPr>
              <w:pStyle w:val="Table"/>
            </w:pPr>
            <w:r w:rsidRPr="00AA2461">
              <w:t>Median follow-up was 27 (IQR</w:t>
            </w:r>
            <w:r w:rsidR="00B140E8" w:rsidRPr="00AA2461">
              <w:t>:</w:t>
            </w:r>
            <w:r w:rsidRPr="00AA2461">
              <w:t xml:space="preserve"> 13–43) weeks</w:t>
            </w:r>
          </w:p>
        </w:tc>
        <w:tc>
          <w:tcPr>
            <w:tcW w:w="2034" w:type="dxa"/>
          </w:tcPr>
          <w:p w14:paraId="003520C5" w14:textId="77777777" w:rsidR="00AC5DE9" w:rsidRPr="00AA2461" w:rsidRDefault="00AC5DE9" w:rsidP="00AA2461">
            <w:pPr>
              <w:pStyle w:val="Table"/>
            </w:pPr>
            <w:r w:rsidRPr="00AA2461">
              <w:t>Discontinuation or reduction of the target MRA dose occurred in 61 participants (13.9%) in the patiromer group and in 83 (18.9%) in the placebo group (HR: 0.62; 95% CI: 0.45 to 0.87; P=0.006)</w:t>
            </w:r>
          </w:p>
          <w:p w14:paraId="1136DCCB" w14:textId="77777777" w:rsidR="00AC5DE9" w:rsidRPr="00AA2461" w:rsidRDefault="00AC5DE9" w:rsidP="00AA2461">
            <w:pPr>
              <w:pStyle w:val="Table"/>
            </w:pPr>
          </w:p>
        </w:tc>
        <w:tc>
          <w:tcPr>
            <w:tcW w:w="2222" w:type="dxa"/>
          </w:tcPr>
          <w:p w14:paraId="00C10635" w14:textId="75460359" w:rsidR="00AC5DE9" w:rsidRPr="00AA2461" w:rsidRDefault="00AC5DE9" w:rsidP="00AA2461">
            <w:pPr>
              <w:pStyle w:val="Table"/>
            </w:pPr>
            <w:r w:rsidRPr="00AA2461">
              <w:t>Patients on patiromer had a lower total number of adjusted HK events/100</w:t>
            </w:r>
            <w:r w:rsidR="00B140E8" w:rsidRPr="00AA2461">
              <w:t xml:space="preserve"> </w:t>
            </w:r>
            <w:r w:rsidRPr="00AA2461">
              <w:t xml:space="preserve">person-years (77.7 vs. 118.2 with placebo; HR: 0.66; 95% CI: 0.53 to 0.81; P&lt;0.001) and lower </w:t>
            </w:r>
            <w:r w:rsidR="00B140E8" w:rsidRPr="00AA2461">
              <w:t>potassium</w:t>
            </w:r>
            <w:r w:rsidRPr="00AA2461">
              <w:t xml:space="preserve"> levels at study end, with a between-group difference of –0.10 mmol/L (95% CI: –0.13 to –0.07; P&lt;0.001)</w:t>
            </w:r>
          </w:p>
        </w:tc>
      </w:tr>
      <w:tr w:rsidR="00AA2461" w:rsidRPr="00B15DBE" w14:paraId="2DCC9A30" w14:textId="77777777" w:rsidTr="00B31C78">
        <w:tc>
          <w:tcPr>
            <w:tcW w:w="1196" w:type="dxa"/>
          </w:tcPr>
          <w:p w14:paraId="14EFEA29" w14:textId="0845CC19" w:rsidR="00AC5DE9" w:rsidRPr="00B15DBE" w:rsidRDefault="00AC5DE9" w:rsidP="00AA2461">
            <w:pPr>
              <w:pStyle w:val="Table"/>
            </w:pPr>
            <w:r w:rsidRPr="00AA2461">
              <w:lastRenderedPageBreak/>
              <w:t>AMBER</w:t>
            </w:r>
            <w:r w:rsidRPr="00B15DBE">
              <w:t>, 2019</w:t>
            </w:r>
            <w:r w:rsidR="00B607E6" w:rsidRPr="00083E5E">
              <w:rPr>
                <w:noProof/>
                <w:vertAlign w:val="superscript"/>
              </w:rPr>
              <w:t>18</w:t>
            </w:r>
            <w:r w:rsidR="00925836" w:rsidRPr="00B15DBE">
              <w:t xml:space="preserve"> </w:t>
            </w:r>
          </w:p>
        </w:tc>
        <w:tc>
          <w:tcPr>
            <w:tcW w:w="1474" w:type="dxa"/>
          </w:tcPr>
          <w:p w14:paraId="52F6DA2A" w14:textId="0E23A93D" w:rsidR="00AC5DE9" w:rsidRPr="00AA2461" w:rsidRDefault="00AC5DE9" w:rsidP="00AA2461">
            <w:pPr>
              <w:pStyle w:val="Table"/>
            </w:pPr>
            <w:r w:rsidRPr="00AA2461">
              <w:t>Evaluate the use of patiromer to allow more persistent use of spironolactone in patients with CKD and resistant hypertension</w:t>
            </w:r>
          </w:p>
        </w:tc>
        <w:tc>
          <w:tcPr>
            <w:tcW w:w="905" w:type="dxa"/>
          </w:tcPr>
          <w:p w14:paraId="631C588A" w14:textId="77777777" w:rsidR="00AC5DE9" w:rsidRPr="00AA2461" w:rsidRDefault="00AC5DE9" w:rsidP="00AA2461">
            <w:pPr>
              <w:pStyle w:val="Table"/>
            </w:pPr>
            <w:r w:rsidRPr="00AA2461">
              <w:t>Patiromer</w:t>
            </w:r>
          </w:p>
        </w:tc>
        <w:tc>
          <w:tcPr>
            <w:tcW w:w="584" w:type="dxa"/>
          </w:tcPr>
          <w:p w14:paraId="517D813F" w14:textId="77777777" w:rsidR="00AC5DE9" w:rsidRPr="00AA2461" w:rsidRDefault="00AC5DE9" w:rsidP="00AA2461">
            <w:pPr>
              <w:pStyle w:val="Table"/>
            </w:pPr>
            <w:r w:rsidRPr="00AA2461">
              <w:t>RCT</w:t>
            </w:r>
          </w:p>
        </w:tc>
        <w:tc>
          <w:tcPr>
            <w:tcW w:w="1134" w:type="dxa"/>
          </w:tcPr>
          <w:p w14:paraId="56D422EE" w14:textId="77777777" w:rsidR="00AC5DE9" w:rsidRPr="00AA2461" w:rsidRDefault="00AC5DE9" w:rsidP="00AA2461">
            <w:pPr>
              <w:pStyle w:val="Table"/>
            </w:pPr>
            <w:r w:rsidRPr="00AA2461">
              <w:t>147 (patiromer)</w:t>
            </w:r>
          </w:p>
          <w:p w14:paraId="234CE485" w14:textId="77777777" w:rsidR="00AC5DE9" w:rsidRPr="00AA2461" w:rsidRDefault="00AC5DE9" w:rsidP="00AA2461">
            <w:pPr>
              <w:pStyle w:val="Table"/>
            </w:pPr>
            <w:r w:rsidRPr="00AA2461">
              <w:t>148 (placebo)</w:t>
            </w:r>
          </w:p>
        </w:tc>
        <w:tc>
          <w:tcPr>
            <w:tcW w:w="964" w:type="dxa"/>
          </w:tcPr>
          <w:p w14:paraId="57E796E9" w14:textId="77777777" w:rsidR="00AC5DE9" w:rsidRPr="00AA2461" w:rsidRDefault="00AC5DE9" w:rsidP="00AA2461">
            <w:pPr>
              <w:pStyle w:val="Table"/>
            </w:pPr>
            <w:r w:rsidRPr="00AA2461">
              <w:t>12 weeks total</w:t>
            </w:r>
          </w:p>
        </w:tc>
        <w:tc>
          <w:tcPr>
            <w:tcW w:w="2034" w:type="dxa"/>
          </w:tcPr>
          <w:p w14:paraId="6A954541" w14:textId="77777777" w:rsidR="00AC5DE9" w:rsidRPr="00AA2461" w:rsidRDefault="00AC5DE9" w:rsidP="00AA2461">
            <w:pPr>
              <w:pStyle w:val="Table"/>
            </w:pPr>
            <w:r w:rsidRPr="00AA2461">
              <w:t>More patients in the patiromer group were still receiving spironolactone at 12 weeks (86%) compared with the placebo group (66%) (P&lt;0.001)</w:t>
            </w:r>
          </w:p>
        </w:tc>
        <w:tc>
          <w:tcPr>
            <w:tcW w:w="2222" w:type="dxa"/>
          </w:tcPr>
          <w:p w14:paraId="7B8EBBEE" w14:textId="77777777" w:rsidR="00AC5DE9" w:rsidRPr="00AA2461" w:rsidRDefault="00AC5DE9" w:rsidP="00AA2461">
            <w:pPr>
              <w:pStyle w:val="Table"/>
            </w:pPr>
          </w:p>
        </w:tc>
      </w:tr>
      <w:tr w:rsidR="00AA2461" w:rsidRPr="00B15DBE" w14:paraId="07566DD8" w14:textId="77777777" w:rsidTr="00B31C78">
        <w:tc>
          <w:tcPr>
            <w:tcW w:w="1196" w:type="dxa"/>
          </w:tcPr>
          <w:p w14:paraId="1D43FFAD" w14:textId="4F5286E6" w:rsidR="00AC5DE9" w:rsidRPr="00B15DBE" w:rsidRDefault="00AC5DE9" w:rsidP="00AA2461">
            <w:pPr>
              <w:pStyle w:val="Table"/>
            </w:pPr>
            <w:r w:rsidRPr="00AA2461">
              <w:t>OPAL</w:t>
            </w:r>
            <w:r w:rsidRPr="00B15DBE">
              <w:t>-HF, 2015</w:t>
            </w:r>
            <w:r w:rsidR="00B607E6" w:rsidRPr="00083E5E">
              <w:rPr>
                <w:noProof/>
                <w:vertAlign w:val="superscript"/>
              </w:rPr>
              <w:t>19</w:t>
            </w:r>
            <w:r w:rsidR="007530F8" w:rsidRPr="00B15DBE">
              <w:t xml:space="preserve"> </w:t>
            </w:r>
          </w:p>
        </w:tc>
        <w:tc>
          <w:tcPr>
            <w:tcW w:w="1474" w:type="dxa"/>
          </w:tcPr>
          <w:p w14:paraId="54B45A53" w14:textId="77777777" w:rsidR="00AC5DE9" w:rsidRPr="00AA2461" w:rsidRDefault="00AC5DE9" w:rsidP="00AA2461">
            <w:pPr>
              <w:pStyle w:val="Table"/>
            </w:pPr>
            <w:r w:rsidRPr="00AA2461">
              <w:t>Evaluate the safety and efficacy of patiromer in patients with CKD who were receiving at least one RAASi and who had HK</w:t>
            </w:r>
          </w:p>
        </w:tc>
        <w:tc>
          <w:tcPr>
            <w:tcW w:w="905" w:type="dxa"/>
          </w:tcPr>
          <w:p w14:paraId="25FA1120" w14:textId="77777777" w:rsidR="00AC5DE9" w:rsidRPr="00AA2461" w:rsidRDefault="00AC5DE9" w:rsidP="00AA2461">
            <w:pPr>
              <w:pStyle w:val="Table"/>
            </w:pPr>
            <w:r w:rsidRPr="00AA2461">
              <w:t>Patiromer</w:t>
            </w:r>
          </w:p>
        </w:tc>
        <w:tc>
          <w:tcPr>
            <w:tcW w:w="584" w:type="dxa"/>
          </w:tcPr>
          <w:p w14:paraId="056FAC7B" w14:textId="77777777" w:rsidR="00AC5DE9" w:rsidRPr="00AA2461" w:rsidRDefault="00AC5DE9" w:rsidP="00AA2461">
            <w:pPr>
              <w:pStyle w:val="Table"/>
            </w:pPr>
            <w:r w:rsidRPr="00AA2461">
              <w:t>RCT</w:t>
            </w:r>
          </w:p>
        </w:tc>
        <w:tc>
          <w:tcPr>
            <w:tcW w:w="1134" w:type="dxa"/>
          </w:tcPr>
          <w:p w14:paraId="28389279" w14:textId="77777777" w:rsidR="00AC5DE9" w:rsidRPr="00AA2461" w:rsidRDefault="00AC5DE9" w:rsidP="00AA2461">
            <w:pPr>
              <w:pStyle w:val="Table"/>
            </w:pPr>
            <w:r w:rsidRPr="00AA2461">
              <w:t>55 (patiromer)</w:t>
            </w:r>
          </w:p>
          <w:p w14:paraId="1D57F0BE" w14:textId="77777777" w:rsidR="00AC5DE9" w:rsidRPr="00AA2461" w:rsidRDefault="00AC5DE9" w:rsidP="00AA2461">
            <w:pPr>
              <w:pStyle w:val="Table"/>
            </w:pPr>
            <w:r w:rsidRPr="00AA2461">
              <w:t>52 (placebo)</w:t>
            </w:r>
          </w:p>
        </w:tc>
        <w:tc>
          <w:tcPr>
            <w:tcW w:w="964" w:type="dxa"/>
          </w:tcPr>
          <w:p w14:paraId="51BB791F" w14:textId="34E9C5FE" w:rsidR="00AC5DE9" w:rsidRPr="00AA2461" w:rsidRDefault="00AC5DE9" w:rsidP="00AA2461">
            <w:pPr>
              <w:pStyle w:val="Table"/>
            </w:pPr>
            <w:r w:rsidRPr="00AA2461">
              <w:t>4 weeks run-in and 4 weeks randomi</w:t>
            </w:r>
            <w:r w:rsidR="00551025" w:rsidRPr="00AA2461">
              <w:t>s</w:t>
            </w:r>
            <w:r w:rsidRPr="00AA2461">
              <w:t>ed withdrawal phase (total)</w:t>
            </w:r>
          </w:p>
        </w:tc>
        <w:tc>
          <w:tcPr>
            <w:tcW w:w="2034" w:type="dxa"/>
          </w:tcPr>
          <w:p w14:paraId="20227AC6" w14:textId="5512BCA3" w:rsidR="00AC5DE9" w:rsidRPr="00AA2461" w:rsidRDefault="00AC5DE9" w:rsidP="00AA2461">
            <w:pPr>
              <w:pStyle w:val="Table"/>
            </w:pPr>
            <w:r w:rsidRPr="00AA2461">
              <w:t>More patients in the patiromer group were still receiving RAASi at the end of the randomi</w:t>
            </w:r>
            <w:r w:rsidR="00551025" w:rsidRPr="00AA2461">
              <w:t>s</w:t>
            </w:r>
            <w:r w:rsidRPr="00AA2461">
              <w:t>ed withdrawal phase (94%) compared with placebo-treated patients (44%) (no statistics provided)</w:t>
            </w:r>
          </w:p>
          <w:p w14:paraId="65CCAF9B" w14:textId="77777777" w:rsidR="00AC5DE9" w:rsidRPr="00AA2461" w:rsidRDefault="00AC5DE9" w:rsidP="00AA2461">
            <w:pPr>
              <w:pStyle w:val="Table"/>
            </w:pPr>
          </w:p>
        </w:tc>
        <w:tc>
          <w:tcPr>
            <w:tcW w:w="2222" w:type="dxa"/>
          </w:tcPr>
          <w:p w14:paraId="7879B78E" w14:textId="5E585775" w:rsidR="00AC5DE9" w:rsidRPr="00AA2461" w:rsidRDefault="00AC5DE9" w:rsidP="00AA2461">
            <w:pPr>
              <w:pStyle w:val="Table"/>
            </w:pPr>
            <w:r w:rsidRPr="00AA2461">
              <w:t xml:space="preserve">The estimated median change in the </w:t>
            </w:r>
            <w:r w:rsidR="00B140E8" w:rsidRPr="00AA2461">
              <w:t>potassium</w:t>
            </w:r>
            <w:r w:rsidRPr="00AA2461">
              <w:t xml:space="preserve"> level from the start of the randomi</w:t>
            </w:r>
            <w:r w:rsidR="00551025" w:rsidRPr="00AA2461">
              <w:t>s</w:t>
            </w:r>
            <w:r w:rsidRPr="00AA2461">
              <w:t>ed withdrawal phase to week 4 of the phase was 0.72 mEq/L in the placebo group and 0 mEq/L in the patiromer group, with a between-group difference of 0.72 mmol/L (95% CI: 0.46 to 0.99; P&lt;0.001)</w:t>
            </w:r>
          </w:p>
          <w:p w14:paraId="7083B227" w14:textId="08B247E4" w:rsidR="00AC5DE9" w:rsidRPr="00AA2461" w:rsidRDefault="00AC5DE9" w:rsidP="00AA2461">
            <w:pPr>
              <w:pStyle w:val="Table"/>
            </w:pPr>
            <w:r w:rsidRPr="00AA2461">
              <w:t>More patients on placebo (91%) had at least one episode of</w:t>
            </w:r>
            <w:r w:rsidR="00B140E8" w:rsidRPr="00AA2461">
              <w:t xml:space="preserve"> potassium</w:t>
            </w:r>
            <w:r w:rsidRPr="00AA2461">
              <w:t xml:space="preserve"> &gt;5.0 mEq/L compared with those on patiromer (43%) (P&lt;0.001)</w:t>
            </w:r>
          </w:p>
        </w:tc>
      </w:tr>
      <w:tr w:rsidR="00AA2461" w:rsidRPr="00B15DBE" w14:paraId="549E9828" w14:textId="77777777" w:rsidTr="00B31C78">
        <w:tc>
          <w:tcPr>
            <w:tcW w:w="1196" w:type="dxa"/>
          </w:tcPr>
          <w:p w14:paraId="19C0ABB2" w14:textId="43AB664A" w:rsidR="00AC5DE9" w:rsidRPr="00B15DBE" w:rsidRDefault="00AC5DE9" w:rsidP="00AA2461">
            <w:pPr>
              <w:pStyle w:val="Table"/>
            </w:pPr>
            <w:r w:rsidRPr="00AA2461">
              <w:t>PEARL</w:t>
            </w:r>
            <w:r w:rsidRPr="00B15DBE">
              <w:t>-HF, 2011</w:t>
            </w:r>
            <w:r w:rsidR="00B607E6" w:rsidRPr="00083E5E">
              <w:rPr>
                <w:noProof/>
                <w:vertAlign w:val="superscript"/>
              </w:rPr>
              <w:t>20</w:t>
            </w:r>
            <w:r w:rsidR="007530F8" w:rsidRPr="00B15DBE">
              <w:t xml:space="preserve"> </w:t>
            </w:r>
          </w:p>
        </w:tc>
        <w:tc>
          <w:tcPr>
            <w:tcW w:w="1474" w:type="dxa"/>
          </w:tcPr>
          <w:p w14:paraId="0F87964C" w14:textId="286B9EDC" w:rsidR="00AC5DE9" w:rsidRPr="00AA2461" w:rsidRDefault="00AC5DE9" w:rsidP="00AA2461">
            <w:pPr>
              <w:pStyle w:val="Table"/>
            </w:pPr>
            <w:r w:rsidRPr="00AA2461">
              <w:t xml:space="preserve">Evaluate the efficacy and safety of patiromer on serum </w:t>
            </w:r>
            <w:r w:rsidR="00B140E8" w:rsidRPr="00AA2461">
              <w:t xml:space="preserve">potassium </w:t>
            </w:r>
            <w:r w:rsidRPr="00AA2461">
              <w:t>levels in patients with HF receiving standard therapy and spironolactone</w:t>
            </w:r>
          </w:p>
        </w:tc>
        <w:tc>
          <w:tcPr>
            <w:tcW w:w="905" w:type="dxa"/>
          </w:tcPr>
          <w:p w14:paraId="5F9D91C9" w14:textId="77777777" w:rsidR="00AC5DE9" w:rsidRPr="00AA2461" w:rsidRDefault="00AC5DE9" w:rsidP="00AA2461">
            <w:pPr>
              <w:pStyle w:val="Table"/>
            </w:pPr>
            <w:r w:rsidRPr="00AA2461">
              <w:t>Patiromer</w:t>
            </w:r>
          </w:p>
        </w:tc>
        <w:tc>
          <w:tcPr>
            <w:tcW w:w="584" w:type="dxa"/>
          </w:tcPr>
          <w:p w14:paraId="3AEEC45B" w14:textId="77777777" w:rsidR="00AC5DE9" w:rsidRPr="00AA2461" w:rsidRDefault="00AC5DE9" w:rsidP="00AA2461">
            <w:pPr>
              <w:pStyle w:val="Table"/>
            </w:pPr>
            <w:r w:rsidRPr="00AA2461">
              <w:t>RCT</w:t>
            </w:r>
          </w:p>
        </w:tc>
        <w:tc>
          <w:tcPr>
            <w:tcW w:w="1134" w:type="dxa"/>
          </w:tcPr>
          <w:p w14:paraId="74EFA5F5" w14:textId="77777777" w:rsidR="00AC5DE9" w:rsidRPr="00AA2461" w:rsidRDefault="00AC5DE9" w:rsidP="00AA2461">
            <w:pPr>
              <w:pStyle w:val="Table"/>
            </w:pPr>
            <w:r w:rsidRPr="00AA2461">
              <w:t>56 (patiromer)</w:t>
            </w:r>
          </w:p>
          <w:p w14:paraId="28BE8C1C" w14:textId="77777777" w:rsidR="00AC5DE9" w:rsidRPr="00AA2461" w:rsidRDefault="00AC5DE9" w:rsidP="00AA2461">
            <w:pPr>
              <w:pStyle w:val="Table"/>
            </w:pPr>
            <w:r w:rsidRPr="00AA2461">
              <w:t>49 (placebo)</w:t>
            </w:r>
          </w:p>
        </w:tc>
        <w:tc>
          <w:tcPr>
            <w:tcW w:w="964" w:type="dxa"/>
          </w:tcPr>
          <w:p w14:paraId="3111DB6D" w14:textId="77777777" w:rsidR="00AC5DE9" w:rsidRPr="00AA2461" w:rsidRDefault="00AC5DE9" w:rsidP="00AA2461">
            <w:pPr>
              <w:pStyle w:val="Table"/>
            </w:pPr>
            <w:r w:rsidRPr="00AA2461">
              <w:t>28 days total</w:t>
            </w:r>
          </w:p>
        </w:tc>
        <w:tc>
          <w:tcPr>
            <w:tcW w:w="2034" w:type="dxa"/>
          </w:tcPr>
          <w:p w14:paraId="151BA27E" w14:textId="77777777" w:rsidR="00AC5DE9" w:rsidRPr="00AA2461" w:rsidRDefault="00AC5DE9" w:rsidP="00AA2461">
            <w:pPr>
              <w:pStyle w:val="Table"/>
            </w:pPr>
            <w:r w:rsidRPr="00AA2461">
              <w:t>Significantly more patients in the patiromer group had their spironolactone dose increased compared with patients in the placebo group (91% vs. 74%; P= 0.019).</w:t>
            </w:r>
          </w:p>
        </w:tc>
        <w:tc>
          <w:tcPr>
            <w:tcW w:w="2222" w:type="dxa"/>
          </w:tcPr>
          <w:p w14:paraId="60357099" w14:textId="70787FED" w:rsidR="00AC5DE9" w:rsidRPr="00AA2461" w:rsidRDefault="00AC5DE9" w:rsidP="00AA2461">
            <w:pPr>
              <w:pStyle w:val="Table"/>
            </w:pPr>
            <w:r w:rsidRPr="00AA2461">
              <w:t xml:space="preserve">The patiromer group had significantly lowered serum </w:t>
            </w:r>
            <w:r w:rsidR="00B140E8" w:rsidRPr="00AA2461">
              <w:t>potassium</w:t>
            </w:r>
            <w:r w:rsidRPr="00AA2461">
              <w:t xml:space="preserve"> levels relative to the placebo group (difference between groups of −0.45 mEq/L; P&lt;0.001)</w:t>
            </w:r>
          </w:p>
          <w:p w14:paraId="7D2D7997" w14:textId="2D184548" w:rsidR="00AC5DE9" w:rsidRPr="00AA2461" w:rsidRDefault="00AC5DE9" w:rsidP="00AA2461">
            <w:pPr>
              <w:pStyle w:val="Table"/>
            </w:pPr>
            <w:r w:rsidRPr="00AA2461">
              <w:t xml:space="preserve">Fewer patients in the patiromer group developed HK (serum </w:t>
            </w:r>
            <w:r w:rsidR="00B140E8" w:rsidRPr="00AA2461">
              <w:t>potassium</w:t>
            </w:r>
            <w:r w:rsidRPr="00AA2461">
              <w:t xml:space="preserve"> &gt;5.5 mEq/L) compared with those on placebo (7% vs. 25%; P= 0.015)</w:t>
            </w:r>
          </w:p>
        </w:tc>
      </w:tr>
    </w:tbl>
    <w:p w14:paraId="63400B93" w14:textId="77777777" w:rsidR="00AC5DE9" w:rsidRPr="00B15DBE" w:rsidRDefault="00AC5DE9" w:rsidP="00AC5DE9">
      <w:pPr>
        <w:pStyle w:val="Table"/>
        <w:rPr>
          <w:bCs/>
        </w:rPr>
      </w:pPr>
      <w:r w:rsidRPr="00B15DBE">
        <w:rPr>
          <w:bCs/>
          <w:vertAlign w:val="superscript"/>
        </w:rPr>
        <w:t>a</w:t>
      </w:r>
      <w:r w:rsidRPr="00B15DBE">
        <w:rPr>
          <w:bCs/>
        </w:rPr>
        <w:t>The PRIORITIZE-HF study was terminated prematurely owing to the COVID-19 pandemic.</w:t>
      </w:r>
    </w:p>
    <w:p w14:paraId="6D2C3FF6" w14:textId="239DDCB4" w:rsidR="00AC5DE9" w:rsidRPr="00B15DBE" w:rsidRDefault="00AC5DE9" w:rsidP="00AC5DE9">
      <w:pPr>
        <w:pStyle w:val="Table"/>
      </w:pPr>
      <w:r w:rsidRPr="00B15DBE">
        <w:t>CI, confidence interval; CKD, chronic kidney disease; COVID-19, coronavirus disease 2019; HF, heart failure; HK, hyperkalaemia; HR, hazard ratio; IQR, interquartile range; MRA, mineralocorticoid receptor antagonist; OR, odds ratio; RAASi, renin–angiotensin–aldosterone system inhibitor; RCT, randomised controlled trial; RWD, real-word data; SD, standard deviation; SZC, sodium zirconium cyclosilicate.</w:t>
      </w:r>
      <w:r w:rsidRPr="00B15DBE">
        <w:br w:type="page"/>
      </w:r>
    </w:p>
    <w:p w14:paraId="7A28A4C7" w14:textId="77777777" w:rsidR="00CA563C" w:rsidRPr="00B15DBE" w:rsidRDefault="00CA563C" w:rsidP="00AC5DE9">
      <w:pPr>
        <w:pStyle w:val="Table"/>
      </w:pPr>
    </w:p>
    <w:p w14:paraId="2BB4AC5C" w14:textId="04BBA9C1" w:rsidR="00925836" w:rsidRPr="00925836" w:rsidRDefault="007F2A0D" w:rsidP="001E23FB">
      <w:pPr>
        <w:pStyle w:val="Heading2"/>
      </w:pPr>
      <w:bookmarkStart w:id="8" w:name="_Ref160185710"/>
      <w:bookmarkStart w:id="9" w:name="_Ref160185707"/>
      <w:r w:rsidRPr="00B15DBE">
        <w:t>Supplementary Table S</w:t>
      </w:r>
      <w:bookmarkEnd w:id="8"/>
      <w:r w:rsidR="000B299A">
        <w:t>3</w:t>
      </w:r>
      <w:r w:rsidRPr="00B15DBE">
        <w:t xml:space="preserve">: Causes of </w:t>
      </w:r>
      <w:bookmarkEnd w:id="9"/>
      <w:r w:rsidR="00B177D2" w:rsidRPr="00B15DBE">
        <w:t>hyperkalaemia</w:t>
      </w:r>
    </w:p>
    <w:tbl>
      <w:tblPr>
        <w:tblStyle w:val="TableGrid"/>
        <w:tblW w:w="0" w:type="auto"/>
        <w:tblLook w:val="04A0" w:firstRow="1" w:lastRow="0" w:firstColumn="1" w:lastColumn="0" w:noHBand="0" w:noVBand="1"/>
      </w:tblPr>
      <w:tblGrid>
        <w:gridCol w:w="2450"/>
        <w:gridCol w:w="3956"/>
        <w:gridCol w:w="4050"/>
      </w:tblGrid>
      <w:tr w:rsidR="007C2D5E" w:rsidRPr="00B15DBE" w14:paraId="0BBF221F" w14:textId="77777777" w:rsidTr="007530F8">
        <w:tc>
          <w:tcPr>
            <w:tcW w:w="0" w:type="auto"/>
          </w:tcPr>
          <w:p w14:paraId="51ACA31E" w14:textId="77777777" w:rsidR="007F2A0D" w:rsidRPr="00B15DBE" w:rsidRDefault="007F2A0D" w:rsidP="00E07BB2">
            <w:pPr>
              <w:pStyle w:val="Table"/>
            </w:pPr>
          </w:p>
        </w:tc>
        <w:tc>
          <w:tcPr>
            <w:tcW w:w="0" w:type="auto"/>
          </w:tcPr>
          <w:p w14:paraId="66FA9761" w14:textId="77777777" w:rsidR="007F2A0D" w:rsidRPr="00B15DBE" w:rsidRDefault="007F2A0D" w:rsidP="00E07BB2">
            <w:pPr>
              <w:pStyle w:val="Table"/>
              <w:rPr>
                <w:b/>
                <w:bCs/>
              </w:rPr>
            </w:pPr>
            <w:r w:rsidRPr="00B15DBE">
              <w:rPr>
                <w:b/>
                <w:bCs/>
              </w:rPr>
              <w:t>Reversible</w:t>
            </w:r>
          </w:p>
        </w:tc>
        <w:tc>
          <w:tcPr>
            <w:tcW w:w="0" w:type="auto"/>
          </w:tcPr>
          <w:p w14:paraId="368E4A24" w14:textId="078FD10C" w:rsidR="007F2A0D" w:rsidRPr="00B15DBE" w:rsidRDefault="007F2A0D" w:rsidP="00E07BB2">
            <w:pPr>
              <w:pStyle w:val="Table"/>
              <w:rPr>
                <w:b/>
                <w:bCs/>
              </w:rPr>
            </w:pPr>
            <w:r w:rsidRPr="00B15DBE">
              <w:rPr>
                <w:b/>
                <w:bCs/>
              </w:rPr>
              <w:t>Non</w:t>
            </w:r>
            <w:r w:rsidR="003A1FBA" w:rsidRPr="00B15DBE">
              <w:rPr>
                <w:b/>
                <w:bCs/>
              </w:rPr>
              <w:t>-</w:t>
            </w:r>
            <w:r w:rsidRPr="00B15DBE">
              <w:rPr>
                <w:b/>
                <w:bCs/>
              </w:rPr>
              <w:t>reversible</w:t>
            </w:r>
          </w:p>
        </w:tc>
      </w:tr>
      <w:tr w:rsidR="007C2D5E" w:rsidRPr="00B15DBE" w14:paraId="1112B708" w14:textId="77777777" w:rsidTr="007530F8">
        <w:tc>
          <w:tcPr>
            <w:tcW w:w="0" w:type="auto"/>
          </w:tcPr>
          <w:p w14:paraId="3E8CA6F9" w14:textId="77777777" w:rsidR="007F2A0D" w:rsidRPr="00B15DBE" w:rsidRDefault="007F2A0D" w:rsidP="00E07BB2">
            <w:pPr>
              <w:pStyle w:val="Table"/>
              <w:rPr>
                <w:b/>
                <w:bCs/>
              </w:rPr>
            </w:pPr>
            <w:r w:rsidRPr="00B15DBE">
              <w:rPr>
                <w:b/>
                <w:bCs/>
              </w:rPr>
              <w:t>Reduced excretion of potassium</w:t>
            </w:r>
          </w:p>
        </w:tc>
        <w:tc>
          <w:tcPr>
            <w:tcW w:w="0" w:type="auto"/>
          </w:tcPr>
          <w:p w14:paraId="34EE82A3" w14:textId="77777777" w:rsidR="007F2A0D" w:rsidRPr="00B15DBE" w:rsidRDefault="007F2A0D" w:rsidP="00E07BB2">
            <w:pPr>
              <w:pStyle w:val="Table"/>
            </w:pPr>
            <w:r w:rsidRPr="00B15DBE">
              <w:t>Acute kidney injury (</w:t>
            </w:r>
            <w:bookmarkStart w:id="10" w:name="_Hlk153374071"/>
            <w:r w:rsidRPr="00B15DBE">
              <w:t>e.g.</w:t>
            </w:r>
            <w:bookmarkEnd w:id="10"/>
            <w:r w:rsidRPr="00B15DBE">
              <w:t xml:space="preserve"> acute tubular necrosis or interstitial nephritis)</w:t>
            </w:r>
          </w:p>
          <w:p w14:paraId="3D167B6F" w14:textId="77777777" w:rsidR="007F2A0D" w:rsidRPr="00B15DBE" w:rsidRDefault="007F2A0D" w:rsidP="00E07BB2">
            <w:pPr>
              <w:pStyle w:val="Table"/>
            </w:pPr>
            <w:r w:rsidRPr="00B15DBE">
              <w:t>Reduced glomerular filtration rate owing to secondary causes (e.g. acute volume depletion from dehydration or bleeding)</w:t>
            </w:r>
          </w:p>
          <w:p w14:paraId="228A3176" w14:textId="20310E31" w:rsidR="007F2A0D" w:rsidRPr="00B15DBE" w:rsidRDefault="007F2A0D" w:rsidP="00E07BB2">
            <w:pPr>
              <w:pStyle w:val="Table"/>
            </w:pPr>
            <w:r w:rsidRPr="00B15DBE">
              <w:t>Drugs that impair renin–angiotensin–aldosterone axis, such as renin–angiotensin–aldosterone inhibitors, or act through other mechanisms (e.g.</w:t>
            </w:r>
            <w:r w:rsidR="00BE1CB6" w:rsidRPr="00B15DBE">
              <w:t> </w:t>
            </w:r>
            <w:r w:rsidRPr="00B15DBE">
              <w:t>trimethoprim)</w:t>
            </w:r>
          </w:p>
          <w:p w14:paraId="2A983111" w14:textId="77777777" w:rsidR="007F2A0D" w:rsidRPr="00B15DBE" w:rsidRDefault="007F2A0D" w:rsidP="00E07BB2">
            <w:pPr>
              <w:pStyle w:val="Table"/>
            </w:pPr>
            <w:r w:rsidRPr="00B15DBE">
              <w:t>Constipation</w:t>
            </w:r>
          </w:p>
        </w:tc>
        <w:tc>
          <w:tcPr>
            <w:tcW w:w="0" w:type="auto"/>
          </w:tcPr>
          <w:p w14:paraId="2B9F31AB" w14:textId="136671B3" w:rsidR="007F2A0D" w:rsidRPr="00B15DBE" w:rsidRDefault="007F2A0D" w:rsidP="00E07BB2">
            <w:pPr>
              <w:pStyle w:val="Table"/>
            </w:pPr>
            <w:r w:rsidRPr="00B15DBE">
              <w:t>Chronic kidney disease (reduced glomerular filtration rate due to loss of normal kidney parenchyma [e.g. immune and non</w:t>
            </w:r>
            <w:r w:rsidR="003A1FBA" w:rsidRPr="00B15DBE">
              <w:t>-</w:t>
            </w:r>
            <w:r w:rsidRPr="00B15DBE">
              <w:t xml:space="preserve">immune-mediated kidney disorders]) </w:t>
            </w:r>
          </w:p>
          <w:p w14:paraId="15413475" w14:textId="26ED9DA7" w:rsidR="007F2A0D" w:rsidRPr="00B15DBE" w:rsidRDefault="007F2A0D" w:rsidP="00E07BB2">
            <w:pPr>
              <w:pStyle w:val="Table"/>
            </w:pPr>
            <w:r w:rsidRPr="00B15DBE">
              <w:t xml:space="preserve">Impaired renin–aldosterone axis (e.g. Addison's disease, aldosterone deficiency or aldosterone insensitivity) </w:t>
            </w:r>
          </w:p>
          <w:p w14:paraId="01861CFD" w14:textId="099B56FF" w:rsidR="007F2A0D" w:rsidRPr="00B15DBE" w:rsidRDefault="007F2A0D" w:rsidP="00E07BB2">
            <w:pPr>
              <w:pStyle w:val="Table"/>
            </w:pPr>
            <w:r w:rsidRPr="00B15DBE">
              <w:t>Diabetes (</w:t>
            </w:r>
            <w:r w:rsidR="003D1E8E" w:rsidRPr="00B15DBE">
              <w:t>hyporeninaemic</w:t>
            </w:r>
            <w:r w:rsidRPr="00B15DBE">
              <w:t xml:space="preserve"> hypoaldosteronism) </w:t>
            </w:r>
          </w:p>
        </w:tc>
      </w:tr>
      <w:tr w:rsidR="007C2D5E" w:rsidRPr="00B15DBE" w14:paraId="6E1707C1" w14:textId="77777777" w:rsidTr="007530F8">
        <w:tc>
          <w:tcPr>
            <w:tcW w:w="0" w:type="auto"/>
          </w:tcPr>
          <w:p w14:paraId="16046C53" w14:textId="77777777" w:rsidR="007F2A0D" w:rsidRPr="00B15DBE" w:rsidRDefault="007F2A0D" w:rsidP="00E07BB2">
            <w:pPr>
              <w:pStyle w:val="Table"/>
              <w:rPr>
                <w:b/>
                <w:bCs/>
              </w:rPr>
            </w:pPr>
            <w:r w:rsidRPr="00B15DBE">
              <w:rPr>
                <w:b/>
                <w:bCs/>
              </w:rPr>
              <w:t>Transcellular shift of potassium (intracellular to extracellular compartment)</w:t>
            </w:r>
          </w:p>
        </w:tc>
        <w:tc>
          <w:tcPr>
            <w:tcW w:w="0" w:type="auto"/>
          </w:tcPr>
          <w:p w14:paraId="42BC76E5" w14:textId="77777777" w:rsidR="007F2A0D" w:rsidRPr="00B15DBE" w:rsidRDefault="007F2A0D" w:rsidP="00E07BB2">
            <w:pPr>
              <w:pStyle w:val="Table"/>
            </w:pPr>
            <w:r w:rsidRPr="00B15DBE">
              <w:t>Cellular injury (e.g. rhabdomyolysis from crush injury or excessive exercise)</w:t>
            </w:r>
          </w:p>
          <w:p w14:paraId="5329FD01" w14:textId="77777777" w:rsidR="007F2A0D" w:rsidRPr="00B15DBE" w:rsidRDefault="007F2A0D" w:rsidP="00E07BB2">
            <w:pPr>
              <w:pStyle w:val="Table"/>
            </w:pPr>
            <w:r w:rsidRPr="00B15DBE">
              <w:t>Metabolic acidosis (e.g. diabetic ketoacidosis or secondary to decreased tissue perfusion from sepsis or dehydration)</w:t>
            </w:r>
          </w:p>
          <w:p w14:paraId="0CDBEE60" w14:textId="6C017E8D" w:rsidR="007F2A0D" w:rsidRPr="00B15DBE" w:rsidRDefault="00B177D2" w:rsidP="00E07BB2">
            <w:pPr>
              <w:pStyle w:val="Table"/>
            </w:pPr>
            <w:r w:rsidRPr="00B15DBE">
              <w:t>Tumours</w:t>
            </w:r>
            <w:r w:rsidR="007F2A0D" w:rsidRPr="00B15DBE">
              <w:t xml:space="preserve"> lysis syndrome</w:t>
            </w:r>
          </w:p>
          <w:p w14:paraId="6C5498A3" w14:textId="77777777" w:rsidR="007F2A0D" w:rsidRPr="00B15DBE" w:rsidRDefault="007F2A0D" w:rsidP="00E07BB2">
            <w:pPr>
              <w:pStyle w:val="Table"/>
            </w:pPr>
            <w:r w:rsidRPr="00B15DBE">
              <w:t>Drugs (e.g. succinylcholine)</w:t>
            </w:r>
          </w:p>
        </w:tc>
        <w:tc>
          <w:tcPr>
            <w:tcW w:w="0" w:type="auto"/>
          </w:tcPr>
          <w:p w14:paraId="04709529" w14:textId="77777777" w:rsidR="007F2A0D" w:rsidRPr="00B15DBE" w:rsidRDefault="007F2A0D" w:rsidP="00E07BB2">
            <w:pPr>
              <w:pStyle w:val="Table"/>
            </w:pPr>
            <w:r w:rsidRPr="00B15DBE">
              <w:t xml:space="preserve">Diabetes (insulin deficiency or resistance) </w:t>
            </w:r>
          </w:p>
        </w:tc>
      </w:tr>
      <w:tr w:rsidR="007C2D5E" w:rsidRPr="00B15DBE" w14:paraId="3BD52A40" w14:textId="77777777" w:rsidTr="007530F8">
        <w:tc>
          <w:tcPr>
            <w:tcW w:w="0" w:type="auto"/>
          </w:tcPr>
          <w:p w14:paraId="04916A5B" w14:textId="77777777" w:rsidR="007F2A0D" w:rsidRPr="00B15DBE" w:rsidRDefault="007F2A0D" w:rsidP="00E07BB2">
            <w:pPr>
              <w:pStyle w:val="Table"/>
              <w:rPr>
                <w:b/>
                <w:bCs/>
              </w:rPr>
            </w:pPr>
            <w:r w:rsidRPr="00B15DBE">
              <w:rPr>
                <w:b/>
                <w:bCs/>
              </w:rPr>
              <w:t>Increased potassium intake</w:t>
            </w:r>
          </w:p>
        </w:tc>
        <w:tc>
          <w:tcPr>
            <w:tcW w:w="0" w:type="auto"/>
          </w:tcPr>
          <w:p w14:paraId="59A9E69F" w14:textId="77777777" w:rsidR="007F2A0D" w:rsidRPr="00B15DBE" w:rsidRDefault="007F2A0D" w:rsidP="00E07BB2">
            <w:pPr>
              <w:pStyle w:val="Table"/>
            </w:pPr>
            <w:r w:rsidRPr="00B15DBE">
              <w:t>High-potassium diet</w:t>
            </w:r>
          </w:p>
          <w:p w14:paraId="66013920" w14:textId="77777777" w:rsidR="007F2A0D" w:rsidRPr="00B15DBE" w:rsidRDefault="007F2A0D" w:rsidP="00E07BB2">
            <w:pPr>
              <w:pStyle w:val="Table"/>
            </w:pPr>
            <w:r w:rsidRPr="00B15DBE">
              <w:t>Intravenous fluids (e.g. total parenteral nutrition)</w:t>
            </w:r>
          </w:p>
          <w:p w14:paraId="57F978E2" w14:textId="208F3C5A" w:rsidR="007F2A0D" w:rsidRPr="00B15DBE" w:rsidRDefault="007F2A0D" w:rsidP="00E07BB2">
            <w:pPr>
              <w:pStyle w:val="Table"/>
            </w:pPr>
            <w:r w:rsidRPr="00B15DBE">
              <w:t>Medications with high potassium content (e.g.</w:t>
            </w:r>
            <w:r w:rsidR="00BE1CB6" w:rsidRPr="00B15DBE">
              <w:t> </w:t>
            </w:r>
            <w:r w:rsidRPr="00B15DBE">
              <w:t>potassium chloride, potassium iodide)</w:t>
            </w:r>
          </w:p>
          <w:p w14:paraId="189F6466" w14:textId="77777777" w:rsidR="007F2A0D" w:rsidRPr="00B15DBE" w:rsidRDefault="007F2A0D" w:rsidP="00E07BB2">
            <w:pPr>
              <w:pStyle w:val="Table"/>
            </w:pPr>
            <w:r w:rsidRPr="00B15DBE">
              <w:t>Massive blood transfusion</w:t>
            </w:r>
          </w:p>
        </w:tc>
        <w:tc>
          <w:tcPr>
            <w:tcW w:w="0" w:type="auto"/>
          </w:tcPr>
          <w:p w14:paraId="35DB5EEB" w14:textId="77777777" w:rsidR="007F2A0D" w:rsidRPr="00B15DBE" w:rsidRDefault="007F2A0D" w:rsidP="00E07BB2">
            <w:pPr>
              <w:pStyle w:val="Table"/>
            </w:pPr>
            <w:r w:rsidRPr="00B15DBE">
              <w:t>–</w:t>
            </w:r>
          </w:p>
        </w:tc>
      </w:tr>
    </w:tbl>
    <w:p w14:paraId="1F7E9323" w14:textId="51D937D7" w:rsidR="005C7FD0" w:rsidRDefault="005C7FD0" w:rsidP="005C7FD0">
      <w:pPr>
        <w:ind w:left="720" w:firstLine="0"/>
      </w:pPr>
    </w:p>
    <w:p w14:paraId="15400D8C" w14:textId="77777777" w:rsidR="005C7FD0" w:rsidRDefault="005C7FD0">
      <w:pPr>
        <w:spacing w:before="0" w:after="160" w:line="259" w:lineRule="auto"/>
        <w:ind w:firstLine="0"/>
      </w:pPr>
      <w:r>
        <w:br w:type="page"/>
      </w:r>
    </w:p>
    <w:p w14:paraId="45B25E5E" w14:textId="2B3E9C51" w:rsidR="00925836" w:rsidRDefault="00872A12" w:rsidP="00872A12">
      <w:pPr>
        <w:pStyle w:val="Heading2"/>
      </w:pPr>
      <w:r>
        <w:lastRenderedPageBreak/>
        <w:t xml:space="preserve">Supplementary </w:t>
      </w:r>
      <w:r w:rsidR="0068091F">
        <w:t>T</w:t>
      </w:r>
      <w:r>
        <w:t xml:space="preserve">able </w:t>
      </w:r>
      <w:r w:rsidR="0068091F">
        <w:t>S</w:t>
      </w:r>
      <w:r w:rsidR="00F119C0">
        <w:t>4</w:t>
      </w:r>
      <w:r w:rsidR="0068091F">
        <w:t>: Tools for predicting HK</w:t>
      </w:r>
    </w:p>
    <w:tbl>
      <w:tblPr>
        <w:tblStyle w:val="TableGrid"/>
        <w:tblW w:w="0" w:type="auto"/>
        <w:tblInd w:w="-5" w:type="dxa"/>
        <w:tblCellMar>
          <w:left w:w="57" w:type="dxa"/>
          <w:right w:w="57" w:type="dxa"/>
        </w:tblCellMar>
        <w:tblLook w:val="04A0" w:firstRow="1" w:lastRow="0" w:firstColumn="1" w:lastColumn="0" w:noHBand="0" w:noVBand="1"/>
      </w:tblPr>
      <w:tblGrid>
        <w:gridCol w:w="977"/>
        <w:gridCol w:w="801"/>
        <w:gridCol w:w="1024"/>
        <w:gridCol w:w="1090"/>
        <w:gridCol w:w="914"/>
        <w:gridCol w:w="1224"/>
        <w:gridCol w:w="1004"/>
        <w:gridCol w:w="1459"/>
        <w:gridCol w:w="1059"/>
        <w:gridCol w:w="909"/>
      </w:tblGrid>
      <w:tr w:rsidR="00723FF4" w:rsidRPr="00723FF4" w14:paraId="70627FDD" w14:textId="382D447A" w:rsidTr="00723FF4">
        <w:tc>
          <w:tcPr>
            <w:tcW w:w="993" w:type="dxa"/>
          </w:tcPr>
          <w:p w14:paraId="131F4941" w14:textId="21621578" w:rsidR="00BE6BE8" w:rsidRPr="007C3F7C" w:rsidRDefault="00BE6BE8" w:rsidP="007C3F7C">
            <w:pPr>
              <w:pStyle w:val="Table"/>
              <w:rPr>
                <w:b/>
                <w:bCs/>
              </w:rPr>
            </w:pPr>
            <w:r w:rsidRPr="007C3F7C">
              <w:rPr>
                <w:b/>
                <w:bCs/>
              </w:rPr>
              <w:t>Population</w:t>
            </w:r>
          </w:p>
        </w:tc>
        <w:tc>
          <w:tcPr>
            <w:tcW w:w="844" w:type="dxa"/>
          </w:tcPr>
          <w:p w14:paraId="324A0AB2" w14:textId="095C2ED3" w:rsidR="00BE6BE8" w:rsidRPr="007C3F7C" w:rsidRDefault="00BE6BE8" w:rsidP="007C3F7C">
            <w:pPr>
              <w:pStyle w:val="Table"/>
              <w:rPr>
                <w:b/>
                <w:bCs/>
              </w:rPr>
            </w:pPr>
            <w:r w:rsidRPr="007C3F7C">
              <w:rPr>
                <w:b/>
                <w:bCs/>
              </w:rPr>
              <w:t>Authors</w:t>
            </w:r>
          </w:p>
        </w:tc>
        <w:tc>
          <w:tcPr>
            <w:tcW w:w="1007" w:type="dxa"/>
          </w:tcPr>
          <w:p w14:paraId="2E8BED90" w14:textId="345530B1" w:rsidR="00BE6BE8" w:rsidRPr="007C3F7C" w:rsidRDefault="00BE6BE8" w:rsidP="007C3F7C">
            <w:pPr>
              <w:pStyle w:val="Table"/>
              <w:rPr>
                <w:b/>
                <w:bCs/>
              </w:rPr>
            </w:pPr>
            <w:r w:rsidRPr="007C3F7C">
              <w:rPr>
                <w:b/>
                <w:bCs/>
              </w:rPr>
              <w:t>Setting</w:t>
            </w:r>
          </w:p>
        </w:tc>
        <w:tc>
          <w:tcPr>
            <w:tcW w:w="1066" w:type="dxa"/>
          </w:tcPr>
          <w:p w14:paraId="461E2B78" w14:textId="43C5FC72" w:rsidR="00BE6BE8" w:rsidRPr="007C3F7C" w:rsidRDefault="00BE6BE8" w:rsidP="007C3F7C">
            <w:pPr>
              <w:pStyle w:val="Table"/>
              <w:rPr>
                <w:b/>
                <w:bCs/>
              </w:rPr>
            </w:pPr>
            <w:r w:rsidRPr="007C3F7C">
              <w:rPr>
                <w:b/>
                <w:bCs/>
              </w:rPr>
              <w:t xml:space="preserve">HK </w:t>
            </w:r>
            <w:r w:rsidR="00723FF4" w:rsidRPr="007C3F7C">
              <w:rPr>
                <w:b/>
                <w:bCs/>
              </w:rPr>
              <w:t>definition</w:t>
            </w:r>
          </w:p>
        </w:tc>
        <w:tc>
          <w:tcPr>
            <w:tcW w:w="856" w:type="dxa"/>
          </w:tcPr>
          <w:p w14:paraId="658D5B4E" w14:textId="77BA3B57" w:rsidR="00BE6BE8" w:rsidRPr="007C3F7C" w:rsidRDefault="00BE6BE8" w:rsidP="007C3F7C">
            <w:pPr>
              <w:pStyle w:val="Table"/>
              <w:rPr>
                <w:b/>
                <w:bCs/>
              </w:rPr>
            </w:pPr>
            <w:r w:rsidRPr="007C3F7C">
              <w:rPr>
                <w:b/>
                <w:bCs/>
              </w:rPr>
              <w:t>Prediction</w:t>
            </w:r>
          </w:p>
        </w:tc>
        <w:tc>
          <w:tcPr>
            <w:tcW w:w="1048" w:type="dxa"/>
          </w:tcPr>
          <w:p w14:paraId="39ECD69B" w14:textId="51501E41" w:rsidR="00BE6BE8" w:rsidRPr="007C3F7C" w:rsidRDefault="00BE6BE8" w:rsidP="007C3F7C">
            <w:pPr>
              <w:pStyle w:val="Table"/>
              <w:rPr>
                <w:b/>
                <w:bCs/>
              </w:rPr>
            </w:pPr>
            <w:r w:rsidRPr="007C3F7C">
              <w:rPr>
                <w:b/>
                <w:bCs/>
              </w:rPr>
              <w:t>Demographics</w:t>
            </w:r>
          </w:p>
        </w:tc>
        <w:tc>
          <w:tcPr>
            <w:tcW w:w="990" w:type="dxa"/>
          </w:tcPr>
          <w:p w14:paraId="5A537BB5" w14:textId="79D95475" w:rsidR="00BE6BE8" w:rsidRPr="007C3F7C" w:rsidRDefault="00BE6BE8" w:rsidP="007C3F7C">
            <w:pPr>
              <w:pStyle w:val="Table"/>
              <w:rPr>
                <w:b/>
                <w:bCs/>
              </w:rPr>
            </w:pPr>
            <w:r w:rsidRPr="007C3F7C">
              <w:rPr>
                <w:b/>
                <w:bCs/>
              </w:rPr>
              <w:t>Laboratory</w:t>
            </w:r>
          </w:p>
        </w:tc>
        <w:tc>
          <w:tcPr>
            <w:tcW w:w="1556" w:type="dxa"/>
          </w:tcPr>
          <w:p w14:paraId="6FF01449" w14:textId="0EC25DCE" w:rsidR="00BE6BE8" w:rsidRPr="007C3F7C" w:rsidRDefault="00BE6BE8" w:rsidP="007C3F7C">
            <w:pPr>
              <w:pStyle w:val="Table"/>
              <w:rPr>
                <w:b/>
                <w:bCs/>
              </w:rPr>
            </w:pPr>
            <w:r w:rsidRPr="007C3F7C">
              <w:rPr>
                <w:b/>
                <w:bCs/>
              </w:rPr>
              <w:t>Comorbidities</w:t>
            </w:r>
          </w:p>
        </w:tc>
        <w:tc>
          <w:tcPr>
            <w:tcW w:w="1038" w:type="dxa"/>
          </w:tcPr>
          <w:p w14:paraId="1CA44340" w14:textId="6393391C" w:rsidR="00BE6BE8" w:rsidRPr="007C3F7C" w:rsidRDefault="00BE6BE8" w:rsidP="007C3F7C">
            <w:pPr>
              <w:pStyle w:val="Table"/>
              <w:rPr>
                <w:b/>
                <w:bCs/>
              </w:rPr>
            </w:pPr>
            <w:r w:rsidRPr="007C3F7C">
              <w:rPr>
                <w:b/>
                <w:bCs/>
              </w:rPr>
              <w:t>Drugs</w:t>
            </w:r>
          </w:p>
        </w:tc>
        <w:tc>
          <w:tcPr>
            <w:tcW w:w="1063" w:type="dxa"/>
          </w:tcPr>
          <w:p w14:paraId="3BA8DBDB" w14:textId="3A211C86" w:rsidR="00BE6BE8" w:rsidRPr="007C3F7C" w:rsidRDefault="00BE6BE8" w:rsidP="007C3F7C">
            <w:pPr>
              <w:pStyle w:val="Table"/>
              <w:rPr>
                <w:b/>
                <w:bCs/>
              </w:rPr>
            </w:pPr>
            <w:r w:rsidRPr="007C3F7C">
              <w:rPr>
                <w:b/>
                <w:bCs/>
              </w:rPr>
              <w:t>Other</w:t>
            </w:r>
          </w:p>
        </w:tc>
      </w:tr>
      <w:tr w:rsidR="00723FF4" w:rsidRPr="00723FF4" w14:paraId="008294DD" w14:textId="58072ABD" w:rsidTr="00723FF4">
        <w:tc>
          <w:tcPr>
            <w:tcW w:w="993" w:type="dxa"/>
          </w:tcPr>
          <w:p w14:paraId="0DD029D0" w14:textId="492F153D" w:rsidR="00BE6BE8" w:rsidRPr="007C3F7C" w:rsidRDefault="00BE6BE8" w:rsidP="007C3F7C">
            <w:pPr>
              <w:pStyle w:val="Table"/>
            </w:pPr>
            <w:r w:rsidRPr="007C3F7C">
              <w:t>CKD starting lisinopril</w:t>
            </w:r>
          </w:p>
        </w:tc>
        <w:tc>
          <w:tcPr>
            <w:tcW w:w="844" w:type="dxa"/>
          </w:tcPr>
          <w:p w14:paraId="05E0D307" w14:textId="31C9EF64" w:rsidR="00BE6BE8" w:rsidRPr="00723FF4" w:rsidRDefault="00BE6BE8" w:rsidP="007C3F7C">
            <w:pPr>
              <w:pStyle w:val="Table"/>
            </w:pPr>
            <w:r w:rsidRPr="007C3F7C">
              <w:t>Johnson</w:t>
            </w:r>
            <w:r w:rsidRPr="00723FF4">
              <w:t xml:space="preserve"> </w:t>
            </w:r>
            <w:r w:rsidR="0080682E">
              <w:t>et al</w:t>
            </w:r>
            <w:r w:rsidRPr="00723FF4">
              <w:t xml:space="preserve"> 2010</w:t>
            </w:r>
            <w:r w:rsidR="00B607E6" w:rsidRPr="00083E5E">
              <w:rPr>
                <w:noProof/>
                <w:vertAlign w:val="superscript"/>
              </w:rPr>
              <w:t>21</w:t>
            </w:r>
          </w:p>
        </w:tc>
        <w:tc>
          <w:tcPr>
            <w:tcW w:w="1007" w:type="dxa"/>
          </w:tcPr>
          <w:p w14:paraId="3CD35677" w14:textId="221F426A" w:rsidR="00BE6BE8" w:rsidRPr="007C3F7C" w:rsidRDefault="00BE6BE8" w:rsidP="007C3F7C">
            <w:pPr>
              <w:pStyle w:val="Table"/>
            </w:pPr>
            <w:r w:rsidRPr="007C3F7C">
              <w:t>Health maintenance organization</w:t>
            </w:r>
          </w:p>
        </w:tc>
        <w:tc>
          <w:tcPr>
            <w:tcW w:w="1066" w:type="dxa"/>
          </w:tcPr>
          <w:p w14:paraId="7323C38F" w14:textId="5331D2A5" w:rsidR="00BE6BE8" w:rsidRPr="007C3F7C" w:rsidRDefault="005C70E4" w:rsidP="007C3F7C">
            <w:pPr>
              <w:pStyle w:val="Table"/>
            </w:pPr>
            <w:r w:rsidRPr="007C3F7C">
              <w:t>&gt;5.5 mmol/L</w:t>
            </w:r>
            <w:r w:rsidR="008D01F4" w:rsidRPr="007C3F7C">
              <w:t>;</w:t>
            </w:r>
            <w:r w:rsidRPr="007C3F7C">
              <w:t xml:space="preserve"> or diagnosis code of HK</w:t>
            </w:r>
          </w:p>
        </w:tc>
        <w:tc>
          <w:tcPr>
            <w:tcW w:w="856" w:type="dxa"/>
          </w:tcPr>
          <w:p w14:paraId="17D8602A" w14:textId="0E768046" w:rsidR="00BE6BE8" w:rsidRPr="007C3F7C" w:rsidRDefault="00BE6BE8" w:rsidP="007C3F7C">
            <w:pPr>
              <w:pStyle w:val="Table"/>
            </w:pPr>
            <w:r w:rsidRPr="007C3F7C">
              <w:t>90-days</w:t>
            </w:r>
          </w:p>
        </w:tc>
        <w:tc>
          <w:tcPr>
            <w:tcW w:w="1048" w:type="dxa"/>
          </w:tcPr>
          <w:p w14:paraId="4EA8098A" w14:textId="6012D0F8" w:rsidR="00BE6BE8" w:rsidRPr="007C3F7C" w:rsidRDefault="00BE6BE8" w:rsidP="007C3F7C">
            <w:pPr>
              <w:pStyle w:val="Table"/>
            </w:pPr>
            <w:r w:rsidRPr="007C3F7C">
              <w:t>Age</w:t>
            </w:r>
          </w:p>
        </w:tc>
        <w:tc>
          <w:tcPr>
            <w:tcW w:w="990" w:type="dxa"/>
          </w:tcPr>
          <w:p w14:paraId="3E5AAE74" w14:textId="04D30517" w:rsidR="00BE6BE8" w:rsidRPr="007C3F7C" w:rsidRDefault="00BE6BE8" w:rsidP="007C3F7C">
            <w:pPr>
              <w:pStyle w:val="Table"/>
            </w:pPr>
            <w:r w:rsidRPr="007C3F7C">
              <w:t>eGFR</w:t>
            </w:r>
          </w:p>
        </w:tc>
        <w:tc>
          <w:tcPr>
            <w:tcW w:w="1556" w:type="dxa"/>
          </w:tcPr>
          <w:p w14:paraId="0E8D913B" w14:textId="77F30653" w:rsidR="00BE6BE8" w:rsidRPr="007C3F7C" w:rsidRDefault="00BE6BE8" w:rsidP="007C3F7C">
            <w:pPr>
              <w:pStyle w:val="Table"/>
            </w:pPr>
            <w:r w:rsidRPr="007C3F7C">
              <w:t>Diabetes, HF</w:t>
            </w:r>
          </w:p>
        </w:tc>
        <w:tc>
          <w:tcPr>
            <w:tcW w:w="1038" w:type="dxa"/>
          </w:tcPr>
          <w:p w14:paraId="030BB2F5" w14:textId="7F3B611B" w:rsidR="00BE6BE8" w:rsidRPr="007C3F7C" w:rsidRDefault="00BE6BE8" w:rsidP="007C3F7C">
            <w:pPr>
              <w:pStyle w:val="Table"/>
            </w:pPr>
            <w:r w:rsidRPr="007C3F7C">
              <w:t>ACEi</w:t>
            </w:r>
            <w:r w:rsidR="00723FF4" w:rsidRPr="007C3F7C">
              <w:t xml:space="preserve"> (starting dose)</w:t>
            </w:r>
            <w:r w:rsidRPr="007C3F7C">
              <w:t>, K supplements, K-sparing diuretics, ARBs</w:t>
            </w:r>
          </w:p>
        </w:tc>
        <w:tc>
          <w:tcPr>
            <w:tcW w:w="1063" w:type="dxa"/>
          </w:tcPr>
          <w:p w14:paraId="25FF67C2" w14:textId="25342713" w:rsidR="00BE6BE8" w:rsidRPr="007C3F7C" w:rsidRDefault="00723FF4" w:rsidP="007C3F7C">
            <w:pPr>
              <w:pStyle w:val="Table"/>
            </w:pPr>
            <w:r w:rsidRPr="007C3F7C">
              <w:t>–</w:t>
            </w:r>
          </w:p>
        </w:tc>
      </w:tr>
      <w:tr w:rsidR="00723FF4" w:rsidRPr="00723FF4" w14:paraId="592FA84C" w14:textId="523C41CF" w:rsidTr="00723FF4">
        <w:tc>
          <w:tcPr>
            <w:tcW w:w="993" w:type="dxa"/>
          </w:tcPr>
          <w:p w14:paraId="2C95885A" w14:textId="1DDD2645" w:rsidR="00BE6BE8" w:rsidRPr="007C3F7C" w:rsidRDefault="00BE6BE8" w:rsidP="007C3F7C">
            <w:pPr>
              <w:pStyle w:val="Table"/>
            </w:pPr>
            <w:r w:rsidRPr="007C3F7C">
              <w:t>ACE</w:t>
            </w:r>
            <w:r w:rsidR="00723FF4" w:rsidRPr="007C3F7C">
              <w:t>i</w:t>
            </w:r>
            <w:r w:rsidRPr="007C3F7C">
              <w:t xml:space="preserve"> or ARB initiation</w:t>
            </w:r>
          </w:p>
        </w:tc>
        <w:tc>
          <w:tcPr>
            <w:tcW w:w="844" w:type="dxa"/>
          </w:tcPr>
          <w:p w14:paraId="7F9CA2A9" w14:textId="594D215D" w:rsidR="00BE6BE8" w:rsidRPr="00723FF4" w:rsidRDefault="00BE6BE8" w:rsidP="007C3F7C">
            <w:pPr>
              <w:pStyle w:val="Table"/>
            </w:pPr>
            <w:r w:rsidRPr="007C3F7C">
              <w:t>Bandak</w:t>
            </w:r>
            <w:r w:rsidRPr="00723FF4">
              <w:t xml:space="preserve"> </w:t>
            </w:r>
            <w:r w:rsidR="0080682E">
              <w:t>et al</w:t>
            </w:r>
            <w:r w:rsidRPr="00723FF4">
              <w:t xml:space="preserve"> 2017</w:t>
            </w:r>
            <w:r w:rsidR="00B607E6" w:rsidRPr="00083E5E">
              <w:rPr>
                <w:noProof/>
                <w:vertAlign w:val="superscript"/>
              </w:rPr>
              <w:t>22</w:t>
            </w:r>
          </w:p>
        </w:tc>
        <w:tc>
          <w:tcPr>
            <w:tcW w:w="1007" w:type="dxa"/>
          </w:tcPr>
          <w:p w14:paraId="7522E2A4" w14:textId="6C1EDE2F" w:rsidR="00BE6BE8" w:rsidRPr="007C3F7C" w:rsidRDefault="00BE6BE8" w:rsidP="007C3F7C">
            <w:pPr>
              <w:pStyle w:val="Table"/>
            </w:pPr>
            <w:r w:rsidRPr="007C3F7C">
              <w:t>primary, secondary or tertiary care</w:t>
            </w:r>
          </w:p>
        </w:tc>
        <w:tc>
          <w:tcPr>
            <w:tcW w:w="1066" w:type="dxa"/>
          </w:tcPr>
          <w:p w14:paraId="5E0AB9E1" w14:textId="7B703784" w:rsidR="00BE6BE8" w:rsidRPr="007C3F7C" w:rsidRDefault="005C70E4" w:rsidP="007C3F7C">
            <w:pPr>
              <w:pStyle w:val="Table"/>
            </w:pPr>
            <w:r w:rsidRPr="007C3F7C">
              <w:t>&gt;5.5 mmol/L</w:t>
            </w:r>
          </w:p>
        </w:tc>
        <w:tc>
          <w:tcPr>
            <w:tcW w:w="856" w:type="dxa"/>
          </w:tcPr>
          <w:p w14:paraId="5CAE8B23" w14:textId="3E1245C0" w:rsidR="00BE6BE8" w:rsidRPr="007C3F7C" w:rsidRDefault="00BE6BE8" w:rsidP="007C3F7C">
            <w:pPr>
              <w:pStyle w:val="Table"/>
            </w:pPr>
            <w:r w:rsidRPr="007C3F7C">
              <w:t>1 year</w:t>
            </w:r>
          </w:p>
        </w:tc>
        <w:tc>
          <w:tcPr>
            <w:tcW w:w="1048" w:type="dxa"/>
          </w:tcPr>
          <w:p w14:paraId="79B60A57" w14:textId="496ED329" w:rsidR="00BE6BE8" w:rsidRPr="007C3F7C" w:rsidRDefault="00BE6BE8" w:rsidP="007C3F7C">
            <w:pPr>
              <w:pStyle w:val="Table"/>
            </w:pPr>
            <w:r w:rsidRPr="007C3F7C">
              <w:t>Sex</w:t>
            </w:r>
          </w:p>
        </w:tc>
        <w:tc>
          <w:tcPr>
            <w:tcW w:w="990" w:type="dxa"/>
          </w:tcPr>
          <w:p w14:paraId="2C2275A6" w14:textId="387B3A6D" w:rsidR="00BE6BE8" w:rsidRPr="007C3F7C" w:rsidRDefault="00BE6BE8" w:rsidP="007C3F7C">
            <w:pPr>
              <w:pStyle w:val="Table"/>
            </w:pPr>
            <w:r w:rsidRPr="007C3F7C">
              <w:t>eGFR, baseline K</w:t>
            </w:r>
          </w:p>
        </w:tc>
        <w:tc>
          <w:tcPr>
            <w:tcW w:w="1556" w:type="dxa"/>
          </w:tcPr>
          <w:p w14:paraId="45B84B8C" w14:textId="1005815C" w:rsidR="00BE6BE8" w:rsidRPr="007C3F7C" w:rsidRDefault="00BE6BE8" w:rsidP="007C3F7C">
            <w:pPr>
              <w:pStyle w:val="Table"/>
            </w:pPr>
            <w:r w:rsidRPr="007C3F7C">
              <w:t>Diabetes, HF</w:t>
            </w:r>
          </w:p>
        </w:tc>
        <w:tc>
          <w:tcPr>
            <w:tcW w:w="1038" w:type="dxa"/>
          </w:tcPr>
          <w:p w14:paraId="2841CF05" w14:textId="6CB170EF" w:rsidR="00BE6BE8" w:rsidRPr="007C3F7C" w:rsidRDefault="00BE6BE8" w:rsidP="007C3F7C">
            <w:pPr>
              <w:pStyle w:val="Table"/>
            </w:pPr>
            <w:r w:rsidRPr="007C3F7C">
              <w:t>K-sparing diuretics</w:t>
            </w:r>
          </w:p>
        </w:tc>
        <w:tc>
          <w:tcPr>
            <w:tcW w:w="1063" w:type="dxa"/>
          </w:tcPr>
          <w:p w14:paraId="6CB59536" w14:textId="5CCBC7B6" w:rsidR="00BE6BE8" w:rsidRPr="007C3F7C" w:rsidRDefault="00723FF4" w:rsidP="007C3F7C">
            <w:pPr>
              <w:pStyle w:val="Table"/>
            </w:pPr>
            <w:r w:rsidRPr="007C3F7C">
              <w:t>–</w:t>
            </w:r>
          </w:p>
        </w:tc>
      </w:tr>
      <w:tr w:rsidR="00723FF4" w:rsidRPr="00723FF4" w14:paraId="389843FE" w14:textId="0D2A31DB" w:rsidTr="00723FF4">
        <w:tc>
          <w:tcPr>
            <w:tcW w:w="993" w:type="dxa"/>
          </w:tcPr>
          <w:p w14:paraId="14585F00" w14:textId="1BE69B79" w:rsidR="00BE6BE8" w:rsidRPr="007C3F7C" w:rsidRDefault="00BE6BE8" w:rsidP="007C3F7C">
            <w:pPr>
              <w:pStyle w:val="Table"/>
            </w:pPr>
            <w:r w:rsidRPr="007C3F7C">
              <w:t>CKD</w:t>
            </w:r>
          </w:p>
        </w:tc>
        <w:tc>
          <w:tcPr>
            <w:tcW w:w="844" w:type="dxa"/>
          </w:tcPr>
          <w:p w14:paraId="1D41525A" w14:textId="44239EF9" w:rsidR="00BE6BE8" w:rsidRPr="00723FF4" w:rsidRDefault="00BE6BE8" w:rsidP="007C3F7C">
            <w:pPr>
              <w:pStyle w:val="Table"/>
            </w:pPr>
            <w:r w:rsidRPr="007C3F7C">
              <w:t>Sharma</w:t>
            </w:r>
            <w:r w:rsidRPr="00723FF4">
              <w:t xml:space="preserve"> </w:t>
            </w:r>
            <w:r w:rsidR="0080682E">
              <w:t>et al</w:t>
            </w:r>
            <w:r w:rsidR="00723FF4">
              <w:t xml:space="preserve"> </w:t>
            </w:r>
            <w:r w:rsidRPr="00723FF4">
              <w:t>2020</w:t>
            </w:r>
            <w:r w:rsidR="00B607E6" w:rsidRPr="00083E5E">
              <w:rPr>
                <w:noProof/>
                <w:vertAlign w:val="superscript"/>
              </w:rPr>
              <w:t>23</w:t>
            </w:r>
          </w:p>
        </w:tc>
        <w:tc>
          <w:tcPr>
            <w:tcW w:w="1007" w:type="dxa"/>
          </w:tcPr>
          <w:p w14:paraId="6000C482" w14:textId="15788A54" w:rsidR="00BE6BE8" w:rsidRPr="007C3F7C" w:rsidRDefault="00BE6BE8" w:rsidP="007C3F7C">
            <w:pPr>
              <w:pStyle w:val="Table"/>
            </w:pPr>
            <w:r w:rsidRPr="007C3F7C">
              <w:t>Population passed (insurance records)</w:t>
            </w:r>
          </w:p>
        </w:tc>
        <w:tc>
          <w:tcPr>
            <w:tcW w:w="1066" w:type="dxa"/>
          </w:tcPr>
          <w:p w14:paraId="2E5CF8E0" w14:textId="393F79D6" w:rsidR="00BE6BE8" w:rsidRPr="007C3F7C" w:rsidRDefault="008D01F4" w:rsidP="007C3F7C">
            <w:pPr>
              <w:pStyle w:val="Table"/>
            </w:pPr>
            <w:r w:rsidRPr="007C3F7C">
              <w:t>&gt;5.0 mmol/L; or diagnosis code of HK; or prescription for K binder</w:t>
            </w:r>
          </w:p>
        </w:tc>
        <w:tc>
          <w:tcPr>
            <w:tcW w:w="856" w:type="dxa"/>
          </w:tcPr>
          <w:p w14:paraId="79059C33" w14:textId="5C89D27D" w:rsidR="00BE6BE8" w:rsidRPr="007C3F7C" w:rsidRDefault="00BE6BE8" w:rsidP="007C3F7C">
            <w:pPr>
              <w:pStyle w:val="Table"/>
            </w:pPr>
            <w:r w:rsidRPr="007C3F7C">
              <w:t>1 year</w:t>
            </w:r>
          </w:p>
        </w:tc>
        <w:tc>
          <w:tcPr>
            <w:tcW w:w="1048" w:type="dxa"/>
          </w:tcPr>
          <w:p w14:paraId="39B4B3A3" w14:textId="3CD38A67" w:rsidR="00BE6BE8" w:rsidRPr="007C3F7C" w:rsidRDefault="00BE6BE8" w:rsidP="007C3F7C">
            <w:pPr>
              <w:pStyle w:val="Table"/>
            </w:pPr>
            <w:r w:rsidRPr="007C3F7C">
              <w:t>Age, sex, geography</w:t>
            </w:r>
          </w:p>
        </w:tc>
        <w:tc>
          <w:tcPr>
            <w:tcW w:w="990" w:type="dxa"/>
          </w:tcPr>
          <w:p w14:paraId="72DA973C" w14:textId="26A827D0" w:rsidR="00BE6BE8" w:rsidRPr="007C3F7C" w:rsidRDefault="00BE6BE8" w:rsidP="007C3F7C">
            <w:pPr>
              <w:pStyle w:val="Table"/>
            </w:pPr>
            <w:r w:rsidRPr="007C3F7C">
              <w:t>Baseline K, Hb</w:t>
            </w:r>
          </w:p>
        </w:tc>
        <w:tc>
          <w:tcPr>
            <w:tcW w:w="1556" w:type="dxa"/>
          </w:tcPr>
          <w:p w14:paraId="3F34DD9A" w14:textId="5FD13158" w:rsidR="00BE6BE8" w:rsidRPr="007C3F7C" w:rsidRDefault="00BE6BE8" w:rsidP="007C3F7C">
            <w:pPr>
              <w:pStyle w:val="Table"/>
            </w:pPr>
            <w:r w:rsidRPr="007C3F7C">
              <w:t xml:space="preserve">CKD stage, </w:t>
            </w:r>
            <w:r w:rsidR="00723FF4" w:rsidRPr="007C3F7C">
              <w:t>d</w:t>
            </w:r>
            <w:r w:rsidRPr="007C3F7C">
              <w:t xml:space="preserve">iabetes, HF, </w:t>
            </w:r>
            <w:r w:rsidR="00723FF4" w:rsidRPr="007C3F7C">
              <w:t>hyperlipidaemia, osteoporosis, PAD, malignancy, COPD</w:t>
            </w:r>
          </w:p>
        </w:tc>
        <w:tc>
          <w:tcPr>
            <w:tcW w:w="1038" w:type="dxa"/>
          </w:tcPr>
          <w:p w14:paraId="1581E3C2" w14:textId="49E18B7F" w:rsidR="00BE6BE8" w:rsidRPr="007C3F7C" w:rsidRDefault="00BE6BE8" w:rsidP="007C3F7C">
            <w:pPr>
              <w:pStyle w:val="Table"/>
            </w:pPr>
            <w:r w:rsidRPr="007C3F7C">
              <w:t>ACEi, MRA</w:t>
            </w:r>
            <w:r w:rsidR="00723FF4" w:rsidRPr="007C3F7C">
              <w:t xml:space="preserve">, </w:t>
            </w:r>
            <w:r w:rsidRPr="007C3F7C">
              <w:t>Calcineurin inhibitor, RAASi dose,</w:t>
            </w:r>
          </w:p>
        </w:tc>
        <w:tc>
          <w:tcPr>
            <w:tcW w:w="1063" w:type="dxa"/>
          </w:tcPr>
          <w:p w14:paraId="26C74E24" w14:textId="33A22D8E" w:rsidR="00BE6BE8" w:rsidRPr="007C3F7C" w:rsidRDefault="00723FF4" w:rsidP="007C3F7C">
            <w:pPr>
              <w:pStyle w:val="Table"/>
            </w:pPr>
            <w:r w:rsidRPr="007C3F7C">
              <w:t>–</w:t>
            </w:r>
          </w:p>
        </w:tc>
      </w:tr>
      <w:tr w:rsidR="00723FF4" w:rsidRPr="00723FF4" w14:paraId="664A03D2" w14:textId="470D7BAB" w:rsidTr="00723FF4">
        <w:tc>
          <w:tcPr>
            <w:tcW w:w="993" w:type="dxa"/>
          </w:tcPr>
          <w:p w14:paraId="4475277D" w14:textId="14A77CC5" w:rsidR="00BE6BE8" w:rsidRPr="007C3F7C" w:rsidRDefault="00BE6BE8" w:rsidP="007C3F7C">
            <w:pPr>
              <w:pStyle w:val="Table"/>
            </w:pPr>
            <w:r w:rsidRPr="007C3F7C">
              <w:t>Advanced CKD</w:t>
            </w:r>
          </w:p>
        </w:tc>
        <w:tc>
          <w:tcPr>
            <w:tcW w:w="844" w:type="dxa"/>
          </w:tcPr>
          <w:p w14:paraId="5D78B36F" w14:textId="412F8D87" w:rsidR="00BE6BE8" w:rsidRPr="00723FF4" w:rsidRDefault="00BE6BE8" w:rsidP="007C3F7C">
            <w:pPr>
              <w:pStyle w:val="Table"/>
            </w:pPr>
            <w:r w:rsidRPr="00723FF4">
              <w:t xml:space="preserve">Xue </w:t>
            </w:r>
            <w:r w:rsidR="0080682E">
              <w:t>et al</w:t>
            </w:r>
            <w:r w:rsidRPr="00723FF4">
              <w:t xml:space="preserve"> 2022</w:t>
            </w:r>
            <w:r w:rsidR="00B607E6" w:rsidRPr="00083E5E">
              <w:rPr>
                <w:noProof/>
                <w:vertAlign w:val="superscript"/>
              </w:rPr>
              <w:t>24</w:t>
            </w:r>
          </w:p>
        </w:tc>
        <w:tc>
          <w:tcPr>
            <w:tcW w:w="1007" w:type="dxa"/>
          </w:tcPr>
          <w:p w14:paraId="7394167C" w14:textId="30564691" w:rsidR="00BE6BE8" w:rsidRPr="007C3F7C" w:rsidRDefault="00BE6BE8" w:rsidP="007C3F7C">
            <w:pPr>
              <w:pStyle w:val="Table"/>
            </w:pPr>
            <w:r w:rsidRPr="007C3F7C">
              <w:t xml:space="preserve">Tertiary </w:t>
            </w:r>
            <w:r w:rsidR="00723FF4" w:rsidRPr="007C3F7C">
              <w:t>centre</w:t>
            </w:r>
            <w:r w:rsidRPr="007C3F7C">
              <w:t xml:space="preserve"> </w:t>
            </w:r>
          </w:p>
        </w:tc>
        <w:tc>
          <w:tcPr>
            <w:tcW w:w="1066" w:type="dxa"/>
          </w:tcPr>
          <w:p w14:paraId="70638CBA" w14:textId="1EF7C0CC" w:rsidR="00BE6BE8" w:rsidRPr="007C3F7C" w:rsidRDefault="008D01F4" w:rsidP="007C3F7C">
            <w:pPr>
              <w:pStyle w:val="Table"/>
            </w:pPr>
            <w:r w:rsidRPr="007C3F7C">
              <w:t>&gt;5.5 mmol/L</w:t>
            </w:r>
          </w:p>
        </w:tc>
        <w:tc>
          <w:tcPr>
            <w:tcW w:w="856" w:type="dxa"/>
          </w:tcPr>
          <w:p w14:paraId="0F9F672B" w14:textId="3FC47FB1" w:rsidR="00BE6BE8" w:rsidRPr="007C3F7C" w:rsidRDefault="00BE6BE8" w:rsidP="007C3F7C">
            <w:pPr>
              <w:pStyle w:val="Table"/>
            </w:pPr>
            <w:r w:rsidRPr="007C3F7C">
              <w:t>6 months</w:t>
            </w:r>
          </w:p>
        </w:tc>
        <w:tc>
          <w:tcPr>
            <w:tcW w:w="1048" w:type="dxa"/>
          </w:tcPr>
          <w:p w14:paraId="43E363FE" w14:textId="2A3DC151" w:rsidR="00BE6BE8" w:rsidRPr="007C3F7C" w:rsidRDefault="00BE6BE8" w:rsidP="007C3F7C">
            <w:pPr>
              <w:pStyle w:val="Table"/>
            </w:pPr>
            <w:r w:rsidRPr="007C3F7C">
              <w:t>Age</w:t>
            </w:r>
          </w:p>
        </w:tc>
        <w:tc>
          <w:tcPr>
            <w:tcW w:w="990" w:type="dxa"/>
          </w:tcPr>
          <w:p w14:paraId="696759F5" w14:textId="3B47EF3B" w:rsidR="00BE6BE8" w:rsidRPr="007C3F7C" w:rsidRDefault="00BE6BE8" w:rsidP="007C3F7C">
            <w:pPr>
              <w:pStyle w:val="Table"/>
            </w:pPr>
            <w:r w:rsidRPr="007C3F7C">
              <w:t>Medical acidosis, previous HK</w:t>
            </w:r>
          </w:p>
        </w:tc>
        <w:tc>
          <w:tcPr>
            <w:tcW w:w="1556" w:type="dxa"/>
          </w:tcPr>
          <w:p w14:paraId="58AB9C32" w14:textId="035D8D36" w:rsidR="00BE6BE8" w:rsidRPr="007C3F7C" w:rsidRDefault="00BE6BE8" w:rsidP="007C3F7C">
            <w:pPr>
              <w:pStyle w:val="Table"/>
            </w:pPr>
            <w:r w:rsidRPr="007C3F7C">
              <w:t>CKD stage, Diabetes, HF</w:t>
            </w:r>
          </w:p>
        </w:tc>
        <w:tc>
          <w:tcPr>
            <w:tcW w:w="1038" w:type="dxa"/>
          </w:tcPr>
          <w:p w14:paraId="54198CB0" w14:textId="13796775" w:rsidR="00BE6BE8" w:rsidRPr="007C3F7C" w:rsidRDefault="00BE6BE8" w:rsidP="007C3F7C">
            <w:pPr>
              <w:pStyle w:val="Table"/>
            </w:pPr>
            <w:r w:rsidRPr="007C3F7C">
              <w:t>RAASi</w:t>
            </w:r>
          </w:p>
        </w:tc>
        <w:tc>
          <w:tcPr>
            <w:tcW w:w="1063" w:type="dxa"/>
          </w:tcPr>
          <w:p w14:paraId="6B4E18A0" w14:textId="10B979B8" w:rsidR="00BE6BE8" w:rsidRPr="007C3F7C" w:rsidRDefault="00723FF4" w:rsidP="007C3F7C">
            <w:pPr>
              <w:pStyle w:val="Table"/>
            </w:pPr>
            <w:r w:rsidRPr="007C3F7C">
              <w:t>–</w:t>
            </w:r>
          </w:p>
        </w:tc>
      </w:tr>
      <w:tr w:rsidR="00723FF4" w:rsidRPr="00723FF4" w14:paraId="19CE147E" w14:textId="2E13933C" w:rsidTr="00723FF4">
        <w:tc>
          <w:tcPr>
            <w:tcW w:w="993" w:type="dxa"/>
          </w:tcPr>
          <w:p w14:paraId="40816A54" w14:textId="217E2A4B" w:rsidR="00BE6BE8" w:rsidRPr="007C3F7C" w:rsidRDefault="00BE6BE8" w:rsidP="007C3F7C">
            <w:pPr>
              <w:pStyle w:val="Table"/>
            </w:pPr>
            <w:r w:rsidRPr="007C3F7C">
              <w:t>Advanced CKD</w:t>
            </w:r>
          </w:p>
        </w:tc>
        <w:tc>
          <w:tcPr>
            <w:tcW w:w="844" w:type="dxa"/>
          </w:tcPr>
          <w:p w14:paraId="3FD8E697" w14:textId="219D8B57" w:rsidR="00BE6BE8" w:rsidRPr="00723FF4" w:rsidRDefault="00BE6BE8" w:rsidP="007C3F7C">
            <w:pPr>
              <w:pStyle w:val="Table"/>
            </w:pPr>
            <w:r w:rsidRPr="007C3F7C">
              <w:t>Chang</w:t>
            </w:r>
            <w:r w:rsidRPr="00723FF4">
              <w:t xml:space="preserve"> </w:t>
            </w:r>
            <w:r w:rsidR="0080682E">
              <w:t>et al</w:t>
            </w:r>
            <w:r w:rsidRPr="00723FF4">
              <w:t xml:space="preserve"> 2023</w:t>
            </w:r>
            <w:r w:rsidR="00B607E6" w:rsidRPr="00083E5E">
              <w:rPr>
                <w:noProof/>
                <w:vertAlign w:val="superscript"/>
              </w:rPr>
              <w:t>25</w:t>
            </w:r>
          </w:p>
        </w:tc>
        <w:tc>
          <w:tcPr>
            <w:tcW w:w="1007" w:type="dxa"/>
          </w:tcPr>
          <w:p w14:paraId="2402A67C" w14:textId="71809E2E" w:rsidR="00BE6BE8" w:rsidRPr="007C3F7C" w:rsidRDefault="00BE6BE8" w:rsidP="007C3F7C">
            <w:pPr>
              <w:pStyle w:val="Table"/>
            </w:pPr>
            <w:r w:rsidRPr="007C3F7C">
              <w:t>Outpatients</w:t>
            </w:r>
          </w:p>
        </w:tc>
        <w:tc>
          <w:tcPr>
            <w:tcW w:w="1066" w:type="dxa"/>
          </w:tcPr>
          <w:p w14:paraId="3AD90A4B" w14:textId="2F71F0EF" w:rsidR="00BE6BE8" w:rsidRPr="007C3F7C" w:rsidRDefault="008D01F4" w:rsidP="007C3F7C">
            <w:pPr>
              <w:pStyle w:val="Table"/>
            </w:pPr>
            <w:r w:rsidRPr="007C3F7C">
              <w:t>&gt;5.5 mmol/L</w:t>
            </w:r>
          </w:p>
        </w:tc>
        <w:tc>
          <w:tcPr>
            <w:tcW w:w="856" w:type="dxa"/>
          </w:tcPr>
          <w:p w14:paraId="133791F5" w14:textId="7E5778AB" w:rsidR="00BE6BE8" w:rsidRPr="007C3F7C" w:rsidRDefault="008D01F4" w:rsidP="007C3F7C">
            <w:pPr>
              <w:pStyle w:val="Table"/>
            </w:pPr>
            <w:r w:rsidRPr="007C3F7C">
              <w:t>Next clinic (within 3 months)</w:t>
            </w:r>
          </w:p>
        </w:tc>
        <w:tc>
          <w:tcPr>
            <w:tcW w:w="1048" w:type="dxa"/>
          </w:tcPr>
          <w:p w14:paraId="140BDCCF" w14:textId="6F9EB448" w:rsidR="00BE6BE8" w:rsidRPr="007C3F7C" w:rsidRDefault="00723FF4" w:rsidP="007C3F7C">
            <w:pPr>
              <w:pStyle w:val="Table"/>
            </w:pPr>
            <w:r w:rsidRPr="007C3F7C">
              <w:t>–</w:t>
            </w:r>
          </w:p>
        </w:tc>
        <w:tc>
          <w:tcPr>
            <w:tcW w:w="990" w:type="dxa"/>
          </w:tcPr>
          <w:p w14:paraId="517BD232" w14:textId="236571DA" w:rsidR="00BE6BE8" w:rsidRPr="007C3F7C" w:rsidRDefault="00723FF4" w:rsidP="007C3F7C">
            <w:pPr>
              <w:pStyle w:val="Table"/>
            </w:pPr>
            <w:r w:rsidRPr="007C3F7C">
              <w:t>B</w:t>
            </w:r>
            <w:r w:rsidR="00BE6BE8" w:rsidRPr="007C3F7C">
              <w:t xml:space="preserve">aseline K, </w:t>
            </w:r>
            <w:r w:rsidRPr="007C3F7C">
              <w:t>BUN, H</w:t>
            </w:r>
            <w:r w:rsidR="0068091F" w:rsidRPr="007C3F7C">
              <w:t>g</w:t>
            </w:r>
            <w:r w:rsidRPr="007C3F7C">
              <w:t>b,</w:t>
            </w:r>
          </w:p>
        </w:tc>
        <w:tc>
          <w:tcPr>
            <w:tcW w:w="1556" w:type="dxa"/>
          </w:tcPr>
          <w:p w14:paraId="2F052286" w14:textId="355A9C96" w:rsidR="00BE6BE8" w:rsidRPr="007C3F7C" w:rsidRDefault="00BE6BE8" w:rsidP="007C3F7C">
            <w:pPr>
              <w:pStyle w:val="Table"/>
            </w:pPr>
            <w:r w:rsidRPr="007C3F7C">
              <w:t>HF</w:t>
            </w:r>
          </w:p>
        </w:tc>
        <w:tc>
          <w:tcPr>
            <w:tcW w:w="1038" w:type="dxa"/>
          </w:tcPr>
          <w:p w14:paraId="23A18116" w14:textId="346BBBC5" w:rsidR="00BE6BE8" w:rsidRPr="007C3F7C" w:rsidRDefault="00BE6BE8" w:rsidP="007C3F7C">
            <w:pPr>
              <w:pStyle w:val="Table"/>
            </w:pPr>
            <w:r w:rsidRPr="007C3F7C">
              <w:t xml:space="preserve">ARB, calcium </w:t>
            </w:r>
            <w:r w:rsidR="00723FF4" w:rsidRPr="007C3F7C">
              <w:t>polystyrene</w:t>
            </w:r>
            <w:r w:rsidRPr="007C3F7C">
              <w:t xml:space="preserve"> sulfonate</w:t>
            </w:r>
          </w:p>
        </w:tc>
        <w:tc>
          <w:tcPr>
            <w:tcW w:w="1063" w:type="dxa"/>
          </w:tcPr>
          <w:p w14:paraId="400427DC" w14:textId="367F5133" w:rsidR="00BE6BE8" w:rsidRPr="007C3F7C" w:rsidRDefault="00723FF4" w:rsidP="007C3F7C">
            <w:pPr>
              <w:pStyle w:val="Table"/>
            </w:pPr>
            <w:r w:rsidRPr="007C3F7C">
              <w:t>–</w:t>
            </w:r>
          </w:p>
        </w:tc>
      </w:tr>
      <w:tr w:rsidR="00723FF4" w:rsidRPr="00723FF4" w14:paraId="1E79CAF6" w14:textId="7A79EC33" w:rsidTr="00723FF4">
        <w:tc>
          <w:tcPr>
            <w:tcW w:w="993" w:type="dxa"/>
          </w:tcPr>
          <w:p w14:paraId="11F4DF8C" w14:textId="4D67B04B" w:rsidR="00BE6BE8" w:rsidRPr="007C3F7C" w:rsidRDefault="00723FF4" w:rsidP="007C3F7C">
            <w:pPr>
              <w:pStyle w:val="Table"/>
            </w:pPr>
            <w:r w:rsidRPr="007C3F7C">
              <w:t>HD</w:t>
            </w:r>
          </w:p>
        </w:tc>
        <w:tc>
          <w:tcPr>
            <w:tcW w:w="844" w:type="dxa"/>
          </w:tcPr>
          <w:p w14:paraId="7A30B30E" w14:textId="59416519" w:rsidR="00BE6BE8" w:rsidRPr="00723FF4" w:rsidRDefault="00BE6BE8" w:rsidP="007C3F7C">
            <w:pPr>
              <w:pStyle w:val="Table"/>
            </w:pPr>
            <w:r w:rsidRPr="00723FF4">
              <w:t xml:space="preserve">Mei </w:t>
            </w:r>
            <w:r w:rsidR="0080682E">
              <w:t>et al</w:t>
            </w:r>
            <w:r w:rsidRPr="00723FF4">
              <w:t xml:space="preserve"> 2022</w:t>
            </w:r>
            <w:r w:rsidR="00B607E6" w:rsidRPr="00083E5E">
              <w:rPr>
                <w:noProof/>
                <w:vertAlign w:val="superscript"/>
              </w:rPr>
              <w:t>26</w:t>
            </w:r>
          </w:p>
        </w:tc>
        <w:tc>
          <w:tcPr>
            <w:tcW w:w="1007" w:type="dxa"/>
          </w:tcPr>
          <w:p w14:paraId="2FA7FAA7" w14:textId="71D34A51" w:rsidR="00BE6BE8" w:rsidRPr="007C3F7C" w:rsidRDefault="00723FF4" w:rsidP="007C3F7C">
            <w:pPr>
              <w:pStyle w:val="Table"/>
            </w:pPr>
            <w:r w:rsidRPr="007C3F7C">
              <w:t>T</w:t>
            </w:r>
            <w:r w:rsidR="00BE6BE8" w:rsidRPr="007C3F7C">
              <w:t>ertiary</w:t>
            </w:r>
          </w:p>
        </w:tc>
        <w:tc>
          <w:tcPr>
            <w:tcW w:w="1066" w:type="dxa"/>
          </w:tcPr>
          <w:p w14:paraId="6ECE5E19" w14:textId="125154C7" w:rsidR="00BE6BE8" w:rsidRPr="007C3F7C" w:rsidRDefault="00BE6BE8" w:rsidP="007C3F7C">
            <w:pPr>
              <w:pStyle w:val="Table"/>
            </w:pPr>
            <w:r w:rsidRPr="007C3F7C">
              <w:t>≥ 5.5 mmol/L</w:t>
            </w:r>
          </w:p>
        </w:tc>
        <w:tc>
          <w:tcPr>
            <w:tcW w:w="856" w:type="dxa"/>
          </w:tcPr>
          <w:p w14:paraId="1F14C8FE" w14:textId="33090421" w:rsidR="00BE6BE8" w:rsidRPr="007C3F7C" w:rsidRDefault="00723FF4" w:rsidP="007C3F7C">
            <w:pPr>
              <w:pStyle w:val="Table"/>
            </w:pPr>
            <w:r w:rsidRPr="007C3F7C">
              <w:t>–</w:t>
            </w:r>
          </w:p>
        </w:tc>
        <w:tc>
          <w:tcPr>
            <w:tcW w:w="1048" w:type="dxa"/>
          </w:tcPr>
          <w:p w14:paraId="19A9F74F" w14:textId="367716E8" w:rsidR="00BE6BE8" w:rsidRPr="007C3F7C" w:rsidRDefault="00723FF4" w:rsidP="007C3F7C">
            <w:pPr>
              <w:pStyle w:val="Table"/>
            </w:pPr>
            <w:r w:rsidRPr="007C3F7C">
              <w:t>–</w:t>
            </w:r>
          </w:p>
        </w:tc>
        <w:tc>
          <w:tcPr>
            <w:tcW w:w="990" w:type="dxa"/>
          </w:tcPr>
          <w:p w14:paraId="08BA326D" w14:textId="54307BF1" w:rsidR="00BE6BE8" w:rsidRPr="007C3F7C" w:rsidRDefault="00723FF4" w:rsidP="007C3F7C">
            <w:pPr>
              <w:pStyle w:val="Table"/>
            </w:pPr>
            <w:r w:rsidRPr="007C3F7C">
              <w:t>Na, Ca, Phosphate, BUN</w:t>
            </w:r>
          </w:p>
        </w:tc>
        <w:tc>
          <w:tcPr>
            <w:tcW w:w="1556" w:type="dxa"/>
          </w:tcPr>
          <w:p w14:paraId="69B5A8B5" w14:textId="68799CB7" w:rsidR="00BE6BE8" w:rsidRPr="007C3F7C" w:rsidRDefault="00BE6BE8" w:rsidP="007C3F7C">
            <w:pPr>
              <w:pStyle w:val="Table"/>
            </w:pPr>
            <w:r w:rsidRPr="007C3F7C">
              <w:t>Diabetes</w:t>
            </w:r>
          </w:p>
        </w:tc>
        <w:tc>
          <w:tcPr>
            <w:tcW w:w="1038" w:type="dxa"/>
          </w:tcPr>
          <w:p w14:paraId="493A8692" w14:textId="11B699BA" w:rsidR="00BE6BE8" w:rsidRPr="007C3F7C" w:rsidRDefault="00723FF4" w:rsidP="007C3F7C">
            <w:pPr>
              <w:pStyle w:val="Table"/>
            </w:pPr>
            <w:r w:rsidRPr="007C3F7C">
              <w:t>–</w:t>
            </w:r>
          </w:p>
        </w:tc>
        <w:tc>
          <w:tcPr>
            <w:tcW w:w="1063" w:type="dxa"/>
          </w:tcPr>
          <w:p w14:paraId="32675318" w14:textId="5791CF56" w:rsidR="00BE6BE8" w:rsidRPr="007C3F7C" w:rsidRDefault="00BE6BE8" w:rsidP="007C3F7C">
            <w:pPr>
              <w:pStyle w:val="Table"/>
            </w:pPr>
            <w:r w:rsidRPr="007C3F7C">
              <w:t xml:space="preserve">number of </w:t>
            </w:r>
            <w:r w:rsidR="00723FF4" w:rsidRPr="007C3F7C">
              <w:t>HD</w:t>
            </w:r>
            <w:r w:rsidRPr="007C3F7C">
              <w:t xml:space="preserve"> sessions</w:t>
            </w:r>
          </w:p>
        </w:tc>
      </w:tr>
    </w:tbl>
    <w:p w14:paraId="1D052BC1" w14:textId="0747CCE9" w:rsidR="00872A12" w:rsidRDefault="00B01FE6" w:rsidP="00D30CF9">
      <w:pPr>
        <w:pStyle w:val="Table"/>
      </w:pPr>
      <w:r>
        <w:t>ACEi, angiotensin converting enzyme inhibitor;</w:t>
      </w:r>
      <w:r w:rsidR="000555D0">
        <w:t xml:space="preserve"> ARB, aldosterone receptor blocker;</w:t>
      </w:r>
      <w:r>
        <w:t xml:space="preserve"> </w:t>
      </w:r>
      <w:r w:rsidR="00723FF4">
        <w:t xml:space="preserve">BUN, </w:t>
      </w:r>
      <w:r w:rsidR="00723FF4" w:rsidRPr="00723FF4">
        <w:t>blood urea nitrogen</w:t>
      </w:r>
      <w:r w:rsidR="00723FF4">
        <w:t>;</w:t>
      </w:r>
      <w:r w:rsidR="00723FF4" w:rsidRPr="00723FF4">
        <w:t xml:space="preserve"> </w:t>
      </w:r>
      <w:r w:rsidR="00723FF4">
        <w:t xml:space="preserve">COPD, chronic obstructive pulmonary disease; </w:t>
      </w:r>
      <w:r w:rsidR="00872A12">
        <w:t>eGFR, estimated glomerular filtration rate</w:t>
      </w:r>
      <w:r>
        <w:t xml:space="preserve">; </w:t>
      </w:r>
      <w:r w:rsidR="00723FF4">
        <w:t>HD, h</w:t>
      </w:r>
      <w:r w:rsidR="00723FF4" w:rsidRPr="00723FF4">
        <w:t>aemodialysis</w:t>
      </w:r>
      <w:r w:rsidR="00723FF4">
        <w:t>;</w:t>
      </w:r>
      <w:r w:rsidR="001B5E45">
        <w:t xml:space="preserve"> </w:t>
      </w:r>
      <w:r w:rsidR="00BE6BE8">
        <w:t xml:space="preserve">HF, heart failure; </w:t>
      </w:r>
      <w:r w:rsidR="0068091F">
        <w:t xml:space="preserve">Hgb, haemoglobin; </w:t>
      </w:r>
      <w:r w:rsidR="00723FF4">
        <w:t xml:space="preserve">HK, hyperkalaemia; PAD, </w:t>
      </w:r>
      <w:r w:rsidR="00723FF4" w:rsidRPr="00723FF4">
        <w:t>peripheral artery disease</w:t>
      </w:r>
      <w:r w:rsidR="00723FF4">
        <w:t>;</w:t>
      </w:r>
      <w:r w:rsidR="00723FF4" w:rsidRPr="00723FF4">
        <w:t xml:space="preserve"> </w:t>
      </w:r>
      <w:r w:rsidR="001B5E45">
        <w:t>RAASi, renin-angiotensin-aldosterone system inhibitor</w:t>
      </w:r>
    </w:p>
    <w:p w14:paraId="07565498" w14:textId="77777777" w:rsidR="00F119C0" w:rsidRDefault="00F119C0" w:rsidP="00D30CF9">
      <w:pPr>
        <w:pStyle w:val="Table"/>
      </w:pPr>
    </w:p>
    <w:p w14:paraId="35D60995" w14:textId="77777777" w:rsidR="009A7AD4" w:rsidRDefault="009A7AD4">
      <w:pPr>
        <w:spacing w:before="0" w:after="160" w:line="259" w:lineRule="auto"/>
        <w:ind w:firstLine="0"/>
        <w:rPr>
          <w:rFonts w:eastAsiaTheme="majorEastAsia" w:cstheme="majorBidi"/>
          <w:b/>
          <w:sz w:val="26"/>
          <w:szCs w:val="26"/>
        </w:rPr>
      </w:pPr>
      <w:bookmarkStart w:id="11" w:name="_Ref160050837"/>
      <w:r>
        <w:br w:type="page"/>
      </w:r>
    </w:p>
    <w:p w14:paraId="7C806ADB" w14:textId="59B2A7A3" w:rsidR="00F119C0" w:rsidRPr="00B15DBE" w:rsidRDefault="00F119C0" w:rsidP="009A7AD4">
      <w:pPr>
        <w:pStyle w:val="Heading2"/>
      </w:pPr>
      <w:r w:rsidRPr="00DE7FE6">
        <w:lastRenderedPageBreak/>
        <w:t xml:space="preserve">Supplementary Table </w:t>
      </w:r>
      <w:r w:rsidR="000B299A" w:rsidRPr="00DE7FE6">
        <w:t>S</w:t>
      </w:r>
      <w:bookmarkEnd w:id="11"/>
      <w:r w:rsidR="000B299A" w:rsidRPr="00DE7FE6">
        <w:t>5</w:t>
      </w:r>
      <w:r w:rsidRPr="00DE7FE6">
        <w:t>: Recommendations regarding RAASi therapy in HK</w:t>
      </w:r>
    </w:p>
    <w:tbl>
      <w:tblPr>
        <w:tblStyle w:val="TableGrid"/>
        <w:tblW w:w="0" w:type="auto"/>
        <w:tblLook w:val="04A0" w:firstRow="1" w:lastRow="0" w:firstColumn="1" w:lastColumn="0" w:noHBand="0" w:noVBand="1"/>
      </w:tblPr>
      <w:tblGrid>
        <w:gridCol w:w="1537"/>
        <w:gridCol w:w="1152"/>
        <w:gridCol w:w="680"/>
        <w:gridCol w:w="1362"/>
        <w:gridCol w:w="5725"/>
      </w:tblGrid>
      <w:tr w:rsidR="009E03B2" w:rsidRPr="00B15DBE" w14:paraId="5FD5BD12" w14:textId="77777777" w:rsidTr="005973D1">
        <w:trPr>
          <w:cantSplit/>
          <w:tblHeader/>
        </w:trPr>
        <w:tc>
          <w:tcPr>
            <w:tcW w:w="1537" w:type="dxa"/>
          </w:tcPr>
          <w:p w14:paraId="65904F90" w14:textId="77777777" w:rsidR="00F119C0" w:rsidRPr="00B15DBE" w:rsidRDefault="00F119C0" w:rsidP="00A42FA1">
            <w:pPr>
              <w:pStyle w:val="Table"/>
              <w:rPr>
                <w:b/>
                <w:bCs/>
              </w:rPr>
            </w:pPr>
            <w:r w:rsidRPr="00B15DBE">
              <w:rPr>
                <w:b/>
                <w:bCs/>
              </w:rPr>
              <w:t>Association</w:t>
            </w:r>
          </w:p>
        </w:tc>
        <w:tc>
          <w:tcPr>
            <w:tcW w:w="1152" w:type="dxa"/>
          </w:tcPr>
          <w:p w14:paraId="6C4938D4" w14:textId="77777777" w:rsidR="00F119C0" w:rsidRPr="00B15DBE" w:rsidRDefault="00F119C0" w:rsidP="00A42FA1">
            <w:pPr>
              <w:pStyle w:val="Table"/>
              <w:rPr>
                <w:b/>
                <w:bCs/>
              </w:rPr>
            </w:pPr>
            <w:r w:rsidRPr="00B15DBE">
              <w:rPr>
                <w:b/>
                <w:bCs/>
              </w:rPr>
              <w:t>Reference</w:t>
            </w:r>
          </w:p>
        </w:tc>
        <w:tc>
          <w:tcPr>
            <w:tcW w:w="680" w:type="dxa"/>
          </w:tcPr>
          <w:p w14:paraId="5015FDF9" w14:textId="77777777" w:rsidR="00F119C0" w:rsidRPr="00B15DBE" w:rsidRDefault="00F119C0" w:rsidP="00A42FA1">
            <w:pPr>
              <w:pStyle w:val="Table"/>
              <w:rPr>
                <w:b/>
                <w:bCs/>
              </w:rPr>
            </w:pPr>
            <w:r w:rsidRPr="00B15DBE">
              <w:rPr>
                <w:b/>
                <w:bCs/>
              </w:rPr>
              <w:t>Year</w:t>
            </w:r>
          </w:p>
        </w:tc>
        <w:tc>
          <w:tcPr>
            <w:tcW w:w="0" w:type="auto"/>
          </w:tcPr>
          <w:p w14:paraId="76BD1517" w14:textId="77777777" w:rsidR="00F119C0" w:rsidRPr="00B15DBE" w:rsidRDefault="00F119C0" w:rsidP="00A42FA1">
            <w:pPr>
              <w:pStyle w:val="Table"/>
              <w:rPr>
                <w:b/>
                <w:bCs/>
              </w:rPr>
            </w:pPr>
            <w:r w:rsidRPr="00B15DBE">
              <w:rPr>
                <w:b/>
                <w:bCs/>
              </w:rPr>
              <w:t>Population</w:t>
            </w:r>
          </w:p>
        </w:tc>
        <w:tc>
          <w:tcPr>
            <w:tcW w:w="0" w:type="auto"/>
          </w:tcPr>
          <w:p w14:paraId="4EDF192D" w14:textId="77777777" w:rsidR="00F119C0" w:rsidRPr="00B15DBE" w:rsidRDefault="00F119C0" w:rsidP="00A42FA1">
            <w:pPr>
              <w:pStyle w:val="Table"/>
              <w:rPr>
                <w:b/>
                <w:bCs/>
              </w:rPr>
            </w:pPr>
            <w:r w:rsidRPr="00B15DBE">
              <w:rPr>
                <w:b/>
                <w:bCs/>
              </w:rPr>
              <w:t>RAASi therapy in response to HK</w:t>
            </w:r>
          </w:p>
        </w:tc>
      </w:tr>
      <w:tr w:rsidR="009E03B2" w:rsidRPr="00B15DBE" w14:paraId="302B7CC1" w14:textId="77777777" w:rsidTr="005973D1">
        <w:trPr>
          <w:cantSplit/>
        </w:trPr>
        <w:tc>
          <w:tcPr>
            <w:tcW w:w="1537" w:type="dxa"/>
          </w:tcPr>
          <w:p w14:paraId="25C340B2" w14:textId="77777777" w:rsidR="00F119C0" w:rsidRPr="00B15DBE" w:rsidRDefault="00F119C0" w:rsidP="00A42FA1">
            <w:pPr>
              <w:pStyle w:val="Table"/>
            </w:pPr>
            <w:r w:rsidRPr="00B15DBE">
              <w:t>SIN/SIMI/</w:t>
            </w:r>
            <w:r w:rsidRPr="00B15DBE">
              <w:br/>
              <w:t>FADOI</w:t>
            </w:r>
          </w:p>
        </w:tc>
        <w:tc>
          <w:tcPr>
            <w:tcW w:w="1152" w:type="dxa"/>
          </w:tcPr>
          <w:p w14:paraId="4E95A862" w14:textId="0B43A09C" w:rsidR="00F119C0" w:rsidRPr="00B15DBE" w:rsidRDefault="00F119C0" w:rsidP="00A42FA1">
            <w:pPr>
              <w:pStyle w:val="Table"/>
            </w:pPr>
            <w:r w:rsidRPr="00B15DBE">
              <w:t xml:space="preserve">De Nicola </w:t>
            </w:r>
            <w:r w:rsidR="0080682E">
              <w:t>et al</w:t>
            </w:r>
            <w:r w:rsidRPr="00B15DBE">
              <w:t>.</w:t>
            </w:r>
            <w:r w:rsidR="00B607E6" w:rsidRPr="001B22DE">
              <w:rPr>
                <w:noProof/>
                <w:vertAlign w:val="superscript"/>
              </w:rPr>
              <w:t xml:space="preserve"> 1</w:t>
            </w:r>
          </w:p>
        </w:tc>
        <w:tc>
          <w:tcPr>
            <w:tcW w:w="680" w:type="dxa"/>
          </w:tcPr>
          <w:p w14:paraId="5E698886" w14:textId="77777777" w:rsidR="00F119C0" w:rsidRPr="00B15DBE" w:rsidRDefault="00F119C0" w:rsidP="00A42FA1">
            <w:pPr>
              <w:pStyle w:val="Table"/>
            </w:pPr>
            <w:r w:rsidRPr="00B15DBE">
              <w:t>2024</w:t>
            </w:r>
          </w:p>
        </w:tc>
        <w:tc>
          <w:tcPr>
            <w:tcW w:w="0" w:type="auto"/>
          </w:tcPr>
          <w:p w14:paraId="11A75D1E" w14:textId="77777777" w:rsidR="00F119C0" w:rsidRPr="00B15DBE" w:rsidRDefault="00F119C0" w:rsidP="00A42FA1">
            <w:pPr>
              <w:pStyle w:val="Table"/>
            </w:pPr>
            <w:r w:rsidRPr="00B15DBE">
              <w:t>On RAASi</w:t>
            </w:r>
          </w:p>
        </w:tc>
        <w:tc>
          <w:tcPr>
            <w:tcW w:w="0" w:type="auto"/>
          </w:tcPr>
          <w:p w14:paraId="5CABF29B" w14:textId="77777777" w:rsidR="00F119C0" w:rsidRPr="00B15DBE" w:rsidRDefault="00F119C0" w:rsidP="00A42FA1">
            <w:pPr>
              <w:pStyle w:val="Table"/>
            </w:pPr>
            <w:r w:rsidRPr="00B15DBE">
              <w:t>Check serum potassium prior to initiating RAASi treatments, and then regularly throughout treatment.</w:t>
            </w:r>
          </w:p>
          <w:p w14:paraId="4B8712AD" w14:textId="77777777" w:rsidR="00F119C0" w:rsidRPr="00B15DBE" w:rsidRDefault="00F119C0" w:rsidP="00A42FA1">
            <w:pPr>
              <w:pStyle w:val="Table"/>
            </w:pPr>
            <w:r w:rsidRPr="00B15DBE">
              <w:t>Treat chronic HK first before reducing the dose or discontinuing RAASi treatment if serum potassium levels exceed 6.5 mmol/L.</w:t>
            </w:r>
          </w:p>
          <w:p w14:paraId="17E4660B" w14:textId="77777777" w:rsidR="00F119C0" w:rsidRPr="00B15DBE" w:rsidRDefault="00F119C0" w:rsidP="00A42FA1">
            <w:pPr>
              <w:pStyle w:val="Table"/>
            </w:pPr>
            <w:r w:rsidRPr="00B15DBE">
              <w:t>Treatment should involve the use of newer potassium binders (i.e. SZC or patiromer), based on evidence that these agents can allow patients to effectively achieve normokalaemia while optimising RAASi treatment.</w:t>
            </w:r>
          </w:p>
        </w:tc>
      </w:tr>
      <w:tr w:rsidR="009E03B2" w:rsidRPr="00B15DBE" w14:paraId="25EC28B0" w14:textId="77777777" w:rsidTr="005973D1">
        <w:trPr>
          <w:cantSplit/>
        </w:trPr>
        <w:tc>
          <w:tcPr>
            <w:tcW w:w="1537" w:type="dxa"/>
          </w:tcPr>
          <w:p w14:paraId="0F5DB9E7" w14:textId="77777777" w:rsidR="00F119C0" w:rsidRPr="00B15DBE" w:rsidRDefault="00F119C0" w:rsidP="00A42FA1">
            <w:pPr>
              <w:pStyle w:val="Table"/>
            </w:pPr>
            <w:r w:rsidRPr="00B15DBE">
              <w:t>UK Kidney Association</w:t>
            </w:r>
          </w:p>
        </w:tc>
        <w:tc>
          <w:tcPr>
            <w:tcW w:w="1152" w:type="dxa"/>
          </w:tcPr>
          <w:p w14:paraId="19B198D4" w14:textId="5FA1B1D4" w:rsidR="00F119C0" w:rsidRPr="00B15DBE" w:rsidRDefault="00F119C0" w:rsidP="00A42FA1">
            <w:pPr>
              <w:pStyle w:val="Table"/>
            </w:pPr>
            <w:r w:rsidRPr="00B15DBE">
              <w:t xml:space="preserve">Alfonzo </w:t>
            </w:r>
            <w:r w:rsidR="0080682E">
              <w:t>et al</w:t>
            </w:r>
            <w:r w:rsidRPr="00B15DBE">
              <w:t>.</w:t>
            </w:r>
            <w:r w:rsidR="00B607E6" w:rsidRPr="001B22DE">
              <w:rPr>
                <w:noProof/>
                <w:vertAlign w:val="superscript"/>
              </w:rPr>
              <w:t xml:space="preserve"> 2</w:t>
            </w:r>
          </w:p>
        </w:tc>
        <w:tc>
          <w:tcPr>
            <w:tcW w:w="680" w:type="dxa"/>
          </w:tcPr>
          <w:p w14:paraId="4D40C28C" w14:textId="77777777" w:rsidR="00F119C0" w:rsidRPr="00B15DBE" w:rsidRDefault="00F119C0" w:rsidP="00A42FA1">
            <w:pPr>
              <w:pStyle w:val="Table"/>
            </w:pPr>
            <w:r w:rsidRPr="00B15DBE">
              <w:t>2023</w:t>
            </w:r>
          </w:p>
        </w:tc>
        <w:tc>
          <w:tcPr>
            <w:tcW w:w="0" w:type="auto"/>
          </w:tcPr>
          <w:p w14:paraId="48746447" w14:textId="77777777" w:rsidR="00F119C0" w:rsidRPr="00B15DBE" w:rsidRDefault="00F119C0" w:rsidP="00A42FA1">
            <w:pPr>
              <w:pStyle w:val="Table"/>
            </w:pPr>
            <w:r w:rsidRPr="00B15DBE">
              <w:t>Any</w:t>
            </w:r>
          </w:p>
        </w:tc>
        <w:tc>
          <w:tcPr>
            <w:tcW w:w="0" w:type="auto"/>
          </w:tcPr>
          <w:p w14:paraId="3437D574" w14:textId="77777777" w:rsidR="00F119C0" w:rsidRPr="00B15DBE" w:rsidRDefault="00F119C0" w:rsidP="00A42FA1">
            <w:pPr>
              <w:pStyle w:val="Table"/>
            </w:pPr>
            <w:r w:rsidRPr="00B15DBE">
              <w:t>Assess urea and electrolytes prior to initiation of ACEi or ARB and use these drugs with caution if serum potassium is &gt;5.0 mEq/L.</w:t>
            </w:r>
          </w:p>
          <w:p w14:paraId="5D049EED" w14:textId="77777777" w:rsidR="00F119C0" w:rsidRPr="00B15DBE" w:rsidRDefault="00F119C0" w:rsidP="00A42FA1">
            <w:pPr>
              <w:pStyle w:val="Table"/>
            </w:pPr>
            <w:r w:rsidRPr="00B15DBE">
              <w:t>Avoid initiation of MRAs in patients with a baseline serum potassium &gt;5.0 mmol/L or eGFR &lt;30 mL/min.</w:t>
            </w:r>
          </w:p>
          <w:p w14:paraId="1551D77F" w14:textId="77777777" w:rsidR="00F119C0" w:rsidRPr="00B15DBE" w:rsidRDefault="00F119C0" w:rsidP="00A42FA1">
            <w:pPr>
              <w:pStyle w:val="Table"/>
            </w:pPr>
            <w:r w:rsidRPr="00B15DBE">
              <w:t>Consider dose reduction of RAASi in patients with serum potassium between 5.5–5.9 mmol/L and cease RAASi in patients with serum potassium ≥6 mEq/L who do not meet the criteria for treatment with patiromer or SZC.</w:t>
            </w:r>
          </w:p>
          <w:p w14:paraId="7FC4DE1A" w14:textId="77777777" w:rsidR="00F119C0" w:rsidRPr="00B15DBE" w:rsidRDefault="00F119C0" w:rsidP="00A42FA1">
            <w:pPr>
              <w:pStyle w:val="Table"/>
            </w:pPr>
            <w:r w:rsidRPr="00B15DBE">
              <w:t>Withhold RAASi during acute illness (e.g. sepsis, hypovolaemia and/or AKI) at all severities of HK.</w:t>
            </w:r>
          </w:p>
          <w:p w14:paraId="3E8989C6" w14:textId="77777777" w:rsidR="00F119C0" w:rsidRPr="00B15DBE" w:rsidRDefault="00F119C0" w:rsidP="00A42FA1">
            <w:pPr>
              <w:pStyle w:val="Table"/>
            </w:pPr>
            <w:r w:rsidRPr="00B15DBE">
              <w:t>Minimise the duration of cessation of RAASi and communicate clearly after hospital discharge. Involve specialist services, and renal and heart failure teams, to facilitate safer re-introduction of treatment.</w:t>
            </w:r>
          </w:p>
          <w:p w14:paraId="3D77545C" w14:textId="77777777" w:rsidR="00F119C0" w:rsidRPr="00B15DBE" w:rsidRDefault="00F119C0" w:rsidP="00A42FA1">
            <w:pPr>
              <w:pStyle w:val="Table"/>
            </w:pPr>
            <w:r w:rsidRPr="00B15DBE">
              <w:t>Consider patiromer or SZC (initiated in secondary care only) for persistent HK with serum potassium ≥6.0 mEq/L in outpatients with CKD stage 3b–5 (not on dialysis) or HF receiving a suboptimal dose or not receiving RAASi therapy owing to HK.</w:t>
            </w:r>
          </w:p>
        </w:tc>
      </w:tr>
      <w:tr w:rsidR="009E03B2" w:rsidRPr="00B15DBE" w14:paraId="1AE00BB9" w14:textId="77777777" w:rsidTr="005973D1">
        <w:trPr>
          <w:cantSplit/>
        </w:trPr>
        <w:tc>
          <w:tcPr>
            <w:tcW w:w="1537" w:type="dxa"/>
          </w:tcPr>
          <w:p w14:paraId="6FE1A48D" w14:textId="77777777" w:rsidR="00F119C0" w:rsidRPr="00B15DBE" w:rsidRDefault="00F119C0" w:rsidP="00A42FA1">
            <w:pPr>
              <w:pStyle w:val="Table"/>
            </w:pPr>
            <w:r w:rsidRPr="00B15DBE">
              <w:t>KDIGO</w:t>
            </w:r>
          </w:p>
        </w:tc>
        <w:tc>
          <w:tcPr>
            <w:tcW w:w="1152" w:type="dxa"/>
          </w:tcPr>
          <w:p w14:paraId="3E72B367" w14:textId="5C0D51B7" w:rsidR="00F119C0" w:rsidRPr="00B15DBE" w:rsidRDefault="00F119C0" w:rsidP="00A42FA1">
            <w:pPr>
              <w:pStyle w:val="Table"/>
            </w:pPr>
            <w:r w:rsidRPr="00B15DBE">
              <w:t>KDIGO CKD Work Group</w:t>
            </w:r>
            <w:r w:rsidR="00B607E6" w:rsidRPr="001B22DE">
              <w:rPr>
                <w:noProof/>
                <w:vertAlign w:val="superscript"/>
              </w:rPr>
              <w:t>3</w:t>
            </w:r>
          </w:p>
        </w:tc>
        <w:tc>
          <w:tcPr>
            <w:tcW w:w="680" w:type="dxa"/>
          </w:tcPr>
          <w:p w14:paraId="51594BC3" w14:textId="77777777" w:rsidR="00F119C0" w:rsidRPr="00B15DBE" w:rsidRDefault="00F119C0" w:rsidP="00A42FA1">
            <w:pPr>
              <w:pStyle w:val="Table"/>
            </w:pPr>
            <w:r w:rsidRPr="00B15DBE">
              <w:t>2024</w:t>
            </w:r>
          </w:p>
        </w:tc>
        <w:tc>
          <w:tcPr>
            <w:tcW w:w="0" w:type="auto"/>
          </w:tcPr>
          <w:p w14:paraId="69BC4D68" w14:textId="77777777" w:rsidR="00F119C0" w:rsidRPr="00B15DBE" w:rsidRDefault="00F119C0" w:rsidP="00A42FA1">
            <w:pPr>
              <w:pStyle w:val="Table"/>
            </w:pPr>
            <w:r w:rsidRPr="00B15DBE">
              <w:t>CKD</w:t>
            </w:r>
          </w:p>
        </w:tc>
        <w:tc>
          <w:tcPr>
            <w:tcW w:w="0" w:type="auto"/>
          </w:tcPr>
          <w:p w14:paraId="77F27940" w14:textId="77777777" w:rsidR="00F119C0" w:rsidRPr="00B15DBE" w:rsidRDefault="00F119C0" w:rsidP="00A42FA1">
            <w:pPr>
              <w:pStyle w:val="Table"/>
            </w:pPr>
            <w:r w:rsidRPr="00B15DBE">
              <w:t>HK associated with use of ACEi or ARB can often be managed by measures to reduce the serum potassium levels rather than decreasing the dose or stopping ACEi or ARB.</w:t>
            </w:r>
          </w:p>
          <w:p w14:paraId="2C2290BA" w14:textId="77777777" w:rsidR="00F119C0" w:rsidRPr="00B15DBE" w:rsidRDefault="00F119C0" w:rsidP="00A42FA1">
            <w:pPr>
              <w:pStyle w:val="Table"/>
            </w:pPr>
            <w:r w:rsidRPr="00B15DBE">
              <w:t>Consider reducing the dose or discontinuing RAASi in the setting of uncontrolled HK despite medical treatment. Review and restart RAASi at a later date if patient condition allows.</w:t>
            </w:r>
          </w:p>
          <w:p w14:paraId="4516E871" w14:textId="77777777" w:rsidR="00F119C0" w:rsidRPr="00B15DBE" w:rsidRDefault="00F119C0" w:rsidP="00A42FA1">
            <w:pPr>
              <w:pStyle w:val="Table"/>
            </w:pPr>
            <w:r w:rsidRPr="00B15DBE">
              <w:rPr>
                <w:rStyle w:val="Strong"/>
                <w:b w:val="0"/>
                <w:bCs w:val="0"/>
                <w:iCs/>
              </w:rPr>
              <w:t>Avoid any combination of ACEi, ARB and direct renin inhibitor therapy in patients with CKD, with or without diabetes.</w:t>
            </w:r>
          </w:p>
        </w:tc>
      </w:tr>
      <w:tr w:rsidR="009E03B2" w:rsidRPr="00B15DBE" w14:paraId="4D6FD3C4" w14:textId="77777777" w:rsidTr="005973D1">
        <w:trPr>
          <w:cantSplit/>
        </w:trPr>
        <w:tc>
          <w:tcPr>
            <w:tcW w:w="1537" w:type="dxa"/>
          </w:tcPr>
          <w:p w14:paraId="202E756D" w14:textId="77777777" w:rsidR="00F119C0" w:rsidRPr="00B15DBE" w:rsidRDefault="00F119C0" w:rsidP="00A42FA1">
            <w:pPr>
              <w:pStyle w:val="Table"/>
            </w:pPr>
            <w:r w:rsidRPr="00B15DBE">
              <w:t>KDIGO</w:t>
            </w:r>
          </w:p>
        </w:tc>
        <w:tc>
          <w:tcPr>
            <w:tcW w:w="1152" w:type="dxa"/>
          </w:tcPr>
          <w:p w14:paraId="315B996F" w14:textId="1002905F" w:rsidR="00F119C0" w:rsidRPr="00B15DBE" w:rsidRDefault="00F119C0" w:rsidP="00A42FA1">
            <w:pPr>
              <w:pStyle w:val="Table"/>
            </w:pPr>
            <w:r w:rsidRPr="00B15DBE">
              <w:t>KDIGO Diabetes Work Group</w:t>
            </w:r>
            <w:r w:rsidR="00B607E6" w:rsidRPr="001B22DE">
              <w:rPr>
                <w:noProof/>
                <w:vertAlign w:val="superscript"/>
              </w:rPr>
              <w:t>4</w:t>
            </w:r>
          </w:p>
        </w:tc>
        <w:tc>
          <w:tcPr>
            <w:tcW w:w="680" w:type="dxa"/>
          </w:tcPr>
          <w:p w14:paraId="221A1211" w14:textId="77777777" w:rsidR="00F119C0" w:rsidRPr="00B15DBE" w:rsidRDefault="00F119C0" w:rsidP="00A42FA1">
            <w:pPr>
              <w:pStyle w:val="Table"/>
            </w:pPr>
            <w:r w:rsidRPr="00B15DBE">
              <w:t>2022</w:t>
            </w:r>
          </w:p>
        </w:tc>
        <w:tc>
          <w:tcPr>
            <w:tcW w:w="0" w:type="auto"/>
          </w:tcPr>
          <w:p w14:paraId="5D33C860" w14:textId="77777777" w:rsidR="00F119C0" w:rsidRPr="00B15DBE" w:rsidRDefault="00F119C0" w:rsidP="00A42FA1">
            <w:pPr>
              <w:pStyle w:val="Table"/>
            </w:pPr>
            <w:r w:rsidRPr="00B15DBE">
              <w:t>CKD and diabetes</w:t>
            </w:r>
          </w:p>
        </w:tc>
        <w:tc>
          <w:tcPr>
            <w:tcW w:w="0" w:type="auto"/>
          </w:tcPr>
          <w:p w14:paraId="269AFF8A" w14:textId="77777777" w:rsidR="00F119C0" w:rsidRPr="00B15DBE" w:rsidRDefault="00F119C0" w:rsidP="00A42FA1">
            <w:pPr>
              <w:pStyle w:val="Table"/>
            </w:pPr>
            <w:r w:rsidRPr="00B15DBE">
              <w:t>HK associated with the use of an ACEi or ARB can often be managed by measures to reduce serum potassium levels rather than decreasing the dose or stopping the ACEi or ARB immediately.</w:t>
            </w:r>
          </w:p>
          <w:p w14:paraId="234A23DB" w14:textId="77777777" w:rsidR="00F119C0" w:rsidRPr="00B15DBE" w:rsidRDefault="00F119C0" w:rsidP="00A42FA1">
            <w:pPr>
              <w:pStyle w:val="Table"/>
            </w:pPr>
            <w:r w:rsidRPr="00B15DBE">
              <w:t>Reduce or discontinue ACEi or ARB therapy in uncontrolled HK despite medical treatment.</w:t>
            </w:r>
          </w:p>
          <w:p w14:paraId="6E4E506A" w14:textId="77777777" w:rsidR="00F119C0" w:rsidRPr="00B15DBE" w:rsidRDefault="00F119C0" w:rsidP="00A42FA1">
            <w:pPr>
              <w:pStyle w:val="Table"/>
            </w:pPr>
            <w:r w:rsidRPr="00B15DBE">
              <w:rPr>
                <w:rStyle w:val="Strong"/>
                <w:b w:val="0"/>
                <w:bCs w:val="0"/>
                <w:iCs/>
              </w:rPr>
              <w:t>Avoid any combination of ACEi, ARB and direct renin inhibitor therapy in patients with CKD, with or without diabetes.</w:t>
            </w:r>
          </w:p>
        </w:tc>
      </w:tr>
      <w:tr w:rsidR="009E03B2" w:rsidRPr="00B15DBE" w14:paraId="4CA322FF" w14:textId="77777777" w:rsidTr="005973D1">
        <w:trPr>
          <w:cantSplit/>
        </w:trPr>
        <w:tc>
          <w:tcPr>
            <w:tcW w:w="1537" w:type="dxa"/>
          </w:tcPr>
          <w:p w14:paraId="561BD759" w14:textId="77777777" w:rsidR="00F119C0" w:rsidRPr="00B15DBE" w:rsidRDefault="00F119C0" w:rsidP="00A42FA1">
            <w:pPr>
              <w:pStyle w:val="Table"/>
            </w:pPr>
            <w:r w:rsidRPr="00B15DBE">
              <w:t>KDIGO</w:t>
            </w:r>
          </w:p>
        </w:tc>
        <w:tc>
          <w:tcPr>
            <w:tcW w:w="1152" w:type="dxa"/>
          </w:tcPr>
          <w:p w14:paraId="052166AC" w14:textId="4E3044D0" w:rsidR="00F119C0" w:rsidRPr="00B15DBE" w:rsidRDefault="00F119C0" w:rsidP="00A42FA1">
            <w:pPr>
              <w:pStyle w:val="Table"/>
            </w:pPr>
            <w:r w:rsidRPr="00B15DBE">
              <w:t>KDIGO Blood Pressure Work Group</w:t>
            </w:r>
            <w:r w:rsidR="00B607E6" w:rsidRPr="001B22DE">
              <w:rPr>
                <w:noProof/>
                <w:vertAlign w:val="superscript"/>
              </w:rPr>
              <w:t>5</w:t>
            </w:r>
          </w:p>
        </w:tc>
        <w:tc>
          <w:tcPr>
            <w:tcW w:w="680" w:type="dxa"/>
          </w:tcPr>
          <w:p w14:paraId="6D6C9931" w14:textId="77777777" w:rsidR="00F119C0" w:rsidRPr="00B15DBE" w:rsidRDefault="00F119C0" w:rsidP="00A42FA1">
            <w:pPr>
              <w:pStyle w:val="Table"/>
            </w:pPr>
            <w:r w:rsidRPr="00B15DBE">
              <w:t>2021</w:t>
            </w:r>
          </w:p>
        </w:tc>
        <w:tc>
          <w:tcPr>
            <w:tcW w:w="0" w:type="auto"/>
          </w:tcPr>
          <w:p w14:paraId="7A3DDC4A" w14:textId="77777777" w:rsidR="00F119C0" w:rsidRPr="00B15DBE" w:rsidRDefault="00F119C0" w:rsidP="00A42FA1">
            <w:pPr>
              <w:pStyle w:val="Table"/>
            </w:pPr>
            <w:r w:rsidRPr="00B15DBE">
              <w:t>Hypertension and CKD</w:t>
            </w:r>
          </w:p>
        </w:tc>
        <w:tc>
          <w:tcPr>
            <w:tcW w:w="0" w:type="auto"/>
          </w:tcPr>
          <w:p w14:paraId="32390DE0" w14:textId="77777777" w:rsidR="00F119C0" w:rsidRPr="00B15DBE" w:rsidRDefault="00F119C0" w:rsidP="00A42FA1">
            <w:pPr>
              <w:pStyle w:val="Table"/>
              <w:rPr>
                <w:rStyle w:val="Strong"/>
                <w:b w:val="0"/>
                <w:bCs w:val="0"/>
                <w:iCs/>
              </w:rPr>
            </w:pPr>
            <w:r w:rsidRPr="00B15DBE">
              <w:rPr>
                <w:rStyle w:val="Strong"/>
                <w:b w:val="0"/>
                <w:bCs w:val="0"/>
                <w:iCs/>
              </w:rPr>
              <w:t>HK associated with use of RAASi can often be managed by measures to reduce serum potassium levels rather than decreasing the dose or stopping RAASi.</w:t>
            </w:r>
          </w:p>
          <w:p w14:paraId="51D6221E" w14:textId="77777777" w:rsidR="00F119C0" w:rsidRPr="00B15DBE" w:rsidRDefault="00F119C0" w:rsidP="00A42FA1">
            <w:pPr>
              <w:pStyle w:val="Table"/>
              <w:rPr>
                <w:iCs/>
              </w:rPr>
            </w:pPr>
            <w:r w:rsidRPr="00B15DBE">
              <w:rPr>
                <w:iCs/>
              </w:rPr>
              <w:t>Consider reducing the dose or discontinuing ACEi or ARB in uncontrolled HK despite medical treatment.</w:t>
            </w:r>
          </w:p>
          <w:p w14:paraId="1EE7A747" w14:textId="77777777" w:rsidR="00F119C0" w:rsidRPr="00B15DBE" w:rsidRDefault="00F119C0" w:rsidP="00A42FA1">
            <w:pPr>
              <w:pStyle w:val="Table"/>
              <w:rPr>
                <w:iCs/>
              </w:rPr>
            </w:pPr>
            <w:r w:rsidRPr="00B15DBE">
              <w:rPr>
                <w:iCs/>
              </w:rPr>
              <w:t>MRAs should not be used in patients with high risk of HK (e.g. hypoaldosteronism or Type 4 renal tubular acidosis).</w:t>
            </w:r>
          </w:p>
          <w:p w14:paraId="3809021F" w14:textId="77777777" w:rsidR="00F119C0" w:rsidRPr="00B15DBE" w:rsidRDefault="00F119C0" w:rsidP="00A42FA1">
            <w:pPr>
              <w:pStyle w:val="Table"/>
            </w:pPr>
            <w:r w:rsidRPr="00B15DBE">
              <w:rPr>
                <w:rStyle w:val="Strong"/>
                <w:b w:val="0"/>
                <w:bCs w:val="0"/>
                <w:iCs/>
              </w:rPr>
              <w:t>Avoid any combination of ACEi, ARB and direct renin inhibitor therapy in patients with CKD, with or without diabetes.</w:t>
            </w:r>
          </w:p>
        </w:tc>
      </w:tr>
      <w:tr w:rsidR="009E03B2" w:rsidRPr="00B15DBE" w14:paraId="39E29E39" w14:textId="77777777" w:rsidTr="005973D1">
        <w:trPr>
          <w:cantSplit/>
        </w:trPr>
        <w:tc>
          <w:tcPr>
            <w:tcW w:w="1537" w:type="dxa"/>
          </w:tcPr>
          <w:p w14:paraId="29827245" w14:textId="77777777" w:rsidR="00F119C0" w:rsidRPr="00B15DBE" w:rsidRDefault="00F119C0" w:rsidP="00A42FA1">
            <w:pPr>
              <w:pStyle w:val="Table"/>
            </w:pPr>
            <w:r w:rsidRPr="00B15DBE">
              <w:t>KDIGO</w:t>
            </w:r>
          </w:p>
        </w:tc>
        <w:tc>
          <w:tcPr>
            <w:tcW w:w="1152" w:type="dxa"/>
          </w:tcPr>
          <w:p w14:paraId="0C668E8C" w14:textId="6D5C9B7C" w:rsidR="00F119C0" w:rsidRPr="00B15DBE" w:rsidRDefault="00F119C0" w:rsidP="00A42FA1">
            <w:pPr>
              <w:pStyle w:val="Table"/>
            </w:pPr>
            <w:r w:rsidRPr="00B15DBE">
              <w:t xml:space="preserve">Lindner </w:t>
            </w:r>
            <w:r w:rsidR="0080682E">
              <w:t>et al</w:t>
            </w:r>
            <w:r w:rsidRPr="00B15DBE">
              <w:t>.</w:t>
            </w:r>
            <w:r w:rsidR="00B607E6" w:rsidRPr="001B22DE">
              <w:rPr>
                <w:noProof/>
                <w:vertAlign w:val="superscript"/>
              </w:rPr>
              <w:t xml:space="preserve"> 6</w:t>
            </w:r>
          </w:p>
        </w:tc>
        <w:tc>
          <w:tcPr>
            <w:tcW w:w="680" w:type="dxa"/>
          </w:tcPr>
          <w:p w14:paraId="55773D4A" w14:textId="77777777" w:rsidR="00F119C0" w:rsidRPr="00B15DBE" w:rsidRDefault="00F119C0" w:rsidP="00A42FA1">
            <w:pPr>
              <w:pStyle w:val="Table"/>
            </w:pPr>
            <w:r w:rsidRPr="00B15DBE">
              <w:t>2020</w:t>
            </w:r>
          </w:p>
        </w:tc>
        <w:tc>
          <w:tcPr>
            <w:tcW w:w="0" w:type="auto"/>
          </w:tcPr>
          <w:p w14:paraId="5A773512" w14:textId="77777777" w:rsidR="00F119C0" w:rsidRPr="00B15DBE" w:rsidRDefault="00F119C0" w:rsidP="00A42FA1">
            <w:pPr>
              <w:pStyle w:val="Table"/>
            </w:pPr>
            <w:r w:rsidRPr="00B15DBE">
              <w:t>CKD</w:t>
            </w:r>
          </w:p>
        </w:tc>
        <w:tc>
          <w:tcPr>
            <w:tcW w:w="0" w:type="auto"/>
          </w:tcPr>
          <w:p w14:paraId="2A3BD0AD" w14:textId="77777777" w:rsidR="00F119C0" w:rsidRPr="00B15DBE" w:rsidRDefault="00F119C0" w:rsidP="00A42FA1">
            <w:pPr>
              <w:pStyle w:val="Table"/>
            </w:pPr>
            <w:r w:rsidRPr="00B15DBE">
              <w:t>Consider temporarily discontinuing RAASi therapy.</w:t>
            </w:r>
          </w:p>
          <w:p w14:paraId="53C14E38" w14:textId="77777777" w:rsidR="00F119C0" w:rsidRPr="00B15DBE" w:rsidRDefault="00F119C0" w:rsidP="00A42FA1">
            <w:pPr>
              <w:pStyle w:val="Table"/>
            </w:pPr>
            <w:r w:rsidRPr="00B15DBE">
              <w:t>Search for and treat any underlying condition leading to HK.</w:t>
            </w:r>
          </w:p>
        </w:tc>
      </w:tr>
      <w:tr w:rsidR="009E03B2" w:rsidRPr="00B15DBE" w14:paraId="48A14588" w14:textId="77777777" w:rsidTr="005973D1">
        <w:trPr>
          <w:cantSplit/>
        </w:trPr>
        <w:tc>
          <w:tcPr>
            <w:tcW w:w="1537" w:type="dxa"/>
          </w:tcPr>
          <w:p w14:paraId="45DCCF6B" w14:textId="77777777" w:rsidR="00F119C0" w:rsidRPr="00B15DBE" w:rsidRDefault="00F119C0" w:rsidP="00A42FA1">
            <w:pPr>
              <w:pStyle w:val="Table"/>
            </w:pPr>
            <w:r w:rsidRPr="00B15DBE">
              <w:t>KDIGO</w:t>
            </w:r>
          </w:p>
        </w:tc>
        <w:tc>
          <w:tcPr>
            <w:tcW w:w="1152" w:type="dxa"/>
          </w:tcPr>
          <w:p w14:paraId="430E0620" w14:textId="468CE8D8" w:rsidR="00F119C0" w:rsidRPr="00B15DBE" w:rsidRDefault="00F119C0" w:rsidP="00A42FA1">
            <w:pPr>
              <w:pStyle w:val="Table"/>
            </w:pPr>
            <w:r w:rsidRPr="00B15DBE">
              <w:t xml:space="preserve">Clase </w:t>
            </w:r>
            <w:r w:rsidR="0080682E">
              <w:t>et al</w:t>
            </w:r>
            <w:r w:rsidRPr="00B15DBE">
              <w:t>.</w:t>
            </w:r>
            <w:r w:rsidR="00B607E6" w:rsidRPr="001B22DE">
              <w:rPr>
                <w:noProof/>
                <w:vertAlign w:val="superscript"/>
              </w:rPr>
              <w:t xml:space="preserve"> 7</w:t>
            </w:r>
          </w:p>
        </w:tc>
        <w:tc>
          <w:tcPr>
            <w:tcW w:w="680" w:type="dxa"/>
          </w:tcPr>
          <w:p w14:paraId="0C0DD3B1" w14:textId="77777777" w:rsidR="00F119C0" w:rsidRPr="00B15DBE" w:rsidRDefault="00F119C0" w:rsidP="00A42FA1">
            <w:pPr>
              <w:pStyle w:val="Table"/>
            </w:pPr>
            <w:r w:rsidRPr="00B15DBE">
              <w:t>2020</w:t>
            </w:r>
          </w:p>
        </w:tc>
        <w:tc>
          <w:tcPr>
            <w:tcW w:w="0" w:type="auto"/>
          </w:tcPr>
          <w:p w14:paraId="097EED85" w14:textId="77777777" w:rsidR="00F119C0" w:rsidRPr="00B15DBE" w:rsidRDefault="00F119C0" w:rsidP="00A42FA1">
            <w:pPr>
              <w:pStyle w:val="Table"/>
            </w:pPr>
            <w:r w:rsidRPr="00B15DBE">
              <w:t>CKD</w:t>
            </w:r>
          </w:p>
        </w:tc>
        <w:tc>
          <w:tcPr>
            <w:tcW w:w="0" w:type="auto"/>
          </w:tcPr>
          <w:p w14:paraId="656AADFA" w14:textId="77777777" w:rsidR="00F119C0" w:rsidRPr="00B15DBE" w:rsidRDefault="00F119C0" w:rsidP="00A42FA1">
            <w:pPr>
              <w:pStyle w:val="Table"/>
            </w:pPr>
            <w:r w:rsidRPr="00B15DBE">
              <w:t>Discontinue medications that elevate potassium levels (e.g. RAASi).</w:t>
            </w:r>
          </w:p>
        </w:tc>
      </w:tr>
      <w:tr w:rsidR="009E03B2" w:rsidRPr="00B15DBE" w14:paraId="51F05D4D" w14:textId="77777777" w:rsidTr="005973D1">
        <w:trPr>
          <w:cantSplit/>
        </w:trPr>
        <w:tc>
          <w:tcPr>
            <w:tcW w:w="1537" w:type="dxa"/>
          </w:tcPr>
          <w:p w14:paraId="6DF559F4" w14:textId="77777777" w:rsidR="00F119C0" w:rsidRPr="00B15DBE" w:rsidRDefault="00F119C0" w:rsidP="00A42FA1">
            <w:pPr>
              <w:pStyle w:val="Table"/>
            </w:pPr>
            <w:r w:rsidRPr="00B15DBE">
              <w:lastRenderedPageBreak/>
              <w:t>ESH/ISH/</w:t>
            </w:r>
            <w:r w:rsidRPr="00B15DBE">
              <w:br/>
              <w:t>ERA</w:t>
            </w:r>
          </w:p>
        </w:tc>
        <w:tc>
          <w:tcPr>
            <w:tcW w:w="1152" w:type="dxa"/>
          </w:tcPr>
          <w:p w14:paraId="7888E6E4" w14:textId="3B5E1505" w:rsidR="00F119C0" w:rsidRPr="00B15DBE" w:rsidRDefault="00F119C0" w:rsidP="00A42FA1">
            <w:pPr>
              <w:pStyle w:val="Table"/>
            </w:pPr>
            <w:r w:rsidRPr="00B15DBE">
              <w:t xml:space="preserve">Mancia </w:t>
            </w:r>
            <w:r w:rsidR="0080682E">
              <w:t>et al</w:t>
            </w:r>
            <w:r w:rsidRPr="00B15DBE">
              <w:t>.</w:t>
            </w:r>
            <w:r w:rsidR="00B607E6" w:rsidRPr="001B22DE">
              <w:rPr>
                <w:noProof/>
                <w:vertAlign w:val="superscript"/>
              </w:rPr>
              <w:t xml:space="preserve"> 8</w:t>
            </w:r>
          </w:p>
        </w:tc>
        <w:tc>
          <w:tcPr>
            <w:tcW w:w="680" w:type="dxa"/>
          </w:tcPr>
          <w:p w14:paraId="370E9F68" w14:textId="77777777" w:rsidR="00F119C0" w:rsidRPr="00B15DBE" w:rsidRDefault="00F119C0" w:rsidP="00A42FA1">
            <w:pPr>
              <w:pStyle w:val="Table"/>
            </w:pPr>
            <w:r w:rsidRPr="00B15DBE">
              <w:t>2023</w:t>
            </w:r>
          </w:p>
        </w:tc>
        <w:tc>
          <w:tcPr>
            <w:tcW w:w="0" w:type="auto"/>
          </w:tcPr>
          <w:p w14:paraId="470625E2" w14:textId="77777777" w:rsidR="00F119C0" w:rsidRPr="00B15DBE" w:rsidRDefault="00F119C0" w:rsidP="00A42FA1">
            <w:pPr>
              <w:pStyle w:val="Table"/>
            </w:pPr>
            <w:r w:rsidRPr="00B15DBE">
              <w:t>Arterial hypertension</w:t>
            </w:r>
          </w:p>
        </w:tc>
        <w:tc>
          <w:tcPr>
            <w:tcW w:w="0" w:type="auto"/>
          </w:tcPr>
          <w:p w14:paraId="51E8256B" w14:textId="77777777" w:rsidR="00F119C0" w:rsidRPr="00B15DBE" w:rsidRDefault="00F119C0" w:rsidP="00A42FA1">
            <w:pPr>
              <w:pStyle w:val="Table"/>
            </w:pPr>
            <w:r w:rsidRPr="00B15DBE">
              <w:t>Avoid reducing the dose or discontinuing RAASi.</w:t>
            </w:r>
          </w:p>
        </w:tc>
      </w:tr>
      <w:tr w:rsidR="009E03B2" w:rsidRPr="00B15DBE" w14:paraId="0F89E003" w14:textId="77777777" w:rsidTr="005973D1">
        <w:trPr>
          <w:cantSplit/>
        </w:trPr>
        <w:tc>
          <w:tcPr>
            <w:tcW w:w="1537" w:type="dxa"/>
          </w:tcPr>
          <w:p w14:paraId="0D382E3D" w14:textId="77777777" w:rsidR="00F119C0" w:rsidRPr="00B15DBE" w:rsidRDefault="00F119C0" w:rsidP="00A42FA1">
            <w:pPr>
              <w:pStyle w:val="Table"/>
            </w:pPr>
            <w:r w:rsidRPr="00B15DBE">
              <w:t>AHA/ACC/HFSA</w:t>
            </w:r>
          </w:p>
        </w:tc>
        <w:tc>
          <w:tcPr>
            <w:tcW w:w="1152" w:type="dxa"/>
          </w:tcPr>
          <w:p w14:paraId="3F5296C7" w14:textId="5AF4878F" w:rsidR="00F119C0" w:rsidRPr="00B15DBE" w:rsidRDefault="00F119C0" w:rsidP="00A42FA1">
            <w:pPr>
              <w:pStyle w:val="Table"/>
            </w:pPr>
            <w:r w:rsidRPr="00B15DBE">
              <w:t xml:space="preserve">Heidenreich </w:t>
            </w:r>
            <w:r w:rsidR="0080682E">
              <w:t>et al</w:t>
            </w:r>
            <w:r w:rsidRPr="00B15DBE">
              <w:t>.</w:t>
            </w:r>
            <w:r w:rsidR="00B607E6" w:rsidRPr="001B22DE">
              <w:rPr>
                <w:noProof/>
                <w:vertAlign w:val="superscript"/>
              </w:rPr>
              <w:t xml:space="preserve"> 9</w:t>
            </w:r>
          </w:p>
        </w:tc>
        <w:tc>
          <w:tcPr>
            <w:tcW w:w="680" w:type="dxa"/>
          </w:tcPr>
          <w:p w14:paraId="5E6F281B" w14:textId="77777777" w:rsidR="00F119C0" w:rsidRPr="00B15DBE" w:rsidRDefault="00F119C0" w:rsidP="00A42FA1">
            <w:pPr>
              <w:pStyle w:val="Table"/>
            </w:pPr>
            <w:r w:rsidRPr="00B15DBE">
              <w:t>2022</w:t>
            </w:r>
          </w:p>
        </w:tc>
        <w:tc>
          <w:tcPr>
            <w:tcW w:w="0" w:type="auto"/>
          </w:tcPr>
          <w:p w14:paraId="69628F83" w14:textId="77777777" w:rsidR="00F119C0" w:rsidRPr="00B15DBE" w:rsidRDefault="00F119C0" w:rsidP="00A42FA1">
            <w:pPr>
              <w:pStyle w:val="Table"/>
            </w:pPr>
            <w:r w:rsidRPr="00B15DBE">
              <w:t>HF</w:t>
            </w:r>
          </w:p>
        </w:tc>
        <w:tc>
          <w:tcPr>
            <w:tcW w:w="0" w:type="auto"/>
          </w:tcPr>
          <w:p w14:paraId="05289086" w14:textId="77777777" w:rsidR="00F119C0" w:rsidRPr="00B15DBE" w:rsidRDefault="00F119C0" w:rsidP="00A42FA1">
            <w:pPr>
              <w:pStyle w:val="Table"/>
            </w:pPr>
            <w:r w:rsidRPr="00B15DBE">
              <w:t>Discontinue MRA if potassium cannot be maintained &lt;5.5 mEq/L.</w:t>
            </w:r>
          </w:p>
          <w:p w14:paraId="003D28CB" w14:textId="77777777" w:rsidR="00F119C0" w:rsidRPr="00B15DBE" w:rsidRDefault="00F119C0" w:rsidP="00A42FA1">
            <w:pPr>
              <w:pStyle w:val="Table"/>
            </w:pPr>
            <w:r w:rsidRPr="00B15DBE">
              <w:t>In patients experiencing mild decrease of renal function during HF hospitalisation, GDMT should not routinely be discontinued.</w:t>
            </w:r>
          </w:p>
          <w:p w14:paraId="4552AB7E" w14:textId="77777777" w:rsidR="00F119C0" w:rsidRPr="00B15DBE" w:rsidRDefault="00F119C0" w:rsidP="00A42FA1">
            <w:pPr>
              <w:pStyle w:val="Table"/>
            </w:pPr>
            <w:r w:rsidRPr="00B15DBE">
              <w:t>In patients with HFrEF, if discontinuation of GDMT is necessary during hospitalisation, it should be reinitiated and further optimised as soon as possible.</w:t>
            </w:r>
          </w:p>
        </w:tc>
      </w:tr>
      <w:tr w:rsidR="009E03B2" w:rsidRPr="00B15DBE" w14:paraId="1B47157F" w14:textId="77777777" w:rsidTr="005973D1">
        <w:trPr>
          <w:cantSplit/>
        </w:trPr>
        <w:tc>
          <w:tcPr>
            <w:tcW w:w="1537" w:type="dxa"/>
          </w:tcPr>
          <w:p w14:paraId="37638FC8" w14:textId="77777777" w:rsidR="00F119C0" w:rsidRPr="00B15DBE" w:rsidRDefault="00F119C0" w:rsidP="00A42FA1">
            <w:pPr>
              <w:pStyle w:val="Table"/>
            </w:pPr>
            <w:r w:rsidRPr="00B15DBE">
              <w:t>ESC</w:t>
            </w:r>
          </w:p>
        </w:tc>
        <w:tc>
          <w:tcPr>
            <w:tcW w:w="1152" w:type="dxa"/>
          </w:tcPr>
          <w:p w14:paraId="018FCA72" w14:textId="1B1BBFC4" w:rsidR="00F119C0" w:rsidRPr="00B15DBE" w:rsidRDefault="00F119C0" w:rsidP="00A42FA1">
            <w:pPr>
              <w:pStyle w:val="Table"/>
            </w:pPr>
            <w:r w:rsidRPr="00B15DBE">
              <w:t xml:space="preserve">McDonagh </w:t>
            </w:r>
            <w:r w:rsidR="0080682E">
              <w:t>et al</w:t>
            </w:r>
            <w:r w:rsidRPr="00B15DBE">
              <w:t>.</w:t>
            </w:r>
            <w:r w:rsidR="00B607E6" w:rsidRPr="001B22DE">
              <w:rPr>
                <w:noProof/>
                <w:vertAlign w:val="superscript"/>
              </w:rPr>
              <w:t xml:space="preserve"> 10</w:t>
            </w:r>
          </w:p>
        </w:tc>
        <w:tc>
          <w:tcPr>
            <w:tcW w:w="680" w:type="dxa"/>
          </w:tcPr>
          <w:p w14:paraId="04562247" w14:textId="77777777" w:rsidR="00F119C0" w:rsidRPr="00B15DBE" w:rsidRDefault="00F119C0" w:rsidP="00A42FA1">
            <w:pPr>
              <w:pStyle w:val="Table"/>
            </w:pPr>
            <w:r w:rsidRPr="00B15DBE">
              <w:t>2021</w:t>
            </w:r>
          </w:p>
        </w:tc>
        <w:tc>
          <w:tcPr>
            <w:tcW w:w="0" w:type="auto"/>
          </w:tcPr>
          <w:p w14:paraId="776DAD5F" w14:textId="77777777" w:rsidR="00F119C0" w:rsidRPr="00B15DBE" w:rsidRDefault="00F119C0" w:rsidP="00A42FA1">
            <w:pPr>
              <w:pStyle w:val="Table"/>
            </w:pPr>
            <w:r w:rsidRPr="00B15DBE">
              <w:t>HF</w:t>
            </w:r>
          </w:p>
        </w:tc>
        <w:tc>
          <w:tcPr>
            <w:tcW w:w="0" w:type="auto"/>
          </w:tcPr>
          <w:p w14:paraId="45A107F6" w14:textId="77777777" w:rsidR="00F119C0" w:rsidRPr="00B15DBE" w:rsidRDefault="00F119C0" w:rsidP="00A42FA1">
            <w:pPr>
              <w:pStyle w:val="Table"/>
            </w:pPr>
            <w:r w:rsidRPr="00B15DBE">
              <w:t>The addition of an ARB (or renin inhibitor) to the combination of an ACEi and an MRA is not recommended in patients with HF, because of the increased risk of renal dysfunction and HK.</w:t>
            </w:r>
          </w:p>
          <w:p w14:paraId="4DBB38EA" w14:textId="77777777" w:rsidR="00F119C0" w:rsidRPr="00B15DBE" w:rsidRDefault="00F119C0" w:rsidP="00A42FA1">
            <w:pPr>
              <w:pStyle w:val="Table"/>
            </w:pPr>
            <w:r w:rsidRPr="00B15DBE">
              <w:t>In those admitted with acute decompensated heart failure, oral OMT (class I recommended medical therapies for at least 3 months) should be continued, except if there is severely impaired renal function or HK, when a dose reduction or withdrawal should be considered. Optimise therapy before discharge.</w:t>
            </w:r>
          </w:p>
          <w:p w14:paraId="22834CF7" w14:textId="77777777" w:rsidR="00F119C0" w:rsidRPr="00B15DBE" w:rsidRDefault="00F119C0" w:rsidP="00A42FA1">
            <w:pPr>
              <w:pStyle w:val="Table"/>
            </w:pPr>
            <w:r w:rsidRPr="00B15DBE">
              <w:t>In patients with chronic or recurrent HK not on maximal tolerated guideline-recommended target dose of RAASi, an approved potassium-lowering agent may be initiated as soon as confirmed potassium levels are &gt;5.0 mEq/L. RAASi should be optimised when potassium levels are &lt;5.0 mEq/L.</w:t>
            </w:r>
          </w:p>
          <w:p w14:paraId="222C5F0C" w14:textId="77777777" w:rsidR="00F119C0" w:rsidRPr="00B15DBE" w:rsidRDefault="00F119C0" w:rsidP="00A42FA1">
            <w:pPr>
              <w:pStyle w:val="Table"/>
            </w:pPr>
            <w:r w:rsidRPr="00B15DBE">
              <w:t xml:space="preserve">Discontinue/reduce RAASi in patients with potassium levels of &gt;6.5 mEq/L on either maximal or submaximal tolerated, guideline-recommended target dose of RAASi. </w:t>
            </w:r>
          </w:p>
        </w:tc>
      </w:tr>
      <w:tr w:rsidR="009E03B2" w:rsidRPr="00B15DBE" w14:paraId="4C827D53" w14:textId="77777777" w:rsidTr="005973D1">
        <w:trPr>
          <w:cantSplit/>
        </w:trPr>
        <w:tc>
          <w:tcPr>
            <w:tcW w:w="1537" w:type="dxa"/>
          </w:tcPr>
          <w:p w14:paraId="11105D37" w14:textId="77777777" w:rsidR="00F119C0" w:rsidRPr="00B15DBE" w:rsidRDefault="00F119C0" w:rsidP="00A42FA1">
            <w:pPr>
              <w:pStyle w:val="Table"/>
            </w:pPr>
            <w:r w:rsidRPr="00B15DBE">
              <w:t>ESC</w:t>
            </w:r>
          </w:p>
        </w:tc>
        <w:tc>
          <w:tcPr>
            <w:tcW w:w="1152" w:type="dxa"/>
          </w:tcPr>
          <w:p w14:paraId="3BD4C3AC" w14:textId="6CA60EC6" w:rsidR="00F119C0" w:rsidRPr="00B15DBE" w:rsidRDefault="00F119C0" w:rsidP="00A42FA1">
            <w:pPr>
              <w:pStyle w:val="Table"/>
            </w:pPr>
            <w:r w:rsidRPr="00B15DBE">
              <w:t xml:space="preserve">Rosano </w:t>
            </w:r>
            <w:r w:rsidR="0080682E">
              <w:t>et al</w:t>
            </w:r>
            <w:r w:rsidRPr="00B15DBE">
              <w:t>.</w:t>
            </w:r>
            <w:r w:rsidR="00B607E6" w:rsidRPr="001B22DE">
              <w:rPr>
                <w:noProof/>
                <w:vertAlign w:val="superscript"/>
              </w:rPr>
              <w:t xml:space="preserve"> 11</w:t>
            </w:r>
          </w:p>
        </w:tc>
        <w:tc>
          <w:tcPr>
            <w:tcW w:w="680" w:type="dxa"/>
          </w:tcPr>
          <w:p w14:paraId="6C637C44" w14:textId="77777777" w:rsidR="00F119C0" w:rsidRPr="00B15DBE" w:rsidRDefault="00F119C0" w:rsidP="00A42FA1">
            <w:pPr>
              <w:pStyle w:val="Table"/>
            </w:pPr>
            <w:r w:rsidRPr="00B15DBE">
              <w:t>2018</w:t>
            </w:r>
          </w:p>
        </w:tc>
        <w:tc>
          <w:tcPr>
            <w:tcW w:w="0" w:type="auto"/>
          </w:tcPr>
          <w:p w14:paraId="3FA3344A" w14:textId="77777777" w:rsidR="00F119C0" w:rsidRPr="00B15DBE" w:rsidRDefault="00F119C0" w:rsidP="00A42FA1">
            <w:pPr>
              <w:pStyle w:val="Table"/>
            </w:pPr>
            <w:r w:rsidRPr="00B15DBE">
              <w:t>CVD treated with RAASi</w:t>
            </w:r>
          </w:p>
        </w:tc>
        <w:tc>
          <w:tcPr>
            <w:tcW w:w="0" w:type="auto"/>
          </w:tcPr>
          <w:p w14:paraId="7319D0D3" w14:textId="77777777" w:rsidR="00F119C0" w:rsidRPr="00B15DBE" w:rsidRDefault="00F119C0" w:rsidP="00A42FA1">
            <w:pPr>
              <w:pStyle w:val="Table"/>
            </w:pPr>
            <w:r w:rsidRPr="00B15DBE">
              <w:t>Titrate RAASi to maximum tolerated, guideline-recommended target dose.</w:t>
            </w:r>
          </w:p>
          <w:p w14:paraId="406D159B" w14:textId="77777777" w:rsidR="00F119C0" w:rsidRPr="00B15DBE" w:rsidRDefault="00F119C0" w:rsidP="00A42FA1">
            <w:pPr>
              <w:pStyle w:val="Table"/>
            </w:pPr>
            <w:r w:rsidRPr="00B15DBE">
              <w:t>Consider initiating an approved potassium-lowering agent as soon as potassium levels are &gt;5.0 mEq/L.</w:t>
            </w:r>
          </w:p>
          <w:p w14:paraId="33E2A4F7" w14:textId="77777777" w:rsidR="00F119C0" w:rsidRPr="00B15DBE" w:rsidRDefault="00F119C0" w:rsidP="00A42FA1">
            <w:pPr>
              <w:pStyle w:val="Table"/>
            </w:pPr>
            <w:r w:rsidRPr="00B15DBE">
              <w:t xml:space="preserve">Discontinue/reduce RAASi if potassium &gt;6.5 mEq/L. </w:t>
            </w:r>
          </w:p>
          <w:p w14:paraId="18DF606A" w14:textId="77777777" w:rsidR="00F119C0" w:rsidRPr="00B15DBE" w:rsidRDefault="00F119C0" w:rsidP="00A42FA1">
            <w:pPr>
              <w:pStyle w:val="Table"/>
            </w:pPr>
            <w:r w:rsidRPr="00B15DBE">
              <w:t>Carefully reintroduce RAASi as soon as possible while monitoring potassium levels.</w:t>
            </w:r>
          </w:p>
        </w:tc>
      </w:tr>
      <w:tr w:rsidR="005973D1" w:rsidRPr="00B15DBE" w14:paraId="47CF3523" w14:textId="77777777" w:rsidTr="005973D1">
        <w:trPr>
          <w:cantSplit/>
        </w:trPr>
        <w:tc>
          <w:tcPr>
            <w:tcW w:w="1537" w:type="dxa"/>
          </w:tcPr>
          <w:p w14:paraId="086A160C" w14:textId="3F06AB92" w:rsidR="005973D1" w:rsidRPr="00B15DBE" w:rsidRDefault="005973D1" w:rsidP="00A42FA1">
            <w:pPr>
              <w:pStyle w:val="Table"/>
            </w:pPr>
            <w:r>
              <w:t>JCS/JHFS</w:t>
            </w:r>
          </w:p>
        </w:tc>
        <w:tc>
          <w:tcPr>
            <w:tcW w:w="1152" w:type="dxa"/>
          </w:tcPr>
          <w:p w14:paraId="68DC7FA2" w14:textId="5F643DE9" w:rsidR="005973D1" w:rsidRPr="00B15DBE" w:rsidRDefault="005973D1" w:rsidP="00A42FA1">
            <w:pPr>
              <w:pStyle w:val="Table"/>
            </w:pPr>
            <w:r>
              <w:t xml:space="preserve">Kitai et al. </w:t>
            </w:r>
            <w:r w:rsidR="00B607E6" w:rsidRPr="005973D1">
              <w:rPr>
                <w:noProof/>
                <w:vertAlign w:val="superscript"/>
              </w:rPr>
              <w:t>12</w:t>
            </w:r>
          </w:p>
        </w:tc>
        <w:tc>
          <w:tcPr>
            <w:tcW w:w="680" w:type="dxa"/>
          </w:tcPr>
          <w:p w14:paraId="6E19494F" w14:textId="7CB0B1C5" w:rsidR="005973D1" w:rsidRPr="00B15DBE" w:rsidRDefault="005973D1" w:rsidP="00A42FA1">
            <w:pPr>
              <w:pStyle w:val="Table"/>
            </w:pPr>
            <w:r>
              <w:t>2025</w:t>
            </w:r>
          </w:p>
        </w:tc>
        <w:tc>
          <w:tcPr>
            <w:tcW w:w="0" w:type="auto"/>
          </w:tcPr>
          <w:p w14:paraId="5B1E4546" w14:textId="4A71C650" w:rsidR="005973D1" w:rsidRPr="00B15DBE" w:rsidRDefault="005973D1" w:rsidP="00A42FA1">
            <w:pPr>
              <w:pStyle w:val="Table"/>
            </w:pPr>
            <w:r>
              <w:t>HF</w:t>
            </w:r>
          </w:p>
        </w:tc>
        <w:tc>
          <w:tcPr>
            <w:tcW w:w="0" w:type="auto"/>
          </w:tcPr>
          <w:p w14:paraId="3ECFFABE" w14:textId="77777777" w:rsidR="00B95027" w:rsidRDefault="00B95027" w:rsidP="00B95027">
            <w:pPr>
              <w:pStyle w:val="Table"/>
            </w:pPr>
            <w:r>
              <w:t xml:space="preserve">If serum potassium is 5.0–5.4 </w:t>
            </w:r>
            <w:r w:rsidRPr="00B15DBE">
              <w:t>mEq/L</w:t>
            </w:r>
            <w:r>
              <w:t>,</w:t>
            </w:r>
            <w:r w:rsidRPr="00B15DBE">
              <w:t xml:space="preserve"> </w:t>
            </w:r>
            <w:r>
              <w:t>consider potassium binders, especially when uptitrating RAASi</w:t>
            </w:r>
          </w:p>
          <w:p w14:paraId="4BD31D25" w14:textId="77777777" w:rsidR="00B95027" w:rsidRDefault="00B95027" w:rsidP="00B95027">
            <w:pPr>
              <w:pStyle w:val="Table"/>
            </w:pPr>
            <w:r>
              <w:t xml:space="preserve">If serum potassium is 5.5–6.5 </w:t>
            </w:r>
            <w:r w:rsidRPr="00B15DBE">
              <w:t>mEq/L</w:t>
            </w:r>
            <w:r>
              <w:t>,</w:t>
            </w:r>
            <w:r w:rsidRPr="00B15DBE">
              <w:t xml:space="preserve"> </w:t>
            </w:r>
            <w:r>
              <w:t>consider potassium binders, and reducing or discontinuing RAASi</w:t>
            </w:r>
          </w:p>
          <w:p w14:paraId="7D11F146" w14:textId="77777777" w:rsidR="00B95027" w:rsidRDefault="00B95027" w:rsidP="00B95027">
            <w:pPr>
              <w:pStyle w:val="Table"/>
            </w:pPr>
            <w:r>
              <w:t xml:space="preserve">If serum potassium is &gt;6.5 </w:t>
            </w:r>
            <w:r w:rsidRPr="00B15DBE">
              <w:t>mEq/L</w:t>
            </w:r>
            <w:r>
              <w:t>,</w:t>
            </w:r>
            <w:r w:rsidRPr="00B15DBE">
              <w:t xml:space="preserve"> </w:t>
            </w:r>
            <w:r>
              <w:t>initiate appropriate urgent treatment and consider reducing or discontinuing RAASi</w:t>
            </w:r>
          </w:p>
          <w:p w14:paraId="335465B9" w14:textId="05854A06" w:rsidR="005973D1" w:rsidRPr="00B15DBE" w:rsidRDefault="00B95027" w:rsidP="00B95027">
            <w:pPr>
              <w:pStyle w:val="Table"/>
            </w:pPr>
            <w:r>
              <w:t>Considered maintaining or initiating potassium binders to prevent recurrent HK, and administer, reintroduce, or uptitrate RAASi</w:t>
            </w:r>
          </w:p>
        </w:tc>
      </w:tr>
    </w:tbl>
    <w:p w14:paraId="450EC98B" w14:textId="77777777" w:rsidR="00F119C0" w:rsidRPr="00B15DBE" w:rsidRDefault="00F119C0" w:rsidP="00F119C0">
      <w:pPr>
        <w:pStyle w:val="Table"/>
      </w:pPr>
      <w:bookmarkStart w:id="12" w:name="_Hlk164654177"/>
      <w:r w:rsidRPr="00B15DBE">
        <w:t>ACC, American College of Cardiology; ACEi, angiotensin-converting enzyme inhibitor; AHA, American Heart Association; AKI, acute kidney injury; ARB, angiotensin receptor blocker; CKD, chronic kidney disease; CVD, cardiovascular disease; eGFR, estimated glomerular filtration rate; ERA, European Renal Association; ESC, European Society of Cardiology; ESH, European Society of Hypertension; FADOI, Federation of Associations of Hospital Doctors on Internal Medicine; GDMT, guideline-directed medical therapy; HF, heart failure; HFrEF, heart failure with reduced ejection fraction; HFSA, Heart Failure Society of America; HK, hyperkalaemia; ISH, International Society of Hypertension; KDIGO, Kidney Disease: Improving Global Outcomes; MRA, mineralocorticoid receptor antagonist; OMT, optimal medical therapy; RAASi, renin–angiotensin–aldosterone system inhibitor; SIMI, Italian Society of Internal Medicine; SIN, Italian Society of Nephrology; SZC, sodium zirconium cyclosilicate.</w:t>
      </w:r>
    </w:p>
    <w:bookmarkEnd w:id="12"/>
    <w:p w14:paraId="6356C504" w14:textId="77777777" w:rsidR="00F119C0" w:rsidRDefault="00F119C0" w:rsidP="00F119C0">
      <w:pPr>
        <w:spacing w:before="0" w:after="160" w:line="259" w:lineRule="auto"/>
        <w:ind w:firstLine="0"/>
      </w:pPr>
      <w:r w:rsidRPr="00B15DBE">
        <w:br w:type="page"/>
      </w:r>
    </w:p>
    <w:p w14:paraId="608CC561" w14:textId="291FC059" w:rsidR="004D707E" w:rsidRPr="00B15DBE" w:rsidRDefault="004D707E" w:rsidP="004D707E">
      <w:pPr>
        <w:pStyle w:val="Heading2"/>
      </w:pPr>
      <w:bookmarkStart w:id="13" w:name="_Ref160052353"/>
      <w:r>
        <w:lastRenderedPageBreak/>
        <w:t xml:space="preserve">Supplementary </w:t>
      </w:r>
      <w:r w:rsidRPr="00B15DBE">
        <w:t xml:space="preserve">Table </w:t>
      </w:r>
      <w:bookmarkEnd w:id="13"/>
      <w:r>
        <w:t>S6</w:t>
      </w:r>
      <w:r w:rsidRPr="00B15DBE">
        <w:t>: Potassium-monitoring recommendations</w:t>
      </w:r>
    </w:p>
    <w:tbl>
      <w:tblPr>
        <w:tblStyle w:val="TableGrid"/>
        <w:tblW w:w="0" w:type="auto"/>
        <w:tblLook w:val="04A0" w:firstRow="1" w:lastRow="0" w:firstColumn="1" w:lastColumn="0" w:noHBand="0" w:noVBand="1"/>
      </w:tblPr>
      <w:tblGrid>
        <w:gridCol w:w="1627"/>
        <w:gridCol w:w="1502"/>
        <w:gridCol w:w="596"/>
        <w:gridCol w:w="1280"/>
        <w:gridCol w:w="5451"/>
      </w:tblGrid>
      <w:tr w:rsidR="004D707E" w:rsidRPr="00B15DBE" w14:paraId="2124408A" w14:textId="77777777" w:rsidTr="004D707E">
        <w:trPr>
          <w:cantSplit/>
          <w:tblHeader/>
        </w:trPr>
        <w:tc>
          <w:tcPr>
            <w:tcW w:w="0" w:type="auto"/>
          </w:tcPr>
          <w:p w14:paraId="137D06E3" w14:textId="77777777" w:rsidR="004D707E" w:rsidRPr="00B15DBE" w:rsidRDefault="004D707E" w:rsidP="00A42FA1">
            <w:pPr>
              <w:pStyle w:val="Table"/>
              <w:rPr>
                <w:b/>
                <w:bCs/>
              </w:rPr>
            </w:pPr>
            <w:bookmarkStart w:id="14" w:name="_Hlk164404403"/>
            <w:r w:rsidRPr="00B15DBE">
              <w:rPr>
                <w:b/>
                <w:bCs/>
              </w:rPr>
              <w:t>Association</w:t>
            </w:r>
          </w:p>
        </w:tc>
        <w:tc>
          <w:tcPr>
            <w:tcW w:w="0" w:type="auto"/>
          </w:tcPr>
          <w:p w14:paraId="3E7DF47A" w14:textId="77777777" w:rsidR="004D707E" w:rsidRPr="00B15DBE" w:rsidRDefault="004D707E" w:rsidP="00A42FA1">
            <w:pPr>
              <w:pStyle w:val="Table"/>
              <w:rPr>
                <w:b/>
                <w:bCs/>
              </w:rPr>
            </w:pPr>
            <w:r w:rsidRPr="00B15DBE">
              <w:rPr>
                <w:b/>
                <w:bCs/>
              </w:rPr>
              <w:t>Reference</w:t>
            </w:r>
          </w:p>
        </w:tc>
        <w:tc>
          <w:tcPr>
            <w:tcW w:w="0" w:type="auto"/>
          </w:tcPr>
          <w:p w14:paraId="0118C723" w14:textId="77777777" w:rsidR="004D707E" w:rsidRPr="00B15DBE" w:rsidRDefault="004D707E" w:rsidP="00A42FA1">
            <w:pPr>
              <w:pStyle w:val="Table"/>
              <w:rPr>
                <w:b/>
                <w:bCs/>
              </w:rPr>
            </w:pPr>
            <w:r w:rsidRPr="00B15DBE">
              <w:rPr>
                <w:b/>
                <w:bCs/>
              </w:rPr>
              <w:t>Year</w:t>
            </w:r>
          </w:p>
        </w:tc>
        <w:tc>
          <w:tcPr>
            <w:tcW w:w="0" w:type="auto"/>
          </w:tcPr>
          <w:p w14:paraId="2E9C42E3" w14:textId="77777777" w:rsidR="004D707E" w:rsidRPr="00B15DBE" w:rsidRDefault="004D707E" w:rsidP="00A42FA1">
            <w:pPr>
              <w:pStyle w:val="Table"/>
              <w:rPr>
                <w:b/>
                <w:bCs/>
              </w:rPr>
            </w:pPr>
            <w:r w:rsidRPr="00B15DBE">
              <w:rPr>
                <w:b/>
                <w:bCs/>
              </w:rPr>
              <w:t>Population</w:t>
            </w:r>
          </w:p>
        </w:tc>
        <w:tc>
          <w:tcPr>
            <w:tcW w:w="0" w:type="auto"/>
          </w:tcPr>
          <w:p w14:paraId="3BBEC8A5" w14:textId="77777777" w:rsidR="004D707E" w:rsidRPr="00B15DBE" w:rsidRDefault="004D707E" w:rsidP="00A42FA1">
            <w:pPr>
              <w:pStyle w:val="Table"/>
              <w:rPr>
                <w:b/>
                <w:bCs/>
              </w:rPr>
            </w:pPr>
            <w:r w:rsidRPr="00B15DBE">
              <w:rPr>
                <w:b/>
                <w:bCs/>
              </w:rPr>
              <w:t xml:space="preserve">Potassium monitoring </w:t>
            </w:r>
          </w:p>
        </w:tc>
      </w:tr>
      <w:tr w:rsidR="004D707E" w:rsidRPr="00B15DBE" w14:paraId="503CFDD2" w14:textId="77777777" w:rsidTr="004D707E">
        <w:trPr>
          <w:cantSplit/>
        </w:trPr>
        <w:tc>
          <w:tcPr>
            <w:tcW w:w="0" w:type="auto"/>
          </w:tcPr>
          <w:p w14:paraId="06CCC128" w14:textId="77777777" w:rsidR="004D707E" w:rsidRPr="00B15DBE" w:rsidRDefault="004D707E" w:rsidP="00A42FA1">
            <w:pPr>
              <w:pStyle w:val="Table"/>
            </w:pPr>
            <w:r w:rsidRPr="00B15DBE">
              <w:t>SIN/SIMI/FADOI</w:t>
            </w:r>
          </w:p>
        </w:tc>
        <w:tc>
          <w:tcPr>
            <w:tcW w:w="0" w:type="auto"/>
          </w:tcPr>
          <w:p w14:paraId="781AD8E5" w14:textId="50BECCF2" w:rsidR="004D707E" w:rsidRPr="00B15DBE" w:rsidRDefault="004D707E" w:rsidP="00A42FA1">
            <w:pPr>
              <w:pStyle w:val="Table"/>
            </w:pPr>
            <w:r w:rsidRPr="00B15DBE">
              <w:t>De Nicola et al.</w:t>
            </w:r>
            <w:r w:rsidR="00B607E6" w:rsidRPr="001B22DE">
              <w:rPr>
                <w:noProof/>
                <w:vertAlign w:val="superscript"/>
              </w:rPr>
              <w:t xml:space="preserve"> 1</w:t>
            </w:r>
          </w:p>
        </w:tc>
        <w:tc>
          <w:tcPr>
            <w:tcW w:w="0" w:type="auto"/>
          </w:tcPr>
          <w:p w14:paraId="38FFC054" w14:textId="77777777" w:rsidR="004D707E" w:rsidRPr="00B15DBE" w:rsidRDefault="004D707E" w:rsidP="00A42FA1">
            <w:pPr>
              <w:pStyle w:val="Table"/>
            </w:pPr>
            <w:r w:rsidRPr="00B15DBE">
              <w:t>2024</w:t>
            </w:r>
          </w:p>
        </w:tc>
        <w:tc>
          <w:tcPr>
            <w:tcW w:w="0" w:type="auto"/>
          </w:tcPr>
          <w:p w14:paraId="46822929" w14:textId="77777777" w:rsidR="004D707E" w:rsidRPr="00B15DBE" w:rsidRDefault="004D707E" w:rsidP="00A42FA1">
            <w:pPr>
              <w:pStyle w:val="Table"/>
            </w:pPr>
            <w:r w:rsidRPr="00B15DBE">
              <w:t>On RAASi</w:t>
            </w:r>
          </w:p>
        </w:tc>
        <w:tc>
          <w:tcPr>
            <w:tcW w:w="0" w:type="auto"/>
          </w:tcPr>
          <w:p w14:paraId="0A71F126" w14:textId="77777777" w:rsidR="004D707E" w:rsidRPr="00B15DBE" w:rsidRDefault="004D707E" w:rsidP="00A42FA1">
            <w:pPr>
              <w:pStyle w:val="Table"/>
            </w:pPr>
            <w:r w:rsidRPr="00B15DBE">
              <w:t>Monitor serum potassium levels prior to initiating RAASi, and then regularly throughout treatment.</w:t>
            </w:r>
          </w:p>
        </w:tc>
      </w:tr>
      <w:tr w:rsidR="004D707E" w:rsidRPr="00B15DBE" w14:paraId="2F16BA9C" w14:textId="77777777" w:rsidTr="004D707E">
        <w:trPr>
          <w:cantSplit/>
        </w:trPr>
        <w:tc>
          <w:tcPr>
            <w:tcW w:w="0" w:type="auto"/>
          </w:tcPr>
          <w:p w14:paraId="4EE231E9" w14:textId="77777777" w:rsidR="004D707E" w:rsidRPr="00B15DBE" w:rsidRDefault="004D707E" w:rsidP="00A42FA1">
            <w:pPr>
              <w:pStyle w:val="Table"/>
            </w:pPr>
            <w:r w:rsidRPr="00B15DBE">
              <w:t>UK Kidney Association</w:t>
            </w:r>
          </w:p>
        </w:tc>
        <w:tc>
          <w:tcPr>
            <w:tcW w:w="0" w:type="auto"/>
          </w:tcPr>
          <w:p w14:paraId="56A1A291" w14:textId="7DA22D73" w:rsidR="004D707E" w:rsidRPr="00B15DBE" w:rsidRDefault="004D707E" w:rsidP="00A42FA1">
            <w:pPr>
              <w:pStyle w:val="Table"/>
            </w:pPr>
            <w:r w:rsidRPr="00B15DBE">
              <w:t>Alfonzo et al.</w:t>
            </w:r>
            <w:r w:rsidR="00B607E6" w:rsidRPr="001B22DE">
              <w:rPr>
                <w:noProof/>
                <w:vertAlign w:val="superscript"/>
              </w:rPr>
              <w:t xml:space="preserve"> 2</w:t>
            </w:r>
          </w:p>
        </w:tc>
        <w:tc>
          <w:tcPr>
            <w:tcW w:w="0" w:type="auto"/>
          </w:tcPr>
          <w:p w14:paraId="11E6763C" w14:textId="77777777" w:rsidR="004D707E" w:rsidRPr="00B15DBE" w:rsidRDefault="004D707E" w:rsidP="00A42FA1">
            <w:pPr>
              <w:pStyle w:val="Table"/>
            </w:pPr>
            <w:r w:rsidRPr="00B15DBE">
              <w:t>2023</w:t>
            </w:r>
          </w:p>
        </w:tc>
        <w:tc>
          <w:tcPr>
            <w:tcW w:w="0" w:type="auto"/>
          </w:tcPr>
          <w:p w14:paraId="5152A24E" w14:textId="77777777" w:rsidR="004D707E" w:rsidRPr="00B15DBE" w:rsidRDefault="004D707E" w:rsidP="00A42FA1">
            <w:pPr>
              <w:pStyle w:val="Table"/>
            </w:pPr>
            <w:r w:rsidRPr="00B15DBE">
              <w:t>Any</w:t>
            </w:r>
          </w:p>
        </w:tc>
        <w:tc>
          <w:tcPr>
            <w:tcW w:w="0" w:type="auto"/>
          </w:tcPr>
          <w:p w14:paraId="6A296140" w14:textId="77777777" w:rsidR="004D707E" w:rsidRPr="00B15DBE" w:rsidRDefault="004D707E" w:rsidP="00A42FA1">
            <w:pPr>
              <w:pStyle w:val="Table"/>
            </w:pPr>
            <w:r w:rsidRPr="00B15DBE">
              <w:t>Patients known to have CKD, HF and/or diabetes, who are at risk of HK, should undergo regular blood monitoring at a frequency (2–4 times per year) dependent on level of renal function and degree of proteinuria.</w:t>
            </w:r>
          </w:p>
          <w:p w14:paraId="5084C910" w14:textId="77777777" w:rsidR="004D707E" w:rsidRPr="00B15DBE" w:rsidRDefault="004D707E" w:rsidP="00A42FA1">
            <w:pPr>
              <w:pStyle w:val="Table"/>
            </w:pPr>
            <w:r w:rsidRPr="00B15DBE">
              <w:t xml:space="preserve">Repeat serum potassium within 3 days, or as soon as feasible, if an episode of mild HK (potassium 5.5–5.9 mEq/L) is detected unexpectedly in the community. </w:t>
            </w:r>
          </w:p>
          <w:p w14:paraId="11224B79" w14:textId="77777777" w:rsidR="004D707E" w:rsidRPr="00B15DBE" w:rsidRDefault="004D707E" w:rsidP="00A42FA1">
            <w:pPr>
              <w:pStyle w:val="Table"/>
            </w:pPr>
            <w:r w:rsidRPr="00B15DBE">
              <w:t>Repeat serum potassium measurement within 1 day of an episode of moderate HK (potassium 6.0–6.4 mEq/L) when detected in the community.</w:t>
            </w:r>
          </w:p>
          <w:p w14:paraId="6BB62092" w14:textId="77777777" w:rsidR="004D707E" w:rsidRPr="00B15DBE" w:rsidRDefault="004D707E" w:rsidP="00A42FA1">
            <w:pPr>
              <w:pStyle w:val="Table"/>
            </w:pPr>
            <w:r w:rsidRPr="00B15DBE">
              <w:t>Arrange community blood monitoring on discharge for all patients who have required treatment for HK during hospital admission.</w:t>
            </w:r>
          </w:p>
          <w:p w14:paraId="450C630C" w14:textId="77777777" w:rsidR="004D707E" w:rsidRPr="00B15DBE" w:rsidRDefault="004D707E" w:rsidP="00A42FA1">
            <w:pPr>
              <w:pStyle w:val="Table"/>
            </w:pPr>
            <w:r w:rsidRPr="00B15DBE">
              <w:t>Assess urea and electrolytes at prior to and 1–2 weeks after initiation of ACEi or ARB and after every dose titration.</w:t>
            </w:r>
          </w:p>
          <w:p w14:paraId="07408D51" w14:textId="77777777" w:rsidR="004D707E" w:rsidRPr="00B15DBE" w:rsidRDefault="004D707E" w:rsidP="00A42FA1">
            <w:pPr>
              <w:pStyle w:val="Table"/>
            </w:pPr>
            <w:r w:rsidRPr="00B15DBE">
              <w:t>Assess urea and electrolytes at 1 week after initiation of MRA or after dose up-titration, then monthly for the first 3 months, 3-monthly for the first year and 4-monthly thereafter.</w:t>
            </w:r>
          </w:p>
          <w:p w14:paraId="527A1A9E" w14:textId="77777777" w:rsidR="004D707E" w:rsidRPr="00B15DBE" w:rsidRDefault="004D707E" w:rsidP="00A42FA1">
            <w:pPr>
              <w:pStyle w:val="Table"/>
            </w:pPr>
            <w:r w:rsidRPr="00B15DBE">
              <w:t>Increase frequency of monitoring in patients treated with RAASi with a serum potassium between 5.5–5.9 mEq/L.</w:t>
            </w:r>
          </w:p>
          <w:p w14:paraId="315BF019" w14:textId="77777777" w:rsidR="004D707E" w:rsidRPr="00B15DBE" w:rsidRDefault="004D707E" w:rsidP="00A42FA1">
            <w:pPr>
              <w:pStyle w:val="Table"/>
            </w:pPr>
            <w:r w:rsidRPr="00B15DBE">
              <w:t>Consider weekly monitoring for the first month after every dose titration, and then monthly thereafter for patients treated with a potassium binder.</w:t>
            </w:r>
          </w:p>
        </w:tc>
      </w:tr>
      <w:tr w:rsidR="004D707E" w:rsidRPr="00B15DBE" w14:paraId="666D09DD" w14:textId="77777777" w:rsidTr="004D707E">
        <w:trPr>
          <w:cantSplit/>
        </w:trPr>
        <w:tc>
          <w:tcPr>
            <w:tcW w:w="0" w:type="auto"/>
          </w:tcPr>
          <w:p w14:paraId="1601D01C" w14:textId="77777777" w:rsidR="004D707E" w:rsidRPr="00B15DBE" w:rsidRDefault="004D707E" w:rsidP="00A42FA1">
            <w:pPr>
              <w:pStyle w:val="Table"/>
            </w:pPr>
            <w:r w:rsidRPr="00B15DBE">
              <w:t>ACEP</w:t>
            </w:r>
          </w:p>
        </w:tc>
        <w:tc>
          <w:tcPr>
            <w:tcW w:w="0" w:type="auto"/>
          </w:tcPr>
          <w:p w14:paraId="5E99890D" w14:textId="073555BE" w:rsidR="004D707E" w:rsidRPr="00B15DBE" w:rsidRDefault="004D707E" w:rsidP="00A42FA1">
            <w:pPr>
              <w:pStyle w:val="Table"/>
            </w:pPr>
            <w:r w:rsidRPr="00B15DBE">
              <w:t>Rafique et al.</w:t>
            </w:r>
            <w:r w:rsidR="00B607E6" w:rsidRPr="00083E5E">
              <w:rPr>
                <w:noProof/>
                <w:vertAlign w:val="superscript"/>
              </w:rPr>
              <w:t xml:space="preserve"> 27</w:t>
            </w:r>
          </w:p>
        </w:tc>
        <w:tc>
          <w:tcPr>
            <w:tcW w:w="0" w:type="auto"/>
          </w:tcPr>
          <w:p w14:paraId="432BB17B" w14:textId="77777777" w:rsidR="004D707E" w:rsidRPr="00B15DBE" w:rsidRDefault="004D707E" w:rsidP="00A42FA1">
            <w:pPr>
              <w:pStyle w:val="Table"/>
            </w:pPr>
            <w:r w:rsidRPr="00B15DBE">
              <w:t>2021</w:t>
            </w:r>
          </w:p>
        </w:tc>
        <w:tc>
          <w:tcPr>
            <w:tcW w:w="0" w:type="auto"/>
          </w:tcPr>
          <w:p w14:paraId="7E449BE3" w14:textId="77777777" w:rsidR="004D707E" w:rsidRPr="00B15DBE" w:rsidRDefault="004D707E" w:rsidP="00A42FA1">
            <w:pPr>
              <w:pStyle w:val="Table"/>
            </w:pPr>
            <w:r w:rsidRPr="00B15DBE">
              <w:t>Any</w:t>
            </w:r>
          </w:p>
        </w:tc>
        <w:tc>
          <w:tcPr>
            <w:tcW w:w="0" w:type="auto"/>
          </w:tcPr>
          <w:p w14:paraId="291D5C5C" w14:textId="77777777" w:rsidR="004D707E" w:rsidRPr="00B15DBE" w:rsidRDefault="004D707E" w:rsidP="00A42FA1">
            <w:pPr>
              <w:pStyle w:val="Table"/>
            </w:pPr>
            <w:r w:rsidRPr="00B15DBE">
              <w:t>Close follow‐up after an episode of HK, ideally within 24–48 hours.</w:t>
            </w:r>
          </w:p>
        </w:tc>
      </w:tr>
      <w:tr w:rsidR="004D707E" w:rsidRPr="00B15DBE" w14:paraId="21EB9F5F" w14:textId="77777777" w:rsidTr="004D707E">
        <w:trPr>
          <w:cantSplit/>
        </w:trPr>
        <w:tc>
          <w:tcPr>
            <w:tcW w:w="0" w:type="auto"/>
          </w:tcPr>
          <w:p w14:paraId="00205854" w14:textId="77777777" w:rsidR="004D707E" w:rsidRPr="00B15DBE" w:rsidRDefault="004D707E" w:rsidP="00A42FA1">
            <w:pPr>
              <w:pStyle w:val="Table"/>
            </w:pPr>
            <w:r w:rsidRPr="00B15DBE">
              <w:t>KDIGO</w:t>
            </w:r>
          </w:p>
        </w:tc>
        <w:tc>
          <w:tcPr>
            <w:tcW w:w="0" w:type="auto"/>
          </w:tcPr>
          <w:p w14:paraId="73E93759" w14:textId="7CF8CB4D" w:rsidR="004D707E" w:rsidRPr="00B15DBE" w:rsidRDefault="004D707E" w:rsidP="00A42FA1">
            <w:pPr>
              <w:pStyle w:val="Table"/>
            </w:pPr>
            <w:r w:rsidRPr="00B15DBE">
              <w:t>KDIGO CKD Work Group</w:t>
            </w:r>
            <w:r w:rsidR="00B607E6" w:rsidRPr="001B22DE">
              <w:rPr>
                <w:noProof/>
                <w:vertAlign w:val="superscript"/>
              </w:rPr>
              <w:t>3</w:t>
            </w:r>
          </w:p>
        </w:tc>
        <w:tc>
          <w:tcPr>
            <w:tcW w:w="0" w:type="auto"/>
          </w:tcPr>
          <w:p w14:paraId="54FD514F" w14:textId="77777777" w:rsidR="004D707E" w:rsidRPr="00B15DBE" w:rsidRDefault="004D707E" w:rsidP="00A42FA1">
            <w:pPr>
              <w:pStyle w:val="Table"/>
            </w:pPr>
            <w:r w:rsidRPr="00B15DBE">
              <w:t>2024</w:t>
            </w:r>
          </w:p>
        </w:tc>
        <w:tc>
          <w:tcPr>
            <w:tcW w:w="0" w:type="auto"/>
          </w:tcPr>
          <w:p w14:paraId="15253538" w14:textId="77777777" w:rsidR="004D707E" w:rsidRPr="00B15DBE" w:rsidRDefault="004D707E" w:rsidP="00A42FA1">
            <w:pPr>
              <w:pStyle w:val="Table"/>
            </w:pPr>
            <w:r w:rsidRPr="00B15DBE">
              <w:t>CKD</w:t>
            </w:r>
          </w:p>
        </w:tc>
        <w:tc>
          <w:tcPr>
            <w:tcW w:w="0" w:type="auto"/>
          </w:tcPr>
          <w:p w14:paraId="4F775FF0" w14:textId="77777777" w:rsidR="004D707E" w:rsidRPr="00B15DBE" w:rsidRDefault="004D707E" w:rsidP="00A42FA1">
            <w:pPr>
              <w:pStyle w:val="Table"/>
            </w:pPr>
            <w:r w:rsidRPr="00B15DBE">
              <w:t>Monitor serum potassium within 2–4 weeks of starting or changing dose of a RAASi, and every 4 months after starting patients on non-steroidal MRA.</w:t>
            </w:r>
          </w:p>
          <w:p w14:paraId="31A855AD" w14:textId="77777777" w:rsidR="004D707E" w:rsidRPr="00B15DBE" w:rsidRDefault="004D707E" w:rsidP="00A42FA1">
            <w:pPr>
              <w:pStyle w:val="Table"/>
            </w:pPr>
            <w:r w:rsidRPr="00B15DBE">
              <w:t>Repeat serum potassium levels within 24 hours in unexpected moderate HK (potassium levels 6.0–6.4 mEq/L) in adults who are clinically well or without acute kidney injury.</w:t>
            </w:r>
          </w:p>
        </w:tc>
      </w:tr>
      <w:tr w:rsidR="004D707E" w:rsidRPr="00B15DBE" w14:paraId="24A416A1" w14:textId="77777777" w:rsidTr="004D707E">
        <w:trPr>
          <w:cantSplit/>
        </w:trPr>
        <w:tc>
          <w:tcPr>
            <w:tcW w:w="0" w:type="auto"/>
          </w:tcPr>
          <w:p w14:paraId="674DCAF6" w14:textId="77777777" w:rsidR="004D707E" w:rsidRPr="00B15DBE" w:rsidRDefault="004D707E" w:rsidP="00A42FA1">
            <w:pPr>
              <w:pStyle w:val="Table"/>
            </w:pPr>
            <w:r w:rsidRPr="00B15DBE">
              <w:t>KDIGO</w:t>
            </w:r>
          </w:p>
        </w:tc>
        <w:tc>
          <w:tcPr>
            <w:tcW w:w="0" w:type="auto"/>
          </w:tcPr>
          <w:p w14:paraId="2E703C33" w14:textId="77F153E7" w:rsidR="004D707E" w:rsidRPr="00B15DBE" w:rsidRDefault="004D707E" w:rsidP="00A42FA1">
            <w:pPr>
              <w:pStyle w:val="Table"/>
            </w:pPr>
            <w:r w:rsidRPr="00B15DBE">
              <w:t>KDIGO Diabetes Work Group</w:t>
            </w:r>
            <w:r w:rsidR="00B607E6" w:rsidRPr="001B22DE">
              <w:rPr>
                <w:noProof/>
                <w:vertAlign w:val="superscript"/>
              </w:rPr>
              <w:t>4</w:t>
            </w:r>
          </w:p>
        </w:tc>
        <w:tc>
          <w:tcPr>
            <w:tcW w:w="0" w:type="auto"/>
          </w:tcPr>
          <w:p w14:paraId="22C23B88" w14:textId="77777777" w:rsidR="004D707E" w:rsidRPr="00B15DBE" w:rsidRDefault="004D707E" w:rsidP="00A42FA1">
            <w:pPr>
              <w:pStyle w:val="Table"/>
            </w:pPr>
            <w:r w:rsidRPr="00B15DBE">
              <w:t>2022</w:t>
            </w:r>
          </w:p>
        </w:tc>
        <w:tc>
          <w:tcPr>
            <w:tcW w:w="0" w:type="auto"/>
          </w:tcPr>
          <w:p w14:paraId="1072A36E" w14:textId="77777777" w:rsidR="004D707E" w:rsidRPr="00B15DBE" w:rsidRDefault="004D707E" w:rsidP="00A42FA1">
            <w:pPr>
              <w:pStyle w:val="Table"/>
            </w:pPr>
            <w:r w:rsidRPr="00B15DBE">
              <w:t>CKD and diabetes</w:t>
            </w:r>
          </w:p>
        </w:tc>
        <w:tc>
          <w:tcPr>
            <w:tcW w:w="0" w:type="auto"/>
          </w:tcPr>
          <w:p w14:paraId="18F47054" w14:textId="77777777" w:rsidR="004D707E" w:rsidRPr="00B15DBE" w:rsidRDefault="004D707E" w:rsidP="00A42FA1">
            <w:pPr>
              <w:pStyle w:val="Table"/>
              <w:rPr>
                <w:rStyle w:val="Strong"/>
                <w:b w:val="0"/>
                <w:bCs w:val="0"/>
              </w:rPr>
            </w:pPr>
            <w:r w:rsidRPr="00B15DBE">
              <w:rPr>
                <w:rStyle w:val="Strong"/>
                <w:b w:val="0"/>
                <w:bCs w:val="0"/>
              </w:rPr>
              <w:t xml:space="preserve">Monitor serum potassium within 2–4 weeks of initiation or increase in the dose of an ACEi or ARB. </w:t>
            </w:r>
          </w:p>
          <w:p w14:paraId="74861749" w14:textId="77777777" w:rsidR="004D707E" w:rsidRPr="00B15DBE" w:rsidRDefault="004D707E" w:rsidP="00A42FA1">
            <w:pPr>
              <w:pStyle w:val="Table"/>
            </w:pPr>
            <w:r w:rsidRPr="00B15DBE">
              <w:rPr>
                <w:rStyle w:val="Strong"/>
                <w:b w:val="0"/>
                <w:bCs w:val="0"/>
              </w:rPr>
              <w:t>Consider e</w:t>
            </w:r>
            <w:r w:rsidRPr="00B15DBE">
              <w:t xml:space="preserve">arlier monitoring (e.g. within 1 week) in patients at high risk of HK owing to low eGFR, history of HK, or borderline high serum potassium concentration. </w:t>
            </w:r>
          </w:p>
          <w:p w14:paraId="57384461" w14:textId="77777777" w:rsidR="004D707E" w:rsidRPr="00B15DBE" w:rsidRDefault="004D707E" w:rsidP="00A42FA1">
            <w:pPr>
              <w:pStyle w:val="Table"/>
            </w:pPr>
            <w:r w:rsidRPr="00B15DBE">
              <w:t>Consider longer period for monitoring (e.g. after initiation but not dose titration) for patients at low risk of HK (e.g. patients with normal eGFR and serum potassium level).</w:t>
            </w:r>
          </w:p>
        </w:tc>
      </w:tr>
      <w:tr w:rsidR="004D707E" w:rsidRPr="00B15DBE" w14:paraId="1D810846" w14:textId="77777777" w:rsidTr="004D707E">
        <w:trPr>
          <w:cantSplit/>
        </w:trPr>
        <w:tc>
          <w:tcPr>
            <w:tcW w:w="0" w:type="auto"/>
          </w:tcPr>
          <w:p w14:paraId="4604ECB7" w14:textId="77777777" w:rsidR="004D707E" w:rsidRPr="00B15DBE" w:rsidRDefault="004D707E" w:rsidP="00A42FA1">
            <w:pPr>
              <w:pStyle w:val="Table"/>
            </w:pPr>
            <w:r w:rsidRPr="00B15DBE">
              <w:t>KDIGO</w:t>
            </w:r>
          </w:p>
        </w:tc>
        <w:tc>
          <w:tcPr>
            <w:tcW w:w="0" w:type="auto"/>
          </w:tcPr>
          <w:p w14:paraId="45F9F43C" w14:textId="57B7815A" w:rsidR="004D707E" w:rsidRPr="00B15DBE" w:rsidRDefault="004D707E" w:rsidP="00A42FA1">
            <w:pPr>
              <w:pStyle w:val="Table"/>
            </w:pPr>
            <w:r w:rsidRPr="00B15DBE">
              <w:t>KDIGO Blood pressure Work Group</w:t>
            </w:r>
            <w:r w:rsidR="00B607E6" w:rsidRPr="001B22DE">
              <w:rPr>
                <w:noProof/>
                <w:vertAlign w:val="superscript"/>
              </w:rPr>
              <w:t>5</w:t>
            </w:r>
          </w:p>
        </w:tc>
        <w:tc>
          <w:tcPr>
            <w:tcW w:w="0" w:type="auto"/>
          </w:tcPr>
          <w:p w14:paraId="211B6DC7" w14:textId="77777777" w:rsidR="004D707E" w:rsidRPr="00B15DBE" w:rsidRDefault="004D707E" w:rsidP="00A42FA1">
            <w:pPr>
              <w:pStyle w:val="Table"/>
            </w:pPr>
            <w:r w:rsidRPr="00B15DBE">
              <w:t>2021</w:t>
            </w:r>
          </w:p>
        </w:tc>
        <w:tc>
          <w:tcPr>
            <w:tcW w:w="0" w:type="auto"/>
          </w:tcPr>
          <w:p w14:paraId="344F25D0" w14:textId="77777777" w:rsidR="004D707E" w:rsidRPr="00B15DBE" w:rsidRDefault="004D707E" w:rsidP="00A42FA1">
            <w:pPr>
              <w:pStyle w:val="Table"/>
            </w:pPr>
            <w:r w:rsidRPr="00B15DBE">
              <w:t>HTN and CKD</w:t>
            </w:r>
          </w:p>
        </w:tc>
        <w:tc>
          <w:tcPr>
            <w:tcW w:w="0" w:type="auto"/>
          </w:tcPr>
          <w:p w14:paraId="5B6A7115" w14:textId="77777777" w:rsidR="004D707E" w:rsidRPr="00B15DBE" w:rsidRDefault="004D707E" w:rsidP="00A42FA1">
            <w:pPr>
              <w:pStyle w:val="Table"/>
            </w:pPr>
            <w:r w:rsidRPr="00B15DBE">
              <w:rPr>
                <w:rStyle w:val="Strong"/>
                <w:b w:val="0"/>
                <w:bCs w:val="0"/>
              </w:rPr>
              <w:t>Monitor serum potassium within 2–4 weeks of initiation or increase in the dose of a RAASi, depending on the current GFR and serum potassium.</w:t>
            </w:r>
          </w:p>
        </w:tc>
      </w:tr>
      <w:tr w:rsidR="004D707E" w:rsidRPr="00B15DBE" w14:paraId="18A90785" w14:textId="77777777" w:rsidTr="004D707E">
        <w:trPr>
          <w:cantSplit/>
        </w:trPr>
        <w:tc>
          <w:tcPr>
            <w:tcW w:w="0" w:type="auto"/>
          </w:tcPr>
          <w:p w14:paraId="7A273081" w14:textId="77777777" w:rsidR="004D707E" w:rsidRPr="00B15DBE" w:rsidRDefault="004D707E" w:rsidP="00A42FA1">
            <w:pPr>
              <w:pStyle w:val="Table"/>
            </w:pPr>
            <w:r w:rsidRPr="00B15DBE">
              <w:t>KDIGO</w:t>
            </w:r>
          </w:p>
        </w:tc>
        <w:tc>
          <w:tcPr>
            <w:tcW w:w="0" w:type="auto"/>
          </w:tcPr>
          <w:p w14:paraId="4C7CC537" w14:textId="3DC3DB0D" w:rsidR="004D707E" w:rsidRPr="00B15DBE" w:rsidRDefault="004D707E" w:rsidP="00A42FA1">
            <w:pPr>
              <w:pStyle w:val="Table"/>
            </w:pPr>
            <w:r w:rsidRPr="00B15DBE">
              <w:t>Lindner et al.</w:t>
            </w:r>
            <w:r w:rsidR="00B607E6" w:rsidRPr="001B22DE">
              <w:rPr>
                <w:noProof/>
                <w:vertAlign w:val="superscript"/>
              </w:rPr>
              <w:t xml:space="preserve"> 6</w:t>
            </w:r>
          </w:p>
        </w:tc>
        <w:tc>
          <w:tcPr>
            <w:tcW w:w="0" w:type="auto"/>
          </w:tcPr>
          <w:p w14:paraId="69A6AEA9" w14:textId="77777777" w:rsidR="004D707E" w:rsidRPr="00B15DBE" w:rsidRDefault="004D707E" w:rsidP="00A42FA1">
            <w:pPr>
              <w:pStyle w:val="Table"/>
            </w:pPr>
            <w:r w:rsidRPr="00B15DBE">
              <w:t>2020</w:t>
            </w:r>
          </w:p>
        </w:tc>
        <w:tc>
          <w:tcPr>
            <w:tcW w:w="0" w:type="auto"/>
          </w:tcPr>
          <w:p w14:paraId="3A8787E0" w14:textId="77777777" w:rsidR="004D707E" w:rsidRPr="00B15DBE" w:rsidRDefault="004D707E" w:rsidP="00A42FA1">
            <w:pPr>
              <w:pStyle w:val="Table"/>
            </w:pPr>
            <w:r w:rsidRPr="00B15DBE">
              <w:t>CKD</w:t>
            </w:r>
          </w:p>
        </w:tc>
        <w:tc>
          <w:tcPr>
            <w:tcW w:w="0" w:type="auto"/>
          </w:tcPr>
          <w:p w14:paraId="7C74673A" w14:textId="77777777" w:rsidR="004D707E" w:rsidRPr="00B15DBE" w:rsidRDefault="004D707E" w:rsidP="00A42FA1">
            <w:pPr>
              <w:pStyle w:val="Table"/>
            </w:pPr>
            <w:r w:rsidRPr="00B15DBE">
              <w:t>Timing of further monitoring of potassium concentration, and whether as an inpatient or as an outpatient, will depend upon the severity of the HK, the severity of its manifestations, the likelihood of recurrence and the patient’s overall clinical context and response to treatment.</w:t>
            </w:r>
          </w:p>
        </w:tc>
      </w:tr>
      <w:tr w:rsidR="004D707E" w:rsidRPr="00B15DBE" w14:paraId="5706461C" w14:textId="77777777" w:rsidTr="004D707E">
        <w:trPr>
          <w:cantSplit/>
        </w:trPr>
        <w:tc>
          <w:tcPr>
            <w:tcW w:w="0" w:type="auto"/>
          </w:tcPr>
          <w:p w14:paraId="27923F14" w14:textId="77777777" w:rsidR="004D707E" w:rsidRPr="00B15DBE" w:rsidRDefault="004D707E" w:rsidP="00A42FA1">
            <w:pPr>
              <w:pStyle w:val="Table"/>
            </w:pPr>
            <w:r w:rsidRPr="00B15DBE">
              <w:t>KDIGO</w:t>
            </w:r>
          </w:p>
        </w:tc>
        <w:tc>
          <w:tcPr>
            <w:tcW w:w="0" w:type="auto"/>
          </w:tcPr>
          <w:p w14:paraId="308A99DD" w14:textId="777D2726" w:rsidR="004D707E" w:rsidRPr="00B15DBE" w:rsidRDefault="004D707E" w:rsidP="00A42FA1">
            <w:pPr>
              <w:pStyle w:val="Table"/>
            </w:pPr>
            <w:r w:rsidRPr="00B15DBE">
              <w:t>Clase et al.</w:t>
            </w:r>
            <w:r w:rsidR="00B607E6" w:rsidRPr="001B22DE">
              <w:rPr>
                <w:noProof/>
                <w:vertAlign w:val="superscript"/>
              </w:rPr>
              <w:t xml:space="preserve"> 7</w:t>
            </w:r>
          </w:p>
        </w:tc>
        <w:tc>
          <w:tcPr>
            <w:tcW w:w="0" w:type="auto"/>
          </w:tcPr>
          <w:p w14:paraId="503D8495" w14:textId="77777777" w:rsidR="004D707E" w:rsidRPr="00B15DBE" w:rsidRDefault="004D707E" w:rsidP="00A42FA1">
            <w:pPr>
              <w:pStyle w:val="Table"/>
            </w:pPr>
            <w:r w:rsidRPr="00B15DBE">
              <w:t>2020</w:t>
            </w:r>
          </w:p>
        </w:tc>
        <w:tc>
          <w:tcPr>
            <w:tcW w:w="0" w:type="auto"/>
          </w:tcPr>
          <w:p w14:paraId="6314250A" w14:textId="77777777" w:rsidR="004D707E" w:rsidRPr="00B15DBE" w:rsidRDefault="004D707E" w:rsidP="00A42FA1">
            <w:pPr>
              <w:pStyle w:val="Table"/>
            </w:pPr>
            <w:r w:rsidRPr="00B15DBE">
              <w:t>CKD</w:t>
            </w:r>
          </w:p>
        </w:tc>
        <w:tc>
          <w:tcPr>
            <w:tcW w:w="0" w:type="auto"/>
          </w:tcPr>
          <w:p w14:paraId="16DDD377" w14:textId="77777777" w:rsidR="004D707E" w:rsidRPr="00B15DBE" w:rsidRDefault="004D707E" w:rsidP="00A42FA1">
            <w:pPr>
              <w:pStyle w:val="Table"/>
            </w:pPr>
            <w:r w:rsidRPr="00B15DBE">
              <w:t>In patients at risk for HK, testing potassium concentration before and 1–2 weeks after initiation of RAASi therapy is recommended.</w:t>
            </w:r>
          </w:p>
        </w:tc>
      </w:tr>
      <w:tr w:rsidR="004D707E" w:rsidRPr="00B15DBE" w14:paraId="68F9EA42" w14:textId="77777777" w:rsidTr="004D707E">
        <w:trPr>
          <w:cantSplit/>
        </w:trPr>
        <w:tc>
          <w:tcPr>
            <w:tcW w:w="0" w:type="auto"/>
          </w:tcPr>
          <w:p w14:paraId="26BC7DC2" w14:textId="77777777" w:rsidR="004D707E" w:rsidRPr="00B15DBE" w:rsidRDefault="004D707E" w:rsidP="00A42FA1">
            <w:pPr>
              <w:pStyle w:val="Table"/>
            </w:pPr>
            <w:r w:rsidRPr="00B15DBE">
              <w:t>ESH/ISH/ERA</w:t>
            </w:r>
          </w:p>
        </w:tc>
        <w:tc>
          <w:tcPr>
            <w:tcW w:w="0" w:type="auto"/>
          </w:tcPr>
          <w:p w14:paraId="2831504C" w14:textId="26FEEF4F" w:rsidR="004D707E" w:rsidRPr="00B15DBE" w:rsidRDefault="004D707E" w:rsidP="00A42FA1">
            <w:pPr>
              <w:pStyle w:val="Table"/>
            </w:pPr>
            <w:r w:rsidRPr="00B15DBE">
              <w:t>Mancia et al.</w:t>
            </w:r>
            <w:r w:rsidR="00B607E6" w:rsidRPr="001B22DE">
              <w:rPr>
                <w:noProof/>
                <w:vertAlign w:val="superscript"/>
              </w:rPr>
              <w:t xml:space="preserve"> 8</w:t>
            </w:r>
          </w:p>
        </w:tc>
        <w:tc>
          <w:tcPr>
            <w:tcW w:w="0" w:type="auto"/>
          </w:tcPr>
          <w:p w14:paraId="06E23EC4" w14:textId="77777777" w:rsidR="004D707E" w:rsidRPr="00B15DBE" w:rsidRDefault="004D707E" w:rsidP="00A42FA1">
            <w:pPr>
              <w:pStyle w:val="Table"/>
            </w:pPr>
            <w:r w:rsidRPr="00B15DBE">
              <w:t>2023</w:t>
            </w:r>
          </w:p>
        </w:tc>
        <w:tc>
          <w:tcPr>
            <w:tcW w:w="0" w:type="auto"/>
          </w:tcPr>
          <w:p w14:paraId="308E9FCC" w14:textId="77777777" w:rsidR="004D707E" w:rsidRPr="00B15DBE" w:rsidRDefault="004D707E" w:rsidP="00A42FA1">
            <w:pPr>
              <w:pStyle w:val="Table"/>
            </w:pPr>
            <w:r w:rsidRPr="00B15DBE">
              <w:t>Arterial HTN</w:t>
            </w:r>
          </w:p>
        </w:tc>
        <w:tc>
          <w:tcPr>
            <w:tcW w:w="0" w:type="auto"/>
          </w:tcPr>
          <w:p w14:paraId="6A953098" w14:textId="77777777" w:rsidR="004D707E" w:rsidRPr="00B15DBE" w:rsidRDefault="004D707E" w:rsidP="00A42FA1">
            <w:pPr>
              <w:pStyle w:val="Table"/>
            </w:pPr>
            <w:r w:rsidRPr="00B15DBE">
              <w:t>Closely monitor plasma potassium after RAASi treatment initiation and, depending on individual risk and the CKD stage, at least annually or at 3- to 6-month intervals thereafter.</w:t>
            </w:r>
          </w:p>
          <w:p w14:paraId="78762F1A" w14:textId="77777777" w:rsidR="004D707E" w:rsidRPr="00B15DBE" w:rsidRDefault="004D707E" w:rsidP="00A42FA1">
            <w:pPr>
              <w:pStyle w:val="Table"/>
            </w:pPr>
            <w:r w:rsidRPr="00B15DBE">
              <w:t>Repeatedly monitor serum electrolytes within the first 4–8 weeks of treatment (depending on baseline kidney function) when initiating treatment.</w:t>
            </w:r>
          </w:p>
        </w:tc>
      </w:tr>
      <w:tr w:rsidR="004D707E" w:rsidRPr="00B15DBE" w14:paraId="327FDBF2" w14:textId="77777777" w:rsidTr="004D707E">
        <w:trPr>
          <w:cantSplit/>
        </w:trPr>
        <w:tc>
          <w:tcPr>
            <w:tcW w:w="0" w:type="auto"/>
          </w:tcPr>
          <w:p w14:paraId="569CE2E2" w14:textId="77777777" w:rsidR="004D707E" w:rsidRPr="00B15DBE" w:rsidRDefault="004D707E" w:rsidP="00A42FA1">
            <w:pPr>
              <w:pStyle w:val="Table"/>
            </w:pPr>
            <w:r w:rsidRPr="00B15DBE">
              <w:lastRenderedPageBreak/>
              <w:t>AHA/ACC/HFSA</w:t>
            </w:r>
          </w:p>
        </w:tc>
        <w:tc>
          <w:tcPr>
            <w:tcW w:w="0" w:type="auto"/>
          </w:tcPr>
          <w:p w14:paraId="5BB8CA12" w14:textId="559C3B9C" w:rsidR="004D707E" w:rsidRPr="00B15DBE" w:rsidRDefault="004D707E" w:rsidP="00A42FA1">
            <w:pPr>
              <w:pStyle w:val="Table"/>
            </w:pPr>
            <w:r w:rsidRPr="00B15DBE">
              <w:t>Heidenreich et al.</w:t>
            </w:r>
            <w:r w:rsidR="00B607E6" w:rsidRPr="001B22DE">
              <w:rPr>
                <w:noProof/>
                <w:vertAlign w:val="superscript"/>
              </w:rPr>
              <w:t xml:space="preserve"> 9</w:t>
            </w:r>
          </w:p>
        </w:tc>
        <w:tc>
          <w:tcPr>
            <w:tcW w:w="0" w:type="auto"/>
          </w:tcPr>
          <w:p w14:paraId="5B2D09CD" w14:textId="77777777" w:rsidR="004D707E" w:rsidRPr="00B15DBE" w:rsidRDefault="004D707E" w:rsidP="00A42FA1">
            <w:pPr>
              <w:pStyle w:val="Table"/>
            </w:pPr>
            <w:r w:rsidRPr="00B15DBE">
              <w:t>2022</w:t>
            </w:r>
          </w:p>
        </w:tc>
        <w:tc>
          <w:tcPr>
            <w:tcW w:w="0" w:type="auto"/>
          </w:tcPr>
          <w:p w14:paraId="69DDE193" w14:textId="77777777" w:rsidR="004D707E" w:rsidRPr="00B15DBE" w:rsidRDefault="004D707E" w:rsidP="00A42FA1">
            <w:pPr>
              <w:pStyle w:val="Table"/>
            </w:pPr>
            <w:r w:rsidRPr="00B15DBE">
              <w:t>HF</w:t>
            </w:r>
          </w:p>
        </w:tc>
        <w:tc>
          <w:tcPr>
            <w:tcW w:w="0" w:type="auto"/>
          </w:tcPr>
          <w:p w14:paraId="0023B805" w14:textId="77777777" w:rsidR="004D707E" w:rsidRPr="00B15DBE" w:rsidRDefault="004D707E" w:rsidP="00A42FA1">
            <w:pPr>
              <w:pStyle w:val="Table"/>
            </w:pPr>
            <w:r w:rsidRPr="00B15DBE">
              <w:t>Patients at risk for renal dysfunction or HK require close monitoring.</w:t>
            </w:r>
          </w:p>
          <w:p w14:paraId="755755B4" w14:textId="77777777" w:rsidR="004D707E" w:rsidRPr="00B15DBE" w:rsidRDefault="004D707E" w:rsidP="00A42FA1">
            <w:pPr>
              <w:pStyle w:val="Table"/>
            </w:pPr>
            <w:r w:rsidRPr="00B15DBE">
              <w:t>Regular checks of serum potassium levels and renal function should be performed according to clinical status, approximately 1 week, then 4 weeks, then every 6 months after initiating or intensifying MRA.</w:t>
            </w:r>
          </w:p>
        </w:tc>
      </w:tr>
      <w:tr w:rsidR="004D707E" w:rsidRPr="00B15DBE" w14:paraId="28A10A4D" w14:textId="77777777" w:rsidTr="004D707E">
        <w:trPr>
          <w:cantSplit/>
        </w:trPr>
        <w:tc>
          <w:tcPr>
            <w:tcW w:w="0" w:type="auto"/>
          </w:tcPr>
          <w:p w14:paraId="6E259705" w14:textId="77777777" w:rsidR="004D707E" w:rsidRPr="00B15DBE" w:rsidRDefault="004D707E" w:rsidP="00A42FA1">
            <w:pPr>
              <w:pStyle w:val="Table"/>
            </w:pPr>
            <w:r w:rsidRPr="00B15DBE">
              <w:t>ESC</w:t>
            </w:r>
          </w:p>
        </w:tc>
        <w:tc>
          <w:tcPr>
            <w:tcW w:w="0" w:type="auto"/>
          </w:tcPr>
          <w:p w14:paraId="331F9F4A" w14:textId="0A435C2D" w:rsidR="004D707E" w:rsidRPr="00B15DBE" w:rsidRDefault="004D707E" w:rsidP="00A42FA1">
            <w:pPr>
              <w:pStyle w:val="Table"/>
            </w:pPr>
            <w:r w:rsidRPr="00B15DBE">
              <w:t>McDonagh et al.</w:t>
            </w:r>
            <w:r w:rsidR="00B607E6" w:rsidRPr="001B22DE">
              <w:rPr>
                <w:noProof/>
                <w:vertAlign w:val="superscript"/>
              </w:rPr>
              <w:t xml:space="preserve"> 10</w:t>
            </w:r>
          </w:p>
        </w:tc>
        <w:tc>
          <w:tcPr>
            <w:tcW w:w="0" w:type="auto"/>
          </w:tcPr>
          <w:p w14:paraId="5F2EB91D" w14:textId="77777777" w:rsidR="004D707E" w:rsidRPr="00B15DBE" w:rsidRDefault="004D707E" w:rsidP="00A42FA1">
            <w:pPr>
              <w:pStyle w:val="Table"/>
            </w:pPr>
            <w:r w:rsidRPr="00B15DBE">
              <w:t>2021</w:t>
            </w:r>
          </w:p>
        </w:tc>
        <w:tc>
          <w:tcPr>
            <w:tcW w:w="0" w:type="auto"/>
          </w:tcPr>
          <w:p w14:paraId="1E808892" w14:textId="77777777" w:rsidR="004D707E" w:rsidRPr="00B15DBE" w:rsidRDefault="004D707E" w:rsidP="00A42FA1">
            <w:pPr>
              <w:pStyle w:val="Table"/>
            </w:pPr>
            <w:r w:rsidRPr="00B15DBE">
              <w:t>HF</w:t>
            </w:r>
          </w:p>
        </w:tc>
        <w:tc>
          <w:tcPr>
            <w:tcW w:w="0" w:type="auto"/>
          </w:tcPr>
          <w:p w14:paraId="44040641" w14:textId="77777777" w:rsidR="004D707E" w:rsidRPr="00B15DBE" w:rsidRDefault="004D707E" w:rsidP="00A42FA1">
            <w:pPr>
              <w:pStyle w:val="Table"/>
            </w:pPr>
            <w:r w:rsidRPr="00B15DBE">
              <w:t>Follow up within 1 to 2 weeks after discharge for acute decompensated HF to monitor electrolytes.</w:t>
            </w:r>
          </w:p>
          <w:p w14:paraId="6970D4CF" w14:textId="77777777" w:rsidR="004D707E" w:rsidRPr="00B15DBE" w:rsidRDefault="004D707E" w:rsidP="00A42FA1">
            <w:pPr>
              <w:pStyle w:val="Table"/>
            </w:pPr>
            <w:r w:rsidRPr="00B15DBE">
              <w:t>Follow up at intervals no longer than 6 months to check electrolytes and renal function. For patients recently discharged from hospital, or in those undergoing up-titration of HF medication, follow-up intervals should be more frequent.</w:t>
            </w:r>
          </w:p>
        </w:tc>
      </w:tr>
      <w:tr w:rsidR="004D707E" w:rsidRPr="00B15DBE" w14:paraId="19F72F8F" w14:textId="77777777" w:rsidTr="004D707E">
        <w:trPr>
          <w:cantSplit/>
        </w:trPr>
        <w:tc>
          <w:tcPr>
            <w:tcW w:w="0" w:type="auto"/>
          </w:tcPr>
          <w:p w14:paraId="4515048A" w14:textId="77777777" w:rsidR="004D707E" w:rsidRPr="00B15DBE" w:rsidRDefault="004D707E" w:rsidP="00A42FA1">
            <w:pPr>
              <w:pStyle w:val="Table"/>
            </w:pPr>
            <w:r w:rsidRPr="00B15DBE">
              <w:t>ESC</w:t>
            </w:r>
          </w:p>
        </w:tc>
        <w:tc>
          <w:tcPr>
            <w:tcW w:w="0" w:type="auto"/>
          </w:tcPr>
          <w:p w14:paraId="525BF06F" w14:textId="15A20CA5" w:rsidR="004D707E" w:rsidRPr="00B15DBE" w:rsidRDefault="004D707E" w:rsidP="00A42FA1">
            <w:pPr>
              <w:pStyle w:val="Table"/>
            </w:pPr>
            <w:r w:rsidRPr="00B15DBE">
              <w:t>Rosano et al.</w:t>
            </w:r>
            <w:r w:rsidR="00B607E6" w:rsidRPr="001B22DE">
              <w:rPr>
                <w:noProof/>
                <w:vertAlign w:val="superscript"/>
              </w:rPr>
              <w:t xml:space="preserve"> 11</w:t>
            </w:r>
          </w:p>
        </w:tc>
        <w:tc>
          <w:tcPr>
            <w:tcW w:w="0" w:type="auto"/>
          </w:tcPr>
          <w:p w14:paraId="2C23A50C" w14:textId="77777777" w:rsidR="004D707E" w:rsidRPr="00B15DBE" w:rsidRDefault="004D707E" w:rsidP="00A42FA1">
            <w:pPr>
              <w:pStyle w:val="Table"/>
            </w:pPr>
            <w:r w:rsidRPr="00B15DBE">
              <w:t>2018</w:t>
            </w:r>
          </w:p>
        </w:tc>
        <w:tc>
          <w:tcPr>
            <w:tcW w:w="0" w:type="auto"/>
          </w:tcPr>
          <w:p w14:paraId="6E7F8537" w14:textId="77777777" w:rsidR="004D707E" w:rsidRPr="00B15DBE" w:rsidRDefault="004D707E" w:rsidP="00A42FA1">
            <w:pPr>
              <w:pStyle w:val="Table"/>
            </w:pPr>
            <w:r w:rsidRPr="00B15DBE">
              <w:t>CVD treated with RAASi</w:t>
            </w:r>
          </w:p>
        </w:tc>
        <w:tc>
          <w:tcPr>
            <w:tcW w:w="0" w:type="auto"/>
          </w:tcPr>
          <w:p w14:paraId="2D26703D" w14:textId="77777777" w:rsidR="004D707E" w:rsidRPr="00B15DBE" w:rsidRDefault="004D707E" w:rsidP="00A42FA1">
            <w:pPr>
              <w:pStyle w:val="Table"/>
            </w:pPr>
            <w:r w:rsidRPr="00B15DBE">
              <w:t xml:space="preserve">Monitor patients on RAASi according to their clinical status. </w:t>
            </w:r>
          </w:p>
          <w:p w14:paraId="36ACA54F" w14:textId="77777777" w:rsidR="004D707E" w:rsidRPr="00B15DBE" w:rsidRDefault="004D707E" w:rsidP="00A42FA1">
            <w:pPr>
              <w:pStyle w:val="Table"/>
            </w:pPr>
            <w:r w:rsidRPr="00B15DBE">
              <w:t>Closely monitor serum potassium whenever potassium-lowering therapy is initiated for efficacy and risk of HK.</w:t>
            </w:r>
          </w:p>
          <w:p w14:paraId="184E96AD" w14:textId="77777777" w:rsidR="004D707E" w:rsidRPr="00B15DBE" w:rsidRDefault="004D707E" w:rsidP="00A42FA1">
            <w:pPr>
              <w:pStyle w:val="Table"/>
            </w:pPr>
            <w:r w:rsidRPr="00B15DBE">
              <w:t>Maintain potassium-lowering treatment unless another aetiology for HK is identified.</w:t>
            </w:r>
          </w:p>
        </w:tc>
      </w:tr>
      <w:tr w:rsidR="00C45071" w:rsidRPr="00B15DBE" w14:paraId="35D6BDEA" w14:textId="77777777" w:rsidTr="004D707E">
        <w:trPr>
          <w:cantSplit/>
        </w:trPr>
        <w:tc>
          <w:tcPr>
            <w:tcW w:w="0" w:type="auto"/>
          </w:tcPr>
          <w:p w14:paraId="5685734D" w14:textId="2F447E61" w:rsidR="00C45071" w:rsidRPr="00B15DBE" w:rsidRDefault="00C45071" w:rsidP="00A42FA1">
            <w:pPr>
              <w:pStyle w:val="Table"/>
            </w:pPr>
            <w:r>
              <w:t>JCS/JHFS</w:t>
            </w:r>
          </w:p>
        </w:tc>
        <w:tc>
          <w:tcPr>
            <w:tcW w:w="0" w:type="auto"/>
          </w:tcPr>
          <w:p w14:paraId="58A52F28" w14:textId="644C1953" w:rsidR="00C45071" w:rsidRPr="00B15DBE" w:rsidRDefault="00C45071" w:rsidP="00A42FA1">
            <w:pPr>
              <w:pStyle w:val="Table"/>
            </w:pPr>
            <w:r>
              <w:t>Kitai et al.</w:t>
            </w:r>
            <w:r w:rsidR="00B607E6" w:rsidRPr="00083E5E">
              <w:rPr>
                <w:noProof/>
                <w:vertAlign w:val="superscript"/>
              </w:rPr>
              <w:t xml:space="preserve"> 12</w:t>
            </w:r>
          </w:p>
        </w:tc>
        <w:tc>
          <w:tcPr>
            <w:tcW w:w="0" w:type="auto"/>
          </w:tcPr>
          <w:p w14:paraId="540EF7BC" w14:textId="2FEB7C5B" w:rsidR="00C45071" w:rsidRPr="00B15DBE" w:rsidRDefault="00C45071" w:rsidP="00A42FA1">
            <w:pPr>
              <w:pStyle w:val="Table"/>
            </w:pPr>
            <w:r>
              <w:t>2025</w:t>
            </w:r>
          </w:p>
        </w:tc>
        <w:tc>
          <w:tcPr>
            <w:tcW w:w="0" w:type="auto"/>
          </w:tcPr>
          <w:p w14:paraId="5D42B7D8" w14:textId="161FB7C3" w:rsidR="00C45071" w:rsidRPr="00B15DBE" w:rsidRDefault="00C45071" w:rsidP="00A42FA1">
            <w:pPr>
              <w:pStyle w:val="Table"/>
            </w:pPr>
            <w:r>
              <w:t>HF</w:t>
            </w:r>
          </w:p>
        </w:tc>
        <w:tc>
          <w:tcPr>
            <w:tcW w:w="0" w:type="auto"/>
          </w:tcPr>
          <w:p w14:paraId="6393BD6C" w14:textId="1DB6F2FC" w:rsidR="00C45071" w:rsidRPr="00B15DBE" w:rsidRDefault="00C45071" w:rsidP="00A42FA1">
            <w:pPr>
              <w:pStyle w:val="Table"/>
            </w:pPr>
            <w:r>
              <w:t>Regularly monitor serum potassium and renal function</w:t>
            </w:r>
          </w:p>
        </w:tc>
      </w:tr>
    </w:tbl>
    <w:bookmarkEnd w:id="14"/>
    <w:p w14:paraId="3AE84A14" w14:textId="28A65D98" w:rsidR="004D707E" w:rsidRPr="00BE63E8" w:rsidRDefault="004D707E" w:rsidP="004D707E">
      <w:pPr>
        <w:pStyle w:val="Table"/>
      </w:pPr>
      <w:r w:rsidRPr="00B15DBE">
        <w:t xml:space="preserve">ACC, American College of Cardiology; ACEi, angiotensin-converting enzyme inhibitor; ACEP, American College of Emergency Physicians; AHA, American Heart Association; ARB, angiotensin receptor blocker; CKD, chronic kidney disease; CVD, cardiovascular disease; eGFR, estimated glomerular filtration rate; ERA, European Renal Association; ESC, European Society of Cardiology; ESH, European Society of Hypertension; FADOI, Federation of Associations of Hospital Doctors on Internal Medicine; GFR, glomerular filtration rate; HF, heart failure; HFSA, Heart Failure Society of America; HK, hyperkalaemia; HTN, Hypertension; ISH, International Society of Hypertension; </w:t>
      </w:r>
      <w:r w:rsidR="00C45071">
        <w:t xml:space="preserve">JCS, Japanese Circulation Society; JHFS, Japanese Heart Failure Society; </w:t>
      </w:r>
      <w:r w:rsidRPr="00B15DBE">
        <w:t>KDIGO, Kidney Disease: Improving Global Outcomes; MRA, mineralocorticoid receptor antagonist; RAASi, renin–angiotensin–aldosterone system inhibitor; SIMI, Italian Society of Internal Medicine; SIN, Italian Society of Nephrology.</w:t>
      </w:r>
    </w:p>
    <w:p w14:paraId="27075D23" w14:textId="77777777" w:rsidR="004D707E" w:rsidRPr="00B15DBE" w:rsidRDefault="004D707E" w:rsidP="00F119C0">
      <w:pPr>
        <w:spacing w:before="0" w:after="160" w:line="259" w:lineRule="auto"/>
        <w:ind w:firstLine="0"/>
      </w:pPr>
    </w:p>
    <w:p w14:paraId="63DEFC42" w14:textId="4222DC8B" w:rsidR="004D707E" w:rsidRDefault="004D707E">
      <w:pPr>
        <w:spacing w:before="0" w:after="160" w:line="259" w:lineRule="auto"/>
        <w:ind w:firstLine="0"/>
        <w:rPr>
          <w:sz w:val="18"/>
          <w:lang w:eastAsia="en-GB"/>
        </w:rPr>
      </w:pPr>
      <w:r>
        <w:br w:type="page"/>
      </w:r>
    </w:p>
    <w:p w14:paraId="42830643" w14:textId="2331B9D1" w:rsidR="00FC1EBC" w:rsidRPr="00B15DBE" w:rsidRDefault="00654717" w:rsidP="00155733">
      <w:pPr>
        <w:pStyle w:val="Heading2"/>
      </w:pPr>
      <w:r w:rsidRPr="00B15DBE">
        <w:lastRenderedPageBreak/>
        <w:t>References:</w:t>
      </w:r>
    </w:p>
    <w:p w14:paraId="05A5C257" w14:textId="348E0397" w:rsidR="005973D1" w:rsidRPr="005973D1" w:rsidRDefault="005973D1" w:rsidP="005973D1">
      <w:pPr>
        <w:pStyle w:val="EndNoteBibliography"/>
        <w:ind w:firstLine="0"/>
      </w:pPr>
      <w:r w:rsidRPr="005973D1">
        <w:t>1.</w:t>
      </w:r>
      <w:r w:rsidRPr="005973D1">
        <w:tab/>
        <w:t xml:space="preserve">De Nicola L, Ferraro PM, Montagnani A, Pontremoli R, Dentali F, Sesti G. Recommendations for the management of hyperkalemia in patients receiving renin-angiotensin-aldosterone system inhibitors. </w:t>
      </w:r>
      <w:r w:rsidRPr="005973D1">
        <w:rPr>
          <w:i/>
        </w:rPr>
        <w:t xml:space="preserve">Intern Emerg Med </w:t>
      </w:r>
      <w:r w:rsidRPr="005973D1">
        <w:t>2024;</w:t>
      </w:r>
      <w:r w:rsidRPr="005973D1">
        <w:rPr>
          <w:b/>
        </w:rPr>
        <w:t>19</w:t>
      </w:r>
      <w:r w:rsidRPr="005973D1">
        <w:t xml:space="preserve">:295–306. doi: </w:t>
      </w:r>
      <w:r w:rsidRPr="00B607E6">
        <w:t>https://doi.org/10.1007/s11739-023-03427-0</w:t>
      </w:r>
    </w:p>
    <w:p w14:paraId="552CD766" w14:textId="77777777" w:rsidR="005973D1" w:rsidRPr="005973D1" w:rsidRDefault="005973D1" w:rsidP="005973D1">
      <w:pPr>
        <w:pStyle w:val="EndNoteBibliography"/>
        <w:ind w:firstLine="0"/>
      </w:pPr>
      <w:r w:rsidRPr="005973D1">
        <w:t>2.</w:t>
      </w:r>
      <w:r w:rsidRPr="005973D1">
        <w:tab/>
        <w:t xml:space="preserve">Alfonzo A, Harrison A, Baines R, Chu A, Mann S, MacRury M. </w:t>
      </w:r>
      <w:r w:rsidRPr="005973D1">
        <w:rPr>
          <w:i/>
        </w:rPr>
        <w:t>Clinical practice guidelines: Treatment of acute hyperkalaemia in adults</w:t>
      </w:r>
      <w:r w:rsidRPr="005973D1">
        <w:t>: UK Kidney Association; 2023.</w:t>
      </w:r>
    </w:p>
    <w:p w14:paraId="7426B697" w14:textId="2C092CEC" w:rsidR="005973D1" w:rsidRPr="005973D1" w:rsidRDefault="005973D1" w:rsidP="005973D1">
      <w:pPr>
        <w:pStyle w:val="EndNoteBibliography"/>
        <w:ind w:firstLine="0"/>
      </w:pPr>
      <w:r w:rsidRPr="005973D1">
        <w:t>3.</w:t>
      </w:r>
      <w:r w:rsidRPr="005973D1">
        <w:tab/>
        <w:t xml:space="preserve">Kidney Disease: Improving Global Outcomes CKD Work Group. KDIGO 2024 Clinical Practice Guideline for the Evaluation and Management of Chronic Kidney Disease. </w:t>
      </w:r>
      <w:r w:rsidRPr="005973D1">
        <w:rPr>
          <w:i/>
        </w:rPr>
        <w:t xml:space="preserve">Kidney Int </w:t>
      </w:r>
      <w:r w:rsidRPr="005973D1">
        <w:t>2024;</w:t>
      </w:r>
      <w:r w:rsidRPr="005973D1">
        <w:rPr>
          <w:b/>
        </w:rPr>
        <w:t>105</w:t>
      </w:r>
      <w:r w:rsidRPr="005973D1">
        <w:t xml:space="preserve">:S117–S314. doi: </w:t>
      </w:r>
      <w:r w:rsidRPr="00B607E6">
        <w:t>https://doi.org/10.1016/j.kint.2023.10.018</w:t>
      </w:r>
    </w:p>
    <w:p w14:paraId="43976CE0" w14:textId="70B1EE3E" w:rsidR="005973D1" w:rsidRPr="005973D1" w:rsidRDefault="005973D1" w:rsidP="005973D1">
      <w:pPr>
        <w:pStyle w:val="EndNoteBibliography"/>
        <w:ind w:firstLine="0"/>
      </w:pPr>
      <w:r w:rsidRPr="005973D1">
        <w:t>4.</w:t>
      </w:r>
      <w:r w:rsidRPr="005973D1">
        <w:tab/>
        <w:t xml:space="preserve">Kidney Disease: Improving Global Outcomes Diabetes Work Group. KDIGO 2022 Clinical Practice Guideline for Diabetes Management in Chronic Kidney Disease. </w:t>
      </w:r>
      <w:r w:rsidRPr="005973D1">
        <w:rPr>
          <w:i/>
        </w:rPr>
        <w:t xml:space="preserve">Kidney Int </w:t>
      </w:r>
      <w:r w:rsidRPr="005973D1">
        <w:t>2022;</w:t>
      </w:r>
      <w:r w:rsidRPr="005973D1">
        <w:rPr>
          <w:b/>
        </w:rPr>
        <w:t>102</w:t>
      </w:r>
      <w:r w:rsidRPr="005973D1">
        <w:t xml:space="preserve">:S1–s127. doi: </w:t>
      </w:r>
      <w:r w:rsidRPr="00B607E6">
        <w:t>https://doi.org/10.1016/j.kint.2022.06.008</w:t>
      </w:r>
    </w:p>
    <w:p w14:paraId="3D59D177" w14:textId="068C0A32" w:rsidR="005973D1" w:rsidRPr="005973D1" w:rsidRDefault="005973D1" w:rsidP="005973D1">
      <w:pPr>
        <w:pStyle w:val="EndNoteBibliography"/>
        <w:ind w:firstLine="0"/>
      </w:pPr>
      <w:r w:rsidRPr="005973D1">
        <w:t>5.</w:t>
      </w:r>
      <w:r w:rsidRPr="005973D1">
        <w:tab/>
        <w:t xml:space="preserve">Kidney Disease: Improving Global Outcomes Blood Pressure Work Group. KDIGO 2021 Clinical Practice Guideline for the Management of Blood Pressure in Chronic Kidney Disease. </w:t>
      </w:r>
      <w:r w:rsidRPr="005973D1">
        <w:rPr>
          <w:i/>
        </w:rPr>
        <w:t xml:space="preserve">Kidney Int </w:t>
      </w:r>
      <w:r w:rsidRPr="005973D1">
        <w:t>2021;</w:t>
      </w:r>
      <w:r w:rsidRPr="005973D1">
        <w:rPr>
          <w:b/>
        </w:rPr>
        <w:t>99</w:t>
      </w:r>
      <w:r w:rsidRPr="005973D1">
        <w:t xml:space="preserve">:S1–s87. doi: </w:t>
      </w:r>
      <w:r w:rsidRPr="00B607E6">
        <w:t>https://doi.org/10.1016/j.kint.2020.11.003</w:t>
      </w:r>
    </w:p>
    <w:p w14:paraId="12C420FF" w14:textId="0D32A61B" w:rsidR="005973D1" w:rsidRPr="005973D1" w:rsidRDefault="005973D1" w:rsidP="005973D1">
      <w:pPr>
        <w:pStyle w:val="EndNoteBibliography"/>
        <w:ind w:firstLine="0"/>
      </w:pPr>
      <w:r w:rsidRPr="005973D1">
        <w:t>6.</w:t>
      </w:r>
      <w:r w:rsidRPr="005973D1">
        <w:tab/>
        <w:t xml:space="preserve">Lindner G, Burdmann EA, Clase CM, Hemmelgarn BR, Herzog CA, Malyszko J, et al. Acute hyperkalemia in the emergency department: a summary from a Kidney Disease: Improving Global Outcomes conference. </w:t>
      </w:r>
      <w:r w:rsidRPr="005973D1">
        <w:rPr>
          <w:i/>
        </w:rPr>
        <w:t xml:space="preserve">Eur J Emerg Med </w:t>
      </w:r>
      <w:r w:rsidRPr="005973D1">
        <w:t>2020;</w:t>
      </w:r>
      <w:r w:rsidRPr="005973D1">
        <w:rPr>
          <w:b/>
        </w:rPr>
        <w:t>27</w:t>
      </w:r>
      <w:r w:rsidRPr="005973D1">
        <w:t xml:space="preserve">:329–337. doi: </w:t>
      </w:r>
      <w:r w:rsidRPr="00B607E6">
        <w:t>https://doi.org/10.1097/MEJ.0000000000000691</w:t>
      </w:r>
    </w:p>
    <w:p w14:paraId="2C1F0986" w14:textId="47C9F16D" w:rsidR="005973D1" w:rsidRPr="005973D1" w:rsidRDefault="005973D1" w:rsidP="005973D1">
      <w:pPr>
        <w:pStyle w:val="EndNoteBibliography"/>
        <w:ind w:firstLine="0"/>
      </w:pPr>
      <w:r w:rsidRPr="005973D1">
        <w:t>7.</w:t>
      </w:r>
      <w:r w:rsidRPr="005973D1">
        <w:tab/>
        <w:t xml:space="preserve">Clase CM, Carrero JJ, Ellison DH, Grams ME, Hemmelgarn BR, Jardine MJ, et al. Potassium homeostasis and management of dyskalemia in kidney diseases: conclusions from a Kidney Disease: Improving Global Outcomes (KDIGO) Controversies Conference. </w:t>
      </w:r>
      <w:r w:rsidRPr="005973D1">
        <w:rPr>
          <w:i/>
        </w:rPr>
        <w:t xml:space="preserve">Kidney Int </w:t>
      </w:r>
      <w:r w:rsidRPr="005973D1">
        <w:t>2020;</w:t>
      </w:r>
      <w:r w:rsidRPr="005973D1">
        <w:rPr>
          <w:b/>
        </w:rPr>
        <w:t>97</w:t>
      </w:r>
      <w:r w:rsidRPr="005973D1">
        <w:t xml:space="preserve">:42–61. doi: </w:t>
      </w:r>
      <w:r w:rsidRPr="00B607E6">
        <w:t>https://doi.org/10.1016/j.kint.2019.09.018</w:t>
      </w:r>
    </w:p>
    <w:p w14:paraId="341177D1" w14:textId="5C0E4428" w:rsidR="005973D1" w:rsidRPr="005973D1" w:rsidRDefault="005973D1" w:rsidP="005973D1">
      <w:pPr>
        <w:pStyle w:val="EndNoteBibliography"/>
        <w:ind w:firstLine="0"/>
      </w:pPr>
      <w:r w:rsidRPr="005973D1">
        <w:t>8.</w:t>
      </w:r>
      <w:r w:rsidRPr="005973D1">
        <w:tab/>
        <w:t xml:space="preserve">Mancia G, Kreutz R, Brunstrom M, Burnier M, Grassi G, Januszewicz A, et al. 2023 ESH Guidelines for the management of arterial hypertension The Task Force for the management of arterial hypertension of the European Society of Hypertension Endorsed by the International Society of Hypertension (ISH) and the European Renal Association (ERA). </w:t>
      </w:r>
      <w:r w:rsidRPr="005973D1">
        <w:rPr>
          <w:i/>
        </w:rPr>
        <w:t xml:space="preserve">J Hypertens </w:t>
      </w:r>
      <w:r w:rsidRPr="005973D1">
        <w:t xml:space="preserve">2023. doi: </w:t>
      </w:r>
      <w:r w:rsidRPr="00B607E6">
        <w:t>https://doi.org/10.1097/HJH.0000000000003480</w:t>
      </w:r>
    </w:p>
    <w:p w14:paraId="71E89609" w14:textId="2A0DB5C2" w:rsidR="005973D1" w:rsidRPr="005973D1" w:rsidRDefault="005973D1" w:rsidP="005973D1">
      <w:pPr>
        <w:pStyle w:val="EndNoteBibliography"/>
        <w:ind w:firstLine="0"/>
      </w:pPr>
      <w:r w:rsidRPr="005973D1">
        <w:t>9.</w:t>
      </w:r>
      <w:r w:rsidRPr="005973D1">
        <w:tab/>
        <w:t xml:space="preserve">Heidenreich PA, Bozkurt B, Aguilar D, Allen LA, Byun JJ, Colvin MM, et al. 2022 AHA/ACC/HFSA Guideline for the Management of Heart Failure: A Report of the American College of Cardiology/American Heart Association Joint Committee on Clinical Practice Guidelines. </w:t>
      </w:r>
      <w:r w:rsidRPr="005973D1">
        <w:rPr>
          <w:i/>
        </w:rPr>
        <w:t xml:space="preserve">J Am Coll Cardiol </w:t>
      </w:r>
      <w:r w:rsidRPr="005973D1">
        <w:t>2022;</w:t>
      </w:r>
      <w:r w:rsidRPr="005973D1">
        <w:rPr>
          <w:b/>
        </w:rPr>
        <w:t>79</w:t>
      </w:r>
      <w:r w:rsidRPr="005973D1">
        <w:t xml:space="preserve">:e263–e421. doi: </w:t>
      </w:r>
      <w:r w:rsidRPr="00B607E6">
        <w:t>https://doi.org/10.1016/j.jacc.2021.12.012</w:t>
      </w:r>
    </w:p>
    <w:p w14:paraId="62E97CFB" w14:textId="4762565A" w:rsidR="005973D1" w:rsidRPr="005973D1" w:rsidRDefault="005973D1" w:rsidP="005973D1">
      <w:pPr>
        <w:pStyle w:val="EndNoteBibliography"/>
        <w:ind w:firstLine="0"/>
      </w:pPr>
      <w:r w:rsidRPr="005973D1">
        <w:t>10.</w:t>
      </w:r>
      <w:r w:rsidRPr="005973D1">
        <w:tab/>
        <w:t xml:space="preserve">McDonagh TA, Metra M, Adamo M, Gardner RS, Baumbach A, Böhm M, et al. 2021 ESC Guidelines for the diagnosis and treatment of acute and chronic heart failure. </w:t>
      </w:r>
      <w:r w:rsidRPr="005973D1">
        <w:rPr>
          <w:i/>
        </w:rPr>
        <w:t xml:space="preserve">Eur Heart J </w:t>
      </w:r>
      <w:r w:rsidRPr="005973D1">
        <w:t>2021;</w:t>
      </w:r>
      <w:r w:rsidRPr="005973D1">
        <w:rPr>
          <w:b/>
        </w:rPr>
        <w:t>42</w:t>
      </w:r>
      <w:r w:rsidRPr="005973D1">
        <w:t xml:space="preserve">:3599–3726. doi: </w:t>
      </w:r>
      <w:r w:rsidRPr="00B607E6">
        <w:t>https://doi.org/10.1093/eurheartj/ehab368</w:t>
      </w:r>
    </w:p>
    <w:p w14:paraId="7FDF6353" w14:textId="094F766D" w:rsidR="005973D1" w:rsidRPr="005973D1" w:rsidRDefault="005973D1" w:rsidP="005973D1">
      <w:pPr>
        <w:pStyle w:val="EndNoteBibliography"/>
        <w:ind w:firstLine="0"/>
      </w:pPr>
      <w:r w:rsidRPr="005973D1">
        <w:t>11.</w:t>
      </w:r>
      <w:r w:rsidRPr="005973D1">
        <w:tab/>
        <w:t xml:space="preserve">Rosano GMC, Tamargo J, Kjeldsen KP, Lainscak M, Agewall S, Anker SD, et al. Expert consensus document on the management of hyperkalaemia in patients with cardiovascular disease treated with renin angiotensin aldosterone system inhibitors: coordinated by the Working Group on Cardiovascular Pharmacotherapy of the European Society of Cardiology. </w:t>
      </w:r>
      <w:r w:rsidRPr="005973D1">
        <w:rPr>
          <w:i/>
        </w:rPr>
        <w:t xml:space="preserve">Eur Heart J Cardiovasc Pharmacother </w:t>
      </w:r>
      <w:r w:rsidRPr="005973D1">
        <w:t>2018;</w:t>
      </w:r>
      <w:r w:rsidRPr="005973D1">
        <w:rPr>
          <w:b/>
        </w:rPr>
        <w:t>4</w:t>
      </w:r>
      <w:r w:rsidRPr="005973D1">
        <w:t xml:space="preserve">:180–188. doi: </w:t>
      </w:r>
      <w:r w:rsidRPr="00B607E6">
        <w:t>https://doi.org/10.1093/ehjcvp/pvy015</w:t>
      </w:r>
    </w:p>
    <w:p w14:paraId="376AB755" w14:textId="4A2B3B87" w:rsidR="005973D1" w:rsidRPr="005973D1" w:rsidRDefault="005973D1" w:rsidP="005973D1">
      <w:pPr>
        <w:pStyle w:val="EndNoteBibliography"/>
        <w:ind w:firstLine="0"/>
      </w:pPr>
      <w:r w:rsidRPr="005973D1">
        <w:t>12.</w:t>
      </w:r>
      <w:r w:rsidRPr="005973D1">
        <w:tab/>
        <w:t xml:space="preserve">Kitai T, Kohsaka S, Kato T, Kato E, Sato K, Teramoto K, et al. JCS/JHFS 2025 Guideline on Diagnosis and Treatment of Heart Failure. </w:t>
      </w:r>
      <w:r w:rsidRPr="005973D1">
        <w:rPr>
          <w:i/>
        </w:rPr>
        <w:t xml:space="preserve">J Card Fail </w:t>
      </w:r>
      <w:r w:rsidRPr="005973D1">
        <w:t xml:space="preserve">2025. doi: </w:t>
      </w:r>
      <w:r w:rsidRPr="00B607E6">
        <w:t>https://doi.org/10.1016/j.cardfail.2025.02.014</w:t>
      </w:r>
    </w:p>
    <w:p w14:paraId="2CDBEA5D" w14:textId="6AD568C4" w:rsidR="005973D1" w:rsidRPr="005973D1" w:rsidRDefault="005973D1" w:rsidP="005973D1">
      <w:pPr>
        <w:pStyle w:val="EndNoteBibliography"/>
        <w:ind w:firstLine="0"/>
      </w:pPr>
      <w:r w:rsidRPr="005973D1">
        <w:t>13.</w:t>
      </w:r>
      <w:r w:rsidRPr="005973D1">
        <w:tab/>
        <w:t xml:space="preserve">Kosiborod MN, Cherney DZI, Desai AS, Testani JM, Verma S, Chinnakondepalli K, et al. Sodium Zirconium Cyclosilicate for Management of Hyperkalemia During Spironolactone Optimization in Patients With Heart Failure. </w:t>
      </w:r>
      <w:r w:rsidRPr="005973D1">
        <w:rPr>
          <w:i/>
        </w:rPr>
        <w:t xml:space="preserve">J Am Coll Cardiol </w:t>
      </w:r>
      <w:r w:rsidRPr="005973D1">
        <w:t>2025;</w:t>
      </w:r>
      <w:r w:rsidRPr="005973D1">
        <w:rPr>
          <w:b/>
        </w:rPr>
        <w:t>85</w:t>
      </w:r>
      <w:r w:rsidRPr="005973D1">
        <w:t xml:space="preserve">:971-984. doi: </w:t>
      </w:r>
      <w:r w:rsidRPr="00B607E6">
        <w:t>https://doi.org/10.1016/j.jacc.2024.11.014</w:t>
      </w:r>
    </w:p>
    <w:p w14:paraId="16B3D498" w14:textId="2243E1C5" w:rsidR="005973D1" w:rsidRPr="005973D1" w:rsidRDefault="005973D1" w:rsidP="005973D1">
      <w:pPr>
        <w:pStyle w:val="EndNoteBibliography"/>
        <w:ind w:firstLine="0"/>
      </w:pPr>
      <w:r w:rsidRPr="005973D1">
        <w:t>14.</w:t>
      </w:r>
      <w:r w:rsidRPr="005973D1">
        <w:tab/>
        <w:t>Rastogi A, Pollack C, Sanchez-Lazaro IJ, Lesén E, Arnold M, Franzén S, et al. Contemporary Use of Guideline-Directed Medical Therapy and Associated Outcomes in Cardiorenal Patients with Hyperkalemia: An Observational Multi-Country Study</w:t>
      </w:r>
      <w:r w:rsidR="00B607E6">
        <w:t xml:space="preserve"> [Poster presentation TH-PO</w:t>
      </w:r>
      <w:r w:rsidR="00CB1DEC">
        <w:t>358]</w:t>
      </w:r>
      <w:r w:rsidRPr="005973D1">
        <w:t xml:space="preserve">. </w:t>
      </w:r>
      <w:r w:rsidRPr="005973D1">
        <w:rPr>
          <w:i/>
        </w:rPr>
        <w:t>ASN Kidney Week</w:t>
      </w:r>
      <w:r w:rsidR="00CB1DEC">
        <w:rPr>
          <w:i/>
        </w:rPr>
        <w:t>,</w:t>
      </w:r>
      <w:r w:rsidRPr="005973D1">
        <w:t xml:space="preserve"> Philadelphia, PA.</w:t>
      </w:r>
      <w:r w:rsidR="00CB1DEC">
        <w:t>, November 1–5,</w:t>
      </w:r>
      <w:r w:rsidRPr="005973D1">
        <w:t xml:space="preserve"> 2023.</w:t>
      </w:r>
    </w:p>
    <w:p w14:paraId="72389F23" w14:textId="41D290F5" w:rsidR="005973D1" w:rsidRPr="005973D1" w:rsidRDefault="005973D1" w:rsidP="005973D1">
      <w:pPr>
        <w:pStyle w:val="EndNoteBibliography"/>
        <w:ind w:firstLine="0"/>
      </w:pPr>
      <w:r w:rsidRPr="005973D1">
        <w:lastRenderedPageBreak/>
        <w:t>15.</w:t>
      </w:r>
      <w:r w:rsidRPr="005973D1">
        <w:tab/>
        <w:t xml:space="preserve">Agiro A, An A, Cook EE, Mu F, Chen J, Desai P, et al. Real-World Modifications of Renin-Angiotensin-Aldosterone System Inhibitors in Patients with Hyperkalemia Initiating Sodium Zirconium Cyclosilicate Therapy: The OPTIMIZE I Study. </w:t>
      </w:r>
      <w:r w:rsidRPr="005973D1">
        <w:rPr>
          <w:i/>
        </w:rPr>
        <w:t xml:space="preserve">Adv Ther </w:t>
      </w:r>
      <w:r w:rsidRPr="005973D1">
        <w:t>2023;</w:t>
      </w:r>
      <w:r w:rsidRPr="005973D1">
        <w:rPr>
          <w:b/>
        </w:rPr>
        <w:t>40</w:t>
      </w:r>
      <w:r w:rsidRPr="005973D1">
        <w:t xml:space="preserve">:2886–2901. doi: </w:t>
      </w:r>
      <w:r w:rsidRPr="00B607E6">
        <w:t>https://doi.org/10.1007/s12325-023-02518-w</w:t>
      </w:r>
    </w:p>
    <w:p w14:paraId="484E1296" w14:textId="26666FD7" w:rsidR="005973D1" w:rsidRPr="005973D1" w:rsidRDefault="005973D1" w:rsidP="005973D1">
      <w:pPr>
        <w:pStyle w:val="EndNoteBibliography"/>
        <w:ind w:firstLine="0"/>
      </w:pPr>
      <w:r w:rsidRPr="005973D1">
        <w:t>16.</w:t>
      </w:r>
      <w:r w:rsidRPr="005973D1">
        <w:tab/>
        <w:t xml:space="preserve">Tardif JC, Rouleau J, Chertow GM, Al-Shurbaji A, Lisovskaja V, Gustavson S, et al. Potassium reduction with sodium zirconium cyclosilicate in patients with heart failure. </w:t>
      </w:r>
      <w:r w:rsidRPr="005973D1">
        <w:rPr>
          <w:i/>
        </w:rPr>
        <w:t xml:space="preserve">ESC Heart Fail </w:t>
      </w:r>
      <w:r w:rsidRPr="005973D1">
        <w:t>2023;</w:t>
      </w:r>
      <w:r w:rsidRPr="005973D1">
        <w:rPr>
          <w:b/>
        </w:rPr>
        <w:t>10</w:t>
      </w:r>
      <w:r w:rsidRPr="005973D1">
        <w:t xml:space="preserve">:1066–1076. doi: </w:t>
      </w:r>
      <w:r w:rsidRPr="00B607E6">
        <w:t>https://doi.org/10.1002/ehf2.14268</w:t>
      </w:r>
    </w:p>
    <w:p w14:paraId="0D9DA5A6" w14:textId="76622201" w:rsidR="005973D1" w:rsidRPr="005973D1" w:rsidRDefault="005973D1" w:rsidP="005973D1">
      <w:pPr>
        <w:pStyle w:val="EndNoteBibliography"/>
        <w:ind w:firstLine="0"/>
      </w:pPr>
      <w:r w:rsidRPr="005973D1">
        <w:t>17.</w:t>
      </w:r>
      <w:r w:rsidRPr="005973D1">
        <w:tab/>
        <w:t xml:space="preserve">Butler J, Anker SD, Lund LH, Coats AJS, Filippatos G, Siddiqi TJ, et al. Patiromer for the management of hyperkalemia in heart failure with reduced ejection fraction: the DIAMOND trial. </w:t>
      </w:r>
      <w:r w:rsidRPr="005973D1">
        <w:rPr>
          <w:i/>
        </w:rPr>
        <w:t xml:space="preserve">Eur Heart J </w:t>
      </w:r>
      <w:r w:rsidRPr="005973D1">
        <w:t>2022;</w:t>
      </w:r>
      <w:r w:rsidRPr="005973D1">
        <w:rPr>
          <w:b/>
        </w:rPr>
        <w:t>43</w:t>
      </w:r>
      <w:r w:rsidRPr="005973D1">
        <w:t xml:space="preserve">:4362–4373. doi: </w:t>
      </w:r>
      <w:r w:rsidRPr="00B607E6">
        <w:t>https://doi.org/10.1093/eurheartj/ehac401</w:t>
      </w:r>
    </w:p>
    <w:p w14:paraId="41A9EB86" w14:textId="2DA19030" w:rsidR="005973D1" w:rsidRPr="005973D1" w:rsidRDefault="005973D1" w:rsidP="005973D1">
      <w:pPr>
        <w:pStyle w:val="EndNoteBibliography"/>
        <w:ind w:firstLine="0"/>
      </w:pPr>
      <w:r w:rsidRPr="005973D1">
        <w:t>18.</w:t>
      </w:r>
      <w:r w:rsidRPr="005973D1">
        <w:tab/>
        <w:t xml:space="preserve">Agarwal R, Rossignol P, Romero A, Garza D, Mayo MR, Warren S, et al. Patiromer versus placebo to enable spironolactone use in patients with resistant hypertension and chronic kidney disease (AMBER): a phase 2, randomised, double-blind, placebo-controlled trial. </w:t>
      </w:r>
      <w:r w:rsidRPr="005973D1">
        <w:rPr>
          <w:i/>
        </w:rPr>
        <w:t xml:space="preserve">Lancet </w:t>
      </w:r>
      <w:r w:rsidRPr="005973D1">
        <w:t>2019;</w:t>
      </w:r>
      <w:r w:rsidRPr="005973D1">
        <w:rPr>
          <w:b/>
        </w:rPr>
        <w:t>394</w:t>
      </w:r>
      <w:r w:rsidRPr="005973D1">
        <w:t xml:space="preserve">:1540–1550. doi: </w:t>
      </w:r>
      <w:r w:rsidRPr="00B607E6">
        <w:t>https://doi.org/10.1016/s0140-6736(19)32135-x</w:t>
      </w:r>
    </w:p>
    <w:p w14:paraId="74CE09D1" w14:textId="18BE772E" w:rsidR="005973D1" w:rsidRPr="005973D1" w:rsidRDefault="005973D1" w:rsidP="005973D1">
      <w:pPr>
        <w:pStyle w:val="EndNoteBibliography"/>
        <w:ind w:firstLine="0"/>
      </w:pPr>
      <w:r w:rsidRPr="005973D1">
        <w:t>19.</w:t>
      </w:r>
      <w:r w:rsidRPr="005973D1">
        <w:tab/>
        <w:t xml:space="preserve">Weir MR, Bakris GL, Bushinsky DA, Mayo MR, Garza D, Stasiv Y, et al. Patiromer in patients with kidney disease and hyperkalemia receiving RAAS inhibitors. </w:t>
      </w:r>
      <w:r w:rsidRPr="005973D1">
        <w:rPr>
          <w:i/>
        </w:rPr>
        <w:t xml:space="preserve">N Engl J Med </w:t>
      </w:r>
      <w:r w:rsidRPr="005973D1">
        <w:t>2015;</w:t>
      </w:r>
      <w:r w:rsidRPr="005973D1">
        <w:rPr>
          <w:b/>
        </w:rPr>
        <w:t>372</w:t>
      </w:r>
      <w:r w:rsidRPr="005973D1">
        <w:t xml:space="preserve">:211–221. doi: </w:t>
      </w:r>
      <w:r w:rsidRPr="00B607E6">
        <w:t>https://doi.org/10.1056/NEJMoa1410853</w:t>
      </w:r>
    </w:p>
    <w:p w14:paraId="4EE4B62E" w14:textId="35606847" w:rsidR="005973D1" w:rsidRPr="005973D1" w:rsidRDefault="005973D1" w:rsidP="005973D1">
      <w:pPr>
        <w:pStyle w:val="EndNoteBibliography"/>
        <w:ind w:firstLine="0"/>
      </w:pPr>
      <w:r w:rsidRPr="005973D1">
        <w:t>20.</w:t>
      </w:r>
      <w:r w:rsidRPr="005973D1">
        <w:tab/>
        <w:t xml:space="preserve">Pitt B, Anker SD, Bushinsky DA, Kitzman DW, Zannad F, Huang IZ, et al. Evaluation of the efficacy and safety of RLY5016, a polymeric potassium binder, in a double-blind, placebo-controlled study in patients with chronic heart failure (the PEARL-HF) trial. </w:t>
      </w:r>
      <w:r w:rsidRPr="005973D1">
        <w:rPr>
          <w:i/>
        </w:rPr>
        <w:t xml:space="preserve">Eur Heart J </w:t>
      </w:r>
      <w:r w:rsidRPr="005973D1">
        <w:t>2011;</w:t>
      </w:r>
      <w:r w:rsidRPr="005973D1">
        <w:rPr>
          <w:b/>
        </w:rPr>
        <w:t>32</w:t>
      </w:r>
      <w:r w:rsidRPr="005973D1">
        <w:t xml:space="preserve">:820–828. doi: </w:t>
      </w:r>
      <w:r w:rsidRPr="00B607E6">
        <w:t>https://doi.org/10.1093/eurheartj/ehq502</w:t>
      </w:r>
    </w:p>
    <w:p w14:paraId="1F78D536" w14:textId="13D43E3D" w:rsidR="005973D1" w:rsidRPr="005973D1" w:rsidRDefault="005973D1" w:rsidP="005973D1">
      <w:pPr>
        <w:pStyle w:val="EndNoteBibliography"/>
        <w:ind w:firstLine="0"/>
      </w:pPr>
      <w:r w:rsidRPr="005973D1">
        <w:t>21.</w:t>
      </w:r>
      <w:r w:rsidRPr="005973D1">
        <w:tab/>
        <w:t xml:space="preserve">Johnson ES, Weinstein JR, Thorp ML, Platt RW, Petrik AF, Yang X, et al. Predicting the risk of hyperkalemia in patients with chronic kidney disease starting lisinopril. </w:t>
      </w:r>
      <w:r w:rsidRPr="005973D1">
        <w:rPr>
          <w:i/>
        </w:rPr>
        <w:t xml:space="preserve">Pharmacoepidemiol Drug Saf </w:t>
      </w:r>
      <w:r w:rsidRPr="005973D1">
        <w:t>2010;</w:t>
      </w:r>
      <w:r w:rsidRPr="005973D1">
        <w:rPr>
          <w:b/>
        </w:rPr>
        <w:t>19</w:t>
      </w:r>
      <w:r w:rsidRPr="005973D1">
        <w:t xml:space="preserve">:266–272. doi: </w:t>
      </w:r>
      <w:r w:rsidRPr="00B607E6">
        <w:t>https://doi.org/10.1002/pds.1923</w:t>
      </w:r>
    </w:p>
    <w:p w14:paraId="2D7047B4" w14:textId="07CFA2B1" w:rsidR="005973D1" w:rsidRPr="005973D1" w:rsidRDefault="005973D1" w:rsidP="005973D1">
      <w:pPr>
        <w:pStyle w:val="EndNoteBibliography"/>
        <w:ind w:firstLine="0"/>
      </w:pPr>
      <w:r w:rsidRPr="005973D1">
        <w:t>22.</w:t>
      </w:r>
      <w:r w:rsidRPr="005973D1">
        <w:tab/>
        <w:t xml:space="preserve">Bandak G, Sang Y, Gasparini A, Chang AR, Ballew SH, Evans M, et al. Hyperkalemia After Initiating Renin-Angiotensin System Blockade: The Stockholm Creatinine Measurements (SCREAM) Project. </w:t>
      </w:r>
      <w:r w:rsidRPr="005973D1">
        <w:rPr>
          <w:i/>
        </w:rPr>
        <w:t xml:space="preserve">J Am Heart Assoc </w:t>
      </w:r>
      <w:r w:rsidRPr="005973D1">
        <w:t>2017;</w:t>
      </w:r>
      <w:r w:rsidRPr="005973D1">
        <w:rPr>
          <w:b/>
        </w:rPr>
        <w:t>6</w:t>
      </w:r>
      <w:r w:rsidRPr="005973D1">
        <w:t xml:space="preserve">:e005428. doi: </w:t>
      </w:r>
      <w:r w:rsidRPr="00B607E6">
        <w:t>https://doi.org/10.1161/JAHA.116.005428</w:t>
      </w:r>
    </w:p>
    <w:p w14:paraId="42220EFB" w14:textId="6E146F26" w:rsidR="005973D1" w:rsidRPr="005973D1" w:rsidRDefault="005973D1" w:rsidP="005973D1">
      <w:pPr>
        <w:pStyle w:val="EndNoteBibliography"/>
        <w:ind w:firstLine="0"/>
      </w:pPr>
      <w:r w:rsidRPr="005973D1">
        <w:t>23.</w:t>
      </w:r>
      <w:r w:rsidRPr="005973D1">
        <w:tab/>
        <w:t xml:space="preserve">Sharma A, Alvarez PJ, Woods SD, Dai D. A Model to Predict Risk of Hyperkalemia in Patients with Chronic Kidney Disease Using a Large Administrative Claims Database. </w:t>
      </w:r>
      <w:r w:rsidRPr="005973D1">
        <w:rPr>
          <w:i/>
        </w:rPr>
        <w:t xml:space="preserve">Clinicoecon Outcomes Res </w:t>
      </w:r>
      <w:r w:rsidRPr="005973D1">
        <w:t>2020;</w:t>
      </w:r>
      <w:r w:rsidRPr="005973D1">
        <w:rPr>
          <w:b/>
        </w:rPr>
        <w:t>12</w:t>
      </w:r>
      <w:r w:rsidRPr="005973D1">
        <w:t xml:space="preserve">:657–667. doi: </w:t>
      </w:r>
      <w:r w:rsidRPr="00B607E6">
        <w:t>https://doi.org/10.2147/ceor.S267063</w:t>
      </w:r>
    </w:p>
    <w:p w14:paraId="5D1B4986" w14:textId="60822053" w:rsidR="005973D1" w:rsidRPr="005973D1" w:rsidRDefault="005973D1" w:rsidP="005973D1">
      <w:pPr>
        <w:pStyle w:val="EndNoteBibliography"/>
        <w:ind w:firstLine="0"/>
      </w:pPr>
      <w:r w:rsidRPr="005973D1">
        <w:t>24.</w:t>
      </w:r>
      <w:r w:rsidRPr="005973D1">
        <w:tab/>
        <w:t xml:space="preserve">Xue C, Zhou C, Yang B, Ye X, Xu J, Lu Y, et al. A Nomogram to Identify Hyperkalemia Risk in Patients with Advanced CKD. </w:t>
      </w:r>
      <w:r w:rsidRPr="005973D1">
        <w:rPr>
          <w:i/>
        </w:rPr>
        <w:t xml:space="preserve">Kidney360 </w:t>
      </w:r>
      <w:r w:rsidRPr="005973D1">
        <w:t>2022;</w:t>
      </w:r>
      <w:r w:rsidRPr="005973D1">
        <w:rPr>
          <w:b/>
        </w:rPr>
        <w:t>3</w:t>
      </w:r>
      <w:r w:rsidRPr="005973D1">
        <w:t xml:space="preserve">:1699–1709. doi: </w:t>
      </w:r>
      <w:r w:rsidRPr="00B607E6">
        <w:t>https://doi.org/10.34067/kid.0004752022</w:t>
      </w:r>
    </w:p>
    <w:p w14:paraId="46B9A6D5" w14:textId="3A7B08ED" w:rsidR="005973D1" w:rsidRPr="005973D1" w:rsidRDefault="005973D1" w:rsidP="005973D1">
      <w:pPr>
        <w:pStyle w:val="EndNoteBibliography"/>
        <w:ind w:firstLine="0"/>
      </w:pPr>
      <w:r w:rsidRPr="005973D1">
        <w:t>25.</w:t>
      </w:r>
      <w:r w:rsidRPr="005973D1">
        <w:tab/>
        <w:t xml:space="preserve">Chang HH, Chiang JH, Tsai CC, Chiu PF. Predicting hyperkalemia in patients with advanced chronic kidney disease using the XGBoost model. </w:t>
      </w:r>
      <w:r w:rsidRPr="005973D1">
        <w:rPr>
          <w:i/>
        </w:rPr>
        <w:t xml:space="preserve">BMC Nephrol </w:t>
      </w:r>
      <w:r w:rsidRPr="005973D1">
        <w:t>2023;</w:t>
      </w:r>
      <w:r w:rsidRPr="005973D1">
        <w:rPr>
          <w:b/>
        </w:rPr>
        <w:t>24</w:t>
      </w:r>
      <w:r w:rsidRPr="005973D1">
        <w:t xml:space="preserve">:169. doi: </w:t>
      </w:r>
      <w:r w:rsidRPr="00B607E6">
        <w:t>https://doi.org/10.1186/s12882-023-03227-w</w:t>
      </w:r>
    </w:p>
    <w:p w14:paraId="47CAEA71" w14:textId="4233A3A4" w:rsidR="005973D1" w:rsidRPr="005973D1" w:rsidRDefault="005973D1" w:rsidP="005973D1">
      <w:pPr>
        <w:pStyle w:val="EndNoteBibliography"/>
        <w:ind w:firstLine="0"/>
      </w:pPr>
      <w:r w:rsidRPr="005973D1">
        <w:t>26.</w:t>
      </w:r>
      <w:r w:rsidRPr="005973D1">
        <w:tab/>
        <w:t xml:space="preserve">Mei Z, Chen J, Chen P, Luo S, Jin L, Zhou L. A nomogram to predict hyperkalemia in patients with hemodialysis: a retrospective cohort study. </w:t>
      </w:r>
      <w:r w:rsidRPr="005973D1">
        <w:rPr>
          <w:i/>
        </w:rPr>
        <w:t xml:space="preserve">BMC Nephrol </w:t>
      </w:r>
      <w:r w:rsidRPr="005973D1">
        <w:t>2022;</w:t>
      </w:r>
      <w:r w:rsidRPr="005973D1">
        <w:rPr>
          <w:b/>
        </w:rPr>
        <w:t>23</w:t>
      </w:r>
      <w:r w:rsidRPr="005973D1">
        <w:t xml:space="preserve">:351. doi: </w:t>
      </w:r>
      <w:r w:rsidRPr="00B607E6">
        <w:t>https://doi.org/10.1186/s12882-022-02976-4</w:t>
      </w:r>
    </w:p>
    <w:p w14:paraId="05D411E7" w14:textId="32014416" w:rsidR="005973D1" w:rsidRPr="005973D1" w:rsidRDefault="005973D1" w:rsidP="005973D1">
      <w:pPr>
        <w:pStyle w:val="EndNoteBibliography"/>
        <w:ind w:firstLine="0"/>
      </w:pPr>
      <w:r w:rsidRPr="005973D1">
        <w:t>27.</w:t>
      </w:r>
      <w:r w:rsidRPr="005973D1">
        <w:tab/>
        <w:t xml:space="preserve">Rafique Z, Peacock F, Armstead T, Bischof JJ, Hudson J, Weir MR, et al. Hyperkalemia management in the emergency department: An expert panel consensus. </w:t>
      </w:r>
      <w:r w:rsidRPr="005973D1">
        <w:rPr>
          <w:i/>
        </w:rPr>
        <w:t xml:space="preserve">J Am Coll Emerg Physicians Open </w:t>
      </w:r>
      <w:r w:rsidRPr="005973D1">
        <w:t>2021;</w:t>
      </w:r>
      <w:r w:rsidRPr="005973D1">
        <w:rPr>
          <w:b/>
        </w:rPr>
        <w:t>2</w:t>
      </w:r>
      <w:r w:rsidRPr="005973D1">
        <w:t xml:space="preserve">:e12572. doi: </w:t>
      </w:r>
      <w:r w:rsidRPr="00B607E6">
        <w:t>https://doi.org/10.1002/emp2.12572</w:t>
      </w:r>
    </w:p>
    <w:p w14:paraId="6E8FA94E" w14:textId="7048D130" w:rsidR="0063751A" w:rsidRDefault="0063751A" w:rsidP="00AC5DE9">
      <w:pPr>
        <w:pStyle w:val="EndNoteBibliography"/>
        <w:ind w:firstLine="0"/>
        <w:rPr>
          <w:noProof w:val="0"/>
        </w:rPr>
      </w:pPr>
    </w:p>
    <w:sectPr w:rsidR="0063751A" w:rsidSect="00AC5DE9">
      <w:footerReference w:type="default" r:id="rId12"/>
      <w:footnotePr>
        <w:numFmt w:val="lowerLetter"/>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6FD8" w14:textId="77777777" w:rsidR="00E826C2" w:rsidRPr="005117E6" w:rsidRDefault="00E826C2" w:rsidP="00E16082">
      <w:r w:rsidRPr="005117E6">
        <w:separator/>
      </w:r>
    </w:p>
  </w:endnote>
  <w:endnote w:type="continuationSeparator" w:id="0">
    <w:p w14:paraId="2E782BB8" w14:textId="77777777" w:rsidR="00E826C2" w:rsidRPr="005117E6" w:rsidRDefault="00E826C2" w:rsidP="00E16082">
      <w:r w:rsidRPr="005117E6">
        <w:continuationSeparator/>
      </w:r>
    </w:p>
  </w:endnote>
  <w:endnote w:type="continuationNotice" w:id="1">
    <w:p w14:paraId="3DAFDB85" w14:textId="77777777" w:rsidR="00E826C2" w:rsidRPr="005117E6" w:rsidRDefault="00E826C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817554"/>
      <w:docPartObj>
        <w:docPartGallery w:val="Page Numbers (Bottom of Page)"/>
        <w:docPartUnique/>
      </w:docPartObj>
    </w:sdtPr>
    <w:sdtEndPr/>
    <w:sdtContent>
      <w:p w14:paraId="2433DBC3" w14:textId="4EDE0BC9" w:rsidR="00915752" w:rsidRPr="005117E6" w:rsidRDefault="00915752" w:rsidP="00121E36">
        <w:pPr>
          <w:pStyle w:val="Footer"/>
        </w:pPr>
        <w:r w:rsidRPr="005117E6">
          <w:fldChar w:fldCharType="begin"/>
        </w:r>
        <w:r w:rsidRPr="005117E6">
          <w:instrText xml:space="preserve"> PAGE   \* MERGEFORMAT </w:instrText>
        </w:r>
        <w:r w:rsidRPr="005117E6">
          <w:fldChar w:fldCharType="separate"/>
        </w:r>
        <w:r w:rsidRPr="005117E6">
          <w:t>2</w:t>
        </w:r>
        <w:r w:rsidRPr="005117E6">
          <w:fldChar w:fldCharType="end"/>
        </w:r>
      </w:p>
    </w:sdtContent>
  </w:sdt>
  <w:p w14:paraId="3C478DC9" w14:textId="77777777" w:rsidR="00915752" w:rsidRPr="005117E6" w:rsidRDefault="0091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6DCC" w14:textId="77777777" w:rsidR="00E826C2" w:rsidRPr="005117E6" w:rsidRDefault="00E826C2" w:rsidP="00E16082">
      <w:r w:rsidRPr="005117E6">
        <w:separator/>
      </w:r>
    </w:p>
  </w:footnote>
  <w:footnote w:type="continuationSeparator" w:id="0">
    <w:p w14:paraId="14C6A484" w14:textId="77777777" w:rsidR="00E826C2" w:rsidRPr="005117E6" w:rsidRDefault="00E826C2" w:rsidP="00E16082">
      <w:r w:rsidRPr="005117E6">
        <w:continuationSeparator/>
      </w:r>
    </w:p>
  </w:footnote>
  <w:footnote w:type="continuationNotice" w:id="1">
    <w:p w14:paraId="1B9B5C1C" w14:textId="77777777" w:rsidR="00E826C2" w:rsidRPr="005117E6" w:rsidRDefault="00E826C2">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6DDC"/>
    <w:multiLevelType w:val="hybridMultilevel"/>
    <w:tmpl w:val="ADAE6A8A"/>
    <w:lvl w:ilvl="0" w:tplc="994EBF80">
      <w:start w:val="1"/>
      <w:numFmt w:val="decimal"/>
      <w:lvlText w:val="%1)"/>
      <w:lvlJc w:val="left"/>
      <w:pPr>
        <w:ind w:left="720" w:hanging="360"/>
      </w:pPr>
    </w:lvl>
    <w:lvl w:ilvl="1" w:tplc="1DEEA6E6">
      <w:start w:val="1"/>
      <w:numFmt w:val="decimal"/>
      <w:lvlText w:val="%2)"/>
      <w:lvlJc w:val="left"/>
      <w:pPr>
        <w:ind w:left="720" w:hanging="360"/>
      </w:pPr>
    </w:lvl>
    <w:lvl w:ilvl="2" w:tplc="77265FF0">
      <w:start w:val="1"/>
      <w:numFmt w:val="decimal"/>
      <w:lvlText w:val="%3)"/>
      <w:lvlJc w:val="left"/>
      <w:pPr>
        <w:ind w:left="720" w:hanging="360"/>
      </w:pPr>
    </w:lvl>
    <w:lvl w:ilvl="3" w:tplc="EE303D0C">
      <w:start w:val="1"/>
      <w:numFmt w:val="decimal"/>
      <w:lvlText w:val="%4)"/>
      <w:lvlJc w:val="left"/>
      <w:pPr>
        <w:ind w:left="720" w:hanging="360"/>
      </w:pPr>
    </w:lvl>
    <w:lvl w:ilvl="4" w:tplc="5400EC9C">
      <w:start w:val="1"/>
      <w:numFmt w:val="decimal"/>
      <w:lvlText w:val="%5)"/>
      <w:lvlJc w:val="left"/>
      <w:pPr>
        <w:ind w:left="720" w:hanging="360"/>
      </w:pPr>
    </w:lvl>
    <w:lvl w:ilvl="5" w:tplc="A2528AE2">
      <w:start w:val="1"/>
      <w:numFmt w:val="decimal"/>
      <w:lvlText w:val="%6)"/>
      <w:lvlJc w:val="left"/>
      <w:pPr>
        <w:ind w:left="720" w:hanging="360"/>
      </w:pPr>
    </w:lvl>
    <w:lvl w:ilvl="6" w:tplc="7D4A197E">
      <w:start w:val="1"/>
      <w:numFmt w:val="decimal"/>
      <w:lvlText w:val="%7)"/>
      <w:lvlJc w:val="left"/>
      <w:pPr>
        <w:ind w:left="720" w:hanging="360"/>
      </w:pPr>
    </w:lvl>
    <w:lvl w:ilvl="7" w:tplc="39C24FB6">
      <w:start w:val="1"/>
      <w:numFmt w:val="decimal"/>
      <w:lvlText w:val="%8)"/>
      <w:lvlJc w:val="left"/>
      <w:pPr>
        <w:ind w:left="720" w:hanging="360"/>
      </w:pPr>
    </w:lvl>
    <w:lvl w:ilvl="8" w:tplc="79EE259C">
      <w:start w:val="1"/>
      <w:numFmt w:val="decimal"/>
      <w:lvlText w:val="%9)"/>
      <w:lvlJc w:val="left"/>
      <w:pPr>
        <w:ind w:left="720" w:hanging="360"/>
      </w:pPr>
    </w:lvl>
  </w:abstractNum>
  <w:abstractNum w:abstractNumId="1" w15:restartNumberingAfterBreak="0">
    <w:nsid w:val="64805C62"/>
    <w:multiLevelType w:val="hybridMultilevel"/>
    <w:tmpl w:val="11E01328"/>
    <w:lvl w:ilvl="0" w:tplc="387C6E58">
      <w:start w:val="1"/>
      <w:numFmt w:val="decimal"/>
      <w:pStyle w:val="Heading3"/>
      <w:suff w:val="space"/>
      <w:lvlText w:val="Recommendation %1. "/>
      <w:lvlJc w:val="left"/>
      <w:pPr>
        <w:ind w:left="425" w:firstLine="0"/>
      </w:pPr>
    </w:lvl>
    <w:lvl w:ilvl="1" w:tplc="08090019">
      <w:start w:val="1"/>
      <w:numFmt w:val="lowerLetter"/>
      <w:lvlText w:val="%2."/>
      <w:lvlJc w:val="left"/>
      <w:pPr>
        <w:ind w:left="-295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1514" w:hanging="360"/>
      </w:pPr>
    </w:lvl>
    <w:lvl w:ilvl="4" w:tplc="08090019" w:tentative="1">
      <w:start w:val="1"/>
      <w:numFmt w:val="lowerLetter"/>
      <w:lvlText w:val="%5."/>
      <w:lvlJc w:val="left"/>
      <w:pPr>
        <w:ind w:left="-794" w:hanging="360"/>
      </w:pPr>
    </w:lvl>
    <w:lvl w:ilvl="5" w:tplc="0809001B" w:tentative="1">
      <w:start w:val="1"/>
      <w:numFmt w:val="lowerRoman"/>
      <w:lvlText w:val="%6."/>
      <w:lvlJc w:val="right"/>
      <w:pPr>
        <w:ind w:left="-74" w:hanging="180"/>
      </w:pPr>
    </w:lvl>
    <w:lvl w:ilvl="6" w:tplc="0809000F" w:tentative="1">
      <w:start w:val="1"/>
      <w:numFmt w:val="decimal"/>
      <w:lvlText w:val="%7."/>
      <w:lvlJc w:val="left"/>
      <w:pPr>
        <w:ind w:left="646" w:hanging="360"/>
      </w:pPr>
    </w:lvl>
    <w:lvl w:ilvl="7" w:tplc="08090019" w:tentative="1">
      <w:start w:val="1"/>
      <w:numFmt w:val="lowerLetter"/>
      <w:lvlText w:val="%8."/>
      <w:lvlJc w:val="left"/>
      <w:pPr>
        <w:ind w:left="1366" w:hanging="360"/>
      </w:pPr>
    </w:lvl>
    <w:lvl w:ilvl="8" w:tplc="0809001B" w:tentative="1">
      <w:start w:val="1"/>
      <w:numFmt w:val="lowerRoman"/>
      <w:lvlText w:val="%9."/>
      <w:lvlJc w:val="right"/>
      <w:pPr>
        <w:ind w:left="2086" w:hanging="180"/>
      </w:pPr>
    </w:lvl>
  </w:abstractNum>
  <w:num w:numId="1" w16cid:durableId="2099980185">
    <w:abstractNumId w:val="1"/>
  </w:num>
  <w:num w:numId="2" w16cid:durableId="2221836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trackRevisions/>
  <w:defaultTabStop w:val="720"/>
  <w:hyphenationZone w:val="425"/>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Euro Heart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x0xf5pdavxlexre4p0fxopa0fwzr0t5td&quot;&gt;HKSteerCo&lt;record-ids&gt;&lt;item&gt;2&lt;/item&gt;&lt;item&gt;5&lt;/item&gt;&lt;item&gt;7&lt;/item&gt;&lt;item&gt;11&lt;/item&gt;&lt;item&gt;12&lt;/item&gt;&lt;item&gt;23&lt;/item&gt;&lt;item&gt;27&lt;/item&gt;&lt;item&gt;28&lt;/item&gt;&lt;item&gt;29&lt;/item&gt;&lt;item&gt;42&lt;/item&gt;&lt;item&gt;54&lt;/item&gt;&lt;item&gt;55&lt;/item&gt;&lt;item&gt;56&lt;/item&gt;&lt;item&gt;57&lt;/item&gt;&lt;item&gt;64&lt;/item&gt;&lt;item&gt;65&lt;/item&gt;&lt;item&gt;66&lt;/item&gt;&lt;item&gt;67&lt;/item&gt;&lt;item&gt;72&lt;/item&gt;&lt;item&gt;76&lt;/item&gt;&lt;item&gt;78&lt;/item&gt;&lt;item&gt;98&lt;/item&gt;&lt;item&gt;101&lt;/item&gt;&lt;item&gt;103&lt;/item&gt;&lt;item&gt;111&lt;/item&gt;&lt;item&gt;121&lt;/item&gt;&lt;item&gt;123&lt;/item&gt;&lt;/record-ids&gt;&lt;/item&gt;&lt;/Libraries&gt;"/>
  </w:docVars>
  <w:rsids>
    <w:rsidRoot w:val="002D2C95"/>
    <w:rsid w:val="00000226"/>
    <w:rsid w:val="00000781"/>
    <w:rsid w:val="00001B5E"/>
    <w:rsid w:val="00003BDD"/>
    <w:rsid w:val="00005D97"/>
    <w:rsid w:val="000063FD"/>
    <w:rsid w:val="00006EF2"/>
    <w:rsid w:val="00007E98"/>
    <w:rsid w:val="0001012D"/>
    <w:rsid w:val="00010B3C"/>
    <w:rsid w:val="00012480"/>
    <w:rsid w:val="00014228"/>
    <w:rsid w:val="000144E5"/>
    <w:rsid w:val="00016370"/>
    <w:rsid w:val="000175B7"/>
    <w:rsid w:val="00017BA1"/>
    <w:rsid w:val="00020158"/>
    <w:rsid w:val="00020186"/>
    <w:rsid w:val="00022B3E"/>
    <w:rsid w:val="00022F44"/>
    <w:rsid w:val="00023A88"/>
    <w:rsid w:val="00024C25"/>
    <w:rsid w:val="000266A1"/>
    <w:rsid w:val="000269FB"/>
    <w:rsid w:val="000276A2"/>
    <w:rsid w:val="000278D5"/>
    <w:rsid w:val="00030547"/>
    <w:rsid w:val="0003185F"/>
    <w:rsid w:val="00031B73"/>
    <w:rsid w:val="00031F7C"/>
    <w:rsid w:val="00032AFE"/>
    <w:rsid w:val="00035E19"/>
    <w:rsid w:val="000370C7"/>
    <w:rsid w:val="00040A9C"/>
    <w:rsid w:val="0004114B"/>
    <w:rsid w:val="00042CB6"/>
    <w:rsid w:val="00042D2D"/>
    <w:rsid w:val="00043EE9"/>
    <w:rsid w:val="000445CA"/>
    <w:rsid w:val="00044A5A"/>
    <w:rsid w:val="00044B12"/>
    <w:rsid w:val="00045A6C"/>
    <w:rsid w:val="000470DD"/>
    <w:rsid w:val="0004714E"/>
    <w:rsid w:val="00047377"/>
    <w:rsid w:val="000504CC"/>
    <w:rsid w:val="0005129A"/>
    <w:rsid w:val="00051376"/>
    <w:rsid w:val="0005139A"/>
    <w:rsid w:val="000521D1"/>
    <w:rsid w:val="00053417"/>
    <w:rsid w:val="00053860"/>
    <w:rsid w:val="00053954"/>
    <w:rsid w:val="00053983"/>
    <w:rsid w:val="000555D0"/>
    <w:rsid w:val="00055C3D"/>
    <w:rsid w:val="000565C4"/>
    <w:rsid w:val="00060846"/>
    <w:rsid w:val="00060856"/>
    <w:rsid w:val="00060B35"/>
    <w:rsid w:val="00062704"/>
    <w:rsid w:val="000643F3"/>
    <w:rsid w:val="00064734"/>
    <w:rsid w:val="000652D4"/>
    <w:rsid w:val="000654FE"/>
    <w:rsid w:val="00065EAC"/>
    <w:rsid w:val="0006665A"/>
    <w:rsid w:val="000714B0"/>
    <w:rsid w:val="00071800"/>
    <w:rsid w:val="0007229C"/>
    <w:rsid w:val="000733E6"/>
    <w:rsid w:val="00073788"/>
    <w:rsid w:val="00074481"/>
    <w:rsid w:val="00074748"/>
    <w:rsid w:val="00074816"/>
    <w:rsid w:val="00074820"/>
    <w:rsid w:val="00074989"/>
    <w:rsid w:val="000759D2"/>
    <w:rsid w:val="00075BA4"/>
    <w:rsid w:val="00076B7C"/>
    <w:rsid w:val="00077056"/>
    <w:rsid w:val="00077DAC"/>
    <w:rsid w:val="00080410"/>
    <w:rsid w:val="0008062E"/>
    <w:rsid w:val="0008116F"/>
    <w:rsid w:val="000814FB"/>
    <w:rsid w:val="000819C4"/>
    <w:rsid w:val="00081B14"/>
    <w:rsid w:val="00081E12"/>
    <w:rsid w:val="00081F10"/>
    <w:rsid w:val="000829A5"/>
    <w:rsid w:val="00082EAE"/>
    <w:rsid w:val="00083A67"/>
    <w:rsid w:val="00083E5E"/>
    <w:rsid w:val="00083FFD"/>
    <w:rsid w:val="000846D1"/>
    <w:rsid w:val="00085120"/>
    <w:rsid w:val="00085C62"/>
    <w:rsid w:val="000908CF"/>
    <w:rsid w:val="0009158F"/>
    <w:rsid w:val="0009175A"/>
    <w:rsid w:val="00093E0E"/>
    <w:rsid w:val="00094BF5"/>
    <w:rsid w:val="00095145"/>
    <w:rsid w:val="00095922"/>
    <w:rsid w:val="000A072A"/>
    <w:rsid w:val="000A0830"/>
    <w:rsid w:val="000A173F"/>
    <w:rsid w:val="000A1FF6"/>
    <w:rsid w:val="000A48BA"/>
    <w:rsid w:val="000A4AFF"/>
    <w:rsid w:val="000A5CA7"/>
    <w:rsid w:val="000A6038"/>
    <w:rsid w:val="000A6E71"/>
    <w:rsid w:val="000A7A45"/>
    <w:rsid w:val="000B1716"/>
    <w:rsid w:val="000B22EA"/>
    <w:rsid w:val="000B299A"/>
    <w:rsid w:val="000B2EFC"/>
    <w:rsid w:val="000B3A44"/>
    <w:rsid w:val="000B5532"/>
    <w:rsid w:val="000B6CDD"/>
    <w:rsid w:val="000B7FA9"/>
    <w:rsid w:val="000C3614"/>
    <w:rsid w:val="000C3AC8"/>
    <w:rsid w:val="000C4C65"/>
    <w:rsid w:val="000C569B"/>
    <w:rsid w:val="000C6C8C"/>
    <w:rsid w:val="000C77BA"/>
    <w:rsid w:val="000D02DE"/>
    <w:rsid w:val="000D039C"/>
    <w:rsid w:val="000D0B66"/>
    <w:rsid w:val="000D1E5B"/>
    <w:rsid w:val="000D218E"/>
    <w:rsid w:val="000D27C3"/>
    <w:rsid w:val="000D296D"/>
    <w:rsid w:val="000D4787"/>
    <w:rsid w:val="000D51A9"/>
    <w:rsid w:val="000D7531"/>
    <w:rsid w:val="000E176D"/>
    <w:rsid w:val="000E1ABD"/>
    <w:rsid w:val="000E1EE7"/>
    <w:rsid w:val="000E3E63"/>
    <w:rsid w:val="000E42A5"/>
    <w:rsid w:val="000E49A7"/>
    <w:rsid w:val="000E5835"/>
    <w:rsid w:val="000E69B9"/>
    <w:rsid w:val="000F02C8"/>
    <w:rsid w:val="000F0983"/>
    <w:rsid w:val="000F09A5"/>
    <w:rsid w:val="000F1E35"/>
    <w:rsid w:val="000F22FA"/>
    <w:rsid w:val="000F4052"/>
    <w:rsid w:val="000F4745"/>
    <w:rsid w:val="000F4B0B"/>
    <w:rsid w:val="000F5A2C"/>
    <w:rsid w:val="000F5C3E"/>
    <w:rsid w:val="000F5F8A"/>
    <w:rsid w:val="000F69BD"/>
    <w:rsid w:val="000F7611"/>
    <w:rsid w:val="00100DE4"/>
    <w:rsid w:val="001013DE"/>
    <w:rsid w:val="00102D8E"/>
    <w:rsid w:val="00103890"/>
    <w:rsid w:val="001047FA"/>
    <w:rsid w:val="001061D8"/>
    <w:rsid w:val="00106215"/>
    <w:rsid w:val="00107380"/>
    <w:rsid w:val="001105F6"/>
    <w:rsid w:val="00111C49"/>
    <w:rsid w:val="00112CA0"/>
    <w:rsid w:val="00112E60"/>
    <w:rsid w:val="001141FB"/>
    <w:rsid w:val="00115767"/>
    <w:rsid w:val="001160FB"/>
    <w:rsid w:val="00116CCB"/>
    <w:rsid w:val="00116CF1"/>
    <w:rsid w:val="001176E6"/>
    <w:rsid w:val="00117A0E"/>
    <w:rsid w:val="0012112E"/>
    <w:rsid w:val="00121E36"/>
    <w:rsid w:val="001228E5"/>
    <w:rsid w:val="001229E7"/>
    <w:rsid w:val="00122F56"/>
    <w:rsid w:val="00123946"/>
    <w:rsid w:val="00124C56"/>
    <w:rsid w:val="00125326"/>
    <w:rsid w:val="00127404"/>
    <w:rsid w:val="00127921"/>
    <w:rsid w:val="00131317"/>
    <w:rsid w:val="00132073"/>
    <w:rsid w:val="0013443B"/>
    <w:rsid w:val="0014524D"/>
    <w:rsid w:val="001458FD"/>
    <w:rsid w:val="0014608E"/>
    <w:rsid w:val="00146233"/>
    <w:rsid w:val="0014760D"/>
    <w:rsid w:val="00147A43"/>
    <w:rsid w:val="0015055F"/>
    <w:rsid w:val="00150BCC"/>
    <w:rsid w:val="00150C0A"/>
    <w:rsid w:val="00150FE6"/>
    <w:rsid w:val="00151564"/>
    <w:rsid w:val="00151BFC"/>
    <w:rsid w:val="00153490"/>
    <w:rsid w:val="00153620"/>
    <w:rsid w:val="0015368B"/>
    <w:rsid w:val="00153CE5"/>
    <w:rsid w:val="00155733"/>
    <w:rsid w:val="00155A93"/>
    <w:rsid w:val="00157A9B"/>
    <w:rsid w:val="00160C5A"/>
    <w:rsid w:val="00160EBF"/>
    <w:rsid w:val="00162543"/>
    <w:rsid w:val="001625B7"/>
    <w:rsid w:val="0016286B"/>
    <w:rsid w:val="001641A6"/>
    <w:rsid w:val="00165348"/>
    <w:rsid w:val="00166E0C"/>
    <w:rsid w:val="00167922"/>
    <w:rsid w:val="00167981"/>
    <w:rsid w:val="001716AB"/>
    <w:rsid w:val="00173314"/>
    <w:rsid w:val="00173759"/>
    <w:rsid w:val="001747CC"/>
    <w:rsid w:val="001750F3"/>
    <w:rsid w:val="00175880"/>
    <w:rsid w:val="00175A5F"/>
    <w:rsid w:val="001820B4"/>
    <w:rsid w:val="00183247"/>
    <w:rsid w:val="00184AD4"/>
    <w:rsid w:val="001852DF"/>
    <w:rsid w:val="001855EC"/>
    <w:rsid w:val="00185FB3"/>
    <w:rsid w:val="0018682E"/>
    <w:rsid w:val="001874F1"/>
    <w:rsid w:val="001879F3"/>
    <w:rsid w:val="00187D78"/>
    <w:rsid w:val="00190D6F"/>
    <w:rsid w:val="00191C8C"/>
    <w:rsid w:val="00191E4B"/>
    <w:rsid w:val="00193F3B"/>
    <w:rsid w:val="00194580"/>
    <w:rsid w:val="0019738D"/>
    <w:rsid w:val="00197465"/>
    <w:rsid w:val="001A2889"/>
    <w:rsid w:val="001A2F24"/>
    <w:rsid w:val="001A3023"/>
    <w:rsid w:val="001A37B6"/>
    <w:rsid w:val="001A3E36"/>
    <w:rsid w:val="001A4753"/>
    <w:rsid w:val="001A4DA7"/>
    <w:rsid w:val="001A572A"/>
    <w:rsid w:val="001A5A5B"/>
    <w:rsid w:val="001A633B"/>
    <w:rsid w:val="001A66A5"/>
    <w:rsid w:val="001A69CF"/>
    <w:rsid w:val="001A6E97"/>
    <w:rsid w:val="001B1012"/>
    <w:rsid w:val="001B1E8A"/>
    <w:rsid w:val="001B22DE"/>
    <w:rsid w:val="001B2829"/>
    <w:rsid w:val="001B2900"/>
    <w:rsid w:val="001B2AEE"/>
    <w:rsid w:val="001B33BD"/>
    <w:rsid w:val="001B44A6"/>
    <w:rsid w:val="001B5E45"/>
    <w:rsid w:val="001B6166"/>
    <w:rsid w:val="001B7D34"/>
    <w:rsid w:val="001B7EC4"/>
    <w:rsid w:val="001C0BB3"/>
    <w:rsid w:val="001C1248"/>
    <w:rsid w:val="001C233A"/>
    <w:rsid w:val="001C2391"/>
    <w:rsid w:val="001C28DA"/>
    <w:rsid w:val="001C29D3"/>
    <w:rsid w:val="001C2AE7"/>
    <w:rsid w:val="001C2FEE"/>
    <w:rsid w:val="001C34EE"/>
    <w:rsid w:val="001C377B"/>
    <w:rsid w:val="001C4309"/>
    <w:rsid w:val="001C4690"/>
    <w:rsid w:val="001C4BEC"/>
    <w:rsid w:val="001C4DC4"/>
    <w:rsid w:val="001C5A00"/>
    <w:rsid w:val="001C5C5C"/>
    <w:rsid w:val="001C5CB7"/>
    <w:rsid w:val="001C79B0"/>
    <w:rsid w:val="001D00DD"/>
    <w:rsid w:val="001D082C"/>
    <w:rsid w:val="001D0F0B"/>
    <w:rsid w:val="001D38C1"/>
    <w:rsid w:val="001D3E19"/>
    <w:rsid w:val="001D4A4F"/>
    <w:rsid w:val="001D587A"/>
    <w:rsid w:val="001D5D74"/>
    <w:rsid w:val="001D5F74"/>
    <w:rsid w:val="001D60FA"/>
    <w:rsid w:val="001D6C1F"/>
    <w:rsid w:val="001D7908"/>
    <w:rsid w:val="001E062E"/>
    <w:rsid w:val="001E0A6D"/>
    <w:rsid w:val="001E0B8D"/>
    <w:rsid w:val="001E1288"/>
    <w:rsid w:val="001E23FB"/>
    <w:rsid w:val="001E3920"/>
    <w:rsid w:val="001E3C19"/>
    <w:rsid w:val="001E4832"/>
    <w:rsid w:val="001E4A38"/>
    <w:rsid w:val="001E58A9"/>
    <w:rsid w:val="001E6B9D"/>
    <w:rsid w:val="001E7264"/>
    <w:rsid w:val="001E75DD"/>
    <w:rsid w:val="001F1257"/>
    <w:rsid w:val="001F1920"/>
    <w:rsid w:val="001F24F4"/>
    <w:rsid w:val="001F3710"/>
    <w:rsid w:val="001F5853"/>
    <w:rsid w:val="0020107A"/>
    <w:rsid w:val="00201588"/>
    <w:rsid w:val="00202410"/>
    <w:rsid w:val="00203DCE"/>
    <w:rsid w:val="002040AE"/>
    <w:rsid w:val="00204152"/>
    <w:rsid w:val="00205F71"/>
    <w:rsid w:val="00206B48"/>
    <w:rsid w:val="00207042"/>
    <w:rsid w:val="00207A04"/>
    <w:rsid w:val="00210471"/>
    <w:rsid w:val="002114D5"/>
    <w:rsid w:val="00211972"/>
    <w:rsid w:val="002119C8"/>
    <w:rsid w:val="00212204"/>
    <w:rsid w:val="002123F9"/>
    <w:rsid w:val="00212B99"/>
    <w:rsid w:val="00213007"/>
    <w:rsid w:val="00213AC2"/>
    <w:rsid w:val="00215291"/>
    <w:rsid w:val="002156A9"/>
    <w:rsid w:val="00216705"/>
    <w:rsid w:val="00217053"/>
    <w:rsid w:val="002201A2"/>
    <w:rsid w:val="00220A90"/>
    <w:rsid w:val="002213B2"/>
    <w:rsid w:val="00222677"/>
    <w:rsid w:val="002238CC"/>
    <w:rsid w:val="00223A4B"/>
    <w:rsid w:val="00223C72"/>
    <w:rsid w:val="00224A18"/>
    <w:rsid w:val="00224B44"/>
    <w:rsid w:val="00224DFB"/>
    <w:rsid w:val="0022540D"/>
    <w:rsid w:val="002259C7"/>
    <w:rsid w:val="00226617"/>
    <w:rsid w:val="00226EB1"/>
    <w:rsid w:val="00227B09"/>
    <w:rsid w:val="00230320"/>
    <w:rsid w:val="00230EAD"/>
    <w:rsid w:val="00231553"/>
    <w:rsid w:val="00233427"/>
    <w:rsid w:val="00234AA3"/>
    <w:rsid w:val="00235314"/>
    <w:rsid w:val="0023789F"/>
    <w:rsid w:val="0024024A"/>
    <w:rsid w:val="00240467"/>
    <w:rsid w:val="00241D95"/>
    <w:rsid w:val="00242B91"/>
    <w:rsid w:val="00243024"/>
    <w:rsid w:val="0024374E"/>
    <w:rsid w:val="002438F7"/>
    <w:rsid w:val="00244750"/>
    <w:rsid w:val="002448F0"/>
    <w:rsid w:val="00245106"/>
    <w:rsid w:val="00245ADC"/>
    <w:rsid w:val="00245FC8"/>
    <w:rsid w:val="00246B4B"/>
    <w:rsid w:val="00246ECB"/>
    <w:rsid w:val="0025026E"/>
    <w:rsid w:val="00250381"/>
    <w:rsid w:val="00250FF4"/>
    <w:rsid w:val="00251556"/>
    <w:rsid w:val="0025185B"/>
    <w:rsid w:val="0025213A"/>
    <w:rsid w:val="00252FF5"/>
    <w:rsid w:val="00253BFD"/>
    <w:rsid w:val="00253CF3"/>
    <w:rsid w:val="00253F9D"/>
    <w:rsid w:val="00255768"/>
    <w:rsid w:val="00256D31"/>
    <w:rsid w:val="002603AE"/>
    <w:rsid w:val="00261DF8"/>
    <w:rsid w:val="00262824"/>
    <w:rsid w:val="00262C7F"/>
    <w:rsid w:val="002645A4"/>
    <w:rsid w:val="00267110"/>
    <w:rsid w:val="00267711"/>
    <w:rsid w:val="00267A5A"/>
    <w:rsid w:val="0027025B"/>
    <w:rsid w:val="00271DD7"/>
    <w:rsid w:val="00271E48"/>
    <w:rsid w:val="00272020"/>
    <w:rsid w:val="00272BD7"/>
    <w:rsid w:val="002741CA"/>
    <w:rsid w:val="00274E8B"/>
    <w:rsid w:val="00274F16"/>
    <w:rsid w:val="002751B9"/>
    <w:rsid w:val="00275A24"/>
    <w:rsid w:val="00276065"/>
    <w:rsid w:val="0028054B"/>
    <w:rsid w:val="002805B6"/>
    <w:rsid w:val="0028167C"/>
    <w:rsid w:val="002816F7"/>
    <w:rsid w:val="002823D9"/>
    <w:rsid w:val="0028242C"/>
    <w:rsid w:val="00282D44"/>
    <w:rsid w:val="002834B2"/>
    <w:rsid w:val="00283BCB"/>
    <w:rsid w:val="00284CDC"/>
    <w:rsid w:val="00285065"/>
    <w:rsid w:val="00286530"/>
    <w:rsid w:val="00286D7B"/>
    <w:rsid w:val="00287E68"/>
    <w:rsid w:val="00290227"/>
    <w:rsid w:val="0029076B"/>
    <w:rsid w:val="002909CE"/>
    <w:rsid w:val="00291EB3"/>
    <w:rsid w:val="00292C98"/>
    <w:rsid w:val="00293BA2"/>
    <w:rsid w:val="002940F4"/>
    <w:rsid w:val="002950B5"/>
    <w:rsid w:val="00295C92"/>
    <w:rsid w:val="00297854"/>
    <w:rsid w:val="002A0DAC"/>
    <w:rsid w:val="002A17C6"/>
    <w:rsid w:val="002A1D43"/>
    <w:rsid w:val="002A21E9"/>
    <w:rsid w:val="002A2688"/>
    <w:rsid w:val="002A2C52"/>
    <w:rsid w:val="002A36FB"/>
    <w:rsid w:val="002A3833"/>
    <w:rsid w:val="002A4D80"/>
    <w:rsid w:val="002A5262"/>
    <w:rsid w:val="002A54C7"/>
    <w:rsid w:val="002A6432"/>
    <w:rsid w:val="002A7C5F"/>
    <w:rsid w:val="002A7D63"/>
    <w:rsid w:val="002B0FEC"/>
    <w:rsid w:val="002B1ACF"/>
    <w:rsid w:val="002B31E6"/>
    <w:rsid w:val="002B3667"/>
    <w:rsid w:val="002B47B7"/>
    <w:rsid w:val="002B5218"/>
    <w:rsid w:val="002B71B5"/>
    <w:rsid w:val="002C0E03"/>
    <w:rsid w:val="002C0E7B"/>
    <w:rsid w:val="002C11AA"/>
    <w:rsid w:val="002C1A6F"/>
    <w:rsid w:val="002C1F5E"/>
    <w:rsid w:val="002C2053"/>
    <w:rsid w:val="002C31FF"/>
    <w:rsid w:val="002C39B5"/>
    <w:rsid w:val="002C4027"/>
    <w:rsid w:val="002C4065"/>
    <w:rsid w:val="002C472C"/>
    <w:rsid w:val="002C47F1"/>
    <w:rsid w:val="002C51B8"/>
    <w:rsid w:val="002C529A"/>
    <w:rsid w:val="002C531E"/>
    <w:rsid w:val="002C6C18"/>
    <w:rsid w:val="002C6FB7"/>
    <w:rsid w:val="002C7F02"/>
    <w:rsid w:val="002D005C"/>
    <w:rsid w:val="002D015C"/>
    <w:rsid w:val="002D1D1A"/>
    <w:rsid w:val="002D1E4C"/>
    <w:rsid w:val="002D22E8"/>
    <w:rsid w:val="002D2C95"/>
    <w:rsid w:val="002D2E5C"/>
    <w:rsid w:val="002D42C4"/>
    <w:rsid w:val="002D4EA7"/>
    <w:rsid w:val="002D50C3"/>
    <w:rsid w:val="002D52DA"/>
    <w:rsid w:val="002D56BB"/>
    <w:rsid w:val="002D7575"/>
    <w:rsid w:val="002D7F6D"/>
    <w:rsid w:val="002E18C8"/>
    <w:rsid w:val="002E2272"/>
    <w:rsid w:val="002E238F"/>
    <w:rsid w:val="002E2F79"/>
    <w:rsid w:val="002E34D0"/>
    <w:rsid w:val="002E3799"/>
    <w:rsid w:val="002E4A2E"/>
    <w:rsid w:val="002E5FC3"/>
    <w:rsid w:val="002E6E01"/>
    <w:rsid w:val="002E789F"/>
    <w:rsid w:val="002F0997"/>
    <w:rsid w:val="002F116F"/>
    <w:rsid w:val="002F2018"/>
    <w:rsid w:val="002F2D3B"/>
    <w:rsid w:val="002F32EE"/>
    <w:rsid w:val="002F3AC4"/>
    <w:rsid w:val="002F462E"/>
    <w:rsid w:val="002F4FB6"/>
    <w:rsid w:val="002F539B"/>
    <w:rsid w:val="002F5723"/>
    <w:rsid w:val="002F6F9B"/>
    <w:rsid w:val="002F7F68"/>
    <w:rsid w:val="003001C3"/>
    <w:rsid w:val="00300C69"/>
    <w:rsid w:val="0030182D"/>
    <w:rsid w:val="0030184B"/>
    <w:rsid w:val="00301C5D"/>
    <w:rsid w:val="00302D95"/>
    <w:rsid w:val="00303AA3"/>
    <w:rsid w:val="00303C30"/>
    <w:rsid w:val="0030434D"/>
    <w:rsid w:val="0030464C"/>
    <w:rsid w:val="003061E3"/>
    <w:rsid w:val="00307063"/>
    <w:rsid w:val="003077FC"/>
    <w:rsid w:val="00307993"/>
    <w:rsid w:val="003118ED"/>
    <w:rsid w:val="00311A15"/>
    <w:rsid w:val="00312980"/>
    <w:rsid w:val="0031419B"/>
    <w:rsid w:val="003154A9"/>
    <w:rsid w:val="00316853"/>
    <w:rsid w:val="00316CCE"/>
    <w:rsid w:val="00316FDE"/>
    <w:rsid w:val="00317D48"/>
    <w:rsid w:val="00321F98"/>
    <w:rsid w:val="00322B49"/>
    <w:rsid w:val="0032391E"/>
    <w:rsid w:val="00324FFA"/>
    <w:rsid w:val="003252EB"/>
    <w:rsid w:val="00325452"/>
    <w:rsid w:val="00326363"/>
    <w:rsid w:val="0032695B"/>
    <w:rsid w:val="00327EC6"/>
    <w:rsid w:val="00330019"/>
    <w:rsid w:val="00331A74"/>
    <w:rsid w:val="0033204D"/>
    <w:rsid w:val="00332C29"/>
    <w:rsid w:val="00332E0C"/>
    <w:rsid w:val="00333644"/>
    <w:rsid w:val="003342B3"/>
    <w:rsid w:val="0033445D"/>
    <w:rsid w:val="003355EA"/>
    <w:rsid w:val="00335B05"/>
    <w:rsid w:val="00335E6C"/>
    <w:rsid w:val="00335F76"/>
    <w:rsid w:val="003376DF"/>
    <w:rsid w:val="00337E1E"/>
    <w:rsid w:val="003410A7"/>
    <w:rsid w:val="00341C96"/>
    <w:rsid w:val="003420B9"/>
    <w:rsid w:val="00342389"/>
    <w:rsid w:val="003431B9"/>
    <w:rsid w:val="00343468"/>
    <w:rsid w:val="0034535B"/>
    <w:rsid w:val="00345679"/>
    <w:rsid w:val="00345BAC"/>
    <w:rsid w:val="00345F3A"/>
    <w:rsid w:val="00345FF1"/>
    <w:rsid w:val="00346AF5"/>
    <w:rsid w:val="00347454"/>
    <w:rsid w:val="00347C10"/>
    <w:rsid w:val="003501AB"/>
    <w:rsid w:val="003505E6"/>
    <w:rsid w:val="00352E5C"/>
    <w:rsid w:val="003542F8"/>
    <w:rsid w:val="003546E0"/>
    <w:rsid w:val="003552F8"/>
    <w:rsid w:val="00356F69"/>
    <w:rsid w:val="0035773E"/>
    <w:rsid w:val="003603F7"/>
    <w:rsid w:val="003629A4"/>
    <w:rsid w:val="0036302E"/>
    <w:rsid w:val="003631DD"/>
    <w:rsid w:val="003642E6"/>
    <w:rsid w:val="00367742"/>
    <w:rsid w:val="00370131"/>
    <w:rsid w:val="00370486"/>
    <w:rsid w:val="003705B0"/>
    <w:rsid w:val="003718C9"/>
    <w:rsid w:val="00372401"/>
    <w:rsid w:val="00374664"/>
    <w:rsid w:val="003748E4"/>
    <w:rsid w:val="00374C70"/>
    <w:rsid w:val="003764E6"/>
    <w:rsid w:val="00376F4B"/>
    <w:rsid w:val="003774FE"/>
    <w:rsid w:val="00377AB2"/>
    <w:rsid w:val="00377B3B"/>
    <w:rsid w:val="003814F2"/>
    <w:rsid w:val="00381EC1"/>
    <w:rsid w:val="00381F14"/>
    <w:rsid w:val="00382889"/>
    <w:rsid w:val="003829F0"/>
    <w:rsid w:val="00382F49"/>
    <w:rsid w:val="0038429B"/>
    <w:rsid w:val="00384C3B"/>
    <w:rsid w:val="003855A7"/>
    <w:rsid w:val="00385AA5"/>
    <w:rsid w:val="00385EE8"/>
    <w:rsid w:val="003860B1"/>
    <w:rsid w:val="0038686B"/>
    <w:rsid w:val="0039006E"/>
    <w:rsid w:val="0039164C"/>
    <w:rsid w:val="00392352"/>
    <w:rsid w:val="00393CB8"/>
    <w:rsid w:val="0039404A"/>
    <w:rsid w:val="003943A9"/>
    <w:rsid w:val="00394FE8"/>
    <w:rsid w:val="0039580E"/>
    <w:rsid w:val="00396F6C"/>
    <w:rsid w:val="003A0879"/>
    <w:rsid w:val="003A1521"/>
    <w:rsid w:val="003A1B03"/>
    <w:rsid w:val="003A1BC3"/>
    <w:rsid w:val="003A1D7A"/>
    <w:rsid w:val="003A1FBA"/>
    <w:rsid w:val="003A25F4"/>
    <w:rsid w:val="003A2DF2"/>
    <w:rsid w:val="003A3CD9"/>
    <w:rsid w:val="003A4AD3"/>
    <w:rsid w:val="003A4F75"/>
    <w:rsid w:val="003A5181"/>
    <w:rsid w:val="003A5F52"/>
    <w:rsid w:val="003A6002"/>
    <w:rsid w:val="003A6529"/>
    <w:rsid w:val="003A6F59"/>
    <w:rsid w:val="003A7380"/>
    <w:rsid w:val="003A7897"/>
    <w:rsid w:val="003A7A80"/>
    <w:rsid w:val="003A7AE8"/>
    <w:rsid w:val="003B1A66"/>
    <w:rsid w:val="003B261D"/>
    <w:rsid w:val="003B2AFD"/>
    <w:rsid w:val="003B32E1"/>
    <w:rsid w:val="003B4ADA"/>
    <w:rsid w:val="003B584C"/>
    <w:rsid w:val="003B6544"/>
    <w:rsid w:val="003C0386"/>
    <w:rsid w:val="003C264B"/>
    <w:rsid w:val="003C3161"/>
    <w:rsid w:val="003C3298"/>
    <w:rsid w:val="003C373E"/>
    <w:rsid w:val="003C4060"/>
    <w:rsid w:val="003C42B7"/>
    <w:rsid w:val="003C4872"/>
    <w:rsid w:val="003C5AC2"/>
    <w:rsid w:val="003C69AC"/>
    <w:rsid w:val="003C7C3C"/>
    <w:rsid w:val="003D1E8E"/>
    <w:rsid w:val="003D2DBD"/>
    <w:rsid w:val="003D45EB"/>
    <w:rsid w:val="003D4C35"/>
    <w:rsid w:val="003D4D6A"/>
    <w:rsid w:val="003D52B9"/>
    <w:rsid w:val="003D5BB1"/>
    <w:rsid w:val="003D5CE5"/>
    <w:rsid w:val="003D6F57"/>
    <w:rsid w:val="003D7427"/>
    <w:rsid w:val="003D7818"/>
    <w:rsid w:val="003D79FB"/>
    <w:rsid w:val="003E0C28"/>
    <w:rsid w:val="003E0DFB"/>
    <w:rsid w:val="003E21B6"/>
    <w:rsid w:val="003E2851"/>
    <w:rsid w:val="003E2BB2"/>
    <w:rsid w:val="003E2DEE"/>
    <w:rsid w:val="003E3941"/>
    <w:rsid w:val="003E41C4"/>
    <w:rsid w:val="003E4699"/>
    <w:rsid w:val="003E47ED"/>
    <w:rsid w:val="003E49D6"/>
    <w:rsid w:val="003E4DFC"/>
    <w:rsid w:val="003E56FF"/>
    <w:rsid w:val="003E59F2"/>
    <w:rsid w:val="003E5ABB"/>
    <w:rsid w:val="003E5BC9"/>
    <w:rsid w:val="003E5D62"/>
    <w:rsid w:val="003E682B"/>
    <w:rsid w:val="003E74B1"/>
    <w:rsid w:val="003E752B"/>
    <w:rsid w:val="003E79BC"/>
    <w:rsid w:val="003E7C9B"/>
    <w:rsid w:val="003E7CC8"/>
    <w:rsid w:val="003E7EDB"/>
    <w:rsid w:val="003F06E4"/>
    <w:rsid w:val="003F1B36"/>
    <w:rsid w:val="003F1C37"/>
    <w:rsid w:val="003F1C98"/>
    <w:rsid w:val="003F303B"/>
    <w:rsid w:val="003F37E4"/>
    <w:rsid w:val="003F3B36"/>
    <w:rsid w:val="003F4622"/>
    <w:rsid w:val="003F6919"/>
    <w:rsid w:val="003F79F2"/>
    <w:rsid w:val="003F7A6B"/>
    <w:rsid w:val="004008ED"/>
    <w:rsid w:val="00400AF0"/>
    <w:rsid w:val="00400B50"/>
    <w:rsid w:val="0040191E"/>
    <w:rsid w:val="00402063"/>
    <w:rsid w:val="004035DE"/>
    <w:rsid w:val="00403EAD"/>
    <w:rsid w:val="0040414C"/>
    <w:rsid w:val="00404422"/>
    <w:rsid w:val="00404493"/>
    <w:rsid w:val="00407529"/>
    <w:rsid w:val="00407ADA"/>
    <w:rsid w:val="00407EA6"/>
    <w:rsid w:val="00410FB9"/>
    <w:rsid w:val="00411454"/>
    <w:rsid w:val="00411F78"/>
    <w:rsid w:val="00411FDE"/>
    <w:rsid w:val="00412AAC"/>
    <w:rsid w:val="00413593"/>
    <w:rsid w:val="0041455E"/>
    <w:rsid w:val="004152BD"/>
    <w:rsid w:val="0041645E"/>
    <w:rsid w:val="004165B2"/>
    <w:rsid w:val="0041667B"/>
    <w:rsid w:val="00416856"/>
    <w:rsid w:val="00416893"/>
    <w:rsid w:val="004169C7"/>
    <w:rsid w:val="00416AE8"/>
    <w:rsid w:val="00417C0D"/>
    <w:rsid w:val="0042091F"/>
    <w:rsid w:val="0042194A"/>
    <w:rsid w:val="00421E2F"/>
    <w:rsid w:val="00422FD6"/>
    <w:rsid w:val="0042457B"/>
    <w:rsid w:val="0042607B"/>
    <w:rsid w:val="00426088"/>
    <w:rsid w:val="004263FB"/>
    <w:rsid w:val="00426513"/>
    <w:rsid w:val="00427CD4"/>
    <w:rsid w:val="004301BE"/>
    <w:rsid w:val="004303A8"/>
    <w:rsid w:val="004307CE"/>
    <w:rsid w:val="00432F21"/>
    <w:rsid w:val="004334F9"/>
    <w:rsid w:val="0043373E"/>
    <w:rsid w:val="00433B75"/>
    <w:rsid w:val="00434D19"/>
    <w:rsid w:val="004351C6"/>
    <w:rsid w:val="00436765"/>
    <w:rsid w:val="0043790B"/>
    <w:rsid w:val="00437F28"/>
    <w:rsid w:val="00441229"/>
    <w:rsid w:val="004417D2"/>
    <w:rsid w:val="00441AAE"/>
    <w:rsid w:val="0044200C"/>
    <w:rsid w:val="00443CEA"/>
    <w:rsid w:val="004445A4"/>
    <w:rsid w:val="0044475C"/>
    <w:rsid w:val="00444B03"/>
    <w:rsid w:val="004452ED"/>
    <w:rsid w:val="004471B2"/>
    <w:rsid w:val="0044788B"/>
    <w:rsid w:val="00447BEF"/>
    <w:rsid w:val="00447FD6"/>
    <w:rsid w:val="00450572"/>
    <w:rsid w:val="00450A98"/>
    <w:rsid w:val="004529C6"/>
    <w:rsid w:val="00453157"/>
    <w:rsid w:val="004537B0"/>
    <w:rsid w:val="004542D2"/>
    <w:rsid w:val="0045690D"/>
    <w:rsid w:val="004573BD"/>
    <w:rsid w:val="0046123B"/>
    <w:rsid w:val="004616FA"/>
    <w:rsid w:val="00464727"/>
    <w:rsid w:val="00464F3C"/>
    <w:rsid w:val="0046551B"/>
    <w:rsid w:val="0046559E"/>
    <w:rsid w:val="00465B18"/>
    <w:rsid w:val="00465DB9"/>
    <w:rsid w:val="0046673E"/>
    <w:rsid w:val="00466F6A"/>
    <w:rsid w:val="00467C41"/>
    <w:rsid w:val="004708BD"/>
    <w:rsid w:val="0047154C"/>
    <w:rsid w:val="00471D0F"/>
    <w:rsid w:val="00472744"/>
    <w:rsid w:val="00472D8B"/>
    <w:rsid w:val="0047591E"/>
    <w:rsid w:val="00475DBC"/>
    <w:rsid w:val="0047654B"/>
    <w:rsid w:val="00476841"/>
    <w:rsid w:val="00477388"/>
    <w:rsid w:val="00480538"/>
    <w:rsid w:val="00481681"/>
    <w:rsid w:val="004836A2"/>
    <w:rsid w:val="00483B0F"/>
    <w:rsid w:val="00484F50"/>
    <w:rsid w:val="004859A8"/>
    <w:rsid w:val="00490FC6"/>
    <w:rsid w:val="004930A2"/>
    <w:rsid w:val="0049361B"/>
    <w:rsid w:val="00493F2A"/>
    <w:rsid w:val="004957D7"/>
    <w:rsid w:val="00495C0C"/>
    <w:rsid w:val="00496245"/>
    <w:rsid w:val="004A0712"/>
    <w:rsid w:val="004A1409"/>
    <w:rsid w:val="004A36B8"/>
    <w:rsid w:val="004A4159"/>
    <w:rsid w:val="004A54C1"/>
    <w:rsid w:val="004A64CD"/>
    <w:rsid w:val="004A66DB"/>
    <w:rsid w:val="004A7091"/>
    <w:rsid w:val="004A70E1"/>
    <w:rsid w:val="004A7F9B"/>
    <w:rsid w:val="004B100C"/>
    <w:rsid w:val="004B20D7"/>
    <w:rsid w:val="004B248E"/>
    <w:rsid w:val="004B2683"/>
    <w:rsid w:val="004B421C"/>
    <w:rsid w:val="004B487B"/>
    <w:rsid w:val="004B689B"/>
    <w:rsid w:val="004B7524"/>
    <w:rsid w:val="004C0FDA"/>
    <w:rsid w:val="004C1884"/>
    <w:rsid w:val="004C1933"/>
    <w:rsid w:val="004C1C6D"/>
    <w:rsid w:val="004C2B74"/>
    <w:rsid w:val="004C2F18"/>
    <w:rsid w:val="004C310F"/>
    <w:rsid w:val="004C3627"/>
    <w:rsid w:val="004C3882"/>
    <w:rsid w:val="004C3C7F"/>
    <w:rsid w:val="004C489A"/>
    <w:rsid w:val="004C5653"/>
    <w:rsid w:val="004C7530"/>
    <w:rsid w:val="004D0079"/>
    <w:rsid w:val="004D0C7A"/>
    <w:rsid w:val="004D17E0"/>
    <w:rsid w:val="004D198A"/>
    <w:rsid w:val="004D2A67"/>
    <w:rsid w:val="004D2BD3"/>
    <w:rsid w:val="004D2F28"/>
    <w:rsid w:val="004D3A8C"/>
    <w:rsid w:val="004D4AE1"/>
    <w:rsid w:val="004D6167"/>
    <w:rsid w:val="004D707E"/>
    <w:rsid w:val="004E11E7"/>
    <w:rsid w:val="004E124B"/>
    <w:rsid w:val="004E14D9"/>
    <w:rsid w:val="004E2098"/>
    <w:rsid w:val="004E24F0"/>
    <w:rsid w:val="004E2779"/>
    <w:rsid w:val="004E2820"/>
    <w:rsid w:val="004E2EC5"/>
    <w:rsid w:val="004E3039"/>
    <w:rsid w:val="004E3E1C"/>
    <w:rsid w:val="004E4DE8"/>
    <w:rsid w:val="004E52D8"/>
    <w:rsid w:val="004E5704"/>
    <w:rsid w:val="004E59D3"/>
    <w:rsid w:val="004E6352"/>
    <w:rsid w:val="004E69B8"/>
    <w:rsid w:val="004E77F0"/>
    <w:rsid w:val="004E7B5A"/>
    <w:rsid w:val="004E7E19"/>
    <w:rsid w:val="004F061E"/>
    <w:rsid w:val="004F0E78"/>
    <w:rsid w:val="004F23C3"/>
    <w:rsid w:val="004F34A7"/>
    <w:rsid w:val="004F4393"/>
    <w:rsid w:val="004F549B"/>
    <w:rsid w:val="004F59FA"/>
    <w:rsid w:val="004F74F9"/>
    <w:rsid w:val="00501065"/>
    <w:rsid w:val="00501219"/>
    <w:rsid w:val="00501760"/>
    <w:rsid w:val="005017AA"/>
    <w:rsid w:val="005020D0"/>
    <w:rsid w:val="005026E5"/>
    <w:rsid w:val="005035F9"/>
    <w:rsid w:val="0050453C"/>
    <w:rsid w:val="00506113"/>
    <w:rsid w:val="00506CF0"/>
    <w:rsid w:val="00506D6F"/>
    <w:rsid w:val="00510054"/>
    <w:rsid w:val="00510111"/>
    <w:rsid w:val="00510AE8"/>
    <w:rsid w:val="00510FC6"/>
    <w:rsid w:val="005115B6"/>
    <w:rsid w:val="005117E6"/>
    <w:rsid w:val="00511AEB"/>
    <w:rsid w:val="0051333D"/>
    <w:rsid w:val="00515F25"/>
    <w:rsid w:val="00520225"/>
    <w:rsid w:val="005209CF"/>
    <w:rsid w:val="005213C1"/>
    <w:rsid w:val="0052158B"/>
    <w:rsid w:val="005217B7"/>
    <w:rsid w:val="005225FA"/>
    <w:rsid w:val="005227F4"/>
    <w:rsid w:val="00522A2A"/>
    <w:rsid w:val="005235CF"/>
    <w:rsid w:val="0052507B"/>
    <w:rsid w:val="00530160"/>
    <w:rsid w:val="00530808"/>
    <w:rsid w:val="00530C14"/>
    <w:rsid w:val="0053107F"/>
    <w:rsid w:val="00537F42"/>
    <w:rsid w:val="00540203"/>
    <w:rsid w:val="0054057E"/>
    <w:rsid w:val="0054103E"/>
    <w:rsid w:val="0054311C"/>
    <w:rsid w:val="00543662"/>
    <w:rsid w:val="0054459B"/>
    <w:rsid w:val="0054497C"/>
    <w:rsid w:val="0054608D"/>
    <w:rsid w:val="0054636F"/>
    <w:rsid w:val="00546924"/>
    <w:rsid w:val="0054709C"/>
    <w:rsid w:val="00550509"/>
    <w:rsid w:val="00550A33"/>
    <w:rsid w:val="00550D88"/>
    <w:rsid w:val="00551025"/>
    <w:rsid w:val="00551CD3"/>
    <w:rsid w:val="00552507"/>
    <w:rsid w:val="00553803"/>
    <w:rsid w:val="00554F0A"/>
    <w:rsid w:val="00555067"/>
    <w:rsid w:val="00555EC7"/>
    <w:rsid w:val="00557E1C"/>
    <w:rsid w:val="00557F71"/>
    <w:rsid w:val="005602FA"/>
    <w:rsid w:val="0056320B"/>
    <w:rsid w:val="00563686"/>
    <w:rsid w:val="005638FF"/>
    <w:rsid w:val="00563E98"/>
    <w:rsid w:val="005644D1"/>
    <w:rsid w:val="00564B39"/>
    <w:rsid w:val="00565B3F"/>
    <w:rsid w:val="00566928"/>
    <w:rsid w:val="00566D36"/>
    <w:rsid w:val="00566EA5"/>
    <w:rsid w:val="00567FC4"/>
    <w:rsid w:val="00570227"/>
    <w:rsid w:val="00572234"/>
    <w:rsid w:val="00572BAD"/>
    <w:rsid w:val="00572C3B"/>
    <w:rsid w:val="00573522"/>
    <w:rsid w:val="00574E21"/>
    <w:rsid w:val="00575822"/>
    <w:rsid w:val="00576008"/>
    <w:rsid w:val="005769F5"/>
    <w:rsid w:val="00576D63"/>
    <w:rsid w:val="0058092C"/>
    <w:rsid w:val="00582202"/>
    <w:rsid w:val="005830D9"/>
    <w:rsid w:val="0058396B"/>
    <w:rsid w:val="00583A00"/>
    <w:rsid w:val="00583EE6"/>
    <w:rsid w:val="00584460"/>
    <w:rsid w:val="00586AF4"/>
    <w:rsid w:val="00586C9B"/>
    <w:rsid w:val="00590D4C"/>
    <w:rsid w:val="00591D4B"/>
    <w:rsid w:val="00592770"/>
    <w:rsid w:val="00593677"/>
    <w:rsid w:val="00594329"/>
    <w:rsid w:val="00594580"/>
    <w:rsid w:val="0059615D"/>
    <w:rsid w:val="005973D1"/>
    <w:rsid w:val="00597799"/>
    <w:rsid w:val="005A134E"/>
    <w:rsid w:val="005A178C"/>
    <w:rsid w:val="005A2BCC"/>
    <w:rsid w:val="005A3F6F"/>
    <w:rsid w:val="005A4FFC"/>
    <w:rsid w:val="005A5CAC"/>
    <w:rsid w:val="005A5EC8"/>
    <w:rsid w:val="005A62E0"/>
    <w:rsid w:val="005B1FF6"/>
    <w:rsid w:val="005B2638"/>
    <w:rsid w:val="005B29EA"/>
    <w:rsid w:val="005B4235"/>
    <w:rsid w:val="005B4AFB"/>
    <w:rsid w:val="005B5D38"/>
    <w:rsid w:val="005B648F"/>
    <w:rsid w:val="005B6796"/>
    <w:rsid w:val="005B7487"/>
    <w:rsid w:val="005B7CF6"/>
    <w:rsid w:val="005B7F7C"/>
    <w:rsid w:val="005C1125"/>
    <w:rsid w:val="005C1D59"/>
    <w:rsid w:val="005C279E"/>
    <w:rsid w:val="005C29F4"/>
    <w:rsid w:val="005C2E92"/>
    <w:rsid w:val="005C52AC"/>
    <w:rsid w:val="005C53ED"/>
    <w:rsid w:val="005C633C"/>
    <w:rsid w:val="005C70E4"/>
    <w:rsid w:val="005C7CBF"/>
    <w:rsid w:val="005C7FD0"/>
    <w:rsid w:val="005D1ED2"/>
    <w:rsid w:val="005D2CC3"/>
    <w:rsid w:val="005D51E6"/>
    <w:rsid w:val="005D5CB7"/>
    <w:rsid w:val="005D6C27"/>
    <w:rsid w:val="005D7BE1"/>
    <w:rsid w:val="005E105F"/>
    <w:rsid w:val="005E1132"/>
    <w:rsid w:val="005E11FB"/>
    <w:rsid w:val="005E2DA7"/>
    <w:rsid w:val="005E354F"/>
    <w:rsid w:val="005E408B"/>
    <w:rsid w:val="005E5645"/>
    <w:rsid w:val="005E5EA6"/>
    <w:rsid w:val="005F06C3"/>
    <w:rsid w:val="005F0A75"/>
    <w:rsid w:val="005F3228"/>
    <w:rsid w:val="005F44D7"/>
    <w:rsid w:val="005F58A4"/>
    <w:rsid w:val="005F6648"/>
    <w:rsid w:val="006006CE"/>
    <w:rsid w:val="00601F13"/>
    <w:rsid w:val="00602FEC"/>
    <w:rsid w:val="006042E7"/>
    <w:rsid w:val="00604864"/>
    <w:rsid w:val="00606A26"/>
    <w:rsid w:val="00606DDE"/>
    <w:rsid w:val="00607143"/>
    <w:rsid w:val="0061033B"/>
    <w:rsid w:val="0061035E"/>
    <w:rsid w:val="00610B5D"/>
    <w:rsid w:val="006111D0"/>
    <w:rsid w:val="0061133D"/>
    <w:rsid w:val="006117F8"/>
    <w:rsid w:val="00611855"/>
    <w:rsid w:val="00611BEB"/>
    <w:rsid w:val="00612547"/>
    <w:rsid w:val="00613C1C"/>
    <w:rsid w:val="00614577"/>
    <w:rsid w:val="00614FDF"/>
    <w:rsid w:val="006151E9"/>
    <w:rsid w:val="00615C28"/>
    <w:rsid w:val="0061696E"/>
    <w:rsid w:val="00616E7C"/>
    <w:rsid w:val="00617356"/>
    <w:rsid w:val="00617B31"/>
    <w:rsid w:val="00617EB1"/>
    <w:rsid w:val="006227F2"/>
    <w:rsid w:val="00622CA7"/>
    <w:rsid w:val="00623BB6"/>
    <w:rsid w:val="0062464F"/>
    <w:rsid w:val="0062490C"/>
    <w:rsid w:val="0062546E"/>
    <w:rsid w:val="006269FB"/>
    <w:rsid w:val="006272CA"/>
    <w:rsid w:val="006279A2"/>
    <w:rsid w:val="0063104A"/>
    <w:rsid w:val="00632BAB"/>
    <w:rsid w:val="0063301E"/>
    <w:rsid w:val="00633643"/>
    <w:rsid w:val="006341CA"/>
    <w:rsid w:val="00634667"/>
    <w:rsid w:val="00635489"/>
    <w:rsid w:val="00635E51"/>
    <w:rsid w:val="00636587"/>
    <w:rsid w:val="00636E74"/>
    <w:rsid w:val="006372D7"/>
    <w:rsid w:val="0063751A"/>
    <w:rsid w:val="0063766C"/>
    <w:rsid w:val="00637D83"/>
    <w:rsid w:val="006401B0"/>
    <w:rsid w:val="00640C7E"/>
    <w:rsid w:val="00641341"/>
    <w:rsid w:val="0064152C"/>
    <w:rsid w:val="006420B3"/>
    <w:rsid w:val="006427ED"/>
    <w:rsid w:val="00642F6E"/>
    <w:rsid w:val="00643022"/>
    <w:rsid w:val="00645597"/>
    <w:rsid w:val="0064578F"/>
    <w:rsid w:val="00647166"/>
    <w:rsid w:val="00647568"/>
    <w:rsid w:val="00650165"/>
    <w:rsid w:val="006505A9"/>
    <w:rsid w:val="00651280"/>
    <w:rsid w:val="006519C3"/>
    <w:rsid w:val="00652295"/>
    <w:rsid w:val="00653132"/>
    <w:rsid w:val="00654717"/>
    <w:rsid w:val="00654975"/>
    <w:rsid w:val="00654CEF"/>
    <w:rsid w:val="006553E0"/>
    <w:rsid w:val="00655A8D"/>
    <w:rsid w:val="00656936"/>
    <w:rsid w:val="00657908"/>
    <w:rsid w:val="0066165A"/>
    <w:rsid w:val="00662CDC"/>
    <w:rsid w:val="00663624"/>
    <w:rsid w:val="00663B5C"/>
    <w:rsid w:val="006645B0"/>
    <w:rsid w:val="00666960"/>
    <w:rsid w:val="0066715A"/>
    <w:rsid w:val="0066781F"/>
    <w:rsid w:val="006706B6"/>
    <w:rsid w:val="00671F8E"/>
    <w:rsid w:val="00673033"/>
    <w:rsid w:val="00674DBF"/>
    <w:rsid w:val="006778EF"/>
    <w:rsid w:val="006807E2"/>
    <w:rsid w:val="0068091F"/>
    <w:rsid w:val="006824BE"/>
    <w:rsid w:val="006826CB"/>
    <w:rsid w:val="0068339D"/>
    <w:rsid w:val="0068430D"/>
    <w:rsid w:val="0068498C"/>
    <w:rsid w:val="00684B2B"/>
    <w:rsid w:val="006900C7"/>
    <w:rsid w:val="006904EB"/>
    <w:rsid w:val="00690CC2"/>
    <w:rsid w:val="006910DD"/>
    <w:rsid w:val="006929B4"/>
    <w:rsid w:val="00693506"/>
    <w:rsid w:val="00693808"/>
    <w:rsid w:val="00693B05"/>
    <w:rsid w:val="00696D95"/>
    <w:rsid w:val="00697553"/>
    <w:rsid w:val="006A06BE"/>
    <w:rsid w:val="006A1ABD"/>
    <w:rsid w:val="006A3C81"/>
    <w:rsid w:val="006A43AC"/>
    <w:rsid w:val="006A46DC"/>
    <w:rsid w:val="006A484D"/>
    <w:rsid w:val="006A5025"/>
    <w:rsid w:val="006A5AC8"/>
    <w:rsid w:val="006A5C85"/>
    <w:rsid w:val="006A60D9"/>
    <w:rsid w:val="006A6875"/>
    <w:rsid w:val="006A797C"/>
    <w:rsid w:val="006A7D01"/>
    <w:rsid w:val="006B02C0"/>
    <w:rsid w:val="006B0772"/>
    <w:rsid w:val="006B194E"/>
    <w:rsid w:val="006B2D77"/>
    <w:rsid w:val="006B327E"/>
    <w:rsid w:val="006B33E7"/>
    <w:rsid w:val="006B33EA"/>
    <w:rsid w:val="006B3866"/>
    <w:rsid w:val="006B3C4B"/>
    <w:rsid w:val="006B4773"/>
    <w:rsid w:val="006B5A21"/>
    <w:rsid w:val="006B658B"/>
    <w:rsid w:val="006B6F84"/>
    <w:rsid w:val="006C02AA"/>
    <w:rsid w:val="006C05D8"/>
    <w:rsid w:val="006C1E6F"/>
    <w:rsid w:val="006C3C4D"/>
    <w:rsid w:val="006C591B"/>
    <w:rsid w:val="006C6238"/>
    <w:rsid w:val="006C6EE8"/>
    <w:rsid w:val="006C7338"/>
    <w:rsid w:val="006D0518"/>
    <w:rsid w:val="006D209C"/>
    <w:rsid w:val="006D2547"/>
    <w:rsid w:val="006D39A6"/>
    <w:rsid w:val="006D4DC8"/>
    <w:rsid w:val="006D633F"/>
    <w:rsid w:val="006D6417"/>
    <w:rsid w:val="006D6EF0"/>
    <w:rsid w:val="006E0906"/>
    <w:rsid w:val="006E3557"/>
    <w:rsid w:val="006E6A34"/>
    <w:rsid w:val="006E797A"/>
    <w:rsid w:val="006F0002"/>
    <w:rsid w:val="006F025E"/>
    <w:rsid w:val="006F0D98"/>
    <w:rsid w:val="006F1ECE"/>
    <w:rsid w:val="006F207E"/>
    <w:rsid w:val="006F2BE5"/>
    <w:rsid w:val="006F4174"/>
    <w:rsid w:val="006F4C6A"/>
    <w:rsid w:val="006F6538"/>
    <w:rsid w:val="006F6F9E"/>
    <w:rsid w:val="006F7CB1"/>
    <w:rsid w:val="00700249"/>
    <w:rsid w:val="00702651"/>
    <w:rsid w:val="00702801"/>
    <w:rsid w:val="00703AE0"/>
    <w:rsid w:val="00704FD1"/>
    <w:rsid w:val="0070599A"/>
    <w:rsid w:val="007076ED"/>
    <w:rsid w:val="00707D37"/>
    <w:rsid w:val="00707D99"/>
    <w:rsid w:val="007109A5"/>
    <w:rsid w:val="0071100D"/>
    <w:rsid w:val="007139B8"/>
    <w:rsid w:val="00713A56"/>
    <w:rsid w:val="00713E02"/>
    <w:rsid w:val="00713F76"/>
    <w:rsid w:val="007143D9"/>
    <w:rsid w:val="007151C5"/>
    <w:rsid w:val="00715F28"/>
    <w:rsid w:val="0071666E"/>
    <w:rsid w:val="0071689D"/>
    <w:rsid w:val="00716BB2"/>
    <w:rsid w:val="00717034"/>
    <w:rsid w:val="00717A8F"/>
    <w:rsid w:val="00717F08"/>
    <w:rsid w:val="00717F96"/>
    <w:rsid w:val="00720332"/>
    <w:rsid w:val="0072048E"/>
    <w:rsid w:val="00720596"/>
    <w:rsid w:val="00720B42"/>
    <w:rsid w:val="0072137B"/>
    <w:rsid w:val="0072171E"/>
    <w:rsid w:val="00721782"/>
    <w:rsid w:val="00721CE3"/>
    <w:rsid w:val="00722DF5"/>
    <w:rsid w:val="007235D7"/>
    <w:rsid w:val="00723FF4"/>
    <w:rsid w:val="00725441"/>
    <w:rsid w:val="00725D25"/>
    <w:rsid w:val="00726202"/>
    <w:rsid w:val="00726B17"/>
    <w:rsid w:val="007278CD"/>
    <w:rsid w:val="00730C90"/>
    <w:rsid w:val="00731B89"/>
    <w:rsid w:val="00731DE5"/>
    <w:rsid w:val="00731EDF"/>
    <w:rsid w:val="007327D2"/>
    <w:rsid w:val="00733A9A"/>
    <w:rsid w:val="007340A1"/>
    <w:rsid w:val="00734229"/>
    <w:rsid w:val="00735CC8"/>
    <w:rsid w:val="007365BB"/>
    <w:rsid w:val="0073674C"/>
    <w:rsid w:val="007371DE"/>
    <w:rsid w:val="00737DF3"/>
    <w:rsid w:val="00737F59"/>
    <w:rsid w:val="00740A21"/>
    <w:rsid w:val="00740DE8"/>
    <w:rsid w:val="00741886"/>
    <w:rsid w:val="00741C19"/>
    <w:rsid w:val="007427AA"/>
    <w:rsid w:val="007428C8"/>
    <w:rsid w:val="00744423"/>
    <w:rsid w:val="00744FD3"/>
    <w:rsid w:val="00745B53"/>
    <w:rsid w:val="00746AB5"/>
    <w:rsid w:val="0074773F"/>
    <w:rsid w:val="00747CDC"/>
    <w:rsid w:val="007505A5"/>
    <w:rsid w:val="00751F9E"/>
    <w:rsid w:val="0075218F"/>
    <w:rsid w:val="007524FE"/>
    <w:rsid w:val="007530F8"/>
    <w:rsid w:val="00754ECD"/>
    <w:rsid w:val="0075687B"/>
    <w:rsid w:val="00761C29"/>
    <w:rsid w:val="007663C1"/>
    <w:rsid w:val="00766A5A"/>
    <w:rsid w:val="00767FBF"/>
    <w:rsid w:val="00771841"/>
    <w:rsid w:val="00771C1A"/>
    <w:rsid w:val="00773C36"/>
    <w:rsid w:val="00774273"/>
    <w:rsid w:val="00774803"/>
    <w:rsid w:val="0078001B"/>
    <w:rsid w:val="00780507"/>
    <w:rsid w:val="00780801"/>
    <w:rsid w:val="0078278B"/>
    <w:rsid w:val="007838A0"/>
    <w:rsid w:val="00783A33"/>
    <w:rsid w:val="00783AB4"/>
    <w:rsid w:val="00783B75"/>
    <w:rsid w:val="007843E2"/>
    <w:rsid w:val="007845E9"/>
    <w:rsid w:val="007849FE"/>
    <w:rsid w:val="00784A8C"/>
    <w:rsid w:val="00784AA3"/>
    <w:rsid w:val="00784D00"/>
    <w:rsid w:val="007857B0"/>
    <w:rsid w:val="00787414"/>
    <w:rsid w:val="00787A89"/>
    <w:rsid w:val="00790210"/>
    <w:rsid w:val="007903DE"/>
    <w:rsid w:val="00790832"/>
    <w:rsid w:val="00790F25"/>
    <w:rsid w:val="007910D0"/>
    <w:rsid w:val="007917E5"/>
    <w:rsid w:val="007919A8"/>
    <w:rsid w:val="00792196"/>
    <w:rsid w:val="00792847"/>
    <w:rsid w:val="00793295"/>
    <w:rsid w:val="00793BF8"/>
    <w:rsid w:val="00794C1C"/>
    <w:rsid w:val="007951BF"/>
    <w:rsid w:val="00795B19"/>
    <w:rsid w:val="00796ED7"/>
    <w:rsid w:val="00796F1A"/>
    <w:rsid w:val="00796FC7"/>
    <w:rsid w:val="00797B56"/>
    <w:rsid w:val="00797D8B"/>
    <w:rsid w:val="007A01D8"/>
    <w:rsid w:val="007A02BA"/>
    <w:rsid w:val="007A0608"/>
    <w:rsid w:val="007A066F"/>
    <w:rsid w:val="007A144A"/>
    <w:rsid w:val="007A164D"/>
    <w:rsid w:val="007A3CF1"/>
    <w:rsid w:val="007A3D96"/>
    <w:rsid w:val="007A58E4"/>
    <w:rsid w:val="007A59F4"/>
    <w:rsid w:val="007A6718"/>
    <w:rsid w:val="007A67F9"/>
    <w:rsid w:val="007A763E"/>
    <w:rsid w:val="007A78A0"/>
    <w:rsid w:val="007B03CD"/>
    <w:rsid w:val="007B0D4E"/>
    <w:rsid w:val="007B3C56"/>
    <w:rsid w:val="007B4FB4"/>
    <w:rsid w:val="007B5A71"/>
    <w:rsid w:val="007B6164"/>
    <w:rsid w:val="007C0492"/>
    <w:rsid w:val="007C2ACD"/>
    <w:rsid w:val="007C2D5E"/>
    <w:rsid w:val="007C3020"/>
    <w:rsid w:val="007C3845"/>
    <w:rsid w:val="007C3D98"/>
    <w:rsid w:val="007C3F31"/>
    <w:rsid w:val="007C3F7C"/>
    <w:rsid w:val="007C46A1"/>
    <w:rsid w:val="007C65BD"/>
    <w:rsid w:val="007C68FF"/>
    <w:rsid w:val="007C7EB4"/>
    <w:rsid w:val="007D004F"/>
    <w:rsid w:val="007D165E"/>
    <w:rsid w:val="007D1CD5"/>
    <w:rsid w:val="007D1EF9"/>
    <w:rsid w:val="007D5796"/>
    <w:rsid w:val="007D74F8"/>
    <w:rsid w:val="007D76DB"/>
    <w:rsid w:val="007E0956"/>
    <w:rsid w:val="007E0E12"/>
    <w:rsid w:val="007E10EC"/>
    <w:rsid w:val="007E1722"/>
    <w:rsid w:val="007E1810"/>
    <w:rsid w:val="007E18BE"/>
    <w:rsid w:val="007E1CBF"/>
    <w:rsid w:val="007E3378"/>
    <w:rsid w:val="007E39F4"/>
    <w:rsid w:val="007E49ED"/>
    <w:rsid w:val="007E500A"/>
    <w:rsid w:val="007E534C"/>
    <w:rsid w:val="007E5785"/>
    <w:rsid w:val="007E6574"/>
    <w:rsid w:val="007E6BC4"/>
    <w:rsid w:val="007E7399"/>
    <w:rsid w:val="007E788B"/>
    <w:rsid w:val="007F0045"/>
    <w:rsid w:val="007F0D2B"/>
    <w:rsid w:val="007F23E9"/>
    <w:rsid w:val="007F2A0D"/>
    <w:rsid w:val="007F3702"/>
    <w:rsid w:val="007F3B4F"/>
    <w:rsid w:val="007F7A58"/>
    <w:rsid w:val="0080009C"/>
    <w:rsid w:val="00800723"/>
    <w:rsid w:val="008009E3"/>
    <w:rsid w:val="008010BD"/>
    <w:rsid w:val="0080176F"/>
    <w:rsid w:val="008017CB"/>
    <w:rsid w:val="00801BE8"/>
    <w:rsid w:val="0080300B"/>
    <w:rsid w:val="0080372F"/>
    <w:rsid w:val="00803962"/>
    <w:rsid w:val="0080516B"/>
    <w:rsid w:val="00805B48"/>
    <w:rsid w:val="00805C41"/>
    <w:rsid w:val="00805E18"/>
    <w:rsid w:val="0080682E"/>
    <w:rsid w:val="00810707"/>
    <w:rsid w:val="00810B91"/>
    <w:rsid w:val="00812B39"/>
    <w:rsid w:val="00812C39"/>
    <w:rsid w:val="00812D5E"/>
    <w:rsid w:val="008137A7"/>
    <w:rsid w:val="00814BC2"/>
    <w:rsid w:val="00815248"/>
    <w:rsid w:val="008155D4"/>
    <w:rsid w:val="0081596A"/>
    <w:rsid w:val="00816182"/>
    <w:rsid w:val="008161C2"/>
    <w:rsid w:val="00820AE6"/>
    <w:rsid w:val="00820C23"/>
    <w:rsid w:val="00821167"/>
    <w:rsid w:val="00821A51"/>
    <w:rsid w:val="008228C8"/>
    <w:rsid w:val="00822F1D"/>
    <w:rsid w:val="00824B38"/>
    <w:rsid w:val="0082652B"/>
    <w:rsid w:val="00830850"/>
    <w:rsid w:val="0083139F"/>
    <w:rsid w:val="0083144D"/>
    <w:rsid w:val="008333C6"/>
    <w:rsid w:val="0083382C"/>
    <w:rsid w:val="0083486B"/>
    <w:rsid w:val="00834CDB"/>
    <w:rsid w:val="0083588F"/>
    <w:rsid w:val="00836782"/>
    <w:rsid w:val="008405FC"/>
    <w:rsid w:val="00841648"/>
    <w:rsid w:val="008425C3"/>
    <w:rsid w:val="00842ADA"/>
    <w:rsid w:val="00843A1F"/>
    <w:rsid w:val="0084440A"/>
    <w:rsid w:val="00844739"/>
    <w:rsid w:val="00845171"/>
    <w:rsid w:val="0084605E"/>
    <w:rsid w:val="00846B33"/>
    <w:rsid w:val="00847EEA"/>
    <w:rsid w:val="00851B06"/>
    <w:rsid w:val="008521AE"/>
    <w:rsid w:val="0085276A"/>
    <w:rsid w:val="00853CF7"/>
    <w:rsid w:val="00854476"/>
    <w:rsid w:val="00854BFE"/>
    <w:rsid w:val="0085511E"/>
    <w:rsid w:val="00860D21"/>
    <w:rsid w:val="00860DDD"/>
    <w:rsid w:val="00861663"/>
    <w:rsid w:val="008616B6"/>
    <w:rsid w:val="00861F45"/>
    <w:rsid w:val="008620CB"/>
    <w:rsid w:val="00862477"/>
    <w:rsid w:val="008629D6"/>
    <w:rsid w:val="00862C0A"/>
    <w:rsid w:val="0086472A"/>
    <w:rsid w:val="00864C8E"/>
    <w:rsid w:val="008674D3"/>
    <w:rsid w:val="008675CF"/>
    <w:rsid w:val="00867887"/>
    <w:rsid w:val="0087047F"/>
    <w:rsid w:val="008711B4"/>
    <w:rsid w:val="00871FA9"/>
    <w:rsid w:val="00872A12"/>
    <w:rsid w:val="00872E43"/>
    <w:rsid w:val="00874245"/>
    <w:rsid w:val="008743C4"/>
    <w:rsid w:val="008745CA"/>
    <w:rsid w:val="00874793"/>
    <w:rsid w:val="00874923"/>
    <w:rsid w:val="00874AAD"/>
    <w:rsid w:val="008757B8"/>
    <w:rsid w:val="0087680E"/>
    <w:rsid w:val="00881373"/>
    <w:rsid w:val="00884334"/>
    <w:rsid w:val="008851A7"/>
    <w:rsid w:val="00885A60"/>
    <w:rsid w:val="00885C0C"/>
    <w:rsid w:val="00886782"/>
    <w:rsid w:val="00886A9E"/>
    <w:rsid w:val="0088735C"/>
    <w:rsid w:val="00887F06"/>
    <w:rsid w:val="00890700"/>
    <w:rsid w:val="00891BD3"/>
    <w:rsid w:val="008928E7"/>
    <w:rsid w:val="00892EC4"/>
    <w:rsid w:val="00892F86"/>
    <w:rsid w:val="008939B0"/>
    <w:rsid w:val="00894E1C"/>
    <w:rsid w:val="00895ACB"/>
    <w:rsid w:val="00895F4B"/>
    <w:rsid w:val="0089647B"/>
    <w:rsid w:val="00897A4E"/>
    <w:rsid w:val="00897C37"/>
    <w:rsid w:val="008A017F"/>
    <w:rsid w:val="008A08A3"/>
    <w:rsid w:val="008A253A"/>
    <w:rsid w:val="008A256F"/>
    <w:rsid w:val="008A2B80"/>
    <w:rsid w:val="008A5178"/>
    <w:rsid w:val="008A6952"/>
    <w:rsid w:val="008A6A5F"/>
    <w:rsid w:val="008A6CEC"/>
    <w:rsid w:val="008A7975"/>
    <w:rsid w:val="008A7A54"/>
    <w:rsid w:val="008B02DC"/>
    <w:rsid w:val="008B0AA4"/>
    <w:rsid w:val="008B1397"/>
    <w:rsid w:val="008B1CDA"/>
    <w:rsid w:val="008B3862"/>
    <w:rsid w:val="008B47C6"/>
    <w:rsid w:val="008B4A64"/>
    <w:rsid w:val="008B58C2"/>
    <w:rsid w:val="008B6CE5"/>
    <w:rsid w:val="008C0574"/>
    <w:rsid w:val="008C0C3D"/>
    <w:rsid w:val="008C233F"/>
    <w:rsid w:val="008C29AE"/>
    <w:rsid w:val="008C2CCF"/>
    <w:rsid w:val="008C3140"/>
    <w:rsid w:val="008C41A2"/>
    <w:rsid w:val="008C48A1"/>
    <w:rsid w:val="008C53BD"/>
    <w:rsid w:val="008C53C8"/>
    <w:rsid w:val="008C607B"/>
    <w:rsid w:val="008C7A05"/>
    <w:rsid w:val="008D01F4"/>
    <w:rsid w:val="008D0983"/>
    <w:rsid w:val="008D16E7"/>
    <w:rsid w:val="008D1E70"/>
    <w:rsid w:val="008D24C8"/>
    <w:rsid w:val="008D2BEE"/>
    <w:rsid w:val="008D33DA"/>
    <w:rsid w:val="008D4002"/>
    <w:rsid w:val="008D40BF"/>
    <w:rsid w:val="008D46EC"/>
    <w:rsid w:val="008D47D3"/>
    <w:rsid w:val="008D5622"/>
    <w:rsid w:val="008D61C3"/>
    <w:rsid w:val="008D6B73"/>
    <w:rsid w:val="008D6E24"/>
    <w:rsid w:val="008D74A6"/>
    <w:rsid w:val="008D7F60"/>
    <w:rsid w:val="008E1145"/>
    <w:rsid w:val="008E19EE"/>
    <w:rsid w:val="008E2B70"/>
    <w:rsid w:val="008E2CF9"/>
    <w:rsid w:val="008E353B"/>
    <w:rsid w:val="008E3C9C"/>
    <w:rsid w:val="008E655B"/>
    <w:rsid w:val="008F13D3"/>
    <w:rsid w:val="008F140E"/>
    <w:rsid w:val="008F171C"/>
    <w:rsid w:val="008F18F5"/>
    <w:rsid w:val="008F1B6D"/>
    <w:rsid w:val="008F25C0"/>
    <w:rsid w:val="008F292B"/>
    <w:rsid w:val="008F2D91"/>
    <w:rsid w:val="008F33B6"/>
    <w:rsid w:val="008F4507"/>
    <w:rsid w:val="008F55FD"/>
    <w:rsid w:val="008F573E"/>
    <w:rsid w:val="008F59C1"/>
    <w:rsid w:val="008F5A27"/>
    <w:rsid w:val="008F6558"/>
    <w:rsid w:val="0090000D"/>
    <w:rsid w:val="00900E8C"/>
    <w:rsid w:val="00901235"/>
    <w:rsid w:val="00903E2C"/>
    <w:rsid w:val="009045C6"/>
    <w:rsid w:val="009054E7"/>
    <w:rsid w:val="0090580C"/>
    <w:rsid w:val="009067B5"/>
    <w:rsid w:val="00910C8D"/>
    <w:rsid w:val="00910CDD"/>
    <w:rsid w:val="00911072"/>
    <w:rsid w:val="00913D87"/>
    <w:rsid w:val="00913DD0"/>
    <w:rsid w:val="0091431F"/>
    <w:rsid w:val="00914DA8"/>
    <w:rsid w:val="009155EE"/>
    <w:rsid w:val="00915752"/>
    <w:rsid w:val="00916DF6"/>
    <w:rsid w:val="00917EC6"/>
    <w:rsid w:val="009227B3"/>
    <w:rsid w:val="00922EBF"/>
    <w:rsid w:val="00923294"/>
    <w:rsid w:val="00923BCA"/>
    <w:rsid w:val="00923DFA"/>
    <w:rsid w:val="00924D94"/>
    <w:rsid w:val="00924E3E"/>
    <w:rsid w:val="0092560D"/>
    <w:rsid w:val="00925836"/>
    <w:rsid w:val="009270EF"/>
    <w:rsid w:val="009274BB"/>
    <w:rsid w:val="00927AC2"/>
    <w:rsid w:val="00931A9D"/>
    <w:rsid w:val="00931CB4"/>
    <w:rsid w:val="00931D9C"/>
    <w:rsid w:val="009325BC"/>
    <w:rsid w:val="00933ED7"/>
    <w:rsid w:val="009340C7"/>
    <w:rsid w:val="00935B29"/>
    <w:rsid w:val="00935BB5"/>
    <w:rsid w:val="009376D0"/>
    <w:rsid w:val="00940DCC"/>
    <w:rsid w:val="009420EB"/>
    <w:rsid w:val="009426B0"/>
    <w:rsid w:val="0094338F"/>
    <w:rsid w:val="00943ABC"/>
    <w:rsid w:val="009451DE"/>
    <w:rsid w:val="00945699"/>
    <w:rsid w:val="009457DC"/>
    <w:rsid w:val="00945D0A"/>
    <w:rsid w:val="00946614"/>
    <w:rsid w:val="00946A2D"/>
    <w:rsid w:val="00946ABA"/>
    <w:rsid w:val="00947358"/>
    <w:rsid w:val="0094770A"/>
    <w:rsid w:val="00950078"/>
    <w:rsid w:val="009510A8"/>
    <w:rsid w:val="0095361D"/>
    <w:rsid w:val="009536F0"/>
    <w:rsid w:val="00953C89"/>
    <w:rsid w:val="00954135"/>
    <w:rsid w:val="0095491A"/>
    <w:rsid w:val="00954C66"/>
    <w:rsid w:val="00955C75"/>
    <w:rsid w:val="00960591"/>
    <w:rsid w:val="009617F5"/>
    <w:rsid w:val="00962B5C"/>
    <w:rsid w:val="00964AB4"/>
    <w:rsid w:val="00966CDE"/>
    <w:rsid w:val="00966FE1"/>
    <w:rsid w:val="00967391"/>
    <w:rsid w:val="00967605"/>
    <w:rsid w:val="00967BE0"/>
    <w:rsid w:val="00967EDB"/>
    <w:rsid w:val="0097074E"/>
    <w:rsid w:val="0097090C"/>
    <w:rsid w:val="00970AD9"/>
    <w:rsid w:val="009710B3"/>
    <w:rsid w:val="009719D4"/>
    <w:rsid w:val="00972410"/>
    <w:rsid w:val="0097310B"/>
    <w:rsid w:val="009732C4"/>
    <w:rsid w:val="00974152"/>
    <w:rsid w:val="009742C0"/>
    <w:rsid w:val="009742E5"/>
    <w:rsid w:val="009749E2"/>
    <w:rsid w:val="009756D4"/>
    <w:rsid w:val="00975C23"/>
    <w:rsid w:val="00976E08"/>
    <w:rsid w:val="00977838"/>
    <w:rsid w:val="00977839"/>
    <w:rsid w:val="00977FA7"/>
    <w:rsid w:val="0098186B"/>
    <w:rsid w:val="00982B96"/>
    <w:rsid w:val="009839CF"/>
    <w:rsid w:val="009850D2"/>
    <w:rsid w:val="00986462"/>
    <w:rsid w:val="009876DB"/>
    <w:rsid w:val="00990621"/>
    <w:rsid w:val="00990EB0"/>
    <w:rsid w:val="00991F04"/>
    <w:rsid w:val="009921A8"/>
    <w:rsid w:val="009934BD"/>
    <w:rsid w:val="009936B8"/>
    <w:rsid w:val="009945F5"/>
    <w:rsid w:val="00994AC2"/>
    <w:rsid w:val="009963CE"/>
    <w:rsid w:val="009964BE"/>
    <w:rsid w:val="00996727"/>
    <w:rsid w:val="0099694D"/>
    <w:rsid w:val="00997630"/>
    <w:rsid w:val="009A2A2A"/>
    <w:rsid w:val="009A304F"/>
    <w:rsid w:val="009A46D9"/>
    <w:rsid w:val="009A512B"/>
    <w:rsid w:val="009A5EDE"/>
    <w:rsid w:val="009A5F6A"/>
    <w:rsid w:val="009A6B28"/>
    <w:rsid w:val="009A7562"/>
    <w:rsid w:val="009A7877"/>
    <w:rsid w:val="009A7AD4"/>
    <w:rsid w:val="009B0046"/>
    <w:rsid w:val="009B267B"/>
    <w:rsid w:val="009B2726"/>
    <w:rsid w:val="009B320E"/>
    <w:rsid w:val="009B322A"/>
    <w:rsid w:val="009B41ED"/>
    <w:rsid w:val="009B46B3"/>
    <w:rsid w:val="009B5033"/>
    <w:rsid w:val="009B5CF0"/>
    <w:rsid w:val="009B6FDA"/>
    <w:rsid w:val="009B7912"/>
    <w:rsid w:val="009C0B95"/>
    <w:rsid w:val="009C132C"/>
    <w:rsid w:val="009C1E29"/>
    <w:rsid w:val="009C21D5"/>
    <w:rsid w:val="009C3C3C"/>
    <w:rsid w:val="009C3D1A"/>
    <w:rsid w:val="009C4BDC"/>
    <w:rsid w:val="009C50F8"/>
    <w:rsid w:val="009C5DA8"/>
    <w:rsid w:val="009C7EF8"/>
    <w:rsid w:val="009D1086"/>
    <w:rsid w:val="009D18D3"/>
    <w:rsid w:val="009D2E28"/>
    <w:rsid w:val="009D4527"/>
    <w:rsid w:val="009D49E8"/>
    <w:rsid w:val="009D51D6"/>
    <w:rsid w:val="009D5695"/>
    <w:rsid w:val="009D6581"/>
    <w:rsid w:val="009D6D22"/>
    <w:rsid w:val="009D7364"/>
    <w:rsid w:val="009D74F3"/>
    <w:rsid w:val="009D7E6E"/>
    <w:rsid w:val="009E03B2"/>
    <w:rsid w:val="009E1CA2"/>
    <w:rsid w:val="009E1E00"/>
    <w:rsid w:val="009E2352"/>
    <w:rsid w:val="009E2A7B"/>
    <w:rsid w:val="009E2CE0"/>
    <w:rsid w:val="009E329E"/>
    <w:rsid w:val="009E40F4"/>
    <w:rsid w:val="009E5F5A"/>
    <w:rsid w:val="009E6424"/>
    <w:rsid w:val="009E7424"/>
    <w:rsid w:val="009F4C59"/>
    <w:rsid w:val="009F4DB6"/>
    <w:rsid w:val="009F53BE"/>
    <w:rsid w:val="009F59A3"/>
    <w:rsid w:val="009F65C4"/>
    <w:rsid w:val="009F7036"/>
    <w:rsid w:val="009F73CF"/>
    <w:rsid w:val="00A00426"/>
    <w:rsid w:val="00A00613"/>
    <w:rsid w:val="00A007F2"/>
    <w:rsid w:val="00A008F8"/>
    <w:rsid w:val="00A00984"/>
    <w:rsid w:val="00A012BE"/>
    <w:rsid w:val="00A01D8D"/>
    <w:rsid w:val="00A037B2"/>
    <w:rsid w:val="00A047AB"/>
    <w:rsid w:val="00A04FA5"/>
    <w:rsid w:val="00A05280"/>
    <w:rsid w:val="00A05412"/>
    <w:rsid w:val="00A05886"/>
    <w:rsid w:val="00A064A4"/>
    <w:rsid w:val="00A06E8B"/>
    <w:rsid w:val="00A07641"/>
    <w:rsid w:val="00A07A1D"/>
    <w:rsid w:val="00A10209"/>
    <w:rsid w:val="00A113AB"/>
    <w:rsid w:val="00A12B2F"/>
    <w:rsid w:val="00A1514D"/>
    <w:rsid w:val="00A155D0"/>
    <w:rsid w:val="00A15F98"/>
    <w:rsid w:val="00A164EA"/>
    <w:rsid w:val="00A167DC"/>
    <w:rsid w:val="00A1688E"/>
    <w:rsid w:val="00A1690F"/>
    <w:rsid w:val="00A207FD"/>
    <w:rsid w:val="00A2095D"/>
    <w:rsid w:val="00A21CB8"/>
    <w:rsid w:val="00A22420"/>
    <w:rsid w:val="00A22D1D"/>
    <w:rsid w:val="00A231E2"/>
    <w:rsid w:val="00A238AF"/>
    <w:rsid w:val="00A2403A"/>
    <w:rsid w:val="00A242F8"/>
    <w:rsid w:val="00A24555"/>
    <w:rsid w:val="00A250E9"/>
    <w:rsid w:val="00A250F2"/>
    <w:rsid w:val="00A25DA1"/>
    <w:rsid w:val="00A2688C"/>
    <w:rsid w:val="00A26B63"/>
    <w:rsid w:val="00A27871"/>
    <w:rsid w:val="00A27BFE"/>
    <w:rsid w:val="00A3024D"/>
    <w:rsid w:val="00A306F3"/>
    <w:rsid w:val="00A30D88"/>
    <w:rsid w:val="00A31972"/>
    <w:rsid w:val="00A31E67"/>
    <w:rsid w:val="00A32454"/>
    <w:rsid w:val="00A339AB"/>
    <w:rsid w:val="00A34AD2"/>
    <w:rsid w:val="00A34C2C"/>
    <w:rsid w:val="00A41316"/>
    <w:rsid w:val="00A417BE"/>
    <w:rsid w:val="00A42460"/>
    <w:rsid w:val="00A43C14"/>
    <w:rsid w:val="00A50547"/>
    <w:rsid w:val="00A50A2B"/>
    <w:rsid w:val="00A5127D"/>
    <w:rsid w:val="00A52959"/>
    <w:rsid w:val="00A5381F"/>
    <w:rsid w:val="00A54088"/>
    <w:rsid w:val="00A54B23"/>
    <w:rsid w:val="00A54B9C"/>
    <w:rsid w:val="00A56FB5"/>
    <w:rsid w:val="00A56FFA"/>
    <w:rsid w:val="00A57B9A"/>
    <w:rsid w:val="00A62DC0"/>
    <w:rsid w:val="00A63C7A"/>
    <w:rsid w:val="00A65366"/>
    <w:rsid w:val="00A6609D"/>
    <w:rsid w:val="00A660DF"/>
    <w:rsid w:val="00A6619F"/>
    <w:rsid w:val="00A6663A"/>
    <w:rsid w:val="00A66A69"/>
    <w:rsid w:val="00A702C4"/>
    <w:rsid w:val="00A727A3"/>
    <w:rsid w:val="00A72C91"/>
    <w:rsid w:val="00A73052"/>
    <w:rsid w:val="00A731F5"/>
    <w:rsid w:val="00A73303"/>
    <w:rsid w:val="00A737A1"/>
    <w:rsid w:val="00A73DF9"/>
    <w:rsid w:val="00A75C16"/>
    <w:rsid w:val="00A764E5"/>
    <w:rsid w:val="00A76C95"/>
    <w:rsid w:val="00A80B67"/>
    <w:rsid w:val="00A82916"/>
    <w:rsid w:val="00A82A0C"/>
    <w:rsid w:val="00A85FAA"/>
    <w:rsid w:val="00A86521"/>
    <w:rsid w:val="00A8696E"/>
    <w:rsid w:val="00A87D4C"/>
    <w:rsid w:val="00A87E39"/>
    <w:rsid w:val="00A90531"/>
    <w:rsid w:val="00A906C2"/>
    <w:rsid w:val="00A90E52"/>
    <w:rsid w:val="00A92318"/>
    <w:rsid w:val="00A92971"/>
    <w:rsid w:val="00A92C5A"/>
    <w:rsid w:val="00A94237"/>
    <w:rsid w:val="00A95A43"/>
    <w:rsid w:val="00A95DA6"/>
    <w:rsid w:val="00A976BA"/>
    <w:rsid w:val="00AA0516"/>
    <w:rsid w:val="00AA1145"/>
    <w:rsid w:val="00AA1A1A"/>
    <w:rsid w:val="00AA1BE2"/>
    <w:rsid w:val="00AA1FF2"/>
    <w:rsid w:val="00AA20F0"/>
    <w:rsid w:val="00AA2461"/>
    <w:rsid w:val="00AA2A3B"/>
    <w:rsid w:val="00AA2D81"/>
    <w:rsid w:val="00AA2EA2"/>
    <w:rsid w:val="00AA30D9"/>
    <w:rsid w:val="00AA44A2"/>
    <w:rsid w:val="00AA6359"/>
    <w:rsid w:val="00AA6706"/>
    <w:rsid w:val="00AA6716"/>
    <w:rsid w:val="00AB1127"/>
    <w:rsid w:val="00AB3E05"/>
    <w:rsid w:val="00AB430E"/>
    <w:rsid w:val="00AB4CA5"/>
    <w:rsid w:val="00AB5427"/>
    <w:rsid w:val="00AB5437"/>
    <w:rsid w:val="00AB5967"/>
    <w:rsid w:val="00AB5B33"/>
    <w:rsid w:val="00AC04A6"/>
    <w:rsid w:val="00AC1A2D"/>
    <w:rsid w:val="00AC1BA0"/>
    <w:rsid w:val="00AC1CF7"/>
    <w:rsid w:val="00AC4213"/>
    <w:rsid w:val="00AC4463"/>
    <w:rsid w:val="00AC4DD5"/>
    <w:rsid w:val="00AC5825"/>
    <w:rsid w:val="00AC5B7E"/>
    <w:rsid w:val="00AC5DE9"/>
    <w:rsid w:val="00AC630D"/>
    <w:rsid w:val="00AC7868"/>
    <w:rsid w:val="00AD0A45"/>
    <w:rsid w:val="00AD1A1D"/>
    <w:rsid w:val="00AD3DA8"/>
    <w:rsid w:val="00AD42C4"/>
    <w:rsid w:val="00AD535D"/>
    <w:rsid w:val="00AD72C6"/>
    <w:rsid w:val="00AD74FD"/>
    <w:rsid w:val="00AD7EBB"/>
    <w:rsid w:val="00AE0390"/>
    <w:rsid w:val="00AE0C22"/>
    <w:rsid w:val="00AE0FCE"/>
    <w:rsid w:val="00AE14FA"/>
    <w:rsid w:val="00AE2ED3"/>
    <w:rsid w:val="00AE2F96"/>
    <w:rsid w:val="00AE34F8"/>
    <w:rsid w:val="00AE3609"/>
    <w:rsid w:val="00AE3AD4"/>
    <w:rsid w:val="00AE6E56"/>
    <w:rsid w:val="00AE7410"/>
    <w:rsid w:val="00AE7FFA"/>
    <w:rsid w:val="00AF01EB"/>
    <w:rsid w:val="00AF150D"/>
    <w:rsid w:val="00AF25EA"/>
    <w:rsid w:val="00AF3C44"/>
    <w:rsid w:val="00AF3D03"/>
    <w:rsid w:val="00AF41D7"/>
    <w:rsid w:val="00AF4CC5"/>
    <w:rsid w:val="00AF626F"/>
    <w:rsid w:val="00AF67CC"/>
    <w:rsid w:val="00AF6BAC"/>
    <w:rsid w:val="00AF725D"/>
    <w:rsid w:val="00AF7581"/>
    <w:rsid w:val="00B003C8"/>
    <w:rsid w:val="00B01BC0"/>
    <w:rsid w:val="00B01C40"/>
    <w:rsid w:val="00B01FE6"/>
    <w:rsid w:val="00B024AC"/>
    <w:rsid w:val="00B03687"/>
    <w:rsid w:val="00B038AC"/>
    <w:rsid w:val="00B0461E"/>
    <w:rsid w:val="00B04D8E"/>
    <w:rsid w:val="00B078B8"/>
    <w:rsid w:val="00B07D01"/>
    <w:rsid w:val="00B1072B"/>
    <w:rsid w:val="00B10A9C"/>
    <w:rsid w:val="00B1149F"/>
    <w:rsid w:val="00B118DD"/>
    <w:rsid w:val="00B1245F"/>
    <w:rsid w:val="00B1285B"/>
    <w:rsid w:val="00B13D34"/>
    <w:rsid w:val="00B13D80"/>
    <w:rsid w:val="00B13EDC"/>
    <w:rsid w:val="00B140E8"/>
    <w:rsid w:val="00B15DBE"/>
    <w:rsid w:val="00B165CC"/>
    <w:rsid w:val="00B16CC3"/>
    <w:rsid w:val="00B1736C"/>
    <w:rsid w:val="00B177D2"/>
    <w:rsid w:val="00B2007B"/>
    <w:rsid w:val="00B21767"/>
    <w:rsid w:val="00B23493"/>
    <w:rsid w:val="00B2389D"/>
    <w:rsid w:val="00B23DE9"/>
    <w:rsid w:val="00B2515E"/>
    <w:rsid w:val="00B25F48"/>
    <w:rsid w:val="00B269D4"/>
    <w:rsid w:val="00B26C3A"/>
    <w:rsid w:val="00B26C44"/>
    <w:rsid w:val="00B27DCF"/>
    <w:rsid w:val="00B3055F"/>
    <w:rsid w:val="00B30A0E"/>
    <w:rsid w:val="00B30CE7"/>
    <w:rsid w:val="00B31C78"/>
    <w:rsid w:val="00B32279"/>
    <w:rsid w:val="00B3268F"/>
    <w:rsid w:val="00B34880"/>
    <w:rsid w:val="00B35B06"/>
    <w:rsid w:val="00B35BF2"/>
    <w:rsid w:val="00B35E73"/>
    <w:rsid w:val="00B37885"/>
    <w:rsid w:val="00B37EE9"/>
    <w:rsid w:val="00B4008C"/>
    <w:rsid w:val="00B41093"/>
    <w:rsid w:val="00B41A5B"/>
    <w:rsid w:val="00B426DB"/>
    <w:rsid w:val="00B428F5"/>
    <w:rsid w:val="00B437A0"/>
    <w:rsid w:val="00B43C79"/>
    <w:rsid w:val="00B445DB"/>
    <w:rsid w:val="00B4467B"/>
    <w:rsid w:val="00B44969"/>
    <w:rsid w:val="00B460DA"/>
    <w:rsid w:val="00B46310"/>
    <w:rsid w:val="00B46A35"/>
    <w:rsid w:val="00B50C13"/>
    <w:rsid w:val="00B519D2"/>
    <w:rsid w:val="00B52692"/>
    <w:rsid w:val="00B547A4"/>
    <w:rsid w:val="00B547B2"/>
    <w:rsid w:val="00B55462"/>
    <w:rsid w:val="00B557E4"/>
    <w:rsid w:val="00B607E6"/>
    <w:rsid w:val="00B60F10"/>
    <w:rsid w:val="00B6194D"/>
    <w:rsid w:val="00B6390A"/>
    <w:rsid w:val="00B63FB2"/>
    <w:rsid w:val="00B64D7F"/>
    <w:rsid w:val="00B65E91"/>
    <w:rsid w:val="00B67C1B"/>
    <w:rsid w:val="00B70677"/>
    <w:rsid w:val="00B71CBC"/>
    <w:rsid w:val="00B7350C"/>
    <w:rsid w:val="00B73AB5"/>
    <w:rsid w:val="00B7416D"/>
    <w:rsid w:val="00B745FB"/>
    <w:rsid w:val="00B7698B"/>
    <w:rsid w:val="00B81C6D"/>
    <w:rsid w:val="00B829DB"/>
    <w:rsid w:val="00B83442"/>
    <w:rsid w:val="00B83C70"/>
    <w:rsid w:val="00B84A64"/>
    <w:rsid w:val="00B85268"/>
    <w:rsid w:val="00B853E7"/>
    <w:rsid w:val="00B859BA"/>
    <w:rsid w:val="00B86E28"/>
    <w:rsid w:val="00B87600"/>
    <w:rsid w:val="00B91B9B"/>
    <w:rsid w:val="00B91BEF"/>
    <w:rsid w:val="00B9308C"/>
    <w:rsid w:val="00B93209"/>
    <w:rsid w:val="00B9387A"/>
    <w:rsid w:val="00B93C85"/>
    <w:rsid w:val="00B93F1C"/>
    <w:rsid w:val="00B9421D"/>
    <w:rsid w:val="00B944D2"/>
    <w:rsid w:val="00B948D3"/>
    <w:rsid w:val="00B94E02"/>
    <w:rsid w:val="00B95027"/>
    <w:rsid w:val="00B97532"/>
    <w:rsid w:val="00B97A50"/>
    <w:rsid w:val="00BA0475"/>
    <w:rsid w:val="00BA0682"/>
    <w:rsid w:val="00BA092D"/>
    <w:rsid w:val="00BA15B1"/>
    <w:rsid w:val="00BA1643"/>
    <w:rsid w:val="00BA18CC"/>
    <w:rsid w:val="00BA2664"/>
    <w:rsid w:val="00BA3042"/>
    <w:rsid w:val="00BA33E3"/>
    <w:rsid w:val="00BA3E7C"/>
    <w:rsid w:val="00BA4337"/>
    <w:rsid w:val="00BA47B9"/>
    <w:rsid w:val="00BA4EB3"/>
    <w:rsid w:val="00BA68A0"/>
    <w:rsid w:val="00BA6D77"/>
    <w:rsid w:val="00BA710B"/>
    <w:rsid w:val="00BB0214"/>
    <w:rsid w:val="00BB0658"/>
    <w:rsid w:val="00BB2B3C"/>
    <w:rsid w:val="00BB3BE9"/>
    <w:rsid w:val="00BB7784"/>
    <w:rsid w:val="00BB7C31"/>
    <w:rsid w:val="00BB8FA9"/>
    <w:rsid w:val="00BC02E7"/>
    <w:rsid w:val="00BC0E49"/>
    <w:rsid w:val="00BC0F4A"/>
    <w:rsid w:val="00BC13D2"/>
    <w:rsid w:val="00BC1451"/>
    <w:rsid w:val="00BC5D62"/>
    <w:rsid w:val="00BC616E"/>
    <w:rsid w:val="00BC6576"/>
    <w:rsid w:val="00BC684C"/>
    <w:rsid w:val="00BD025B"/>
    <w:rsid w:val="00BD0AC1"/>
    <w:rsid w:val="00BD26F0"/>
    <w:rsid w:val="00BD2948"/>
    <w:rsid w:val="00BD313F"/>
    <w:rsid w:val="00BD33C1"/>
    <w:rsid w:val="00BD4651"/>
    <w:rsid w:val="00BD46E6"/>
    <w:rsid w:val="00BD55FE"/>
    <w:rsid w:val="00BD6F9B"/>
    <w:rsid w:val="00BD7BBD"/>
    <w:rsid w:val="00BE1778"/>
    <w:rsid w:val="00BE1CB6"/>
    <w:rsid w:val="00BE258F"/>
    <w:rsid w:val="00BE3B88"/>
    <w:rsid w:val="00BE3CB7"/>
    <w:rsid w:val="00BE44E1"/>
    <w:rsid w:val="00BE48B4"/>
    <w:rsid w:val="00BE4F25"/>
    <w:rsid w:val="00BE4FDA"/>
    <w:rsid w:val="00BE63E8"/>
    <w:rsid w:val="00BE6BE8"/>
    <w:rsid w:val="00BE7733"/>
    <w:rsid w:val="00BE77E7"/>
    <w:rsid w:val="00BE7828"/>
    <w:rsid w:val="00BF0413"/>
    <w:rsid w:val="00BF163D"/>
    <w:rsid w:val="00BF2C86"/>
    <w:rsid w:val="00BF2EB0"/>
    <w:rsid w:val="00BF4626"/>
    <w:rsid w:val="00BF46E1"/>
    <w:rsid w:val="00BF6020"/>
    <w:rsid w:val="00C005B1"/>
    <w:rsid w:val="00C00C4B"/>
    <w:rsid w:val="00C014BA"/>
    <w:rsid w:val="00C02372"/>
    <w:rsid w:val="00C02F58"/>
    <w:rsid w:val="00C034FC"/>
    <w:rsid w:val="00C03673"/>
    <w:rsid w:val="00C07315"/>
    <w:rsid w:val="00C07A17"/>
    <w:rsid w:val="00C110E7"/>
    <w:rsid w:val="00C11D11"/>
    <w:rsid w:val="00C1263A"/>
    <w:rsid w:val="00C13005"/>
    <w:rsid w:val="00C13959"/>
    <w:rsid w:val="00C14225"/>
    <w:rsid w:val="00C150E9"/>
    <w:rsid w:val="00C16BDD"/>
    <w:rsid w:val="00C1723C"/>
    <w:rsid w:val="00C17964"/>
    <w:rsid w:val="00C20623"/>
    <w:rsid w:val="00C21D08"/>
    <w:rsid w:val="00C22606"/>
    <w:rsid w:val="00C22684"/>
    <w:rsid w:val="00C235C1"/>
    <w:rsid w:val="00C24DA8"/>
    <w:rsid w:val="00C27BD9"/>
    <w:rsid w:val="00C30754"/>
    <w:rsid w:val="00C30CA4"/>
    <w:rsid w:val="00C3125E"/>
    <w:rsid w:val="00C3126A"/>
    <w:rsid w:val="00C31CD4"/>
    <w:rsid w:val="00C331EB"/>
    <w:rsid w:val="00C33FED"/>
    <w:rsid w:val="00C34F54"/>
    <w:rsid w:val="00C37C7B"/>
    <w:rsid w:val="00C400A3"/>
    <w:rsid w:val="00C4117F"/>
    <w:rsid w:val="00C4159A"/>
    <w:rsid w:val="00C41874"/>
    <w:rsid w:val="00C41A66"/>
    <w:rsid w:val="00C4281E"/>
    <w:rsid w:val="00C42927"/>
    <w:rsid w:val="00C4353D"/>
    <w:rsid w:val="00C43E11"/>
    <w:rsid w:val="00C43E58"/>
    <w:rsid w:val="00C44255"/>
    <w:rsid w:val="00C44C00"/>
    <w:rsid w:val="00C45071"/>
    <w:rsid w:val="00C45548"/>
    <w:rsid w:val="00C458B3"/>
    <w:rsid w:val="00C45C50"/>
    <w:rsid w:val="00C45FEB"/>
    <w:rsid w:val="00C47633"/>
    <w:rsid w:val="00C476AB"/>
    <w:rsid w:val="00C47B61"/>
    <w:rsid w:val="00C5161A"/>
    <w:rsid w:val="00C51904"/>
    <w:rsid w:val="00C51ACB"/>
    <w:rsid w:val="00C52F39"/>
    <w:rsid w:val="00C549E9"/>
    <w:rsid w:val="00C55F06"/>
    <w:rsid w:val="00C56697"/>
    <w:rsid w:val="00C61841"/>
    <w:rsid w:val="00C6269A"/>
    <w:rsid w:val="00C63EE2"/>
    <w:rsid w:val="00C6470C"/>
    <w:rsid w:val="00C647A1"/>
    <w:rsid w:val="00C64864"/>
    <w:rsid w:val="00C64AA5"/>
    <w:rsid w:val="00C65359"/>
    <w:rsid w:val="00C666B7"/>
    <w:rsid w:val="00C66B4B"/>
    <w:rsid w:val="00C673F4"/>
    <w:rsid w:val="00C70043"/>
    <w:rsid w:val="00C70086"/>
    <w:rsid w:val="00C711C2"/>
    <w:rsid w:val="00C72A6A"/>
    <w:rsid w:val="00C738B6"/>
    <w:rsid w:val="00C77175"/>
    <w:rsid w:val="00C77B65"/>
    <w:rsid w:val="00C80D81"/>
    <w:rsid w:val="00C879DD"/>
    <w:rsid w:val="00C92BD7"/>
    <w:rsid w:val="00C92F44"/>
    <w:rsid w:val="00C93FBF"/>
    <w:rsid w:val="00C944EF"/>
    <w:rsid w:val="00C95969"/>
    <w:rsid w:val="00C95EB1"/>
    <w:rsid w:val="00CA14D6"/>
    <w:rsid w:val="00CA1F6D"/>
    <w:rsid w:val="00CA2060"/>
    <w:rsid w:val="00CA2356"/>
    <w:rsid w:val="00CA4875"/>
    <w:rsid w:val="00CA4E9B"/>
    <w:rsid w:val="00CA518E"/>
    <w:rsid w:val="00CA563C"/>
    <w:rsid w:val="00CA6815"/>
    <w:rsid w:val="00CA6C1C"/>
    <w:rsid w:val="00CA6FA3"/>
    <w:rsid w:val="00CB0838"/>
    <w:rsid w:val="00CB0F93"/>
    <w:rsid w:val="00CB125E"/>
    <w:rsid w:val="00CB1749"/>
    <w:rsid w:val="00CB1926"/>
    <w:rsid w:val="00CB1A77"/>
    <w:rsid w:val="00CB1DEC"/>
    <w:rsid w:val="00CB233C"/>
    <w:rsid w:val="00CB23B8"/>
    <w:rsid w:val="00CB381B"/>
    <w:rsid w:val="00CB39B5"/>
    <w:rsid w:val="00CB39D1"/>
    <w:rsid w:val="00CB3AC6"/>
    <w:rsid w:val="00CB3B91"/>
    <w:rsid w:val="00CB44C8"/>
    <w:rsid w:val="00CB6263"/>
    <w:rsid w:val="00CB6806"/>
    <w:rsid w:val="00CB70C2"/>
    <w:rsid w:val="00CB7EC2"/>
    <w:rsid w:val="00CC0357"/>
    <w:rsid w:val="00CC2537"/>
    <w:rsid w:val="00CC29FB"/>
    <w:rsid w:val="00CC3190"/>
    <w:rsid w:val="00CC57B9"/>
    <w:rsid w:val="00CC5D3B"/>
    <w:rsid w:val="00CC5D72"/>
    <w:rsid w:val="00CC6C58"/>
    <w:rsid w:val="00CC6DB6"/>
    <w:rsid w:val="00CC761C"/>
    <w:rsid w:val="00CD0148"/>
    <w:rsid w:val="00CD2206"/>
    <w:rsid w:val="00CD2AB2"/>
    <w:rsid w:val="00CD2CE5"/>
    <w:rsid w:val="00CD33D0"/>
    <w:rsid w:val="00CD349E"/>
    <w:rsid w:val="00CD34DC"/>
    <w:rsid w:val="00CD6675"/>
    <w:rsid w:val="00CE1F9A"/>
    <w:rsid w:val="00CE1FE9"/>
    <w:rsid w:val="00CE2628"/>
    <w:rsid w:val="00CE3C91"/>
    <w:rsid w:val="00CE3E32"/>
    <w:rsid w:val="00CE3FC7"/>
    <w:rsid w:val="00CE44E5"/>
    <w:rsid w:val="00CE4626"/>
    <w:rsid w:val="00CE6027"/>
    <w:rsid w:val="00CE6075"/>
    <w:rsid w:val="00CE72CE"/>
    <w:rsid w:val="00CE7392"/>
    <w:rsid w:val="00CE7417"/>
    <w:rsid w:val="00CF0866"/>
    <w:rsid w:val="00CF0C67"/>
    <w:rsid w:val="00CF17DE"/>
    <w:rsid w:val="00CF2236"/>
    <w:rsid w:val="00CF24AE"/>
    <w:rsid w:val="00CF294B"/>
    <w:rsid w:val="00CF2CC0"/>
    <w:rsid w:val="00CF3295"/>
    <w:rsid w:val="00CF35F8"/>
    <w:rsid w:val="00CF464D"/>
    <w:rsid w:val="00CF50F0"/>
    <w:rsid w:val="00CF55E9"/>
    <w:rsid w:val="00CF7FD4"/>
    <w:rsid w:val="00D028E9"/>
    <w:rsid w:val="00D04355"/>
    <w:rsid w:val="00D04F72"/>
    <w:rsid w:val="00D0703B"/>
    <w:rsid w:val="00D07433"/>
    <w:rsid w:val="00D07471"/>
    <w:rsid w:val="00D10317"/>
    <w:rsid w:val="00D10328"/>
    <w:rsid w:val="00D119F5"/>
    <w:rsid w:val="00D13167"/>
    <w:rsid w:val="00D13370"/>
    <w:rsid w:val="00D143A1"/>
    <w:rsid w:val="00D14AF1"/>
    <w:rsid w:val="00D156ED"/>
    <w:rsid w:val="00D168F4"/>
    <w:rsid w:val="00D17863"/>
    <w:rsid w:val="00D21212"/>
    <w:rsid w:val="00D21423"/>
    <w:rsid w:val="00D224F4"/>
    <w:rsid w:val="00D2270B"/>
    <w:rsid w:val="00D22CD1"/>
    <w:rsid w:val="00D22D90"/>
    <w:rsid w:val="00D22EFD"/>
    <w:rsid w:val="00D238CE"/>
    <w:rsid w:val="00D24C7E"/>
    <w:rsid w:val="00D24F32"/>
    <w:rsid w:val="00D250CE"/>
    <w:rsid w:val="00D25A64"/>
    <w:rsid w:val="00D25DB8"/>
    <w:rsid w:val="00D26CC0"/>
    <w:rsid w:val="00D30AEC"/>
    <w:rsid w:val="00D30CF9"/>
    <w:rsid w:val="00D31047"/>
    <w:rsid w:val="00D321C7"/>
    <w:rsid w:val="00D32694"/>
    <w:rsid w:val="00D33B73"/>
    <w:rsid w:val="00D33BFF"/>
    <w:rsid w:val="00D33D47"/>
    <w:rsid w:val="00D33E39"/>
    <w:rsid w:val="00D3404F"/>
    <w:rsid w:val="00D34885"/>
    <w:rsid w:val="00D3502F"/>
    <w:rsid w:val="00D3583A"/>
    <w:rsid w:val="00D35CD7"/>
    <w:rsid w:val="00D3651A"/>
    <w:rsid w:val="00D36A10"/>
    <w:rsid w:val="00D40771"/>
    <w:rsid w:val="00D4088E"/>
    <w:rsid w:val="00D40B8C"/>
    <w:rsid w:val="00D40E37"/>
    <w:rsid w:val="00D40F66"/>
    <w:rsid w:val="00D4101E"/>
    <w:rsid w:val="00D412D7"/>
    <w:rsid w:val="00D412EC"/>
    <w:rsid w:val="00D41431"/>
    <w:rsid w:val="00D42727"/>
    <w:rsid w:val="00D42C39"/>
    <w:rsid w:val="00D4309B"/>
    <w:rsid w:val="00D4324C"/>
    <w:rsid w:val="00D43C81"/>
    <w:rsid w:val="00D4497B"/>
    <w:rsid w:val="00D46155"/>
    <w:rsid w:val="00D47315"/>
    <w:rsid w:val="00D47770"/>
    <w:rsid w:val="00D47B72"/>
    <w:rsid w:val="00D50F91"/>
    <w:rsid w:val="00D529D8"/>
    <w:rsid w:val="00D54F3F"/>
    <w:rsid w:val="00D552B2"/>
    <w:rsid w:val="00D561A2"/>
    <w:rsid w:val="00D60F64"/>
    <w:rsid w:val="00D61EEF"/>
    <w:rsid w:val="00D63AA8"/>
    <w:rsid w:val="00D7085D"/>
    <w:rsid w:val="00D71507"/>
    <w:rsid w:val="00D71AFB"/>
    <w:rsid w:val="00D71C73"/>
    <w:rsid w:val="00D7204B"/>
    <w:rsid w:val="00D72283"/>
    <w:rsid w:val="00D727B5"/>
    <w:rsid w:val="00D73177"/>
    <w:rsid w:val="00D73F51"/>
    <w:rsid w:val="00D74241"/>
    <w:rsid w:val="00D7436B"/>
    <w:rsid w:val="00D74641"/>
    <w:rsid w:val="00D752FE"/>
    <w:rsid w:val="00D7547D"/>
    <w:rsid w:val="00D75AB3"/>
    <w:rsid w:val="00D768BF"/>
    <w:rsid w:val="00D76A56"/>
    <w:rsid w:val="00D802C9"/>
    <w:rsid w:val="00D81C7E"/>
    <w:rsid w:val="00D83A1C"/>
    <w:rsid w:val="00D842F4"/>
    <w:rsid w:val="00D849D8"/>
    <w:rsid w:val="00D862FE"/>
    <w:rsid w:val="00D863A5"/>
    <w:rsid w:val="00D868F5"/>
    <w:rsid w:val="00D8749A"/>
    <w:rsid w:val="00D87D83"/>
    <w:rsid w:val="00D9112C"/>
    <w:rsid w:val="00D93D04"/>
    <w:rsid w:val="00D95742"/>
    <w:rsid w:val="00D95B5C"/>
    <w:rsid w:val="00D95F9F"/>
    <w:rsid w:val="00D967F9"/>
    <w:rsid w:val="00D97418"/>
    <w:rsid w:val="00DA10C3"/>
    <w:rsid w:val="00DA3D25"/>
    <w:rsid w:val="00DA3EE5"/>
    <w:rsid w:val="00DA3F83"/>
    <w:rsid w:val="00DA4D0A"/>
    <w:rsid w:val="00DA78FD"/>
    <w:rsid w:val="00DA7ADB"/>
    <w:rsid w:val="00DA7C40"/>
    <w:rsid w:val="00DA7E0D"/>
    <w:rsid w:val="00DB00FD"/>
    <w:rsid w:val="00DB06CA"/>
    <w:rsid w:val="00DB0DEF"/>
    <w:rsid w:val="00DB106D"/>
    <w:rsid w:val="00DB162D"/>
    <w:rsid w:val="00DB2042"/>
    <w:rsid w:val="00DB22BB"/>
    <w:rsid w:val="00DB2443"/>
    <w:rsid w:val="00DB2A9E"/>
    <w:rsid w:val="00DB39C1"/>
    <w:rsid w:val="00DB3A33"/>
    <w:rsid w:val="00DB3FF2"/>
    <w:rsid w:val="00DB4993"/>
    <w:rsid w:val="00DB4E28"/>
    <w:rsid w:val="00DB5BE3"/>
    <w:rsid w:val="00DB5E61"/>
    <w:rsid w:val="00DB6DE7"/>
    <w:rsid w:val="00DB738B"/>
    <w:rsid w:val="00DB7A29"/>
    <w:rsid w:val="00DB7C4A"/>
    <w:rsid w:val="00DC102E"/>
    <w:rsid w:val="00DC2BF6"/>
    <w:rsid w:val="00DC2F42"/>
    <w:rsid w:val="00DC3150"/>
    <w:rsid w:val="00DC3C74"/>
    <w:rsid w:val="00DC460C"/>
    <w:rsid w:val="00DC46C4"/>
    <w:rsid w:val="00DC4ADF"/>
    <w:rsid w:val="00DC580A"/>
    <w:rsid w:val="00DC59CF"/>
    <w:rsid w:val="00DC5D61"/>
    <w:rsid w:val="00DC714C"/>
    <w:rsid w:val="00DD05E8"/>
    <w:rsid w:val="00DD0F8F"/>
    <w:rsid w:val="00DD1261"/>
    <w:rsid w:val="00DD2BA1"/>
    <w:rsid w:val="00DD3367"/>
    <w:rsid w:val="00DD4521"/>
    <w:rsid w:val="00DD4CDA"/>
    <w:rsid w:val="00DD4EB4"/>
    <w:rsid w:val="00DD5267"/>
    <w:rsid w:val="00DD572A"/>
    <w:rsid w:val="00DD576D"/>
    <w:rsid w:val="00DD649A"/>
    <w:rsid w:val="00DE011A"/>
    <w:rsid w:val="00DE0722"/>
    <w:rsid w:val="00DE08ED"/>
    <w:rsid w:val="00DE0B1A"/>
    <w:rsid w:val="00DE0F0D"/>
    <w:rsid w:val="00DE24FE"/>
    <w:rsid w:val="00DE359D"/>
    <w:rsid w:val="00DE3F58"/>
    <w:rsid w:val="00DE4A35"/>
    <w:rsid w:val="00DE6016"/>
    <w:rsid w:val="00DE60D0"/>
    <w:rsid w:val="00DE7FE6"/>
    <w:rsid w:val="00DF12F2"/>
    <w:rsid w:val="00DF197D"/>
    <w:rsid w:val="00DF1BC3"/>
    <w:rsid w:val="00DF1E87"/>
    <w:rsid w:val="00DF25EE"/>
    <w:rsid w:val="00DF2675"/>
    <w:rsid w:val="00DF2886"/>
    <w:rsid w:val="00DF2D8E"/>
    <w:rsid w:val="00DF4675"/>
    <w:rsid w:val="00DF4EBF"/>
    <w:rsid w:val="00DF5270"/>
    <w:rsid w:val="00DF56A7"/>
    <w:rsid w:val="00DF5A37"/>
    <w:rsid w:val="00DF5A73"/>
    <w:rsid w:val="00DF6587"/>
    <w:rsid w:val="00DF728D"/>
    <w:rsid w:val="00DF7ACA"/>
    <w:rsid w:val="00DF7B35"/>
    <w:rsid w:val="00E00101"/>
    <w:rsid w:val="00E001F0"/>
    <w:rsid w:val="00E00691"/>
    <w:rsid w:val="00E00C9D"/>
    <w:rsid w:val="00E0134F"/>
    <w:rsid w:val="00E0287B"/>
    <w:rsid w:val="00E036D3"/>
    <w:rsid w:val="00E04E27"/>
    <w:rsid w:val="00E04E67"/>
    <w:rsid w:val="00E06501"/>
    <w:rsid w:val="00E104AD"/>
    <w:rsid w:val="00E110B0"/>
    <w:rsid w:val="00E11417"/>
    <w:rsid w:val="00E1330E"/>
    <w:rsid w:val="00E13D1E"/>
    <w:rsid w:val="00E13FBE"/>
    <w:rsid w:val="00E14FCB"/>
    <w:rsid w:val="00E1504C"/>
    <w:rsid w:val="00E15127"/>
    <w:rsid w:val="00E16082"/>
    <w:rsid w:val="00E20C9A"/>
    <w:rsid w:val="00E20E30"/>
    <w:rsid w:val="00E210CB"/>
    <w:rsid w:val="00E21446"/>
    <w:rsid w:val="00E21CA0"/>
    <w:rsid w:val="00E21DFC"/>
    <w:rsid w:val="00E21FB8"/>
    <w:rsid w:val="00E2292E"/>
    <w:rsid w:val="00E243D2"/>
    <w:rsid w:val="00E32F96"/>
    <w:rsid w:val="00E33BFD"/>
    <w:rsid w:val="00E346BC"/>
    <w:rsid w:val="00E34DA5"/>
    <w:rsid w:val="00E3583E"/>
    <w:rsid w:val="00E35A6A"/>
    <w:rsid w:val="00E35E14"/>
    <w:rsid w:val="00E35FAA"/>
    <w:rsid w:val="00E368DC"/>
    <w:rsid w:val="00E36C8F"/>
    <w:rsid w:val="00E373EB"/>
    <w:rsid w:val="00E377EE"/>
    <w:rsid w:val="00E37A59"/>
    <w:rsid w:val="00E37EBF"/>
    <w:rsid w:val="00E37EC5"/>
    <w:rsid w:val="00E423BC"/>
    <w:rsid w:val="00E4286B"/>
    <w:rsid w:val="00E43322"/>
    <w:rsid w:val="00E507ED"/>
    <w:rsid w:val="00E5103D"/>
    <w:rsid w:val="00E5364E"/>
    <w:rsid w:val="00E54574"/>
    <w:rsid w:val="00E55357"/>
    <w:rsid w:val="00E55495"/>
    <w:rsid w:val="00E55AA5"/>
    <w:rsid w:val="00E57608"/>
    <w:rsid w:val="00E60585"/>
    <w:rsid w:val="00E61613"/>
    <w:rsid w:val="00E61E74"/>
    <w:rsid w:val="00E6207A"/>
    <w:rsid w:val="00E62F12"/>
    <w:rsid w:val="00E631F0"/>
    <w:rsid w:val="00E632E3"/>
    <w:rsid w:val="00E63DE7"/>
    <w:rsid w:val="00E6480D"/>
    <w:rsid w:val="00E64D45"/>
    <w:rsid w:val="00E667CE"/>
    <w:rsid w:val="00E70175"/>
    <w:rsid w:val="00E7043D"/>
    <w:rsid w:val="00E70560"/>
    <w:rsid w:val="00E72563"/>
    <w:rsid w:val="00E72871"/>
    <w:rsid w:val="00E739B6"/>
    <w:rsid w:val="00E74285"/>
    <w:rsid w:val="00E75820"/>
    <w:rsid w:val="00E769C8"/>
    <w:rsid w:val="00E807A2"/>
    <w:rsid w:val="00E80C3E"/>
    <w:rsid w:val="00E80D47"/>
    <w:rsid w:val="00E810A2"/>
    <w:rsid w:val="00E826C2"/>
    <w:rsid w:val="00E837DE"/>
    <w:rsid w:val="00E842EA"/>
    <w:rsid w:val="00E84A43"/>
    <w:rsid w:val="00E854ED"/>
    <w:rsid w:val="00E86DC7"/>
    <w:rsid w:val="00E87B4E"/>
    <w:rsid w:val="00E90082"/>
    <w:rsid w:val="00E903C0"/>
    <w:rsid w:val="00E91CE8"/>
    <w:rsid w:val="00E92BDE"/>
    <w:rsid w:val="00E92D72"/>
    <w:rsid w:val="00E94122"/>
    <w:rsid w:val="00E94465"/>
    <w:rsid w:val="00E95495"/>
    <w:rsid w:val="00E956DE"/>
    <w:rsid w:val="00E9638D"/>
    <w:rsid w:val="00E96591"/>
    <w:rsid w:val="00E97245"/>
    <w:rsid w:val="00EA398B"/>
    <w:rsid w:val="00EA4C46"/>
    <w:rsid w:val="00EA5B37"/>
    <w:rsid w:val="00EA5CD2"/>
    <w:rsid w:val="00EA5CF6"/>
    <w:rsid w:val="00EA5F63"/>
    <w:rsid w:val="00EA69FD"/>
    <w:rsid w:val="00EA6CD6"/>
    <w:rsid w:val="00EA724D"/>
    <w:rsid w:val="00EA7C5F"/>
    <w:rsid w:val="00EB01F0"/>
    <w:rsid w:val="00EB0437"/>
    <w:rsid w:val="00EB1265"/>
    <w:rsid w:val="00EB156C"/>
    <w:rsid w:val="00EB174A"/>
    <w:rsid w:val="00EB1FD3"/>
    <w:rsid w:val="00EB2F56"/>
    <w:rsid w:val="00EB386D"/>
    <w:rsid w:val="00EB3F0F"/>
    <w:rsid w:val="00EB483A"/>
    <w:rsid w:val="00EB484B"/>
    <w:rsid w:val="00EB4BBE"/>
    <w:rsid w:val="00EB4E7C"/>
    <w:rsid w:val="00EB5BD3"/>
    <w:rsid w:val="00EB5D46"/>
    <w:rsid w:val="00EB5E72"/>
    <w:rsid w:val="00EB5E9D"/>
    <w:rsid w:val="00EB5EA3"/>
    <w:rsid w:val="00EB5FFD"/>
    <w:rsid w:val="00EB63EB"/>
    <w:rsid w:val="00EB6864"/>
    <w:rsid w:val="00EB6EAF"/>
    <w:rsid w:val="00EB738E"/>
    <w:rsid w:val="00EB73A4"/>
    <w:rsid w:val="00EB77BE"/>
    <w:rsid w:val="00EC03DE"/>
    <w:rsid w:val="00EC0FFA"/>
    <w:rsid w:val="00EC11C5"/>
    <w:rsid w:val="00EC1B22"/>
    <w:rsid w:val="00EC27D8"/>
    <w:rsid w:val="00EC3F74"/>
    <w:rsid w:val="00EC4A97"/>
    <w:rsid w:val="00EC59DB"/>
    <w:rsid w:val="00EC6290"/>
    <w:rsid w:val="00EC6851"/>
    <w:rsid w:val="00EC6C43"/>
    <w:rsid w:val="00EC6D26"/>
    <w:rsid w:val="00EC7852"/>
    <w:rsid w:val="00ED007F"/>
    <w:rsid w:val="00ED2505"/>
    <w:rsid w:val="00ED3060"/>
    <w:rsid w:val="00ED354D"/>
    <w:rsid w:val="00ED3A91"/>
    <w:rsid w:val="00ED3B2B"/>
    <w:rsid w:val="00ED3FD2"/>
    <w:rsid w:val="00ED5D81"/>
    <w:rsid w:val="00ED6251"/>
    <w:rsid w:val="00ED6BB6"/>
    <w:rsid w:val="00ED7F96"/>
    <w:rsid w:val="00EE0A31"/>
    <w:rsid w:val="00EE1318"/>
    <w:rsid w:val="00EE1606"/>
    <w:rsid w:val="00EE1E32"/>
    <w:rsid w:val="00EE2C81"/>
    <w:rsid w:val="00EE3C70"/>
    <w:rsid w:val="00EE55E6"/>
    <w:rsid w:val="00EE5FD7"/>
    <w:rsid w:val="00EE653C"/>
    <w:rsid w:val="00EE65AC"/>
    <w:rsid w:val="00EE7E55"/>
    <w:rsid w:val="00EF1D72"/>
    <w:rsid w:val="00EF1EAD"/>
    <w:rsid w:val="00EF279A"/>
    <w:rsid w:val="00EF321C"/>
    <w:rsid w:val="00EF3264"/>
    <w:rsid w:val="00EF33AD"/>
    <w:rsid w:val="00EF3E90"/>
    <w:rsid w:val="00F00021"/>
    <w:rsid w:val="00F02B86"/>
    <w:rsid w:val="00F02C35"/>
    <w:rsid w:val="00F03080"/>
    <w:rsid w:val="00F03A61"/>
    <w:rsid w:val="00F03C21"/>
    <w:rsid w:val="00F04862"/>
    <w:rsid w:val="00F05340"/>
    <w:rsid w:val="00F05EDE"/>
    <w:rsid w:val="00F06BC5"/>
    <w:rsid w:val="00F06CB7"/>
    <w:rsid w:val="00F06FB0"/>
    <w:rsid w:val="00F10183"/>
    <w:rsid w:val="00F119C0"/>
    <w:rsid w:val="00F11DD8"/>
    <w:rsid w:val="00F13247"/>
    <w:rsid w:val="00F13477"/>
    <w:rsid w:val="00F13666"/>
    <w:rsid w:val="00F14B82"/>
    <w:rsid w:val="00F15FAB"/>
    <w:rsid w:val="00F1615A"/>
    <w:rsid w:val="00F168D3"/>
    <w:rsid w:val="00F17563"/>
    <w:rsid w:val="00F17875"/>
    <w:rsid w:val="00F20EB1"/>
    <w:rsid w:val="00F20F6F"/>
    <w:rsid w:val="00F2160B"/>
    <w:rsid w:val="00F219C0"/>
    <w:rsid w:val="00F21B14"/>
    <w:rsid w:val="00F21DB4"/>
    <w:rsid w:val="00F22ACE"/>
    <w:rsid w:val="00F2339C"/>
    <w:rsid w:val="00F23945"/>
    <w:rsid w:val="00F240CD"/>
    <w:rsid w:val="00F241D2"/>
    <w:rsid w:val="00F24930"/>
    <w:rsid w:val="00F26F92"/>
    <w:rsid w:val="00F321CB"/>
    <w:rsid w:val="00F32E09"/>
    <w:rsid w:val="00F331FA"/>
    <w:rsid w:val="00F33E5C"/>
    <w:rsid w:val="00F33E98"/>
    <w:rsid w:val="00F35B21"/>
    <w:rsid w:val="00F35B24"/>
    <w:rsid w:val="00F3770F"/>
    <w:rsid w:val="00F37FFD"/>
    <w:rsid w:val="00F40282"/>
    <w:rsid w:val="00F41A05"/>
    <w:rsid w:val="00F42074"/>
    <w:rsid w:val="00F42665"/>
    <w:rsid w:val="00F4292B"/>
    <w:rsid w:val="00F42E19"/>
    <w:rsid w:val="00F42F15"/>
    <w:rsid w:val="00F43984"/>
    <w:rsid w:val="00F43B68"/>
    <w:rsid w:val="00F45EF5"/>
    <w:rsid w:val="00F45F9F"/>
    <w:rsid w:val="00F46526"/>
    <w:rsid w:val="00F46993"/>
    <w:rsid w:val="00F500D5"/>
    <w:rsid w:val="00F5220D"/>
    <w:rsid w:val="00F52A7C"/>
    <w:rsid w:val="00F53219"/>
    <w:rsid w:val="00F54143"/>
    <w:rsid w:val="00F54D57"/>
    <w:rsid w:val="00F5521A"/>
    <w:rsid w:val="00F55774"/>
    <w:rsid w:val="00F56CC9"/>
    <w:rsid w:val="00F608BC"/>
    <w:rsid w:val="00F626DB"/>
    <w:rsid w:val="00F64FEA"/>
    <w:rsid w:val="00F660F3"/>
    <w:rsid w:val="00F662A0"/>
    <w:rsid w:val="00F67467"/>
    <w:rsid w:val="00F6779B"/>
    <w:rsid w:val="00F714BA"/>
    <w:rsid w:val="00F715C3"/>
    <w:rsid w:val="00F731CA"/>
    <w:rsid w:val="00F732A9"/>
    <w:rsid w:val="00F73EE1"/>
    <w:rsid w:val="00F75580"/>
    <w:rsid w:val="00F75585"/>
    <w:rsid w:val="00F768A7"/>
    <w:rsid w:val="00F77655"/>
    <w:rsid w:val="00F808C2"/>
    <w:rsid w:val="00F82DA7"/>
    <w:rsid w:val="00F849EA"/>
    <w:rsid w:val="00F84D1C"/>
    <w:rsid w:val="00F855FF"/>
    <w:rsid w:val="00F8612C"/>
    <w:rsid w:val="00F8622C"/>
    <w:rsid w:val="00F86267"/>
    <w:rsid w:val="00F87002"/>
    <w:rsid w:val="00F90DD6"/>
    <w:rsid w:val="00F90EE4"/>
    <w:rsid w:val="00F92F9A"/>
    <w:rsid w:val="00F9433E"/>
    <w:rsid w:val="00F94530"/>
    <w:rsid w:val="00F96013"/>
    <w:rsid w:val="00F97D5E"/>
    <w:rsid w:val="00FA0B71"/>
    <w:rsid w:val="00FA0EB8"/>
    <w:rsid w:val="00FA17B7"/>
    <w:rsid w:val="00FA255C"/>
    <w:rsid w:val="00FA29DE"/>
    <w:rsid w:val="00FA3D8C"/>
    <w:rsid w:val="00FA4AD4"/>
    <w:rsid w:val="00FA5A83"/>
    <w:rsid w:val="00FA6394"/>
    <w:rsid w:val="00FA7808"/>
    <w:rsid w:val="00FB012C"/>
    <w:rsid w:val="00FB07BB"/>
    <w:rsid w:val="00FB0A5E"/>
    <w:rsid w:val="00FB10CE"/>
    <w:rsid w:val="00FB1E2D"/>
    <w:rsid w:val="00FB2028"/>
    <w:rsid w:val="00FB31A2"/>
    <w:rsid w:val="00FB36F7"/>
    <w:rsid w:val="00FB4CD7"/>
    <w:rsid w:val="00FB530F"/>
    <w:rsid w:val="00FB5A32"/>
    <w:rsid w:val="00FB5F6F"/>
    <w:rsid w:val="00FB689D"/>
    <w:rsid w:val="00FB6995"/>
    <w:rsid w:val="00FB7536"/>
    <w:rsid w:val="00FB7FAD"/>
    <w:rsid w:val="00FC1C58"/>
    <w:rsid w:val="00FC1EBC"/>
    <w:rsid w:val="00FC207D"/>
    <w:rsid w:val="00FC26D4"/>
    <w:rsid w:val="00FC2F04"/>
    <w:rsid w:val="00FC4998"/>
    <w:rsid w:val="00FC4A0E"/>
    <w:rsid w:val="00FC4E0F"/>
    <w:rsid w:val="00FC522B"/>
    <w:rsid w:val="00FC568C"/>
    <w:rsid w:val="00FC574B"/>
    <w:rsid w:val="00FC675C"/>
    <w:rsid w:val="00FC77FA"/>
    <w:rsid w:val="00FD002B"/>
    <w:rsid w:val="00FD18E9"/>
    <w:rsid w:val="00FD25BE"/>
    <w:rsid w:val="00FD27CD"/>
    <w:rsid w:val="00FD418B"/>
    <w:rsid w:val="00FD70E2"/>
    <w:rsid w:val="00FE09D7"/>
    <w:rsid w:val="00FE0DCF"/>
    <w:rsid w:val="00FE19F4"/>
    <w:rsid w:val="00FE2FCE"/>
    <w:rsid w:val="00FE4755"/>
    <w:rsid w:val="00FE5B64"/>
    <w:rsid w:val="00FE6846"/>
    <w:rsid w:val="00FF0802"/>
    <w:rsid w:val="00FF1335"/>
    <w:rsid w:val="00FF1A18"/>
    <w:rsid w:val="00FF38F1"/>
    <w:rsid w:val="00FF4B85"/>
    <w:rsid w:val="00FF54AA"/>
    <w:rsid w:val="00FF5D46"/>
    <w:rsid w:val="00FF60AD"/>
    <w:rsid w:val="00FF6DF8"/>
    <w:rsid w:val="00FF7600"/>
    <w:rsid w:val="00FF7E54"/>
    <w:rsid w:val="01A802CF"/>
    <w:rsid w:val="069DF3EB"/>
    <w:rsid w:val="0FBABFEC"/>
    <w:rsid w:val="18AA44AC"/>
    <w:rsid w:val="2206D78B"/>
    <w:rsid w:val="253E784D"/>
    <w:rsid w:val="37CB070E"/>
    <w:rsid w:val="4234B8F1"/>
    <w:rsid w:val="430DB9B5"/>
    <w:rsid w:val="535CF20F"/>
    <w:rsid w:val="54C79B66"/>
    <w:rsid w:val="64C496D3"/>
    <w:rsid w:val="67542A27"/>
    <w:rsid w:val="6A8BCAE9"/>
    <w:rsid w:val="6F479017"/>
    <w:rsid w:val="73FD5D80"/>
    <w:rsid w:val="7B511F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E19E"/>
  <w15:docId w15:val="{0A3B2709-08BA-43F7-BDF9-53862D22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E01"/>
    <w:pPr>
      <w:spacing w:before="120" w:after="0" w:line="480" w:lineRule="auto"/>
      <w:ind w:firstLine="720"/>
    </w:pPr>
    <w:rPr>
      <w:rFonts w:ascii="Times New Roman" w:hAnsi="Times New Roman" w:cstheme="minorHAnsi"/>
      <w:sz w:val="24"/>
      <w:szCs w:val="24"/>
    </w:rPr>
  </w:style>
  <w:style w:type="paragraph" w:styleId="Heading1">
    <w:name w:val="heading 1"/>
    <w:basedOn w:val="Normal"/>
    <w:next w:val="Normal"/>
    <w:link w:val="Heading1Char"/>
    <w:uiPriority w:val="9"/>
    <w:qFormat/>
    <w:rsid w:val="0012112E"/>
    <w:pPr>
      <w:keepNext/>
      <w:keepLines/>
      <w:spacing w:before="240"/>
      <w:ind w:firstLine="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A6706"/>
    <w:pPr>
      <w:keepNext/>
      <w:keepLines/>
      <w:spacing w:before="240"/>
      <w:ind w:firstLine="0"/>
      <w:outlineLvl w:val="1"/>
    </w:pPr>
    <w:rPr>
      <w:rFonts w:eastAsiaTheme="majorEastAsia" w:cstheme="majorBidi"/>
      <w:b/>
      <w:sz w:val="26"/>
      <w:szCs w:val="26"/>
    </w:rPr>
  </w:style>
  <w:style w:type="paragraph" w:styleId="Heading3">
    <w:name w:val="heading 3"/>
    <w:basedOn w:val="Heading4"/>
    <w:next w:val="Normal"/>
    <w:link w:val="Heading3Char"/>
    <w:uiPriority w:val="9"/>
    <w:unhideWhenUsed/>
    <w:qFormat/>
    <w:rsid w:val="008B3862"/>
    <w:pPr>
      <w:numPr>
        <w:numId w:val="1"/>
      </w:numPr>
      <w:outlineLvl w:val="2"/>
    </w:pPr>
  </w:style>
  <w:style w:type="paragraph" w:styleId="Heading4">
    <w:name w:val="heading 4"/>
    <w:basedOn w:val="Normal"/>
    <w:next w:val="Normal"/>
    <w:link w:val="Heading4Char"/>
    <w:uiPriority w:val="9"/>
    <w:unhideWhenUsed/>
    <w:qFormat/>
    <w:rsid w:val="008B3862"/>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F4FB6"/>
    <w:pPr>
      <w:spacing w:after="200" w:line="240" w:lineRule="auto"/>
    </w:pPr>
    <w:rPr>
      <w:b/>
      <w:iCs/>
      <w:szCs w:val="18"/>
    </w:rPr>
  </w:style>
  <w:style w:type="paragraph" w:styleId="NormalWeb">
    <w:name w:val="Normal (Web)"/>
    <w:basedOn w:val="Normal"/>
    <w:uiPriority w:val="99"/>
    <w:semiHidden/>
    <w:unhideWhenUsed/>
    <w:rsid w:val="009D49E8"/>
    <w:pPr>
      <w:spacing w:before="100" w:beforeAutospacing="1" w:after="100" w:afterAutospacing="1" w:line="240" w:lineRule="auto"/>
    </w:pPr>
    <w:rPr>
      <w:rFonts w:eastAsia="Times New Roman" w:cs="Times New Roman"/>
      <w:lang w:val="da-DK" w:eastAsia="da-DK"/>
    </w:rPr>
  </w:style>
  <w:style w:type="character" w:styleId="Hyperlink">
    <w:name w:val="Hyperlink"/>
    <w:basedOn w:val="DefaultParagraphFont"/>
    <w:uiPriority w:val="99"/>
    <w:unhideWhenUsed/>
    <w:rsid w:val="00AE7FFA"/>
    <w:rPr>
      <w:color w:val="0563C1" w:themeColor="hyperlink"/>
      <w:u w:val="single"/>
    </w:rPr>
  </w:style>
  <w:style w:type="character" w:styleId="CommentReference">
    <w:name w:val="annotation reference"/>
    <w:basedOn w:val="DefaultParagraphFont"/>
    <w:uiPriority w:val="99"/>
    <w:semiHidden/>
    <w:unhideWhenUsed/>
    <w:rsid w:val="00793295"/>
    <w:rPr>
      <w:sz w:val="16"/>
      <w:szCs w:val="16"/>
    </w:rPr>
  </w:style>
  <w:style w:type="paragraph" w:styleId="CommentText">
    <w:name w:val="annotation text"/>
    <w:basedOn w:val="Normal"/>
    <w:link w:val="CommentTextChar"/>
    <w:uiPriority w:val="99"/>
    <w:unhideWhenUsed/>
    <w:rsid w:val="00793295"/>
    <w:pPr>
      <w:spacing w:line="240" w:lineRule="auto"/>
    </w:pPr>
    <w:rPr>
      <w:sz w:val="20"/>
      <w:szCs w:val="20"/>
    </w:rPr>
  </w:style>
  <w:style w:type="character" w:customStyle="1" w:styleId="CommentTextChar">
    <w:name w:val="Comment Text Char"/>
    <w:basedOn w:val="DefaultParagraphFont"/>
    <w:link w:val="CommentText"/>
    <w:uiPriority w:val="99"/>
    <w:rsid w:val="00793295"/>
    <w:rPr>
      <w:sz w:val="20"/>
      <w:szCs w:val="20"/>
    </w:rPr>
  </w:style>
  <w:style w:type="paragraph" w:styleId="CommentSubject">
    <w:name w:val="annotation subject"/>
    <w:basedOn w:val="CommentText"/>
    <w:next w:val="CommentText"/>
    <w:link w:val="CommentSubjectChar"/>
    <w:uiPriority w:val="99"/>
    <w:semiHidden/>
    <w:unhideWhenUsed/>
    <w:rsid w:val="00793295"/>
    <w:rPr>
      <w:b/>
      <w:bCs/>
    </w:rPr>
  </w:style>
  <w:style w:type="character" w:customStyle="1" w:styleId="CommentSubjectChar">
    <w:name w:val="Comment Subject Char"/>
    <w:basedOn w:val="CommentTextChar"/>
    <w:link w:val="CommentSubject"/>
    <w:uiPriority w:val="99"/>
    <w:semiHidden/>
    <w:rsid w:val="00793295"/>
    <w:rPr>
      <w:b/>
      <w:bCs/>
      <w:sz w:val="20"/>
      <w:szCs w:val="20"/>
    </w:rPr>
  </w:style>
  <w:style w:type="paragraph" w:styleId="BalloonText">
    <w:name w:val="Balloon Text"/>
    <w:basedOn w:val="Normal"/>
    <w:link w:val="BalloonTextChar"/>
    <w:uiPriority w:val="99"/>
    <w:semiHidden/>
    <w:unhideWhenUsed/>
    <w:rsid w:val="007932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95"/>
    <w:rPr>
      <w:rFonts w:ascii="Segoe UI" w:hAnsi="Segoe UI" w:cs="Segoe UI"/>
      <w:sz w:val="18"/>
      <w:szCs w:val="18"/>
    </w:rPr>
  </w:style>
  <w:style w:type="paragraph" w:styleId="ListParagraph">
    <w:name w:val="List Paragraph"/>
    <w:basedOn w:val="Normal"/>
    <w:link w:val="ListParagraphChar"/>
    <w:uiPriority w:val="34"/>
    <w:qFormat/>
    <w:rsid w:val="0031419B"/>
    <w:pPr>
      <w:ind w:left="720"/>
      <w:contextualSpacing/>
    </w:pPr>
  </w:style>
  <w:style w:type="paragraph" w:customStyle="1" w:styleId="EndNoteBibliographyTitle">
    <w:name w:val="EndNote Bibliography Title"/>
    <w:basedOn w:val="Normal"/>
    <w:link w:val="EndNoteBibliographyTitleChar"/>
    <w:rsid w:val="0031419B"/>
    <w:pPr>
      <w:jc w:val="center"/>
    </w:pPr>
    <w:rPr>
      <w:rFonts w:ascii="Calibri" w:hAnsi="Calibri" w:cs="Calibri"/>
      <w:noProof/>
      <w:sz w:val="22"/>
    </w:rPr>
  </w:style>
  <w:style w:type="character" w:customStyle="1" w:styleId="ListParagraphChar">
    <w:name w:val="List Paragraph Char"/>
    <w:basedOn w:val="DefaultParagraphFont"/>
    <w:link w:val="ListParagraph"/>
    <w:uiPriority w:val="34"/>
    <w:rsid w:val="0031419B"/>
  </w:style>
  <w:style w:type="character" w:customStyle="1" w:styleId="EndNoteBibliographyTitleChar">
    <w:name w:val="EndNote Bibliography Title Char"/>
    <w:basedOn w:val="ListParagraphChar"/>
    <w:link w:val="EndNoteBibliographyTitle"/>
    <w:rsid w:val="0031419B"/>
    <w:rPr>
      <w:rFonts w:ascii="Calibri" w:hAnsi="Calibri" w:cs="Calibri"/>
      <w:noProof/>
      <w:szCs w:val="24"/>
    </w:rPr>
  </w:style>
  <w:style w:type="paragraph" w:customStyle="1" w:styleId="EndNoteBibliography">
    <w:name w:val="EndNote Bibliography"/>
    <w:basedOn w:val="Normal"/>
    <w:link w:val="EndNoteBibliographyChar"/>
    <w:rsid w:val="00975C23"/>
    <w:pPr>
      <w:spacing w:line="240" w:lineRule="auto"/>
    </w:pPr>
    <w:rPr>
      <w:rFonts w:ascii="Calibri" w:hAnsi="Calibri" w:cs="Calibri"/>
      <w:noProof/>
      <w:sz w:val="22"/>
    </w:rPr>
  </w:style>
  <w:style w:type="character" w:customStyle="1" w:styleId="EndNoteBibliographyChar">
    <w:name w:val="EndNote Bibliography Char"/>
    <w:basedOn w:val="ListParagraphChar"/>
    <w:link w:val="EndNoteBibliography"/>
    <w:rsid w:val="0031419B"/>
    <w:rPr>
      <w:rFonts w:ascii="Calibri" w:hAnsi="Calibri" w:cs="Calibri"/>
      <w:noProof/>
      <w:szCs w:val="24"/>
    </w:rPr>
  </w:style>
  <w:style w:type="character" w:styleId="UnresolvedMention">
    <w:name w:val="Unresolved Mention"/>
    <w:basedOn w:val="DefaultParagraphFont"/>
    <w:uiPriority w:val="99"/>
    <w:semiHidden/>
    <w:unhideWhenUsed/>
    <w:rsid w:val="0071666E"/>
    <w:rPr>
      <w:color w:val="605E5C"/>
      <w:shd w:val="clear" w:color="auto" w:fill="E1DFDD"/>
    </w:rPr>
  </w:style>
  <w:style w:type="character" w:customStyle="1" w:styleId="Heading1Char">
    <w:name w:val="Heading 1 Char"/>
    <w:basedOn w:val="DefaultParagraphFont"/>
    <w:link w:val="Heading1"/>
    <w:uiPriority w:val="9"/>
    <w:rsid w:val="0012112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A6706"/>
    <w:rPr>
      <w:rFonts w:eastAsiaTheme="majorEastAsia" w:cstheme="majorBidi"/>
      <w:b/>
      <w:sz w:val="26"/>
      <w:szCs w:val="26"/>
    </w:rPr>
  </w:style>
  <w:style w:type="character" w:customStyle="1" w:styleId="Heading3Char">
    <w:name w:val="Heading 3 Char"/>
    <w:basedOn w:val="DefaultParagraphFont"/>
    <w:link w:val="Heading3"/>
    <w:uiPriority w:val="9"/>
    <w:rsid w:val="008B3862"/>
    <w:rPr>
      <w:rFonts w:cstheme="minorHAnsi"/>
      <w:i/>
      <w:iCs/>
      <w:sz w:val="24"/>
      <w:szCs w:val="24"/>
      <w:lang w:val="en-US"/>
    </w:rPr>
  </w:style>
  <w:style w:type="character" w:customStyle="1" w:styleId="Heading4Char">
    <w:name w:val="Heading 4 Char"/>
    <w:basedOn w:val="DefaultParagraphFont"/>
    <w:link w:val="Heading4"/>
    <w:uiPriority w:val="9"/>
    <w:rsid w:val="008B3862"/>
    <w:rPr>
      <w:rFonts w:cstheme="minorHAnsi"/>
      <w:i/>
      <w:iCs/>
      <w:sz w:val="24"/>
      <w:szCs w:val="24"/>
    </w:rPr>
  </w:style>
  <w:style w:type="character" w:customStyle="1" w:styleId="ui-provider">
    <w:name w:val="ui-provider"/>
    <w:basedOn w:val="DefaultParagraphFont"/>
    <w:rsid w:val="003376DF"/>
  </w:style>
  <w:style w:type="character" w:styleId="FollowedHyperlink">
    <w:name w:val="FollowedHyperlink"/>
    <w:basedOn w:val="DefaultParagraphFont"/>
    <w:uiPriority w:val="99"/>
    <w:semiHidden/>
    <w:unhideWhenUsed/>
    <w:rsid w:val="00183247"/>
    <w:rPr>
      <w:color w:val="954F72" w:themeColor="followedHyperlink"/>
      <w:u w:val="single"/>
    </w:rPr>
  </w:style>
  <w:style w:type="paragraph" w:styleId="Revision">
    <w:name w:val="Revision"/>
    <w:hidden/>
    <w:uiPriority w:val="99"/>
    <w:semiHidden/>
    <w:rsid w:val="00B81C6D"/>
    <w:pPr>
      <w:spacing w:after="0" w:line="240" w:lineRule="auto"/>
    </w:pPr>
    <w:rPr>
      <w:rFonts w:ascii="Arial" w:hAnsi="Arial"/>
    </w:rPr>
  </w:style>
  <w:style w:type="character" w:customStyle="1" w:styleId="cf01">
    <w:name w:val="cf01"/>
    <w:basedOn w:val="DefaultParagraphFont"/>
    <w:rsid w:val="001C2AE7"/>
    <w:rPr>
      <w:rFonts w:ascii="Segoe UI" w:hAnsi="Segoe UI" w:cs="Segoe UI" w:hint="default"/>
      <w:sz w:val="18"/>
      <w:szCs w:val="18"/>
    </w:rPr>
  </w:style>
  <w:style w:type="paragraph" w:customStyle="1" w:styleId="pf0">
    <w:name w:val="pf0"/>
    <w:basedOn w:val="Normal"/>
    <w:rsid w:val="001C2AE7"/>
    <w:pPr>
      <w:spacing w:before="100" w:beforeAutospacing="1" w:after="100" w:afterAutospacing="1" w:line="240" w:lineRule="auto"/>
    </w:pPr>
    <w:rPr>
      <w:rFonts w:eastAsia="Times New Roman" w:cs="Times New Roman"/>
      <w:lang w:eastAsia="en-GB"/>
    </w:rPr>
  </w:style>
  <w:style w:type="paragraph" w:styleId="Header">
    <w:name w:val="header"/>
    <w:basedOn w:val="Normal"/>
    <w:link w:val="HeaderChar"/>
    <w:uiPriority w:val="99"/>
    <w:unhideWhenUsed/>
    <w:rsid w:val="00915752"/>
    <w:pPr>
      <w:tabs>
        <w:tab w:val="center" w:pos="4513"/>
        <w:tab w:val="right" w:pos="9026"/>
      </w:tabs>
      <w:spacing w:line="240" w:lineRule="auto"/>
    </w:pPr>
  </w:style>
  <w:style w:type="character" w:customStyle="1" w:styleId="HeaderChar">
    <w:name w:val="Header Char"/>
    <w:basedOn w:val="DefaultParagraphFont"/>
    <w:link w:val="Header"/>
    <w:uiPriority w:val="99"/>
    <w:rsid w:val="00915752"/>
    <w:rPr>
      <w:rFonts w:ascii="Arial" w:hAnsi="Arial"/>
    </w:rPr>
  </w:style>
  <w:style w:type="paragraph" w:styleId="Footer">
    <w:name w:val="footer"/>
    <w:basedOn w:val="Normal"/>
    <w:link w:val="FooterChar"/>
    <w:uiPriority w:val="99"/>
    <w:unhideWhenUsed/>
    <w:rsid w:val="00915752"/>
    <w:pPr>
      <w:tabs>
        <w:tab w:val="center" w:pos="4513"/>
        <w:tab w:val="right" w:pos="9026"/>
      </w:tabs>
      <w:spacing w:line="240" w:lineRule="auto"/>
    </w:pPr>
  </w:style>
  <w:style w:type="character" w:customStyle="1" w:styleId="FooterChar">
    <w:name w:val="Footer Char"/>
    <w:basedOn w:val="DefaultParagraphFont"/>
    <w:link w:val="Footer"/>
    <w:uiPriority w:val="99"/>
    <w:rsid w:val="00915752"/>
    <w:rPr>
      <w:rFonts w:ascii="Arial" w:hAnsi="Arial"/>
    </w:rPr>
  </w:style>
  <w:style w:type="paragraph" w:styleId="FootnoteText">
    <w:name w:val="footnote text"/>
    <w:basedOn w:val="Normal"/>
    <w:link w:val="FootnoteTextChar"/>
    <w:uiPriority w:val="99"/>
    <w:semiHidden/>
    <w:unhideWhenUsed/>
    <w:rsid w:val="00477388"/>
    <w:pPr>
      <w:spacing w:line="240" w:lineRule="auto"/>
    </w:pPr>
    <w:rPr>
      <w:sz w:val="20"/>
      <w:szCs w:val="20"/>
    </w:rPr>
  </w:style>
  <w:style w:type="character" w:customStyle="1" w:styleId="FootnoteTextChar">
    <w:name w:val="Footnote Text Char"/>
    <w:basedOn w:val="DefaultParagraphFont"/>
    <w:link w:val="FootnoteText"/>
    <w:uiPriority w:val="99"/>
    <w:semiHidden/>
    <w:rsid w:val="00477388"/>
    <w:rPr>
      <w:rFonts w:ascii="Arial" w:hAnsi="Arial"/>
      <w:sz w:val="20"/>
      <w:szCs w:val="20"/>
    </w:rPr>
  </w:style>
  <w:style w:type="character" w:styleId="FootnoteReference">
    <w:name w:val="footnote reference"/>
    <w:basedOn w:val="DefaultParagraphFont"/>
    <w:uiPriority w:val="99"/>
    <w:semiHidden/>
    <w:unhideWhenUsed/>
    <w:rsid w:val="00477388"/>
    <w:rPr>
      <w:vertAlign w:val="superscript"/>
    </w:rPr>
  </w:style>
  <w:style w:type="paragraph" w:styleId="Title">
    <w:name w:val="Title"/>
    <w:basedOn w:val="Heading1"/>
    <w:next w:val="Normal"/>
    <w:link w:val="TitleChar"/>
    <w:uiPriority w:val="10"/>
    <w:rsid w:val="0012112E"/>
  </w:style>
  <w:style w:type="character" w:customStyle="1" w:styleId="TitleChar">
    <w:name w:val="Title Char"/>
    <w:basedOn w:val="DefaultParagraphFont"/>
    <w:link w:val="Title"/>
    <w:uiPriority w:val="10"/>
    <w:rsid w:val="0012112E"/>
    <w:rPr>
      <w:rFonts w:ascii="Arial" w:eastAsiaTheme="majorEastAsia" w:hAnsi="Arial" w:cstheme="majorBidi"/>
      <w:b/>
      <w:sz w:val="32"/>
      <w:szCs w:val="32"/>
    </w:rPr>
  </w:style>
  <w:style w:type="paragraph" w:styleId="z-TopofForm">
    <w:name w:val="HTML Top of Form"/>
    <w:basedOn w:val="Normal"/>
    <w:next w:val="Normal"/>
    <w:link w:val="z-TopofFormChar"/>
    <w:hidden/>
    <w:uiPriority w:val="99"/>
    <w:semiHidden/>
    <w:unhideWhenUsed/>
    <w:rsid w:val="00F626DB"/>
    <w:pPr>
      <w:pBdr>
        <w:bottom w:val="single" w:sz="6" w:space="1" w:color="auto"/>
      </w:pBdr>
      <w:spacing w:line="240" w:lineRule="auto"/>
      <w:ind w:firstLine="0"/>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F626DB"/>
    <w:rPr>
      <w:rFonts w:ascii="Arial" w:eastAsia="Times New Roman" w:hAnsi="Arial" w:cs="Arial"/>
      <w:vanish/>
      <w:sz w:val="16"/>
      <w:szCs w:val="16"/>
      <w:lang w:eastAsia="en-GB"/>
    </w:rPr>
  </w:style>
  <w:style w:type="table" w:styleId="TableGrid">
    <w:name w:val="Table Grid"/>
    <w:basedOn w:val="TableNormal"/>
    <w:uiPriority w:val="39"/>
    <w:rsid w:val="0069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97D5E"/>
    <w:pPr>
      <w:spacing w:after="0" w:line="240" w:lineRule="auto"/>
      <w:ind w:firstLine="720"/>
    </w:pPr>
    <w:rPr>
      <w:rFonts w:ascii="Arial" w:hAnsi="Arial"/>
    </w:rPr>
  </w:style>
  <w:style w:type="character" w:customStyle="1" w:styleId="Menzionenonrisolta1">
    <w:name w:val="Menzione non risolta1"/>
    <w:basedOn w:val="DefaultParagraphFont"/>
    <w:uiPriority w:val="99"/>
    <w:semiHidden/>
    <w:unhideWhenUsed/>
    <w:rsid w:val="00E16082"/>
    <w:rPr>
      <w:color w:val="605E5C"/>
      <w:shd w:val="clear" w:color="auto" w:fill="E1DFDD"/>
    </w:rPr>
  </w:style>
  <w:style w:type="character" w:customStyle="1" w:styleId="groupname">
    <w:name w:val="groupname"/>
    <w:basedOn w:val="DefaultParagraphFont"/>
    <w:rsid w:val="00E16082"/>
  </w:style>
  <w:style w:type="character" w:customStyle="1" w:styleId="articletitle">
    <w:name w:val="articletitle"/>
    <w:basedOn w:val="DefaultParagraphFont"/>
    <w:rsid w:val="00E16082"/>
  </w:style>
  <w:style w:type="character" w:customStyle="1" w:styleId="pubyear">
    <w:name w:val="pubyear"/>
    <w:basedOn w:val="DefaultParagraphFont"/>
    <w:rsid w:val="00E16082"/>
  </w:style>
  <w:style w:type="character" w:customStyle="1" w:styleId="vol">
    <w:name w:val="vol"/>
    <w:basedOn w:val="DefaultParagraphFont"/>
    <w:rsid w:val="00E16082"/>
  </w:style>
  <w:style w:type="character" w:customStyle="1" w:styleId="pagefirst">
    <w:name w:val="pagefirst"/>
    <w:basedOn w:val="DefaultParagraphFont"/>
    <w:rsid w:val="00E16082"/>
  </w:style>
  <w:style w:type="character" w:customStyle="1" w:styleId="pagelast">
    <w:name w:val="pagelast"/>
    <w:basedOn w:val="DefaultParagraphFont"/>
    <w:rsid w:val="00E16082"/>
  </w:style>
  <w:style w:type="character" w:customStyle="1" w:styleId="bullet">
    <w:name w:val="bullet"/>
    <w:basedOn w:val="DefaultParagraphFont"/>
    <w:rsid w:val="00E16082"/>
  </w:style>
  <w:style w:type="character" w:customStyle="1" w:styleId="cf11">
    <w:name w:val="cf11"/>
    <w:basedOn w:val="DefaultParagraphFont"/>
    <w:rsid w:val="00E16082"/>
    <w:rPr>
      <w:rFonts w:ascii="Segoe UI" w:hAnsi="Segoe UI" w:cs="Segoe UI" w:hint="default"/>
      <w:i/>
      <w:iCs/>
      <w:sz w:val="18"/>
      <w:szCs w:val="18"/>
    </w:rPr>
  </w:style>
  <w:style w:type="character" w:customStyle="1" w:styleId="cf21">
    <w:name w:val="cf21"/>
    <w:basedOn w:val="DefaultParagraphFont"/>
    <w:rsid w:val="00E16082"/>
    <w:rPr>
      <w:rFonts w:ascii="Segoe UI" w:hAnsi="Segoe UI" w:cs="Segoe UI" w:hint="default"/>
      <w:color w:val="1C1D1E"/>
      <w:sz w:val="18"/>
      <w:szCs w:val="18"/>
    </w:rPr>
  </w:style>
  <w:style w:type="character" w:customStyle="1" w:styleId="cf31">
    <w:name w:val="cf31"/>
    <w:basedOn w:val="DefaultParagraphFont"/>
    <w:rsid w:val="00E16082"/>
    <w:rPr>
      <w:rFonts w:ascii="Segoe UI" w:hAnsi="Segoe UI" w:cs="Segoe UI" w:hint="default"/>
      <w:b/>
      <w:bCs/>
      <w:color w:val="1C1D1E"/>
      <w:sz w:val="18"/>
      <w:szCs w:val="18"/>
    </w:rPr>
  </w:style>
  <w:style w:type="paragraph" w:customStyle="1" w:styleId="Table">
    <w:name w:val="Table"/>
    <w:basedOn w:val="Normal"/>
    <w:link w:val="TableChar"/>
    <w:qFormat/>
    <w:rsid w:val="003A6529"/>
    <w:pPr>
      <w:spacing w:before="0" w:after="120" w:line="240" w:lineRule="auto"/>
      <w:ind w:firstLine="0"/>
    </w:pPr>
    <w:rPr>
      <w:sz w:val="18"/>
      <w:lang w:eastAsia="en-GB"/>
    </w:rPr>
  </w:style>
  <w:style w:type="character" w:customStyle="1" w:styleId="TableChar">
    <w:name w:val="Table Char"/>
    <w:basedOn w:val="DefaultParagraphFont"/>
    <w:link w:val="Table"/>
    <w:rsid w:val="003A6529"/>
    <w:rPr>
      <w:rFonts w:cstheme="minorHAnsi"/>
      <w:sz w:val="18"/>
      <w:szCs w:val="24"/>
      <w:lang w:eastAsia="en-GB"/>
    </w:rPr>
  </w:style>
  <w:style w:type="table" w:styleId="GridTable4-Accent2">
    <w:name w:val="Grid Table 4 Accent 2"/>
    <w:basedOn w:val="TableNormal"/>
    <w:uiPriority w:val="49"/>
    <w:rsid w:val="00E160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Authorlist">
    <w:name w:val="Author list"/>
    <w:basedOn w:val="Normal"/>
    <w:qFormat/>
    <w:rsid w:val="00A1514D"/>
    <w:pPr>
      <w:spacing w:line="360" w:lineRule="auto"/>
      <w:ind w:firstLine="0"/>
    </w:pPr>
  </w:style>
  <w:style w:type="character" w:styleId="Strong">
    <w:name w:val="Strong"/>
    <w:basedOn w:val="DefaultParagraphFont"/>
    <w:uiPriority w:val="22"/>
    <w:qFormat/>
    <w:rsid w:val="00E001F0"/>
    <w:rPr>
      <w:b/>
      <w:bCs/>
    </w:rPr>
  </w:style>
  <w:style w:type="character" w:styleId="Emphasis">
    <w:name w:val="Emphasis"/>
    <w:basedOn w:val="DefaultParagraphFont"/>
    <w:uiPriority w:val="20"/>
    <w:qFormat/>
    <w:rsid w:val="00E91CE8"/>
    <w:rPr>
      <w:i/>
      <w:iCs/>
    </w:rPr>
  </w:style>
  <w:style w:type="table" w:styleId="GridTable2-Accent2">
    <w:name w:val="Grid Table 2 Accent 2"/>
    <w:basedOn w:val="TableNormal"/>
    <w:uiPriority w:val="47"/>
    <w:rsid w:val="00B5269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526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uiPriority w:val="11"/>
    <w:rsid w:val="00B83C70"/>
    <w:pPr>
      <w:ind w:firstLine="0"/>
    </w:pPr>
    <w:rPr>
      <w:b/>
      <w:bCs/>
      <w:sz w:val="28"/>
      <w:szCs w:val="28"/>
    </w:rPr>
  </w:style>
  <w:style w:type="character" w:customStyle="1" w:styleId="SubtitleChar">
    <w:name w:val="Subtitle Char"/>
    <w:basedOn w:val="DefaultParagraphFont"/>
    <w:link w:val="Subtitle"/>
    <w:uiPriority w:val="11"/>
    <w:rsid w:val="00B83C70"/>
    <w:rPr>
      <w:rFonts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465">
      <w:bodyDiv w:val="1"/>
      <w:marLeft w:val="0"/>
      <w:marRight w:val="0"/>
      <w:marTop w:val="0"/>
      <w:marBottom w:val="0"/>
      <w:divBdr>
        <w:top w:val="none" w:sz="0" w:space="0" w:color="auto"/>
        <w:left w:val="none" w:sz="0" w:space="0" w:color="auto"/>
        <w:bottom w:val="none" w:sz="0" w:space="0" w:color="auto"/>
        <w:right w:val="none" w:sz="0" w:space="0" w:color="auto"/>
      </w:divBdr>
      <w:divsChild>
        <w:div w:id="851723025">
          <w:marLeft w:val="0"/>
          <w:marRight w:val="0"/>
          <w:marTop w:val="0"/>
          <w:marBottom w:val="0"/>
          <w:divBdr>
            <w:top w:val="none" w:sz="0" w:space="0" w:color="auto"/>
            <w:left w:val="none" w:sz="0" w:space="0" w:color="auto"/>
            <w:bottom w:val="none" w:sz="0" w:space="0" w:color="auto"/>
            <w:right w:val="none" w:sz="0" w:space="0" w:color="auto"/>
          </w:divBdr>
        </w:div>
      </w:divsChild>
    </w:div>
    <w:div w:id="11538366">
      <w:bodyDiv w:val="1"/>
      <w:marLeft w:val="0"/>
      <w:marRight w:val="0"/>
      <w:marTop w:val="0"/>
      <w:marBottom w:val="0"/>
      <w:divBdr>
        <w:top w:val="none" w:sz="0" w:space="0" w:color="auto"/>
        <w:left w:val="none" w:sz="0" w:space="0" w:color="auto"/>
        <w:bottom w:val="none" w:sz="0" w:space="0" w:color="auto"/>
        <w:right w:val="none" w:sz="0" w:space="0" w:color="auto"/>
      </w:divBdr>
      <w:divsChild>
        <w:div w:id="325942624">
          <w:marLeft w:val="230"/>
          <w:marRight w:val="0"/>
          <w:marTop w:val="60"/>
          <w:marBottom w:val="0"/>
          <w:divBdr>
            <w:top w:val="none" w:sz="0" w:space="0" w:color="auto"/>
            <w:left w:val="none" w:sz="0" w:space="0" w:color="auto"/>
            <w:bottom w:val="none" w:sz="0" w:space="0" w:color="auto"/>
            <w:right w:val="none" w:sz="0" w:space="0" w:color="auto"/>
          </w:divBdr>
        </w:div>
        <w:div w:id="567610775">
          <w:marLeft w:val="230"/>
          <w:marRight w:val="0"/>
          <w:marTop w:val="60"/>
          <w:marBottom w:val="0"/>
          <w:divBdr>
            <w:top w:val="none" w:sz="0" w:space="0" w:color="auto"/>
            <w:left w:val="none" w:sz="0" w:space="0" w:color="auto"/>
            <w:bottom w:val="none" w:sz="0" w:space="0" w:color="auto"/>
            <w:right w:val="none" w:sz="0" w:space="0" w:color="auto"/>
          </w:divBdr>
        </w:div>
        <w:div w:id="652174048">
          <w:marLeft w:val="230"/>
          <w:marRight w:val="0"/>
          <w:marTop w:val="60"/>
          <w:marBottom w:val="0"/>
          <w:divBdr>
            <w:top w:val="none" w:sz="0" w:space="0" w:color="auto"/>
            <w:left w:val="none" w:sz="0" w:space="0" w:color="auto"/>
            <w:bottom w:val="none" w:sz="0" w:space="0" w:color="auto"/>
            <w:right w:val="none" w:sz="0" w:space="0" w:color="auto"/>
          </w:divBdr>
        </w:div>
        <w:div w:id="784345039">
          <w:marLeft w:val="230"/>
          <w:marRight w:val="0"/>
          <w:marTop w:val="60"/>
          <w:marBottom w:val="0"/>
          <w:divBdr>
            <w:top w:val="none" w:sz="0" w:space="0" w:color="auto"/>
            <w:left w:val="none" w:sz="0" w:space="0" w:color="auto"/>
            <w:bottom w:val="none" w:sz="0" w:space="0" w:color="auto"/>
            <w:right w:val="none" w:sz="0" w:space="0" w:color="auto"/>
          </w:divBdr>
        </w:div>
        <w:div w:id="1376275713">
          <w:marLeft w:val="230"/>
          <w:marRight w:val="0"/>
          <w:marTop w:val="60"/>
          <w:marBottom w:val="0"/>
          <w:divBdr>
            <w:top w:val="none" w:sz="0" w:space="0" w:color="auto"/>
            <w:left w:val="none" w:sz="0" w:space="0" w:color="auto"/>
            <w:bottom w:val="none" w:sz="0" w:space="0" w:color="auto"/>
            <w:right w:val="none" w:sz="0" w:space="0" w:color="auto"/>
          </w:divBdr>
        </w:div>
        <w:div w:id="1707832499">
          <w:marLeft w:val="230"/>
          <w:marRight w:val="0"/>
          <w:marTop w:val="60"/>
          <w:marBottom w:val="0"/>
          <w:divBdr>
            <w:top w:val="none" w:sz="0" w:space="0" w:color="auto"/>
            <w:left w:val="none" w:sz="0" w:space="0" w:color="auto"/>
            <w:bottom w:val="none" w:sz="0" w:space="0" w:color="auto"/>
            <w:right w:val="none" w:sz="0" w:space="0" w:color="auto"/>
          </w:divBdr>
        </w:div>
      </w:divsChild>
    </w:div>
    <w:div w:id="23210854">
      <w:bodyDiv w:val="1"/>
      <w:marLeft w:val="0"/>
      <w:marRight w:val="0"/>
      <w:marTop w:val="0"/>
      <w:marBottom w:val="0"/>
      <w:divBdr>
        <w:top w:val="none" w:sz="0" w:space="0" w:color="auto"/>
        <w:left w:val="none" w:sz="0" w:space="0" w:color="auto"/>
        <w:bottom w:val="none" w:sz="0" w:space="0" w:color="auto"/>
        <w:right w:val="none" w:sz="0" w:space="0" w:color="auto"/>
      </w:divBdr>
    </w:div>
    <w:div w:id="66996491">
      <w:bodyDiv w:val="1"/>
      <w:marLeft w:val="0"/>
      <w:marRight w:val="0"/>
      <w:marTop w:val="0"/>
      <w:marBottom w:val="0"/>
      <w:divBdr>
        <w:top w:val="none" w:sz="0" w:space="0" w:color="auto"/>
        <w:left w:val="none" w:sz="0" w:space="0" w:color="auto"/>
        <w:bottom w:val="none" w:sz="0" w:space="0" w:color="auto"/>
        <w:right w:val="none" w:sz="0" w:space="0" w:color="auto"/>
      </w:divBdr>
      <w:divsChild>
        <w:div w:id="18967493">
          <w:marLeft w:val="720"/>
          <w:marRight w:val="0"/>
          <w:marTop w:val="120"/>
          <w:marBottom w:val="0"/>
          <w:divBdr>
            <w:top w:val="none" w:sz="0" w:space="0" w:color="auto"/>
            <w:left w:val="none" w:sz="0" w:space="0" w:color="auto"/>
            <w:bottom w:val="none" w:sz="0" w:space="0" w:color="auto"/>
            <w:right w:val="none" w:sz="0" w:space="0" w:color="auto"/>
          </w:divBdr>
        </w:div>
        <w:div w:id="918558495">
          <w:marLeft w:val="720"/>
          <w:marRight w:val="0"/>
          <w:marTop w:val="120"/>
          <w:marBottom w:val="0"/>
          <w:divBdr>
            <w:top w:val="none" w:sz="0" w:space="0" w:color="auto"/>
            <w:left w:val="none" w:sz="0" w:space="0" w:color="auto"/>
            <w:bottom w:val="none" w:sz="0" w:space="0" w:color="auto"/>
            <w:right w:val="none" w:sz="0" w:space="0" w:color="auto"/>
          </w:divBdr>
        </w:div>
        <w:div w:id="1579945931">
          <w:marLeft w:val="720"/>
          <w:marRight w:val="0"/>
          <w:marTop w:val="120"/>
          <w:marBottom w:val="0"/>
          <w:divBdr>
            <w:top w:val="none" w:sz="0" w:space="0" w:color="auto"/>
            <w:left w:val="none" w:sz="0" w:space="0" w:color="auto"/>
            <w:bottom w:val="none" w:sz="0" w:space="0" w:color="auto"/>
            <w:right w:val="none" w:sz="0" w:space="0" w:color="auto"/>
          </w:divBdr>
        </w:div>
      </w:divsChild>
    </w:div>
    <w:div w:id="104465192">
      <w:bodyDiv w:val="1"/>
      <w:marLeft w:val="0"/>
      <w:marRight w:val="0"/>
      <w:marTop w:val="0"/>
      <w:marBottom w:val="0"/>
      <w:divBdr>
        <w:top w:val="none" w:sz="0" w:space="0" w:color="auto"/>
        <w:left w:val="none" w:sz="0" w:space="0" w:color="auto"/>
        <w:bottom w:val="none" w:sz="0" w:space="0" w:color="auto"/>
        <w:right w:val="none" w:sz="0" w:space="0" w:color="auto"/>
      </w:divBdr>
    </w:div>
    <w:div w:id="109016717">
      <w:bodyDiv w:val="1"/>
      <w:marLeft w:val="0"/>
      <w:marRight w:val="0"/>
      <w:marTop w:val="0"/>
      <w:marBottom w:val="0"/>
      <w:divBdr>
        <w:top w:val="none" w:sz="0" w:space="0" w:color="auto"/>
        <w:left w:val="none" w:sz="0" w:space="0" w:color="auto"/>
        <w:bottom w:val="none" w:sz="0" w:space="0" w:color="auto"/>
        <w:right w:val="none" w:sz="0" w:space="0" w:color="auto"/>
      </w:divBdr>
      <w:divsChild>
        <w:div w:id="1981155545">
          <w:marLeft w:val="0"/>
          <w:marRight w:val="0"/>
          <w:marTop w:val="0"/>
          <w:marBottom w:val="0"/>
          <w:divBdr>
            <w:top w:val="none" w:sz="0" w:space="0" w:color="auto"/>
            <w:left w:val="none" w:sz="0" w:space="0" w:color="auto"/>
            <w:bottom w:val="none" w:sz="0" w:space="0" w:color="auto"/>
            <w:right w:val="none" w:sz="0" w:space="0" w:color="auto"/>
          </w:divBdr>
          <w:divsChild>
            <w:div w:id="18242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41">
      <w:bodyDiv w:val="1"/>
      <w:marLeft w:val="0"/>
      <w:marRight w:val="0"/>
      <w:marTop w:val="0"/>
      <w:marBottom w:val="0"/>
      <w:divBdr>
        <w:top w:val="none" w:sz="0" w:space="0" w:color="auto"/>
        <w:left w:val="none" w:sz="0" w:space="0" w:color="auto"/>
        <w:bottom w:val="none" w:sz="0" w:space="0" w:color="auto"/>
        <w:right w:val="none" w:sz="0" w:space="0" w:color="auto"/>
      </w:divBdr>
    </w:div>
    <w:div w:id="142359689">
      <w:bodyDiv w:val="1"/>
      <w:marLeft w:val="0"/>
      <w:marRight w:val="0"/>
      <w:marTop w:val="0"/>
      <w:marBottom w:val="0"/>
      <w:divBdr>
        <w:top w:val="none" w:sz="0" w:space="0" w:color="auto"/>
        <w:left w:val="none" w:sz="0" w:space="0" w:color="auto"/>
        <w:bottom w:val="none" w:sz="0" w:space="0" w:color="auto"/>
        <w:right w:val="none" w:sz="0" w:space="0" w:color="auto"/>
      </w:divBdr>
    </w:div>
    <w:div w:id="157112175">
      <w:bodyDiv w:val="1"/>
      <w:marLeft w:val="0"/>
      <w:marRight w:val="0"/>
      <w:marTop w:val="0"/>
      <w:marBottom w:val="0"/>
      <w:divBdr>
        <w:top w:val="none" w:sz="0" w:space="0" w:color="auto"/>
        <w:left w:val="none" w:sz="0" w:space="0" w:color="auto"/>
        <w:bottom w:val="none" w:sz="0" w:space="0" w:color="auto"/>
        <w:right w:val="none" w:sz="0" w:space="0" w:color="auto"/>
      </w:divBdr>
    </w:div>
    <w:div w:id="157811902">
      <w:bodyDiv w:val="1"/>
      <w:marLeft w:val="0"/>
      <w:marRight w:val="0"/>
      <w:marTop w:val="0"/>
      <w:marBottom w:val="0"/>
      <w:divBdr>
        <w:top w:val="none" w:sz="0" w:space="0" w:color="auto"/>
        <w:left w:val="none" w:sz="0" w:space="0" w:color="auto"/>
        <w:bottom w:val="none" w:sz="0" w:space="0" w:color="auto"/>
        <w:right w:val="none" w:sz="0" w:space="0" w:color="auto"/>
      </w:divBdr>
      <w:divsChild>
        <w:div w:id="56518910">
          <w:marLeft w:val="1080"/>
          <w:marRight w:val="0"/>
          <w:marTop w:val="100"/>
          <w:marBottom w:val="0"/>
          <w:divBdr>
            <w:top w:val="none" w:sz="0" w:space="0" w:color="auto"/>
            <w:left w:val="none" w:sz="0" w:space="0" w:color="auto"/>
            <w:bottom w:val="none" w:sz="0" w:space="0" w:color="auto"/>
            <w:right w:val="none" w:sz="0" w:space="0" w:color="auto"/>
          </w:divBdr>
        </w:div>
        <w:div w:id="494565687">
          <w:marLeft w:val="1080"/>
          <w:marRight w:val="0"/>
          <w:marTop w:val="100"/>
          <w:marBottom w:val="0"/>
          <w:divBdr>
            <w:top w:val="none" w:sz="0" w:space="0" w:color="auto"/>
            <w:left w:val="none" w:sz="0" w:space="0" w:color="auto"/>
            <w:bottom w:val="none" w:sz="0" w:space="0" w:color="auto"/>
            <w:right w:val="none" w:sz="0" w:space="0" w:color="auto"/>
          </w:divBdr>
        </w:div>
        <w:div w:id="749498612">
          <w:marLeft w:val="1080"/>
          <w:marRight w:val="0"/>
          <w:marTop w:val="100"/>
          <w:marBottom w:val="0"/>
          <w:divBdr>
            <w:top w:val="none" w:sz="0" w:space="0" w:color="auto"/>
            <w:left w:val="none" w:sz="0" w:space="0" w:color="auto"/>
            <w:bottom w:val="none" w:sz="0" w:space="0" w:color="auto"/>
            <w:right w:val="none" w:sz="0" w:space="0" w:color="auto"/>
          </w:divBdr>
        </w:div>
        <w:div w:id="947615281">
          <w:marLeft w:val="1080"/>
          <w:marRight w:val="0"/>
          <w:marTop w:val="100"/>
          <w:marBottom w:val="0"/>
          <w:divBdr>
            <w:top w:val="none" w:sz="0" w:space="0" w:color="auto"/>
            <w:left w:val="none" w:sz="0" w:space="0" w:color="auto"/>
            <w:bottom w:val="none" w:sz="0" w:space="0" w:color="auto"/>
            <w:right w:val="none" w:sz="0" w:space="0" w:color="auto"/>
          </w:divBdr>
        </w:div>
        <w:div w:id="1112289950">
          <w:marLeft w:val="1080"/>
          <w:marRight w:val="0"/>
          <w:marTop w:val="100"/>
          <w:marBottom w:val="0"/>
          <w:divBdr>
            <w:top w:val="none" w:sz="0" w:space="0" w:color="auto"/>
            <w:left w:val="none" w:sz="0" w:space="0" w:color="auto"/>
            <w:bottom w:val="none" w:sz="0" w:space="0" w:color="auto"/>
            <w:right w:val="none" w:sz="0" w:space="0" w:color="auto"/>
          </w:divBdr>
        </w:div>
        <w:div w:id="1346663797">
          <w:marLeft w:val="1080"/>
          <w:marRight w:val="0"/>
          <w:marTop w:val="100"/>
          <w:marBottom w:val="0"/>
          <w:divBdr>
            <w:top w:val="none" w:sz="0" w:space="0" w:color="auto"/>
            <w:left w:val="none" w:sz="0" w:space="0" w:color="auto"/>
            <w:bottom w:val="none" w:sz="0" w:space="0" w:color="auto"/>
            <w:right w:val="none" w:sz="0" w:space="0" w:color="auto"/>
          </w:divBdr>
        </w:div>
        <w:div w:id="1454060887">
          <w:marLeft w:val="1080"/>
          <w:marRight w:val="0"/>
          <w:marTop w:val="100"/>
          <w:marBottom w:val="0"/>
          <w:divBdr>
            <w:top w:val="none" w:sz="0" w:space="0" w:color="auto"/>
            <w:left w:val="none" w:sz="0" w:space="0" w:color="auto"/>
            <w:bottom w:val="none" w:sz="0" w:space="0" w:color="auto"/>
            <w:right w:val="none" w:sz="0" w:space="0" w:color="auto"/>
          </w:divBdr>
        </w:div>
        <w:div w:id="1637178023">
          <w:marLeft w:val="1080"/>
          <w:marRight w:val="0"/>
          <w:marTop w:val="100"/>
          <w:marBottom w:val="0"/>
          <w:divBdr>
            <w:top w:val="none" w:sz="0" w:space="0" w:color="auto"/>
            <w:left w:val="none" w:sz="0" w:space="0" w:color="auto"/>
            <w:bottom w:val="none" w:sz="0" w:space="0" w:color="auto"/>
            <w:right w:val="none" w:sz="0" w:space="0" w:color="auto"/>
          </w:divBdr>
        </w:div>
        <w:div w:id="2043434576">
          <w:marLeft w:val="1080"/>
          <w:marRight w:val="0"/>
          <w:marTop w:val="100"/>
          <w:marBottom w:val="0"/>
          <w:divBdr>
            <w:top w:val="none" w:sz="0" w:space="0" w:color="auto"/>
            <w:left w:val="none" w:sz="0" w:space="0" w:color="auto"/>
            <w:bottom w:val="none" w:sz="0" w:space="0" w:color="auto"/>
            <w:right w:val="none" w:sz="0" w:space="0" w:color="auto"/>
          </w:divBdr>
        </w:div>
      </w:divsChild>
    </w:div>
    <w:div w:id="168915218">
      <w:bodyDiv w:val="1"/>
      <w:marLeft w:val="0"/>
      <w:marRight w:val="0"/>
      <w:marTop w:val="0"/>
      <w:marBottom w:val="0"/>
      <w:divBdr>
        <w:top w:val="none" w:sz="0" w:space="0" w:color="auto"/>
        <w:left w:val="none" w:sz="0" w:space="0" w:color="auto"/>
        <w:bottom w:val="none" w:sz="0" w:space="0" w:color="auto"/>
        <w:right w:val="none" w:sz="0" w:space="0" w:color="auto"/>
      </w:divBdr>
    </w:div>
    <w:div w:id="174616520">
      <w:bodyDiv w:val="1"/>
      <w:marLeft w:val="0"/>
      <w:marRight w:val="0"/>
      <w:marTop w:val="0"/>
      <w:marBottom w:val="0"/>
      <w:divBdr>
        <w:top w:val="none" w:sz="0" w:space="0" w:color="auto"/>
        <w:left w:val="none" w:sz="0" w:space="0" w:color="auto"/>
        <w:bottom w:val="none" w:sz="0" w:space="0" w:color="auto"/>
        <w:right w:val="none" w:sz="0" w:space="0" w:color="auto"/>
      </w:divBdr>
    </w:div>
    <w:div w:id="227233839">
      <w:bodyDiv w:val="1"/>
      <w:marLeft w:val="0"/>
      <w:marRight w:val="0"/>
      <w:marTop w:val="0"/>
      <w:marBottom w:val="0"/>
      <w:divBdr>
        <w:top w:val="none" w:sz="0" w:space="0" w:color="auto"/>
        <w:left w:val="none" w:sz="0" w:space="0" w:color="auto"/>
        <w:bottom w:val="none" w:sz="0" w:space="0" w:color="auto"/>
        <w:right w:val="none" w:sz="0" w:space="0" w:color="auto"/>
      </w:divBdr>
    </w:div>
    <w:div w:id="244658112">
      <w:bodyDiv w:val="1"/>
      <w:marLeft w:val="0"/>
      <w:marRight w:val="0"/>
      <w:marTop w:val="0"/>
      <w:marBottom w:val="0"/>
      <w:divBdr>
        <w:top w:val="none" w:sz="0" w:space="0" w:color="auto"/>
        <w:left w:val="none" w:sz="0" w:space="0" w:color="auto"/>
        <w:bottom w:val="none" w:sz="0" w:space="0" w:color="auto"/>
        <w:right w:val="none" w:sz="0" w:space="0" w:color="auto"/>
      </w:divBdr>
      <w:divsChild>
        <w:div w:id="1937010426">
          <w:marLeft w:val="274"/>
          <w:marRight w:val="0"/>
          <w:marTop w:val="0"/>
          <w:marBottom w:val="0"/>
          <w:divBdr>
            <w:top w:val="none" w:sz="0" w:space="0" w:color="auto"/>
            <w:left w:val="none" w:sz="0" w:space="0" w:color="auto"/>
            <w:bottom w:val="none" w:sz="0" w:space="0" w:color="auto"/>
            <w:right w:val="none" w:sz="0" w:space="0" w:color="auto"/>
          </w:divBdr>
        </w:div>
      </w:divsChild>
    </w:div>
    <w:div w:id="248198840">
      <w:bodyDiv w:val="1"/>
      <w:marLeft w:val="0"/>
      <w:marRight w:val="0"/>
      <w:marTop w:val="0"/>
      <w:marBottom w:val="0"/>
      <w:divBdr>
        <w:top w:val="none" w:sz="0" w:space="0" w:color="auto"/>
        <w:left w:val="none" w:sz="0" w:space="0" w:color="auto"/>
        <w:bottom w:val="none" w:sz="0" w:space="0" w:color="auto"/>
        <w:right w:val="none" w:sz="0" w:space="0" w:color="auto"/>
      </w:divBdr>
      <w:divsChild>
        <w:div w:id="186022801">
          <w:marLeft w:val="0"/>
          <w:marRight w:val="0"/>
          <w:marTop w:val="0"/>
          <w:marBottom w:val="0"/>
          <w:divBdr>
            <w:top w:val="none" w:sz="0" w:space="0" w:color="auto"/>
            <w:left w:val="none" w:sz="0" w:space="0" w:color="auto"/>
            <w:bottom w:val="none" w:sz="0" w:space="0" w:color="auto"/>
            <w:right w:val="none" w:sz="0" w:space="0" w:color="auto"/>
          </w:divBdr>
        </w:div>
        <w:div w:id="473723817">
          <w:marLeft w:val="0"/>
          <w:marRight w:val="0"/>
          <w:marTop w:val="0"/>
          <w:marBottom w:val="0"/>
          <w:divBdr>
            <w:top w:val="single" w:sz="2" w:space="0" w:color="D9D9E3"/>
            <w:left w:val="single" w:sz="2" w:space="0" w:color="D9D9E3"/>
            <w:bottom w:val="single" w:sz="2" w:space="0" w:color="D9D9E3"/>
            <w:right w:val="single" w:sz="2" w:space="0" w:color="D9D9E3"/>
          </w:divBdr>
          <w:divsChild>
            <w:div w:id="1881818191">
              <w:marLeft w:val="0"/>
              <w:marRight w:val="0"/>
              <w:marTop w:val="0"/>
              <w:marBottom w:val="0"/>
              <w:divBdr>
                <w:top w:val="single" w:sz="2" w:space="0" w:color="D9D9E3"/>
                <w:left w:val="single" w:sz="2" w:space="0" w:color="D9D9E3"/>
                <w:bottom w:val="single" w:sz="2" w:space="0" w:color="D9D9E3"/>
                <w:right w:val="single" w:sz="2" w:space="0" w:color="D9D9E3"/>
              </w:divBdr>
              <w:divsChild>
                <w:div w:id="1856142461">
                  <w:marLeft w:val="0"/>
                  <w:marRight w:val="0"/>
                  <w:marTop w:val="0"/>
                  <w:marBottom w:val="0"/>
                  <w:divBdr>
                    <w:top w:val="single" w:sz="2" w:space="0" w:color="D9D9E3"/>
                    <w:left w:val="single" w:sz="2" w:space="0" w:color="D9D9E3"/>
                    <w:bottom w:val="single" w:sz="2" w:space="0" w:color="D9D9E3"/>
                    <w:right w:val="single" w:sz="2" w:space="0" w:color="D9D9E3"/>
                  </w:divBdr>
                  <w:divsChild>
                    <w:div w:id="1738744704">
                      <w:marLeft w:val="0"/>
                      <w:marRight w:val="0"/>
                      <w:marTop w:val="0"/>
                      <w:marBottom w:val="0"/>
                      <w:divBdr>
                        <w:top w:val="single" w:sz="2" w:space="0" w:color="D9D9E3"/>
                        <w:left w:val="single" w:sz="2" w:space="0" w:color="D9D9E3"/>
                        <w:bottom w:val="single" w:sz="2" w:space="0" w:color="D9D9E3"/>
                        <w:right w:val="single" w:sz="2" w:space="0" w:color="D9D9E3"/>
                      </w:divBdr>
                      <w:divsChild>
                        <w:div w:id="2048598821">
                          <w:marLeft w:val="0"/>
                          <w:marRight w:val="0"/>
                          <w:marTop w:val="0"/>
                          <w:marBottom w:val="0"/>
                          <w:divBdr>
                            <w:top w:val="none" w:sz="0" w:space="0" w:color="auto"/>
                            <w:left w:val="none" w:sz="0" w:space="0" w:color="auto"/>
                            <w:bottom w:val="none" w:sz="0" w:space="0" w:color="auto"/>
                            <w:right w:val="none" w:sz="0" w:space="0" w:color="auto"/>
                          </w:divBdr>
                          <w:divsChild>
                            <w:div w:id="1070925928">
                              <w:marLeft w:val="0"/>
                              <w:marRight w:val="0"/>
                              <w:marTop w:val="100"/>
                              <w:marBottom w:val="100"/>
                              <w:divBdr>
                                <w:top w:val="single" w:sz="2" w:space="0" w:color="D9D9E3"/>
                                <w:left w:val="single" w:sz="2" w:space="0" w:color="D9D9E3"/>
                                <w:bottom w:val="single" w:sz="2" w:space="0" w:color="D9D9E3"/>
                                <w:right w:val="single" w:sz="2" w:space="0" w:color="D9D9E3"/>
                              </w:divBdr>
                              <w:divsChild>
                                <w:div w:id="762266951">
                                  <w:marLeft w:val="0"/>
                                  <w:marRight w:val="0"/>
                                  <w:marTop w:val="0"/>
                                  <w:marBottom w:val="0"/>
                                  <w:divBdr>
                                    <w:top w:val="single" w:sz="2" w:space="0" w:color="D9D9E3"/>
                                    <w:left w:val="single" w:sz="2" w:space="0" w:color="D9D9E3"/>
                                    <w:bottom w:val="single" w:sz="2" w:space="0" w:color="D9D9E3"/>
                                    <w:right w:val="single" w:sz="2" w:space="0" w:color="D9D9E3"/>
                                  </w:divBdr>
                                  <w:divsChild>
                                    <w:div w:id="453712705">
                                      <w:marLeft w:val="0"/>
                                      <w:marRight w:val="0"/>
                                      <w:marTop w:val="0"/>
                                      <w:marBottom w:val="0"/>
                                      <w:divBdr>
                                        <w:top w:val="single" w:sz="2" w:space="0" w:color="D9D9E3"/>
                                        <w:left w:val="single" w:sz="2" w:space="0" w:color="D9D9E3"/>
                                        <w:bottom w:val="single" w:sz="2" w:space="0" w:color="D9D9E3"/>
                                        <w:right w:val="single" w:sz="2" w:space="0" w:color="D9D9E3"/>
                                      </w:divBdr>
                                      <w:divsChild>
                                        <w:div w:id="329717001">
                                          <w:marLeft w:val="0"/>
                                          <w:marRight w:val="0"/>
                                          <w:marTop w:val="0"/>
                                          <w:marBottom w:val="0"/>
                                          <w:divBdr>
                                            <w:top w:val="single" w:sz="2" w:space="0" w:color="D9D9E3"/>
                                            <w:left w:val="single" w:sz="2" w:space="0" w:color="D9D9E3"/>
                                            <w:bottom w:val="single" w:sz="2" w:space="0" w:color="D9D9E3"/>
                                            <w:right w:val="single" w:sz="2" w:space="0" w:color="D9D9E3"/>
                                          </w:divBdr>
                                          <w:divsChild>
                                            <w:div w:id="1759983807">
                                              <w:marLeft w:val="0"/>
                                              <w:marRight w:val="0"/>
                                              <w:marTop w:val="0"/>
                                              <w:marBottom w:val="0"/>
                                              <w:divBdr>
                                                <w:top w:val="single" w:sz="2" w:space="0" w:color="D9D9E3"/>
                                                <w:left w:val="single" w:sz="2" w:space="0" w:color="D9D9E3"/>
                                                <w:bottom w:val="single" w:sz="2" w:space="0" w:color="D9D9E3"/>
                                                <w:right w:val="single" w:sz="2" w:space="0" w:color="D9D9E3"/>
                                              </w:divBdr>
                                              <w:divsChild>
                                                <w:div w:id="91559840">
                                                  <w:marLeft w:val="0"/>
                                                  <w:marRight w:val="0"/>
                                                  <w:marTop w:val="0"/>
                                                  <w:marBottom w:val="0"/>
                                                  <w:divBdr>
                                                    <w:top w:val="single" w:sz="2" w:space="0" w:color="D9D9E3"/>
                                                    <w:left w:val="single" w:sz="2" w:space="0" w:color="D9D9E3"/>
                                                    <w:bottom w:val="single" w:sz="2" w:space="0" w:color="D9D9E3"/>
                                                    <w:right w:val="single" w:sz="2" w:space="0" w:color="D9D9E3"/>
                                                  </w:divBdr>
                                                  <w:divsChild>
                                                    <w:div w:id="793063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68897169">
      <w:bodyDiv w:val="1"/>
      <w:marLeft w:val="0"/>
      <w:marRight w:val="0"/>
      <w:marTop w:val="0"/>
      <w:marBottom w:val="0"/>
      <w:divBdr>
        <w:top w:val="none" w:sz="0" w:space="0" w:color="auto"/>
        <w:left w:val="none" w:sz="0" w:space="0" w:color="auto"/>
        <w:bottom w:val="none" w:sz="0" w:space="0" w:color="auto"/>
        <w:right w:val="none" w:sz="0" w:space="0" w:color="auto"/>
      </w:divBdr>
      <w:divsChild>
        <w:div w:id="89200173">
          <w:marLeft w:val="720"/>
          <w:marRight w:val="0"/>
          <w:marTop w:val="120"/>
          <w:marBottom w:val="0"/>
          <w:divBdr>
            <w:top w:val="none" w:sz="0" w:space="0" w:color="auto"/>
            <w:left w:val="none" w:sz="0" w:space="0" w:color="auto"/>
            <w:bottom w:val="none" w:sz="0" w:space="0" w:color="auto"/>
            <w:right w:val="none" w:sz="0" w:space="0" w:color="auto"/>
          </w:divBdr>
        </w:div>
        <w:div w:id="1563175903">
          <w:marLeft w:val="720"/>
          <w:marRight w:val="0"/>
          <w:marTop w:val="120"/>
          <w:marBottom w:val="0"/>
          <w:divBdr>
            <w:top w:val="none" w:sz="0" w:space="0" w:color="auto"/>
            <w:left w:val="none" w:sz="0" w:space="0" w:color="auto"/>
            <w:bottom w:val="none" w:sz="0" w:space="0" w:color="auto"/>
            <w:right w:val="none" w:sz="0" w:space="0" w:color="auto"/>
          </w:divBdr>
        </w:div>
      </w:divsChild>
    </w:div>
    <w:div w:id="272445648">
      <w:bodyDiv w:val="1"/>
      <w:marLeft w:val="0"/>
      <w:marRight w:val="0"/>
      <w:marTop w:val="0"/>
      <w:marBottom w:val="0"/>
      <w:divBdr>
        <w:top w:val="none" w:sz="0" w:space="0" w:color="auto"/>
        <w:left w:val="none" w:sz="0" w:space="0" w:color="auto"/>
        <w:bottom w:val="none" w:sz="0" w:space="0" w:color="auto"/>
        <w:right w:val="none" w:sz="0" w:space="0" w:color="auto"/>
      </w:divBdr>
    </w:div>
    <w:div w:id="313876356">
      <w:bodyDiv w:val="1"/>
      <w:marLeft w:val="0"/>
      <w:marRight w:val="0"/>
      <w:marTop w:val="0"/>
      <w:marBottom w:val="0"/>
      <w:divBdr>
        <w:top w:val="none" w:sz="0" w:space="0" w:color="auto"/>
        <w:left w:val="none" w:sz="0" w:space="0" w:color="auto"/>
        <w:bottom w:val="none" w:sz="0" w:space="0" w:color="auto"/>
        <w:right w:val="none" w:sz="0" w:space="0" w:color="auto"/>
      </w:divBdr>
    </w:div>
    <w:div w:id="335113736">
      <w:bodyDiv w:val="1"/>
      <w:marLeft w:val="0"/>
      <w:marRight w:val="0"/>
      <w:marTop w:val="0"/>
      <w:marBottom w:val="0"/>
      <w:divBdr>
        <w:top w:val="none" w:sz="0" w:space="0" w:color="auto"/>
        <w:left w:val="none" w:sz="0" w:space="0" w:color="auto"/>
        <w:bottom w:val="none" w:sz="0" w:space="0" w:color="auto"/>
        <w:right w:val="none" w:sz="0" w:space="0" w:color="auto"/>
      </w:divBdr>
      <w:divsChild>
        <w:div w:id="787703662">
          <w:marLeft w:val="720"/>
          <w:marRight w:val="0"/>
          <w:marTop w:val="120"/>
          <w:marBottom w:val="0"/>
          <w:divBdr>
            <w:top w:val="none" w:sz="0" w:space="0" w:color="auto"/>
            <w:left w:val="none" w:sz="0" w:space="0" w:color="auto"/>
            <w:bottom w:val="none" w:sz="0" w:space="0" w:color="auto"/>
            <w:right w:val="none" w:sz="0" w:space="0" w:color="auto"/>
          </w:divBdr>
        </w:div>
        <w:div w:id="840899610">
          <w:marLeft w:val="720"/>
          <w:marRight w:val="0"/>
          <w:marTop w:val="120"/>
          <w:marBottom w:val="0"/>
          <w:divBdr>
            <w:top w:val="none" w:sz="0" w:space="0" w:color="auto"/>
            <w:left w:val="none" w:sz="0" w:space="0" w:color="auto"/>
            <w:bottom w:val="none" w:sz="0" w:space="0" w:color="auto"/>
            <w:right w:val="none" w:sz="0" w:space="0" w:color="auto"/>
          </w:divBdr>
        </w:div>
        <w:div w:id="927272221">
          <w:marLeft w:val="720"/>
          <w:marRight w:val="0"/>
          <w:marTop w:val="120"/>
          <w:marBottom w:val="0"/>
          <w:divBdr>
            <w:top w:val="none" w:sz="0" w:space="0" w:color="auto"/>
            <w:left w:val="none" w:sz="0" w:space="0" w:color="auto"/>
            <w:bottom w:val="none" w:sz="0" w:space="0" w:color="auto"/>
            <w:right w:val="none" w:sz="0" w:space="0" w:color="auto"/>
          </w:divBdr>
        </w:div>
      </w:divsChild>
    </w:div>
    <w:div w:id="401757065">
      <w:bodyDiv w:val="1"/>
      <w:marLeft w:val="0"/>
      <w:marRight w:val="0"/>
      <w:marTop w:val="0"/>
      <w:marBottom w:val="0"/>
      <w:divBdr>
        <w:top w:val="none" w:sz="0" w:space="0" w:color="auto"/>
        <w:left w:val="none" w:sz="0" w:space="0" w:color="auto"/>
        <w:bottom w:val="none" w:sz="0" w:space="0" w:color="auto"/>
        <w:right w:val="none" w:sz="0" w:space="0" w:color="auto"/>
      </w:divBdr>
    </w:div>
    <w:div w:id="414935481">
      <w:bodyDiv w:val="1"/>
      <w:marLeft w:val="0"/>
      <w:marRight w:val="0"/>
      <w:marTop w:val="0"/>
      <w:marBottom w:val="0"/>
      <w:divBdr>
        <w:top w:val="none" w:sz="0" w:space="0" w:color="auto"/>
        <w:left w:val="none" w:sz="0" w:space="0" w:color="auto"/>
        <w:bottom w:val="none" w:sz="0" w:space="0" w:color="auto"/>
        <w:right w:val="none" w:sz="0" w:space="0" w:color="auto"/>
      </w:divBdr>
      <w:divsChild>
        <w:div w:id="1530216460">
          <w:marLeft w:val="1800"/>
          <w:marRight w:val="0"/>
          <w:marTop w:val="100"/>
          <w:marBottom w:val="0"/>
          <w:divBdr>
            <w:top w:val="none" w:sz="0" w:space="0" w:color="auto"/>
            <w:left w:val="none" w:sz="0" w:space="0" w:color="auto"/>
            <w:bottom w:val="none" w:sz="0" w:space="0" w:color="auto"/>
            <w:right w:val="none" w:sz="0" w:space="0" w:color="auto"/>
          </w:divBdr>
        </w:div>
      </w:divsChild>
    </w:div>
    <w:div w:id="421412254">
      <w:bodyDiv w:val="1"/>
      <w:marLeft w:val="0"/>
      <w:marRight w:val="0"/>
      <w:marTop w:val="0"/>
      <w:marBottom w:val="0"/>
      <w:divBdr>
        <w:top w:val="none" w:sz="0" w:space="0" w:color="auto"/>
        <w:left w:val="none" w:sz="0" w:space="0" w:color="auto"/>
        <w:bottom w:val="none" w:sz="0" w:space="0" w:color="auto"/>
        <w:right w:val="none" w:sz="0" w:space="0" w:color="auto"/>
      </w:divBdr>
      <w:divsChild>
        <w:div w:id="1259680892">
          <w:marLeft w:val="288"/>
          <w:marRight w:val="0"/>
          <w:marTop w:val="240"/>
          <w:marBottom w:val="0"/>
          <w:divBdr>
            <w:top w:val="none" w:sz="0" w:space="0" w:color="auto"/>
            <w:left w:val="none" w:sz="0" w:space="0" w:color="auto"/>
            <w:bottom w:val="none" w:sz="0" w:space="0" w:color="auto"/>
            <w:right w:val="none" w:sz="0" w:space="0" w:color="auto"/>
          </w:divBdr>
        </w:div>
      </w:divsChild>
    </w:div>
    <w:div w:id="450900808">
      <w:bodyDiv w:val="1"/>
      <w:marLeft w:val="0"/>
      <w:marRight w:val="0"/>
      <w:marTop w:val="0"/>
      <w:marBottom w:val="0"/>
      <w:divBdr>
        <w:top w:val="none" w:sz="0" w:space="0" w:color="auto"/>
        <w:left w:val="none" w:sz="0" w:space="0" w:color="auto"/>
        <w:bottom w:val="none" w:sz="0" w:space="0" w:color="auto"/>
        <w:right w:val="none" w:sz="0" w:space="0" w:color="auto"/>
      </w:divBdr>
      <w:divsChild>
        <w:div w:id="299042907">
          <w:marLeft w:val="965"/>
          <w:marRight w:val="0"/>
          <w:marTop w:val="0"/>
          <w:marBottom w:val="0"/>
          <w:divBdr>
            <w:top w:val="none" w:sz="0" w:space="0" w:color="auto"/>
            <w:left w:val="none" w:sz="0" w:space="0" w:color="auto"/>
            <w:bottom w:val="none" w:sz="0" w:space="0" w:color="auto"/>
            <w:right w:val="none" w:sz="0" w:space="0" w:color="auto"/>
          </w:divBdr>
        </w:div>
      </w:divsChild>
    </w:div>
    <w:div w:id="464271646">
      <w:bodyDiv w:val="1"/>
      <w:marLeft w:val="0"/>
      <w:marRight w:val="0"/>
      <w:marTop w:val="0"/>
      <w:marBottom w:val="0"/>
      <w:divBdr>
        <w:top w:val="none" w:sz="0" w:space="0" w:color="auto"/>
        <w:left w:val="none" w:sz="0" w:space="0" w:color="auto"/>
        <w:bottom w:val="none" w:sz="0" w:space="0" w:color="auto"/>
        <w:right w:val="none" w:sz="0" w:space="0" w:color="auto"/>
      </w:divBdr>
    </w:div>
    <w:div w:id="529296495">
      <w:bodyDiv w:val="1"/>
      <w:marLeft w:val="0"/>
      <w:marRight w:val="0"/>
      <w:marTop w:val="0"/>
      <w:marBottom w:val="0"/>
      <w:divBdr>
        <w:top w:val="none" w:sz="0" w:space="0" w:color="auto"/>
        <w:left w:val="none" w:sz="0" w:space="0" w:color="auto"/>
        <w:bottom w:val="none" w:sz="0" w:space="0" w:color="auto"/>
        <w:right w:val="none" w:sz="0" w:space="0" w:color="auto"/>
      </w:divBdr>
    </w:div>
    <w:div w:id="545139270">
      <w:bodyDiv w:val="1"/>
      <w:marLeft w:val="0"/>
      <w:marRight w:val="0"/>
      <w:marTop w:val="0"/>
      <w:marBottom w:val="0"/>
      <w:divBdr>
        <w:top w:val="none" w:sz="0" w:space="0" w:color="auto"/>
        <w:left w:val="none" w:sz="0" w:space="0" w:color="auto"/>
        <w:bottom w:val="none" w:sz="0" w:space="0" w:color="auto"/>
        <w:right w:val="none" w:sz="0" w:space="0" w:color="auto"/>
      </w:divBdr>
      <w:divsChild>
        <w:div w:id="1360350387">
          <w:marLeft w:val="274"/>
          <w:marRight w:val="0"/>
          <w:marTop w:val="0"/>
          <w:marBottom w:val="0"/>
          <w:divBdr>
            <w:top w:val="none" w:sz="0" w:space="0" w:color="auto"/>
            <w:left w:val="none" w:sz="0" w:space="0" w:color="auto"/>
            <w:bottom w:val="none" w:sz="0" w:space="0" w:color="auto"/>
            <w:right w:val="none" w:sz="0" w:space="0" w:color="auto"/>
          </w:divBdr>
        </w:div>
      </w:divsChild>
    </w:div>
    <w:div w:id="579602384">
      <w:bodyDiv w:val="1"/>
      <w:marLeft w:val="0"/>
      <w:marRight w:val="0"/>
      <w:marTop w:val="0"/>
      <w:marBottom w:val="0"/>
      <w:divBdr>
        <w:top w:val="none" w:sz="0" w:space="0" w:color="auto"/>
        <w:left w:val="none" w:sz="0" w:space="0" w:color="auto"/>
        <w:bottom w:val="none" w:sz="0" w:space="0" w:color="auto"/>
        <w:right w:val="none" w:sz="0" w:space="0" w:color="auto"/>
      </w:divBdr>
    </w:div>
    <w:div w:id="591164815">
      <w:bodyDiv w:val="1"/>
      <w:marLeft w:val="0"/>
      <w:marRight w:val="0"/>
      <w:marTop w:val="0"/>
      <w:marBottom w:val="0"/>
      <w:divBdr>
        <w:top w:val="none" w:sz="0" w:space="0" w:color="auto"/>
        <w:left w:val="none" w:sz="0" w:space="0" w:color="auto"/>
        <w:bottom w:val="none" w:sz="0" w:space="0" w:color="auto"/>
        <w:right w:val="none" w:sz="0" w:space="0" w:color="auto"/>
      </w:divBdr>
    </w:div>
    <w:div w:id="603995356">
      <w:bodyDiv w:val="1"/>
      <w:marLeft w:val="0"/>
      <w:marRight w:val="0"/>
      <w:marTop w:val="0"/>
      <w:marBottom w:val="0"/>
      <w:divBdr>
        <w:top w:val="none" w:sz="0" w:space="0" w:color="auto"/>
        <w:left w:val="none" w:sz="0" w:space="0" w:color="auto"/>
        <w:bottom w:val="none" w:sz="0" w:space="0" w:color="auto"/>
        <w:right w:val="none" w:sz="0" w:space="0" w:color="auto"/>
      </w:divBdr>
      <w:divsChild>
        <w:div w:id="1406685220">
          <w:marLeft w:val="720"/>
          <w:marRight w:val="0"/>
          <w:marTop w:val="120"/>
          <w:marBottom w:val="0"/>
          <w:divBdr>
            <w:top w:val="none" w:sz="0" w:space="0" w:color="auto"/>
            <w:left w:val="none" w:sz="0" w:space="0" w:color="auto"/>
            <w:bottom w:val="none" w:sz="0" w:space="0" w:color="auto"/>
            <w:right w:val="none" w:sz="0" w:space="0" w:color="auto"/>
          </w:divBdr>
        </w:div>
      </w:divsChild>
    </w:div>
    <w:div w:id="616330141">
      <w:bodyDiv w:val="1"/>
      <w:marLeft w:val="0"/>
      <w:marRight w:val="0"/>
      <w:marTop w:val="0"/>
      <w:marBottom w:val="0"/>
      <w:divBdr>
        <w:top w:val="none" w:sz="0" w:space="0" w:color="auto"/>
        <w:left w:val="none" w:sz="0" w:space="0" w:color="auto"/>
        <w:bottom w:val="none" w:sz="0" w:space="0" w:color="auto"/>
        <w:right w:val="none" w:sz="0" w:space="0" w:color="auto"/>
      </w:divBdr>
    </w:div>
    <w:div w:id="624965046">
      <w:bodyDiv w:val="1"/>
      <w:marLeft w:val="0"/>
      <w:marRight w:val="0"/>
      <w:marTop w:val="0"/>
      <w:marBottom w:val="0"/>
      <w:divBdr>
        <w:top w:val="none" w:sz="0" w:space="0" w:color="auto"/>
        <w:left w:val="none" w:sz="0" w:space="0" w:color="auto"/>
        <w:bottom w:val="none" w:sz="0" w:space="0" w:color="auto"/>
        <w:right w:val="none" w:sz="0" w:space="0" w:color="auto"/>
      </w:divBdr>
    </w:div>
    <w:div w:id="631902516">
      <w:bodyDiv w:val="1"/>
      <w:marLeft w:val="0"/>
      <w:marRight w:val="0"/>
      <w:marTop w:val="0"/>
      <w:marBottom w:val="0"/>
      <w:divBdr>
        <w:top w:val="none" w:sz="0" w:space="0" w:color="auto"/>
        <w:left w:val="none" w:sz="0" w:space="0" w:color="auto"/>
        <w:bottom w:val="none" w:sz="0" w:space="0" w:color="auto"/>
        <w:right w:val="none" w:sz="0" w:space="0" w:color="auto"/>
      </w:divBdr>
    </w:div>
    <w:div w:id="672418621">
      <w:bodyDiv w:val="1"/>
      <w:marLeft w:val="0"/>
      <w:marRight w:val="0"/>
      <w:marTop w:val="0"/>
      <w:marBottom w:val="0"/>
      <w:divBdr>
        <w:top w:val="none" w:sz="0" w:space="0" w:color="auto"/>
        <w:left w:val="none" w:sz="0" w:space="0" w:color="auto"/>
        <w:bottom w:val="none" w:sz="0" w:space="0" w:color="auto"/>
        <w:right w:val="none" w:sz="0" w:space="0" w:color="auto"/>
      </w:divBdr>
    </w:div>
    <w:div w:id="691760601">
      <w:bodyDiv w:val="1"/>
      <w:marLeft w:val="0"/>
      <w:marRight w:val="0"/>
      <w:marTop w:val="0"/>
      <w:marBottom w:val="0"/>
      <w:divBdr>
        <w:top w:val="none" w:sz="0" w:space="0" w:color="auto"/>
        <w:left w:val="none" w:sz="0" w:space="0" w:color="auto"/>
        <w:bottom w:val="none" w:sz="0" w:space="0" w:color="auto"/>
        <w:right w:val="none" w:sz="0" w:space="0" w:color="auto"/>
      </w:divBdr>
      <w:divsChild>
        <w:div w:id="1466892836">
          <w:marLeft w:val="288"/>
          <w:marRight w:val="0"/>
          <w:marTop w:val="240"/>
          <w:marBottom w:val="0"/>
          <w:divBdr>
            <w:top w:val="none" w:sz="0" w:space="0" w:color="auto"/>
            <w:left w:val="none" w:sz="0" w:space="0" w:color="auto"/>
            <w:bottom w:val="none" w:sz="0" w:space="0" w:color="auto"/>
            <w:right w:val="none" w:sz="0" w:space="0" w:color="auto"/>
          </w:divBdr>
        </w:div>
        <w:div w:id="1584413668">
          <w:marLeft w:val="288"/>
          <w:marRight w:val="0"/>
          <w:marTop w:val="240"/>
          <w:marBottom w:val="0"/>
          <w:divBdr>
            <w:top w:val="none" w:sz="0" w:space="0" w:color="auto"/>
            <w:left w:val="none" w:sz="0" w:space="0" w:color="auto"/>
            <w:bottom w:val="none" w:sz="0" w:space="0" w:color="auto"/>
            <w:right w:val="none" w:sz="0" w:space="0" w:color="auto"/>
          </w:divBdr>
        </w:div>
      </w:divsChild>
    </w:div>
    <w:div w:id="703097375">
      <w:bodyDiv w:val="1"/>
      <w:marLeft w:val="0"/>
      <w:marRight w:val="0"/>
      <w:marTop w:val="0"/>
      <w:marBottom w:val="0"/>
      <w:divBdr>
        <w:top w:val="none" w:sz="0" w:space="0" w:color="auto"/>
        <w:left w:val="none" w:sz="0" w:space="0" w:color="auto"/>
        <w:bottom w:val="none" w:sz="0" w:space="0" w:color="auto"/>
        <w:right w:val="none" w:sz="0" w:space="0" w:color="auto"/>
      </w:divBdr>
    </w:div>
    <w:div w:id="711153742">
      <w:bodyDiv w:val="1"/>
      <w:marLeft w:val="0"/>
      <w:marRight w:val="0"/>
      <w:marTop w:val="0"/>
      <w:marBottom w:val="0"/>
      <w:divBdr>
        <w:top w:val="none" w:sz="0" w:space="0" w:color="auto"/>
        <w:left w:val="none" w:sz="0" w:space="0" w:color="auto"/>
        <w:bottom w:val="none" w:sz="0" w:space="0" w:color="auto"/>
        <w:right w:val="none" w:sz="0" w:space="0" w:color="auto"/>
      </w:divBdr>
    </w:div>
    <w:div w:id="717438151">
      <w:bodyDiv w:val="1"/>
      <w:marLeft w:val="0"/>
      <w:marRight w:val="0"/>
      <w:marTop w:val="0"/>
      <w:marBottom w:val="0"/>
      <w:divBdr>
        <w:top w:val="none" w:sz="0" w:space="0" w:color="auto"/>
        <w:left w:val="none" w:sz="0" w:space="0" w:color="auto"/>
        <w:bottom w:val="none" w:sz="0" w:space="0" w:color="auto"/>
        <w:right w:val="none" w:sz="0" w:space="0" w:color="auto"/>
      </w:divBdr>
    </w:div>
    <w:div w:id="735279147">
      <w:bodyDiv w:val="1"/>
      <w:marLeft w:val="0"/>
      <w:marRight w:val="0"/>
      <w:marTop w:val="0"/>
      <w:marBottom w:val="0"/>
      <w:divBdr>
        <w:top w:val="none" w:sz="0" w:space="0" w:color="auto"/>
        <w:left w:val="none" w:sz="0" w:space="0" w:color="auto"/>
        <w:bottom w:val="none" w:sz="0" w:space="0" w:color="auto"/>
        <w:right w:val="none" w:sz="0" w:space="0" w:color="auto"/>
      </w:divBdr>
    </w:div>
    <w:div w:id="741409023">
      <w:bodyDiv w:val="1"/>
      <w:marLeft w:val="0"/>
      <w:marRight w:val="0"/>
      <w:marTop w:val="0"/>
      <w:marBottom w:val="0"/>
      <w:divBdr>
        <w:top w:val="none" w:sz="0" w:space="0" w:color="auto"/>
        <w:left w:val="none" w:sz="0" w:space="0" w:color="auto"/>
        <w:bottom w:val="none" w:sz="0" w:space="0" w:color="auto"/>
        <w:right w:val="none" w:sz="0" w:space="0" w:color="auto"/>
      </w:divBdr>
      <w:divsChild>
        <w:div w:id="1235896990">
          <w:marLeft w:val="720"/>
          <w:marRight w:val="0"/>
          <w:marTop w:val="120"/>
          <w:marBottom w:val="0"/>
          <w:divBdr>
            <w:top w:val="none" w:sz="0" w:space="0" w:color="auto"/>
            <w:left w:val="none" w:sz="0" w:space="0" w:color="auto"/>
            <w:bottom w:val="none" w:sz="0" w:space="0" w:color="auto"/>
            <w:right w:val="none" w:sz="0" w:space="0" w:color="auto"/>
          </w:divBdr>
        </w:div>
        <w:div w:id="1245215203">
          <w:marLeft w:val="720"/>
          <w:marRight w:val="0"/>
          <w:marTop w:val="120"/>
          <w:marBottom w:val="0"/>
          <w:divBdr>
            <w:top w:val="none" w:sz="0" w:space="0" w:color="auto"/>
            <w:left w:val="none" w:sz="0" w:space="0" w:color="auto"/>
            <w:bottom w:val="none" w:sz="0" w:space="0" w:color="auto"/>
            <w:right w:val="none" w:sz="0" w:space="0" w:color="auto"/>
          </w:divBdr>
        </w:div>
        <w:div w:id="1782845625">
          <w:marLeft w:val="720"/>
          <w:marRight w:val="0"/>
          <w:marTop w:val="120"/>
          <w:marBottom w:val="0"/>
          <w:divBdr>
            <w:top w:val="none" w:sz="0" w:space="0" w:color="auto"/>
            <w:left w:val="none" w:sz="0" w:space="0" w:color="auto"/>
            <w:bottom w:val="none" w:sz="0" w:space="0" w:color="auto"/>
            <w:right w:val="none" w:sz="0" w:space="0" w:color="auto"/>
          </w:divBdr>
        </w:div>
      </w:divsChild>
    </w:div>
    <w:div w:id="747189956">
      <w:bodyDiv w:val="1"/>
      <w:marLeft w:val="0"/>
      <w:marRight w:val="0"/>
      <w:marTop w:val="0"/>
      <w:marBottom w:val="0"/>
      <w:divBdr>
        <w:top w:val="none" w:sz="0" w:space="0" w:color="auto"/>
        <w:left w:val="none" w:sz="0" w:space="0" w:color="auto"/>
        <w:bottom w:val="none" w:sz="0" w:space="0" w:color="auto"/>
        <w:right w:val="none" w:sz="0" w:space="0" w:color="auto"/>
      </w:divBdr>
    </w:div>
    <w:div w:id="758335916">
      <w:bodyDiv w:val="1"/>
      <w:marLeft w:val="0"/>
      <w:marRight w:val="0"/>
      <w:marTop w:val="0"/>
      <w:marBottom w:val="0"/>
      <w:divBdr>
        <w:top w:val="none" w:sz="0" w:space="0" w:color="auto"/>
        <w:left w:val="none" w:sz="0" w:space="0" w:color="auto"/>
        <w:bottom w:val="none" w:sz="0" w:space="0" w:color="auto"/>
        <w:right w:val="none" w:sz="0" w:space="0" w:color="auto"/>
      </w:divBdr>
    </w:div>
    <w:div w:id="782067283">
      <w:bodyDiv w:val="1"/>
      <w:marLeft w:val="0"/>
      <w:marRight w:val="0"/>
      <w:marTop w:val="0"/>
      <w:marBottom w:val="0"/>
      <w:divBdr>
        <w:top w:val="none" w:sz="0" w:space="0" w:color="auto"/>
        <w:left w:val="none" w:sz="0" w:space="0" w:color="auto"/>
        <w:bottom w:val="none" w:sz="0" w:space="0" w:color="auto"/>
        <w:right w:val="none" w:sz="0" w:space="0" w:color="auto"/>
      </w:divBdr>
      <w:divsChild>
        <w:div w:id="539130079">
          <w:marLeft w:val="0"/>
          <w:marRight w:val="0"/>
          <w:marTop w:val="0"/>
          <w:marBottom w:val="0"/>
          <w:divBdr>
            <w:top w:val="none" w:sz="0" w:space="0" w:color="auto"/>
            <w:left w:val="none" w:sz="0" w:space="0" w:color="auto"/>
            <w:bottom w:val="none" w:sz="0" w:space="0" w:color="auto"/>
            <w:right w:val="none" w:sz="0" w:space="0" w:color="auto"/>
          </w:divBdr>
          <w:divsChild>
            <w:div w:id="400954143">
              <w:marLeft w:val="0"/>
              <w:marRight w:val="0"/>
              <w:marTop w:val="0"/>
              <w:marBottom w:val="0"/>
              <w:divBdr>
                <w:top w:val="none" w:sz="0" w:space="0" w:color="auto"/>
                <w:left w:val="none" w:sz="0" w:space="0" w:color="auto"/>
                <w:bottom w:val="none" w:sz="0" w:space="0" w:color="auto"/>
                <w:right w:val="none" w:sz="0" w:space="0" w:color="auto"/>
              </w:divBdr>
              <w:divsChild>
                <w:div w:id="909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6486">
      <w:bodyDiv w:val="1"/>
      <w:marLeft w:val="0"/>
      <w:marRight w:val="0"/>
      <w:marTop w:val="0"/>
      <w:marBottom w:val="0"/>
      <w:divBdr>
        <w:top w:val="none" w:sz="0" w:space="0" w:color="auto"/>
        <w:left w:val="none" w:sz="0" w:space="0" w:color="auto"/>
        <w:bottom w:val="none" w:sz="0" w:space="0" w:color="auto"/>
        <w:right w:val="none" w:sz="0" w:space="0" w:color="auto"/>
      </w:divBdr>
    </w:div>
    <w:div w:id="803083822">
      <w:bodyDiv w:val="1"/>
      <w:marLeft w:val="0"/>
      <w:marRight w:val="0"/>
      <w:marTop w:val="0"/>
      <w:marBottom w:val="0"/>
      <w:divBdr>
        <w:top w:val="none" w:sz="0" w:space="0" w:color="auto"/>
        <w:left w:val="none" w:sz="0" w:space="0" w:color="auto"/>
        <w:bottom w:val="none" w:sz="0" w:space="0" w:color="auto"/>
        <w:right w:val="none" w:sz="0" w:space="0" w:color="auto"/>
      </w:divBdr>
      <w:divsChild>
        <w:div w:id="490221724">
          <w:marLeft w:val="1440"/>
          <w:marRight w:val="0"/>
          <w:marTop w:val="120"/>
          <w:marBottom w:val="0"/>
          <w:divBdr>
            <w:top w:val="none" w:sz="0" w:space="0" w:color="auto"/>
            <w:left w:val="none" w:sz="0" w:space="0" w:color="auto"/>
            <w:bottom w:val="none" w:sz="0" w:space="0" w:color="auto"/>
            <w:right w:val="none" w:sz="0" w:space="0" w:color="auto"/>
          </w:divBdr>
        </w:div>
        <w:div w:id="2048681452">
          <w:marLeft w:val="1440"/>
          <w:marRight w:val="0"/>
          <w:marTop w:val="120"/>
          <w:marBottom w:val="0"/>
          <w:divBdr>
            <w:top w:val="none" w:sz="0" w:space="0" w:color="auto"/>
            <w:left w:val="none" w:sz="0" w:space="0" w:color="auto"/>
            <w:bottom w:val="none" w:sz="0" w:space="0" w:color="auto"/>
            <w:right w:val="none" w:sz="0" w:space="0" w:color="auto"/>
          </w:divBdr>
        </w:div>
      </w:divsChild>
    </w:div>
    <w:div w:id="813567680">
      <w:bodyDiv w:val="1"/>
      <w:marLeft w:val="0"/>
      <w:marRight w:val="0"/>
      <w:marTop w:val="0"/>
      <w:marBottom w:val="0"/>
      <w:divBdr>
        <w:top w:val="none" w:sz="0" w:space="0" w:color="auto"/>
        <w:left w:val="none" w:sz="0" w:space="0" w:color="auto"/>
        <w:bottom w:val="none" w:sz="0" w:space="0" w:color="auto"/>
        <w:right w:val="none" w:sz="0" w:space="0" w:color="auto"/>
      </w:divBdr>
    </w:div>
    <w:div w:id="817039683">
      <w:bodyDiv w:val="1"/>
      <w:marLeft w:val="0"/>
      <w:marRight w:val="0"/>
      <w:marTop w:val="0"/>
      <w:marBottom w:val="0"/>
      <w:divBdr>
        <w:top w:val="none" w:sz="0" w:space="0" w:color="auto"/>
        <w:left w:val="none" w:sz="0" w:space="0" w:color="auto"/>
        <w:bottom w:val="none" w:sz="0" w:space="0" w:color="auto"/>
        <w:right w:val="none" w:sz="0" w:space="0" w:color="auto"/>
      </w:divBdr>
    </w:div>
    <w:div w:id="838889359">
      <w:bodyDiv w:val="1"/>
      <w:marLeft w:val="0"/>
      <w:marRight w:val="0"/>
      <w:marTop w:val="0"/>
      <w:marBottom w:val="0"/>
      <w:divBdr>
        <w:top w:val="none" w:sz="0" w:space="0" w:color="auto"/>
        <w:left w:val="none" w:sz="0" w:space="0" w:color="auto"/>
        <w:bottom w:val="none" w:sz="0" w:space="0" w:color="auto"/>
        <w:right w:val="none" w:sz="0" w:space="0" w:color="auto"/>
      </w:divBdr>
    </w:div>
    <w:div w:id="895436993">
      <w:bodyDiv w:val="1"/>
      <w:marLeft w:val="0"/>
      <w:marRight w:val="0"/>
      <w:marTop w:val="0"/>
      <w:marBottom w:val="0"/>
      <w:divBdr>
        <w:top w:val="none" w:sz="0" w:space="0" w:color="auto"/>
        <w:left w:val="none" w:sz="0" w:space="0" w:color="auto"/>
        <w:bottom w:val="none" w:sz="0" w:space="0" w:color="auto"/>
        <w:right w:val="none" w:sz="0" w:space="0" w:color="auto"/>
      </w:divBdr>
    </w:div>
    <w:div w:id="900678015">
      <w:bodyDiv w:val="1"/>
      <w:marLeft w:val="0"/>
      <w:marRight w:val="0"/>
      <w:marTop w:val="0"/>
      <w:marBottom w:val="0"/>
      <w:divBdr>
        <w:top w:val="none" w:sz="0" w:space="0" w:color="auto"/>
        <w:left w:val="none" w:sz="0" w:space="0" w:color="auto"/>
        <w:bottom w:val="none" w:sz="0" w:space="0" w:color="auto"/>
        <w:right w:val="none" w:sz="0" w:space="0" w:color="auto"/>
      </w:divBdr>
    </w:div>
    <w:div w:id="901863965">
      <w:bodyDiv w:val="1"/>
      <w:marLeft w:val="0"/>
      <w:marRight w:val="0"/>
      <w:marTop w:val="0"/>
      <w:marBottom w:val="0"/>
      <w:divBdr>
        <w:top w:val="none" w:sz="0" w:space="0" w:color="auto"/>
        <w:left w:val="none" w:sz="0" w:space="0" w:color="auto"/>
        <w:bottom w:val="none" w:sz="0" w:space="0" w:color="auto"/>
        <w:right w:val="none" w:sz="0" w:space="0" w:color="auto"/>
      </w:divBdr>
      <w:divsChild>
        <w:div w:id="1896429536">
          <w:marLeft w:val="864"/>
          <w:marRight w:val="0"/>
          <w:marTop w:val="0"/>
          <w:marBottom w:val="60"/>
          <w:divBdr>
            <w:top w:val="none" w:sz="0" w:space="0" w:color="auto"/>
            <w:left w:val="none" w:sz="0" w:space="0" w:color="auto"/>
            <w:bottom w:val="none" w:sz="0" w:space="0" w:color="auto"/>
            <w:right w:val="none" w:sz="0" w:space="0" w:color="auto"/>
          </w:divBdr>
        </w:div>
      </w:divsChild>
    </w:div>
    <w:div w:id="916089280">
      <w:bodyDiv w:val="1"/>
      <w:marLeft w:val="0"/>
      <w:marRight w:val="0"/>
      <w:marTop w:val="0"/>
      <w:marBottom w:val="0"/>
      <w:divBdr>
        <w:top w:val="none" w:sz="0" w:space="0" w:color="auto"/>
        <w:left w:val="none" w:sz="0" w:space="0" w:color="auto"/>
        <w:bottom w:val="none" w:sz="0" w:space="0" w:color="auto"/>
        <w:right w:val="none" w:sz="0" w:space="0" w:color="auto"/>
      </w:divBdr>
    </w:div>
    <w:div w:id="924806760">
      <w:bodyDiv w:val="1"/>
      <w:marLeft w:val="0"/>
      <w:marRight w:val="0"/>
      <w:marTop w:val="0"/>
      <w:marBottom w:val="0"/>
      <w:divBdr>
        <w:top w:val="none" w:sz="0" w:space="0" w:color="auto"/>
        <w:left w:val="none" w:sz="0" w:space="0" w:color="auto"/>
        <w:bottom w:val="none" w:sz="0" w:space="0" w:color="auto"/>
        <w:right w:val="none" w:sz="0" w:space="0" w:color="auto"/>
      </w:divBdr>
      <w:divsChild>
        <w:div w:id="933514858">
          <w:marLeft w:val="1800"/>
          <w:marRight w:val="0"/>
          <w:marTop w:val="100"/>
          <w:marBottom w:val="0"/>
          <w:divBdr>
            <w:top w:val="none" w:sz="0" w:space="0" w:color="auto"/>
            <w:left w:val="none" w:sz="0" w:space="0" w:color="auto"/>
            <w:bottom w:val="none" w:sz="0" w:space="0" w:color="auto"/>
            <w:right w:val="none" w:sz="0" w:space="0" w:color="auto"/>
          </w:divBdr>
        </w:div>
        <w:div w:id="21712786">
          <w:marLeft w:val="1800"/>
          <w:marRight w:val="0"/>
          <w:marTop w:val="100"/>
          <w:marBottom w:val="0"/>
          <w:divBdr>
            <w:top w:val="none" w:sz="0" w:space="0" w:color="auto"/>
            <w:left w:val="none" w:sz="0" w:space="0" w:color="auto"/>
            <w:bottom w:val="none" w:sz="0" w:space="0" w:color="auto"/>
            <w:right w:val="none" w:sz="0" w:space="0" w:color="auto"/>
          </w:divBdr>
        </w:div>
      </w:divsChild>
    </w:div>
    <w:div w:id="954680934">
      <w:bodyDiv w:val="1"/>
      <w:marLeft w:val="0"/>
      <w:marRight w:val="0"/>
      <w:marTop w:val="0"/>
      <w:marBottom w:val="0"/>
      <w:divBdr>
        <w:top w:val="none" w:sz="0" w:space="0" w:color="auto"/>
        <w:left w:val="none" w:sz="0" w:space="0" w:color="auto"/>
        <w:bottom w:val="none" w:sz="0" w:space="0" w:color="auto"/>
        <w:right w:val="none" w:sz="0" w:space="0" w:color="auto"/>
      </w:divBdr>
      <w:divsChild>
        <w:div w:id="342442632">
          <w:marLeft w:val="230"/>
          <w:marRight w:val="0"/>
          <w:marTop w:val="60"/>
          <w:marBottom w:val="0"/>
          <w:divBdr>
            <w:top w:val="none" w:sz="0" w:space="0" w:color="auto"/>
            <w:left w:val="none" w:sz="0" w:space="0" w:color="auto"/>
            <w:bottom w:val="none" w:sz="0" w:space="0" w:color="auto"/>
            <w:right w:val="none" w:sz="0" w:space="0" w:color="auto"/>
          </w:divBdr>
        </w:div>
        <w:div w:id="621958381">
          <w:marLeft w:val="230"/>
          <w:marRight w:val="0"/>
          <w:marTop w:val="60"/>
          <w:marBottom w:val="0"/>
          <w:divBdr>
            <w:top w:val="none" w:sz="0" w:space="0" w:color="auto"/>
            <w:left w:val="none" w:sz="0" w:space="0" w:color="auto"/>
            <w:bottom w:val="none" w:sz="0" w:space="0" w:color="auto"/>
            <w:right w:val="none" w:sz="0" w:space="0" w:color="auto"/>
          </w:divBdr>
        </w:div>
        <w:div w:id="1065642584">
          <w:marLeft w:val="230"/>
          <w:marRight w:val="0"/>
          <w:marTop w:val="60"/>
          <w:marBottom w:val="0"/>
          <w:divBdr>
            <w:top w:val="none" w:sz="0" w:space="0" w:color="auto"/>
            <w:left w:val="none" w:sz="0" w:space="0" w:color="auto"/>
            <w:bottom w:val="none" w:sz="0" w:space="0" w:color="auto"/>
            <w:right w:val="none" w:sz="0" w:space="0" w:color="auto"/>
          </w:divBdr>
        </w:div>
        <w:div w:id="1454443612">
          <w:marLeft w:val="230"/>
          <w:marRight w:val="0"/>
          <w:marTop w:val="60"/>
          <w:marBottom w:val="0"/>
          <w:divBdr>
            <w:top w:val="none" w:sz="0" w:space="0" w:color="auto"/>
            <w:left w:val="none" w:sz="0" w:space="0" w:color="auto"/>
            <w:bottom w:val="none" w:sz="0" w:space="0" w:color="auto"/>
            <w:right w:val="none" w:sz="0" w:space="0" w:color="auto"/>
          </w:divBdr>
        </w:div>
        <w:div w:id="1566258190">
          <w:marLeft w:val="230"/>
          <w:marRight w:val="0"/>
          <w:marTop w:val="60"/>
          <w:marBottom w:val="0"/>
          <w:divBdr>
            <w:top w:val="none" w:sz="0" w:space="0" w:color="auto"/>
            <w:left w:val="none" w:sz="0" w:space="0" w:color="auto"/>
            <w:bottom w:val="none" w:sz="0" w:space="0" w:color="auto"/>
            <w:right w:val="none" w:sz="0" w:space="0" w:color="auto"/>
          </w:divBdr>
        </w:div>
        <w:div w:id="1736589505">
          <w:marLeft w:val="230"/>
          <w:marRight w:val="0"/>
          <w:marTop w:val="60"/>
          <w:marBottom w:val="0"/>
          <w:divBdr>
            <w:top w:val="none" w:sz="0" w:space="0" w:color="auto"/>
            <w:left w:val="none" w:sz="0" w:space="0" w:color="auto"/>
            <w:bottom w:val="none" w:sz="0" w:space="0" w:color="auto"/>
            <w:right w:val="none" w:sz="0" w:space="0" w:color="auto"/>
          </w:divBdr>
        </w:div>
      </w:divsChild>
    </w:div>
    <w:div w:id="985742986">
      <w:bodyDiv w:val="1"/>
      <w:marLeft w:val="0"/>
      <w:marRight w:val="0"/>
      <w:marTop w:val="0"/>
      <w:marBottom w:val="0"/>
      <w:divBdr>
        <w:top w:val="none" w:sz="0" w:space="0" w:color="auto"/>
        <w:left w:val="none" w:sz="0" w:space="0" w:color="auto"/>
        <w:bottom w:val="none" w:sz="0" w:space="0" w:color="auto"/>
        <w:right w:val="none" w:sz="0" w:space="0" w:color="auto"/>
      </w:divBdr>
    </w:div>
    <w:div w:id="997003020">
      <w:bodyDiv w:val="1"/>
      <w:marLeft w:val="0"/>
      <w:marRight w:val="0"/>
      <w:marTop w:val="0"/>
      <w:marBottom w:val="0"/>
      <w:divBdr>
        <w:top w:val="none" w:sz="0" w:space="0" w:color="auto"/>
        <w:left w:val="none" w:sz="0" w:space="0" w:color="auto"/>
        <w:bottom w:val="none" w:sz="0" w:space="0" w:color="auto"/>
        <w:right w:val="none" w:sz="0" w:space="0" w:color="auto"/>
      </w:divBdr>
      <w:divsChild>
        <w:div w:id="809441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713703">
      <w:bodyDiv w:val="1"/>
      <w:marLeft w:val="0"/>
      <w:marRight w:val="0"/>
      <w:marTop w:val="0"/>
      <w:marBottom w:val="0"/>
      <w:divBdr>
        <w:top w:val="none" w:sz="0" w:space="0" w:color="auto"/>
        <w:left w:val="none" w:sz="0" w:space="0" w:color="auto"/>
        <w:bottom w:val="none" w:sz="0" w:space="0" w:color="auto"/>
        <w:right w:val="none" w:sz="0" w:space="0" w:color="auto"/>
      </w:divBdr>
    </w:div>
    <w:div w:id="1026753052">
      <w:bodyDiv w:val="1"/>
      <w:marLeft w:val="0"/>
      <w:marRight w:val="0"/>
      <w:marTop w:val="0"/>
      <w:marBottom w:val="0"/>
      <w:divBdr>
        <w:top w:val="none" w:sz="0" w:space="0" w:color="auto"/>
        <w:left w:val="none" w:sz="0" w:space="0" w:color="auto"/>
        <w:bottom w:val="none" w:sz="0" w:space="0" w:color="auto"/>
        <w:right w:val="none" w:sz="0" w:space="0" w:color="auto"/>
      </w:divBdr>
      <w:divsChild>
        <w:div w:id="1736514085">
          <w:marLeft w:val="0"/>
          <w:marRight w:val="0"/>
          <w:marTop w:val="0"/>
          <w:marBottom w:val="0"/>
          <w:divBdr>
            <w:top w:val="none" w:sz="0" w:space="0" w:color="auto"/>
            <w:left w:val="none" w:sz="0" w:space="0" w:color="auto"/>
            <w:bottom w:val="none" w:sz="0" w:space="0" w:color="auto"/>
            <w:right w:val="none" w:sz="0" w:space="0" w:color="auto"/>
          </w:divBdr>
        </w:div>
        <w:div w:id="16350088">
          <w:marLeft w:val="0"/>
          <w:marRight w:val="0"/>
          <w:marTop w:val="0"/>
          <w:marBottom w:val="0"/>
          <w:divBdr>
            <w:top w:val="none" w:sz="0" w:space="0" w:color="auto"/>
            <w:left w:val="none" w:sz="0" w:space="0" w:color="auto"/>
            <w:bottom w:val="none" w:sz="0" w:space="0" w:color="auto"/>
            <w:right w:val="none" w:sz="0" w:space="0" w:color="auto"/>
          </w:divBdr>
        </w:div>
        <w:div w:id="1308319082">
          <w:marLeft w:val="0"/>
          <w:marRight w:val="0"/>
          <w:marTop w:val="0"/>
          <w:marBottom w:val="0"/>
          <w:divBdr>
            <w:top w:val="none" w:sz="0" w:space="0" w:color="auto"/>
            <w:left w:val="none" w:sz="0" w:space="0" w:color="auto"/>
            <w:bottom w:val="none" w:sz="0" w:space="0" w:color="auto"/>
            <w:right w:val="none" w:sz="0" w:space="0" w:color="auto"/>
          </w:divBdr>
        </w:div>
        <w:div w:id="182480247">
          <w:marLeft w:val="0"/>
          <w:marRight w:val="0"/>
          <w:marTop w:val="0"/>
          <w:marBottom w:val="0"/>
          <w:divBdr>
            <w:top w:val="none" w:sz="0" w:space="0" w:color="auto"/>
            <w:left w:val="none" w:sz="0" w:space="0" w:color="auto"/>
            <w:bottom w:val="none" w:sz="0" w:space="0" w:color="auto"/>
            <w:right w:val="none" w:sz="0" w:space="0" w:color="auto"/>
          </w:divBdr>
          <w:divsChild>
            <w:div w:id="1553076961">
              <w:marLeft w:val="0"/>
              <w:marRight w:val="0"/>
              <w:marTop w:val="0"/>
              <w:marBottom w:val="0"/>
              <w:divBdr>
                <w:top w:val="none" w:sz="0" w:space="0" w:color="auto"/>
                <w:left w:val="none" w:sz="0" w:space="0" w:color="auto"/>
                <w:bottom w:val="none" w:sz="0" w:space="0" w:color="auto"/>
                <w:right w:val="none" w:sz="0" w:space="0" w:color="auto"/>
              </w:divBdr>
            </w:div>
            <w:div w:id="1446735374">
              <w:marLeft w:val="0"/>
              <w:marRight w:val="0"/>
              <w:marTop w:val="0"/>
              <w:marBottom w:val="0"/>
              <w:divBdr>
                <w:top w:val="none" w:sz="0" w:space="0" w:color="auto"/>
                <w:left w:val="none" w:sz="0" w:space="0" w:color="auto"/>
                <w:bottom w:val="none" w:sz="0" w:space="0" w:color="auto"/>
                <w:right w:val="none" w:sz="0" w:space="0" w:color="auto"/>
              </w:divBdr>
            </w:div>
            <w:div w:id="1134105246">
              <w:marLeft w:val="0"/>
              <w:marRight w:val="0"/>
              <w:marTop w:val="0"/>
              <w:marBottom w:val="0"/>
              <w:divBdr>
                <w:top w:val="none" w:sz="0" w:space="0" w:color="auto"/>
                <w:left w:val="none" w:sz="0" w:space="0" w:color="auto"/>
                <w:bottom w:val="none" w:sz="0" w:space="0" w:color="auto"/>
                <w:right w:val="none" w:sz="0" w:space="0" w:color="auto"/>
              </w:divBdr>
            </w:div>
            <w:div w:id="1323437018">
              <w:marLeft w:val="0"/>
              <w:marRight w:val="0"/>
              <w:marTop w:val="0"/>
              <w:marBottom w:val="0"/>
              <w:divBdr>
                <w:top w:val="none" w:sz="0" w:space="0" w:color="auto"/>
                <w:left w:val="none" w:sz="0" w:space="0" w:color="auto"/>
                <w:bottom w:val="none" w:sz="0" w:space="0" w:color="auto"/>
                <w:right w:val="none" w:sz="0" w:space="0" w:color="auto"/>
              </w:divBdr>
            </w:div>
            <w:div w:id="1059207372">
              <w:marLeft w:val="0"/>
              <w:marRight w:val="0"/>
              <w:marTop w:val="0"/>
              <w:marBottom w:val="0"/>
              <w:divBdr>
                <w:top w:val="none" w:sz="0" w:space="0" w:color="auto"/>
                <w:left w:val="none" w:sz="0" w:space="0" w:color="auto"/>
                <w:bottom w:val="none" w:sz="0" w:space="0" w:color="auto"/>
                <w:right w:val="none" w:sz="0" w:space="0" w:color="auto"/>
              </w:divBdr>
            </w:div>
            <w:div w:id="165756570">
              <w:marLeft w:val="0"/>
              <w:marRight w:val="0"/>
              <w:marTop w:val="0"/>
              <w:marBottom w:val="0"/>
              <w:divBdr>
                <w:top w:val="none" w:sz="0" w:space="0" w:color="auto"/>
                <w:left w:val="none" w:sz="0" w:space="0" w:color="auto"/>
                <w:bottom w:val="none" w:sz="0" w:space="0" w:color="auto"/>
                <w:right w:val="none" w:sz="0" w:space="0" w:color="auto"/>
              </w:divBdr>
            </w:div>
            <w:div w:id="560483016">
              <w:marLeft w:val="0"/>
              <w:marRight w:val="0"/>
              <w:marTop w:val="0"/>
              <w:marBottom w:val="0"/>
              <w:divBdr>
                <w:top w:val="none" w:sz="0" w:space="0" w:color="auto"/>
                <w:left w:val="none" w:sz="0" w:space="0" w:color="auto"/>
                <w:bottom w:val="none" w:sz="0" w:space="0" w:color="auto"/>
                <w:right w:val="none" w:sz="0" w:space="0" w:color="auto"/>
              </w:divBdr>
            </w:div>
          </w:divsChild>
        </w:div>
        <w:div w:id="938947648">
          <w:marLeft w:val="0"/>
          <w:marRight w:val="0"/>
          <w:marTop w:val="0"/>
          <w:marBottom w:val="0"/>
          <w:divBdr>
            <w:top w:val="none" w:sz="0" w:space="0" w:color="auto"/>
            <w:left w:val="none" w:sz="0" w:space="0" w:color="auto"/>
            <w:bottom w:val="none" w:sz="0" w:space="0" w:color="auto"/>
            <w:right w:val="none" w:sz="0" w:space="0" w:color="auto"/>
          </w:divBdr>
          <w:divsChild>
            <w:div w:id="266891583">
              <w:marLeft w:val="0"/>
              <w:marRight w:val="0"/>
              <w:marTop w:val="0"/>
              <w:marBottom w:val="0"/>
              <w:divBdr>
                <w:top w:val="none" w:sz="0" w:space="0" w:color="auto"/>
                <w:left w:val="none" w:sz="0" w:space="0" w:color="auto"/>
                <w:bottom w:val="none" w:sz="0" w:space="0" w:color="auto"/>
                <w:right w:val="none" w:sz="0" w:space="0" w:color="auto"/>
              </w:divBdr>
            </w:div>
          </w:divsChild>
        </w:div>
        <w:div w:id="86970461">
          <w:marLeft w:val="0"/>
          <w:marRight w:val="0"/>
          <w:marTop w:val="0"/>
          <w:marBottom w:val="0"/>
          <w:divBdr>
            <w:top w:val="none" w:sz="0" w:space="0" w:color="auto"/>
            <w:left w:val="none" w:sz="0" w:space="0" w:color="auto"/>
            <w:bottom w:val="none" w:sz="0" w:space="0" w:color="auto"/>
            <w:right w:val="none" w:sz="0" w:space="0" w:color="auto"/>
          </w:divBdr>
          <w:divsChild>
            <w:div w:id="31004494">
              <w:marLeft w:val="0"/>
              <w:marRight w:val="0"/>
              <w:marTop w:val="0"/>
              <w:marBottom w:val="0"/>
              <w:divBdr>
                <w:top w:val="none" w:sz="0" w:space="0" w:color="auto"/>
                <w:left w:val="none" w:sz="0" w:space="0" w:color="auto"/>
                <w:bottom w:val="none" w:sz="0" w:space="0" w:color="auto"/>
                <w:right w:val="none" w:sz="0" w:space="0" w:color="auto"/>
              </w:divBdr>
            </w:div>
            <w:div w:id="5543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315">
      <w:bodyDiv w:val="1"/>
      <w:marLeft w:val="0"/>
      <w:marRight w:val="0"/>
      <w:marTop w:val="0"/>
      <w:marBottom w:val="0"/>
      <w:divBdr>
        <w:top w:val="none" w:sz="0" w:space="0" w:color="auto"/>
        <w:left w:val="none" w:sz="0" w:space="0" w:color="auto"/>
        <w:bottom w:val="none" w:sz="0" w:space="0" w:color="auto"/>
        <w:right w:val="none" w:sz="0" w:space="0" w:color="auto"/>
      </w:divBdr>
    </w:div>
    <w:div w:id="1064181785">
      <w:bodyDiv w:val="1"/>
      <w:marLeft w:val="0"/>
      <w:marRight w:val="0"/>
      <w:marTop w:val="0"/>
      <w:marBottom w:val="0"/>
      <w:divBdr>
        <w:top w:val="none" w:sz="0" w:space="0" w:color="auto"/>
        <w:left w:val="none" w:sz="0" w:space="0" w:color="auto"/>
        <w:bottom w:val="none" w:sz="0" w:space="0" w:color="auto"/>
        <w:right w:val="none" w:sz="0" w:space="0" w:color="auto"/>
      </w:divBdr>
    </w:div>
    <w:div w:id="1098138095">
      <w:bodyDiv w:val="1"/>
      <w:marLeft w:val="0"/>
      <w:marRight w:val="0"/>
      <w:marTop w:val="0"/>
      <w:marBottom w:val="0"/>
      <w:divBdr>
        <w:top w:val="none" w:sz="0" w:space="0" w:color="auto"/>
        <w:left w:val="none" w:sz="0" w:space="0" w:color="auto"/>
        <w:bottom w:val="none" w:sz="0" w:space="0" w:color="auto"/>
        <w:right w:val="none" w:sz="0" w:space="0" w:color="auto"/>
      </w:divBdr>
      <w:divsChild>
        <w:div w:id="1571505549">
          <w:marLeft w:val="1800"/>
          <w:marRight w:val="0"/>
          <w:marTop w:val="100"/>
          <w:marBottom w:val="0"/>
          <w:divBdr>
            <w:top w:val="none" w:sz="0" w:space="0" w:color="auto"/>
            <w:left w:val="none" w:sz="0" w:space="0" w:color="auto"/>
            <w:bottom w:val="none" w:sz="0" w:space="0" w:color="auto"/>
            <w:right w:val="none" w:sz="0" w:space="0" w:color="auto"/>
          </w:divBdr>
        </w:div>
      </w:divsChild>
    </w:div>
    <w:div w:id="1110466135">
      <w:bodyDiv w:val="1"/>
      <w:marLeft w:val="0"/>
      <w:marRight w:val="0"/>
      <w:marTop w:val="0"/>
      <w:marBottom w:val="0"/>
      <w:divBdr>
        <w:top w:val="none" w:sz="0" w:space="0" w:color="auto"/>
        <w:left w:val="none" w:sz="0" w:space="0" w:color="auto"/>
        <w:bottom w:val="none" w:sz="0" w:space="0" w:color="auto"/>
        <w:right w:val="none" w:sz="0" w:space="0" w:color="auto"/>
      </w:divBdr>
    </w:div>
    <w:div w:id="1113209988">
      <w:bodyDiv w:val="1"/>
      <w:marLeft w:val="0"/>
      <w:marRight w:val="0"/>
      <w:marTop w:val="0"/>
      <w:marBottom w:val="0"/>
      <w:divBdr>
        <w:top w:val="none" w:sz="0" w:space="0" w:color="auto"/>
        <w:left w:val="none" w:sz="0" w:space="0" w:color="auto"/>
        <w:bottom w:val="none" w:sz="0" w:space="0" w:color="auto"/>
        <w:right w:val="none" w:sz="0" w:space="0" w:color="auto"/>
      </w:divBdr>
      <w:divsChild>
        <w:div w:id="888761870">
          <w:marLeft w:val="864"/>
          <w:marRight w:val="0"/>
          <w:marTop w:val="0"/>
          <w:marBottom w:val="60"/>
          <w:divBdr>
            <w:top w:val="none" w:sz="0" w:space="0" w:color="auto"/>
            <w:left w:val="none" w:sz="0" w:space="0" w:color="auto"/>
            <w:bottom w:val="none" w:sz="0" w:space="0" w:color="auto"/>
            <w:right w:val="none" w:sz="0" w:space="0" w:color="auto"/>
          </w:divBdr>
        </w:div>
        <w:div w:id="1146430030">
          <w:marLeft w:val="864"/>
          <w:marRight w:val="0"/>
          <w:marTop w:val="0"/>
          <w:marBottom w:val="60"/>
          <w:divBdr>
            <w:top w:val="none" w:sz="0" w:space="0" w:color="auto"/>
            <w:left w:val="none" w:sz="0" w:space="0" w:color="auto"/>
            <w:bottom w:val="none" w:sz="0" w:space="0" w:color="auto"/>
            <w:right w:val="none" w:sz="0" w:space="0" w:color="auto"/>
          </w:divBdr>
        </w:div>
        <w:div w:id="1637562002">
          <w:marLeft w:val="864"/>
          <w:marRight w:val="0"/>
          <w:marTop w:val="0"/>
          <w:marBottom w:val="60"/>
          <w:divBdr>
            <w:top w:val="none" w:sz="0" w:space="0" w:color="auto"/>
            <w:left w:val="none" w:sz="0" w:space="0" w:color="auto"/>
            <w:bottom w:val="none" w:sz="0" w:space="0" w:color="auto"/>
            <w:right w:val="none" w:sz="0" w:space="0" w:color="auto"/>
          </w:divBdr>
        </w:div>
      </w:divsChild>
    </w:div>
    <w:div w:id="1119379182">
      <w:bodyDiv w:val="1"/>
      <w:marLeft w:val="0"/>
      <w:marRight w:val="0"/>
      <w:marTop w:val="0"/>
      <w:marBottom w:val="0"/>
      <w:divBdr>
        <w:top w:val="none" w:sz="0" w:space="0" w:color="auto"/>
        <w:left w:val="none" w:sz="0" w:space="0" w:color="auto"/>
        <w:bottom w:val="none" w:sz="0" w:space="0" w:color="auto"/>
        <w:right w:val="none" w:sz="0" w:space="0" w:color="auto"/>
      </w:divBdr>
    </w:div>
    <w:div w:id="1132670638">
      <w:bodyDiv w:val="1"/>
      <w:marLeft w:val="0"/>
      <w:marRight w:val="0"/>
      <w:marTop w:val="0"/>
      <w:marBottom w:val="0"/>
      <w:divBdr>
        <w:top w:val="none" w:sz="0" w:space="0" w:color="auto"/>
        <w:left w:val="none" w:sz="0" w:space="0" w:color="auto"/>
        <w:bottom w:val="none" w:sz="0" w:space="0" w:color="auto"/>
        <w:right w:val="none" w:sz="0" w:space="0" w:color="auto"/>
      </w:divBdr>
      <w:divsChild>
        <w:div w:id="247077936">
          <w:marLeft w:val="547"/>
          <w:marRight w:val="0"/>
          <w:marTop w:val="200"/>
          <w:marBottom w:val="0"/>
          <w:divBdr>
            <w:top w:val="none" w:sz="0" w:space="0" w:color="auto"/>
            <w:left w:val="none" w:sz="0" w:space="0" w:color="auto"/>
            <w:bottom w:val="none" w:sz="0" w:space="0" w:color="auto"/>
            <w:right w:val="none" w:sz="0" w:space="0" w:color="auto"/>
          </w:divBdr>
        </w:div>
        <w:div w:id="274405172">
          <w:marLeft w:val="1080"/>
          <w:marRight w:val="0"/>
          <w:marTop w:val="100"/>
          <w:marBottom w:val="0"/>
          <w:divBdr>
            <w:top w:val="none" w:sz="0" w:space="0" w:color="auto"/>
            <w:left w:val="none" w:sz="0" w:space="0" w:color="auto"/>
            <w:bottom w:val="none" w:sz="0" w:space="0" w:color="auto"/>
            <w:right w:val="none" w:sz="0" w:space="0" w:color="auto"/>
          </w:divBdr>
        </w:div>
        <w:div w:id="1515802790">
          <w:marLeft w:val="1080"/>
          <w:marRight w:val="0"/>
          <w:marTop w:val="100"/>
          <w:marBottom w:val="0"/>
          <w:divBdr>
            <w:top w:val="none" w:sz="0" w:space="0" w:color="auto"/>
            <w:left w:val="none" w:sz="0" w:space="0" w:color="auto"/>
            <w:bottom w:val="none" w:sz="0" w:space="0" w:color="auto"/>
            <w:right w:val="none" w:sz="0" w:space="0" w:color="auto"/>
          </w:divBdr>
        </w:div>
        <w:div w:id="816190709">
          <w:marLeft w:val="1080"/>
          <w:marRight w:val="0"/>
          <w:marTop w:val="100"/>
          <w:marBottom w:val="0"/>
          <w:divBdr>
            <w:top w:val="none" w:sz="0" w:space="0" w:color="auto"/>
            <w:left w:val="none" w:sz="0" w:space="0" w:color="auto"/>
            <w:bottom w:val="none" w:sz="0" w:space="0" w:color="auto"/>
            <w:right w:val="none" w:sz="0" w:space="0" w:color="auto"/>
          </w:divBdr>
        </w:div>
        <w:div w:id="385953792">
          <w:marLeft w:val="1080"/>
          <w:marRight w:val="0"/>
          <w:marTop w:val="100"/>
          <w:marBottom w:val="0"/>
          <w:divBdr>
            <w:top w:val="none" w:sz="0" w:space="0" w:color="auto"/>
            <w:left w:val="none" w:sz="0" w:space="0" w:color="auto"/>
            <w:bottom w:val="none" w:sz="0" w:space="0" w:color="auto"/>
            <w:right w:val="none" w:sz="0" w:space="0" w:color="auto"/>
          </w:divBdr>
        </w:div>
        <w:div w:id="2088992592">
          <w:marLeft w:val="1080"/>
          <w:marRight w:val="0"/>
          <w:marTop w:val="100"/>
          <w:marBottom w:val="0"/>
          <w:divBdr>
            <w:top w:val="none" w:sz="0" w:space="0" w:color="auto"/>
            <w:left w:val="none" w:sz="0" w:space="0" w:color="auto"/>
            <w:bottom w:val="none" w:sz="0" w:space="0" w:color="auto"/>
            <w:right w:val="none" w:sz="0" w:space="0" w:color="auto"/>
          </w:divBdr>
        </w:div>
      </w:divsChild>
    </w:div>
    <w:div w:id="1136990182">
      <w:bodyDiv w:val="1"/>
      <w:marLeft w:val="0"/>
      <w:marRight w:val="0"/>
      <w:marTop w:val="0"/>
      <w:marBottom w:val="0"/>
      <w:divBdr>
        <w:top w:val="none" w:sz="0" w:space="0" w:color="auto"/>
        <w:left w:val="none" w:sz="0" w:space="0" w:color="auto"/>
        <w:bottom w:val="none" w:sz="0" w:space="0" w:color="auto"/>
        <w:right w:val="none" w:sz="0" w:space="0" w:color="auto"/>
      </w:divBdr>
      <w:divsChild>
        <w:div w:id="4940453">
          <w:marLeft w:val="360"/>
          <w:marRight w:val="0"/>
          <w:marTop w:val="0"/>
          <w:marBottom w:val="0"/>
          <w:divBdr>
            <w:top w:val="none" w:sz="0" w:space="0" w:color="auto"/>
            <w:left w:val="none" w:sz="0" w:space="0" w:color="auto"/>
            <w:bottom w:val="none" w:sz="0" w:space="0" w:color="auto"/>
            <w:right w:val="none" w:sz="0" w:space="0" w:color="auto"/>
          </w:divBdr>
        </w:div>
        <w:div w:id="175196915">
          <w:marLeft w:val="360"/>
          <w:marRight w:val="0"/>
          <w:marTop w:val="0"/>
          <w:marBottom w:val="0"/>
          <w:divBdr>
            <w:top w:val="none" w:sz="0" w:space="0" w:color="auto"/>
            <w:left w:val="none" w:sz="0" w:space="0" w:color="auto"/>
            <w:bottom w:val="none" w:sz="0" w:space="0" w:color="auto"/>
            <w:right w:val="none" w:sz="0" w:space="0" w:color="auto"/>
          </w:divBdr>
        </w:div>
        <w:div w:id="501434050">
          <w:marLeft w:val="360"/>
          <w:marRight w:val="0"/>
          <w:marTop w:val="0"/>
          <w:marBottom w:val="0"/>
          <w:divBdr>
            <w:top w:val="none" w:sz="0" w:space="0" w:color="auto"/>
            <w:left w:val="none" w:sz="0" w:space="0" w:color="auto"/>
            <w:bottom w:val="none" w:sz="0" w:space="0" w:color="auto"/>
            <w:right w:val="none" w:sz="0" w:space="0" w:color="auto"/>
          </w:divBdr>
        </w:div>
        <w:div w:id="651376360">
          <w:marLeft w:val="360"/>
          <w:marRight w:val="0"/>
          <w:marTop w:val="0"/>
          <w:marBottom w:val="0"/>
          <w:divBdr>
            <w:top w:val="none" w:sz="0" w:space="0" w:color="auto"/>
            <w:left w:val="none" w:sz="0" w:space="0" w:color="auto"/>
            <w:bottom w:val="none" w:sz="0" w:space="0" w:color="auto"/>
            <w:right w:val="none" w:sz="0" w:space="0" w:color="auto"/>
          </w:divBdr>
        </w:div>
        <w:div w:id="841972721">
          <w:marLeft w:val="360"/>
          <w:marRight w:val="0"/>
          <w:marTop w:val="0"/>
          <w:marBottom w:val="0"/>
          <w:divBdr>
            <w:top w:val="none" w:sz="0" w:space="0" w:color="auto"/>
            <w:left w:val="none" w:sz="0" w:space="0" w:color="auto"/>
            <w:bottom w:val="none" w:sz="0" w:space="0" w:color="auto"/>
            <w:right w:val="none" w:sz="0" w:space="0" w:color="auto"/>
          </w:divBdr>
        </w:div>
        <w:div w:id="874346368">
          <w:marLeft w:val="360"/>
          <w:marRight w:val="0"/>
          <w:marTop w:val="0"/>
          <w:marBottom w:val="0"/>
          <w:divBdr>
            <w:top w:val="none" w:sz="0" w:space="0" w:color="auto"/>
            <w:left w:val="none" w:sz="0" w:space="0" w:color="auto"/>
            <w:bottom w:val="none" w:sz="0" w:space="0" w:color="auto"/>
            <w:right w:val="none" w:sz="0" w:space="0" w:color="auto"/>
          </w:divBdr>
        </w:div>
        <w:div w:id="1093824177">
          <w:marLeft w:val="360"/>
          <w:marRight w:val="0"/>
          <w:marTop w:val="0"/>
          <w:marBottom w:val="0"/>
          <w:divBdr>
            <w:top w:val="none" w:sz="0" w:space="0" w:color="auto"/>
            <w:left w:val="none" w:sz="0" w:space="0" w:color="auto"/>
            <w:bottom w:val="none" w:sz="0" w:space="0" w:color="auto"/>
            <w:right w:val="none" w:sz="0" w:space="0" w:color="auto"/>
          </w:divBdr>
        </w:div>
        <w:div w:id="1296524141">
          <w:marLeft w:val="360"/>
          <w:marRight w:val="0"/>
          <w:marTop w:val="0"/>
          <w:marBottom w:val="0"/>
          <w:divBdr>
            <w:top w:val="none" w:sz="0" w:space="0" w:color="auto"/>
            <w:left w:val="none" w:sz="0" w:space="0" w:color="auto"/>
            <w:bottom w:val="none" w:sz="0" w:space="0" w:color="auto"/>
            <w:right w:val="none" w:sz="0" w:space="0" w:color="auto"/>
          </w:divBdr>
        </w:div>
        <w:div w:id="1580940195">
          <w:marLeft w:val="360"/>
          <w:marRight w:val="0"/>
          <w:marTop w:val="0"/>
          <w:marBottom w:val="0"/>
          <w:divBdr>
            <w:top w:val="none" w:sz="0" w:space="0" w:color="auto"/>
            <w:left w:val="none" w:sz="0" w:space="0" w:color="auto"/>
            <w:bottom w:val="none" w:sz="0" w:space="0" w:color="auto"/>
            <w:right w:val="none" w:sz="0" w:space="0" w:color="auto"/>
          </w:divBdr>
        </w:div>
        <w:div w:id="2076662831">
          <w:marLeft w:val="360"/>
          <w:marRight w:val="0"/>
          <w:marTop w:val="0"/>
          <w:marBottom w:val="0"/>
          <w:divBdr>
            <w:top w:val="none" w:sz="0" w:space="0" w:color="auto"/>
            <w:left w:val="none" w:sz="0" w:space="0" w:color="auto"/>
            <w:bottom w:val="none" w:sz="0" w:space="0" w:color="auto"/>
            <w:right w:val="none" w:sz="0" w:space="0" w:color="auto"/>
          </w:divBdr>
        </w:div>
      </w:divsChild>
    </w:div>
    <w:div w:id="1146313012">
      <w:bodyDiv w:val="1"/>
      <w:marLeft w:val="0"/>
      <w:marRight w:val="0"/>
      <w:marTop w:val="0"/>
      <w:marBottom w:val="0"/>
      <w:divBdr>
        <w:top w:val="none" w:sz="0" w:space="0" w:color="auto"/>
        <w:left w:val="none" w:sz="0" w:space="0" w:color="auto"/>
        <w:bottom w:val="none" w:sz="0" w:space="0" w:color="auto"/>
        <w:right w:val="none" w:sz="0" w:space="0" w:color="auto"/>
      </w:divBdr>
      <w:divsChild>
        <w:div w:id="187567176">
          <w:marLeft w:val="0"/>
          <w:marRight w:val="0"/>
          <w:marTop w:val="0"/>
          <w:marBottom w:val="0"/>
          <w:divBdr>
            <w:top w:val="none" w:sz="0" w:space="0" w:color="auto"/>
            <w:left w:val="none" w:sz="0" w:space="0" w:color="auto"/>
            <w:bottom w:val="none" w:sz="0" w:space="0" w:color="auto"/>
            <w:right w:val="none" w:sz="0" w:space="0" w:color="auto"/>
          </w:divBdr>
        </w:div>
        <w:div w:id="1664159968">
          <w:marLeft w:val="0"/>
          <w:marRight w:val="0"/>
          <w:marTop w:val="0"/>
          <w:marBottom w:val="0"/>
          <w:divBdr>
            <w:top w:val="single" w:sz="2" w:space="0" w:color="D9D9E3"/>
            <w:left w:val="single" w:sz="2" w:space="0" w:color="D9D9E3"/>
            <w:bottom w:val="single" w:sz="2" w:space="0" w:color="D9D9E3"/>
            <w:right w:val="single" w:sz="2" w:space="0" w:color="D9D9E3"/>
          </w:divBdr>
          <w:divsChild>
            <w:div w:id="1972397886">
              <w:marLeft w:val="0"/>
              <w:marRight w:val="0"/>
              <w:marTop w:val="0"/>
              <w:marBottom w:val="0"/>
              <w:divBdr>
                <w:top w:val="single" w:sz="2" w:space="0" w:color="D9D9E3"/>
                <w:left w:val="single" w:sz="2" w:space="0" w:color="D9D9E3"/>
                <w:bottom w:val="single" w:sz="2" w:space="0" w:color="D9D9E3"/>
                <w:right w:val="single" w:sz="2" w:space="0" w:color="D9D9E3"/>
              </w:divBdr>
              <w:divsChild>
                <w:div w:id="1431506354">
                  <w:marLeft w:val="0"/>
                  <w:marRight w:val="0"/>
                  <w:marTop w:val="0"/>
                  <w:marBottom w:val="0"/>
                  <w:divBdr>
                    <w:top w:val="single" w:sz="2" w:space="0" w:color="D9D9E3"/>
                    <w:left w:val="single" w:sz="2" w:space="0" w:color="D9D9E3"/>
                    <w:bottom w:val="single" w:sz="2" w:space="0" w:color="D9D9E3"/>
                    <w:right w:val="single" w:sz="2" w:space="0" w:color="D9D9E3"/>
                  </w:divBdr>
                  <w:divsChild>
                    <w:div w:id="788475859">
                      <w:marLeft w:val="0"/>
                      <w:marRight w:val="0"/>
                      <w:marTop w:val="0"/>
                      <w:marBottom w:val="0"/>
                      <w:divBdr>
                        <w:top w:val="single" w:sz="2" w:space="0" w:color="D9D9E3"/>
                        <w:left w:val="single" w:sz="2" w:space="0" w:color="D9D9E3"/>
                        <w:bottom w:val="single" w:sz="2" w:space="0" w:color="D9D9E3"/>
                        <w:right w:val="single" w:sz="2" w:space="0" w:color="D9D9E3"/>
                      </w:divBdr>
                      <w:divsChild>
                        <w:div w:id="196896656">
                          <w:marLeft w:val="0"/>
                          <w:marRight w:val="0"/>
                          <w:marTop w:val="0"/>
                          <w:marBottom w:val="0"/>
                          <w:divBdr>
                            <w:top w:val="none" w:sz="0" w:space="0" w:color="auto"/>
                            <w:left w:val="none" w:sz="0" w:space="0" w:color="auto"/>
                            <w:bottom w:val="none" w:sz="0" w:space="0" w:color="auto"/>
                            <w:right w:val="none" w:sz="0" w:space="0" w:color="auto"/>
                          </w:divBdr>
                          <w:divsChild>
                            <w:div w:id="57169837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2639393">
                                  <w:marLeft w:val="0"/>
                                  <w:marRight w:val="0"/>
                                  <w:marTop w:val="0"/>
                                  <w:marBottom w:val="0"/>
                                  <w:divBdr>
                                    <w:top w:val="single" w:sz="2" w:space="0" w:color="D9D9E3"/>
                                    <w:left w:val="single" w:sz="2" w:space="0" w:color="D9D9E3"/>
                                    <w:bottom w:val="single" w:sz="2" w:space="0" w:color="D9D9E3"/>
                                    <w:right w:val="single" w:sz="2" w:space="0" w:color="D9D9E3"/>
                                  </w:divBdr>
                                  <w:divsChild>
                                    <w:div w:id="561792528">
                                      <w:marLeft w:val="0"/>
                                      <w:marRight w:val="0"/>
                                      <w:marTop w:val="0"/>
                                      <w:marBottom w:val="0"/>
                                      <w:divBdr>
                                        <w:top w:val="single" w:sz="2" w:space="0" w:color="D9D9E3"/>
                                        <w:left w:val="single" w:sz="2" w:space="0" w:color="D9D9E3"/>
                                        <w:bottom w:val="single" w:sz="2" w:space="0" w:color="D9D9E3"/>
                                        <w:right w:val="single" w:sz="2" w:space="0" w:color="D9D9E3"/>
                                      </w:divBdr>
                                      <w:divsChild>
                                        <w:div w:id="1188789731">
                                          <w:marLeft w:val="0"/>
                                          <w:marRight w:val="0"/>
                                          <w:marTop w:val="0"/>
                                          <w:marBottom w:val="0"/>
                                          <w:divBdr>
                                            <w:top w:val="single" w:sz="2" w:space="0" w:color="D9D9E3"/>
                                            <w:left w:val="single" w:sz="2" w:space="0" w:color="D9D9E3"/>
                                            <w:bottom w:val="single" w:sz="2" w:space="0" w:color="D9D9E3"/>
                                            <w:right w:val="single" w:sz="2" w:space="0" w:color="D9D9E3"/>
                                          </w:divBdr>
                                          <w:divsChild>
                                            <w:div w:id="1993874679">
                                              <w:marLeft w:val="0"/>
                                              <w:marRight w:val="0"/>
                                              <w:marTop w:val="0"/>
                                              <w:marBottom w:val="0"/>
                                              <w:divBdr>
                                                <w:top w:val="single" w:sz="2" w:space="0" w:color="D9D9E3"/>
                                                <w:left w:val="single" w:sz="2" w:space="0" w:color="D9D9E3"/>
                                                <w:bottom w:val="single" w:sz="2" w:space="0" w:color="D9D9E3"/>
                                                <w:right w:val="single" w:sz="2" w:space="0" w:color="D9D9E3"/>
                                              </w:divBdr>
                                              <w:divsChild>
                                                <w:div w:id="666521959">
                                                  <w:marLeft w:val="0"/>
                                                  <w:marRight w:val="0"/>
                                                  <w:marTop w:val="0"/>
                                                  <w:marBottom w:val="0"/>
                                                  <w:divBdr>
                                                    <w:top w:val="single" w:sz="2" w:space="0" w:color="D9D9E3"/>
                                                    <w:left w:val="single" w:sz="2" w:space="0" w:color="D9D9E3"/>
                                                    <w:bottom w:val="single" w:sz="2" w:space="0" w:color="D9D9E3"/>
                                                    <w:right w:val="single" w:sz="2" w:space="0" w:color="D9D9E3"/>
                                                  </w:divBdr>
                                                  <w:divsChild>
                                                    <w:div w:id="2019497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147630149">
      <w:bodyDiv w:val="1"/>
      <w:marLeft w:val="0"/>
      <w:marRight w:val="0"/>
      <w:marTop w:val="0"/>
      <w:marBottom w:val="0"/>
      <w:divBdr>
        <w:top w:val="none" w:sz="0" w:space="0" w:color="auto"/>
        <w:left w:val="none" w:sz="0" w:space="0" w:color="auto"/>
        <w:bottom w:val="none" w:sz="0" w:space="0" w:color="auto"/>
        <w:right w:val="none" w:sz="0" w:space="0" w:color="auto"/>
      </w:divBdr>
    </w:div>
    <w:div w:id="1155294279">
      <w:bodyDiv w:val="1"/>
      <w:marLeft w:val="0"/>
      <w:marRight w:val="0"/>
      <w:marTop w:val="0"/>
      <w:marBottom w:val="0"/>
      <w:divBdr>
        <w:top w:val="none" w:sz="0" w:space="0" w:color="auto"/>
        <w:left w:val="none" w:sz="0" w:space="0" w:color="auto"/>
        <w:bottom w:val="none" w:sz="0" w:space="0" w:color="auto"/>
        <w:right w:val="none" w:sz="0" w:space="0" w:color="auto"/>
      </w:divBdr>
    </w:div>
    <w:div w:id="1174687477">
      <w:bodyDiv w:val="1"/>
      <w:marLeft w:val="0"/>
      <w:marRight w:val="0"/>
      <w:marTop w:val="0"/>
      <w:marBottom w:val="0"/>
      <w:divBdr>
        <w:top w:val="none" w:sz="0" w:space="0" w:color="auto"/>
        <w:left w:val="none" w:sz="0" w:space="0" w:color="auto"/>
        <w:bottom w:val="none" w:sz="0" w:space="0" w:color="auto"/>
        <w:right w:val="none" w:sz="0" w:space="0" w:color="auto"/>
      </w:divBdr>
      <w:divsChild>
        <w:div w:id="84307294">
          <w:marLeft w:val="547"/>
          <w:marRight w:val="0"/>
          <w:marTop w:val="40"/>
          <w:marBottom w:val="0"/>
          <w:divBdr>
            <w:top w:val="none" w:sz="0" w:space="0" w:color="auto"/>
            <w:left w:val="none" w:sz="0" w:space="0" w:color="auto"/>
            <w:bottom w:val="none" w:sz="0" w:space="0" w:color="auto"/>
            <w:right w:val="none" w:sz="0" w:space="0" w:color="auto"/>
          </w:divBdr>
        </w:div>
        <w:div w:id="1089346303">
          <w:marLeft w:val="547"/>
          <w:marRight w:val="0"/>
          <w:marTop w:val="40"/>
          <w:marBottom w:val="0"/>
          <w:divBdr>
            <w:top w:val="none" w:sz="0" w:space="0" w:color="auto"/>
            <w:left w:val="none" w:sz="0" w:space="0" w:color="auto"/>
            <w:bottom w:val="none" w:sz="0" w:space="0" w:color="auto"/>
            <w:right w:val="none" w:sz="0" w:space="0" w:color="auto"/>
          </w:divBdr>
        </w:div>
      </w:divsChild>
    </w:div>
    <w:div w:id="1176769335">
      <w:bodyDiv w:val="1"/>
      <w:marLeft w:val="0"/>
      <w:marRight w:val="0"/>
      <w:marTop w:val="0"/>
      <w:marBottom w:val="0"/>
      <w:divBdr>
        <w:top w:val="none" w:sz="0" w:space="0" w:color="auto"/>
        <w:left w:val="none" w:sz="0" w:space="0" w:color="auto"/>
        <w:bottom w:val="none" w:sz="0" w:space="0" w:color="auto"/>
        <w:right w:val="none" w:sz="0" w:space="0" w:color="auto"/>
      </w:divBdr>
    </w:div>
    <w:div w:id="1184514280">
      <w:bodyDiv w:val="1"/>
      <w:marLeft w:val="0"/>
      <w:marRight w:val="0"/>
      <w:marTop w:val="0"/>
      <w:marBottom w:val="0"/>
      <w:divBdr>
        <w:top w:val="none" w:sz="0" w:space="0" w:color="auto"/>
        <w:left w:val="none" w:sz="0" w:space="0" w:color="auto"/>
        <w:bottom w:val="none" w:sz="0" w:space="0" w:color="auto"/>
        <w:right w:val="none" w:sz="0" w:space="0" w:color="auto"/>
      </w:divBdr>
    </w:div>
    <w:div w:id="1201747711">
      <w:bodyDiv w:val="1"/>
      <w:marLeft w:val="0"/>
      <w:marRight w:val="0"/>
      <w:marTop w:val="0"/>
      <w:marBottom w:val="0"/>
      <w:divBdr>
        <w:top w:val="none" w:sz="0" w:space="0" w:color="auto"/>
        <w:left w:val="none" w:sz="0" w:space="0" w:color="auto"/>
        <w:bottom w:val="none" w:sz="0" w:space="0" w:color="auto"/>
        <w:right w:val="none" w:sz="0" w:space="0" w:color="auto"/>
      </w:divBdr>
    </w:div>
    <w:div w:id="1220092078">
      <w:bodyDiv w:val="1"/>
      <w:marLeft w:val="0"/>
      <w:marRight w:val="0"/>
      <w:marTop w:val="0"/>
      <w:marBottom w:val="0"/>
      <w:divBdr>
        <w:top w:val="none" w:sz="0" w:space="0" w:color="auto"/>
        <w:left w:val="none" w:sz="0" w:space="0" w:color="auto"/>
        <w:bottom w:val="none" w:sz="0" w:space="0" w:color="auto"/>
        <w:right w:val="none" w:sz="0" w:space="0" w:color="auto"/>
      </w:divBdr>
    </w:div>
    <w:div w:id="1234660594">
      <w:bodyDiv w:val="1"/>
      <w:marLeft w:val="0"/>
      <w:marRight w:val="0"/>
      <w:marTop w:val="0"/>
      <w:marBottom w:val="0"/>
      <w:divBdr>
        <w:top w:val="none" w:sz="0" w:space="0" w:color="auto"/>
        <w:left w:val="none" w:sz="0" w:space="0" w:color="auto"/>
        <w:bottom w:val="none" w:sz="0" w:space="0" w:color="auto"/>
        <w:right w:val="none" w:sz="0" w:space="0" w:color="auto"/>
      </w:divBdr>
    </w:div>
    <w:div w:id="1252660474">
      <w:bodyDiv w:val="1"/>
      <w:marLeft w:val="0"/>
      <w:marRight w:val="0"/>
      <w:marTop w:val="0"/>
      <w:marBottom w:val="0"/>
      <w:divBdr>
        <w:top w:val="none" w:sz="0" w:space="0" w:color="auto"/>
        <w:left w:val="none" w:sz="0" w:space="0" w:color="auto"/>
        <w:bottom w:val="none" w:sz="0" w:space="0" w:color="auto"/>
        <w:right w:val="none" w:sz="0" w:space="0" w:color="auto"/>
      </w:divBdr>
    </w:div>
    <w:div w:id="1260600390">
      <w:bodyDiv w:val="1"/>
      <w:marLeft w:val="0"/>
      <w:marRight w:val="0"/>
      <w:marTop w:val="0"/>
      <w:marBottom w:val="0"/>
      <w:divBdr>
        <w:top w:val="none" w:sz="0" w:space="0" w:color="auto"/>
        <w:left w:val="none" w:sz="0" w:space="0" w:color="auto"/>
        <w:bottom w:val="none" w:sz="0" w:space="0" w:color="auto"/>
        <w:right w:val="none" w:sz="0" w:space="0" w:color="auto"/>
      </w:divBdr>
    </w:div>
    <w:div w:id="1264462834">
      <w:bodyDiv w:val="1"/>
      <w:marLeft w:val="0"/>
      <w:marRight w:val="0"/>
      <w:marTop w:val="0"/>
      <w:marBottom w:val="0"/>
      <w:divBdr>
        <w:top w:val="none" w:sz="0" w:space="0" w:color="auto"/>
        <w:left w:val="none" w:sz="0" w:space="0" w:color="auto"/>
        <w:bottom w:val="none" w:sz="0" w:space="0" w:color="auto"/>
        <w:right w:val="none" w:sz="0" w:space="0" w:color="auto"/>
      </w:divBdr>
    </w:div>
    <w:div w:id="1274092884">
      <w:bodyDiv w:val="1"/>
      <w:marLeft w:val="0"/>
      <w:marRight w:val="0"/>
      <w:marTop w:val="0"/>
      <w:marBottom w:val="0"/>
      <w:divBdr>
        <w:top w:val="none" w:sz="0" w:space="0" w:color="auto"/>
        <w:left w:val="none" w:sz="0" w:space="0" w:color="auto"/>
        <w:bottom w:val="none" w:sz="0" w:space="0" w:color="auto"/>
        <w:right w:val="none" w:sz="0" w:space="0" w:color="auto"/>
      </w:divBdr>
    </w:div>
    <w:div w:id="1280065992">
      <w:bodyDiv w:val="1"/>
      <w:marLeft w:val="0"/>
      <w:marRight w:val="0"/>
      <w:marTop w:val="0"/>
      <w:marBottom w:val="0"/>
      <w:divBdr>
        <w:top w:val="none" w:sz="0" w:space="0" w:color="auto"/>
        <w:left w:val="none" w:sz="0" w:space="0" w:color="auto"/>
        <w:bottom w:val="none" w:sz="0" w:space="0" w:color="auto"/>
        <w:right w:val="none" w:sz="0" w:space="0" w:color="auto"/>
      </w:divBdr>
      <w:divsChild>
        <w:div w:id="1157115696">
          <w:marLeft w:val="1080"/>
          <w:marRight w:val="0"/>
          <w:marTop w:val="100"/>
          <w:marBottom w:val="0"/>
          <w:divBdr>
            <w:top w:val="none" w:sz="0" w:space="0" w:color="auto"/>
            <w:left w:val="none" w:sz="0" w:space="0" w:color="auto"/>
            <w:bottom w:val="none" w:sz="0" w:space="0" w:color="auto"/>
            <w:right w:val="none" w:sz="0" w:space="0" w:color="auto"/>
          </w:divBdr>
        </w:div>
        <w:div w:id="2064787006">
          <w:marLeft w:val="1080"/>
          <w:marRight w:val="0"/>
          <w:marTop w:val="100"/>
          <w:marBottom w:val="0"/>
          <w:divBdr>
            <w:top w:val="none" w:sz="0" w:space="0" w:color="auto"/>
            <w:left w:val="none" w:sz="0" w:space="0" w:color="auto"/>
            <w:bottom w:val="none" w:sz="0" w:space="0" w:color="auto"/>
            <w:right w:val="none" w:sz="0" w:space="0" w:color="auto"/>
          </w:divBdr>
        </w:div>
        <w:div w:id="551767648">
          <w:marLeft w:val="1800"/>
          <w:marRight w:val="0"/>
          <w:marTop w:val="100"/>
          <w:marBottom w:val="0"/>
          <w:divBdr>
            <w:top w:val="none" w:sz="0" w:space="0" w:color="auto"/>
            <w:left w:val="none" w:sz="0" w:space="0" w:color="auto"/>
            <w:bottom w:val="none" w:sz="0" w:space="0" w:color="auto"/>
            <w:right w:val="none" w:sz="0" w:space="0" w:color="auto"/>
          </w:divBdr>
        </w:div>
      </w:divsChild>
    </w:div>
    <w:div w:id="1286812771">
      <w:bodyDiv w:val="1"/>
      <w:marLeft w:val="0"/>
      <w:marRight w:val="0"/>
      <w:marTop w:val="0"/>
      <w:marBottom w:val="0"/>
      <w:divBdr>
        <w:top w:val="none" w:sz="0" w:space="0" w:color="auto"/>
        <w:left w:val="none" w:sz="0" w:space="0" w:color="auto"/>
        <w:bottom w:val="none" w:sz="0" w:space="0" w:color="auto"/>
        <w:right w:val="none" w:sz="0" w:space="0" w:color="auto"/>
      </w:divBdr>
      <w:divsChild>
        <w:div w:id="1077366993">
          <w:marLeft w:val="0"/>
          <w:marRight w:val="0"/>
          <w:marTop w:val="0"/>
          <w:marBottom w:val="120"/>
          <w:divBdr>
            <w:top w:val="none" w:sz="0" w:space="0" w:color="auto"/>
            <w:left w:val="none" w:sz="0" w:space="0" w:color="auto"/>
            <w:bottom w:val="none" w:sz="0" w:space="0" w:color="auto"/>
            <w:right w:val="none" w:sz="0" w:space="0" w:color="auto"/>
          </w:divBdr>
        </w:div>
        <w:div w:id="1587767135">
          <w:marLeft w:val="0"/>
          <w:marRight w:val="0"/>
          <w:marTop w:val="0"/>
          <w:marBottom w:val="120"/>
          <w:divBdr>
            <w:top w:val="none" w:sz="0" w:space="0" w:color="auto"/>
            <w:left w:val="none" w:sz="0" w:space="0" w:color="auto"/>
            <w:bottom w:val="none" w:sz="0" w:space="0" w:color="auto"/>
            <w:right w:val="none" w:sz="0" w:space="0" w:color="auto"/>
          </w:divBdr>
        </w:div>
      </w:divsChild>
    </w:div>
    <w:div w:id="1312178071">
      <w:bodyDiv w:val="1"/>
      <w:marLeft w:val="0"/>
      <w:marRight w:val="0"/>
      <w:marTop w:val="0"/>
      <w:marBottom w:val="0"/>
      <w:divBdr>
        <w:top w:val="none" w:sz="0" w:space="0" w:color="auto"/>
        <w:left w:val="none" w:sz="0" w:space="0" w:color="auto"/>
        <w:bottom w:val="none" w:sz="0" w:space="0" w:color="auto"/>
        <w:right w:val="none" w:sz="0" w:space="0" w:color="auto"/>
      </w:divBdr>
    </w:div>
    <w:div w:id="1324159067">
      <w:bodyDiv w:val="1"/>
      <w:marLeft w:val="0"/>
      <w:marRight w:val="0"/>
      <w:marTop w:val="0"/>
      <w:marBottom w:val="0"/>
      <w:divBdr>
        <w:top w:val="none" w:sz="0" w:space="0" w:color="auto"/>
        <w:left w:val="none" w:sz="0" w:space="0" w:color="auto"/>
        <w:bottom w:val="none" w:sz="0" w:space="0" w:color="auto"/>
        <w:right w:val="none" w:sz="0" w:space="0" w:color="auto"/>
      </w:divBdr>
    </w:div>
    <w:div w:id="1341421792">
      <w:bodyDiv w:val="1"/>
      <w:marLeft w:val="0"/>
      <w:marRight w:val="0"/>
      <w:marTop w:val="0"/>
      <w:marBottom w:val="0"/>
      <w:divBdr>
        <w:top w:val="none" w:sz="0" w:space="0" w:color="auto"/>
        <w:left w:val="none" w:sz="0" w:space="0" w:color="auto"/>
        <w:bottom w:val="none" w:sz="0" w:space="0" w:color="auto"/>
        <w:right w:val="none" w:sz="0" w:space="0" w:color="auto"/>
      </w:divBdr>
      <w:divsChild>
        <w:div w:id="2032220757">
          <w:marLeft w:val="547"/>
          <w:marRight w:val="0"/>
          <w:marTop w:val="200"/>
          <w:marBottom w:val="0"/>
          <w:divBdr>
            <w:top w:val="none" w:sz="0" w:space="0" w:color="auto"/>
            <w:left w:val="none" w:sz="0" w:space="0" w:color="auto"/>
            <w:bottom w:val="none" w:sz="0" w:space="0" w:color="auto"/>
            <w:right w:val="none" w:sz="0" w:space="0" w:color="auto"/>
          </w:divBdr>
        </w:div>
        <w:div w:id="1911034786">
          <w:marLeft w:val="1080"/>
          <w:marRight w:val="0"/>
          <w:marTop w:val="100"/>
          <w:marBottom w:val="0"/>
          <w:divBdr>
            <w:top w:val="none" w:sz="0" w:space="0" w:color="auto"/>
            <w:left w:val="none" w:sz="0" w:space="0" w:color="auto"/>
            <w:bottom w:val="none" w:sz="0" w:space="0" w:color="auto"/>
            <w:right w:val="none" w:sz="0" w:space="0" w:color="auto"/>
          </w:divBdr>
        </w:div>
        <w:div w:id="367990086">
          <w:marLeft w:val="547"/>
          <w:marRight w:val="0"/>
          <w:marTop w:val="200"/>
          <w:marBottom w:val="0"/>
          <w:divBdr>
            <w:top w:val="none" w:sz="0" w:space="0" w:color="auto"/>
            <w:left w:val="none" w:sz="0" w:space="0" w:color="auto"/>
            <w:bottom w:val="none" w:sz="0" w:space="0" w:color="auto"/>
            <w:right w:val="none" w:sz="0" w:space="0" w:color="auto"/>
          </w:divBdr>
        </w:div>
        <w:div w:id="1477602741">
          <w:marLeft w:val="1080"/>
          <w:marRight w:val="0"/>
          <w:marTop w:val="100"/>
          <w:marBottom w:val="0"/>
          <w:divBdr>
            <w:top w:val="none" w:sz="0" w:space="0" w:color="auto"/>
            <w:left w:val="none" w:sz="0" w:space="0" w:color="auto"/>
            <w:bottom w:val="none" w:sz="0" w:space="0" w:color="auto"/>
            <w:right w:val="none" w:sz="0" w:space="0" w:color="auto"/>
          </w:divBdr>
        </w:div>
        <w:div w:id="647057334">
          <w:marLeft w:val="1080"/>
          <w:marRight w:val="0"/>
          <w:marTop w:val="100"/>
          <w:marBottom w:val="0"/>
          <w:divBdr>
            <w:top w:val="none" w:sz="0" w:space="0" w:color="auto"/>
            <w:left w:val="none" w:sz="0" w:space="0" w:color="auto"/>
            <w:bottom w:val="none" w:sz="0" w:space="0" w:color="auto"/>
            <w:right w:val="none" w:sz="0" w:space="0" w:color="auto"/>
          </w:divBdr>
        </w:div>
        <w:div w:id="279991340">
          <w:marLeft w:val="547"/>
          <w:marRight w:val="0"/>
          <w:marTop w:val="200"/>
          <w:marBottom w:val="0"/>
          <w:divBdr>
            <w:top w:val="none" w:sz="0" w:space="0" w:color="auto"/>
            <w:left w:val="none" w:sz="0" w:space="0" w:color="auto"/>
            <w:bottom w:val="none" w:sz="0" w:space="0" w:color="auto"/>
            <w:right w:val="none" w:sz="0" w:space="0" w:color="auto"/>
          </w:divBdr>
        </w:div>
        <w:div w:id="2142838580">
          <w:marLeft w:val="1080"/>
          <w:marRight w:val="0"/>
          <w:marTop w:val="100"/>
          <w:marBottom w:val="0"/>
          <w:divBdr>
            <w:top w:val="none" w:sz="0" w:space="0" w:color="auto"/>
            <w:left w:val="none" w:sz="0" w:space="0" w:color="auto"/>
            <w:bottom w:val="none" w:sz="0" w:space="0" w:color="auto"/>
            <w:right w:val="none" w:sz="0" w:space="0" w:color="auto"/>
          </w:divBdr>
        </w:div>
        <w:div w:id="886448960">
          <w:marLeft w:val="1080"/>
          <w:marRight w:val="0"/>
          <w:marTop w:val="100"/>
          <w:marBottom w:val="0"/>
          <w:divBdr>
            <w:top w:val="none" w:sz="0" w:space="0" w:color="auto"/>
            <w:left w:val="none" w:sz="0" w:space="0" w:color="auto"/>
            <w:bottom w:val="none" w:sz="0" w:space="0" w:color="auto"/>
            <w:right w:val="none" w:sz="0" w:space="0" w:color="auto"/>
          </w:divBdr>
        </w:div>
        <w:div w:id="290088535">
          <w:marLeft w:val="1080"/>
          <w:marRight w:val="0"/>
          <w:marTop w:val="100"/>
          <w:marBottom w:val="0"/>
          <w:divBdr>
            <w:top w:val="none" w:sz="0" w:space="0" w:color="auto"/>
            <w:left w:val="none" w:sz="0" w:space="0" w:color="auto"/>
            <w:bottom w:val="none" w:sz="0" w:space="0" w:color="auto"/>
            <w:right w:val="none" w:sz="0" w:space="0" w:color="auto"/>
          </w:divBdr>
        </w:div>
      </w:divsChild>
    </w:div>
    <w:div w:id="1341854130">
      <w:bodyDiv w:val="1"/>
      <w:marLeft w:val="0"/>
      <w:marRight w:val="0"/>
      <w:marTop w:val="0"/>
      <w:marBottom w:val="0"/>
      <w:divBdr>
        <w:top w:val="none" w:sz="0" w:space="0" w:color="auto"/>
        <w:left w:val="none" w:sz="0" w:space="0" w:color="auto"/>
        <w:bottom w:val="none" w:sz="0" w:space="0" w:color="auto"/>
        <w:right w:val="none" w:sz="0" w:space="0" w:color="auto"/>
      </w:divBdr>
      <w:divsChild>
        <w:div w:id="1110971605">
          <w:marLeft w:val="0"/>
          <w:marRight w:val="0"/>
          <w:marTop w:val="0"/>
          <w:marBottom w:val="0"/>
          <w:divBdr>
            <w:top w:val="single" w:sz="2" w:space="0" w:color="D9D9E3"/>
            <w:left w:val="single" w:sz="2" w:space="0" w:color="D9D9E3"/>
            <w:bottom w:val="single" w:sz="2" w:space="0" w:color="D9D9E3"/>
            <w:right w:val="single" w:sz="2" w:space="0" w:color="D9D9E3"/>
          </w:divBdr>
          <w:divsChild>
            <w:div w:id="1838227029">
              <w:marLeft w:val="0"/>
              <w:marRight w:val="0"/>
              <w:marTop w:val="0"/>
              <w:marBottom w:val="0"/>
              <w:divBdr>
                <w:top w:val="single" w:sz="2" w:space="0" w:color="D9D9E3"/>
                <w:left w:val="single" w:sz="2" w:space="0" w:color="D9D9E3"/>
                <w:bottom w:val="single" w:sz="2" w:space="0" w:color="D9D9E3"/>
                <w:right w:val="single" w:sz="2" w:space="0" w:color="D9D9E3"/>
              </w:divBdr>
              <w:divsChild>
                <w:div w:id="1427186967">
                  <w:marLeft w:val="0"/>
                  <w:marRight w:val="0"/>
                  <w:marTop w:val="0"/>
                  <w:marBottom w:val="0"/>
                  <w:divBdr>
                    <w:top w:val="single" w:sz="2" w:space="0" w:color="D9D9E3"/>
                    <w:left w:val="single" w:sz="2" w:space="0" w:color="D9D9E3"/>
                    <w:bottom w:val="single" w:sz="2" w:space="0" w:color="D9D9E3"/>
                    <w:right w:val="single" w:sz="2" w:space="0" w:color="D9D9E3"/>
                  </w:divBdr>
                  <w:divsChild>
                    <w:div w:id="1584532810">
                      <w:marLeft w:val="0"/>
                      <w:marRight w:val="0"/>
                      <w:marTop w:val="0"/>
                      <w:marBottom w:val="0"/>
                      <w:divBdr>
                        <w:top w:val="single" w:sz="2" w:space="0" w:color="D9D9E3"/>
                        <w:left w:val="single" w:sz="2" w:space="0" w:color="D9D9E3"/>
                        <w:bottom w:val="single" w:sz="2" w:space="0" w:color="D9D9E3"/>
                        <w:right w:val="single" w:sz="2" w:space="0" w:color="D9D9E3"/>
                      </w:divBdr>
                      <w:divsChild>
                        <w:div w:id="1851486105">
                          <w:marLeft w:val="0"/>
                          <w:marRight w:val="0"/>
                          <w:marTop w:val="0"/>
                          <w:marBottom w:val="0"/>
                          <w:divBdr>
                            <w:top w:val="none" w:sz="0" w:space="0" w:color="auto"/>
                            <w:left w:val="none" w:sz="0" w:space="0" w:color="auto"/>
                            <w:bottom w:val="none" w:sz="0" w:space="0" w:color="auto"/>
                            <w:right w:val="none" w:sz="0" w:space="0" w:color="auto"/>
                          </w:divBdr>
                          <w:divsChild>
                            <w:div w:id="3880000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9938440">
                                  <w:marLeft w:val="0"/>
                                  <w:marRight w:val="0"/>
                                  <w:marTop w:val="0"/>
                                  <w:marBottom w:val="0"/>
                                  <w:divBdr>
                                    <w:top w:val="single" w:sz="2" w:space="0" w:color="D9D9E3"/>
                                    <w:left w:val="single" w:sz="2" w:space="0" w:color="D9D9E3"/>
                                    <w:bottom w:val="single" w:sz="2" w:space="0" w:color="D9D9E3"/>
                                    <w:right w:val="single" w:sz="2" w:space="0" w:color="D9D9E3"/>
                                  </w:divBdr>
                                  <w:divsChild>
                                    <w:div w:id="1746537030">
                                      <w:marLeft w:val="0"/>
                                      <w:marRight w:val="0"/>
                                      <w:marTop w:val="0"/>
                                      <w:marBottom w:val="0"/>
                                      <w:divBdr>
                                        <w:top w:val="single" w:sz="2" w:space="0" w:color="D9D9E3"/>
                                        <w:left w:val="single" w:sz="2" w:space="0" w:color="D9D9E3"/>
                                        <w:bottom w:val="single" w:sz="2" w:space="0" w:color="D9D9E3"/>
                                        <w:right w:val="single" w:sz="2" w:space="0" w:color="D9D9E3"/>
                                      </w:divBdr>
                                      <w:divsChild>
                                        <w:div w:id="746611528">
                                          <w:marLeft w:val="0"/>
                                          <w:marRight w:val="0"/>
                                          <w:marTop w:val="0"/>
                                          <w:marBottom w:val="0"/>
                                          <w:divBdr>
                                            <w:top w:val="single" w:sz="2" w:space="0" w:color="D9D9E3"/>
                                            <w:left w:val="single" w:sz="2" w:space="0" w:color="D9D9E3"/>
                                            <w:bottom w:val="single" w:sz="2" w:space="0" w:color="D9D9E3"/>
                                            <w:right w:val="single" w:sz="2" w:space="0" w:color="D9D9E3"/>
                                          </w:divBdr>
                                          <w:divsChild>
                                            <w:div w:id="758064876">
                                              <w:marLeft w:val="0"/>
                                              <w:marRight w:val="0"/>
                                              <w:marTop w:val="0"/>
                                              <w:marBottom w:val="0"/>
                                              <w:divBdr>
                                                <w:top w:val="single" w:sz="2" w:space="0" w:color="D9D9E3"/>
                                                <w:left w:val="single" w:sz="2" w:space="0" w:color="D9D9E3"/>
                                                <w:bottom w:val="single" w:sz="2" w:space="0" w:color="D9D9E3"/>
                                                <w:right w:val="single" w:sz="2" w:space="0" w:color="D9D9E3"/>
                                              </w:divBdr>
                                              <w:divsChild>
                                                <w:div w:id="401998052">
                                                  <w:marLeft w:val="0"/>
                                                  <w:marRight w:val="0"/>
                                                  <w:marTop w:val="0"/>
                                                  <w:marBottom w:val="0"/>
                                                  <w:divBdr>
                                                    <w:top w:val="single" w:sz="2" w:space="0" w:color="D9D9E3"/>
                                                    <w:left w:val="single" w:sz="2" w:space="0" w:color="D9D9E3"/>
                                                    <w:bottom w:val="single" w:sz="2" w:space="0" w:color="D9D9E3"/>
                                                    <w:right w:val="single" w:sz="2" w:space="0" w:color="D9D9E3"/>
                                                  </w:divBdr>
                                                  <w:divsChild>
                                                    <w:div w:id="2002658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1922604">
          <w:marLeft w:val="0"/>
          <w:marRight w:val="0"/>
          <w:marTop w:val="0"/>
          <w:marBottom w:val="0"/>
          <w:divBdr>
            <w:top w:val="none" w:sz="0" w:space="0" w:color="auto"/>
            <w:left w:val="none" w:sz="0" w:space="0" w:color="auto"/>
            <w:bottom w:val="none" w:sz="0" w:space="0" w:color="auto"/>
            <w:right w:val="none" w:sz="0" w:space="0" w:color="auto"/>
          </w:divBdr>
        </w:div>
      </w:divsChild>
    </w:div>
    <w:div w:id="1357073922">
      <w:bodyDiv w:val="1"/>
      <w:marLeft w:val="0"/>
      <w:marRight w:val="0"/>
      <w:marTop w:val="0"/>
      <w:marBottom w:val="0"/>
      <w:divBdr>
        <w:top w:val="none" w:sz="0" w:space="0" w:color="auto"/>
        <w:left w:val="none" w:sz="0" w:space="0" w:color="auto"/>
        <w:bottom w:val="none" w:sz="0" w:space="0" w:color="auto"/>
        <w:right w:val="none" w:sz="0" w:space="0" w:color="auto"/>
      </w:divBdr>
      <w:divsChild>
        <w:div w:id="682510558">
          <w:marLeft w:val="230"/>
          <w:marRight w:val="0"/>
          <w:marTop w:val="60"/>
          <w:marBottom w:val="0"/>
          <w:divBdr>
            <w:top w:val="none" w:sz="0" w:space="0" w:color="auto"/>
            <w:left w:val="none" w:sz="0" w:space="0" w:color="auto"/>
            <w:bottom w:val="none" w:sz="0" w:space="0" w:color="auto"/>
            <w:right w:val="none" w:sz="0" w:space="0" w:color="auto"/>
          </w:divBdr>
        </w:div>
        <w:div w:id="1234776594">
          <w:marLeft w:val="230"/>
          <w:marRight w:val="0"/>
          <w:marTop w:val="60"/>
          <w:marBottom w:val="0"/>
          <w:divBdr>
            <w:top w:val="none" w:sz="0" w:space="0" w:color="auto"/>
            <w:left w:val="none" w:sz="0" w:space="0" w:color="auto"/>
            <w:bottom w:val="none" w:sz="0" w:space="0" w:color="auto"/>
            <w:right w:val="none" w:sz="0" w:space="0" w:color="auto"/>
          </w:divBdr>
        </w:div>
        <w:div w:id="1390347700">
          <w:marLeft w:val="230"/>
          <w:marRight w:val="0"/>
          <w:marTop w:val="60"/>
          <w:marBottom w:val="0"/>
          <w:divBdr>
            <w:top w:val="none" w:sz="0" w:space="0" w:color="auto"/>
            <w:left w:val="none" w:sz="0" w:space="0" w:color="auto"/>
            <w:bottom w:val="none" w:sz="0" w:space="0" w:color="auto"/>
            <w:right w:val="none" w:sz="0" w:space="0" w:color="auto"/>
          </w:divBdr>
        </w:div>
        <w:div w:id="1839229412">
          <w:marLeft w:val="230"/>
          <w:marRight w:val="0"/>
          <w:marTop w:val="60"/>
          <w:marBottom w:val="0"/>
          <w:divBdr>
            <w:top w:val="none" w:sz="0" w:space="0" w:color="auto"/>
            <w:left w:val="none" w:sz="0" w:space="0" w:color="auto"/>
            <w:bottom w:val="none" w:sz="0" w:space="0" w:color="auto"/>
            <w:right w:val="none" w:sz="0" w:space="0" w:color="auto"/>
          </w:divBdr>
        </w:div>
        <w:div w:id="1879197446">
          <w:marLeft w:val="230"/>
          <w:marRight w:val="0"/>
          <w:marTop w:val="60"/>
          <w:marBottom w:val="0"/>
          <w:divBdr>
            <w:top w:val="none" w:sz="0" w:space="0" w:color="auto"/>
            <w:left w:val="none" w:sz="0" w:space="0" w:color="auto"/>
            <w:bottom w:val="none" w:sz="0" w:space="0" w:color="auto"/>
            <w:right w:val="none" w:sz="0" w:space="0" w:color="auto"/>
          </w:divBdr>
        </w:div>
      </w:divsChild>
    </w:div>
    <w:div w:id="1403021432">
      <w:bodyDiv w:val="1"/>
      <w:marLeft w:val="0"/>
      <w:marRight w:val="0"/>
      <w:marTop w:val="0"/>
      <w:marBottom w:val="0"/>
      <w:divBdr>
        <w:top w:val="none" w:sz="0" w:space="0" w:color="auto"/>
        <w:left w:val="none" w:sz="0" w:space="0" w:color="auto"/>
        <w:bottom w:val="none" w:sz="0" w:space="0" w:color="auto"/>
        <w:right w:val="none" w:sz="0" w:space="0" w:color="auto"/>
      </w:divBdr>
    </w:div>
    <w:div w:id="1403140703">
      <w:bodyDiv w:val="1"/>
      <w:marLeft w:val="0"/>
      <w:marRight w:val="0"/>
      <w:marTop w:val="0"/>
      <w:marBottom w:val="0"/>
      <w:divBdr>
        <w:top w:val="none" w:sz="0" w:space="0" w:color="auto"/>
        <w:left w:val="none" w:sz="0" w:space="0" w:color="auto"/>
        <w:bottom w:val="none" w:sz="0" w:space="0" w:color="auto"/>
        <w:right w:val="none" w:sz="0" w:space="0" w:color="auto"/>
      </w:divBdr>
    </w:div>
    <w:div w:id="1409418940">
      <w:bodyDiv w:val="1"/>
      <w:marLeft w:val="0"/>
      <w:marRight w:val="0"/>
      <w:marTop w:val="0"/>
      <w:marBottom w:val="0"/>
      <w:divBdr>
        <w:top w:val="none" w:sz="0" w:space="0" w:color="auto"/>
        <w:left w:val="none" w:sz="0" w:space="0" w:color="auto"/>
        <w:bottom w:val="none" w:sz="0" w:space="0" w:color="auto"/>
        <w:right w:val="none" w:sz="0" w:space="0" w:color="auto"/>
      </w:divBdr>
      <w:divsChild>
        <w:div w:id="162552961">
          <w:marLeft w:val="720"/>
          <w:marRight w:val="0"/>
          <w:marTop w:val="120"/>
          <w:marBottom w:val="0"/>
          <w:divBdr>
            <w:top w:val="none" w:sz="0" w:space="0" w:color="auto"/>
            <w:left w:val="none" w:sz="0" w:space="0" w:color="auto"/>
            <w:bottom w:val="none" w:sz="0" w:space="0" w:color="auto"/>
            <w:right w:val="none" w:sz="0" w:space="0" w:color="auto"/>
          </w:divBdr>
        </w:div>
        <w:div w:id="516038760">
          <w:marLeft w:val="720"/>
          <w:marRight w:val="0"/>
          <w:marTop w:val="120"/>
          <w:marBottom w:val="0"/>
          <w:divBdr>
            <w:top w:val="none" w:sz="0" w:space="0" w:color="auto"/>
            <w:left w:val="none" w:sz="0" w:space="0" w:color="auto"/>
            <w:bottom w:val="none" w:sz="0" w:space="0" w:color="auto"/>
            <w:right w:val="none" w:sz="0" w:space="0" w:color="auto"/>
          </w:divBdr>
        </w:div>
        <w:div w:id="583101932">
          <w:marLeft w:val="720"/>
          <w:marRight w:val="0"/>
          <w:marTop w:val="120"/>
          <w:marBottom w:val="0"/>
          <w:divBdr>
            <w:top w:val="none" w:sz="0" w:space="0" w:color="auto"/>
            <w:left w:val="none" w:sz="0" w:space="0" w:color="auto"/>
            <w:bottom w:val="none" w:sz="0" w:space="0" w:color="auto"/>
            <w:right w:val="none" w:sz="0" w:space="0" w:color="auto"/>
          </w:divBdr>
        </w:div>
        <w:div w:id="752429862">
          <w:marLeft w:val="720"/>
          <w:marRight w:val="0"/>
          <w:marTop w:val="120"/>
          <w:marBottom w:val="0"/>
          <w:divBdr>
            <w:top w:val="none" w:sz="0" w:space="0" w:color="auto"/>
            <w:left w:val="none" w:sz="0" w:space="0" w:color="auto"/>
            <w:bottom w:val="none" w:sz="0" w:space="0" w:color="auto"/>
            <w:right w:val="none" w:sz="0" w:space="0" w:color="auto"/>
          </w:divBdr>
        </w:div>
        <w:div w:id="1174685083">
          <w:marLeft w:val="720"/>
          <w:marRight w:val="0"/>
          <w:marTop w:val="120"/>
          <w:marBottom w:val="0"/>
          <w:divBdr>
            <w:top w:val="none" w:sz="0" w:space="0" w:color="auto"/>
            <w:left w:val="none" w:sz="0" w:space="0" w:color="auto"/>
            <w:bottom w:val="none" w:sz="0" w:space="0" w:color="auto"/>
            <w:right w:val="none" w:sz="0" w:space="0" w:color="auto"/>
          </w:divBdr>
        </w:div>
        <w:div w:id="1214585284">
          <w:marLeft w:val="720"/>
          <w:marRight w:val="0"/>
          <w:marTop w:val="120"/>
          <w:marBottom w:val="0"/>
          <w:divBdr>
            <w:top w:val="none" w:sz="0" w:space="0" w:color="auto"/>
            <w:left w:val="none" w:sz="0" w:space="0" w:color="auto"/>
            <w:bottom w:val="none" w:sz="0" w:space="0" w:color="auto"/>
            <w:right w:val="none" w:sz="0" w:space="0" w:color="auto"/>
          </w:divBdr>
        </w:div>
        <w:div w:id="1683699400">
          <w:marLeft w:val="720"/>
          <w:marRight w:val="0"/>
          <w:marTop w:val="120"/>
          <w:marBottom w:val="0"/>
          <w:divBdr>
            <w:top w:val="none" w:sz="0" w:space="0" w:color="auto"/>
            <w:left w:val="none" w:sz="0" w:space="0" w:color="auto"/>
            <w:bottom w:val="none" w:sz="0" w:space="0" w:color="auto"/>
            <w:right w:val="none" w:sz="0" w:space="0" w:color="auto"/>
          </w:divBdr>
        </w:div>
        <w:div w:id="1716352024">
          <w:marLeft w:val="720"/>
          <w:marRight w:val="0"/>
          <w:marTop w:val="120"/>
          <w:marBottom w:val="0"/>
          <w:divBdr>
            <w:top w:val="none" w:sz="0" w:space="0" w:color="auto"/>
            <w:left w:val="none" w:sz="0" w:space="0" w:color="auto"/>
            <w:bottom w:val="none" w:sz="0" w:space="0" w:color="auto"/>
            <w:right w:val="none" w:sz="0" w:space="0" w:color="auto"/>
          </w:divBdr>
        </w:div>
        <w:div w:id="2101020209">
          <w:marLeft w:val="720"/>
          <w:marRight w:val="0"/>
          <w:marTop w:val="120"/>
          <w:marBottom w:val="0"/>
          <w:divBdr>
            <w:top w:val="none" w:sz="0" w:space="0" w:color="auto"/>
            <w:left w:val="none" w:sz="0" w:space="0" w:color="auto"/>
            <w:bottom w:val="none" w:sz="0" w:space="0" w:color="auto"/>
            <w:right w:val="none" w:sz="0" w:space="0" w:color="auto"/>
          </w:divBdr>
        </w:div>
      </w:divsChild>
    </w:div>
    <w:div w:id="1435399252">
      <w:bodyDiv w:val="1"/>
      <w:marLeft w:val="0"/>
      <w:marRight w:val="0"/>
      <w:marTop w:val="0"/>
      <w:marBottom w:val="0"/>
      <w:divBdr>
        <w:top w:val="none" w:sz="0" w:space="0" w:color="auto"/>
        <w:left w:val="none" w:sz="0" w:space="0" w:color="auto"/>
        <w:bottom w:val="none" w:sz="0" w:space="0" w:color="auto"/>
        <w:right w:val="none" w:sz="0" w:space="0" w:color="auto"/>
      </w:divBdr>
    </w:div>
    <w:div w:id="1451507620">
      <w:bodyDiv w:val="1"/>
      <w:marLeft w:val="0"/>
      <w:marRight w:val="0"/>
      <w:marTop w:val="0"/>
      <w:marBottom w:val="0"/>
      <w:divBdr>
        <w:top w:val="none" w:sz="0" w:space="0" w:color="auto"/>
        <w:left w:val="none" w:sz="0" w:space="0" w:color="auto"/>
        <w:bottom w:val="none" w:sz="0" w:space="0" w:color="auto"/>
        <w:right w:val="none" w:sz="0" w:space="0" w:color="auto"/>
      </w:divBdr>
    </w:div>
    <w:div w:id="1452823561">
      <w:bodyDiv w:val="1"/>
      <w:marLeft w:val="0"/>
      <w:marRight w:val="0"/>
      <w:marTop w:val="0"/>
      <w:marBottom w:val="0"/>
      <w:divBdr>
        <w:top w:val="none" w:sz="0" w:space="0" w:color="auto"/>
        <w:left w:val="none" w:sz="0" w:space="0" w:color="auto"/>
        <w:bottom w:val="none" w:sz="0" w:space="0" w:color="auto"/>
        <w:right w:val="none" w:sz="0" w:space="0" w:color="auto"/>
      </w:divBdr>
    </w:div>
    <w:div w:id="1454059865">
      <w:bodyDiv w:val="1"/>
      <w:marLeft w:val="0"/>
      <w:marRight w:val="0"/>
      <w:marTop w:val="0"/>
      <w:marBottom w:val="0"/>
      <w:divBdr>
        <w:top w:val="none" w:sz="0" w:space="0" w:color="auto"/>
        <w:left w:val="none" w:sz="0" w:space="0" w:color="auto"/>
        <w:bottom w:val="none" w:sz="0" w:space="0" w:color="auto"/>
        <w:right w:val="none" w:sz="0" w:space="0" w:color="auto"/>
      </w:divBdr>
    </w:div>
    <w:div w:id="1468204885">
      <w:bodyDiv w:val="1"/>
      <w:marLeft w:val="0"/>
      <w:marRight w:val="0"/>
      <w:marTop w:val="0"/>
      <w:marBottom w:val="0"/>
      <w:divBdr>
        <w:top w:val="none" w:sz="0" w:space="0" w:color="auto"/>
        <w:left w:val="none" w:sz="0" w:space="0" w:color="auto"/>
        <w:bottom w:val="none" w:sz="0" w:space="0" w:color="auto"/>
        <w:right w:val="none" w:sz="0" w:space="0" w:color="auto"/>
      </w:divBdr>
      <w:divsChild>
        <w:div w:id="1136919301">
          <w:marLeft w:val="1800"/>
          <w:marRight w:val="0"/>
          <w:marTop w:val="100"/>
          <w:marBottom w:val="0"/>
          <w:divBdr>
            <w:top w:val="none" w:sz="0" w:space="0" w:color="auto"/>
            <w:left w:val="none" w:sz="0" w:space="0" w:color="auto"/>
            <w:bottom w:val="none" w:sz="0" w:space="0" w:color="auto"/>
            <w:right w:val="none" w:sz="0" w:space="0" w:color="auto"/>
          </w:divBdr>
        </w:div>
      </w:divsChild>
    </w:div>
    <w:div w:id="1486774978">
      <w:bodyDiv w:val="1"/>
      <w:marLeft w:val="0"/>
      <w:marRight w:val="0"/>
      <w:marTop w:val="0"/>
      <w:marBottom w:val="0"/>
      <w:divBdr>
        <w:top w:val="none" w:sz="0" w:space="0" w:color="auto"/>
        <w:left w:val="none" w:sz="0" w:space="0" w:color="auto"/>
        <w:bottom w:val="none" w:sz="0" w:space="0" w:color="auto"/>
        <w:right w:val="none" w:sz="0" w:space="0" w:color="auto"/>
      </w:divBdr>
    </w:div>
    <w:div w:id="1489521103">
      <w:bodyDiv w:val="1"/>
      <w:marLeft w:val="0"/>
      <w:marRight w:val="0"/>
      <w:marTop w:val="0"/>
      <w:marBottom w:val="0"/>
      <w:divBdr>
        <w:top w:val="none" w:sz="0" w:space="0" w:color="auto"/>
        <w:left w:val="none" w:sz="0" w:space="0" w:color="auto"/>
        <w:bottom w:val="none" w:sz="0" w:space="0" w:color="auto"/>
        <w:right w:val="none" w:sz="0" w:space="0" w:color="auto"/>
      </w:divBdr>
    </w:div>
    <w:div w:id="1492135957">
      <w:bodyDiv w:val="1"/>
      <w:marLeft w:val="0"/>
      <w:marRight w:val="0"/>
      <w:marTop w:val="0"/>
      <w:marBottom w:val="0"/>
      <w:divBdr>
        <w:top w:val="none" w:sz="0" w:space="0" w:color="auto"/>
        <w:left w:val="none" w:sz="0" w:space="0" w:color="auto"/>
        <w:bottom w:val="none" w:sz="0" w:space="0" w:color="auto"/>
        <w:right w:val="none" w:sz="0" w:space="0" w:color="auto"/>
      </w:divBdr>
    </w:div>
    <w:div w:id="1498961914">
      <w:bodyDiv w:val="1"/>
      <w:marLeft w:val="0"/>
      <w:marRight w:val="0"/>
      <w:marTop w:val="0"/>
      <w:marBottom w:val="0"/>
      <w:divBdr>
        <w:top w:val="none" w:sz="0" w:space="0" w:color="auto"/>
        <w:left w:val="none" w:sz="0" w:space="0" w:color="auto"/>
        <w:bottom w:val="none" w:sz="0" w:space="0" w:color="auto"/>
        <w:right w:val="none" w:sz="0" w:space="0" w:color="auto"/>
      </w:divBdr>
      <w:divsChild>
        <w:div w:id="344594986">
          <w:marLeft w:val="720"/>
          <w:marRight w:val="0"/>
          <w:marTop w:val="120"/>
          <w:marBottom w:val="0"/>
          <w:divBdr>
            <w:top w:val="none" w:sz="0" w:space="0" w:color="auto"/>
            <w:left w:val="none" w:sz="0" w:space="0" w:color="auto"/>
            <w:bottom w:val="none" w:sz="0" w:space="0" w:color="auto"/>
            <w:right w:val="none" w:sz="0" w:space="0" w:color="auto"/>
          </w:divBdr>
        </w:div>
        <w:div w:id="406222515">
          <w:marLeft w:val="720"/>
          <w:marRight w:val="0"/>
          <w:marTop w:val="120"/>
          <w:marBottom w:val="0"/>
          <w:divBdr>
            <w:top w:val="none" w:sz="0" w:space="0" w:color="auto"/>
            <w:left w:val="none" w:sz="0" w:space="0" w:color="auto"/>
            <w:bottom w:val="none" w:sz="0" w:space="0" w:color="auto"/>
            <w:right w:val="none" w:sz="0" w:space="0" w:color="auto"/>
          </w:divBdr>
        </w:div>
        <w:div w:id="1551502610">
          <w:marLeft w:val="720"/>
          <w:marRight w:val="0"/>
          <w:marTop w:val="120"/>
          <w:marBottom w:val="0"/>
          <w:divBdr>
            <w:top w:val="none" w:sz="0" w:space="0" w:color="auto"/>
            <w:left w:val="none" w:sz="0" w:space="0" w:color="auto"/>
            <w:bottom w:val="none" w:sz="0" w:space="0" w:color="auto"/>
            <w:right w:val="none" w:sz="0" w:space="0" w:color="auto"/>
          </w:divBdr>
        </w:div>
      </w:divsChild>
    </w:div>
    <w:div w:id="1516268966">
      <w:bodyDiv w:val="1"/>
      <w:marLeft w:val="0"/>
      <w:marRight w:val="0"/>
      <w:marTop w:val="0"/>
      <w:marBottom w:val="0"/>
      <w:divBdr>
        <w:top w:val="none" w:sz="0" w:space="0" w:color="auto"/>
        <w:left w:val="none" w:sz="0" w:space="0" w:color="auto"/>
        <w:bottom w:val="none" w:sz="0" w:space="0" w:color="auto"/>
        <w:right w:val="none" w:sz="0" w:space="0" w:color="auto"/>
      </w:divBdr>
      <w:divsChild>
        <w:div w:id="475073884">
          <w:marLeft w:val="720"/>
          <w:marRight w:val="0"/>
          <w:marTop w:val="120"/>
          <w:marBottom w:val="0"/>
          <w:divBdr>
            <w:top w:val="none" w:sz="0" w:space="0" w:color="auto"/>
            <w:left w:val="none" w:sz="0" w:space="0" w:color="auto"/>
            <w:bottom w:val="none" w:sz="0" w:space="0" w:color="auto"/>
            <w:right w:val="none" w:sz="0" w:space="0" w:color="auto"/>
          </w:divBdr>
        </w:div>
        <w:div w:id="1004284643">
          <w:marLeft w:val="720"/>
          <w:marRight w:val="0"/>
          <w:marTop w:val="120"/>
          <w:marBottom w:val="0"/>
          <w:divBdr>
            <w:top w:val="none" w:sz="0" w:space="0" w:color="auto"/>
            <w:left w:val="none" w:sz="0" w:space="0" w:color="auto"/>
            <w:bottom w:val="none" w:sz="0" w:space="0" w:color="auto"/>
            <w:right w:val="none" w:sz="0" w:space="0" w:color="auto"/>
          </w:divBdr>
        </w:div>
      </w:divsChild>
    </w:div>
    <w:div w:id="1531450482">
      <w:bodyDiv w:val="1"/>
      <w:marLeft w:val="0"/>
      <w:marRight w:val="0"/>
      <w:marTop w:val="0"/>
      <w:marBottom w:val="0"/>
      <w:divBdr>
        <w:top w:val="none" w:sz="0" w:space="0" w:color="auto"/>
        <w:left w:val="none" w:sz="0" w:space="0" w:color="auto"/>
        <w:bottom w:val="none" w:sz="0" w:space="0" w:color="auto"/>
        <w:right w:val="none" w:sz="0" w:space="0" w:color="auto"/>
      </w:divBdr>
      <w:divsChild>
        <w:div w:id="396667">
          <w:marLeft w:val="230"/>
          <w:marRight w:val="0"/>
          <w:marTop w:val="60"/>
          <w:marBottom w:val="0"/>
          <w:divBdr>
            <w:top w:val="none" w:sz="0" w:space="0" w:color="auto"/>
            <w:left w:val="none" w:sz="0" w:space="0" w:color="auto"/>
            <w:bottom w:val="none" w:sz="0" w:space="0" w:color="auto"/>
            <w:right w:val="none" w:sz="0" w:space="0" w:color="auto"/>
          </w:divBdr>
        </w:div>
        <w:div w:id="1131750722">
          <w:marLeft w:val="230"/>
          <w:marRight w:val="0"/>
          <w:marTop w:val="60"/>
          <w:marBottom w:val="0"/>
          <w:divBdr>
            <w:top w:val="none" w:sz="0" w:space="0" w:color="auto"/>
            <w:left w:val="none" w:sz="0" w:space="0" w:color="auto"/>
            <w:bottom w:val="none" w:sz="0" w:space="0" w:color="auto"/>
            <w:right w:val="none" w:sz="0" w:space="0" w:color="auto"/>
          </w:divBdr>
        </w:div>
        <w:div w:id="1298417985">
          <w:marLeft w:val="230"/>
          <w:marRight w:val="0"/>
          <w:marTop w:val="60"/>
          <w:marBottom w:val="0"/>
          <w:divBdr>
            <w:top w:val="none" w:sz="0" w:space="0" w:color="auto"/>
            <w:left w:val="none" w:sz="0" w:space="0" w:color="auto"/>
            <w:bottom w:val="none" w:sz="0" w:space="0" w:color="auto"/>
            <w:right w:val="none" w:sz="0" w:space="0" w:color="auto"/>
          </w:divBdr>
        </w:div>
        <w:div w:id="2001695941">
          <w:marLeft w:val="230"/>
          <w:marRight w:val="0"/>
          <w:marTop w:val="60"/>
          <w:marBottom w:val="0"/>
          <w:divBdr>
            <w:top w:val="none" w:sz="0" w:space="0" w:color="auto"/>
            <w:left w:val="none" w:sz="0" w:space="0" w:color="auto"/>
            <w:bottom w:val="none" w:sz="0" w:space="0" w:color="auto"/>
            <w:right w:val="none" w:sz="0" w:space="0" w:color="auto"/>
          </w:divBdr>
        </w:div>
      </w:divsChild>
    </w:div>
    <w:div w:id="1531793542">
      <w:bodyDiv w:val="1"/>
      <w:marLeft w:val="0"/>
      <w:marRight w:val="0"/>
      <w:marTop w:val="0"/>
      <w:marBottom w:val="0"/>
      <w:divBdr>
        <w:top w:val="none" w:sz="0" w:space="0" w:color="auto"/>
        <w:left w:val="none" w:sz="0" w:space="0" w:color="auto"/>
        <w:bottom w:val="none" w:sz="0" w:space="0" w:color="auto"/>
        <w:right w:val="none" w:sz="0" w:space="0" w:color="auto"/>
      </w:divBdr>
    </w:div>
    <w:div w:id="1534801810">
      <w:bodyDiv w:val="1"/>
      <w:marLeft w:val="0"/>
      <w:marRight w:val="0"/>
      <w:marTop w:val="0"/>
      <w:marBottom w:val="0"/>
      <w:divBdr>
        <w:top w:val="none" w:sz="0" w:space="0" w:color="auto"/>
        <w:left w:val="none" w:sz="0" w:space="0" w:color="auto"/>
        <w:bottom w:val="none" w:sz="0" w:space="0" w:color="auto"/>
        <w:right w:val="none" w:sz="0" w:space="0" w:color="auto"/>
      </w:divBdr>
    </w:div>
    <w:div w:id="1540969951">
      <w:bodyDiv w:val="1"/>
      <w:marLeft w:val="0"/>
      <w:marRight w:val="0"/>
      <w:marTop w:val="0"/>
      <w:marBottom w:val="0"/>
      <w:divBdr>
        <w:top w:val="none" w:sz="0" w:space="0" w:color="auto"/>
        <w:left w:val="none" w:sz="0" w:space="0" w:color="auto"/>
        <w:bottom w:val="none" w:sz="0" w:space="0" w:color="auto"/>
        <w:right w:val="none" w:sz="0" w:space="0" w:color="auto"/>
      </w:divBdr>
    </w:div>
    <w:div w:id="1602714449">
      <w:bodyDiv w:val="1"/>
      <w:marLeft w:val="0"/>
      <w:marRight w:val="0"/>
      <w:marTop w:val="0"/>
      <w:marBottom w:val="0"/>
      <w:divBdr>
        <w:top w:val="none" w:sz="0" w:space="0" w:color="auto"/>
        <w:left w:val="none" w:sz="0" w:space="0" w:color="auto"/>
        <w:bottom w:val="none" w:sz="0" w:space="0" w:color="auto"/>
        <w:right w:val="none" w:sz="0" w:space="0" w:color="auto"/>
      </w:divBdr>
      <w:divsChild>
        <w:div w:id="159779329">
          <w:marLeft w:val="720"/>
          <w:marRight w:val="0"/>
          <w:marTop w:val="120"/>
          <w:marBottom w:val="0"/>
          <w:divBdr>
            <w:top w:val="none" w:sz="0" w:space="0" w:color="auto"/>
            <w:left w:val="none" w:sz="0" w:space="0" w:color="auto"/>
            <w:bottom w:val="none" w:sz="0" w:space="0" w:color="auto"/>
            <w:right w:val="none" w:sz="0" w:space="0" w:color="auto"/>
          </w:divBdr>
        </w:div>
        <w:div w:id="461769814">
          <w:marLeft w:val="720"/>
          <w:marRight w:val="0"/>
          <w:marTop w:val="120"/>
          <w:marBottom w:val="0"/>
          <w:divBdr>
            <w:top w:val="none" w:sz="0" w:space="0" w:color="auto"/>
            <w:left w:val="none" w:sz="0" w:space="0" w:color="auto"/>
            <w:bottom w:val="none" w:sz="0" w:space="0" w:color="auto"/>
            <w:right w:val="none" w:sz="0" w:space="0" w:color="auto"/>
          </w:divBdr>
        </w:div>
        <w:div w:id="1259631664">
          <w:marLeft w:val="720"/>
          <w:marRight w:val="0"/>
          <w:marTop w:val="120"/>
          <w:marBottom w:val="0"/>
          <w:divBdr>
            <w:top w:val="none" w:sz="0" w:space="0" w:color="auto"/>
            <w:left w:val="none" w:sz="0" w:space="0" w:color="auto"/>
            <w:bottom w:val="none" w:sz="0" w:space="0" w:color="auto"/>
            <w:right w:val="none" w:sz="0" w:space="0" w:color="auto"/>
          </w:divBdr>
        </w:div>
        <w:div w:id="2138135232">
          <w:marLeft w:val="720"/>
          <w:marRight w:val="0"/>
          <w:marTop w:val="120"/>
          <w:marBottom w:val="0"/>
          <w:divBdr>
            <w:top w:val="none" w:sz="0" w:space="0" w:color="auto"/>
            <w:left w:val="none" w:sz="0" w:space="0" w:color="auto"/>
            <w:bottom w:val="none" w:sz="0" w:space="0" w:color="auto"/>
            <w:right w:val="none" w:sz="0" w:space="0" w:color="auto"/>
          </w:divBdr>
        </w:div>
      </w:divsChild>
    </w:div>
    <w:div w:id="1658071446">
      <w:bodyDiv w:val="1"/>
      <w:marLeft w:val="0"/>
      <w:marRight w:val="0"/>
      <w:marTop w:val="0"/>
      <w:marBottom w:val="0"/>
      <w:divBdr>
        <w:top w:val="none" w:sz="0" w:space="0" w:color="auto"/>
        <w:left w:val="none" w:sz="0" w:space="0" w:color="auto"/>
        <w:bottom w:val="none" w:sz="0" w:space="0" w:color="auto"/>
        <w:right w:val="none" w:sz="0" w:space="0" w:color="auto"/>
      </w:divBdr>
      <w:divsChild>
        <w:div w:id="429594725">
          <w:marLeft w:val="720"/>
          <w:marRight w:val="0"/>
          <w:marTop w:val="120"/>
          <w:marBottom w:val="0"/>
          <w:divBdr>
            <w:top w:val="none" w:sz="0" w:space="0" w:color="auto"/>
            <w:left w:val="none" w:sz="0" w:space="0" w:color="auto"/>
            <w:bottom w:val="none" w:sz="0" w:space="0" w:color="auto"/>
            <w:right w:val="none" w:sz="0" w:space="0" w:color="auto"/>
          </w:divBdr>
        </w:div>
        <w:div w:id="561019938">
          <w:marLeft w:val="720"/>
          <w:marRight w:val="0"/>
          <w:marTop w:val="120"/>
          <w:marBottom w:val="0"/>
          <w:divBdr>
            <w:top w:val="none" w:sz="0" w:space="0" w:color="auto"/>
            <w:left w:val="none" w:sz="0" w:space="0" w:color="auto"/>
            <w:bottom w:val="none" w:sz="0" w:space="0" w:color="auto"/>
            <w:right w:val="none" w:sz="0" w:space="0" w:color="auto"/>
          </w:divBdr>
        </w:div>
        <w:div w:id="1741710276">
          <w:marLeft w:val="720"/>
          <w:marRight w:val="0"/>
          <w:marTop w:val="120"/>
          <w:marBottom w:val="0"/>
          <w:divBdr>
            <w:top w:val="none" w:sz="0" w:space="0" w:color="auto"/>
            <w:left w:val="none" w:sz="0" w:space="0" w:color="auto"/>
            <w:bottom w:val="none" w:sz="0" w:space="0" w:color="auto"/>
            <w:right w:val="none" w:sz="0" w:space="0" w:color="auto"/>
          </w:divBdr>
        </w:div>
      </w:divsChild>
    </w:div>
    <w:div w:id="1658998696">
      <w:bodyDiv w:val="1"/>
      <w:marLeft w:val="0"/>
      <w:marRight w:val="0"/>
      <w:marTop w:val="0"/>
      <w:marBottom w:val="0"/>
      <w:divBdr>
        <w:top w:val="none" w:sz="0" w:space="0" w:color="auto"/>
        <w:left w:val="none" w:sz="0" w:space="0" w:color="auto"/>
        <w:bottom w:val="none" w:sz="0" w:space="0" w:color="auto"/>
        <w:right w:val="none" w:sz="0" w:space="0" w:color="auto"/>
      </w:divBdr>
      <w:divsChild>
        <w:div w:id="431823519">
          <w:marLeft w:val="230"/>
          <w:marRight w:val="0"/>
          <w:marTop w:val="60"/>
          <w:marBottom w:val="0"/>
          <w:divBdr>
            <w:top w:val="none" w:sz="0" w:space="0" w:color="auto"/>
            <w:left w:val="none" w:sz="0" w:space="0" w:color="auto"/>
            <w:bottom w:val="none" w:sz="0" w:space="0" w:color="auto"/>
            <w:right w:val="none" w:sz="0" w:space="0" w:color="auto"/>
          </w:divBdr>
        </w:div>
        <w:div w:id="612446884">
          <w:marLeft w:val="230"/>
          <w:marRight w:val="0"/>
          <w:marTop w:val="60"/>
          <w:marBottom w:val="0"/>
          <w:divBdr>
            <w:top w:val="none" w:sz="0" w:space="0" w:color="auto"/>
            <w:left w:val="none" w:sz="0" w:space="0" w:color="auto"/>
            <w:bottom w:val="none" w:sz="0" w:space="0" w:color="auto"/>
            <w:right w:val="none" w:sz="0" w:space="0" w:color="auto"/>
          </w:divBdr>
        </w:div>
        <w:div w:id="622227017">
          <w:marLeft w:val="230"/>
          <w:marRight w:val="0"/>
          <w:marTop w:val="60"/>
          <w:marBottom w:val="0"/>
          <w:divBdr>
            <w:top w:val="none" w:sz="0" w:space="0" w:color="auto"/>
            <w:left w:val="none" w:sz="0" w:space="0" w:color="auto"/>
            <w:bottom w:val="none" w:sz="0" w:space="0" w:color="auto"/>
            <w:right w:val="none" w:sz="0" w:space="0" w:color="auto"/>
          </w:divBdr>
        </w:div>
        <w:div w:id="1130784223">
          <w:marLeft w:val="230"/>
          <w:marRight w:val="0"/>
          <w:marTop w:val="60"/>
          <w:marBottom w:val="0"/>
          <w:divBdr>
            <w:top w:val="none" w:sz="0" w:space="0" w:color="auto"/>
            <w:left w:val="none" w:sz="0" w:space="0" w:color="auto"/>
            <w:bottom w:val="none" w:sz="0" w:space="0" w:color="auto"/>
            <w:right w:val="none" w:sz="0" w:space="0" w:color="auto"/>
          </w:divBdr>
        </w:div>
        <w:div w:id="1187214974">
          <w:marLeft w:val="230"/>
          <w:marRight w:val="0"/>
          <w:marTop w:val="60"/>
          <w:marBottom w:val="0"/>
          <w:divBdr>
            <w:top w:val="none" w:sz="0" w:space="0" w:color="auto"/>
            <w:left w:val="none" w:sz="0" w:space="0" w:color="auto"/>
            <w:bottom w:val="none" w:sz="0" w:space="0" w:color="auto"/>
            <w:right w:val="none" w:sz="0" w:space="0" w:color="auto"/>
          </w:divBdr>
        </w:div>
      </w:divsChild>
    </w:div>
    <w:div w:id="1659378585">
      <w:bodyDiv w:val="1"/>
      <w:marLeft w:val="0"/>
      <w:marRight w:val="0"/>
      <w:marTop w:val="0"/>
      <w:marBottom w:val="0"/>
      <w:divBdr>
        <w:top w:val="none" w:sz="0" w:space="0" w:color="auto"/>
        <w:left w:val="none" w:sz="0" w:space="0" w:color="auto"/>
        <w:bottom w:val="none" w:sz="0" w:space="0" w:color="auto"/>
        <w:right w:val="none" w:sz="0" w:space="0" w:color="auto"/>
      </w:divBdr>
      <w:divsChild>
        <w:div w:id="1713649187">
          <w:marLeft w:val="0"/>
          <w:marRight w:val="0"/>
          <w:marTop w:val="0"/>
          <w:marBottom w:val="0"/>
          <w:divBdr>
            <w:top w:val="none" w:sz="0" w:space="0" w:color="auto"/>
            <w:left w:val="none" w:sz="0" w:space="0" w:color="auto"/>
            <w:bottom w:val="none" w:sz="0" w:space="0" w:color="auto"/>
            <w:right w:val="none" w:sz="0" w:space="0" w:color="auto"/>
          </w:divBdr>
        </w:div>
        <w:div w:id="1720279701">
          <w:marLeft w:val="0"/>
          <w:marRight w:val="0"/>
          <w:marTop w:val="0"/>
          <w:marBottom w:val="0"/>
          <w:divBdr>
            <w:top w:val="none" w:sz="0" w:space="0" w:color="auto"/>
            <w:left w:val="none" w:sz="0" w:space="0" w:color="auto"/>
            <w:bottom w:val="none" w:sz="0" w:space="0" w:color="auto"/>
            <w:right w:val="none" w:sz="0" w:space="0" w:color="auto"/>
          </w:divBdr>
        </w:div>
        <w:div w:id="227614827">
          <w:marLeft w:val="0"/>
          <w:marRight w:val="0"/>
          <w:marTop w:val="0"/>
          <w:marBottom w:val="0"/>
          <w:divBdr>
            <w:top w:val="none" w:sz="0" w:space="0" w:color="auto"/>
            <w:left w:val="none" w:sz="0" w:space="0" w:color="auto"/>
            <w:bottom w:val="none" w:sz="0" w:space="0" w:color="auto"/>
            <w:right w:val="none" w:sz="0" w:space="0" w:color="auto"/>
          </w:divBdr>
        </w:div>
        <w:div w:id="913776381">
          <w:marLeft w:val="0"/>
          <w:marRight w:val="0"/>
          <w:marTop w:val="0"/>
          <w:marBottom w:val="0"/>
          <w:divBdr>
            <w:top w:val="none" w:sz="0" w:space="0" w:color="auto"/>
            <w:left w:val="none" w:sz="0" w:space="0" w:color="auto"/>
            <w:bottom w:val="none" w:sz="0" w:space="0" w:color="auto"/>
            <w:right w:val="none" w:sz="0" w:space="0" w:color="auto"/>
          </w:divBdr>
        </w:div>
      </w:divsChild>
    </w:div>
    <w:div w:id="1660186889">
      <w:bodyDiv w:val="1"/>
      <w:marLeft w:val="0"/>
      <w:marRight w:val="0"/>
      <w:marTop w:val="0"/>
      <w:marBottom w:val="0"/>
      <w:divBdr>
        <w:top w:val="none" w:sz="0" w:space="0" w:color="auto"/>
        <w:left w:val="none" w:sz="0" w:space="0" w:color="auto"/>
        <w:bottom w:val="none" w:sz="0" w:space="0" w:color="auto"/>
        <w:right w:val="none" w:sz="0" w:space="0" w:color="auto"/>
      </w:divBdr>
    </w:div>
    <w:div w:id="1673217812">
      <w:bodyDiv w:val="1"/>
      <w:marLeft w:val="0"/>
      <w:marRight w:val="0"/>
      <w:marTop w:val="0"/>
      <w:marBottom w:val="0"/>
      <w:divBdr>
        <w:top w:val="none" w:sz="0" w:space="0" w:color="auto"/>
        <w:left w:val="none" w:sz="0" w:space="0" w:color="auto"/>
        <w:bottom w:val="none" w:sz="0" w:space="0" w:color="auto"/>
        <w:right w:val="none" w:sz="0" w:space="0" w:color="auto"/>
      </w:divBdr>
      <w:divsChild>
        <w:div w:id="656030688">
          <w:marLeft w:val="547"/>
          <w:marRight w:val="0"/>
          <w:marTop w:val="200"/>
          <w:marBottom w:val="0"/>
          <w:divBdr>
            <w:top w:val="none" w:sz="0" w:space="0" w:color="auto"/>
            <w:left w:val="none" w:sz="0" w:space="0" w:color="auto"/>
            <w:bottom w:val="none" w:sz="0" w:space="0" w:color="auto"/>
            <w:right w:val="none" w:sz="0" w:space="0" w:color="auto"/>
          </w:divBdr>
        </w:div>
        <w:div w:id="1863543482">
          <w:marLeft w:val="1080"/>
          <w:marRight w:val="0"/>
          <w:marTop w:val="100"/>
          <w:marBottom w:val="0"/>
          <w:divBdr>
            <w:top w:val="none" w:sz="0" w:space="0" w:color="auto"/>
            <w:left w:val="none" w:sz="0" w:space="0" w:color="auto"/>
            <w:bottom w:val="none" w:sz="0" w:space="0" w:color="auto"/>
            <w:right w:val="none" w:sz="0" w:space="0" w:color="auto"/>
          </w:divBdr>
        </w:div>
        <w:div w:id="212934806">
          <w:marLeft w:val="547"/>
          <w:marRight w:val="0"/>
          <w:marTop w:val="200"/>
          <w:marBottom w:val="0"/>
          <w:divBdr>
            <w:top w:val="none" w:sz="0" w:space="0" w:color="auto"/>
            <w:left w:val="none" w:sz="0" w:space="0" w:color="auto"/>
            <w:bottom w:val="none" w:sz="0" w:space="0" w:color="auto"/>
            <w:right w:val="none" w:sz="0" w:space="0" w:color="auto"/>
          </w:divBdr>
        </w:div>
        <w:div w:id="1303459701">
          <w:marLeft w:val="1080"/>
          <w:marRight w:val="0"/>
          <w:marTop w:val="100"/>
          <w:marBottom w:val="0"/>
          <w:divBdr>
            <w:top w:val="none" w:sz="0" w:space="0" w:color="auto"/>
            <w:left w:val="none" w:sz="0" w:space="0" w:color="auto"/>
            <w:bottom w:val="none" w:sz="0" w:space="0" w:color="auto"/>
            <w:right w:val="none" w:sz="0" w:space="0" w:color="auto"/>
          </w:divBdr>
        </w:div>
        <w:div w:id="1967658080">
          <w:marLeft w:val="1080"/>
          <w:marRight w:val="0"/>
          <w:marTop w:val="100"/>
          <w:marBottom w:val="0"/>
          <w:divBdr>
            <w:top w:val="none" w:sz="0" w:space="0" w:color="auto"/>
            <w:left w:val="none" w:sz="0" w:space="0" w:color="auto"/>
            <w:bottom w:val="none" w:sz="0" w:space="0" w:color="auto"/>
            <w:right w:val="none" w:sz="0" w:space="0" w:color="auto"/>
          </w:divBdr>
        </w:div>
        <w:div w:id="716784661">
          <w:marLeft w:val="547"/>
          <w:marRight w:val="0"/>
          <w:marTop w:val="200"/>
          <w:marBottom w:val="0"/>
          <w:divBdr>
            <w:top w:val="none" w:sz="0" w:space="0" w:color="auto"/>
            <w:left w:val="none" w:sz="0" w:space="0" w:color="auto"/>
            <w:bottom w:val="none" w:sz="0" w:space="0" w:color="auto"/>
            <w:right w:val="none" w:sz="0" w:space="0" w:color="auto"/>
          </w:divBdr>
        </w:div>
        <w:div w:id="1156217610">
          <w:marLeft w:val="1080"/>
          <w:marRight w:val="0"/>
          <w:marTop w:val="100"/>
          <w:marBottom w:val="0"/>
          <w:divBdr>
            <w:top w:val="none" w:sz="0" w:space="0" w:color="auto"/>
            <w:left w:val="none" w:sz="0" w:space="0" w:color="auto"/>
            <w:bottom w:val="none" w:sz="0" w:space="0" w:color="auto"/>
            <w:right w:val="none" w:sz="0" w:space="0" w:color="auto"/>
          </w:divBdr>
        </w:div>
        <w:div w:id="1981809942">
          <w:marLeft w:val="1080"/>
          <w:marRight w:val="0"/>
          <w:marTop w:val="100"/>
          <w:marBottom w:val="0"/>
          <w:divBdr>
            <w:top w:val="none" w:sz="0" w:space="0" w:color="auto"/>
            <w:left w:val="none" w:sz="0" w:space="0" w:color="auto"/>
            <w:bottom w:val="none" w:sz="0" w:space="0" w:color="auto"/>
            <w:right w:val="none" w:sz="0" w:space="0" w:color="auto"/>
          </w:divBdr>
        </w:div>
        <w:div w:id="1770664733">
          <w:marLeft w:val="1080"/>
          <w:marRight w:val="0"/>
          <w:marTop w:val="100"/>
          <w:marBottom w:val="0"/>
          <w:divBdr>
            <w:top w:val="none" w:sz="0" w:space="0" w:color="auto"/>
            <w:left w:val="none" w:sz="0" w:space="0" w:color="auto"/>
            <w:bottom w:val="none" w:sz="0" w:space="0" w:color="auto"/>
            <w:right w:val="none" w:sz="0" w:space="0" w:color="auto"/>
          </w:divBdr>
        </w:div>
      </w:divsChild>
    </w:div>
    <w:div w:id="1685281713">
      <w:bodyDiv w:val="1"/>
      <w:marLeft w:val="0"/>
      <w:marRight w:val="0"/>
      <w:marTop w:val="0"/>
      <w:marBottom w:val="0"/>
      <w:divBdr>
        <w:top w:val="none" w:sz="0" w:space="0" w:color="auto"/>
        <w:left w:val="none" w:sz="0" w:space="0" w:color="auto"/>
        <w:bottom w:val="none" w:sz="0" w:space="0" w:color="auto"/>
        <w:right w:val="none" w:sz="0" w:space="0" w:color="auto"/>
      </w:divBdr>
    </w:div>
    <w:div w:id="1705714473">
      <w:bodyDiv w:val="1"/>
      <w:marLeft w:val="0"/>
      <w:marRight w:val="0"/>
      <w:marTop w:val="0"/>
      <w:marBottom w:val="0"/>
      <w:divBdr>
        <w:top w:val="none" w:sz="0" w:space="0" w:color="auto"/>
        <w:left w:val="none" w:sz="0" w:space="0" w:color="auto"/>
        <w:bottom w:val="none" w:sz="0" w:space="0" w:color="auto"/>
        <w:right w:val="none" w:sz="0" w:space="0" w:color="auto"/>
      </w:divBdr>
    </w:div>
    <w:div w:id="1715889195">
      <w:bodyDiv w:val="1"/>
      <w:marLeft w:val="0"/>
      <w:marRight w:val="0"/>
      <w:marTop w:val="0"/>
      <w:marBottom w:val="0"/>
      <w:divBdr>
        <w:top w:val="none" w:sz="0" w:space="0" w:color="auto"/>
        <w:left w:val="none" w:sz="0" w:space="0" w:color="auto"/>
        <w:bottom w:val="none" w:sz="0" w:space="0" w:color="auto"/>
        <w:right w:val="none" w:sz="0" w:space="0" w:color="auto"/>
      </w:divBdr>
    </w:div>
    <w:div w:id="1728068398">
      <w:bodyDiv w:val="1"/>
      <w:marLeft w:val="0"/>
      <w:marRight w:val="0"/>
      <w:marTop w:val="0"/>
      <w:marBottom w:val="0"/>
      <w:divBdr>
        <w:top w:val="none" w:sz="0" w:space="0" w:color="auto"/>
        <w:left w:val="none" w:sz="0" w:space="0" w:color="auto"/>
        <w:bottom w:val="none" w:sz="0" w:space="0" w:color="auto"/>
        <w:right w:val="none" w:sz="0" w:space="0" w:color="auto"/>
      </w:divBdr>
    </w:div>
    <w:div w:id="1735620108">
      <w:bodyDiv w:val="1"/>
      <w:marLeft w:val="0"/>
      <w:marRight w:val="0"/>
      <w:marTop w:val="0"/>
      <w:marBottom w:val="0"/>
      <w:divBdr>
        <w:top w:val="none" w:sz="0" w:space="0" w:color="auto"/>
        <w:left w:val="none" w:sz="0" w:space="0" w:color="auto"/>
        <w:bottom w:val="none" w:sz="0" w:space="0" w:color="auto"/>
        <w:right w:val="none" w:sz="0" w:space="0" w:color="auto"/>
      </w:divBdr>
    </w:div>
    <w:div w:id="1741247052">
      <w:bodyDiv w:val="1"/>
      <w:marLeft w:val="0"/>
      <w:marRight w:val="0"/>
      <w:marTop w:val="0"/>
      <w:marBottom w:val="0"/>
      <w:divBdr>
        <w:top w:val="none" w:sz="0" w:space="0" w:color="auto"/>
        <w:left w:val="none" w:sz="0" w:space="0" w:color="auto"/>
        <w:bottom w:val="none" w:sz="0" w:space="0" w:color="auto"/>
        <w:right w:val="none" w:sz="0" w:space="0" w:color="auto"/>
      </w:divBdr>
    </w:div>
    <w:div w:id="1763254213">
      <w:bodyDiv w:val="1"/>
      <w:marLeft w:val="0"/>
      <w:marRight w:val="0"/>
      <w:marTop w:val="0"/>
      <w:marBottom w:val="0"/>
      <w:divBdr>
        <w:top w:val="none" w:sz="0" w:space="0" w:color="auto"/>
        <w:left w:val="none" w:sz="0" w:space="0" w:color="auto"/>
        <w:bottom w:val="none" w:sz="0" w:space="0" w:color="auto"/>
        <w:right w:val="none" w:sz="0" w:space="0" w:color="auto"/>
      </w:divBdr>
    </w:div>
    <w:div w:id="1774395550">
      <w:bodyDiv w:val="1"/>
      <w:marLeft w:val="0"/>
      <w:marRight w:val="0"/>
      <w:marTop w:val="0"/>
      <w:marBottom w:val="0"/>
      <w:divBdr>
        <w:top w:val="none" w:sz="0" w:space="0" w:color="auto"/>
        <w:left w:val="none" w:sz="0" w:space="0" w:color="auto"/>
        <w:bottom w:val="none" w:sz="0" w:space="0" w:color="auto"/>
        <w:right w:val="none" w:sz="0" w:space="0" w:color="auto"/>
      </w:divBdr>
      <w:divsChild>
        <w:div w:id="170147413">
          <w:marLeft w:val="0"/>
          <w:marRight w:val="0"/>
          <w:marTop w:val="0"/>
          <w:marBottom w:val="0"/>
          <w:divBdr>
            <w:top w:val="single" w:sz="2" w:space="0" w:color="D9D9E3"/>
            <w:left w:val="single" w:sz="2" w:space="0" w:color="D9D9E3"/>
            <w:bottom w:val="single" w:sz="2" w:space="0" w:color="D9D9E3"/>
            <w:right w:val="single" w:sz="2" w:space="0" w:color="D9D9E3"/>
          </w:divBdr>
          <w:divsChild>
            <w:div w:id="1646276792">
              <w:marLeft w:val="0"/>
              <w:marRight w:val="0"/>
              <w:marTop w:val="0"/>
              <w:marBottom w:val="0"/>
              <w:divBdr>
                <w:top w:val="single" w:sz="2" w:space="0" w:color="D9D9E3"/>
                <w:left w:val="single" w:sz="2" w:space="0" w:color="D9D9E3"/>
                <w:bottom w:val="single" w:sz="2" w:space="0" w:color="D9D9E3"/>
                <w:right w:val="single" w:sz="2" w:space="0" w:color="D9D9E3"/>
              </w:divBdr>
              <w:divsChild>
                <w:div w:id="1467358259">
                  <w:marLeft w:val="0"/>
                  <w:marRight w:val="0"/>
                  <w:marTop w:val="0"/>
                  <w:marBottom w:val="0"/>
                  <w:divBdr>
                    <w:top w:val="single" w:sz="2" w:space="0" w:color="D9D9E3"/>
                    <w:left w:val="single" w:sz="2" w:space="0" w:color="D9D9E3"/>
                    <w:bottom w:val="single" w:sz="2" w:space="0" w:color="D9D9E3"/>
                    <w:right w:val="single" w:sz="2" w:space="0" w:color="D9D9E3"/>
                  </w:divBdr>
                  <w:divsChild>
                    <w:div w:id="413552528">
                      <w:marLeft w:val="0"/>
                      <w:marRight w:val="0"/>
                      <w:marTop w:val="0"/>
                      <w:marBottom w:val="0"/>
                      <w:divBdr>
                        <w:top w:val="single" w:sz="2" w:space="0" w:color="D9D9E3"/>
                        <w:left w:val="single" w:sz="2" w:space="0" w:color="D9D9E3"/>
                        <w:bottom w:val="single" w:sz="2" w:space="0" w:color="D9D9E3"/>
                        <w:right w:val="single" w:sz="2" w:space="0" w:color="D9D9E3"/>
                      </w:divBdr>
                      <w:divsChild>
                        <w:div w:id="1925217606">
                          <w:marLeft w:val="0"/>
                          <w:marRight w:val="0"/>
                          <w:marTop w:val="0"/>
                          <w:marBottom w:val="0"/>
                          <w:divBdr>
                            <w:top w:val="none" w:sz="0" w:space="0" w:color="auto"/>
                            <w:left w:val="none" w:sz="0" w:space="0" w:color="auto"/>
                            <w:bottom w:val="none" w:sz="0" w:space="0" w:color="auto"/>
                            <w:right w:val="none" w:sz="0" w:space="0" w:color="auto"/>
                          </w:divBdr>
                          <w:divsChild>
                            <w:div w:id="245119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8768969">
                                  <w:marLeft w:val="0"/>
                                  <w:marRight w:val="0"/>
                                  <w:marTop w:val="0"/>
                                  <w:marBottom w:val="0"/>
                                  <w:divBdr>
                                    <w:top w:val="single" w:sz="2" w:space="0" w:color="D9D9E3"/>
                                    <w:left w:val="single" w:sz="2" w:space="0" w:color="D9D9E3"/>
                                    <w:bottom w:val="single" w:sz="2" w:space="0" w:color="D9D9E3"/>
                                    <w:right w:val="single" w:sz="2" w:space="0" w:color="D9D9E3"/>
                                  </w:divBdr>
                                  <w:divsChild>
                                    <w:div w:id="1606039622">
                                      <w:marLeft w:val="0"/>
                                      <w:marRight w:val="0"/>
                                      <w:marTop w:val="0"/>
                                      <w:marBottom w:val="0"/>
                                      <w:divBdr>
                                        <w:top w:val="single" w:sz="2" w:space="0" w:color="D9D9E3"/>
                                        <w:left w:val="single" w:sz="2" w:space="0" w:color="D9D9E3"/>
                                        <w:bottom w:val="single" w:sz="2" w:space="0" w:color="D9D9E3"/>
                                        <w:right w:val="single" w:sz="2" w:space="0" w:color="D9D9E3"/>
                                      </w:divBdr>
                                      <w:divsChild>
                                        <w:div w:id="1780644722">
                                          <w:marLeft w:val="0"/>
                                          <w:marRight w:val="0"/>
                                          <w:marTop w:val="0"/>
                                          <w:marBottom w:val="0"/>
                                          <w:divBdr>
                                            <w:top w:val="single" w:sz="2" w:space="0" w:color="D9D9E3"/>
                                            <w:left w:val="single" w:sz="2" w:space="0" w:color="D9D9E3"/>
                                            <w:bottom w:val="single" w:sz="2" w:space="0" w:color="D9D9E3"/>
                                            <w:right w:val="single" w:sz="2" w:space="0" w:color="D9D9E3"/>
                                          </w:divBdr>
                                          <w:divsChild>
                                            <w:div w:id="1484270384">
                                              <w:marLeft w:val="0"/>
                                              <w:marRight w:val="0"/>
                                              <w:marTop w:val="0"/>
                                              <w:marBottom w:val="0"/>
                                              <w:divBdr>
                                                <w:top w:val="single" w:sz="2" w:space="0" w:color="D9D9E3"/>
                                                <w:left w:val="single" w:sz="2" w:space="0" w:color="D9D9E3"/>
                                                <w:bottom w:val="single" w:sz="2" w:space="0" w:color="D9D9E3"/>
                                                <w:right w:val="single" w:sz="2" w:space="0" w:color="D9D9E3"/>
                                              </w:divBdr>
                                              <w:divsChild>
                                                <w:div w:id="572855880">
                                                  <w:marLeft w:val="0"/>
                                                  <w:marRight w:val="0"/>
                                                  <w:marTop w:val="0"/>
                                                  <w:marBottom w:val="0"/>
                                                  <w:divBdr>
                                                    <w:top w:val="single" w:sz="2" w:space="0" w:color="D9D9E3"/>
                                                    <w:left w:val="single" w:sz="2" w:space="0" w:color="D9D9E3"/>
                                                    <w:bottom w:val="single" w:sz="2" w:space="0" w:color="D9D9E3"/>
                                                    <w:right w:val="single" w:sz="2" w:space="0" w:color="D9D9E3"/>
                                                  </w:divBdr>
                                                  <w:divsChild>
                                                    <w:div w:id="1010641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9533531">
          <w:marLeft w:val="0"/>
          <w:marRight w:val="0"/>
          <w:marTop w:val="0"/>
          <w:marBottom w:val="0"/>
          <w:divBdr>
            <w:top w:val="none" w:sz="0" w:space="0" w:color="auto"/>
            <w:left w:val="none" w:sz="0" w:space="0" w:color="auto"/>
            <w:bottom w:val="none" w:sz="0" w:space="0" w:color="auto"/>
            <w:right w:val="none" w:sz="0" w:space="0" w:color="auto"/>
          </w:divBdr>
        </w:div>
      </w:divsChild>
    </w:div>
    <w:div w:id="1778255787">
      <w:bodyDiv w:val="1"/>
      <w:marLeft w:val="0"/>
      <w:marRight w:val="0"/>
      <w:marTop w:val="0"/>
      <w:marBottom w:val="0"/>
      <w:divBdr>
        <w:top w:val="none" w:sz="0" w:space="0" w:color="auto"/>
        <w:left w:val="none" w:sz="0" w:space="0" w:color="auto"/>
        <w:bottom w:val="none" w:sz="0" w:space="0" w:color="auto"/>
        <w:right w:val="none" w:sz="0" w:space="0" w:color="auto"/>
      </w:divBdr>
    </w:div>
    <w:div w:id="178927692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44">
          <w:marLeft w:val="720"/>
          <w:marRight w:val="0"/>
          <w:marTop w:val="120"/>
          <w:marBottom w:val="0"/>
          <w:divBdr>
            <w:top w:val="none" w:sz="0" w:space="0" w:color="auto"/>
            <w:left w:val="none" w:sz="0" w:space="0" w:color="auto"/>
            <w:bottom w:val="none" w:sz="0" w:space="0" w:color="auto"/>
            <w:right w:val="none" w:sz="0" w:space="0" w:color="auto"/>
          </w:divBdr>
        </w:div>
        <w:div w:id="1475222966">
          <w:marLeft w:val="720"/>
          <w:marRight w:val="0"/>
          <w:marTop w:val="120"/>
          <w:marBottom w:val="0"/>
          <w:divBdr>
            <w:top w:val="none" w:sz="0" w:space="0" w:color="auto"/>
            <w:left w:val="none" w:sz="0" w:space="0" w:color="auto"/>
            <w:bottom w:val="none" w:sz="0" w:space="0" w:color="auto"/>
            <w:right w:val="none" w:sz="0" w:space="0" w:color="auto"/>
          </w:divBdr>
        </w:div>
        <w:div w:id="1672367934">
          <w:marLeft w:val="720"/>
          <w:marRight w:val="0"/>
          <w:marTop w:val="120"/>
          <w:marBottom w:val="0"/>
          <w:divBdr>
            <w:top w:val="none" w:sz="0" w:space="0" w:color="auto"/>
            <w:left w:val="none" w:sz="0" w:space="0" w:color="auto"/>
            <w:bottom w:val="none" w:sz="0" w:space="0" w:color="auto"/>
            <w:right w:val="none" w:sz="0" w:space="0" w:color="auto"/>
          </w:divBdr>
        </w:div>
        <w:div w:id="1863978367">
          <w:marLeft w:val="720"/>
          <w:marRight w:val="0"/>
          <w:marTop w:val="120"/>
          <w:marBottom w:val="0"/>
          <w:divBdr>
            <w:top w:val="none" w:sz="0" w:space="0" w:color="auto"/>
            <w:left w:val="none" w:sz="0" w:space="0" w:color="auto"/>
            <w:bottom w:val="none" w:sz="0" w:space="0" w:color="auto"/>
            <w:right w:val="none" w:sz="0" w:space="0" w:color="auto"/>
          </w:divBdr>
        </w:div>
      </w:divsChild>
    </w:div>
    <w:div w:id="1814591561">
      <w:bodyDiv w:val="1"/>
      <w:marLeft w:val="0"/>
      <w:marRight w:val="0"/>
      <w:marTop w:val="0"/>
      <w:marBottom w:val="0"/>
      <w:divBdr>
        <w:top w:val="none" w:sz="0" w:space="0" w:color="auto"/>
        <w:left w:val="none" w:sz="0" w:space="0" w:color="auto"/>
        <w:bottom w:val="none" w:sz="0" w:space="0" w:color="auto"/>
        <w:right w:val="none" w:sz="0" w:space="0" w:color="auto"/>
      </w:divBdr>
    </w:div>
    <w:div w:id="1829975073">
      <w:bodyDiv w:val="1"/>
      <w:marLeft w:val="0"/>
      <w:marRight w:val="0"/>
      <w:marTop w:val="0"/>
      <w:marBottom w:val="0"/>
      <w:divBdr>
        <w:top w:val="none" w:sz="0" w:space="0" w:color="auto"/>
        <w:left w:val="none" w:sz="0" w:space="0" w:color="auto"/>
        <w:bottom w:val="none" w:sz="0" w:space="0" w:color="auto"/>
        <w:right w:val="none" w:sz="0" w:space="0" w:color="auto"/>
      </w:divBdr>
      <w:divsChild>
        <w:div w:id="158037801">
          <w:marLeft w:val="360"/>
          <w:marRight w:val="0"/>
          <w:marTop w:val="0"/>
          <w:marBottom w:val="0"/>
          <w:divBdr>
            <w:top w:val="none" w:sz="0" w:space="0" w:color="auto"/>
            <w:left w:val="none" w:sz="0" w:space="0" w:color="auto"/>
            <w:bottom w:val="none" w:sz="0" w:space="0" w:color="auto"/>
            <w:right w:val="none" w:sz="0" w:space="0" w:color="auto"/>
          </w:divBdr>
        </w:div>
        <w:div w:id="183062358">
          <w:marLeft w:val="360"/>
          <w:marRight w:val="0"/>
          <w:marTop w:val="0"/>
          <w:marBottom w:val="0"/>
          <w:divBdr>
            <w:top w:val="none" w:sz="0" w:space="0" w:color="auto"/>
            <w:left w:val="none" w:sz="0" w:space="0" w:color="auto"/>
            <w:bottom w:val="none" w:sz="0" w:space="0" w:color="auto"/>
            <w:right w:val="none" w:sz="0" w:space="0" w:color="auto"/>
          </w:divBdr>
        </w:div>
        <w:div w:id="219945087">
          <w:marLeft w:val="360"/>
          <w:marRight w:val="0"/>
          <w:marTop w:val="0"/>
          <w:marBottom w:val="0"/>
          <w:divBdr>
            <w:top w:val="none" w:sz="0" w:space="0" w:color="auto"/>
            <w:left w:val="none" w:sz="0" w:space="0" w:color="auto"/>
            <w:bottom w:val="none" w:sz="0" w:space="0" w:color="auto"/>
            <w:right w:val="none" w:sz="0" w:space="0" w:color="auto"/>
          </w:divBdr>
        </w:div>
        <w:div w:id="269246087">
          <w:marLeft w:val="360"/>
          <w:marRight w:val="0"/>
          <w:marTop w:val="0"/>
          <w:marBottom w:val="0"/>
          <w:divBdr>
            <w:top w:val="none" w:sz="0" w:space="0" w:color="auto"/>
            <w:left w:val="none" w:sz="0" w:space="0" w:color="auto"/>
            <w:bottom w:val="none" w:sz="0" w:space="0" w:color="auto"/>
            <w:right w:val="none" w:sz="0" w:space="0" w:color="auto"/>
          </w:divBdr>
        </w:div>
        <w:div w:id="348878215">
          <w:marLeft w:val="360"/>
          <w:marRight w:val="0"/>
          <w:marTop w:val="0"/>
          <w:marBottom w:val="0"/>
          <w:divBdr>
            <w:top w:val="none" w:sz="0" w:space="0" w:color="auto"/>
            <w:left w:val="none" w:sz="0" w:space="0" w:color="auto"/>
            <w:bottom w:val="none" w:sz="0" w:space="0" w:color="auto"/>
            <w:right w:val="none" w:sz="0" w:space="0" w:color="auto"/>
          </w:divBdr>
        </w:div>
        <w:div w:id="481384092">
          <w:marLeft w:val="360"/>
          <w:marRight w:val="0"/>
          <w:marTop w:val="0"/>
          <w:marBottom w:val="0"/>
          <w:divBdr>
            <w:top w:val="none" w:sz="0" w:space="0" w:color="auto"/>
            <w:left w:val="none" w:sz="0" w:space="0" w:color="auto"/>
            <w:bottom w:val="none" w:sz="0" w:space="0" w:color="auto"/>
            <w:right w:val="none" w:sz="0" w:space="0" w:color="auto"/>
          </w:divBdr>
        </w:div>
        <w:div w:id="945771820">
          <w:marLeft w:val="360"/>
          <w:marRight w:val="0"/>
          <w:marTop w:val="0"/>
          <w:marBottom w:val="0"/>
          <w:divBdr>
            <w:top w:val="none" w:sz="0" w:space="0" w:color="auto"/>
            <w:left w:val="none" w:sz="0" w:space="0" w:color="auto"/>
            <w:bottom w:val="none" w:sz="0" w:space="0" w:color="auto"/>
            <w:right w:val="none" w:sz="0" w:space="0" w:color="auto"/>
          </w:divBdr>
        </w:div>
        <w:div w:id="1014307019">
          <w:marLeft w:val="360"/>
          <w:marRight w:val="0"/>
          <w:marTop w:val="0"/>
          <w:marBottom w:val="0"/>
          <w:divBdr>
            <w:top w:val="none" w:sz="0" w:space="0" w:color="auto"/>
            <w:left w:val="none" w:sz="0" w:space="0" w:color="auto"/>
            <w:bottom w:val="none" w:sz="0" w:space="0" w:color="auto"/>
            <w:right w:val="none" w:sz="0" w:space="0" w:color="auto"/>
          </w:divBdr>
        </w:div>
        <w:div w:id="1458987535">
          <w:marLeft w:val="360"/>
          <w:marRight w:val="0"/>
          <w:marTop w:val="0"/>
          <w:marBottom w:val="0"/>
          <w:divBdr>
            <w:top w:val="none" w:sz="0" w:space="0" w:color="auto"/>
            <w:left w:val="none" w:sz="0" w:space="0" w:color="auto"/>
            <w:bottom w:val="none" w:sz="0" w:space="0" w:color="auto"/>
            <w:right w:val="none" w:sz="0" w:space="0" w:color="auto"/>
          </w:divBdr>
        </w:div>
        <w:div w:id="1484541948">
          <w:marLeft w:val="360"/>
          <w:marRight w:val="0"/>
          <w:marTop w:val="0"/>
          <w:marBottom w:val="0"/>
          <w:divBdr>
            <w:top w:val="none" w:sz="0" w:space="0" w:color="auto"/>
            <w:left w:val="none" w:sz="0" w:space="0" w:color="auto"/>
            <w:bottom w:val="none" w:sz="0" w:space="0" w:color="auto"/>
            <w:right w:val="none" w:sz="0" w:space="0" w:color="auto"/>
          </w:divBdr>
        </w:div>
      </w:divsChild>
    </w:div>
    <w:div w:id="1861430550">
      <w:bodyDiv w:val="1"/>
      <w:marLeft w:val="0"/>
      <w:marRight w:val="0"/>
      <w:marTop w:val="0"/>
      <w:marBottom w:val="0"/>
      <w:divBdr>
        <w:top w:val="none" w:sz="0" w:space="0" w:color="auto"/>
        <w:left w:val="none" w:sz="0" w:space="0" w:color="auto"/>
        <w:bottom w:val="none" w:sz="0" w:space="0" w:color="auto"/>
        <w:right w:val="none" w:sz="0" w:space="0" w:color="auto"/>
      </w:divBdr>
      <w:divsChild>
        <w:div w:id="785849702">
          <w:marLeft w:val="547"/>
          <w:marRight w:val="0"/>
          <w:marTop w:val="200"/>
          <w:marBottom w:val="0"/>
          <w:divBdr>
            <w:top w:val="none" w:sz="0" w:space="0" w:color="auto"/>
            <w:left w:val="none" w:sz="0" w:space="0" w:color="auto"/>
            <w:bottom w:val="none" w:sz="0" w:space="0" w:color="auto"/>
            <w:right w:val="none" w:sz="0" w:space="0" w:color="auto"/>
          </w:divBdr>
        </w:div>
      </w:divsChild>
    </w:div>
    <w:div w:id="1870410959">
      <w:bodyDiv w:val="1"/>
      <w:marLeft w:val="0"/>
      <w:marRight w:val="0"/>
      <w:marTop w:val="0"/>
      <w:marBottom w:val="0"/>
      <w:divBdr>
        <w:top w:val="none" w:sz="0" w:space="0" w:color="auto"/>
        <w:left w:val="none" w:sz="0" w:space="0" w:color="auto"/>
        <w:bottom w:val="none" w:sz="0" w:space="0" w:color="auto"/>
        <w:right w:val="none" w:sz="0" w:space="0" w:color="auto"/>
      </w:divBdr>
    </w:div>
    <w:div w:id="1874725110">
      <w:bodyDiv w:val="1"/>
      <w:marLeft w:val="0"/>
      <w:marRight w:val="0"/>
      <w:marTop w:val="0"/>
      <w:marBottom w:val="0"/>
      <w:divBdr>
        <w:top w:val="none" w:sz="0" w:space="0" w:color="auto"/>
        <w:left w:val="none" w:sz="0" w:space="0" w:color="auto"/>
        <w:bottom w:val="none" w:sz="0" w:space="0" w:color="auto"/>
        <w:right w:val="none" w:sz="0" w:space="0" w:color="auto"/>
      </w:divBdr>
      <w:divsChild>
        <w:div w:id="768937349">
          <w:marLeft w:val="1080"/>
          <w:marRight w:val="0"/>
          <w:marTop w:val="100"/>
          <w:marBottom w:val="0"/>
          <w:divBdr>
            <w:top w:val="none" w:sz="0" w:space="0" w:color="auto"/>
            <w:left w:val="none" w:sz="0" w:space="0" w:color="auto"/>
            <w:bottom w:val="none" w:sz="0" w:space="0" w:color="auto"/>
            <w:right w:val="none" w:sz="0" w:space="0" w:color="auto"/>
          </w:divBdr>
        </w:div>
        <w:div w:id="1759330742">
          <w:marLeft w:val="1080"/>
          <w:marRight w:val="0"/>
          <w:marTop w:val="100"/>
          <w:marBottom w:val="0"/>
          <w:divBdr>
            <w:top w:val="none" w:sz="0" w:space="0" w:color="auto"/>
            <w:left w:val="none" w:sz="0" w:space="0" w:color="auto"/>
            <w:bottom w:val="none" w:sz="0" w:space="0" w:color="auto"/>
            <w:right w:val="none" w:sz="0" w:space="0" w:color="auto"/>
          </w:divBdr>
        </w:div>
        <w:div w:id="1063989261">
          <w:marLeft w:val="1080"/>
          <w:marRight w:val="0"/>
          <w:marTop w:val="100"/>
          <w:marBottom w:val="0"/>
          <w:divBdr>
            <w:top w:val="none" w:sz="0" w:space="0" w:color="auto"/>
            <w:left w:val="none" w:sz="0" w:space="0" w:color="auto"/>
            <w:bottom w:val="none" w:sz="0" w:space="0" w:color="auto"/>
            <w:right w:val="none" w:sz="0" w:space="0" w:color="auto"/>
          </w:divBdr>
        </w:div>
        <w:div w:id="2051345696">
          <w:marLeft w:val="1080"/>
          <w:marRight w:val="0"/>
          <w:marTop w:val="100"/>
          <w:marBottom w:val="0"/>
          <w:divBdr>
            <w:top w:val="none" w:sz="0" w:space="0" w:color="auto"/>
            <w:left w:val="none" w:sz="0" w:space="0" w:color="auto"/>
            <w:bottom w:val="none" w:sz="0" w:space="0" w:color="auto"/>
            <w:right w:val="none" w:sz="0" w:space="0" w:color="auto"/>
          </w:divBdr>
        </w:div>
        <w:div w:id="1257980915">
          <w:marLeft w:val="1080"/>
          <w:marRight w:val="0"/>
          <w:marTop w:val="100"/>
          <w:marBottom w:val="0"/>
          <w:divBdr>
            <w:top w:val="none" w:sz="0" w:space="0" w:color="auto"/>
            <w:left w:val="none" w:sz="0" w:space="0" w:color="auto"/>
            <w:bottom w:val="none" w:sz="0" w:space="0" w:color="auto"/>
            <w:right w:val="none" w:sz="0" w:space="0" w:color="auto"/>
          </w:divBdr>
        </w:div>
        <w:div w:id="891423771">
          <w:marLeft w:val="1080"/>
          <w:marRight w:val="0"/>
          <w:marTop w:val="100"/>
          <w:marBottom w:val="0"/>
          <w:divBdr>
            <w:top w:val="none" w:sz="0" w:space="0" w:color="auto"/>
            <w:left w:val="none" w:sz="0" w:space="0" w:color="auto"/>
            <w:bottom w:val="none" w:sz="0" w:space="0" w:color="auto"/>
            <w:right w:val="none" w:sz="0" w:space="0" w:color="auto"/>
          </w:divBdr>
        </w:div>
      </w:divsChild>
    </w:div>
    <w:div w:id="1884635710">
      <w:bodyDiv w:val="1"/>
      <w:marLeft w:val="0"/>
      <w:marRight w:val="0"/>
      <w:marTop w:val="0"/>
      <w:marBottom w:val="0"/>
      <w:divBdr>
        <w:top w:val="none" w:sz="0" w:space="0" w:color="auto"/>
        <w:left w:val="none" w:sz="0" w:space="0" w:color="auto"/>
        <w:bottom w:val="none" w:sz="0" w:space="0" w:color="auto"/>
        <w:right w:val="none" w:sz="0" w:space="0" w:color="auto"/>
      </w:divBdr>
      <w:divsChild>
        <w:div w:id="587620160">
          <w:marLeft w:val="720"/>
          <w:marRight w:val="0"/>
          <w:marTop w:val="120"/>
          <w:marBottom w:val="0"/>
          <w:divBdr>
            <w:top w:val="none" w:sz="0" w:space="0" w:color="auto"/>
            <w:left w:val="none" w:sz="0" w:space="0" w:color="auto"/>
            <w:bottom w:val="none" w:sz="0" w:space="0" w:color="auto"/>
            <w:right w:val="none" w:sz="0" w:space="0" w:color="auto"/>
          </w:divBdr>
        </w:div>
        <w:div w:id="664284132">
          <w:marLeft w:val="720"/>
          <w:marRight w:val="0"/>
          <w:marTop w:val="120"/>
          <w:marBottom w:val="0"/>
          <w:divBdr>
            <w:top w:val="none" w:sz="0" w:space="0" w:color="auto"/>
            <w:left w:val="none" w:sz="0" w:space="0" w:color="auto"/>
            <w:bottom w:val="none" w:sz="0" w:space="0" w:color="auto"/>
            <w:right w:val="none" w:sz="0" w:space="0" w:color="auto"/>
          </w:divBdr>
        </w:div>
        <w:div w:id="808278524">
          <w:marLeft w:val="720"/>
          <w:marRight w:val="0"/>
          <w:marTop w:val="120"/>
          <w:marBottom w:val="0"/>
          <w:divBdr>
            <w:top w:val="none" w:sz="0" w:space="0" w:color="auto"/>
            <w:left w:val="none" w:sz="0" w:space="0" w:color="auto"/>
            <w:bottom w:val="none" w:sz="0" w:space="0" w:color="auto"/>
            <w:right w:val="none" w:sz="0" w:space="0" w:color="auto"/>
          </w:divBdr>
        </w:div>
        <w:div w:id="1598631592">
          <w:marLeft w:val="720"/>
          <w:marRight w:val="0"/>
          <w:marTop w:val="120"/>
          <w:marBottom w:val="0"/>
          <w:divBdr>
            <w:top w:val="none" w:sz="0" w:space="0" w:color="auto"/>
            <w:left w:val="none" w:sz="0" w:space="0" w:color="auto"/>
            <w:bottom w:val="none" w:sz="0" w:space="0" w:color="auto"/>
            <w:right w:val="none" w:sz="0" w:space="0" w:color="auto"/>
          </w:divBdr>
        </w:div>
      </w:divsChild>
    </w:div>
    <w:div w:id="1887064834">
      <w:bodyDiv w:val="1"/>
      <w:marLeft w:val="0"/>
      <w:marRight w:val="0"/>
      <w:marTop w:val="0"/>
      <w:marBottom w:val="0"/>
      <w:divBdr>
        <w:top w:val="none" w:sz="0" w:space="0" w:color="auto"/>
        <w:left w:val="none" w:sz="0" w:space="0" w:color="auto"/>
        <w:bottom w:val="none" w:sz="0" w:space="0" w:color="auto"/>
        <w:right w:val="none" w:sz="0" w:space="0" w:color="auto"/>
      </w:divBdr>
    </w:div>
    <w:div w:id="1887569416">
      <w:bodyDiv w:val="1"/>
      <w:marLeft w:val="0"/>
      <w:marRight w:val="0"/>
      <w:marTop w:val="0"/>
      <w:marBottom w:val="0"/>
      <w:divBdr>
        <w:top w:val="none" w:sz="0" w:space="0" w:color="auto"/>
        <w:left w:val="none" w:sz="0" w:space="0" w:color="auto"/>
        <w:bottom w:val="none" w:sz="0" w:space="0" w:color="auto"/>
        <w:right w:val="none" w:sz="0" w:space="0" w:color="auto"/>
      </w:divBdr>
    </w:div>
    <w:div w:id="1894929199">
      <w:bodyDiv w:val="1"/>
      <w:marLeft w:val="0"/>
      <w:marRight w:val="0"/>
      <w:marTop w:val="0"/>
      <w:marBottom w:val="0"/>
      <w:divBdr>
        <w:top w:val="none" w:sz="0" w:space="0" w:color="auto"/>
        <w:left w:val="none" w:sz="0" w:space="0" w:color="auto"/>
        <w:bottom w:val="none" w:sz="0" w:space="0" w:color="auto"/>
        <w:right w:val="none" w:sz="0" w:space="0" w:color="auto"/>
      </w:divBdr>
    </w:div>
    <w:div w:id="1929923837">
      <w:bodyDiv w:val="1"/>
      <w:marLeft w:val="0"/>
      <w:marRight w:val="0"/>
      <w:marTop w:val="0"/>
      <w:marBottom w:val="0"/>
      <w:divBdr>
        <w:top w:val="none" w:sz="0" w:space="0" w:color="auto"/>
        <w:left w:val="none" w:sz="0" w:space="0" w:color="auto"/>
        <w:bottom w:val="none" w:sz="0" w:space="0" w:color="auto"/>
        <w:right w:val="none" w:sz="0" w:space="0" w:color="auto"/>
      </w:divBdr>
    </w:div>
    <w:div w:id="1938370763">
      <w:bodyDiv w:val="1"/>
      <w:marLeft w:val="0"/>
      <w:marRight w:val="0"/>
      <w:marTop w:val="0"/>
      <w:marBottom w:val="0"/>
      <w:divBdr>
        <w:top w:val="none" w:sz="0" w:space="0" w:color="auto"/>
        <w:left w:val="none" w:sz="0" w:space="0" w:color="auto"/>
        <w:bottom w:val="none" w:sz="0" w:space="0" w:color="auto"/>
        <w:right w:val="none" w:sz="0" w:space="0" w:color="auto"/>
      </w:divBdr>
    </w:div>
    <w:div w:id="1955359160">
      <w:bodyDiv w:val="1"/>
      <w:marLeft w:val="0"/>
      <w:marRight w:val="0"/>
      <w:marTop w:val="0"/>
      <w:marBottom w:val="0"/>
      <w:divBdr>
        <w:top w:val="none" w:sz="0" w:space="0" w:color="auto"/>
        <w:left w:val="none" w:sz="0" w:space="0" w:color="auto"/>
        <w:bottom w:val="none" w:sz="0" w:space="0" w:color="auto"/>
        <w:right w:val="none" w:sz="0" w:space="0" w:color="auto"/>
      </w:divBdr>
    </w:div>
    <w:div w:id="1988050908">
      <w:bodyDiv w:val="1"/>
      <w:marLeft w:val="0"/>
      <w:marRight w:val="0"/>
      <w:marTop w:val="0"/>
      <w:marBottom w:val="0"/>
      <w:divBdr>
        <w:top w:val="none" w:sz="0" w:space="0" w:color="auto"/>
        <w:left w:val="none" w:sz="0" w:space="0" w:color="auto"/>
        <w:bottom w:val="none" w:sz="0" w:space="0" w:color="auto"/>
        <w:right w:val="none" w:sz="0" w:space="0" w:color="auto"/>
      </w:divBdr>
    </w:div>
    <w:div w:id="1999576309">
      <w:bodyDiv w:val="1"/>
      <w:marLeft w:val="0"/>
      <w:marRight w:val="0"/>
      <w:marTop w:val="0"/>
      <w:marBottom w:val="0"/>
      <w:divBdr>
        <w:top w:val="none" w:sz="0" w:space="0" w:color="auto"/>
        <w:left w:val="none" w:sz="0" w:space="0" w:color="auto"/>
        <w:bottom w:val="none" w:sz="0" w:space="0" w:color="auto"/>
        <w:right w:val="none" w:sz="0" w:space="0" w:color="auto"/>
      </w:divBdr>
    </w:div>
    <w:div w:id="2021468326">
      <w:bodyDiv w:val="1"/>
      <w:marLeft w:val="0"/>
      <w:marRight w:val="0"/>
      <w:marTop w:val="0"/>
      <w:marBottom w:val="0"/>
      <w:divBdr>
        <w:top w:val="none" w:sz="0" w:space="0" w:color="auto"/>
        <w:left w:val="none" w:sz="0" w:space="0" w:color="auto"/>
        <w:bottom w:val="none" w:sz="0" w:space="0" w:color="auto"/>
        <w:right w:val="none" w:sz="0" w:space="0" w:color="auto"/>
      </w:divBdr>
    </w:div>
    <w:div w:id="2027487593">
      <w:bodyDiv w:val="1"/>
      <w:marLeft w:val="0"/>
      <w:marRight w:val="0"/>
      <w:marTop w:val="0"/>
      <w:marBottom w:val="0"/>
      <w:divBdr>
        <w:top w:val="none" w:sz="0" w:space="0" w:color="auto"/>
        <w:left w:val="none" w:sz="0" w:space="0" w:color="auto"/>
        <w:bottom w:val="none" w:sz="0" w:space="0" w:color="auto"/>
        <w:right w:val="none" w:sz="0" w:space="0" w:color="auto"/>
      </w:divBdr>
    </w:div>
    <w:div w:id="2042323125">
      <w:bodyDiv w:val="1"/>
      <w:marLeft w:val="0"/>
      <w:marRight w:val="0"/>
      <w:marTop w:val="0"/>
      <w:marBottom w:val="0"/>
      <w:divBdr>
        <w:top w:val="none" w:sz="0" w:space="0" w:color="auto"/>
        <w:left w:val="none" w:sz="0" w:space="0" w:color="auto"/>
        <w:bottom w:val="none" w:sz="0" w:space="0" w:color="auto"/>
        <w:right w:val="none" w:sz="0" w:space="0" w:color="auto"/>
      </w:divBdr>
      <w:divsChild>
        <w:div w:id="295910472">
          <w:marLeft w:val="0"/>
          <w:marRight w:val="0"/>
          <w:marTop w:val="0"/>
          <w:marBottom w:val="120"/>
          <w:divBdr>
            <w:top w:val="none" w:sz="0" w:space="0" w:color="auto"/>
            <w:left w:val="none" w:sz="0" w:space="0" w:color="auto"/>
            <w:bottom w:val="none" w:sz="0" w:space="0" w:color="auto"/>
            <w:right w:val="none" w:sz="0" w:space="0" w:color="auto"/>
          </w:divBdr>
        </w:div>
        <w:div w:id="682820561">
          <w:marLeft w:val="0"/>
          <w:marRight w:val="0"/>
          <w:marTop w:val="0"/>
          <w:marBottom w:val="120"/>
          <w:divBdr>
            <w:top w:val="none" w:sz="0" w:space="0" w:color="auto"/>
            <w:left w:val="none" w:sz="0" w:space="0" w:color="auto"/>
            <w:bottom w:val="none" w:sz="0" w:space="0" w:color="auto"/>
            <w:right w:val="none" w:sz="0" w:space="0" w:color="auto"/>
          </w:divBdr>
        </w:div>
        <w:div w:id="1627001584">
          <w:marLeft w:val="0"/>
          <w:marRight w:val="0"/>
          <w:marTop w:val="0"/>
          <w:marBottom w:val="120"/>
          <w:divBdr>
            <w:top w:val="none" w:sz="0" w:space="0" w:color="auto"/>
            <w:left w:val="none" w:sz="0" w:space="0" w:color="auto"/>
            <w:bottom w:val="none" w:sz="0" w:space="0" w:color="auto"/>
            <w:right w:val="none" w:sz="0" w:space="0" w:color="auto"/>
          </w:divBdr>
        </w:div>
        <w:div w:id="260259434">
          <w:marLeft w:val="0"/>
          <w:marRight w:val="0"/>
          <w:marTop w:val="0"/>
          <w:marBottom w:val="120"/>
          <w:divBdr>
            <w:top w:val="none" w:sz="0" w:space="0" w:color="auto"/>
            <w:left w:val="none" w:sz="0" w:space="0" w:color="auto"/>
            <w:bottom w:val="none" w:sz="0" w:space="0" w:color="auto"/>
            <w:right w:val="none" w:sz="0" w:space="0" w:color="auto"/>
          </w:divBdr>
        </w:div>
        <w:div w:id="1959986796">
          <w:marLeft w:val="0"/>
          <w:marRight w:val="0"/>
          <w:marTop w:val="0"/>
          <w:marBottom w:val="120"/>
          <w:divBdr>
            <w:top w:val="none" w:sz="0" w:space="0" w:color="auto"/>
            <w:left w:val="none" w:sz="0" w:space="0" w:color="auto"/>
            <w:bottom w:val="none" w:sz="0" w:space="0" w:color="auto"/>
            <w:right w:val="none" w:sz="0" w:space="0" w:color="auto"/>
          </w:divBdr>
        </w:div>
        <w:div w:id="1606304974">
          <w:marLeft w:val="0"/>
          <w:marRight w:val="0"/>
          <w:marTop w:val="0"/>
          <w:marBottom w:val="120"/>
          <w:divBdr>
            <w:top w:val="none" w:sz="0" w:space="0" w:color="auto"/>
            <w:left w:val="none" w:sz="0" w:space="0" w:color="auto"/>
            <w:bottom w:val="none" w:sz="0" w:space="0" w:color="auto"/>
            <w:right w:val="none" w:sz="0" w:space="0" w:color="auto"/>
          </w:divBdr>
        </w:div>
        <w:div w:id="598610958">
          <w:marLeft w:val="0"/>
          <w:marRight w:val="0"/>
          <w:marTop w:val="0"/>
          <w:marBottom w:val="120"/>
          <w:divBdr>
            <w:top w:val="none" w:sz="0" w:space="0" w:color="auto"/>
            <w:left w:val="none" w:sz="0" w:space="0" w:color="auto"/>
            <w:bottom w:val="none" w:sz="0" w:space="0" w:color="auto"/>
            <w:right w:val="none" w:sz="0" w:space="0" w:color="auto"/>
          </w:divBdr>
        </w:div>
        <w:div w:id="2036996159">
          <w:marLeft w:val="0"/>
          <w:marRight w:val="0"/>
          <w:marTop w:val="0"/>
          <w:marBottom w:val="120"/>
          <w:divBdr>
            <w:top w:val="none" w:sz="0" w:space="0" w:color="auto"/>
            <w:left w:val="none" w:sz="0" w:space="0" w:color="auto"/>
            <w:bottom w:val="none" w:sz="0" w:space="0" w:color="auto"/>
            <w:right w:val="none" w:sz="0" w:space="0" w:color="auto"/>
          </w:divBdr>
        </w:div>
        <w:div w:id="989745158">
          <w:marLeft w:val="0"/>
          <w:marRight w:val="0"/>
          <w:marTop w:val="0"/>
          <w:marBottom w:val="120"/>
          <w:divBdr>
            <w:top w:val="none" w:sz="0" w:space="0" w:color="auto"/>
            <w:left w:val="none" w:sz="0" w:space="0" w:color="auto"/>
            <w:bottom w:val="none" w:sz="0" w:space="0" w:color="auto"/>
            <w:right w:val="none" w:sz="0" w:space="0" w:color="auto"/>
          </w:divBdr>
        </w:div>
        <w:div w:id="482695977">
          <w:marLeft w:val="0"/>
          <w:marRight w:val="0"/>
          <w:marTop w:val="0"/>
          <w:marBottom w:val="120"/>
          <w:divBdr>
            <w:top w:val="none" w:sz="0" w:space="0" w:color="auto"/>
            <w:left w:val="none" w:sz="0" w:space="0" w:color="auto"/>
            <w:bottom w:val="none" w:sz="0" w:space="0" w:color="auto"/>
            <w:right w:val="none" w:sz="0" w:space="0" w:color="auto"/>
          </w:divBdr>
        </w:div>
      </w:divsChild>
    </w:div>
    <w:div w:id="2050104607">
      <w:bodyDiv w:val="1"/>
      <w:marLeft w:val="0"/>
      <w:marRight w:val="0"/>
      <w:marTop w:val="0"/>
      <w:marBottom w:val="0"/>
      <w:divBdr>
        <w:top w:val="none" w:sz="0" w:space="0" w:color="auto"/>
        <w:left w:val="none" w:sz="0" w:space="0" w:color="auto"/>
        <w:bottom w:val="none" w:sz="0" w:space="0" w:color="auto"/>
        <w:right w:val="none" w:sz="0" w:space="0" w:color="auto"/>
      </w:divBdr>
    </w:div>
    <w:div w:id="2085910829">
      <w:bodyDiv w:val="1"/>
      <w:marLeft w:val="0"/>
      <w:marRight w:val="0"/>
      <w:marTop w:val="0"/>
      <w:marBottom w:val="0"/>
      <w:divBdr>
        <w:top w:val="none" w:sz="0" w:space="0" w:color="auto"/>
        <w:left w:val="none" w:sz="0" w:space="0" w:color="auto"/>
        <w:bottom w:val="none" w:sz="0" w:space="0" w:color="auto"/>
        <w:right w:val="none" w:sz="0" w:space="0" w:color="auto"/>
      </w:divBdr>
    </w:div>
    <w:div w:id="2093382614">
      <w:bodyDiv w:val="1"/>
      <w:marLeft w:val="0"/>
      <w:marRight w:val="0"/>
      <w:marTop w:val="0"/>
      <w:marBottom w:val="0"/>
      <w:divBdr>
        <w:top w:val="none" w:sz="0" w:space="0" w:color="auto"/>
        <w:left w:val="none" w:sz="0" w:space="0" w:color="auto"/>
        <w:bottom w:val="none" w:sz="0" w:space="0" w:color="auto"/>
        <w:right w:val="none" w:sz="0" w:space="0" w:color="auto"/>
      </w:divBdr>
      <w:divsChild>
        <w:div w:id="106196302">
          <w:marLeft w:val="1080"/>
          <w:marRight w:val="0"/>
          <w:marTop w:val="100"/>
          <w:marBottom w:val="0"/>
          <w:divBdr>
            <w:top w:val="none" w:sz="0" w:space="0" w:color="auto"/>
            <w:left w:val="none" w:sz="0" w:space="0" w:color="auto"/>
            <w:bottom w:val="none" w:sz="0" w:space="0" w:color="auto"/>
            <w:right w:val="none" w:sz="0" w:space="0" w:color="auto"/>
          </w:divBdr>
        </w:div>
      </w:divsChild>
    </w:div>
    <w:div w:id="2105567339">
      <w:bodyDiv w:val="1"/>
      <w:marLeft w:val="0"/>
      <w:marRight w:val="0"/>
      <w:marTop w:val="0"/>
      <w:marBottom w:val="0"/>
      <w:divBdr>
        <w:top w:val="none" w:sz="0" w:space="0" w:color="auto"/>
        <w:left w:val="none" w:sz="0" w:space="0" w:color="auto"/>
        <w:bottom w:val="none" w:sz="0" w:space="0" w:color="auto"/>
        <w:right w:val="none" w:sz="0" w:space="0" w:color="auto"/>
      </w:divBdr>
      <w:divsChild>
        <w:div w:id="1673265624">
          <w:marLeft w:val="720"/>
          <w:marRight w:val="0"/>
          <w:marTop w:val="120"/>
          <w:marBottom w:val="0"/>
          <w:divBdr>
            <w:top w:val="none" w:sz="0" w:space="0" w:color="auto"/>
            <w:left w:val="none" w:sz="0" w:space="0" w:color="auto"/>
            <w:bottom w:val="none" w:sz="0" w:space="0" w:color="auto"/>
            <w:right w:val="none" w:sz="0" w:space="0" w:color="auto"/>
          </w:divBdr>
        </w:div>
        <w:div w:id="1813786714">
          <w:marLeft w:val="720"/>
          <w:marRight w:val="0"/>
          <w:marTop w:val="120"/>
          <w:marBottom w:val="0"/>
          <w:divBdr>
            <w:top w:val="none" w:sz="0" w:space="0" w:color="auto"/>
            <w:left w:val="none" w:sz="0" w:space="0" w:color="auto"/>
            <w:bottom w:val="none" w:sz="0" w:space="0" w:color="auto"/>
            <w:right w:val="none" w:sz="0" w:space="0" w:color="auto"/>
          </w:divBdr>
        </w:div>
        <w:div w:id="1830248171">
          <w:marLeft w:val="720"/>
          <w:marRight w:val="0"/>
          <w:marTop w:val="120"/>
          <w:marBottom w:val="0"/>
          <w:divBdr>
            <w:top w:val="none" w:sz="0" w:space="0" w:color="auto"/>
            <w:left w:val="none" w:sz="0" w:space="0" w:color="auto"/>
            <w:bottom w:val="none" w:sz="0" w:space="0" w:color="auto"/>
            <w:right w:val="none" w:sz="0" w:space="0" w:color="auto"/>
          </w:divBdr>
        </w:div>
        <w:div w:id="1934822625">
          <w:marLeft w:val="720"/>
          <w:marRight w:val="0"/>
          <w:marTop w:val="120"/>
          <w:marBottom w:val="0"/>
          <w:divBdr>
            <w:top w:val="none" w:sz="0" w:space="0" w:color="auto"/>
            <w:left w:val="none" w:sz="0" w:space="0" w:color="auto"/>
            <w:bottom w:val="none" w:sz="0" w:space="0" w:color="auto"/>
            <w:right w:val="none" w:sz="0" w:space="0" w:color="auto"/>
          </w:divBdr>
        </w:div>
      </w:divsChild>
    </w:div>
    <w:div w:id="2117871371">
      <w:bodyDiv w:val="1"/>
      <w:marLeft w:val="0"/>
      <w:marRight w:val="0"/>
      <w:marTop w:val="0"/>
      <w:marBottom w:val="0"/>
      <w:divBdr>
        <w:top w:val="none" w:sz="0" w:space="0" w:color="auto"/>
        <w:left w:val="none" w:sz="0" w:space="0" w:color="auto"/>
        <w:bottom w:val="none" w:sz="0" w:space="0" w:color="auto"/>
        <w:right w:val="none" w:sz="0" w:space="0" w:color="auto"/>
      </w:divBdr>
      <w:divsChild>
        <w:div w:id="1622106636">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anluigi.savarese@ki.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02af59-7beb-4aaf-aab3-c4cafdcf6281" xsi:nil="true"/>
    <lcf76f155ced4ddcb4097134ff3c332f xmlns="6aee6e81-733e-4cb7-8da7-c81d91077ec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BC133DA7DDFB4BB2B6439B75BF3CA0" ma:contentTypeVersion="16" ma:contentTypeDescription="Create a new document." ma:contentTypeScope="" ma:versionID="a0fe2d9200b71344062090805f2201a6">
  <xsd:schema xmlns:xsd="http://www.w3.org/2001/XMLSchema" xmlns:xs="http://www.w3.org/2001/XMLSchema" xmlns:p="http://schemas.microsoft.com/office/2006/metadata/properties" xmlns:ns1="http://schemas.microsoft.com/sharepoint/v3" xmlns:ns2="6aee6e81-733e-4cb7-8da7-c81d91077ecb" xmlns:ns3="2802af59-7beb-4aaf-aab3-c4cafdcf6281" targetNamespace="http://schemas.microsoft.com/office/2006/metadata/properties" ma:root="true" ma:fieldsID="747c09421682133b4868107a3adaf497" ns1:_="" ns2:_="" ns3:_="">
    <xsd:import namespace="http://schemas.microsoft.com/sharepoint/v3"/>
    <xsd:import namespace="6aee6e81-733e-4cb7-8da7-c81d91077ecb"/>
    <xsd:import namespace="2802af59-7beb-4aaf-aab3-c4cafdcf6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e6e81-733e-4cb7-8da7-c81d91077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0e4ac1-d74f-4245-8f98-31dba38ca5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2af59-7beb-4aaf-aab3-c4cafdcf62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d80f8c-bf8c-4ea2-8916-b3fa8ce6b98c}" ma:internalName="TaxCatchAll" ma:showField="CatchAllData" ma:web="2802af59-7beb-4aaf-aab3-c4cafdcf6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3A190-FB65-4469-A50D-04DF87F7AE5F}">
  <ds:schemaRefs>
    <ds:schemaRef ds:uri="http://schemas.microsoft.com/office/2006/metadata/properties"/>
    <ds:schemaRef ds:uri="http://schemas.microsoft.com/office/infopath/2007/PartnerControls"/>
    <ds:schemaRef ds:uri="2802af59-7beb-4aaf-aab3-c4cafdcf6281"/>
    <ds:schemaRef ds:uri="6aee6e81-733e-4cb7-8da7-c81d91077ecb"/>
    <ds:schemaRef ds:uri="http://schemas.microsoft.com/sharepoint/v3"/>
  </ds:schemaRefs>
</ds:datastoreItem>
</file>

<file path=customXml/itemProps2.xml><?xml version="1.0" encoding="utf-8"?>
<ds:datastoreItem xmlns:ds="http://schemas.openxmlformats.org/officeDocument/2006/customXml" ds:itemID="{B1D969E2-FA67-4B12-A3FB-E261E9EF1C60}">
  <ds:schemaRefs>
    <ds:schemaRef ds:uri="http://schemas.openxmlformats.org/officeDocument/2006/bibliography"/>
  </ds:schemaRefs>
</ds:datastoreItem>
</file>

<file path=customXml/itemProps3.xml><?xml version="1.0" encoding="utf-8"?>
<ds:datastoreItem xmlns:ds="http://schemas.openxmlformats.org/officeDocument/2006/customXml" ds:itemID="{AEFEA481-2C8C-4E07-B528-80FAB5BA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e6e81-733e-4cb7-8da7-c81d91077ecb"/>
    <ds:schemaRef ds:uri="2802af59-7beb-4aaf-aab3-c4cafdcf6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77913-9F87-4229-AAB6-F0407B128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5658</Words>
  <Characters>32251</Characters>
  <Application>Microsoft Office Word</Application>
  <DocSecurity>0</DocSecurity>
  <Lines>268</Lines>
  <Paragraphs>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ALK</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Hoof (IHODK)</dc:creator>
  <cp:keywords/>
  <dc:description/>
  <cp:lastModifiedBy>Constantinos Bezos</cp:lastModifiedBy>
  <cp:revision>20</cp:revision>
  <cp:lastPrinted>2024-05-14T10:59:00Z</cp:lastPrinted>
  <dcterms:created xsi:type="dcterms:W3CDTF">2025-06-11T07:44:00Z</dcterms:created>
  <dcterms:modified xsi:type="dcterms:W3CDTF">2025-07-30T11:24:00Z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2023-11-16T12:35:04Z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9e7769e9-6fae-491b-b889-5f5904945150</vt:lpwstr>
  </property>
  <property fmtid="{D5CDD505-2E9C-101B-9397-08002B2CF9AE}" pid="7" name="MSIP_Label_defa4170-0d19-0005-0004-bc88714345d2_ActionId">
    <vt:lpwstr>a988bd35-c589-4417-9c27-e9c73ec20004</vt:lpwstr>
  </property>
  <property fmtid="{D5CDD505-2E9C-101B-9397-08002B2CF9AE}" pid="8" name="MSIP_Label_defa4170-0d19-0005-0004-bc88714345d2_ContentBits">
    <vt:lpwstr>0</vt:lpwstr>
  </property>
  <property fmtid="{D5CDD505-2E9C-101B-9397-08002B2CF9AE}" pid="9" name="ContentTypeId">
    <vt:lpwstr>0x01010041BC133DA7DDFB4BB2B6439B75BF3CA0</vt:lpwstr>
  </property>
  <property fmtid="{D5CDD505-2E9C-101B-9397-08002B2CF9AE}" pid="10" name="MediaServiceImageTags">
    <vt:lpwstr/>
  </property>
</Properties>
</file>