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C6338" w14:textId="77777777" w:rsidR="003F4633" w:rsidRPr="00E67B00" w:rsidRDefault="003F4633" w:rsidP="003F4633">
      <w:pPr>
        <w:adjustRightInd w:val="0"/>
        <w:snapToGrid w:val="0"/>
        <w:spacing w:before="0" w:after="360" w:line="260" w:lineRule="atLeast"/>
        <w:jc w:val="center"/>
        <w:rPr>
          <w:rFonts w:eastAsia="Times New Roman" w:cs="Times New Roman"/>
          <w:b/>
          <w:bCs/>
          <w:snapToGrid w:val="0"/>
          <w:color w:val="000000"/>
          <w:szCs w:val="24"/>
          <w:lang w:eastAsia="de-DE" w:bidi="en-US"/>
        </w:rPr>
      </w:pPr>
      <w:r w:rsidRPr="00E67B00">
        <w:rPr>
          <w:rFonts w:eastAsia="Times New Roman" w:cs="Times New Roman"/>
          <w:b/>
          <w:bCs/>
          <w:snapToGrid w:val="0"/>
          <w:color w:val="000000"/>
          <w:szCs w:val="24"/>
          <w:lang w:eastAsia="de-DE" w:bidi="en-US"/>
        </w:rPr>
        <w:t>Evaluating Infection Prevention and Control Programs in Zambian Hospitals using the WHO Infection Prevention and Control Assessment Framework (IPCAF) Tool</w:t>
      </w:r>
    </w:p>
    <w:p w14:paraId="614739C0" w14:textId="34EF6D89" w:rsidR="003F4633" w:rsidRPr="003F4633" w:rsidRDefault="003F4633" w:rsidP="003F4633">
      <w:pPr>
        <w:adjustRightInd w:val="0"/>
        <w:snapToGrid w:val="0"/>
        <w:spacing w:before="0" w:after="360" w:line="260" w:lineRule="atLeast"/>
        <w:jc w:val="both"/>
        <w:rPr>
          <w:rFonts w:eastAsia="Times New Roman" w:cs="Times New Roman"/>
          <w:color w:val="000000"/>
          <w:szCs w:val="24"/>
          <w:vertAlign w:val="superscript"/>
          <w:lang w:eastAsia="de-DE" w:bidi="en-US"/>
        </w:rPr>
      </w:pPr>
      <w:r w:rsidRPr="003F4633">
        <w:rPr>
          <w:rFonts w:eastAsia="Times New Roman" w:cs="Times New Roman"/>
          <w:color w:val="000000"/>
          <w:szCs w:val="24"/>
          <w:lang w:eastAsia="de-DE" w:bidi="en-US"/>
        </w:rPr>
        <w:t>Steward Mudenda</w:t>
      </w:r>
      <w:r w:rsidRPr="003F4633">
        <w:rPr>
          <w:rFonts w:eastAsia="Times New Roman" w:cs="Times New Roman"/>
          <w:color w:val="000000"/>
          <w:szCs w:val="24"/>
          <w:vertAlign w:val="superscript"/>
          <w:lang w:eastAsia="de-DE" w:bidi="en-US"/>
        </w:rPr>
        <w:t>1,2,3*</w:t>
      </w:r>
      <w:r w:rsidRPr="003F4633">
        <w:rPr>
          <w:rFonts w:eastAsia="Times New Roman" w:cs="Times New Roman"/>
          <w:color w:val="000000"/>
          <w:szCs w:val="24"/>
          <w:lang w:eastAsia="de-DE" w:bidi="en-US"/>
        </w:rPr>
        <w:t>, Joseph Yamweka Chizimu</w:t>
      </w:r>
      <w:r w:rsidRPr="003F4633">
        <w:rPr>
          <w:rFonts w:eastAsia="Times New Roman" w:cs="Times New Roman"/>
          <w:color w:val="000000"/>
          <w:szCs w:val="24"/>
          <w:vertAlign w:val="superscript"/>
          <w:lang w:eastAsia="de-DE" w:bidi="en-US"/>
        </w:rPr>
        <w:t>1</w:t>
      </w:r>
      <w:r w:rsidRPr="003F4633">
        <w:rPr>
          <w:rFonts w:eastAsia="Times New Roman" w:cs="Times New Roman"/>
          <w:color w:val="000000"/>
          <w:szCs w:val="24"/>
          <w:lang w:eastAsia="de-DE" w:bidi="en-US"/>
        </w:rPr>
        <w:t>, Linus Ndegwa</w:t>
      </w:r>
      <w:r w:rsidRPr="003F4633">
        <w:rPr>
          <w:rFonts w:eastAsia="Times New Roman" w:cs="Times New Roman"/>
          <w:color w:val="000000"/>
          <w:szCs w:val="24"/>
          <w:vertAlign w:val="superscript"/>
          <w:lang w:eastAsia="de-DE" w:bidi="en-US"/>
        </w:rPr>
        <w:t>4</w:t>
      </w:r>
      <w:r w:rsidRPr="003F4633">
        <w:rPr>
          <w:rFonts w:eastAsia="Times New Roman" w:cs="Times New Roman"/>
          <w:color w:val="000000"/>
          <w:szCs w:val="24"/>
          <w:lang w:eastAsia="de-DE" w:bidi="en-US"/>
        </w:rPr>
        <w:t>, Maisa Kasanga</w:t>
      </w:r>
      <w:r w:rsidRPr="003F4633">
        <w:rPr>
          <w:rFonts w:eastAsia="Times New Roman" w:cs="Times New Roman"/>
          <w:color w:val="000000"/>
          <w:szCs w:val="24"/>
          <w:vertAlign w:val="superscript"/>
          <w:lang w:eastAsia="de-DE" w:bidi="en-US"/>
        </w:rPr>
        <w:t>1,5</w:t>
      </w:r>
      <w:r w:rsidRPr="003F4633">
        <w:rPr>
          <w:rFonts w:eastAsia="Times New Roman" w:cs="Times New Roman"/>
          <w:color w:val="000000"/>
          <w:szCs w:val="24"/>
          <w:lang w:eastAsia="de-DE" w:bidi="en-US"/>
        </w:rPr>
        <w:t>, Ilunga Mutwale</w:t>
      </w:r>
      <w:r w:rsidRPr="003F4633">
        <w:rPr>
          <w:rFonts w:eastAsia="Times New Roman" w:cs="Times New Roman"/>
          <w:color w:val="000000"/>
          <w:szCs w:val="24"/>
          <w:vertAlign w:val="superscript"/>
          <w:lang w:eastAsia="de-DE" w:bidi="en-US"/>
        </w:rPr>
        <w:t>1,6</w:t>
      </w:r>
      <w:r w:rsidRPr="003F4633">
        <w:rPr>
          <w:rFonts w:eastAsia="Times New Roman" w:cs="Times New Roman"/>
          <w:color w:val="000000"/>
          <w:szCs w:val="24"/>
          <w:lang w:eastAsia="de-DE" w:bidi="en-US"/>
        </w:rPr>
        <w:t>, Aubrey Chichonyi Kalungia</w:t>
      </w:r>
      <w:r w:rsidRPr="003F4633">
        <w:rPr>
          <w:rFonts w:eastAsia="Times New Roman" w:cs="Times New Roman"/>
          <w:color w:val="000000"/>
          <w:szCs w:val="24"/>
          <w:vertAlign w:val="superscript"/>
          <w:lang w:eastAsia="de-DE" w:bidi="en-US"/>
        </w:rPr>
        <w:t>1,2</w:t>
      </w:r>
      <w:r w:rsidRPr="003F4633">
        <w:rPr>
          <w:rFonts w:eastAsia="Times New Roman" w:cs="Times New Roman"/>
          <w:color w:val="000000"/>
          <w:szCs w:val="24"/>
          <w:lang w:eastAsia="de-DE" w:bidi="en-US"/>
        </w:rPr>
        <w:t>, Evelyn Wesangula</w:t>
      </w:r>
      <w:r w:rsidRPr="003F4633">
        <w:rPr>
          <w:rFonts w:eastAsia="Times New Roman" w:cs="Times New Roman"/>
          <w:color w:val="000000"/>
          <w:szCs w:val="24"/>
          <w:vertAlign w:val="superscript"/>
          <w:lang w:eastAsia="de-DE" w:bidi="en-US"/>
        </w:rPr>
        <w:t>7</w:t>
      </w:r>
      <w:r w:rsidRPr="003F4633">
        <w:rPr>
          <w:rFonts w:eastAsia="Times New Roman" w:cs="Times New Roman"/>
          <w:color w:val="000000"/>
          <w:szCs w:val="24"/>
          <w:lang w:eastAsia="de-DE" w:bidi="en-US"/>
        </w:rPr>
        <w:t>, Adriano Focus Lubanga</w:t>
      </w:r>
      <w:r w:rsidRPr="003F4633">
        <w:rPr>
          <w:rFonts w:eastAsia="Times New Roman" w:cs="Times New Roman"/>
          <w:color w:val="000000"/>
          <w:szCs w:val="24"/>
          <w:vertAlign w:val="superscript"/>
          <w:lang w:eastAsia="de-DE" w:bidi="en-US"/>
        </w:rPr>
        <w:t>8,9</w:t>
      </w:r>
      <w:r w:rsidRPr="003F4633">
        <w:rPr>
          <w:rFonts w:eastAsia="Times New Roman" w:cs="Times New Roman"/>
          <w:color w:val="000000"/>
          <w:szCs w:val="24"/>
          <w:lang w:eastAsia="de-DE" w:bidi="en-US"/>
        </w:rPr>
        <w:t>, James CL Mwansa</w:t>
      </w:r>
      <w:r w:rsidRPr="003F4633">
        <w:rPr>
          <w:rFonts w:eastAsia="Times New Roman" w:cs="Times New Roman"/>
          <w:color w:val="000000"/>
          <w:szCs w:val="24"/>
          <w:vertAlign w:val="superscript"/>
          <w:lang w:eastAsia="de-DE" w:bidi="en-US"/>
        </w:rPr>
        <w:t>10</w:t>
      </w:r>
      <w:r w:rsidRPr="003F4633">
        <w:rPr>
          <w:rFonts w:eastAsia="Times New Roman" w:cs="Times New Roman"/>
          <w:color w:val="000000"/>
          <w:szCs w:val="24"/>
          <w:lang w:eastAsia="de-DE" w:bidi="en-US"/>
        </w:rPr>
        <w:t>, Martha Mwaba</w:t>
      </w:r>
      <w:r w:rsidRPr="003F4633">
        <w:rPr>
          <w:rFonts w:eastAsia="Times New Roman" w:cs="Times New Roman"/>
          <w:color w:val="000000"/>
          <w:szCs w:val="24"/>
          <w:vertAlign w:val="superscript"/>
          <w:lang w:eastAsia="de-DE" w:bidi="en-US"/>
        </w:rPr>
        <w:t>11,12</w:t>
      </w:r>
      <w:r w:rsidRPr="003F4633">
        <w:rPr>
          <w:rFonts w:eastAsia="Times New Roman" w:cs="Times New Roman"/>
          <w:color w:val="000000"/>
          <w:szCs w:val="24"/>
          <w:lang w:eastAsia="de-DE" w:bidi="en-US"/>
        </w:rPr>
        <w:t>, Amos Yared Massele</w:t>
      </w:r>
      <w:r w:rsidRPr="003F4633">
        <w:rPr>
          <w:rFonts w:eastAsia="Times New Roman" w:cs="Times New Roman"/>
          <w:color w:val="000000"/>
          <w:szCs w:val="24"/>
          <w:vertAlign w:val="superscript"/>
          <w:lang w:eastAsia="de-DE" w:bidi="en-US"/>
        </w:rPr>
        <w:t>13</w:t>
      </w:r>
      <w:r w:rsidRPr="003F4633">
        <w:rPr>
          <w:rFonts w:eastAsia="Times New Roman" w:cs="Times New Roman"/>
          <w:color w:val="000000"/>
          <w:szCs w:val="24"/>
          <w:lang w:eastAsia="de-DE" w:bidi="en-US"/>
        </w:rPr>
        <w:t>, Nyambe Sinyange</w:t>
      </w:r>
      <w:r w:rsidRPr="003F4633">
        <w:rPr>
          <w:rFonts w:eastAsia="Times New Roman" w:cs="Times New Roman"/>
          <w:color w:val="000000"/>
          <w:szCs w:val="24"/>
          <w:vertAlign w:val="superscript"/>
          <w:lang w:eastAsia="de-DE" w:bidi="en-US"/>
        </w:rPr>
        <w:t>1</w:t>
      </w:r>
      <w:r w:rsidRPr="003F4633">
        <w:rPr>
          <w:rFonts w:eastAsia="Times New Roman" w:cs="Times New Roman"/>
          <w:color w:val="000000"/>
          <w:szCs w:val="24"/>
          <w:lang w:eastAsia="de-DE" w:bidi="en-US"/>
        </w:rPr>
        <w:t>, Tapfumanei Mashe</w:t>
      </w:r>
      <w:r w:rsidRPr="003F4633">
        <w:rPr>
          <w:rFonts w:eastAsia="Times New Roman" w:cs="Times New Roman"/>
          <w:color w:val="000000"/>
          <w:szCs w:val="24"/>
          <w:vertAlign w:val="superscript"/>
          <w:lang w:eastAsia="de-DE" w:bidi="en-US"/>
        </w:rPr>
        <w:t>14</w:t>
      </w:r>
      <w:r w:rsidRPr="003F4633">
        <w:rPr>
          <w:rFonts w:eastAsia="Times New Roman" w:cs="Times New Roman"/>
          <w:color w:val="000000"/>
          <w:szCs w:val="24"/>
          <w:lang w:eastAsia="de-DE" w:bidi="en-US"/>
        </w:rPr>
        <w:t>, Malambo Mutila</w:t>
      </w:r>
      <w:r w:rsidRPr="003F4633">
        <w:rPr>
          <w:rFonts w:eastAsia="Times New Roman" w:cs="Times New Roman"/>
          <w:color w:val="000000"/>
          <w:szCs w:val="24"/>
          <w:vertAlign w:val="superscript"/>
          <w:lang w:eastAsia="de-DE" w:bidi="en-US"/>
        </w:rPr>
        <w:t>1</w:t>
      </w:r>
      <w:r w:rsidRPr="003F4633">
        <w:rPr>
          <w:rFonts w:eastAsia="Times New Roman" w:cs="Times New Roman"/>
          <w:color w:val="000000"/>
          <w:szCs w:val="24"/>
          <w:lang w:eastAsia="de-DE" w:bidi="en-US"/>
        </w:rPr>
        <w:t>, Paul Simujayang’ombe</w:t>
      </w:r>
      <w:r w:rsidRPr="003F4633">
        <w:rPr>
          <w:rFonts w:eastAsia="Times New Roman" w:cs="Times New Roman"/>
          <w:color w:val="000000"/>
          <w:szCs w:val="24"/>
          <w:vertAlign w:val="superscript"/>
          <w:lang w:eastAsia="de-DE" w:bidi="en-US"/>
        </w:rPr>
        <w:t>1</w:t>
      </w:r>
      <w:r w:rsidRPr="003F4633">
        <w:rPr>
          <w:rFonts w:eastAsia="Times New Roman" w:cs="Times New Roman"/>
          <w:color w:val="000000"/>
          <w:szCs w:val="24"/>
          <w:lang w:eastAsia="de-DE" w:bidi="en-US"/>
        </w:rPr>
        <w:t>, David Lowrance</w:t>
      </w:r>
      <w:r w:rsidRPr="003F4633">
        <w:rPr>
          <w:rFonts w:eastAsia="Times New Roman" w:cs="Times New Roman"/>
          <w:color w:val="000000"/>
          <w:szCs w:val="24"/>
          <w:vertAlign w:val="superscript"/>
          <w:lang w:eastAsia="de-DE" w:bidi="en-US"/>
        </w:rPr>
        <w:t>15</w:t>
      </w:r>
      <w:r w:rsidRPr="003F4633">
        <w:rPr>
          <w:rFonts w:eastAsia="Times New Roman" w:cs="Times New Roman"/>
          <w:color w:val="000000"/>
          <w:szCs w:val="24"/>
          <w:lang w:eastAsia="de-DE" w:bidi="en-US"/>
        </w:rPr>
        <w:t>, Kaunda Yamba</w:t>
      </w:r>
      <w:r w:rsidRPr="003F4633">
        <w:rPr>
          <w:rFonts w:eastAsia="Times New Roman" w:cs="Times New Roman"/>
          <w:color w:val="000000"/>
          <w:szCs w:val="24"/>
          <w:vertAlign w:val="superscript"/>
          <w:lang w:eastAsia="de-DE" w:bidi="en-US"/>
        </w:rPr>
        <w:t>16</w:t>
      </w:r>
      <w:r w:rsidRPr="003F4633">
        <w:rPr>
          <w:rFonts w:eastAsia="Times New Roman" w:cs="Times New Roman"/>
          <w:color w:val="000000"/>
          <w:szCs w:val="24"/>
          <w:lang w:eastAsia="de-DE" w:bidi="en-US"/>
        </w:rPr>
        <w:t>, Misheck Shawa</w:t>
      </w:r>
      <w:r w:rsidRPr="003F4633">
        <w:rPr>
          <w:rFonts w:eastAsia="Times New Roman" w:cs="Times New Roman"/>
          <w:color w:val="000000"/>
          <w:szCs w:val="24"/>
          <w:vertAlign w:val="superscript"/>
          <w:lang w:eastAsia="de-DE" w:bidi="en-US"/>
        </w:rPr>
        <w:t>17</w:t>
      </w:r>
      <w:r w:rsidRPr="003F4633">
        <w:rPr>
          <w:rFonts w:eastAsia="Times New Roman" w:cs="Times New Roman"/>
          <w:color w:val="000000"/>
          <w:szCs w:val="24"/>
          <w:lang w:eastAsia="de-DE" w:bidi="en-US"/>
        </w:rPr>
        <w:t>, Chie Nakajima</w:t>
      </w:r>
      <w:r w:rsidRPr="003F4633">
        <w:rPr>
          <w:rFonts w:eastAsia="Times New Roman" w:cs="Times New Roman"/>
          <w:color w:val="000000"/>
          <w:szCs w:val="24"/>
          <w:vertAlign w:val="superscript"/>
          <w:lang w:eastAsia="de-DE" w:bidi="en-US"/>
        </w:rPr>
        <w:t>18</w:t>
      </w:r>
      <w:r w:rsidRPr="003F4633">
        <w:rPr>
          <w:rFonts w:eastAsia="Times New Roman" w:cs="Times New Roman"/>
          <w:color w:val="000000"/>
          <w:szCs w:val="24"/>
          <w:lang w:eastAsia="de-DE" w:bidi="en-US"/>
        </w:rPr>
        <w:t>, Yasuhiko Suzuki</w:t>
      </w:r>
      <w:r w:rsidRPr="003F4633">
        <w:rPr>
          <w:rFonts w:eastAsia="Times New Roman" w:cs="Times New Roman"/>
          <w:color w:val="000000"/>
          <w:szCs w:val="24"/>
          <w:vertAlign w:val="superscript"/>
          <w:lang w:eastAsia="de-DE" w:bidi="en-US"/>
        </w:rPr>
        <w:t>18</w:t>
      </w:r>
      <w:r w:rsidRPr="003F4633">
        <w:rPr>
          <w:rFonts w:eastAsia="Times New Roman" w:cs="Times New Roman"/>
          <w:color w:val="000000"/>
          <w:szCs w:val="24"/>
          <w:lang w:eastAsia="de-DE" w:bidi="en-US"/>
        </w:rPr>
        <w:t>, John Bwalya Muma</w:t>
      </w:r>
      <w:r w:rsidRPr="003F4633">
        <w:rPr>
          <w:rFonts w:eastAsia="Times New Roman" w:cs="Times New Roman"/>
          <w:color w:val="000000"/>
          <w:szCs w:val="24"/>
          <w:vertAlign w:val="superscript"/>
          <w:lang w:eastAsia="de-DE" w:bidi="en-US"/>
        </w:rPr>
        <w:t>19</w:t>
      </w:r>
      <w:r w:rsidRPr="003F4633">
        <w:rPr>
          <w:rFonts w:eastAsia="Times New Roman" w:cs="Times New Roman"/>
          <w:color w:val="000000"/>
          <w:szCs w:val="24"/>
          <w:lang w:eastAsia="de-DE" w:bidi="en-US"/>
        </w:rPr>
        <w:t>, Massimo Sartelli</w:t>
      </w:r>
      <w:r w:rsidRPr="003F4633">
        <w:rPr>
          <w:rFonts w:eastAsia="Times New Roman" w:cs="Times New Roman"/>
          <w:color w:val="000000"/>
          <w:szCs w:val="24"/>
          <w:vertAlign w:val="superscript"/>
          <w:lang w:eastAsia="de-DE" w:bidi="en-US"/>
        </w:rPr>
        <w:t>20</w:t>
      </w:r>
      <w:r w:rsidRPr="003F4633">
        <w:rPr>
          <w:rFonts w:eastAsia="Times New Roman" w:cs="Times New Roman"/>
          <w:color w:val="000000"/>
          <w:szCs w:val="24"/>
          <w:lang w:eastAsia="de-DE" w:bidi="en-US"/>
        </w:rPr>
        <w:t>, Brian Godman</w:t>
      </w:r>
      <w:r w:rsidRPr="003F4633">
        <w:rPr>
          <w:rFonts w:eastAsia="Times New Roman" w:cs="Times New Roman"/>
          <w:color w:val="000000"/>
          <w:szCs w:val="24"/>
          <w:vertAlign w:val="superscript"/>
          <w:lang w:eastAsia="de-DE" w:bidi="en-US"/>
        </w:rPr>
        <w:t>21,22,23</w:t>
      </w:r>
      <w:r w:rsidRPr="003F4633">
        <w:rPr>
          <w:rFonts w:eastAsia="Times New Roman" w:cs="Times New Roman"/>
          <w:color w:val="000000"/>
          <w:szCs w:val="24"/>
          <w:lang w:eastAsia="de-DE" w:bidi="en-US"/>
        </w:rPr>
        <w:t>, Roma Chilengi</w:t>
      </w:r>
      <w:r w:rsidRPr="003F4633">
        <w:rPr>
          <w:rFonts w:eastAsia="Times New Roman" w:cs="Times New Roman"/>
          <w:color w:val="000000"/>
          <w:szCs w:val="24"/>
          <w:vertAlign w:val="superscript"/>
          <w:lang w:eastAsia="de-DE" w:bidi="en-US"/>
        </w:rPr>
        <w:t>1</w:t>
      </w:r>
    </w:p>
    <w:p w14:paraId="047F75DC" w14:textId="77777777" w:rsidR="003F4633" w:rsidRPr="003F4633" w:rsidRDefault="003F4633" w:rsidP="003F4633">
      <w:pPr>
        <w:spacing w:before="0" w:after="0"/>
        <w:jc w:val="both"/>
        <w:rPr>
          <w:rFonts w:eastAsia="Times New Roman" w:cs="Times New Roman"/>
          <w:color w:val="000000"/>
          <w:szCs w:val="24"/>
          <w:lang w:val="en" w:bidi="en-US"/>
        </w:rPr>
      </w:pPr>
      <w:r w:rsidRPr="003F4633">
        <w:rPr>
          <w:rFonts w:eastAsia="Times New Roman" w:cs="Times New Roman"/>
          <w:color w:val="000000"/>
          <w:szCs w:val="24"/>
          <w:vertAlign w:val="superscript"/>
          <w:lang w:val="en" w:bidi="en-US"/>
        </w:rPr>
        <w:t>1</w:t>
      </w:r>
      <w:r w:rsidRPr="003F4633">
        <w:rPr>
          <w:rFonts w:eastAsia="Times New Roman" w:cs="Times New Roman"/>
          <w:color w:val="000000"/>
          <w:szCs w:val="24"/>
          <w:lang w:val="en" w:bidi="en-US"/>
        </w:rPr>
        <w:t>Antimicrobial Resistance Coordinating Committee, Zambia National Public Health Institute, Lusaka, Zambia</w:t>
      </w:r>
    </w:p>
    <w:p w14:paraId="28D93D1C" w14:textId="77777777" w:rsidR="003F4633" w:rsidRPr="003F4633" w:rsidRDefault="003F4633" w:rsidP="003F4633">
      <w:pPr>
        <w:spacing w:before="0" w:after="0"/>
        <w:jc w:val="both"/>
        <w:rPr>
          <w:rFonts w:eastAsia="Times New Roman" w:cs="Times New Roman"/>
          <w:color w:val="000000"/>
          <w:szCs w:val="24"/>
          <w:lang w:val="en" w:bidi="en-US"/>
        </w:rPr>
      </w:pPr>
      <w:r w:rsidRPr="003F4633">
        <w:rPr>
          <w:rFonts w:eastAsia="Times New Roman" w:cs="Times New Roman"/>
          <w:color w:val="000000"/>
          <w:szCs w:val="24"/>
          <w:vertAlign w:val="superscript"/>
          <w:lang w:val="en" w:bidi="en-US"/>
        </w:rPr>
        <w:t>2</w:t>
      </w:r>
      <w:r w:rsidRPr="003F4633">
        <w:rPr>
          <w:rFonts w:eastAsia="Times New Roman" w:cs="Times New Roman"/>
          <w:color w:val="000000"/>
          <w:szCs w:val="24"/>
          <w:lang w:val="en" w:bidi="en-US"/>
        </w:rPr>
        <w:t>Department of Pharmacy, School of Health Sciences, University of Zambia, Lusaka, Zambia</w:t>
      </w:r>
    </w:p>
    <w:p w14:paraId="310A19E3" w14:textId="77777777" w:rsidR="003F4633" w:rsidRPr="003F4633" w:rsidRDefault="003F4633" w:rsidP="003F4633">
      <w:pPr>
        <w:spacing w:before="0" w:after="0"/>
        <w:jc w:val="both"/>
        <w:rPr>
          <w:rFonts w:eastAsia="Times New Roman" w:cs="Times New Roman"/>
          <w:color w:val="000000"/>
          <w:szCs w:val="24"/>
          <w:lang w:val="en" w:bidi="en-US"/>
        </w:rPr>
      </w:pPr>
      <w:r w:rsidRPr="003F4633">
        <w:rPr>
          <w:rFonts w:eastAsia="Times New Roman" w:cs="Times New Roman"/>
          <w:color w:val="000000"/>
          <w:szCs w:val="24"/>
          <w:vertAlign w:val="superscript"/>
          <w:lang w:val="en" w:bidi="en-US"/>
        </w:rPr>
        <w:t>3</w:t>
      </w:r>
      <w:r w:rsidRPr="003F4633">
        <w:rPr>
          <w:rFonts w:eastAsia="Times New Roman" w:cs="Times New Roman"/>
          <w:color w:val="000000"/>
          <w:szCs w:val="24"/>
          <w:lang w:val="en" w:bidi="en-US"/>
        </w:rPr>
        <w:t xml:space="preserve">Education and Continuous Professional Development Committee, Pharmaceutical Society of Zambia, Lusaka 10101, Zambia </w:t>
      </w:r>
    </w:p>
    <w:p w14:paraId="6B8FF493" w14:textId="77777777" w:rsidR="003F4633" w:rsidRPr="003F4633" w:rsidRDefault="003F4633" w:rsidP="003F4633">
      <w:pPr>
        <w:spacing w:before="0" w:after="0"/>
        <w:jc w:val="both"/>
        <w:rPr>
          <w:rFonts w:eastAsia="Times New Roman" w:cs="Times New Roman"/>
          <w:color w:val="000000"/>
          <w:szCs w:val="24"/>
          <w:lang w:val="en" w:bidi="en-US"/>
        </w:rPr>
      </w:pPr>
      <w:r w:rsidRPr="003F4633">
        <w:rPr>
          <w:rFonts w:eastAsia="Times New Roman" w:cs="Times New Roman"/>
          <w:color w:val="000000"/>
          <w:szCs w:val="24"/>
          <w:vertAlign w:val="superscript"/>
          <w:lang w:val="en" w:bidi="en-US"/>
        </w:rPr>
        <w:t>4</w:t>
      </w:r>
      <w:r w:rsidRPr="003F4633">
        <w:rPr>
          <w:rFonts w:eastAsia="Times New Roman" w:cs="Times New Roman"/>
          <w:color w:val="000000"/>
          <w:szCs w:val="24"/>
          <w:lang w:val="en" w:bidi="en-US"/>
        </w:rPr>
        <w:t>Infection prevention network-Kenya (IPNET-Kenya), Kenya</w:t>
      </w:r>
    </w:p>
    <w:p w14:paraId="0CA6A6D0" w14:textId="77777777" w:rsidR="003F4633" w:rsidRPr="003F4633" w:rsidRDefault="003F4633" w:rsidP="003F4633">
      <w:pPr>
        <w:spacing w:before="0" w:after="0"/>
        <w:jc w:val="both"/>
        <w:rPr>
          <w:rFonts w:eastAsia="Times New Roman" w:cs="Times New Roman"/>
          <w:color w:val="000000"/>
          <w:szCs w:val="24"/>
          <w:lang w:val="en" w:bidi="en-US"/>
        </w:rPr>
      </w:pPr>
      <w:r w:rsidRPr="003F4633">
        <w:rPr>
          <w:rFonts w:eastAsia="Times New Roman" w:cs="Times New Roman"/>
          <w:color w:val="000000"/>
          <w:szCs w:val="24"/>
          <w:vertAlign w:val="superscript"/>
          <w:lang w:val="en" w:bidi="en-US"/>
        </w:rPr>
        <w:t>5</w:t>
      </w:r>
      <w:r w:rsidRPr="003F4633">
        <w:rPr>
          <w:rFonts w:eastAsia="Times New Roman" w:cs="Times New Roman"/>
          <w:color w:val="000000"/>
          <w:szCs w:val="24"/>
          <w:lang w:val="en" w:bidi="en-US"/>
        </w:rPr>
        <w:t xml:space="preserve">Department of Pathology and Microbiology, University Teaching Hospitals, Lusaka, Zambia </w:t>
      </w:r>
    </w:p>
    <w:p w14:paraId="705A3354" w14:textId="77777777" w:rsidR="003F4633" w:rsidRPr="003F4633" w:rsidRDefault="003F4633" w:rsidP="003F4633">
      <w:pPr>
        <w:spacing w:before="0" w:after="0"/>
        <w:jc w:val="both"/>
        <w:rPr>
          <w:rFonts w:eastAsia="Times New Roman" w:cs="Times New Roman"/>
          <w:color w:val="000000"/>
          <w:szCs w:val="24"/>
          <w:lang w:val="en" w:bidi="en-US"/>
        </w:rPr>
      </w:pPr>
      <w:r w:rsidRPr="003F4633">
        <w:rPr>
          <w:rFonts w:eastAsia="Times New Roman" w:cs="Times New Roman"/>
          <w:color w:val="000000"/>
          <w:szCs w:val="24"/>
          <w:vertAlign w:val="superscript"/>
          <w:lang w:val="en" w:bidi="en-US"/>
        </w:rPr>
        <w:t>6</w:t>
      </w:r>
      <w:r w:rsidRPr="003F4633">
        <w:rPr>
          <w:rFonts w:eastAsia="Times New Roman" w:cs="Times New Roman"/>
          <w:color w:val="000000"/>
          <w:szCs w:val="24"/>
          <w:lang w:val="en" w:bidi="en-US"/>
        </w:rPr>
        <w:t>Department of Medicine, Kanyama Level 1 Hospital, Lusaka, Zambia</w:t>
      </w:r>
    </w:p>
    <w:p w14:paraId="4F701F71" w14:textId="77777777" w:rsidR="003F4633" w:rsidRPr="003F4633" w:rsidRDefault="003F4633" w:rsidP="003F4633">
      <w:pPr>
        <w:spacing w:before="0" w:after="0"/>
        <w:jc w:val="both"/>
        <w:rPr>
          <w:rFonts w:eastAsia="Times New Roman" w:cs="Times New Roman"/>
          <w:color w:val="000000"/>
          <w:szCs w:val="24"/>
          <w:lang w:val="en" w:bidi="en-US"/>
        </w:rPr>
      </w:pPr>
      <w:r w:rsidRPr="003F4633">
        <w:rPr>
          <w:rFonts w:eastAsia="Times New Roman" w:cs="Times New Roman"/>
          <w:color w:val="000000"/>
          <w:szCs w:val="24"/>
          <w:vertAlign w:val="superscript"/>
          <w:lang w:val="en" w:bidi="en-US"/>
        </w:rPr>
        <w:t>7</w:t>
      </w:r>
      <w:r w:rsidRPr="003F4633">
        <w:rPr>
          <w:rFonts w:eastAsia="Times New Roman" w:cs="Times New Roman"/>
          <w:color w:val="000000"/>
          <w:szCs w:val="24"/>
          <w:lang w:val="en" w:bidi="en-US"/>
        </w:rPr>
        <w:t>Strengthening Pandemic Preparedness, Eastern, Central, and Southern Africa Health Community, Arusha, Tanzania</w:t>
      </w:r>
    </w:p>
    <w:p w14:paraId="1B730AB2" w14:textId="77777777" w:rsidR="003F4633" w:rsidRPr="003F4633" w:rsidRDefault="003F4633" w:rsidP="003F4633">
      <w:pPr>
        <w:spacing w:before="0" w:after="0"/>
        <w:jc w:val="both"/>
        <w:rPr>
          <w:rFonts w:eastAsia="Times New Roman" w:cs="Times New Roman"/>
          <w:color w:val="000000"/>
          <w:szCs w:val="24"/>
          <w:lang w:val="en" w:bidi="en-US"/>
        </w:rPr>
      </w:pPr>
      <w:r w:rsidRPr="003F4633">
        <w:rPr>
          <w:rFonts w:eastAsia="Times New Roman" w:cs="Times New Roman"/>
          <w:color w:val="000000"/>
          <w:szCs w:val="24"/>
          <w:vertAlign w:val="superscript"/>
          <w:lang w:val="en" w:bidi="en-US"/>
        </w:rPr>
        <w:t>8</w:t>
      </w:r>
      <w:r w:rsidRPr="003F4633">
        <w:rPr>
          <w:rFonts w:eastAsia="Times New Roman" w:cs="Times New Roman"/>
          <w:color w:val="000000"/>
          <w:szCs w:val="24"/>
          <w:lang w:val="en" w:bidi="en-US"/>
        </w:rPr>
        <w:t>Education and Research, Clinical Research Education and Management Services (CREAMS), Lilongwe, Malawi</w:t>
      </w:r>
    </w:p>
    <w:p w14:paraId="276DFD92" w14:textId="77777777" w:rsidR="003F4633" w:rsidRPr="003F4633" w:rsidRDefault="003F4633" w:rsidP="003F4633">
      <w:pPr>
        <w:spacing w:before="0" w:after="0"/>
        <w:jc w:val="both"/>
        <w:rPr>
          <w:rFonts w:eastAsia="Times New Roman" w:cs="Times New Roman"/>
          <w:color w:val="000000"/>
          <w:szCs w:val="24"/>
          <w:lang w:val="en" w:bidi="en-US"/>
        </w:rPr>
      </w:pPr>
      <w:r w:rsidRPr="003F4633">
        <w:rPr>
          <w:rFonts w:eastAsia="Times New Roman" w:cs="Times New Roman"/>
          <w:color w:val="000000"/>
          <w:szCs w:val="24"/>
          <w:vertAlign w:val="superscript"/>
          <w:lang w:val="en" w:bidi="en-US"/>
        </w:rPr>
        <w:t>9</w:t>
      </w:r>
      <w:r w:rsidRPr="003F4633">
        <w:rPr>
          <w:rFonts w:eastAsia="Times New Roman" w:cs="Times New Roman"/>
          <w:color w:val="000000"/>
          <w:szCs w:val="24"/>
          <w:lang w:val="en" w:bidi="en-US"/>
        </w:rPr>
        <w:t>Department of Clinical Services, Kamuzu Central Hospital (KCH), Lilongwe, Malawi</w:t>
      </w:r>
    </w:p>
    <w:p w14:paraId="41A598A4" w14:textId="77777777" w:rsidR="003F4633" w:rsidRPr="003F4633" w:rsidRDefault="003F4633" w:rsidP="003F4633">
      <w:pPr>
        <w:spacing w:before="0" w:after="0"/>
        <w:jc w:val="both"/>
        <w:rPr>
          <w:rFonts w:eastAsia="Times New Roman" w:cs="Times New Roman"/>
          <w:color w:val="000000"/>
          <w:szCs w:val="24"/>
          <w:lang w:val="en" w:bidi="en-US"/>
        </w:rPr>
      </w:pPr>
      <w:r w:rsidRPr="003F4633">
        <w:rPr>
          <w:rFonts w:eastAsia="Times New Roman" w:cs="Times New Roman"/>
          <w:color w:val="000000"/>
          <w:szCs w:val="24"/>
          <w:vertAlign w:val="superscript"/>
          <w:lang w:val="en" w:bidi="en-US"/>
        </w:rPr>
        <w:t>10</w:t>
      </w:r>
      <w:r w:rsidRPr="003F4633">
        <w:rPr>
          <w:rFonts w:eastAsia="Times New Roman" w:cs="Times New Roman"/>
          <w:color w:val="000000"/>
          <w:szCs w:val="24"/>
          <w:lang w:val="en" w:bidi="en-US"/>
        </w:rPr>
        <w:t>Department of Medicine, Lusaka Apex Medical University, Lusaka, Zambia</w:t>
      </w:r>
    </w:p>
    <w:p w14:paraId="08DD93D0" w14:textId="77777777" w:rsidR="003F4633" w:rsidRPr="003F4633" w:rsidRDefault="003F4633" w:rsidP="003F4633">
      <w:pPr>
        <w:spacing w:before="0" w:after="0"/>
        <w:jc w:val="both"/>
        <w:rPr>
          <w:rFonts w:eastAsia="Times New Roman" w:cs="Times New Roman"/>
          <w:color w:val="000000"/>
          <w:szCs w:val="24"/>
          <w:lang w:val="en"/>
        </w:rPr>
      </w:pPr>
      <w:r w:rsidRPr="003F4633">
        <w:rPr>
          <w:rFonts w:eastAsia="Times New Roman" w:cs="Times New Roman"/>
          <w:color w:val="000000"/>
          <w:szCs w:val="24"/>
          <w:vertAlign w:val="superscript"/>
          <w:lang w:val="en"/>
        </w:rPr>
        <w:t>11</w:t>
      </w:r>
      <w:r w:rsidRPr="003F4633">
        <w:rPr>
          <w:rFonts w:eastAsia="Times New Roman" w:cs="Times New Roman"/>
          <w:color w:val="000000"/>
          <w:szCs w:val="24"/>
          <w:lang w:val="en"/>
        </w:rPr>
        <w:t>Resident Doctors Association of Zambia, Ministry of Health Zambia, Lusaka, Zambia</w:t>
      </w:r>
    </w:p>
    <w:p w14:paraId="377C49EF" w14:textId="77777777" w:rsidR="003F4633" w:rsidRPr="003F4633" w:rsidRDefault="003F4633" w:rsidP="003F4633">
      <w:pPr>
        <w:spacing w:before="0" w:after="0"/>
        <w:jc w:val="both"/>
        <w:rPr>
          <w:rFonts w:eastAsia="Times New Roman" w:cs="Times New Roman"/>
          <w:color w:val="000000"/>
          <w:szCs w:val="24"/>
          <w:lang w:val="en"/>
        </w:rPr>
      </w:pPr>
      <w:r w:rsidRPr="003F4633">
        <w:rPr>
          <w:rFonts w:eastAsia="Times New Roman" w:cs="Times New Roman"/>
          <w:color w:val="000000"/>
          <w:szCs w:val="24"/>
          <w:vertAlign w:val="superscript"/>
          <w:lang w:val="en"/>
        </w:rPr>
        <w:t>12</w:t>
      </w:r>
      <w:r w:rsidRPr="003F4633">
        <w:rPr>
          <w:rFonts w:eastAsia="Times New Roman" w:cs="Times New Roman"/>
          <w:color w:val="000000"/>
          <w:szCs w:val="24"/>
          <w:lang w:val="en"/>
        </w:rPr>
        <w:t>Sinazeze Hills Mini Hospital, Ministry of Health Zambia, Sinazongwe, Zambia</w:t>
      </w:r>
    </w:p>
    <w:p w14:paraId="362D3895" w14:textId="77777777" w:rsidR="003F4633" w:rsidRPr="003F4633" w:rsidRDefault="003F4633" w:rsidP="003F4633">
      <w:pPr>
        <w:spacing w:before="0" w:after="0"/>
        <w:jc w:val="both"/>
        <w:rPr>
          <w:rFonts w:eastAsia="Times New Roman" w:cs="Times New Roman"/>
          <w:color w:val="000000"/>
          <w:szCs w:val="24"/>
          <w:lang w:val="en" w:bidi="en-US"/>
        </w:rPr>
      </w:pPr>
      <w:r w:rsidRPr="003F4633">
        <w:rPr>
          <w:rFonts w:eastAsia="Times New Roman" w:cs="Times New Roman"/>
          <w:color w:val="000000"/>
          <w:szCs w:val="24"/>
          <w:vertAlign w:val="superscript"/>
          <w:lang w:val="en" w:bidi="en-US"/>
        </w:rPr>
        <w:t>13</w:t>
      </w:r>
      <w:r w:rsidRPr="003F4633">
        <w:rPr>
          <w:rFonts w:eastAsia="Times New Roman" w:cs="Times New Roman"/>
          <w:color w:val="000000"/>
          <w:szCs w:val="24"/>
          <w:lang w:val="en" w:bidi="en-US"/>
        </w:rPr>
        <w:t>Department of Clinical Pharmacology and Therapeutics, Kairuki University, 70 Chwaku Road Mikocheni, Dar Es Salaam P.O. Box 65300, Tanzania</w:t>
      </w:r>
    </w:p>
    <w:p w14:paraId="7FE06F09" w14:textId="77777777" w:rsidR="003F4633" w:rsidRPr="003F4633" w:rsidRDefault="003F4633" w:rsidP="003F4633">
      <w:pPr>
        <w:spacing w:before="0" w:after="0"/>
        <w:jc w:val="both"/>
        <w:rPr>
          <w:rFonts w:eastAsia="Times New Roman" w:cs="Times New Roman"/>
          <w:color w:val="000000"/>
          <w:szCs w:val="24"/>
          <w:lang w:val="en" w:bidi="en-US"/>
        </w:rPr>
      </w:pPr>
      <w:r w:rsidRPr="003F4633">
        <w:rPr>
          <w:rFonts w:eastAsia="Times New Roman" w:cs="Times New Roman"/>
          <w:color w:val="000000"/>
          <w:szCs w:val="24"/>
          <w:vertAlign w:val="superscript"/>
          <w:lang w:val="en" w:bidi="en-US"/>
        </w:rPr>
        <w:t>14</w:t>
      </w:r>
      <w:r w:rsidRPr="003F4633">
        <w:rPr>
          <w:rFonts w:eastAsia="Times New Roman" w:cs="Times New Roman"/>
          <w:color w:val="000000"/>
          <w:szCs w:val="24"/>
          <w:lang w:val="en" w:bidi="en-US"/>
        </w:rPr>
        <w:t>Health Systems Strengthening Unit, World Health Organization, Zimbabwe</w:t>
      </w:r>
    </w:p>
    <w:p w14:paraId="6010B456" w14:textId="77777777" w:rsidR="003F4633" w:rsidRPr="003F4633" w:rsidRDefault="003F4633" w:rsidP="003F4633">
      <w:pPr>
        <w:spacing w:before="0" w:after="0"/>
        <w:jc w:val="both"/>
        <w:rPr>
          <w:rFonts w:eastAsia="Times New Roman" w:cs="Times New Roman"/>
          <w:color w:val="000000"/>
          <w:szCs w:val="24"/>
          <w:lang w:val="en" w:bidi="en-US"/>
        </w:rPr>
      </w:pPr>
      <w:r w:rsidRPr="003F4633">
        <w:rPr>
          <w:rFonts w:eastAsia="Times New Roman" w:cs="Times New Roman"/>
          <w:color w:val="000000"/>
          <w:szCs w:val="24"/>
          <w:vertAlign w:val="superscript"/>
          <w:lang w:val="en" w:bidi="en-US"/>
        </w:rPr>
        <w:t>15</w:t>
      </w:r>
      <w:r w:rsidRPr="003F4633">
        <w:rPr>
          <w:rFonts w:eastAsia="Times New Roman" w:cs="Times New Roman"/>
          <w:color w:val="000000"/>
          <w:szCs w:val="24"/>
          <w:lang w:val="en" w:bidi="en-US"/>
        </w:rPr>
        <w:t>The Global Fund, Geneva 1201, Switzerland</w:t>
      </w:r>
    </w:p>
    <w:p w14:paraId="7BE3420C" w14:textId="77777777" w:rsidR="003F4633" w:rsidRPr="003F4633" w:rsidRDefault="003F4633" w:rsidP="003F4633">
      <w:pPr>
        <w:spacing w:before="0" w:after="0"/>
        <w:jc w:val="both"/>
        <w:rPr>
          <w:rFonts w:eastAsia="Times New Roman" w:cs="Times New Roman"/>
          <w:color w:val="000000"/>
          <w:szCs w:val="24"/>
          <w:lang w:val="en" w:bidi="en-US"/>
        </w:rPr>
      </w:pPr>
      <w:r w:rsidRPr="003F4633">
        <w:rPr>
          <w:rFonts w:eastAsia="Times New Roman" w:cs="Times New Roman"/>
          <w:color w:val="000000"/>
          <w:szCs w:val="24"/>
          <w:vertAlign w:val="superscript"/>
          <w:lang w:val="en" w:bidi="en-US"/>
        </w:rPr>
        <w:t>16</w:t>
      </w:r>
      <w:r w:rsidRPr="003F4633">
        <w:rPr>
          <w:rFonts w:eastAsia="Times New Roman" w:cs="Times New Roman"/>
          <w:color w:val="000000"/>
          <w:szCs w:val="24"/>
          <w:lang w:val="en" w:bidi="en-US"/>
        </w:rPr>
        <w:t>Action on Antibiotic Resistance (ReAct) Africa, Lusaka, Zambia</w:t>
      </w:r>
    </w:p>
    <w:p w14:paraId="5869BB65" w14:textId="77777777" w:rsidR="003F4633" w:rsidRPr="003F4633" w:rsidRDefault="003F4633" w:rsidP="003F4633">
      <w:pPr>
        <w:spacing w:before="0" w:after="0"/>
        <w:jc w:val="both"/>
        <w:rPr>
          <w:rFonts w:eastAsia="Times New Roman" w:cs="Times New Roman"/>
          <w:color w:val="000000"/>
          <w:szCs w:val="24"/>
          <w:lang w:val="it-IT"/>
        </w:rPr>
      </w:pPr>
      <w:r w:rsidRPr="003F4633">
        <w:rPr>
          <w:rFonts w:eastAsia="Times New Roman" w:cs="Times New Roman"/>
          <w:color w:val="000000"/>
          <w:szCs w:val="24"/>
          <w:vertAlign w:val="superscript"/>
          <w:lang w:val="it-IT"/>
        </w:rPr>
        <w:t>17</w:t>
      </w:r>
      <w:r w:rsidRPr="003F4633">
        <w:rPr>
          <w:rFonts w:eastAsia="Times New Roman" w:cs="Times New Roman"/>
          <w:color w:val="000000"/>
          <w:szCs w:val="24"/>
          <w:lang w:val="it-IT"/>
        </w:rPr>
        <w:t>Hokudai Center for Zoonosis Control in Zambia, Hokkaido University, Lusaka, Zambia</w:t>
      </w:r>
    </w:p>
    <w:p w14:paraId="6B470767" w14:textId="77777777" w:rsidR="003F4633" w:rsidRPr="003F4633" w:rsidRDefault="003F4633" w:rsidP="003F4633">
      <w:pPr>
        <w:spacing w:before="0" w:after="0"/>
        <w:jc w:val="both"/>
        <w:rPr>
          <w:rFonts w:eastAsia="Times New Roman" w:cs="Times New Roman"/>
          <w:color w:val="000000"/>
          <w:szCs w:val="24"/>
          <w:lang w:val="en" w:bidi="en-US"/>
        </w:rPr>
      </w:pPr>
      <w:r w:rsidRPr="003F4633">
        <w:rPr>
          <w:rFonts w:eastAsia="Times New Roman" w:cs="Times New Roman"/>
          <w:color w:val="000000"/>
          <w:szCs w:val="24"/>
          <w:vertAlign w:val="superscript"/>
          <w:lang w:val="en" w:bidi="en-US"/>
        </w:rPr>
        <w:t>18</w:t>
      </w:r>
      <w:r w:rsidRPr="003F4633">
        <w:rPr>
          <w:rFonts w:eastAsia="Times New Roman" w:cs="Times New Roman"/>
          <w:color w:val="000000"/>
          <w:szCs w:val="24"/>
          <w:lang w:val="en" w:bidi="en-US"/>
        </w:rPr>
        <w:t xml:space="preserve">Division of Bioresources, Hokkaido University International Institute for Zoonosis Control, Sapporo, Japan </w:t>
      </w:r>
    </w:p>
    <w:p w14:paraId="1EF3E1F9" w14:textId="77777777" w:rsidR="003F4633" w:rsidRPr="003F4633" w:rsidRDefault="003F4633" w:rsidP="003F4633">
      <w:pPr>
        <w:spacing w:before="0" w:after="0"/>
        <w:jc w:val="both"/>
        <w:rPr>
          <w:rFonts w:eastAsia="Times New Roman" w:cs="Times New Roman"/>
          <w:color w:val="000000"/>
          <w:szCs w:val="24"/>
          <w:lang w:val="en" w:bidi="en-US"/>
        </w:rPr>
      </w:pPr>
      <w:r w:rsidRPr="003F4633">
        <w:rPr>
          <w:rFonts w:eastAsia="Times New Roman" w:cs="Times New Roman"/>
          <w:color w:val="000000"/>
          <w:szCs w:val="24"/>
          <w:vertAlign w:val="superscript"/>
          <w:lang w:val="en" w:bidi="en-US"/>
        </w:rPr>
        <w:t>19</w:t>
      </w:r>
      <w:r w:rsidRPr="003F4633">
        <w:rPr>
          <w:rFonts w:eastAsia="Times New Roman" w:cs="Times New Roman"/>
          <w:color w:val="000000"/>
          <w:szCs w:val="24"/>
          <w:lang w:val="en" w:bidi="en-US"/>
        </w:rPr>
        <w:t>Department of Disease Control, School of Veterinary Medicine, University of Zambia, Lusaka, Zambia</w:t>
      </w:r>
    </w:p>
    <w:p w14:paraId="0D30C223" w14:textId="77777777" w:rsidR="003F4633" w:rsidRPr="003F4633" w:rsidRDefault="003F4633" w:rsidP="003F4633">
      <w:pPr>
        <w:spacing w:before="0" w:after="0"/>
        <w:jc w:val="both"/>
        <w:rPr>
          <w:rFonts w:eastAsia="Times New Roman" w:cs="Times New Roman"/>
          <w:color w:val="000000"/>
          <w:szCs w:val="24"/>
          <w:lang w:val="en" w:bidi="en-US"/>
        </w:rPr>
      </w:pPr>
      <w:r w:rsidRPr="003F4633">
        <w:rPr>
          <w:rFonts w:eastAsia="Times New Roman" w:cs="Times New Roman"/>
          <w:color w:val="000000"/>
          <w:szCs w:val="24"/>
          <w:vertAlign w:val="superscript"/>
          <w:lang w:val="en" w:bidi="en-US"/>
        </w:rPr>
        <w:t>20</w:t>
      </w:r>
      <w:r w:rsidRPr="003F4633">
        <w:rPr>
          <w:rFonts w:eastAsia="Times New Roman" w:cs="Times New Roman"/>
          <w:color w:val="000000"/>
          <w:szCs w:val="24"/>
          <w:lang w:val="en" w:bidi="en-US"/>
        </w:rPr>
        <w:t>Department of Surgery, Macerata Hospital, Macerata, Italy</w:t>
      </w:r>
    </w:p>
    <w:p w14:paraId="2294606E" w14:textId="77777777" w:rsidR="003F4633" w:rsidRPr="003F4633" w:rsidRDefault="003F4633" w:rsidP="003F4633">
      <w:pPr>
        <w:spacing w:before="0" w:after="0"/>
        <w:jc w:val="both"/>
        <w:rPr>
          <w:rFonts w:eastAsia="Times New Roman" w:cs="Times New Roman"/>
          <w:color w:val="000000"/>
          <w:szCs w:val="24"/>
          <w:lang w:val="en" w:bidi="en-US"/>
        </w:rPr>
      </w:pPr>
      <w:r w:rsidRPr="003F4633">
        <w:rPr>
          <w:rFonts w:eastAsia="Times New Roman" w:cs="Times New Roman"/>
          <w:color w:val="000000"/>
          <w:szCs w:val="24"/>
          <w:vertAlign w:val="superscript"/>
          <w:lang w:val="en" w:bidi="en-US"/>
        </w:rPr>
        <w:t>21</w:t>
      </w:r>
      <w:r w:rsidRPr="003F4633">
        <w:rPr>
          <w:rFonts w:eastAsia="Times New Roman" w:cs="Times New Roman"/>
          <w:color w:val="000000"/>
          <w:szCs w:val="24"/>
          <w:lang w:val="en" w:bidi="en-US"/>
        </w:rPr>
        <w:t>Department of Public Health Pharmacy and Management, School of Pharmacy, Sefako Makgatho Health Sciences University, Garankuwa, Pretoria, South Africa</w:t>
      </w:r>
    </w:p>
    <w:p w14:paraId="314419C7" w14:textId="77777777" w:rsidR="003F4633" w:rsidRPr="003F4633" w:rsidRDefault="003F4633" w:rsidP="003F4633">
      <w:pPr>
        <w:spacing w:before="0" w:after="0"/>
        <w:jc w:val="both"/>
        <w:rPr>
          <w:rFonts w:eastAsia="Times New Roman" w:cs="Times New Roman"/>
          <w:color w:val="000000"/>
          <w:szCs w:val="24"/>
          <w:lang w:val="en" w:bidi="en-US"/>
        </w:rPr>
      </w:pPr>
      <w:r w:rsidRPr="003F4633">
        <w:rPr>
          <w:rFonts w:eastAsia="Times New Roman" w:cs="Times New Roman"/>
          <w:color w:val="000000"/>
          <w:szCs w:val="24"/>
          <w:vertAlign w:val="superscript"/>
          <w:lang w:val="en" w:bidi="en-US"/>
        </w:rPr>
        <w:t>22</w:t>
      </w:r>
      <w:r w:rsidRPr="003F4633">
        <w:rPr>
          <w:rFonts w:eastAsia="Times New Roman" w:cs="Times New Roman"/>
          <w:color w:val="000000"/>
          <w:szCs w:val="24"/>
          <w:lang w:val="en" w:bidi="en-US"/>
        </w:rPr>
        <w:t>Department of Pharmacoepidemiology, Strathclyde Institute of Pharmacy and Biomedical Sciences, University of Strathclyde, Glasgow, UK</w:t>
      </w:r>
    </w:p>
    <w:p w14:paraId="1C9DBB84" w14:textId="77777777" w:rsidR="003F4633" w:rsidRPr="003F4633" w:rsidRDefault="003F4633" w:rsidP="003F4633">
      <w:pPr>
        <w:spacing w:before="0" w:after="0"/>
        <w:jc w:val="both"/>
        <w:rPr>
          <w:rFonts w:eastAsia="Times New Roman" w:cs="Times New Roman"/>
          <w:color w:val="000000"/>
          <w:szCs w:val="24"/>
          <w:lang w:val="en" w:bidi="en-US"/>
        </w:rPr>
      </w:pPr>
      <w:r w:rsidRPr="003F4633">
        <w:rPr>
          <w:rFonts w:eastAsia="Times New Roman" w:cs="Times New Roman"/>
          <w:color w:val="000000"/>
          <w:szCs w:val="24"/>
          <w:vertAlign w:val="superscript"/>
          <w:lang w:val="en" w:bidi="en-US"/>
        </w:rPr>
        <w:t>23</w:t>
      </w:r>
      <w:r w:rsidRPr="003F4633">
        <w:rPr>
          <w:rFonts w:eastAsia="Times New Roman" w:cs="Times New Roman"/>
          <w:color w:val="000000"/>
          <w:szCs w:val="24"/>
          <w:lang w:val="en" w:bidi="en-US"/>
        </w:rPr>
        <w:t>Antibiotic Policy Group, Institute for Infection and Immunity, City St. George’s, University of London, London SW17 0RE, UK</w:t>
      </w:r>
    </w:p>
    <w:p w14:paraId="51FFA38D" w14:textId="77777777" w:rsidR="003F4633" w:rsidRDefault="003F4633" w:rsidP="003F4633">
      <w:pPr>
        <w:spacing w:before="0" w:after="0"/>
        <w:jc w:val="both"/>
        <w:rPr>
          <w:rFonts w:eastAsia="Times New Roman" w:cs="Times New Roman"/>
          <w:color w:val="000000"/>
          <w:szCs w:val="24"/>
          <w:lang w:val="en"/>
        </w:rPr>
      </w:pPr>
    </w:p>
    <w:p w14:paraId="6A2F70B8" w14:textId="77777777" w:rsidR="003F4633" w:rsidRPr="003F4633" w:rsidRDefault="003F4633" w:rsidP="003F4633">
      <w:pPr>
        <w:spacing w:before="0" w:after="0"/>
        <w:jc w:val="both"/>
        <w:rPr>
          <w:rFonts w:eastAsia="Times New Roman" w:cs="Times New Roman"/>
          <w:color w:val="000000"/>
          <w:szCs w:val="24"/>
          <w:lang w:val="en"/>
        </w:rPr>
      </w:pPr>
      <w:r w:rsidRPr="003F4633">
        <w:rPr>
          <w:rFonts w:eastAsia="Times New Roman" w:cs="Times New Roman"/>
          <w:color w:val="000000"/>
          <w:szCs w:val="24"/>
          <w:lang w:val="en"/>
        </w:rPr>
        <w:t xml:space="preserve">Correspondence: </w:t>
      </w:r>
      <w:hyperlink r:id="rId12" w:history="1">
        <w:r w:rsidRPr="003F4633">
          <w:rPr>
            <w:rFonts w:eastAsia="Times New Roman" w:cs="Times New Roman"/>
            <w:color w:val="0000FF"/>
            <w:szCs w:val="24"/>
            <w:u w:val="single"/>
            <w:lang w:val="en"/>
          </w:rPr>
          <w:t>steward.mudenda@unza.ac.zm</w:t>
        </w:r>
      </w:hyperlink>
    </w:p>
    <w:p w14:paraId="390444C5" w14:textId="77777777" w:rsidR="003F4633" w:rsidRDefault="003F4633" w:rsidP="003F4633">
      <w:pPr>
        <w:spacing w:before="0" w:after="0" w:line="480" w:lineRule="auto"/>
        <w:jc w:val="both"/>
        <w:rPr>
          <w:rFonts w:eastAsia="Times New Roman" w:cs="Times New Roman"/>
          <w:b/>
          <w:color w:val="000000"/>
          <w:szCs w:val="24"/>
          <w:lang w:val="en"/>
        </w:rPr>
      </w:pPr>
    </w:p>
    <w:p w14:paraId="64EADA5C" w14:textId="6619635D" w:rsidR="002F1C0E" w:rsidRPr="003F4633" w:rsidRDefault="002F1C0E" w:rsidP="003F4633">
      <w:pPr>
        <w:spacing w:before="0" w:after="0" w:line="480" w:lineRule="auto"/>
        <w:jc w:val="both"/>
        <w:rPr>
          <w:rFonts w:eastAsia="Times New Roman" w:cs="Times New Roman"/>
          <w:b/>
          <w:color w:val="000000"/>
          <w:szCs w:val="24"/>
          <w:lang w:val="en"/>
        </w:rPr>
      </w:pPr>
      <w:r>
        <w:rPr>
          <w:rFonts w:eastAsia="Times New Roman" w:cs="Times New Roman"/>
          <w:b/>
          <w:color w:val="000000"/>
          <w:szCs w:val="24"/>
          <w:lang w:val="en"/>
        </w:rPr>
        <w:lastRenderedPageBreak/>
        <w:t>(Accepted for publication – Frontiers)</w:t>
      </w:r>
    </w:p>
    <w:p w14:paraId="73CF120E" w14:textId="77777777" w:rsidR="003F4633" w:rsidRPr="003F4633" w:rsidRDefault="003F4633" w:rsidP="003F4633">
      <w:pPr>
        <w:spacing w:before="0" w:after="0" w:line="480" w:lineRule="auto"/>
        <w:jc w:val="both"/>
        <w:rPr>
          <w:rFonts w:eastAsia="Times New Roman" w:cs="Times New Roman"/>
          <w:b/>
          <w:color w:val="000000"/>
          <w:szCs w:val="24"/>
          <w:lang w:val="en"/>
        </w:rPr>
      </w:pPr>
      <w:r w:rsidRPr="003F4633">
        <w:rPr>
          <w:rFonts w:eastAsia="Times New Roman" w:cs="Times New Roman"/>
          <w:b/>
          <w:color w:val="000000"/>
          <w:szCs w:val="24"/>
          <w:lang w:val="en"/>
        </w:rPr>
        <w:t>Abstract</w:t>
      </w:r>
    </w:p>
    <w:p w14:paraId="66631F7F" w14:textId="2D8C5B35" w:rsidR="003F4633" w:rsidRPr="003F4633" w:rsidRDefault="003F4633" w:rsidP="003F4633">
      <w:pPr>
        <w:spacing w:before="0" w:after="0" w:line="360" w:lineRule="auto"/>
        <w:jc w:val="both"/>
        <w:rPr>
          <w:rFonts w:eastAsia="Times New Roman" w:cs="Times New Roman"/>
          <w:b/>
          <w:szCs w:val="24"/>
          <w:lang w:val="en"/>
        </w:rPr>
      </w:pPr>
      <w:r>
        <w:rPr>
          <w:rFonts w:eastAsia="Times New Roman" w:cs="Times New Roman"/>
          <w:b/>
          <w:szCs w:val="24"/>
          <w:lang w:val="en"/>
        </w:rPr>
        <w:t xml:space="preserve">Background: </w:t>
      </w:r>
      <w:r w:rsidRPr="003F4633">
        <w:rPr>
          <w:rFonts w:eastAsia="Times New Roman" w:cs="Times New Roman"/>
          <w:szCs w:val="24"/>
          <w:lang w:val="en" w:bidi="en-US"/>
        </w:rPr>
        <w:t xml:space="preserve">Infection Prevention and Control (IPC) is key to preventing healthcare-associated infections (HAIs) and the spread of antimicrobial resistance (AMR). This study evaluated the implementation of IPC in Zambian hospitals. </w:t>
      </w:r>
    </w:p>
    <w:p w14:paraId="66E2D9F6" w14:textId="24BC2F29" w:rsidR="003F4633" w:rsidRPr="003F4633" w:rsidRDefault="003F4633" w:rsidP="003F4633">
      <w:pPr>
        <w:spacing w:before="0" w:after="0" w:line="360" w:lineRule="auto"/>
        <w:jc w:val="both"/>
        <w:rPr>
          <w:rFonts w:eastAsia="Times New Roman" w:cs="Times New Roman"/>
          <w:b/>
          <w:szCs w:val="24"/>
          <w:lang w:val="en" w:bidi="en-US"/>
        </w:rPr>
      </w:pPr>
      <w:r w:rsidRPr="003F4633">
        <w:rPr>
          <w:rFonts w:eastAsia="Times New Roman" w:cs="Times New Roman"/>
          <w:b/>
          <w:szCs w:val="24"/>
          <w:lang w:val="en" w:bidi="en-US"/>
        </w:rPr>
        <w:t>M</w:t>
      </w:r>
      <w:r>
        <w:rPr>
          <w:rFonts w:eastAsia="Times New Roman" w:cs="Times New Roman"/>
          <w:b/>
          <w:szCs w:val="24"/>
          <w:lang w:val="en" w:bidi="en-US"/>
        </w:rPr>
        <w:t xml:space="preserve">aterials and methods: </w:t>
      </w:r>
      <w:r w:rsidRPr="003F4633">
        <w:rPr>
          <w:rFonts w:eastAsia="Times New Roman" w:cs="Times New Roman"/>
          <w:szCs w:val="24"/>
          <w:lang w:val="en" w:bidi="en-US"/>
        </w:rPr>
        <w:t>We conducted a</w:t>
      </w:r>
      <w:r w:rsidR="00756AF4" w:rsidRPr="00756AF4">
        <w:rPr>
          <w:rFonts w:eastAsia="Times New Roman" w:cs="Times New Roman"/>
          <w:color w:val="FF0000"/>
          <w:szCs w:val="24"/>
          <w:lang w:val="en" w:bidi="en-US"/>
        </w:rPr>
        <w:t xml:space="preserve"> </w:t>
      </w:r>
      <w:r w:rsidR="00756AF4" w:rsidRPr="002C192C">
        <w:rPr>
          <w:rFonts w:eastAsia="Times New Roman" w:cs="Times New Roman"/>
          <w:color w:val="FF0000"/>
          <w:szCs w:val="24"/>
          <w:lang w:val="en" w:bidi="en-US"/>
        </w:rPr>
        <w:t>multicentric</w:t>
      </w:r>
      <w:r w:rsidRPr="003F4633">
        <w:rPr>
          <w:rFonts w:eastAsia="Times New Roman" w:cs="Times New Roman"/>
          <w:szCs w:val="24"/>
          <w:lang w:val="en" w:bidi="en-US"/>
        </w:rPr>
        <w:t xml:space="preserve"> cross-sectional study in nine hospitals across Zambia using the WHO IPCAF tool. Data were collected from September 1 to 30, 2024 and analyzed using the self-scoring Excel and IBM SPSS version 25.0. </w:t>
      </w:r>
    </w:p>
    <w:p w14:paraId="0862EAA0" w14:textId="14A52CF3" w:rsidR="003F4633" w:rsidRPr="003F4633" w:rsidRDefault="003F4633" w:rsidP="003F4633">
      <w:pPr>
        <w:spacing w:before="0" w:after="0" w:line="360" w:lineRule="auto"/>
        <w:jc w:val="both"/>
        <w:rPr>
          <w:rFonts w:eastAsia="Times New Roman" w:cs="Times New Roman"/>
          <w:b/>
          <w:szCs w:val="24"/>
          <w:lang w:val="en" w:bidi="en-US"/>
        </w:rPr>
      </w:pPr>
      <w:r>
        <w:rPr>
          <w:rFonts w:eastAsia="Times New Roman" w:cs="Times New Roman"/>
          <w:b/>
          <w:szCs w:val="24"/>
          <w:lang w:val="en" w:bidi="en-US"/>
        </w:rPr>
        <w:t>Result</w:t>
      </w:r>
      <w:r w:rsidRPr="003F4633">
        <w:rPr>
          <w:rFonts w:eastAsia="Times New Roman" w:cs="Times New Roman"/>
          <w:b/>
          <w:szCs w:val="24"/>
          <w:lang w:val="en" w:bidi="en-US"/>
        </w:rPr>
        <w:t>s</w:t>
      </w:r>
      <w:r>
        <w:rPr>
          <w:rFonts w:eastAsia="Times New Roman" w:cs="Times New Roman"/>
          <w:b/>
          <w:szCs w:val="24"/>
          <w:lang w:val="en" w:bidi="en-US"/>
        </w:rPr>
        <w:t xml:space="preserve">: </w:t>
      </w:r>
      <w:r w:rsidRPr="003F4633">
        <w:rPr>
          <w:rFonts w:eastAsia="Times New Roman" w:cs="Times New Roman"/>
          <w:szCs w:val="24"/>
          <w:lang w:val="en" w:bidi="en-US"/>
        </w:rPr>
        <w:t>Out of the nine hospitals assessed, four were tertiary-level hospitals while the rest were second</w:t>
      </w:r>
      <w:r w:rsidR="00D003A9">
        <w:rPr>
          <w:rFonts w:eastAsia="Times New Roman" w:cs="Times New Roman"/>
          <w:szCs w:val="24"/>
          <w:lang w:val="en" w:bidi="en-US"/>
        </w:rPr>
        <w:t>ary</w:t>
      </w:r>
      <w:r w:rsidRPr="003F4633">
        <w:rPr>
          <w:rFonts w:eastAsia="Times New Roman" w:cs="Times New Roman"/>
          <w:szCs w:val="24"/>
          <w:lang w:val="en" w:bidi="en-US"/>
        </w:rPr>
        <w:t xml:space="preserve">-level hospitals. Overall, the implementation of IPC core components was intermediate (IPCAF Score of 594 out of 800). Four hospitals had IPCAF scores between 401 and 600, indicating an intermediate level of IPC implementation. Five hospitals scored between 601 and 800, indicating an advanced implementation of IPC in these hospitals. Three tertiary hospitals scored between 601 and 800, demonstrating their advanced implementation of IPC core components. </w:t>
      </w:r>
    </w:p>
    <w:p w14:paraId="1C459079" w14:textId="68D17259" w:rsidR="003F4633" w:rsidRPr="003F4633" w:rsidRDefault="003F4633" w:rsidP="003F4633">
      <w:pPr>
        <w:spacing w:before="0" w:after="0" w:line="360" w:lineRule="auto"/>
        <w:jc w:val="both"/>
        <w:rPr>
          <w:rFonts w:eastAsia="Times New Roman" w:cs="Times New Roman"/>
          <w:b/>
          <w:szCs w:val="24"/>
          <w:lang w:val="en" w:bidi="en-US"/>
        </w:rPr>
      </w:pPr>
      <w:r>
        <w:rPr>
          <w:rFonts w:eastAsia="Times New Roman" w:cs="Times New Roman"/>
          <w:b/>
          <w:szCs w:val="24"/>
          <w:lang w:val="en" w:bidi="en-US"/>
        </w:rPr>
        <w:t xml:space="preserve">Conclusion: </w:t>
      </w:r>
      <w:r w:rsidRPr="003F4633">
        <w:rPr>
          <w:rFonts w:eastAsia="Times New Roman" w:cs="Times New Roman"/>
          <w:szCs w:val="24"/>
          <w:lang w:val="en" w:bidi="en-US"/>
        </w:rPr>
        <w:t xml:space="preserve">This study found that the overall implementation of IPC in the surveyed hospitals was intermediate, indicating that further improvements were needed. There is a need to provide peer-learning support and strengthen IPC implementation to respond to new or re-emerging infections and AMR in the country and beyond. </w:t>
      </w:r>
    </w:p>
    <w:p w14:paraId="33C42DE7" w14:textId="77777777" w:rsidR="003F4633" w:rsidRPr="003F4633" w:rsidRDefault="003F4633" w:rsidP="003F4633">
      <w:pPr>
        <w:spacing w:before="0" w:after="0" w:line="360" w:lineRule="auto"/>
        <w:jc w:val="both"/>
        <w:rPr>
          <w:rFonts w:eastAsia="Times New Roman" w:cs="Times New Roman"/>
          <w:b/>
          <w:szCs w:val="24"/>
          <w:lang w:val="en" w:bidi="en-US"/>
        </w:rPr>
      </w:pPr>
    </w:p>
    <w:p w14:paraId="0821B663" w14:textId="77777777" w:rsidR="003F4633" w:rsidRPr="003F4633" w:rsidRDefault="003F4633" w:rsidP="003F4633">
      <w:pPr>
        <w:spacing w:before="0" w:after="0" w:line="360" w:lineRule="auto"/>
        <w:jc w:val="both"/>
        <w:rPr>
          <w:rFonts w:eastAsia="Times New Roman" w:cs="Times New Roman"/>
          <w:szCs w:val="24"/>
          <w:lang w:val="en" w:bidi="en-US"/>
        </w:rPr>
      </w:pPr>
      <w:r w:rsidRPr="003F4633">
        <w:rPr>
          <w:rFonts w:eastAsia="Times New Roman" w:cs="Times New Roman"/>
          <w:b/>
          <w:szCs w:val="24"/>
          <w:lang w:val="en" w:bidi="en-US"/>
        </w:rPr>
        <w:t xml:space="preserve">Keywords: </w:t>
      </w:r>
      <w:r w:rsidRPr="003F4633">
        <w:rPr>
          <w:rFonts w:eastAsia="Times New Roman" w:cs="Times New Roman"/>
          <w:szCs w:val="24"/>
          <w:lang w:val="en" w:bidi="en-US"/>
        </w:rPr>
        <w:t>Healthcare-associated Infections,</w:t>
      </w:r>
      <w:r w:rsidRPr="003F4633">
        <w:rPr>
          <w:rFonts w:eastAsia="Times New Roman" w:cs="Times New Roman"/>
          <w:b/>
          <w:szCs w:val="24"/>
          <w:lang w:val="en" w:bidi="en-US"/>
        </w:rPr>
        <w:t xml:space="preserve"> </w:t>
      </w:r>
      <w:r w:rsidRPr="003F4633">
        <w:rPr>
          <w:rFonts w:eastAsia="Times New Roman" w:cs="Times New Roman"/>
          <w:szCs w:val="24"/>
          <w:lang w:val="en" w:bidi="en-US"/>
        </w:rPr>
        <w:t>Infection Prevention and Control, IPCAF, Antimicrobial Resistance, Zambia</w:t>
      </w:r>
    </w:p>
    <w:p w14:paraId="568D469D" w14:textId="77777777" w:rsidR="003F4633" w:rsidRDefault="003F4633" w:rsidP="003F4633">
      <w:pPr>
        <w:spacing w:before="0" w:after="0" w:line="360" w:lineRule="auto"/>
        <w:jc w:val="both"/>
        <w:rPr>
          <w:rFonts w:eastAsia="Times New Roman" w:cs="Times New Roman"/>
          <w:b/>
          <w:szCs w:val="24"/>
          <w:lang w:val="en"/>
        </w:rPr>
      </w:pPr>
    </w:p>
    <w:p w14:paraId="2EC9EC77" w14:textId="77777777" w:rsidR="003F4633" w:rsidRPr="003F4633" w:rsidRDefault="003F4633" w:rsidP="003F4633">
      <w:pPr>
        <w:spacing w:before="0" w:after="0" w:line="360" w:lineRule="auto"/>
        <w:jc w:val="both"/>
        <w:rPr>
          <w:rFonts w:eastAsia="Times New Roman" w:cs="Times New Roman"/>
          <w:szCs w:val="24"/>
          <w:lang w:val="en"/>
        </w:rPr>
      </w:pPr>
      <w:r w:rsidRPr="003F4633">
        <w:rPr>
          <w:rFonts w:eastAsia="Times New Roman" w:cs="Times New Roman"/>
          <w:b/>
          <w:szCs w:val="24"/>
          <w:lang w:val="en"/>
        </w:rPr>
        <w:t>Introduction</w:t>
      </w:r>
    </w:p>
    <w:p w14:paraId="13815CFD" w14:textId="250F6D83" w:rsidR="003F4633" w:rsidRPr="003F4633" w:rsidRDefault="003F4633" w:rsidP="003F4633">
      <w:pPr>
        <w:spacing w:before="0" w:line="360" w:lineRule="auto"/>
        <w:jc w:val="both"/>
        <w:rPr>
          <w:rFonts w:eastAsia="Times New Roman" w:cs="Times New Roman"/>
          <w:szCs w:val="24"/>
          <w:lang w:val="en-GB"/>
        </w:rPr>
      </w:pPr>
      <w:r w:rsidRPr="003F4633">
        <w:rPr>
          <w:rFonts w:eastAsia="Times New Roman" w:cs="Times New Roman"/>
          <w:szCs w:val="24"/>
          <w:lang w:val="en-GB"/>
        </w:rPr>
        <w:t xml:space="preserve">Infection prevention and control (IPC) is a systematic, data-driven practice aimed at curbing the transmission of preventable infections in the healthcare setting </w:t>
      </w:r>
      <w:r w:rsidRPr="003F4633">
        <w:rPr>
          <w:rFonts w:eastAsia="Times New Roman" w:cs="Times New Roman"/>
          <w:szCs w:val="24"/>
          <w:lang w:val="en-GB"/>
        </w:rPr>
        <w:fldChar w:fldCharType="begin" w:fldLock="1"/>
      </w:r>
      <w:r w:rsidR="00EF7410">
        <w:rPr>
          <w:rFonts w:eastAsia="Times New Roman" w:cs="Times New Roman"/>
          <w:szCs w:val="24"/>
          <w:lang w:val="en-GB"/>
        </w:rPr>
        <w:instrText>ADDIN CSL_CITATION {"citationItems":[{"id":"ITEM-1","itemData":{"author":[{"dropping-particle":"","family":"World Health Organization","given":"","non-dropping-particle":"","parse-names":false,"suffix":""}],"id":"ITEM-1","issued":{"date-parts":[["2016"]]},"number-of-pages":"1-91","title":"Guidelines on core components of infection prevention and control programmes at the national and acute health care facility level","type":"report"},"uris":["http://www.mendeley.com/documents/?uuid=930ef82e-7e5d-3897-becd-8d9e3cd761a2"]}],"mendeley":{"formattedCitation":"[1]","plainTextFormattedCitation":"[1]","previouslyFormattedCitation":"[1]"},"properties":{"noteIndex":0},"schema":"https://github.com/citation-style-language/schema/raw/master/csl-citation.json"}</w:instrText>
      </w:r>
      <w:r w:rsidRPr="003F4633">
        <w:rPr>
          <w:rFonts w:eastAsia="Times New Roman" w:cs="Times New Roman"/>
          <w:szCs w:val="24"/>
          <w:lang w:val="en-GB"/>
        </w:rPr>
        <w:fldChar w:fldCharType="separate"/>
      </w:r>
      <w:r w:rsidRPr="003F4633">
        <w:rPr>
          <w:rFonts w:eastAsia="Times New Roman" w:cs="Times New Roman"/>
          <w:noProof/>
          <w:szCs w:val="24"/>
          <w:lang w:val="en-GB"/>
        </w:rPr>
        <w:t>[1]</w:t>
      </w:r>
      <w:r w:rsidRPr="003F4633">
        <w:rPr>
          <w:rFonts w:eastAsia="Times New Roman" w:cs="Times New Roman"/>
          <w:szCs w:val="24"/>
          <w:lang w:val="en"/>
        </w:rPr>
        <w:fldChar w:fldCharType="end"/>
      </w:r>
      <w:r w:rsidRPr="003F4633">
        <w:rPr>
          <w:rFonts w:eastAsia="Times New Roman" w:cs="Times New Roman"/>
          <w:szCs w:val="24"/>
          <w:lang w:val="en-GB"/>
        </w:rPr>
        <w:t xml:space="preserve">. It is a cornerstone of effective healthcare delivery, and essential for safeguarding patients and healthcare workers </w:t>
      </w:r>
      <w:r w:rsidRPr="003F4633">
        <w:rPr>
          <w:rFonts w:eastAsia="Times New Roman" w:cs="Times New Roman"/>
          <w:szCs w:val="24"/>
          <w:lang w:val="en-GB"/>
        </w:rPr>
        <w:fldChar w:fldCharType="begin" w:fldLock="1"/>
      </w:r>
      <w:r w:rsidR="00EF7410">
        <w:rPr>
          <w:rFonts w:eastAsia="Times New Roman" w:cs="Times New Roman"/>
          <w:szCs w:val="24"/>
          <w:lang w:val="en-GB"/>
        </w:rPr>
        <w:instrText>ADDIN CSL_CITATION {"citationItems":[{"id":"ITEM-1","itemData":{"DOI":"10.1186/s13756-020-00835-1","ISSN":"20472994","PMID":"33168085","abstract":"Background: Studies have repeatedly highlighted the need for homogenisation of training content and opportunities in infection prevention and control (IPC) across European countries. Objectives: To map current training opportunities for IPC professionals, define local needs and highlight differences, across 11 European countries (Cyprus, France, England, Germany, Greece, Italy, Netherlands, Poland, Romania, Spain, Switzerland). Sources: From July 2018 to February 2019, IPC experts directly involved in IPC training and education in their countries and/or internationally were invited to complete a prespecified set of questions in order to provide a detailed description of IPC training opportunities and needs in their country. Conclusions: IPC training among nurses and doctors varies greatly across countries, with differences in content and type of training (e.g., standardised curriculum, educational programme, clinical experience) duration, as well as in assessment and recognition/accreditation. The observed heterogeneity in IPC training between European countries can be eliminated through establishment of interdisciplinary region-wide training programmes, with common learning objectives, shared know-how and supported by national and international professional bodies.","author":[{"dropping-particle":"","family":"Tsioutis","given":"Constantinos","non-dropping-particle":"","parse-names":false,"suffix":""},{"dropping-particle":"","family":"Birgand","given":"Gabriel","non-dropping-particle":"","parse-names":false,"suffix":""},{"dropping-particle":"","family":"Bathoorn","given":"Erik","non-dropping-particle":"","parse-names":false,"suffix":""},{"dropping-particle":"","family":"Deptula","given":"Aleksander","non-dropping-particle":"","parse-names":false,"suffix":""},{"dropping-particle":"","family":"Horn","given":"Lenny","non-dropping-particle":"ten","parse-names":false,"suffix":""},{"dropping-particle":"","family":"Castro-Sánchez","given":"Enrique","non-dropping-particle":"","parse-names":false,"suffix":""},{"dropping-particle":"","family":"Săndulescu","given":"Oana","non-dropping-particle":"","parse-names":false,"suffix":""},{"dropping-particle":"","family":"Widmer","given":"Andreas F.","non-dropping-particle":"","parse-names":false,"suffix":""},{"dropping-particle":"","family":"Tsakris","given":"Athanasios","non-dropping-particle":"","parse-names":false,"suffix":""},{"dropping-particle":"","family":"Pieve","given":"Giulio","non-dropping-particle":"","parse-names":false,"suffix":""},{"dropping-particle":"","family":"Tacconelli","given":"Evelina","non-dropping-particle":"","parse-names":false,"suffix":""},{"dropping-particle":"","family":"Mutters","given":"Nico T.","non-dropping-particle":"","parse-names":false,"suffix":""}],"container-title":"Antimicrobial Resistance and Infection Control","id":"ITEM-1","issue":"1","issued":{"date-parts":[["2020","12","1"]]},"page":"183","publisher":"BioMed Central Ltd","title":"Education and training programmes for infection prevention and control professionals: mapping the current opportunities and local needs in European countries","type":"article","volume":"9"},"uris":["http://www.mendeley.com/documents/?uuid=8a44b4e3-f124-35e4-9584-103ae32c768a"]},{"id":"ITEM-2","itemData":{"DOI":"10.12968/bjon.2024.0286","ISSN":"20522819","PMID":"39302906","abstract":"Infection prevention and control (IPC) is essential in nursing practice to safeguard patient health and reduce healthcare-associated infections. This article explores IPC strategies, including hand hygiene, the use of personal protective equipment, environmental cleaning, safe injection practices, and antimicrobial stewardship. It discusses the implementation challenges and solutions, such as ensuring compliance through education, monitoring and strong leadership. IPC measures are crucial in preventing infections such as catheter-associated urinary tract infections, central line-associated bloodstream infections, surgical site infections, and ventilator-associated pneumonia. By integrating personalised IPC strategies into nursing practice, healthcare providers can significantly improve infection control outcomes and enhance overall patient safety and quality of care.","author":[{"dropping-particle":"","family":"Hill","given":"Barry","non-dropping-particle":"","parse-names":false,"suffix":""},{"dropping-particle":"","family":"Lamichhane","given":"Geeta","non-dropping-particle":"","parse-names":false,"suffix":""},{"dropping-particle":"","family":"Wamburu","given":"Amsale","non-dropping-particle":"","parse-names":false,"suffix":""}],"container-title":"British journal of nursing (Mark Allen Publishing)","id":"ITEM-2","issue":"17","issued":{"date-parts":[["2024","9","19"]]},"page":"804-811","publisher":"Br J Nurs","title":"Infection prevention and control: critical strategies for nursing practice","type":"article-journal","volume":"33"},"uris":["http://www.mendeley.com/documents/?uuid=1fcbde6d-09ae-3590-802f-7d720aa42a4d"]},{"id":"ITEM-3","itemData":{"DOI":"10.1186/s13012-019-0958-3","ISSN":"17485908","PMID":"31888673","abstract":"Background: Despite impressive reductions in infectious disease burden within Sub-Saharan Africa (SSA), half of the top ten causes of poor health or death in SSA are communicable illnesses. With emerging and re-emerging infections affecting the region, the possibility of healthcare-acquired infections (HAIs) being transmitted to patients and healthcare workers, especially nurses, is a critical concern. Despite infection prevention and control (IPC) evidence-based practices (EBP) to minimize the transmission of HAIs, many healthcare systems in SSA are challenged to implement them. The purpose of this review is to synthesize and critique what is known about implementation strategies to promote IPC for nurses in SSA. Methods: The databases, PubMed, Ovid/Medline, Embase, Cochrane, and CINHAL, were searched for articles with the following criteria: English language, peer-reviewed, published between 1998 and 2018, implemented in SSA, targeted nurses, and promoted IPC EBPs. Further, 6241 search results were produced and screened for eligibility to identify implementation strategies used to promote IPC for nurses in SSA. A total of 61 articles met the inclusion criteria for the final review. The articles were evaluated using the Joanna Briggs Institute's (JBI) quality appraisal tools. Results were reported using PRISMA guidelines. Results: Most studies were conducted in South Africa (n = 18, 30%), within the last 18 years (n = 41, 67%), and utilized a quasi-experimental design (n = 22, 36%). Few studies (n = 14, 23%) had sample populations comprising nurses only. The majority of studies focused on administrative precautions (n = 36, 59%). The most frequent implementation strategies reported were education (n = 59, 97%), quality management (n = 39, 64%), planning (n = 33, 54%), and restructure (n = 32, 53%). Penetration and feasibility were the most common outcomes measured for both EBPs and implementation strategies used to implement the EBPs. The most common MAStARI and MMAT scores were 5 (n = 19, 31%) and 50% (n = 3, 4.9%) respectively. Conclusions: As infectious diseases, especially emerging and re-emerging infectious diseases, continue to challenge healthcare systems in SSA, nurses, the keystones to IPC practice, need to have a better understanding of which, in what combination, and in what context implementation strategies should be best utilized to ensure their safety and that of their patients. Based on the results of this review, it is clear that implem…","author":[{"dropping-particle":"","family":"Barrera-Cancedda","given":"Amy Elizabeth","non-dropping-particle":"","parse-names":false,"suffix":""},{"dropping-particle":"","family":"Riman","given":"Kathryn A.","non-dropping-particle":"","parse-names":false,"suffix":""},{"dropping-particle":"","family":"Shinnick","given":"Julianna E.","non-dropping-particle":"","parse-names":false,"suffix":""},{"dropping-particle":"","family":"Buttenheim","given":"Alison M.","non-dropping-particle":"","parse-names":false,"suffix":""}],"container-title":"Implementation Science","id":"ITEM-3","issue":"1","issued":{"date-parts":[["2019","12","30"]]},"page":"111","publisher":"BMC","title":"Implementation strategies for infection prevention and control promotion for nurses in Sub-Saharan Africa: A systematic review","type":"article","volume":"14"},"uris":["http://www.mendeley.com/documents/?uuid=4337534e-ed79-3657-b838-81eeccdb23b2"]}],"mendeley":{"formattedCitation":"[2–4]","plainTextFormattedCitation":"[2–4]","previouslyFormattedCitation":"[2–4]"},"properties":{"noteIndex":0},"schema":"https://github.com/citation-style-language/schema/raw/master/csl-citation.json"}</w:instrText>
      </w:r>
      <w:r w:rsidRPr="003F4633">
        <w:rPr>
          <w:rFonts w:eastAsia="Times New Roman" w:cs="Times New Roman"/>
          <w:szCs w:val="24"/>
          <w:lang w:val="en-GB"/>
        </w:rPr>
        <w:fldChar w:fldCharType="separate"/>
      </w:r>
      <w:r w:rsidRPr="003F4633">
        <w:rPr>
          <w:rFonts w:eastAsia="Times New Roman" w:cs="Times New Roman"/>
          <w:noProof/>
          <w:szCs w:val="24"/>
          <w:lang w:val="en-GB"/>
        </w:rPr>
        <w:t>[2–4]</w:t>
      </w:r>
      <w:r w:rsidRPr="003F4633">
        <w:rPr>
          <w:rFonts w:eastAsia="Times New Roman" w:cs="Times New Roman"/>
          <w:szCs w:val="24"/>
          <w:lang w:val="en"/>
        </w:rPr>
        <w:fldChar w:fldCharType="end"/>
      </w:r>
      <w:r w:rsidRPr="003F4633">
        <w:rPr>
          <w:rFonts w:eastAsia="Times New Roman" w:cs="Times New Roman"/>
          <w:szCs w:val="24"/>
          <w:lang w:val="en-GB"/>
        </w:rPr>
        <w:t xml:space="preserve">. In recent years, the growing threat of healthcare-associated infections (HAIs) and antimicrobial resistance (AMR) has underscored the urgent need for robust IPC programmes across health systems </w:t>
      </w:r>
      <w:r w:rsidRPr="003F4633">
        <w:rPr>
          <w:rFonts w:eastAsia="Times New Roman" w:cs="Times New Roman"/>
          <w:szCs w:val="24"/>
          <w:lang w:val="en-GB"/>
        </w:rPr>
        <w:fldChar w:fldCharType="begin" w:fldLock="1"/>
      </w:r>
      <w:r w:rsidR="002B46FA">
        <w:rPr>
          <w:rFonts w:eastAsia="Times New Roman" w:cs="Times New Roman"/>
          <w:szCs w:val="24"/>
          <w:lang w:val="en-GB"/>
        </w:rPr>
        <w:instrText>ADDIN CSL_CITATION {"citationItems":[{"id":"ITEM-1","itemData":{"DOI":"10.1186/s40545-022-00500-5","ISSN":"20523211","PMID":"36494700","abstract":"Background: There is limited data to describe the point-prevalence of healthcare-associated infections (HAIs) among patients at a regional level in Africa. This study estimated the pooled prevalence of HAIs and described the distribution of HAIs as well as the pathogens identified from African studies. Methods: PubMed, Scopus and Google Scholar databases were searched to find point-prevalence studies of HAIs in Africa. Studies conducted in Humans that reported the prevalence of HAIs among hospitalized patients and published in English language from January 2010 to March 2022 were selected. Longitudinal studies of HAIs and unpublished studies were excluded. The reference list of the selected studies was checked to find additional studies. A meta-analysis was conducted using RevMan 5.4 and the pooled prevalence of HAIs was determined using a random effect model. Results: Of the 6094 articles identified from the databases, fifteen eligible articles were selected. The studies were conducted in the North, South, East and West African regions with Tunisia (n = 4) and South Africa (n = 2) having the highest number of studies. Most of the studies (n = 12, 80.0%) had good quality. The pooled prevalence of HAIs was 12.76% (95% confidence interval [CI] 10.30–15.23) with a high degree of heterogeneity (I2 = 90.0%). The prevalence of HAIs varied between wards with the highest rate found in the ICU (25.2%–100%), followed by neonatal ICU/ward (7.0%–53.6%) and paediatric medical ward (2.7%–33.0%). Surgical site infection was the most common HAIs and accounted for 41.6% of all HAIs (95% CI 23.55–59.80), followed by bloodstream infection (17.07%, 95% CI 11.80–22.33) and respiratory tract infections/pneumonia (17.04%, 95% CI 13.21–20.87). Recent hospitalization (adjusted odds ratio [AOR]: 4.17, 95% CI 1.85–9.41), presence of peripheral vascular catheter (AOR: 2.87, 95% CI 1.54–5.36) and having diabetes mellitus (AOR: 2.46, 95% CI 1.45–4.17) were the strongest predictors of HAIs in Africa. Only 37.9% of HAIs had documented positive microbiological culture result with gram negative bacteria including Klebsiella pneumoniae, Escherichia coli, Pseudomonas aeruginosa, Acinetobacter baumannii and Citrobacter been the most common microorganisms and accounted for 40%–100% of the pathogens. Conclusions: The pooled point-prevalence of HAIs in Africa is more than two times higher than the rate reported in developed countries. The prevalence varied between the countries and was highes…","author":[{"dropping-particle":"","family":"Abubakar","given":"Usman","non-dropping-particle":"","parse-names":false,"suffix":""},{"dropping-particle":"","family":"Amir","given":"Omalhassan","non-dropping-particle":"","parse-names":false,"suffix":""},{"dropping-particle":"","family":"Rodríguez-Baño","given":"Jesús","non-dropping-particle":"","parse-names":false,"suffix":""}],"container-title":"Journal of Pharmaceutical Policy and Practice","id":"ITEM-1","issue":"1","issued":{"date-parts":[["2022","12","1"]]},"page":"99","publisher":"J Pharm Policy Pract","title":"Healthcare-associated infections in Africa: a systematic review and meta-analysis of point prevalence studies","type":"article-journal","volume":"15"},"uris":["http://www.mendeley.com/documents/?uuid=c0922c7d-ec79-3017-8818-384b58ddf07d"]},{"id":"ITEM-2","itemData":{"DOI":"10.1086/668770","ISSN":"0899-823X","PMID":"23221186","abstract":"OBJECTIVE To describe antimicrobial resistance patterns for healthcare-associated infections (HAIs) reported to the National Healthcare Safety Network (NHSN) during 2009-2010. METHODS Central line-associated bloodstream infections, catheter-associated urinary tract infections, ventilator-associated pneumonia, and surgical site infections were included. Pooled mean proportions of isolates interpreted as resistant (or, in some cases, nonsusceptible) to selected antimicrobial agents were calculated by type of HAI and compared to historical data. RESULTS Overall, 2,039 hospitals reported 1 or more HAIs; 1,749 (86%) were general acute care hospitals, and 1,143 (56%) had fewer than 200 beds. There were 69,475 HAIs and 81,139 pathogens reported. Eight pathogen groups accounted for about 80% of reported pathogens: Staphylococcus aureus (16%), Enterococcus spp. (14%), Escherichia coli (12%), coagulase-negative staphylococci (11%), Candida spp. (9%), Klebsiella pneumoniae (and Klebsiella oxytoca; 8%), Pseudomonas aeruginosa (8%), and Enterobacter spp. (5%). The percentage of resistance was similar to that reported in the previous 2-year period, with a slight decrease in the percentage of S. aureus resistant to oxacillins (MRSA). Nearly 20% of pathogens reported from all HAIs were the following multidrug-resistant phenotypes: MRSA (8.5%); vancomycin-resistant Enterococcus (3%); extended-spectrum cephalosporin-resistant K. pneumoniae and K. oxytoca (2%), E. coli (2%), and Enterobacter spp. (2%); and carbapenem-resistant P. aeruginosa (2%), K. pneumoniae/oxytoca (&lt;1%), E. coli (&lt;1%), and Enterobacter spp. (&lt;1%). Among facilities reporting HAIs with 1 of the above gram-negative bacteria, 20%-40% reported at least 1 with the resistant phenotype. CONCLUSION While the proportion of resistant isolates did not substantially change from that in the previous 2 years, multidrug-resistant gram-negative phenotypes were reported from a moderate proportion of facilities.","author":[{"dropping-particle":"","family":"Sievert","given":"Dawn M.","non-dropping-particle":"","parse-names":false,"suffix":""},{"dropping-particle":"","family":"Ricks","given":"Philip","non-dropping-particle":"","parse-names":false,"suffix":""},{"dropping-particle":"","family":"Edwards","given":"Jonathan R.","non-dropping-particle":"","parse-names":false,"suffix":""},{"dropping-particle":"","family":"Schneider","given":"Amy","non-dropping-particle":"","parse-names":false,"suffix":""},{"dropping-particle":"","family":"Patel","given":"Jean","non-dropping-particle":"","parse-names":false,"suffix":""},{"dropping-particle":"","family":"Srinivasan","given":"Arjun","non-dropping-particle":"","parse-names":false,"suffix":""},{"dropping-particle":"","family":"Kallen","given":"Alex","non-dropping-particle":"","parse-names":false,"suffix":""},{"dropping-particle":"","family":"Limbago","given":"Brandi","non-dropping-particle":"","parse-names":false,"suffix":""},{"dropping-particle":"","family":"Fridkin","given":"Scott","non-dropping-particle":"","parse-names":false,"suffix":""}],"container-title":"Infection Control &amp; Hospital Epidemiology","id":"ITEM-2","issue":"1","issued":{"date-parts":[["2013","1","2"]]},"page":"1-14","publisher":"Cambridge University Press (CUP)","title":"Antimicrobial-Resistant Pathogens Associated with Healthcare-Associated Infections Summary of Data Reported to the National Healthcare Safety Network at the Centers for Disease Control and Prevention, 2009–2010","type":"article-journal","volume":"34"},"uris":["http://www.mendeley.com/documents/?uuid=e796b2c6-2479-3587-934f-54d943642802"]},{"id":"ITEM-3","itemData":{"DOI":"10.1016/s2214-109x(23)00539-9","ISSN":"2214109X","abstract":"Summary Background A critical and persistent challenge to global health and modern health care is the threat of antimicrobial resistance (AMR). Previous studies have reported a disproportionate burden of AMR in low-income and middle-income countries, but there remains an urgent need for more in-depth analyses across Africa. This study presents one of the most comprehensive sets of regional and country-level estimates of bacterial AMR burden in the WHO African region to date. Methods We estimated deaths and disability-adjusted life-years (DALYs) attributable to and associated with AMR for 23 bacterial pathogens and 88 pathogen–drug combinations for countries in the WHO African region in 2019. Our methodological approach consisted of five broad components: the number of deaths in which infection had a role, the proportion of infectious deaths attributable to a given infectious syndrome, the proportion of infectious syndrome deaths attributable to a given pathogen, the percentage of a given pathogen resistant to an antimicrobial drug of interest, and the excess risk of mortality (or duration of an infection) associated with this resistance. These components were then used to estimate the disease burden by using two counterfactual scenarios: deaths attributable to AMR (considering an alternative scenario where infections with resistant pathogens are replaced with susceptible ones) and deaths associated with AMR (considering an alternative scenario where drug-resistant infections would not occur at all). We obtained data from research hospitals, surveillance networks, and infection databases maintained by private laboratories and medical technology companies. We generated 95% uncertainty intervals (UIs) for final estimates as the 25th and 975th ordered values across 1000 posterior draws, and models were cross-validated for out-of-sample predictive validity. Findings In the WHO African region in 2019, there were an estimated 1·05 million deaths (95% UI 829 000–1 316 000) associated with bacterial AMR and 250 000 deaths (192 000–325 000) attributable to bacterial AMR. The largest fatal AMR burden was attributed to lower respiratory and thorax infections (119 000 deaths [92 000–151 000], or 48% of all estimated bacterial pathogen AMR deaths), bloodstream infections (56 000 deaths [37 000–82 000], or 22%), intra-abdominal infections (26 000 deaths [17 000–39 000], or 10%), and tuberculosis (18 000 deaths [3850–39 000], or 7%). Seven leading pathogens were collec…","author":[{"dropping-particle":"","family":"Sartorius","given":"Benn","non-dropping-particle":"","parse-names":false,"suffix":""},{"dropping-particle":"","family":"Gray","given":"Authia P","non-dropping-particle":"","parse-names":false,"suffix":""},{"dropping-particle":"","family":"Davis Weaver","given":"Nicole","non-dropping-particle":"","parse-names":false,"suffix":""},{"dropping-particle":"","family":"Robles Aguilar","given":"Gisela","non-dropping-particle":"","parse-names":false,"suffix":""},{"dropping-particle":"","family":"Swetschinski","given":"Lucien R","non-dropping-particle":"","parse-names":false,"suffix":""},{"dropping-particle":"","family":"Ikuta","given":"Kevin S","non-dropping-particle":"","parse-names":false,"suffix":""},{"dropping-particle":"","family":"Mestrovic","given":"Tomislav","non-dropping-particle":"","parse-names":false,"suffix":""},{"dropping-particle":"","family":"Chung","given":"Erin","non-dropping-particle":"","parse-names":false,"suffix":""},{"dropping-particle":"","family":"Wool","given":"Eve E","non-dropping-particle":"","parse-names":false,"suffix":""},{"dropping-particle":"","family":"Han","given":"Chieh","non-dropping-particle":"","parse-names":false,"suffix":""},{"dropping-particle":"","family":"Gershberg Hayoon","given":"Anna","non-dropping-particle":"","parse-names":false,"suffix":""},{"dropping-particle":"","family":"Araki","given":"Daniel T","non-dropping-particle":"","parse-names":false,"suffix":""},{"dropping-particle":"","family":"Abd-Elsalam","given":"Sherief","non-dropping-particle":"","parse-names":false,"suffix":""},{"dropping-particle":"","family":"Aboagye","given":"Richard Gyan","non-dropping-particle":"","parse-names":false,"suffix":""},{"dropping-particle":"","family":"Adamu","given":"Lawan Hassan","non-dropping-particle":"","parse-names":false,"suffix":""},{"dropping-particle":"","family":"Adepoju","given":"Abiola Victor","non-dropping-particle":"","parse-names":false,"suffix":""},{"dropping-particle":"","family":"Ahmed","given":"Ayman","non-dropping-particle":"","parse-names":false,"suffix":""},{"dropping-particle":"","family":"Akalu","given":"Gizachew Taddesse","non-dropping-particle":"","parse-names":false,"suffix":""},{"dropping-particle":"","family":"Akande-Sholabi","given":"Wuraola","non-dropping-particle":"","parse-names":false,"suffix":""},{"dropping-particle":"","family":"Amuasi","given":"John H","non-dropping-particle":"","parse-names":false,"suffix":""},{"dropping-particle":"","family":"Amusa","given":"Ganiyu Adeniyi","non-dropping-particle":"","parse-names":false,"suffix":""},{"dropping-particle":"","family":"Argaw","given":"Ayele Mamo","non-dropping-particle":"","parse-names":false,"suffix":""},{"dropping-particle":"","family":"Aruleba","given":"Raphael Taiwo","non-dropping-particle":"","parse-names":false,"suffix":""},{"dropping-particle":"","family":"Awoke","given":"Tewachew","non-dropping-particle":"","parse-names":false,"suffix":""},{"dropping-particle":"","family":"Ayalew","given":"Melese Kitu","non-dropping-particle":"","parse-names":false,"suffix":""},{"dropping-particle":"","family":"Azzam","given":"Ahmed Y","non-dropping-particle":"","parse-names":false,"suffix":""},{"dropping-particle":"","family":"Babin","given":"Francois-Xavier","non-dropping-particle":"","parse-names":false,"suffix":""},{"dropping-particle":"","family":"Banerjee","given":"Indrajit","non-dropping-particle":"","parse-names":false,"suffix":""},{"dropping-particle":"","family":"Basiru","given":"Afisu","non-dropping-particle":"","parse-names":false,"suffix":""},{"dropping-particle":"","family":"Bayileyegn","given":"Nebiyou Simegnew","non-dropping-particle":"","parse-names":false,"suffix":""},{"dropping-particle":"","family":"Belete","given":"Melaku Ashagrie","non-dropping-particle":"","parse-names":false,"suffix":""},{"dropping-particle":"","family":"Berkley","given":"James A","non-dropping-particle":"","parse-names":false,"suffix":""},{"dropping-particle":"","family":"Bielicki","given":"Julia A","non-dropping-particle":"","parse-names":false,"suffix":""},{"dropping-particle":"","family":"Dekker","given":"Denise","non-dropping-particle":"","parse-names":false,"suffix":""},{"dropping-particle":"","family":"Demeke","given":"Dessalegn","non-dropping-particle":"","parse-names":false,"suffix":""},{"dropping-particle":"","family":"Demsie","given":"Desalegn Getnet","non-dropping-particle":"","parse-names":false,"suffix":""},{"dropping-particle":"","family":"Dessie","given":"Anteneh Mengist","non-dropping-particle":"","parse-names":false,"suffix":""},{"dropping-particle":"","family":"Dunachie","given":"Susanna J","non-dropping-particle":"","parse-names":false,"suffix":""},{"dropping-particle":"","family":"Ed-Dra","given":"Abdelaziz","non-dropping-particle":"","parse-names":false,"suffix":""},{"dropping-particle":"","family":"Ekholuenetale","given":"Michael","non-dropping-particle":"","parse-names":false,"suffix":""},{"dropping-particle":"","family":"Ekundayo","given":"Temitope Cyrus","non-dropping-particle":"","parse-names":false,"suffix":""},{"dropping-particle":"","family":"Sayed","given":"Iman","non-dropping-particle":"El","parse-names":false,"suffix":""},{"dropping-particle":"","family":"Elhadi","given":"Muhammed","non-dropping-particle":"","parse-names":false,"suffix":""},{"dropping-particle":"","family":"Elsohaby","given":"Ibrahim","non-dropping-particle":"","parse-names":false,"suffix":""},{"dropping-particle":"","family":"Eyre","given":"David","non-dropping-particle":"","parse-names":false,"suffix":""},{"dropping-particle":"","family":"Fagbamigbe","given":"Adeniyi Francis","non-dropping-particle":"","parse-names":false,"suffix":""},{"dropping-particle":"","family":"Feasey","given":"Nicholas A","non-dropping-particle":"","parse-names":false,"suffix":""},{"dropping-particle":"","family":"Fekadu","given":"Ginenus","non-dropping-particle":"","parse-names":false,"suffix":""},{"dropping-particle":"","family":"Fell","given":"Frederick","non-dropping-particle":"","parse-names":false,"suffix":""},{"dropping-particle":"","family":"Forrest","given":"Karen M","non-dropping-particle":"","parse-names":false,"suffix":""},{"dropping-particle":"","family":"Gebrehiwot","given":"Mesfin","non-dropping-particle":"","parse-names":false,"suffix":""},{"dropping-particle":"","family":"Gezae","given":"Kebede Embaye","non-dropping-particle":"","parse-names":false,"suffix":""},{"dropping-particle":"","family":"Ghazy","given":"Ramy Mohamed","non-dropping-particle":"","parse-names":false,"suffix":""},{"dropping-particle":"","family":"Hailegiyorgis","given":"Tewodros Tesfa","non-dropping-particle":"","parse-names":false,"suffix":""},{"dropping-particle":"","family":"Haines-Woodhouse","given":"Georgina","non-dropping-particle":"","parse-names":false,"suffix":""},{"dropping-particle":"","family":"Hasaballah","given":"Ahmed I","non-dropping-particle":"","parse-names":false,"suffix":""},{"dropping-particle":"","family":"Haselbeck","given":"Andrea Haekyung","non-dropping-particle":"","parse-names":false,"suffix":""},{"dropping-particle":"","family":"Hsia","given":"Yingfen","non-dropping-particle":"","parse-names":false,"suffix":""},{"dropping-particle":"","family":"Iradukunda","given":"Arnaud","non-dropping-particle":"","parse-names":false,"suffix":""},{"dropping-particle":"","family":"Iregbu","given":"Kenneth Chukwuemeka","non-dropping-particle":"","parse-names":false,"suffix":""},{"dropping-particle":"","family":"Iwu","given":"Chidozie C D","non-dropping-particle":"","parse-names":false,"suffix":""},{"dropping-particle":"","family":"Iwu-Jaja","given":"Chinwe Juliana","non-dropping-particle":"","parse-names":false,"suffix":""},{"dropping-particle":"","family":"Iyasu","given":"Assefa N","non-dropping-particle":"","parse-names":false,"suffix":""},{"dropping-particle":"","family":"Jaiteh","given":"Fatoumatta","non-dropping-particle":"","parse-names":false,"suffix":""},{"dropping-particle":"","family":"Jeon","given":"Hyonjin","non-dropping-particle":"","parse-names":false,"suffix":""},{"dropping-particle":"","family":"Joshua","given":"Charity Ehimwenma","non-dropping-particle":"","parse-names":false,"suffix":""},{"dropping-particle":"","family":"Kassa","given":"Gebrehiwot G","non-dropping-particle":"","parse-names":false,"suffix":""},{"dropping-particle":"","family":"Katoto","given":"Patrick DMC","non-dropping-particle":"","parse-names":false,"suffix":""},{"dropping-particle":"","family":"Krumkamp","given":"Ralf","non-dropping-particle":"","parse-names":false,"suffix":""},{"dropping-particle":"","family":"Kumaran","given":"Emmanuelle A P","non-dropping-particle":"","parse-names":false,"suffix":""},{"dropping-particle":"","family":"Kyu","given":"Hmwe Hmwe","non-dropping-particle":"","parse-names":false,"suffix":""},{"dropping-particle":"","family":"Manilal","given":"Aseer","non-dropping-particle":"","parse-names":false,"suffix":""},{"dropping-particle":"","family":"Marks","given":"Florian","non-dropping-particle":"","parse-names":false,"suffix":""},{"dropping-particle":"","family":"May","given":"Jürgen","non-dropping-particle":"","parse-names":false,"suffix":""},{"dropping-particle":"","family":"McLaughlin","given":"Susan A","non-dropping-particle":"","parse-names":false,"suffix":""},{"dropping-particle":"","family":"McManigal","given":"Barney","non-dropping-particle":"","parse-names":false,"suffix":""},{"dropping-particle":"","family":"Melese","given":"Addisu","non-dropping-particle":"","parse-names":false,"suffix":""},{"dropping-particle":"","family":"Misgina","given":"Kebede Haile","non-dropping-particle":"","parse-names":false,"suffix":""},{"dropping-particle":"","family":"Mohamed","given":"Nouh Saad","non-dropping-particle":"","parse-names":false,"suffix":""},{"dropping-particle":"","family":"Mohammed","given":"Mustapha","non-dropping-particle":"","parse-names":false,"suffix":""},{"dropping-particle":"","family":"Mohammed","given":"Shafiu","non-dropping-particle":"","parse-names":false,"suffix":""},{"dropping-particle":"","family":"Mohammed","given":"Shikur","non-dropping-particle":"","parse-names":false,"suffix":""},{"dropping-particle":"","family":"Mokdad","given":"Ali H","non-dropping-particle":"","parse-names":false,"suffix":""},{"dropping-particle":"","family":"Moore","given":"Catrin E","non-dropping-particle":"","parse-names":false,"suffix":""},{"dropping-particle":"","family":"Mougin","given":"Vincent","non-dropping-particle":"","parse-names":false,"suffix":""},{"dropping-particle":"","family":"Mturi","given":"Neema","non-dropping-particle":"","parse-names":false,"suffix":""},{"dropping-particle":"","family":"Mulugeta","given":"Temesgen","non-dropping-particle":"","parse-names":false,"suffix":""},{"dropping-particle":"","family":"Musaigwa","given":"Fungai","non-dropping-particle":"","parse-names":false,"suffix":""},{"dropping-particle":"","family":"Musicha","given":"Patrick","non-dropping-particle":"","parse-names":false,"suffix":""},{"dropping-particle":"","family":"Musila","given":"Lillian A","non-dropping-particle":"","parse-names":false,"suffix":""},{"dropping-particle":"","family":"Muthupandian","given":"Saravanan","non-dropping-particle":"","parse-names":false,"suffix":""},{"dropping-particle":"","family":"Naghavi","given":"Pirouz","non-dropping-particle":"","parse-names":false,"suffix":""},{"dropping-particle":"","family":"Negash","given":"Hadush","non-dropping-particle":"","parse-names":false,"suffix":""},{"dropping-particle":"","family":"Nuckchady","given":"Dooshanveer C","non-dropping-particle":"","parse-names":false,"suffix":""},{"dropping-particle":"","family":"Obiero","given":"Christina W","non-dropping-particle":"","parse-names":false,"suffix":""},{"dropping-particle":"","family":"Odetokun","given":"Ismail A","non-dropping-particle":"","parse-names":false,"suffix":""},{"dropping-particle":"","family":"Ogundijo","given":"Oluwaseun Adeolu","non-dropping-particle":"","parse-names":false,"suffix":""},{"dropping-particle":"","family":"Okidi","given":"Lawrence","non-dropping-particle":"","parse-names":false,"suffix":""},{"dropping-particle":"","family":"Okonji","given":"Osaretin Christabel","non-dropping-particle":"","parse-names":false,"suffix":""},{"dropping-particle":"","family":"Olagunju","given":"Andrew T","non-dropping-particle":"","parse-names":false,"suffix":""},{"dropping-particle":"","family":"Olufadewa","given":"Isaac Iyinoluwa","non-dropping-particle":"","parse-names":false,"suffix":""},{"dropping-particle":"","family":"Pak","given":"Gi Deok","non-dropping-particle":"","parse-names":false,"suffix":""},{"dropping-particle":"","family":"Perovic","given":"Olga","non-dropping-particle":"","parse-names":false,"suffix":""},{"dropping-particle":"","family":"Pollard","given":"Andrew","non-dropping-particle":"","parse-names":false,"suffix":""},{"dropping-particle":"","family":"Raad","given":"Mathieu","non-dropping-particle":"","parse-names":false,"suffix":""},{"dropping-particle":"","family":"Rafaï","given":"Clotaire","non-dropping-particle":"","parse-names":false,"suffix":""},{"dropping-particle":"","family":"Ramadan","given":"Hazem","non-dropping-particle":"","parse-names":false,"suffix":""},{"dropping-particle":"","family":"Redwan","given":"Elrashdy Moustafa Mohamed","non-dropping-particle":"","parse-names":false,"suffix":""},{"dropping-particle":"","family":"Roca","given":"Anna","non-dropping-particle":"","parse-names":false,"suffix":""},{"dropping-particle":"","family":"Rosenthal","given":"Victor Daniel","non-dropping-particle":"","parse-names":false,"suffix":""},{"dropping-particle":"","family":"Saleh","given":"Mohamed A","non-dropping-particle":"","parse-names":false,"suffix":""},{"dropping-particle":"","family":"Samy","given":"Abdallah M","non-dropping-particle":"","parse-names":false,"suffix":""},{"dropping-particle":"","family":"Sharland","given":"M","non-dropping-particle":"","parse-names":false,"suffix":""},{"dropping-particle":"","family":"Shittu","given":"Aminu","non-dropping-particle":"","parse-names":false,"suffix":""},{"dropping-particle":"","family":"Siddig","given":"Emmanuel Edwar","non-dropping-particle":"","parse-names":false,"suffix":""},{"dropping-particle":"","family":"Sisay","given":"Eskinder Ayalew","non-dropping-particle":"","parse-names":false,"suffix":""},{"dropping-particle":"","family":"Stergachis","given":"Andy","non-dropping-particle":"","parse-names":false,"suffix":""},{"dropping-particle":"","family":"Tesfamariam","given":"Wegen Beyene","non-dropping-particle":"","parse-names":false,"suffix":""},{"dropping-particle":"","family":"Tigoi","given":"Caroline","non-dropping-particle":"","parse-names":false,"suffix":""},{"dropping-particle":"","family":"Tincho","given":"Marius Belmondo","non-dropping-particle":"","parse-names":false,"suffix":""},{"dropping-particle":"","family":"Tiruye","given":"Tenaw Yimer","non-dropping-particle":"","parse-names":false,"suffix":""},{"dropping-particle":"","family":"Umeokonkwo","given":"Chukwuma David","non-dropping-particle":"","parse-names":false,"suffix":""},{"dropping-particle":"","family":"Walsh","given":"Timothy","non-dropping-particle":"","parse-names":false,"suffix":""},{"dropping-particle":"","family":"Walson","given":"Judd L","non-dropping-particle":"","parse-names":false,"suffix":""},{"dropping-particle":"","family":"Yusuf","given":"Hadiza","non-dropping-particle":"","parse-names":false,"suffix":""},{"dropping-particle":"","family":"Zeru","given":"Naod Gebrekrstos","non-dropping-particle":"","parse-names":false,"suffix":""},{"dropping-particle":"","family":"Hay","given":"Simon I","non-dropping-particle":"","parse-names":false,"suffix":""},{"dropping-particle":"","family":"Dolecek","given":"Christiane","non-dropping-particle":"","parse-names":false,"suffix":""},{"dropping-particle":"","family":"Murray","given":"Christopher J L","non-dropping-particle":"","parse-names":false,"suffix":""},{"dropping-particle":"","family":"Naghavi","given":"Mohsen","non-dropping-particle":"","parse-names":false,"suffix":""}],"container-title":"The Lancet Global Health","id":"ITEM-3","issue":"2","issued":{"date-parts":[["2024","12","1"]]},"page":"e201-e216","publisher":"Elsevier BV","title":"The burden of bacterial antimicrobial resistance in the WHO African region in 2019: a cross-country systematic analysis","type":"article-journal","volume":"12"},"uris":["http://www.mendeley.com/documents/?uuid=41073b55-f599-3ab2-aca4-1e98eb9f2231"]},{"id":"ITEM-4","itemData":{"DOI":"10.3855/jidc.6832","ISSN":"19722680","PMID":"26517477","abstract":"Healthcare-associated infections (HAIs) are major patient safety problems in hospitals, especially in intensive care units (ICUs). Patients in ICUs are prone to HAIs due to reduced host defense mechanisms, low compliance with infection prevention and control (IPC) measures due to lack of education and training, and heavy workload and low staffing levels, leading to cross-transmission of microorganisms from patient to patient. Patients with HAIs have prolonged hospital stays, and have high morbidity and mortality, thus adding economic burden on the healthcare system. For various reasons, in low-to-middle income countries (LMICs), the scale of the problem is huge; each year, many people die from HAIs. In this review, epidemiology of HAIs and infection prevention and control measures in ICUs is discussed, with especial emphasis on LMICs. High rates of HAIs caused by multidrug-resistant organisms (MDROs) are serious problems in ICUs in LMICs. In view of increasing prevalence of MDROs, LMICs should establish effective IPC infrastructure, appoint IPC teams, and provide adequate training and resources. These resources to establish and appoint IPC teams can be released by avoiding ritualistic, wasteful, and unsafe IPC practices, and by diverting resources to implement basic IPC measures, including early detection of infection, isolation of patients, application of appropriate IPC precautions, adherence to hand hygiene, and implementation of HAIs care bundles and basic evidence-based practices.","author":[{"dropping-particle":"","family":"Alp","given":"Emine","non-dropping-particle":"","parse-names":false,"suffix":""},{"dropping-particle":"","family":"Damani","given":"Nizam","non-dropping-particle":"","parse-names":false,"suffix":""}],"container-title":"Journal of Infection in Developing Countries","id":"ITEM-4","issue":"10","issued":{"date-parts":[["2015","10","1"]]},"page":"1040-1045","publisher":"J Infect Dev Ctries","title":"Healthcare-associated infections in intensive care units: Epidemiology and infection control in low-to-middle income countries","type":"article","volume":"9"},"uris":["http://www.mendeley.com/documents/?uuid=3f6ea4e2-a5d2-30aa-a9ba-736eacb7d69a"]},{"id":"ITEM-5","itemData":{"DOI":"10.1186/S13017-023-00518-3","ISSN":"1749-7922","abstract":"Antibiotics are recognized widely for their benefits when used appropriately. However, they are often used inappropriately despite the importance of responsible use within good clinical practice. Effective antibiotic treatment is an essential component of universal healthcare, and it is a global responsibility to ensure appropriate use. Currently, pharmaceutical companies have little incentive to develop new antibiotics due to scientific, regulatory, and financial barriers, further emphasizing the importance of appropriate antibiotic use. To address this issue, the Global Alliance for Infections in Surgery established an international multidisciplinary task force of 295 experts from 115 countries with different backgrounds. The task force developed a position statement called WARNING (Worldwide Antimicrobial Resistance National/International Network Group) aimed at raising awareness of antimicrobial resistance and improving antibiotic prescribing practices worldwide. The statement outlined is 10 axioms, or “golden rules,” for the appropriate use of antibiotics that all healthcare workers should consistently adhere in clinical practice.","author":[{"dropping-particle":"","family":"Sartelli","given":"Massimo","non-dropping-particle":"","parse-names":false,"suffix":""},{"dropping-particle":"","family":"Barie","given":"Philip S.","non-dropping-particle":"","parse-names":false,"suffix":""},{"dropping-particle":"","family":"Coccolini","given":"Federico","non-dropping-particle":"","parse-names":false,"suffix":""},{"dropping-particle":"","family":"Abbas","given":"Mohamed","non-dropping-particle":"","parse-names":false,"suffix":""},{"dropping-particle":"","family":"Abbo","given":"Lilian M.","non-dropping-particle":"","parse-names":false,"suffix":""},{"dropping-particle":"","family":"Abdukhalilova","given":"Gulnora K.","non-dropping-particle":"","parse-names":false,"suffix":""},{"dropping-particle":"","family":"Abraham","given":"Yishak","non-dropping-particle":"","parse-names":false,"suffix":""},{"dropping-particle":"","family":"Abubakar","given":"Salisu","non-dropping-particle":"","parse-names":false,"suffix":""},{"dropping-particle":"","family":"Abu-Zidan","given":"Fikri M.","non-dropping-particle":"","parse-names":false,"suffix":""},{"dropping-particle":"","family":"Adebisi","given":"Yusuff Adebayo","non-dropping-particle":"","parse-names":false,"suffix":""},{"dropping-particle":"","family":"Adamou","given":"Harissou","non-dropping-particle":"","parse-names":false,"suffix":""},{"dropping-particle":"","family":"Afandiyeva","given":"Gulara","non-dropping-particle":"","parse-names":false,"suffix":""},{"dropping-particle":"","family":"Agastra","given":"Ervis","non-dropping-particle":"","parse-names":false,"suffix":""},{"dropping-particle":"","family":"Alfouzan","given":"Wadha A.","non-dropping-particle":"","parse-names":false,"suffix":""},{"dropping-particle":"","family":"Al-Hasan","given":"Majdi N.","non-dropping-particle":"","parse-names":false,"suffix":""},{"dropping-particle":"","family":"Ali","given":"Sajjad","non-dropping-particle":"","parse-names":false,"suffix":""},{"dropping-particle":"","family":"Ali","given":"Syed Muhammad","non-dropping-particle":"","parse-names":false,"suffix":""},{"dropping-particle":"","family":"Allaw","given":"Fatima","non-dropping-particle":"","parse-names":false,"suffix":""},{"dropping-particle":"","family":"Allwell-Brown","given":"Gbemisola","non-dropping-particle":"","parse-names":false,"suffix":""},{"dropping-particle":"","family":"Amir","given":"Afreenish","non-dropping-particle":"","parse-names":false,"suffix":""},{"dropping-particle":"","family":"Amponsah","given":"Obed Kwabena Offe","non-dropping-particle":"","parse-names":false,"suffix":""},{"dropping-particle":"","family":"Omari","given":"Abdelkarim","non-dropping-particle":"Al","parse-names":false,"suffix":""},{"dropping-particle":"","family":"Ansaloni","given":"Luca","non-dropping-particle":"","parse-names":false,"suffix":""},{"dropping-particle":"","family":"Ansari","given":"Shamshul","non-dropping-particle":"","parse-names":false,"suffix":""},{"dropping-particle":"","family":"Arauz","given":"Ana Belen","non-dropping-particle":"","parse-names":false,"suffix":""},{"dropping-particle":"","family":"Augustin","given":"Goran","non-dropping-particle":"","parse-names":false,"suffix":""},{"dropping-particle":"","family":"Awazi","given":"Bih","non-dropping-particle":"","parse-names":false,"suffix":""},{"dropping-particle":"","family":"Azfar","given":"Mohammad","non-dropping-particle":"","parse-names":false,"suffix":""},{"dropping-particle":"","family":"Bah","given":"Mamadou Saliou Bailo","non-dropping-particle":"","parse-names":false,"suffix":""},{"dropping-particle":"","family":"Bala","given":"Miklosh","non-dropping-particle":"","parse-names":false,"suffix":""},{"dropping-particle":"","family":"Banagala","given":"Anura S. K.","non-dropping-particle":"","parse-names":false,"suffix":""},{"dropping-particle":"","family":"Baral","given":"Suman","non-dropping-particle":"","parse-names":false,"suffix":""},{"dropping-particle":"","family":"Bassetti","given":"Matteo","non-dropping-particle":"","parse-names":false,"suffix":""},{"dropping-particle":"","family":"Bavestrello","given":"Luis","non-dropping-particle":"","parse-names":false,"suffix":""},{"dropping-particle":"","family":"Beilman","given":"Gregory","non-dropping-particle":"","parse-names":false,"suffix":""},{"dropping-particle":"","family":"Bekele","given":"Kebebe","non-dropping-particle":"","parse-names":false,"suffix":""},{"dropping-particle":"","family":"Benboubker","given":"Moussa","non-dropping-particle":"","parse-names":false,"suffix":""},{"dropping-particle":"","family":"Beović","given":"Bojana","non-dropping-particle":"","parse-names":false,"suffix":""},{"dropping-particle":"","family":"Bergamasco","given":"Maria Daniela","non-dropping-particle":"","parse-names":false,"suffix":""},{"dropping-particle":"","family":"Bertagnolio","given":"Silvia","non-dropping-particle":"","parse-names":false,"suffix":""},{"dropping-particle":"","family":"Biffl","given":"Walter L.","non-dropping-particle":"","parse-names":false,"suffix":""},{"dropping-particle":"","family":"Blot","given":"Stijn","non-dropping-particle":"","parse-names":false,"suffix":""},{"dropping-particle":"","family":"Boermeester","given":"Marja A.","non-dropping-particle":"","parse-names":false,"suffix":""},{"dropping-particle":"","family":"Bonomo","given":"Robert A.","non-dropping-particle":"","parse-names":false,"suffix":""},{"dropping-particle":"","family":"Brink","given":"Adrian","non-dropping-particle":"","parse-names":false,"suffix":""},{"dropping-particle":"","family":"Brusaferro","given":"Silvio","non-dropping-particle":"","parse-names":false,"suffix":""},{"dropping-particle":"","family":"Butemba","given":"Jonathan","non-dropping-particle":"","parse-names":false,"suffix":""},{"dropping-particle":"","family":"Caínzos","given":"Miguel A.","non-dropping-particle":"","parse-names":false,"suffix":""},{"dropping-particle":"","family":"Camacho-Ortiz","given":"Adrian","non-dropping-particle":"","parse-names":false,"suffix":""},{"dropping-particle":"","family":"Canton","given":"Rafael","non-dropping-particle":"","parse-names":false,"suffix":""},{"dropping-particle":"","family":"Cascio","given":"Antonio","non-dropping-particle":"","parse-names":false,"suffix":""},{"dropping-particle":"","family":"Cassini","given":"Alessandro","non-dropping-particle":"","parse-names":false,"suffix":""},{"dropping-particle":"","family":"Cástro-Sanchez","given":"Enrique","non-dropping-particle":"","parse-names":false,"suffix":""},{"dropping-particle":"","family":"Catarci","given":"Marco","non-dropping-particle":"","parse-names":false,"suffix":""},{"dropping-particle":"","family":"Catena","given":"Rodolfo","non-dropping-particle":"","parse-names":false,"suffix":""},{"dropping-particle":"","family":"Chamani-Tabriz","given":"Leili","non-dropping-particle":"","parse-names":false,"suffix":""},{"dropping-particle":"","family":"Chandy","given":"Sujith J.","non-dropping-particle":"","parse-names":false,"suffix":""},{"dropping-particle":"","family":"Charani","given":"Esmita","non-dropping-particle":"","parse-names":false,"suffix":""},{"dropping-particle":"","family":"Cheadle","given":"William G.","non-dropping-particle":"","parse-names":false,"suffix":""},{"dropping-particle":"","family":"Chebet","given":"Diana","non-dropping-particle":"","parse-names":false,"suffix":""},{"dropping-particle":"","family":"Chikowe","given":"Ibrahim","non-dropping-particle":"","parse-names":false,"suffix":""},{"dropping-particle":"","family":"Chiara","given":"Francesca","non-dropping-particle":"","parse-names":false,"suffix":""},{"dropping-particle":"","family":"Cheng","given":"Vincent Chi-Chung","non-dropping-particle":"","parse-names":false,"suffix":""},{"dropping-particle":"","family":"Chioti","given":"Anna","non-dropping-particle":"","parse-names":false,"suffix":""},{"dropping-particle":"","family":"Cocuz","given":"Maria Elena","non-dropping-particle":"","parse-names":false,"suffix":""},{"dropping-particle":"","family":"Coimbra","given":"Raul","non-dropping-particle":"","parse-names":false,"suffix":""},{"dropping-particle":"","family":"Cortese","given":"Francesco","non-dropping-particle":"","parse-names":false,"suffix":""},{"dropping-particle":"","family":"Cui","given":"Yunfeng","non-dropping-particle":"","parse-names":false,"suffix":""},{"dropping-particle":"","family":"Czepiel","given":"Jacek","non-dropping-particle":"","parse-names":false,"suffix":""},{"dropping-particle":"","family":"Dasic","given":"Mira","non-dropping-particle":"","parse-names":false,"suffix":""},{"dropping-particle":"","family":"Francisco Serpa","given":"Nataliya","non-dropping-particle":"de","parse-names":false,"suffix":""},{"dropping-particle":"","family":"Jonge","given":"Stijn W.","non-dropping-particle":"de","parse-names":false,"suffix":""},{"dropping-particle":"","family":"Delibegovic","given":"Samir","non-dropping-particle":"","parse-names":false,"suffix":""},{"dropping-particle":"","family":"Dellinger","given":"E. Patchen","non-dropping-particle":"","parse-names":false,"suffix":""},{"dropping-particle":"","family":"Demetrashvili","given":"Zaza","non-dropping-particle":"","parse-names":false,"suffix":""},{"dropping-particle":"","family":"Palma","given":"Alessandra","non-dropping-particle":"De","parse-names":false,"suffix":""},{"dropping-particle":"","family":"Silva","given":"Danushka","non-dropping-particle":"De","parse-names":false,"suffix":""},{"dropping-particle":"","family":"Simone","given":"Belinda","non-dropping-particle":"De","parse-names":false,"suffix":""},{"dropping-particle":"","family":"Waele","given":"Jan","non-dropping-particle":"De","parse-names":false,"suffix":""},{"dropping-particle":"","family":"Dhingra","given":"Sameer","non-dropping-particle":"","parse-names":false,"suffix":""},{"dropping-particle":"","family":"Diaz","given":"Jose J.","non-dropping-particle":"","parse-names":false,"suffix":""},{"dropping-particle":"","family":"Dima","given":"Claudia","non-dropping-particle":"","parse-names":false,"suffix":""},{"dropping-particle":"","family":"Dirani","given":"Natalia","non-dropping-particle":"","parse-names":false,"suffix":""},{"dropping-particle":"","family":"Dodoo","given":"Cornelius C.","non-dropping-particle":"","parse-names":false,"suffix":""},{"dropping-particle":"","family":"Dorj","given":"Gereltuya","non-dropping-particle":"","parse-names":false,"suffix":""},{"dropping-particle":"","family":"Duane","given":"Therese M.","non-dropping-particle":"","parse-names":false,"suffix":""},{"dropping-particle":"","family":"Eckmann","given":"Christian","non-dropping-particle":"","parse-names":false,"suffix":""},{"dropping-particle":"","family":"Egyir","given":"Beverly","non-dropping-particle":"","parse-names":false,"suffix":""},{"dropping-particle":"","family":"Elmangory","given":"Mutasim M.","non-dropping-particle":"","parse-names":false,"suffix":""},{"dropping-particle":"","family":"Enani","given":"Mushira A.","non-dropping-particle":"","parse-names":false,"suffix":""},{"dropping-particle":"","family":"Ergonul","given":"Onder","non-dropping-particle":"","parse-names":false,"suffix":""},{"dropping-particle":"","family":"Escalera-Antezana","given":"Juan Pablo","non-dropping-particle":"","parse-names":false,"suffix":""},{"dropping-particle":"","family":"Escandon","given":"Kevin","non-dropping-particle":"","parse-names":false,"suffix":""},{"dropping-particle":"","family":"Ettu","given":"Abdul-Wahab Omo-ope","non-dropping-particle":"","parse-names":false,"suffix":""},{"dropping-particle":"","family":"Fadare","given":"Joseph O.","non-dropping-particle":"","parse-names":false,"suffix":""},{"dropping-particle":"","family":"Fantoni","given":"Massimo","non-dropping-particle":"","parse-names":false,"suffix":""},{"dropping-particle":"","family":"Farahbakhsh","given":"Mohammad","non-dropping-particle":"","parse-names":false,"suffix":""},{"dropping-particle":"","family":"Faro","given":"Mario Paulo","non-dropping-particle":"","parse-names":false,"suffix":""},{"dropping-particle":"","family":"Ferreres","given":"Alberto","non-dropping-particle":"","parse-names":false,"suffix":""},{"dropping-particle":"","family":"Flocco","given":"Gianina","non-dropping-particle":"","parse-names":false,"suffix":""},{"dropping-particle":"","family":"Foianini","given":"Esteban","non-dropping-particle":"","parse-names":false,"suffix":""},{"dropping-particle":"","family":"Fry","given":"Donald E.","non-dropping-particle":"","parse-names":false,"suffix":""},{"dropping-particle":"","family":"Garcia","given":"Alberto Federico","non-dropping-particle":"","parse-names":false,"suffix":""},{"dropping-particle":"","family":"Gerardi","given":"Chiara","non-dropping-particle":"","parse-names":false,"suffix":""},{"dropping-particle":"","family":"Ghannam","given":"Wagih","non-dropping-particle":"","parse-names":false,"suffix":""},{"dropping-particle":"","family":"Giamarellou","given":"Helen","non-dropping-particle":"","parse-names":false,"suffix":""},{"dropping-particle":"","family":"Glushkova","given":"Natalya","non-dropping-particle":"","parse-names":false,"suffix":""},{"dropping-particle":"","family":"Gkiokas","given":"George","non-dropping-particle":"","parse-names":false,"suffix":""},{"dropping-particle":"","family":"Goff","given":"Debra A.","non-dropping-particle":"","parse-names":false,"suffix":""},{"dropping-particle":"","family":"Gomi","given":"Harumi","non-dropping-particle":"","parse-names":false,"suffix":""},{"dropping-particle":"","family":"Gottfredsson","given":"Magnus","non-dropping-particle":"","parse-names":false,"suffix":""},{"dropping-particle":"","family":"Griffiths","given":"Ewen A.","non-dropping-particle":"","parse-names":false,"suffix":""},{"dropping-particle":"","family":"Guerra Gronerth","given":"Rosio Isabel","non-dropping-particle":"","parse-names":false,"suffix":""},{"dropping-particle":"","family":"Guirao","given":"Xavier","non-dropping-particle":"","parse-names":false,"suffix":""},{"dropping-particle":"","family":"Gupta","given":"Yogesh K.","non-dropping-particle":"","parse-names":false,"suffix":""},{"dropping-particle":"","family":"Halle-Ekane","given":"Gregory","non-dropping-particle":"","parse-names":false,"suffix":""},{"dropping-particle":"","family":"Hansen","given":"Sonja","non-dropping-particle":"","parse-names":false,"suffix":""},{"dropping-particle":"","family":"Haque","given":"Mainul","non-dropping-particle":"","parse-names":false,"suffix":""},{"dropping-particle":"","family":"Hardcastle","given":"Timothy C.","non-dropping-particle":"","parse-names":false,"suffix":""},{"dropping-particle":"","family":"Hayman","given":"David T. S.","non-dropping-particle":"","parse-names":false,"suffix":""},{"dropping-particle":"","family":"Hecker","given":"Andreas","non-dropping-particle":"","parse-names":false,"suffix":""},{"dropping-particle":"","family":"Hell","given":"Markus","non-dropping-particle":"","parse-names":false,"suffix":""},{"dropping-particle":"","family":"Ho","given":"Vanessa P.","non-dropping-particle":"","parse-names":false,"suffix":""},{"dropping-particle":"","family":"Hodonou","given":"Adrien M.","non-dropping-particle":"","parse-names":false,"suffix":""},{"dropping-particle":"","family":"Isik","given":"Arda","non-dropping-particle":"","parse-names":false,"suffix":""},{"dropping-particle":"","family":"Islam","given":"Salequl","non-dropping-particle":"","parse-names":false,"suffix":""},{"dropping-particle":"","family":"Itani","given":"Kamal M. F.","non-dropping-particle":"","parse-names":false,"suffix":""},{"dropping-particle":"","family":"Jaidane","given":"Nadia","non-dropping-particle":"","parse-names":false,"suffix":""},{"dropping-particle":"","family":"Jammer","given":"Ib","non-dropping-particle":"","parse-names":false,"suffix":""},{"dropping-particle":"","family":"Jenkins","given":"David R.","non-dropping-particle":"","parse-names":false,"suffix":""},{"dropping-particle":"","family":"Kamara","given":"Ibrahim Franklyn","non-dropping-particle":"","parse-names":false,"suffix":""},{"dropping-particle":"","family":"Kanj","given":"Souha S.","non-dropping-particle":"","parse-names":false,"suffix":""},{"dropping-particle":"","family":"Jumbam","given":"Desmond","non-dropping-particle":"","parse-names":false,"suffix":""},{"dropping-particle":"","family":"Keikha","given":"Masoud","non-dropping-particle":"","parse-names":false,"suffix":""},{"dropping-particle":"","family":"Khanna","given":"Ashish K.","non-dropping-particle":"","parse-names":false,"suffix":""},{"dropping-particle":"","family":"Khanna","given":"Sahil","non-dropping-particle":"","parse-names":false,"suffix":""},{"dropping-particle":"","family":"Kapoor","given":"Gaetanjali","non-dropping-particle":"","parse-names":false,"suffix":""},{"dropping-particle":"","family":"Kapoor","given":"Garima","non-dropping-particle":"","parse-names":false,"suffix":""},{"dropping-particle":"","family":"Kariuki","given":"Samuel","non-dropping-particle":"","parse-names":false,"suffix":""},{"dropping-particle":"","family":"Khamis","given":"Faryal","non-dropping-particle":"","parse-names":false,"suffix":""},{"dropping-particle":"","family":"Khokha","given":"Vladimir","non-dropping-particle":"","parse-names":false,"suffix":""},{"dropping-particle":"","family":"Kiggundu","given":"Reuben","non-dropping-particle":"","parse-names":false,"suffix":""},{"dropping-particle":"","family":"Kiguba","given":"Ronald","non-dropping-particle":"","parse-names":false,"suffix":""},{"dropping-particle":"Bin","family":"Kim","given":"Hong","non-dropping-particle":"","parse-names":false,"suffix":""},{"dropping-particle":"","family":"Kim","given":"Peter K.","non-dropping-particle":"","parse-names":false,"suffix":""},{"dropping-particle":"","family":"Kirkpatrick","given":"Andrew W.","non-dropping-particle":"","parse-names":false,"suffix":""},{"dropping-particle":"","family":"Kluger","given":"Yoram","non-dropping-particle":"","parse-names":false,"suffix":""},{"dropping-particle":"","family":"Ko","given":"Wen-Chien","non-dropping-particle":"","parse-names":false,"suffix":""},{"dropping-particle":"","family":"Kok","given":"Kenneth Y. Y.","non-dropping-particle":"","parse-names":false,"suffix":""},{"dropping-particle":"","family":"Kotecha","given":"Vihar","non-dropping-particle":"","parse-names":false,"suffix":""},{"dropping-particle":"","family":"Kouma","given":"Ibrahima","non-dropping-particle":"","parse-names":false,"suffix":""},{"dropping-particle":"","family":"Kovacevic","given":"Bojan","non-dropping-particle":"","parse-names":false,"suffix":""},{"dropping-particle":"","family":"Krasniqi","given":"Jehona","non-dropping-particle":"","parse-names":false,"suffix":""},{"dropping-particle":"","family":"Krutova","given":"Marcela","non-dropping-particle":"","parse-names":false,"suffix":""},{"dropping-particle":"","family":"Kryvoruchko","given":"Igor","non-dropping-particle":"","parse-names":false,"suffix":""},{"dropping-particle":"","family":"Kullar","given":"Ravina","non-dropping-particle":"","parse-names":false,"suffix":""},{"dropping-particle":"","family":"Labi","given":"Kwaku A.","non-dropping-particle":"","parse-names":false,"suffix":""},{"dropping-particle":"","family":"Labricciosa","given":"Francesco M.","non-dropping-particle":"","parse-names":false,"suffix":""},{"dropping-particle":"","family":"Lakoh","given":"Sulaiman","non-dropping-particle":"","parse-names":false,"suffix":""},{"dropping-particle":"","family":"Lakatos","given":"Botond","non-dropping-particle":"","parse-names":false,"suffix":""},{"dropping-particle":"","family":"Lansang","given":"Mary Ann D.","non-dropping-particle":"","parse-names":false,"suffix":""},{"dropping-particle":"","family":"Laxminarayan","given":"Ramanan","non-dropping-particle":"","parse-names":false,"suffix":""},{"dropping-particle":"","family":"Lee","given":"Young Ran","non-dropping-particle":"","parse-names":false,"suffix":""},{"dropping-particle":"","family":"Leone","given":"Marc","non-dropping-particle":"","parse-names":false,"suffix":""},{"dropping-particle":"","family":"Leppaniemi","given":"Ari","non-dropping-particle":"","parse-names":false,"suffix":""},{"dropping-particle":"","family":"Hara","given":"Gabriel Levy","non-dropping-particle":"","parse-names":false,"suffix":""},{"dropping-particle":"","family":"Litvin","given":"Andrey","non-dropping-particle":"","parse-names":false,"suffix":""},{"dropping-particle":"","family":"Lohsiriwat","given":"Varut","non-dropping-particle":"","parse-names":false,"suffix":""},{"dropping-particle":"","family":"Machain","given":"Gustavo M.","non-dropping-particle":"","parse-names":false,"suffix":""},{"dropping-particle":"","family":"Mahomoodally","given":"Fawzi","non-dropping-particle":"","parse-names":false,"suffix":""},{"dropping-particle":"V.","family":"Maier","given":"Ronald","non-dropping-particle":"","parse-names":false,"suffix":""},{"dropping-particle":"","family":"Majumder","given":"Md Anwarul Azim","non-dropping-particle":"","parse-names":false,"suffix":""},{"dropping-particle":"","family":"Malama","given":"Sydney","non-dropping-particle":"","parse-names":false,"suffix":""},{"dropping-particle":"","family":"Manasa","given":"Justen","non-dropping-particle":"","parse-names":false,"suffix":""},{"dropping-particle":"","family":"Manchanda","given":"Vikas","non-dropping-particle":"","parse-names":false,"suffix":""},{"dropping-particle":"","family":"Manzano-Nunez","given":"Ramiro","non-dropping-particle":"","parse-names":false,"suffix":""},{"dropping-particle":"","family":"Martínez-Martínez","given":"Luis","non-dropping-particle":"","parse-names":false,"suffix":""},{"dropping-particle":"","family":"Martin-Loeches","given":"Ignacio","non-dropping-particle":"","parse-names":false,"suffix":""},{"dropping-particle":"","family":"Marwah","given":"Sanjay","non-dropping-particle":"","parse-names":false,"suffix":""},{"dropping-particle":"","family":"Maseda","given":"Emilio","non-dropping-particle":"","parse-names":false,"suffix":""},{"dropping-particle":"","family":"Mathewos","given":"Maleda","non-dropping-particle":"","parse-names":false,"suffix":""},{"dropping-particle":"","family":"Maves","given":"Ryan C.","non-dropping-particle":"","parse-names":false,"suffix":""},{"dropping-particle":"","family":"McNamara","given":"Deborah","non-dropping-particle":"","parse-names":false,"suffix":""},{"dropping-particle":"","family":"Memish","given":"Ziad","non-dropping-particle":"","parse-names":false,"suffix":""},{"dropping-particle":"","family":"Mertz","given":"Dominik","non-dropping-particle":"","parse-names":false,"suffix":""},{"dropping-particle":"","family":"Mishra","given":"Shyam Kumar","non-dropping-particle":"","parse-names":false,"suffix":""},{"dropping-particle":"","family":"Montravers","given":"Philippe","non-dropping-particle":"","parse-names":false,"suffix":""},{"dropping-particle":"","family":"Moro","given":"Maria Luisa","non-dropping-particle":"","parse-names":false,"suffix":""},{"dropping-particle":"","family":"Mossialos","given":"Elias","non-dropping-particle":"","parse-names":false,"suffix":""},{"dropping-particle":"","family":"Motta","given":"Fabrizio","non-dropping-particle":"","parse-names":false,"suffix":""},{"dropping-particle":"","family":"Mudenda","given":"Steward","non-dropping-particle":"","parse-names":false,"suffix":""},{"dropping-particle":"","family":"Mugabi","given":"Patrick","non-dropping-particle":"","parse-names":false,"suffix":""},{"dropping-particle":"","family":"Mugisha","given":"Mc Juan Muco","non-dropping-particle":"","parse-names":false,"suffix":""},{"dropping-particle":"","family":"Mylonakis","given":"Eleftherios","non-dropping-particle":"","parse-names":false,"suffix":""},{"dropping-particle":"","family":"Napolitano","given":"Lena M.","non-dropping-particle":"","parse-names":false,"suffix":""},{"dropping-particle":"","family":"Nathwani","given":"Dilip","non-dropping-particle":"","parse-names":false,"suffix":""},{"dropping-particle":"","family":"Nkamba","given":"Leontine","non-dropping-particle":"","parse-names":false,"suffix":""},{"dropping-particle":"","family":"Nsutebu","given":"Emmanuel Fru","non-dropping-particle":"","parse-names":false,"suffix":""},{"dropping-particle":"","family":"O’Connor","given":"Donal B.","non-dropping-particle":"","parse-names":false,"suffix":""},{"dropping-particle":"","family":"Ogunsola","given":"Sade","non-dropping-particle":"","parse-names":false,"suffix":""},{"dropping-particle":"","family":"Jensen","given":"Peter Østrup","non-dropping-particle":"","parse-names":false,"suffix":""},{"dropping-particle":"","family":"Ordoñez","given":"Juliana Maria","non-dropping-particle":"","parse-names":false,"suffix":""},{"dropping-particle":"","family":"Ordoñez","given":"Carlos A.","non-dropping-particle":"","parse-names":false,"suffix":""},{"dropping-particle":"","family":"Ottolino","given":"Pablo","non-dropping-particle":"","parse-names":false,"suffix":""},{"dropping-particle":"","family":"Ouedraogo","given":"Abdoul-Salam","non-dropping-particle":"","parse-names":false,"suffix":""},{"dropping-particle":"","family":"Paiva","given":"José Artur","non-dropping-particle":"","parse-names":false,"suffix":""},{"dropping-particle":"","family":"Palmieri","given":"Miriam","non-dropping-particle":"","parse-names":false,"suffix":""},{"dropping-particle":"","family":"Pan","given":"Angelo","non-dropping-particle":"","parse-names":false,"suffix":""},{"dropping-particle":"","family":"Pant","given":"Narayan","non-dropping-particle":"","parse-names":false,"suffix":""},{"dropping-particle":"","family":"Panyko","given":"Arpád","non-dropping-particle":"","parse-names":false,"suffix":""},{"dropping-particle":"","family":"Paolillo","given":"Ciro","non-dropping-particle":"","parse-names":false,"suffix":""},{"dropping-particle":"","family":"Patel","given":"Jay","non-dropping-particle":"","parse-names":false,"suffix":""},{"dropping-particle":"","family":"Pea","given":"Federico","non-dropping-particle":"","parse-names":false,"suffix":""},{"dropping-particle":"","family":"Petrone","given":"Patrizio","non-dropping-particle":"","parse-names":false,"suffix":""},{"dropping-particle":"","family":"Petrosillo","given":"Nicola","non-dropping-particle":"","parse-names":false,"suffix":""},{"dropping-particle":"","family":"Pintar","given":"Tadeja","non-dropping-particle":"","parse-names":false,"suffix":""},{"dropping-particle":"","family":"Plaudis","given":"Haralds","non-dropping-particle":"","parse-names":false,"suffix":""},{"dropping-particle":"","family":"Podda","given":"Mauro","non-dropping-particle":"","parse-names":false,"suffix":""},{"dropping-particle":"","family":"Ponce-de-Leon","given":"Alfredo","non-dropping-particle":"","parse-names":false,"suffix":""},{"dropping-particle":"","family":"Powell","given":"Susan L.","non-dropping-particle":"","parse-names":false,"suffix":""},{"dropping-particle":"","family":"Puello-Guerrero","given":"Adrián","non-dropping-particle":"","parse-names":false,"suffix":""},{"dropping-particle":"","family":"Pulcini","given":"Celine","non-dropping-particle":"","parse-names":false,"suffix":""},{"dropping-particle":"","family":"Rasa","given":"Kemal","non-dropping-particle":"","parse-names":false,"suffix":""},{"dropping-particle":"","family":"Regimbeau","given":"Jean-Marc","non-dropping-particle":"","parse-names":false,"suffix":""},{"dropping-particle":"","family":"Rello","given":"Jordi","non-dropping-particle":"","parse-names":false,"suffix":""},{"dropping-particle":"","family":"Retamozo-Palacios","given":"Manuel Renato","non-dropping-particle":"","parse-names":false,"suffix":""},{"dropping-particle":"","family":"Reynolds-Campbell","given":"Glendee","non-dropping-particle":"","parse-names":false,"suffix":""},{"dropping-particle":"","family":"Ribeiro","given":"Julival","non-dropping-particle":"","parse-names":false,"suffix":""},{"dropping-particle":"","family":"Rickard","given":"Jennifer","non-dropping-particle":"","parse-names":false,"suffix":""},{"dropping-particle":"","family":"Rocha-Pereira","given":"Nuno","non-dropping-particle":"","parse-names":false,"suffix":""},{"dropping-particle":"","family":"Rosenthal","given":"Victor D.","non-dropping-particle":"","parse-names":false,"suffix":""},{"dropping-particle":"","family":"Rossolini","given":"Gian Maria","non-dropping-particle":"","parse-names":false,"suffix":""},{"dropping-particle":"","family":"Rwegerera","given":"Godfrey M.","non-dropping-particle":"","parse-names":false,"suffix":""},{"dropping-particle":"","family":"Rwigamba","given":"Megan","non-dropping-particle":"","parse-names":false,"suffix":""},{"dropping-particle":"","family":"Sabbatucci","given":"Michela","non-dropping-particle":"","parse-names":false,"suffix":""},{"dropping-particle":"","family":"Saladžinskas","given":"Žilvinas","non-dropping-particle":"","parse-names":false,"suffix":""},{"dropping-particle":"","family":"Salama","given":"Rasha E.","non-dropping-particle":"","parse-names":false,"suffix":""},{"dropping-particle":"","family":"Sali","given":"Tondore","non-dropping-particle":"","parse-names":false,"suffix":""},{"dropping-particle":"","family":"Salile","given":"Samson Sahile","non-dropping-particle":"","parse-names":false,"suffix":""},{"dropping-particle":"","family":"Sall","given":"Ibrahima","non-dropping-particle":"","parse-names":false,"suffix":""},{"dropping-particle":"","family":"Kafil","given":"Hossein Samadi","non-dropping-particle":"","parse-names":false,"suffix":""},{"dropping-particle":"","family":"Sakakushev","given":"Boris E.","non-dropping-particle":"","parse-names":false,"suffix":""},{"dropping-particle":"","family":"Sawyer","given":"Robert G.","non-dropping-particle":"","parse-names":false,"suffix":""},{"dropping-particle":"","family":"Scatizzi","given":"Marco","non-dropping-particle":"","parse-names":false,"suffix":""},{"dropping-particle":"","family":"Seni","given":"Jeremiah","non-dropping-particle":"","parse-names":false,"suffix":""},{"dropping-particle":"","family":"Septimus","given":"Edward J.","non-dropping-particle":"","parse-names":false,"suffix":""},{"dropping-particle":"","family":"Sganga","given":"Gabriele","non-dropping-particle":"","parse-names":false,"suffix":""},{"dropping-particle":"","family":"Shabanzadeh","given":"Daniel Mønsted","non-dropping-particle":"","parse-names":false,"suffix":""},{"dropping-particle":"","family":"Shelat","given":"Vishal G.","non-dropping-particle":"","parse-names":false,"suffix":""},{"dropping-particle":"","family":"Shibabaw","given":"Agumas","non-dropping-particle":"","parse-names":false,"suffix":""},{"dropping-particle":"","family":"Somville","given":"Francis","non-dropping-particle":"","parse-names":false,"suffix":""},{"dropping-particle":"","family":"Souf","given":"Selma","non-dropping-particle":"","parse-names":false,"suffix":""},{"dropping-particle":"","family":"Stefani","given":"Stefania","non-dropping-particle":"","parse-names":false,"suffix":""},{"dropping-particle":"","family":"Tacconelli","given":"Evelina","non-dropping-particle":"","parse-names":false,"suffix":""},{"dropping-particle":"","family":"Tan","given":"Buon Kim","non-dropping-particle":"","parse-names":false,"suffix":""},{"dropping-particle":"","family":"Tattevin","given":"Pierre","non-dropping-particle":"","parse-names":false,"suffix":""},{"dropping-particle":"","family":"Rodriguez-Taveras","given":"Carlos","non-dropping-particle":"","parse-names":false,"suffix":""},{"dropping-particle":"","family":"Telles","given":"João Paulo","non-dropping-particle":"","parse-names":false,"suffix":""},{"dropping-particle":"","family":"Téllez-Almenares","given":"Orlando","non-dropping-particle":"","parse-names":false,"suffix":""},{"dropping-particle":"","family":"Tessier","given":"Jeffrey","non-dropping-particle":"","parse-names":false,"suffix":""},{"dropping-particle":"","family":"Thang","given":"Nguyen Toan","non-dropping-particle":"","parse-names":false,"suffix":""},{"dropping-particle":"","family":"Timmermann","given":"Cristian","non-dropping-particle":"","parse-names":false,"suffix":""},{"dropping-particle":"","family":"Timsit","given":"Jean-François","non-dropping-particle":"","parse-names":false,"suffix":""},{"dropping-particle":"","family":"Tochie","given":"Joel Noutakdie","non-dropping-particle":"","parse-names":false,"suffix":""},{"dropping-particle":"","family":"Tolonen","given":"Matti","non-dropping-particle":"","parse-names":false,"suffix":""},{"dropping-particle":"","family":"Trueba","given":"Gabriel","non-dropping-particle":"","parse-names":false,"suffix":""},{"dropping-particle":"","family":"Tsioutis","given":"Constantinos","non-dropping-particle":"","parse-names":false,"suffix":""},{"dropping-particle":"","family":"Tumietto","given":"Fabio","non-dropping-particle":"","parse-names":false,"suffix":""},{"dropping-particle":"","family":"Tuon","given":"Felipe Francisco","non-dropping-particle":"","parse-names":false,"suffix":""},{"dropping-particle":"","family":"Ulrych","given":"Jan","non-dropping-particle":"","parse-names":false,"suffix":""},{"dropping-particle":"","family":"Uranues","given":"Selman","non-dropping-particle":"","parse-names":false,"suffix":""},{"dropping-particle":"","family":"Dongen","given":"Maarten","non-dropping-particle":"van","parse-names":false,"suffix":""},{"dropping-particle":"","family":"Goor","given":"Harry","non-dropping-particle":"van","parse-names":false,"suffix":""},{"dropping-particle":"","family":"Velmahos","given":"George C.","non-dropping-particle":"","parse-names":false,"suffix":""},{"dropping-particle":"","family":"Vereczkei","given":"Andras","non-dropping-particle":"","parse-names":false,"suffix":""},{"dropping-particle":"","family":"Viaggi","given":"Bruno","non-dropping-particle":"","parse-names":false,"suffix":""},{"dropping-particle":"","family":"Viale","given":"Pierluigi","non-dropping-particle":"","parse-names":false,"suffix":""},{"dropping-particle":"","family":"Vila","given":"Jordi","non-dropping-particle":"","parse-names":false,"suffix":""},{"dropping-particle":"","family":"Voss","given":"Andreas","non-dropping-particle":"","parse-names":false,"suffix":""},{"dropping-particle":"","family":"Vraneš","given":"Jasmina","non-dropping-particle":"","parse-names":false,"suffix":""},{"dropping-particle":"","family":"Watkins","given":"Richard R.","non-dropping-particle":"","parse-names":false,"suffix":""},{"dropping-particle":"","family":"Wanjiru-Korir","given":"Nyambura","non-dropping-particle":"","parse-names":false,"suffix":""},{"dropping-particle":"","family":"Waworuntu","given":"Olivia","non-dropping-particle":"","parse-names":false,"suffix":""},{"dropping-particle":"","family":"Wechsler-Fördös","given":"Agnes","non-dropping-particle":"","parse-names":false,"suffix":""},{"dropping-particle":"","family":"Yadgarova","given":"Klara","non-dropping-particle":"","parse-names":false,"suffix":""},{"dropping-particle":"","family":"Yahaya","given":"Mohammed","non-dropping-particle":"","parse-names":false,"suffix":""},{"dropping-particle":"","family":"Yahya","given":"Ali I.","non-dropping-particle":"","parse-names":false,"suffix":""},{"dropping-particle":"","family":"Xiao","given":"Yonghong","non-dropping-particle":"","parse-names":false,"suffix":""},{"dropping-particle":"","family":"Zakaria","given":"Andee Dzulkarnaen","non-dropping-particle":"","parse-names":false,"suffix":""},{"dropping-particle":"","family":"Zakrison","given":"Tanya L.","non-dropping-particle":"","parse-names":false,"suffix":""},{"dropping-particle":"","family":"Zamora Mesia","given":"Victor","non-dropping-particle":"","parse-names":false,"suffix":""},{"dropping-particle":"","family":"Siquini","given":"Walter","non-dropping-particle":"","parse-names":false,"suffix":""},{"dropping-particle":"","family":"Darzi","given":"Ara","non-dropping-particle":"","parse-names":false,"suffix":""},{"dropping-particle":"","family":"Pagani","given":"Leonardo","non-dropping-particle":"","parse-names":false,"suffix":""},{"dropping-particle":"","family":"Catena","given":"Fausto","non-dropping-particle":"","parse-names":false,"suffix":""}],"container-title":"World Journal of Emergency Surgery","id":"ITEM-5","issue":"1","issued":{"date-parts":[["2023","10","16"]]},"page":"50","publisher":"BioMed Central","title":"Ten golden rules for optimal antibiotic use in hospital settings: the WARNING call to action","type":"article-journal","volume":"18"},"uris":["http://www.mendeley.com/documents/?uuid=1fe4f8a1-6a32-341a-bb37-9c6619842066"]}],"mendeley":{"formattedCitation":"[5–9]","plainTextFormattedCitation":"[5–9]","previouslyFormattedCitation":"[5–9]"},"properties":{"noteIndex":0},"schema":"https://github.com/citation-style-language/schema/raw/master/csl-citation.json"}</w:instrText>
      </w:r>
      <w:r w:rsidRPr="003F4633">
        <w:rPr>
          <w:rFonts w:eastAsia="Times New Roman" w:cs="Times New Roman"/>
          <w:szCs w:val="24"/>
          <w:lang w:val="en-GB"/>
        </w:rPr>
        <w:fldChar w:fldCharType="separate"/>
      </w:r>
      <w:r w:rsidRPr="003F4633">
        <w:rPr>
          <w:rFonts w:eastAsia="Times New Roman" w:cs="Times New Roman"/>
          <w:noProof/>
          <w:szCs w:val="24"/>
          <w:lang w:val="en-GB"/>
        </w:rPr>
        <w:t>[5–9]</w:t>
      </w:r>
      <w:r w:rsidRPr="003F4633">
        <w:rPr>
          <w:rFonts w:eastAsia="Times New Roman" w:cs="Times New Roman"/>
          <w:szCs w:val="24"/>
          <w:lang w:val="en"/>
        </w:rPr>
        <w:fldChar w:fldCharType="end"/>
      </w:r>
      <w:r w:rsidRPr="003F4633">
        <w:rPr>
          <w:rFonts w:eastAsia="Times New Roman" w:cs="Times New Roman"/>
          <w:szCs w:val="24"/>
          <w:lang w:val="en-GB"/>
        </w:rPr>
        <w:t xml:space="preserve">, particularly in low- and middle-income countries (LMICs) </w:t>
      </w:r>
      <w:r w:rsidRPr="003F4633">
        <w:rPr>
          <w:rFonts w:eastAsia="Times New Roman" w:cs="Times New Roman"/>
          <w:szCs w:val="24"/>
          <w:lang w:val="en-GB"/>
        </w:rPr>
        <w:fldChar w:fldCharType="begin" w:fldLock="1"/>
      </w:r>
      <w:r w:rsidR="00EF7410">
        <w:rPr>
          <w:rFonts w:eastAsia="Times New Roman" w:cs="Times New Roman"/>
          <w:szCs w:val="24"/>
          <w:lang w:val="en-GB"/>
        </w:rPr>
        <w:instrText>ADDIN CSL_CITATION {"citationItems":[{"id":"ITEM-1","itemData":{"DOI":"10.1108/IJHCQA-03-2018-0063","ISSN":"09526862","PMID":"31282256","abstract":"Purpose: Healthcare-associated infections (HAIs) constitute a major threat to patient safety and affect hundreds of millions of people worldwide. The World Health Organization in 2016 published guidelines on the core components for infection prevention and control (IPC) programme. This was in response to a global call for focused action. The purpose of this paper is to examine and promote understanding of the tenets of the IPC guidelines and highlight their implications for implementation in low-income countries. Design/methodology/approach: Drawing from personal experiences in leading the implementation of health programmes as well as a review of published and grey literature on IPC, authors discussed and proposed practical approaches to implement IPC priorities in low-income setting. Findings: Availability of locally generated evidence is paramount to guide strengthening leadership and institutionalisation of IPC programmes. Preventing infections is everybody’s responsibility and should be viewed as such and accorded the required attention. Originality/value: Drawing from recent experiences from disease outbreaks and given the heavy burden of HAIs especially in low-income settings, this paper highlights practical approaches to guide implementation of the major components of IPC.","author":[{"dropping-particle":"","family":"Avortri","given":"Gertrude Sika","non-dropping-particle":"","parse-names":false,"suffix":""},{"dropping-particle":"","family":"Nabyonga-Orem","given":"Juliet","non-dropping-particle":"","parse-names":false,"suffix":""}],"container-title":"International Journal of Health Care Quality Assurance","id":"ITEM-1","issue":"6","issued":{"date-parts":[["2019","7","8"]]},"page":"927-940","publisher":"Int J Health Care Qual Assur","title":"The Global call for action on infection prevention and control: Implication for low income countries","type":"article-journal","volume":"32"},"uris":["http://www.mendeley.com/documents/?uuid=8fa20f56-e069-30e5-a14f-a88fb7c41a6b"]},{"id":"ITEM-2","itemData":{"DOI":"10.1016/j.infpip.2020.100071","ISSN":"25900889","PMID":"34316561","abstract":"Background: The WHO estimates 10–30% of hospital admissions are associated with poor infection prevention and control (IPC). There are no reliable data on IPC status in Tanzanian healthcare facilities; hence the Star Rating Assessment (SRA) was established to address this. This study compared the health facility performances on adherence to IPC principles using baseline and reassessment data of SRA. Methods: A retrospective analysis of data from eight randomly selected regions across Tanzania. Data was gathered from an SRA database in which records of baseline assessments (2015/16) and reassessments (2017/18) were documented. Each healthcare facility's ownership and service level were investigated as independent variables. Results: A total of 2,131 healthcare facilities at baseline and 2,185 at reassessment were analysed. Median adherence to IPC principles increased from 31% (IQR: 20%, 46%) to 57% (IQR: 41.4%, 73.2%) after interventions (p&lt;0.001). Privately-owned facilities had higher adherence to IPC principles compared to publicly-owned facilities during baseline (p&lt;0.001) however, the difference was not significant after intervention (p=0.751). On average, hospitals scored highest followed by health centres and then dispensaries during both assessments. Being a privately-owned facility was a predictor of attaining a recommended IPC score of 80% at baseline (POR=1.92 CI=1.06–3.48) but not after the intervention. Facility level was not a predictor during baseline assessment; however after intervention hospitals were twice as likely to attain the recommended score compared to dispensaries (POR=2.27 CI=1.15–4.45). Conclusion: Assessment and rating of quality and organization of health services plus management support to healthcare facilities, leads to improved adherence to IPC principles.","author":[{"dropping-particle":"","family":"Kinyenje","given":"Erick","non-dropping-particle":"","parse-names":false,"suffix":""},{"dropping-particle":"","family":"Hokororo","given":"Joseph","non-dropping-particle":"","parse-names":false,"suffix":""},{"dropping-particle":"","family":"Eliakimu","given":"Eliudi","non-dropping-particle":"","parse-names":false,"suffix":""},{"dropping-particle":"","family":"Yahya","given":"Talhiya","non-dropping-particle":"","parse-names":false,"suffix":""},{"dropping-particle":"","family":"Mbwele","given":"Bernard","non-dropping-particle":"","parse-names":false,"suffix":""},{"dropping-particle":"","family":"Mohamed","given":"Mohamed","non-dropping-particle":"","parse-names":false,"suffix":""},{"dropping-particle":"","family":"Kwesigabo","given":"Gideon","non-dropping-particle":"","parse-names":false,"suffix":""}],"container-title":"Infection Prevention in Practice","id":"ITEM-2","issue":"3","issued":{"date-parts":[["2020","9","1"]]},"page":"100071","publisher":"Infect Prev Pract","title":"Status of Infection Prevention and Control in Tanzanian Primary Health Care Facilities: Learning From Star Rating Assessment","type":"article-journal","volume":"2"},"uris":["http://www.mendeley.com/documents/?uuid=1153e96b-9038-392c-8336-acc1a5cc5109"]},{"id":"ITEM-3","itemData":{"DOI":"10.2147/IDR.S273851","ISSN":"11786973","abstract":"Background: Infection prevention and control (IPC) is a globally relevant aspect of all health systems impacting the health and safety of both patients and healthcare workers. However, best practices remain a challenge in healthcare delivery especially in resource limited situations. The primary objective of this study was to assess the infection prevention and control (IPC) preparedness levels of acute healthcare facilities in Ghana and to determine the factors associated with the overall IPC preparedness levels in acute healthcare facilities. Methods: A cross-sectional study adapting the IPC assessment framework (IPCAF) developed by the World Health Organization (WHO) was conducted. Five of the core components of the WHO IPCAF were used to assess the IPC level of 56 acute healthcare facilities in Ghana. Results: Of the 56 facilities surveyed, only 19 had an IPC program with clearly defined objectives. Overall, 8 (14.3%) facilities scored an IPC preparedness level of “Advance”, 18 (32.1%) facilities received an “Intermediate” IPC preparedness score, 23 (41.1%) facilities received an IPC preparedness level of “basic” and 7 (12.5%) facilities scored an IPC preparedness level of “inadequate”. IPC materials like detergents, running water and PPEs were not significantly supplied. Government owned facilities performed better in terms of IPC preparedness as compared to privately owned facilities. A PLUM-ordinal regression analysis revealed that an IPC program with clearly defined objectives (OR= 76; 95% CI; 7.23, 808.19), dedicated IPC budget (OR= 13; 95% CI; 3.8–44.3) and regular mandatory training (OR= 50.9; 95% CI; 6.1–425) were associated with increased IPC preparedness. Conclusion: Generally, the IPC preparedness levels in a majority of the facilities were low and required significant improvements in several areas. Facilities must make periodic reviews and adjust their objectives based on facility priorities.","author":[{"dropping-particle":"","family":"Oppong","given":"Timothy Bonney","non-dropping-particle":"","parse-names":false,"suffix":""},{"dropping-particle":"","family":"Amponsem-Boateng","given":"Cecilia","non-dropping-particle":"","parse-names":false,"suffix":""},{"dropping-particle":"","family":"Kyere","given":"Emmanuel Kumi Duodu","non-dropping-particle":"","parse-names":false,"suffix":""},{"dropping-particle":"","family":"Wang","given":"Ying","non-dropping-particle":"","parse-names":false,"suffix":""},{"dropping-particle":"","family":"Gheisari","given":"Zohreh","non-dropping-particle":"","parse-names":false,"suffix":""},{"dropping-particle":"","family":"Oppong","given":"Eunice Ekua","non-dropping-particle":"","parse-names":false,"suffix":""},{"dropping-particle":"","family":"Opolot","given":"Godfrey","non-dropping-particle":"","parse-names":false,"suffix":""},{"dropping-particle":"","family":"Duan","given":"Guangcai","non-dropping-particle":"","parse-names":false,"suffix":""},{"dropping-particle":"","family":"Yang","given":"Haiyan","non-dropping-particle":"","parse-names":false,"suffix":""}],"container-title":"Infection and Drug Resistance","id":"ITEM-3","issued":{"date-parts":[["2020","11","24"]]},"page":"4263-4271","publisher":"Dove Press","title":"Infection prevention and control preparedness level and associated determinants in 56 acute healthcare facilities in Ghana","type":"article-journal","volume":"13"},"uris":["http://www.mendeley.com/documents/?uuid=11f253d6-9d92-3bb6-9279-393283ef2e04"]},{"id":"ITEM-4","itemData":{"DOI":"10.2471/BLT.11.088179","ISSN":"00429686","PMID":"22084514","abstract":"Objective To assess the epidemiology of endemic health-care-associated infection (HAI) in Africa. Methods Three databases (PubMed, the Cochrane Library, and the WHO regional medical database for Africa) were searched to identify studies published from 1995 to 2009 on the epidemiology of HAI in African countries. No language restriction was applied. Available abstract books of leading international infection control conferences were also searched from 2004 to 2009. Findings The eligibility criteria for inclusion in the review were met by 19 articles, only 2 of which met the criterion of high quality. Four relevant abstracts were retrieved from the international conference literature. The hospital-wide prevalence of HAI varied between 2.5% and 14.8%; in surgical wards, the cumulative incidence ranged from 5.7% to 45.8%. The largest number of studies focused on surgical site infection, whose cumulative incidence ranged from 2.5% to 30.9%. Data on causative pathogens were available from a few studies only and highlighted the importance of Gram-negative rods, particularly in surgical site infection and ventilator-associated pneumonia. Conclusion Limited information is available on the endemic burden of HAI in Africa, but our review reveals that its frequency is much higher than in developed countries. There is an urgent need to identify and implement feasible and sustainable approaches to strengthen HAI prevention, surveillance and control in Africa.","author":[{"dropping-particle":"","family":"Nejad","given":"Sepideh Bagheri","non-dropping-particle":"","parse-names":false,"suffix":""},{"dropping-particle":"","family":"Allegranzi","given":"Benedetta","non-dropping-particle":"","parse-names":false,"suffix":""},{"dropping-particle":"","family":"Syed","given":"Shamsuzzoha B.","non-dropping-particle":"","parse-names":false,"suffix":""},{"dropping-particle":"","family":"Ellisc","given":"Benjamin","non-dropping-particle":"","parse-names":false,"suffix":""},{"dropping-particle":"","family":"Pittetd","given":"Didier","non-dropping-particle":"","parse-names":false,"suffix":""}],"container-title":"Bulletin of the World Health Organization","id":"ITEM-4","issue":"10","issued":{"date-parts":[["2011","10"]]},"page":"757-765","publisher":"Bull World Health Organ","title":"Health-care-associated infection in Africa: a systematic review","type":"article-journal","volume":"89"},"uris":["http://www.mendeley.com/documents/?uuid=55b35cf9-29d6-3424-9916-bf3d565f6637"]},{"id":"ITEM-5","itemData":{"DOI":"10.1186/s12879-024-09038-0","ISSN":"14712334","PMID":"38302895","abstract":"Background: Healthcare-associated infections (HCAI) place a significant burden on healthcare systems globally. This systematic review and meta-analysis aimed to investigate the prevalence, risk factors, and aetiologic agents of endemic HCAI in Africa. Methods: MEDLINE/PubMed, CINAHL, and Global Health databases (EBSCOhost interface) were searched for studies published in English and French describing HCAI in Africa from 2010 to 2022. We extracted data on prevalence of HCAI, risk factors, aetiologic agents, and associated antimicrobial resistance patterns. We used random-effects models to estimate parameter values with 95% confidence intervals for risk factors associated with HCAI. This study was registered in PROSPERO (CRD42022374559) and followed PRISMA 2020 guidelines. Results: Of 2541 records screened, 92 were included, comprising data from 81,968 patients. Prevalence of HCAI varied between 1.6 and 90.2% with a median of 15% across studies. Heterogeneity (I 2) varied from 93 to 99%. Contaminated wound (OR: 1.75, 95% CI: 1.31–2.19), long hospital stay (OR: 1.39, 95% CI: 0.92–1.80), urinary catheter (OR: 1.57, 95% CI: 0.35–2.78), intubation and ventilation (OR: 1.53, 95% CI: 0.85–2.22), vascular catheters (OR: 1.49, 95% CI: 0.52–2.45) were among risk factors associated with HCAI. Bacteria reported from included studies comprised 6463 isolates, with E. coli (18.3%, n = 1182), S. aureus (17.3%, n = 1118), Klebsiella spp. (17.2%, n = 1115), Pseudomonas spp. (10.3%, n = 671), and Acinetobacter spp. (6.8%, n = 438) being most common. Resistance to multiple antibiotics was common; 70.3% (IQR: 50–100) of Enterobacterales were 3rd -generation cephalosporin resistant, 70.5% (IQR: 58.8–80.3) of S. aureus were methicillin resistant and 55% (IQR: 27.3–81.3) Pseudomonas spp. were resistant to all agents tested. Conclusions: HCAI is a greater problem in Africa than other regions, however, there remains a paucity of data to guide local action. There is a clear need to develop and validate sustainable HCAI definitions in Africa to support the implementation of routine HCAI surveillance and inform implementation of context appropriate infection prevention and control strategies.","author":[{"dropping-particle":"","family":"Bunduki","given":"Gabriel Kambale","non-dropping-particle":"","parse-names":false,"suffix":""},{"dropping-particle":"","family":"Masoamphambe","given":"Effita","non-dropping-particle":"","parse-names":false,"suffix":""},{"dropping-particle":"","family":"Fox","given":"Tilly","non-dropping-particle":"","parse-names":false,"suffix":""},{"dropping-particle":"","family":"Musaya","given":"Janelisa","non-dropping-particle":"","parse-names":false,"suffix":""},{"dropping-particle":"","family":"Musicha","given":"Patrick","non-dropping-particle":"","parse-names":false,"suffix":""},{"dropping-particle":"","family":"Feasey","given":"Nicholas","non-dropping-particle":"","parse-names":false,"suffix":""}],"container-title":"BMC Infectious Diseases","id":"ITEM-5","issue":"1","issued":{"date-parts":[["2024","12","1"]]},"page":"158","publisher":"BMC Infect Dis","title":"Prevalence, risk factors, and antimicrobial resistance of endemic healthcare-associated infections in Africa: a systematic review and meta-analysis","type":"article-journal","volume":"24"},"uris":["http://www.mendeley.com/documents/?uuid=8c4670cb-0ead-3f38-b050-3de5c73cdba3"]}],"mendeley":{"formattedCitation":"[10–14]","plainTextFormattedCitation":"[10–14]","previouslyFormattedCitation":"[10–14]"},"properties":{"noteIndex":0},"schema":"https://github.com/citation-style-language/schema/raw/master/csl-citation.json"}</w:instrText>
      </w:r>
      <w:r w:rsidRPr="003F4633">
        <w:rPr>
          <w:rFonts w:eastAsia="Times New Roman" w:cs="Times New Roman"/>
          <w:szCs w:val="24"/>
          <w:lang w:val="en-GB"/>
        </w:rPr>
        <w:fldChar w:fldCharType="separate"/>
      </w:r>
      <w:r w:rsidRPr="003F4633">
        <w:rPr>
          <w:rFonts w:eastAsia="Times New Roman" w:cs="Times New Roman"/>
          <w:noProof/>
          <w:szCs w:val="24"/>
          <w:lang w:val="en-GB"/>
        </w:rPr>
        <w:t>[10–14]</w:t>
      </w:r>
      <w:r w:rsidRPr="003F4633">
        <w:rPr>
          <w:rFonts w:eastAsia="Times New Roman" w:cs="Times New Roman"/>
          <w:szCs w:val="24"/>
          <w:lang w:val="en"/>
        </w:rPr>
        <w:fldChar w:fldCharType="end"/>
      </w:r>
      <w:r w:rsidRPr="003F4633">
        <w:rPr>
          <w:rFonts w:eastAsia="Times New Roman" w:cs="Times New Roman"/>
          <w:szCs w:val="24"/>
          <w:lang w:val="en-GB"/>
        </w:rPr>
        <w:t xml:space="preserve">, including Zambia. </w:t>
      </w:r>
    </w:p>
    <w:p w14:paraId="64D91286" w14:textId="607B4DEF" w:rsidR="003F4633" w:rsidRPr="003F4633" w:rsidRDefault="003F4633" w:rsidP="003F4633">
      <w:pPr>
        <w:spacing w:before="0" w:line="360" w:lineRule="auto"/>
        <w:jc w:val="both"/>
        <w:rPr>
          <w:rFonts w:eastAsia="Times New Roman" w:cs="Times New Roman"/>
          <w:szCs w:val="24"/>
          <w:lang w:val="en-GB"/>
        </w:rPr>
      </w:pPr>
      <w:r w:rsidRPr="003F4633">
        <w:rPr>
          <w:rFonts w:eastAsia="Times New Roman" w:cs="Times New Roman"/>
          <w:szCs w:val="24"/>
          <w:lang w:val="en-GB"/>
        </w:rPr>
        <w:t>Healthcare-associated infections (HAIs) are a significant concern in the context of AMR, with virulent and high-risk microorganism strains such as “ESKAPE” pathogens – (</w:t>
      </w:r>
      <w:r w:rsidRPr="003F4633">
        <w:rPr>
          <w:rFonts w:eastAsia="Times New Roman" w:cs="Times New Roman"/>
          <w:i/>
          <w:szCs w:val="24"/>
          <w:lang w:val="en-GB"/>
        </w:rPr>
        <w:t>Enterococcus faecium, Staphylococcus aureus, Klebsiella pneumoniae, Acinetobacter baumannii, Pseudomonas aeruginosa and Enterobacter species</w:t>
      </w:r>
      <w:r w:rsidRPr="003F4633">
        <w:rPr>
          <w:rFonts w:eastAsia="Times New Roman" w:cs="Times New Roman"/>
          <w:szCs w:val="24"/>
          <w:lang w:val="en-GB"/>
        </w:rPr>
        <w:t xml:space="preserve">) of global significance </w:t>
      </w:r>
      <w:r w:rsidRPr="003F4633">
        <w:rPr>
          <w:rFonts w:eastAsia="Times New Roman" w:cs="Times New Roman"/>
          <w:szCs w:val="24"/>
          <w:lang w:val="en-GB"/>
        </w:rPr>
        <w:fldChar w:fldCharType="begin" w:fldLock="1"/>
      </w:r>
      <w:r w:rsidR="005E406D">
        <w:rPr>
          <w:rFonts w:eastAsia="Times New Roman" w:cs="Times New Roman"/>
          <w:szCs w:val="24"/>
          <w:lang w:val="en-GB"/>
        </w:rPr>
        <w:instrText>ADDIN CSL_CITATION {"citationItems":[{"id":"ITEM-1","itemData":{"DOI":"10.1016/j.heliyon.2023.e20561","ISSN":"24058440","abstract":"The burden of Hospital care-associated infections (HCAIs) is becoming a global concern. This is compounded by the emergence of virulent and high-risk bacterial strains such as “ESKAPE” pathogens – (Enterococcus faecium, Staphylococcus aureus, Klebsiella pneumoniae, Acinetobacter baumannii, Pseudomonas aeruginosa and Enterobacter species), especially within Intensive care units (ICUs) that house high-risk and immunocompromised patients. In this review, we discuss the contributions of AMR pathogens to the increasing burden of HCAIs and provide insights into AMR mechanisms, with a particular focus on last-resort antibiotics like polymyxins. We extensively discuss how structural modifications of surface-membrane lipopolysaccharides and cationic interactions influence and inform AMR, and subsequent severity of HCAIs. We highlight some bacterial phenotypic survival mechanisms against polymyxins. Lastly, we discuss the emergence of plasmid-mediated resistance as a phenomenon making mitigation of AMR difficult, especially within the ICUs. This review provides a balanced perspective on the burden of HCAIs, associated pathogens, implication of AMR and factors influencing emerging AMR mechanisms.","author":[{"dropping-particle":"","family":"Abban","given":"Molly Kukua","non-dropping-particle":"","parse-names":false,"suffix":""},{"dropping-particle":"","family":"Ayerakwa","given":"Eunice Ampadubea","non-dropping-particle":"","parse-names":false,"suffix":""},{"dropping-particle":"","family":"Mosi","given":"Lydia","non-dropping-particle":"","parse-names":false,"suffix":""},{"dropping-particle":"","family":"Isawumi","given":"Abiola","non-dropping-particle":"","parse-names":false,"suffix":""}],"container-title":"Heliyon","id":"ITEM-1","issue":"10","issued":{"date-parts":[["2023","10","1"]]},"page":"e20561","publisher":"Elsevier","title":"The burden of hospital acquired infections and antimicrobial resistance","type":"article-journal","volume":"9"},"uris":["http://www.mendeley.com/documents/?uuid=7f77a6b2-0e1d-3afd-b8cd-05fd779747d7"]},{"id":"ITEM-2","itemData":{"DOI":"10.3390/pathogens11091019","ISSN":"20760817","PMID":"36145451","abstract":"Extended-spectrum-β-lactamase (ESBL)- and carbapenemase-producing bacteria are widespread in hospitals, but the extent of this problem in long-term care facilities (LTCFs) is poorly understood. We aimed to elucidate, in the Portuguese regional clinical context, the relevance of LTCFs as a reservoir of Escherichia coli and Klebsiella spp. producing ESBL- and/or carbapenemases (Ec/Kp-ESBL/CARB). Fourteen LTCFs from Portugal, corresponding to units of convalescence (UC/n = 3), medium-term internment and rehabilitation (UMDR/ n = 5), or long-term internment and maintenance (ULDM/n = 6), were analyzed (2016–2019). All patients with Ec/Kp-ESBL/CARB infections acquired during LTCF stay were included, and detailed information was collected. Prevalence of patients with healthcare-associated infections (HAIs) by Ec/Kp-ESBL/CARB did not vary significantly over time (1.48% in 2016–2017, 1.89% in 2017–2018, and 1.90% in 2018–2019), but a statistically significant association with the LTCF typology (ULDM, UMDR) was observed. HAIs were caused by K. pneumoniae (n = 51/54.3%), E. coli (n = 41/43.6%), or both (n = 2/2.1%), producing ESBL (96%) or carbapenemases (4%). Prior colonization (n = 14/16%) corresponded to seven Kp-CARB and seven Ec/Kp-ESBL. The worrying prevalence of patients acquiring HAIs by Ec/Kp-ESBL/CARB, associated with the estimated rates of those already colonized at admission, highlights a relevant role for LTCFs as a reservoir of Ec/Kp-ESBL/CARB. Epidemiological surveillance should be extended to the national level, and colonization screening at LTCF admission implemented systematically.","author":[{"dropping-particle":"","family":"Machado","given":"Elisabete","non-dropping-particle":"","parse-names":false,"suffix":""},{"dropping-particle":"","family":"Costa","given":"Patrício","non-dropping-particle":"","parse-names":false,"suffix":""},{"dropping-particle":"","family":"Carvalho","given":"Alexandre","non-dropping-particle":"","parse-names":false,"suffix":""}],"container-title":"Pathogens","id":"ITEM-2","issue":"9","issued":{"date-parts":[["2022","9","1"]]},"page":"1019","publisher":"MDPI","title":"Occurrence of Healthcare-Associated Infections (HAIs) by Escherichia coli and Klebsiella spp. Producing Extended-Spectrum β-lactamases (ESBL) and/or Carbapenemases in Portuguese Long-Term Care Facilities","type":"article-journal","volume":"11"},"uris":["http://www.mendeley.com/documents/?uuid=4075cc1e-ff95-39af-9688-33842895829b"]},{"id":"ITEM-3","itemData":{"DOI":"10.4236/PP.2025.167014","ISSN":"2157-9423","abstract":"Introduction: Antimicrobial resistance (AMR) remains a critical global health issue contributing to increased morbidity and mortality. Antimicrobial stewardship (AMS), surveillance, and infection prevention and control (IPC) programs have been established and implemented to mitigate this crisis. Alongside this, advancements in nanotechnology and artificial intelligence (AI) or machine learning have enhanced academic tone and readability in combating AMR. This study employed a comprehensive narrative review approach to provide detailed evidence of AMS programs initiated to address AMR across One-Health sectors (human, animal, plant, and environmental health). Methods: A comprehensive narrative review was conducted to assess the global implementation of AMS, surveillance, and IPC programs, nanotechnology, and AI aimed at curtailing the rising prevalence of AMR. We also focused on the impacts of these AMS programs across diverse populations and settings. Relevant literature published between January 1995 and June 2025 was extracted from PubMed, Google Scholar, and Scopus databases. Results: The findings of this review demonstrate that AMS, surveillance, and IPC programs have been successfully established and implemented in some hospitals, community pharmacies, academic institutions, communities, and animal health. These programs have significantly promoted the rational use of antimicrobials in the One Health sector, prevented infections, reduced the emergence of antibiotic-resistant bacteria, improved adherence to treatment guidelines, awareness and knowledge of AMR, and patient outcomes. Advancements in technology, including nanotechnology and AI/machine learning, have shown promise in enhancing AMS and surveillance programs aimed at combating AMR. However, there is a dearth of empirical data on AMS activities within the environmental and animal health sectors, pointing out a critical gap in the One Health approach to AMR mitigation. Conclusions: This review underscores the importance of developing and implementing AMS, surveillance, and IPC programs as effective strategies to combat AMR using a One Health approach. Consequently, the study found very little information regarding AMS activities in the animal and environmental health sectors despite global problems as climate change. Notably, this study emphasizes the importance of embracing nanotechnology and AI within the healthcare system as innovative tools to combat AMR. It further highlights the need …","author":[{"dropping-particle":"","family":"Mudenda","given":"Steward","non-dropping-particle":"","parse-names":false,"suffix":""},{"dropping-particle":"","family":"Hakayuwa","given":"Clyde Moono","non-dropping-particle":"","parse-names":false,"suffix":""},{"dropping-particle":"","family":"Lubanga","given":"Adriano Focus","non-dropping-particle":"","parse-names":false,"suffix":""},{"dropping-particle":"","family":"Kasanga","given":"Maisa","non-dropping-particle":"","parse-names":false,"suffix":""},{"dropping-particle":"","family":"Daka","given":"Victor","non-dropping-particle":"","parse-names":false,"suffix":""},{"dropping-particle":"","family":"Salachi","given":"Kyembe Ignatius","non-dropping-particle":"","parse-names":false,"suffix":""},{"dropping-particle":"","family":"Mwaba","given":"Martha","non-dropping-particle":"","parse-names":false,"suffix":""},{"dropping-particle":"","family":"Chileshe","given":"Chikwanda","non-dropping-particle":"","parse-names":false,"suffix":""},{"dropping-particle":"","family":"Champo","given":"Morreah","non-dropping-particle":"","parse-names":false,"suffix":""},{"dropping-particle":"","family":"Kamayani","given":"Mapeesho","non-dropping-particle":"","parse-names":false,"suffix":""},{"dropping-particle":"","family":"Harawa","given":"Gracian","non-dropping-particle":"","parse-names":false,"suffix":""},{"dropping-particle":"","family":"Bwanali","given":"Akim","non-dropping-particle":"","parse-names":false,"suffix":""},{"dropping-particle":"","family":"Sinyawa","given":"Taona","non-dropping-particle":"","parse-names":false,"suffix":""},{"dropping-particle":"","family":"Hangoma","given":"Jimmy","non-dropping-particle":"","parse-names":false,"suffix":""},{"dropping-particle":"","family":"Simweene","given":"Chintu","non-dropping-particle":"","parse-names":false,"suffix":""},{"dropping-particle":"","family":"Kanaan","given":"Manal Hadi Ghaffoori","non-dropping-particle":"","parse-names":false,"suffix":""},{"dropping-particle":"","family":"Mugenyi","given":"Nathan","non-dropping-particle":"","parse-names":false,"suffix":""},{"dropping-particle":"","family":"Chizimu","given":"Joseph Yamweka","non-dropping-particle":"","parse-names":false,"suffix":""},{"dropping-particle":"","family":"Mohamed","given":"Shafiq","non-dropping-particle":"","parse-names":false,"suffix":""},{"dropping-particle":"","family":"Mufwambi","given":"Webrod","non-dropping-particle":"","parse-names":false,"suffix":""},{"dropping-particle":"","family":"Muma","given":"John Bwalya","non-dropping-particle":"","parse-names":false,"suffix":""}],"container-title":"Pharmacology &amp; Pharmacy","id":"ITEM-3","issue":"7","issued":{"date-parts":[["2025","7","22"]]},"page":"197-291","publisher":"Scientific Research Publishing","title":"Global Antimicrobial Stewardship, Surveillance, and Infection Prevention and Control Programs: Leveraging One Health, Nanotechnology, and Artificial Intelligence to Combat Antimicrobial Resistance in a Climate-Impacted World","type":"article-journal","volume":"16"},"uris":["http://www.mendeley.com/documents/?uuid=364f5291-30aa-3d8a-96dd-64c644a1a427"]}],"mendeley":{"formattedCitation":"[15–17]","plainTextFormattedCitation":"[15–17]","previouslyFormattedCitation":"[15–17]"},"properties":{"noteIndex":0},"schema":"https://github.com/citation-style-language/schema/raw/master/csl-citation.json"}</w:instrText>
      </w:r>
      <w:r w:rsidRPr="003F4633">
        <w:rPr>
          <w:rFonts w:eastAsia="Times New Roman" w:cs="Times New Roman"/>
          <w:szCs w:val="24"/>
          <w:lang w:val="en-GB"/>
        </w:rPr>
        <w:fldChar w:fldCharType="separate"/>
      </w:r>
      <w:r w:rsidR="001E7355" w:rsidRPr="001E7355">
        <w:rPr>
          <w:rFonts w:eastAsia="Times New Roman" w:cs="Times New Roman"/>
          <w:noProof/>
          <w:szCs w:val="24"/>
          <w:lang w:val="en-GB"/>
        </w:rPr>
        <w:t>[15–17]</w:t>
      </w:r>
      <w:r w:rsidRPr="003F4633">
        <w:rPr>
          <w:rFonts w:eastAsia="Times New Roman" w:cs="Times New Roman"/>
          <w:szCs w:val="24"/>
          <w:lang w:val="en"/>
        </w:rPr>
        <w:fldChar w:fldCharType="end"/>
      </w:r>
      <w:r w:rsidRPr="003F4633">
        <w:rPr>
          <w:rFonts w:eastAsia="Times New Roman" w:cs="Times New Roman"/>
          <w:szCs w:val="24"/>
          <w:lang w:val="en-GB"/>
        </w:rPr>
        <w:t xml:space="preserve">. Evidence has indicated that HAIs are acquired by </w:t>
      </w:r>
      <w:r w:rsidRPr="003F4633">
        <w:rPr>
          <w:rFonts w:eastAsia="Times New Roman" w:cs="Times New Roman"/>
          <w:szCs w:val="24"/>
          <w:lang w:val="en" w:bidi="en-US"/>
        </w:rPr>
        <w:t>patients while receiving healthcare</w:t>
      </w:r>
      <w:r w:rsidR="001E7355">
        <w:rPr>
          <w:rFonts w:eastAsia="Times New Roman" w:cs="Times New Roman"/>
          <w:szCs w:val="24"/>
          <w:lang w:val="en" w:bidi="en-US"/>
        </w:rPr>
        <w:t xml:space="preserve"> treatment</w:t>
      </w:r>
      <w:r w:rsidRPr="003F4633">
        <w:rPr>
          <w:rFonts w:eastAsia="Times New Roman" w:cs="Times New Roman"/>
          <w:szCs w:val="24"/>
          <w:lang w:val="en" w:bidi="en-US"/>
        </w:rPr>
        <w:t xml:space="preserve"> </w:t>
      </w:r>
      <w:r w:rsidRPr="003F4633">
        <w:rPr>
          <w:rFonts w:eastAsia="Times New Roman" w:cs="Times New Roman"/>
          <w:szCs w:val="24"/>
          <w:lang w:val="en" w:bidi="en-US"/>
        </w:rPr>
        <w:fldChar w:fldCharType="begin" w:fldLock="1"/>
      </w:r>
      <w:r w:rsidR="005E406D">
        <w:rPr>
          <w:rFonts w:eastAsia="Times New Roman" w:cs="Times New Roman"/>
          <w:szCs w:val="24"/>
          <w:lang w:val="en" w:bidi="en-US"/>
        </w:rPr>
        <w:instrText>ADDIN CSL_CITATION {"citationItems":[{"id":"ITEM-1","itemData":{"DOI":"10.2147/IDR.S177247","ISSN":"11786973","PMID":"30532565","abstract":"Health care-associated infections (HCAIs) are infections that occur while receiving health care, developed in a hospital or other health care facility that first appear 48 hours or more after hospital admission, or within 30 days after having received health care. Multiple studies indicate that the common types of adverse events affecting hospitalized patients are adverse drug events, HCAIs, and surgical complications. The US Center for Disease Control and Prevention identifies that nearly 1.7 million hospitalized patients annually acquire HCAIs while being treated for other health issues and that more than 98,000 patients (one in 17) die due to these. Several studies suggest that simple infection-control procedures such as cleaning hands with an alcohol-based hand rub can help prevent HCAIs and save lives, reduce morbidity, and minimize health care costs. Routine educational interventions for health care professionals can help change their hand-washing practices to prevent the spread of infection. In support of this, the WHO has produced guidelines to promote hand-washing practices among member countries.","author":[{"dropping-particle":"","family":"Haque","given":"Mainul","non-dropping-particle":"","parse-names":false,"suffix":""},{"dropping-particle":"","family":"Sartelli","given":"Massimo","non-dropping-particle":"","parse-names":false,"suffix":""},{"dropping-particle":"","family":"McKimm","given":"Judy","non-dropping-particle":"","parse-names":false,"suffix":""},{"dropping-particle":"","family":"Bakar","given":"Muhamad Abu","non-dropping-particle":"","parse-names":false,"suffix":""}],"container-title":"Infection and Drug Resistance","id":"ITEM-1","issued":{"date-parts":[["2018"]]},"page":"2321-2333","publisher":"Infect Drug Resist","title":"Health care-associated infections – An overview","type":"article-journal","volume":"11"},"uris":["http://www.mendeley.com/documents/?uuid=efa927b1-0121-310e-bd5f-4a70141749d8"]},{"id":"ITEM-2","itemData":{"author":[{"dropping-particle":"","family":"Centers for Disease Control","given":"","non-dropping-particle":"","parse-names":false,"suffix":""}],"id":"ITEM-2","issued":{"date-parts":[["2025"]]},"title":"About Healthcare-Associated Infections (HAIs)","type":"article"},"uris":["http://www.mendeley.com/documents/?uuid=e1d9a7c3-9ac7-3117-b9fc-14f535a36fc7"]}],"mendeley":{"formattedCitation":"[18,19]","plainTextFormattedCitation":"[18,19]","previouslyFormattedCitation":"[18,19]"},"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[18,19]</w:t>
      </w:r>
      <w:r w:rsidRPr="003F4633">
        <w:rPr>
          <w:rFonts w:eastAsia="Times New Roman" w:cs="Times New Roman"/>
          <w:szCs w:val="24"/>
          <w:lang w:val="en"/>
        </w:rPr>
        <w:fldChar w:fldCharType="end"/>
      </w:r>
      <w:r w:rsidRPr="003F4633">
        <w:rPr>
          <w:rFonts w:eastAsia="Times New Roman" w:cs="Times New Roman"/>
          <w:szCs w:val="24"/>
          <w:lang w:val="en" w:bidi="en-US"/>
        </w:rPr>
        <w:t>. These</w:t>
      </w:r>
      <w:r w:rsidRPr="003F4633">
        <w:rPr>
          <w:rFonts w:eastAsia="Times New Roman" w:cs="Times New Roman"/>
          <w:szCs w:val="24"/>
          <w:lang w:val="en-GB"/>
        </w:rPr>
        <w:t xml:space="preserve"> include </w:t>
      </w:r>
      <w:r w:rsidRPr="003F4633">
        <w:rPr>
          <w:rFonts w:eastAsia="Times New Roman" w:cs="Times New Roman"/>
          <w:szCs w:val="24"/>
          <w:lang w:val="en" w:bidi="en-US"/>
        </w:rPr>
        <w:t xml:space="preserve">Central Line-Associated Bloodstream Infections (CLABSI), Surgical Site Infections (SSI), respiratory infections like Hospital-Acquired Pneumonia (HAP), Ventilator-Associated Pneumonia (VAP), Catheter-Associated Urinary Tract Infections (CAUTI), gastrointestinal tract infections such as </w:t>
      </w:r>
      <w:r w:rsidRPr="003F4633">
        <w:rPr>
          <w:rFonts w:eastAsia="Times New Roman" w:cs="Times New Roman"/>
          <w:i/>
          <w:szCs w:val="24"/>
          <w:lang w:val="en" w:bidi="en-US"/>
        </w:rPr>
        <w:t>Clostridioides difficile</w:t>
      </w:r>
      <w:r w:rsidRPr="003F4633">
        <w:rPr>
          <w:rFonts w:eastAsia="Times New Roman" w:cs="Times New Roman"/>
          <w:szCs w:val="24"/>
          <w:lang w:val="en" w:bidi="en-US"/>
        </w:rPr>
        <w:t xml:space="preserve"> infections (antibiotic-associated diarrhoea), and wound infections </w:t>
      </w:r>
      <w:r w:rsidRPr="003F4633">
        <w:rPr>
          <w:rFonts w:eastAsia="Times New Roman" w:cs="Times New Roman"/>
          <w:szCs w:val="24"/>
          <w:lang w:val="en" w:bidi="en-US"/>
        </w:rPr>
        <w:fldChar w:fldCharType="begin" w:fldLock="1"/>
      </w:r>
      <w:r w:rsidR="006F1480">
        <w:rPr>
          <w:rFonts w:eastAsia="Times New Roman" w:cs="Times New Roman"/>
          <w:szCs w:val="24"/>
          <w:lang w:val="en" w:bidi="en-US"/>
        </w:rPr>
        <w:instrText>ADDIN CSL_CITATION {"citationItems":[{"id":"ITEM-1","itemData":{"DOI":"10.1016/j.jhin.2024.02.010","ISSN":"01956701","PMID":"38423134","abstract":"Background: The COVID-19 pandemic has posed an unprecedented challenge to healthcare systems globally. Personal protective equipment has played a fundamental role in protecting healthcare workers and patients, but its effectiveness in reducing hospital-acquired infections (HAIs) during the pandemic remains a subject of debate. Aim: To conduct a synthesis and meta-analysis of the best available evidence of the prevalence of HAIs using a before/after approach. Methods: A three-step search strategy was undertaken to locate published and unpublished studies. A search was performed in MEDLINE, CINAHL, Embase, PsycINFO, and Google Scholar. Screening of studies, data extraction and critical appraisal were performed by four independent reviewers. Meta-analysis was conducted using Review Manager. The review is reported in accordance with PRISMA and JBI guidelines for systematic reviews. Findings: Fifteen studies were included in the review. Three studies indicated a statistically significant increase in the number of positive cultures during the COVID-19 period compared to the pre-COVID-19 period. Pooled data showed a non-significant decrease in the number of patients with positive cultures in the COVID-19 period compared to pre-COVID-19. There were no significant differences in various bacterial infections except for a significant decrease in respiratory infections. Pooled data for central line-associated bloodstream infections (CLABSIs) indicated a significant increase during the COVID-19 period, but one study reported an increase in CLABSI incidence. Conclusion: The evidence from this review demonstrates a mixed impact of the COVID-19 pandemic precautions on HAIs.","author":[{"dropping-particle":"","family":"Teus","given":"J.K.","non-dropping-particle":"","parse-names":false,"suffix":""},{"dropping-particle":"","family":"Mithen","given":"L.","non-dropping-particle":"","parse-names":false,"suffix":""},{"dropping-particle":"","family":"Green","given":"H.","non-dropping-particle":"","parse-names":false,"suffix":""},{"dropping-particle":"","family":"Hutton","given":"A.","non-dropping-particle":"","parse-names":false,"suffix":""},{"dropping-particle":"","family":"Fernandez","given":"R.","non-dropping-particle":"","parse-names":false,"suffix":""}],"container-title":"Journal of Hospital Infection","id":"ITEM-1","issued":{"date-parts":[["2024","5","1"]]},"page":"32-39","publisher":"W.B. Saunders","title":"Impact of infection prevention and control practices, including personal protective equipment, on the prevalence of hospital-acquired infections in acute care hospitals during COVID-19: a systematic review and meta-analysis","type":"article-journal","volume":"147"},"uris":["http://www.mendeley.com/documents/?uuid=efca11bd-1b9d-3ea0-bb24-54872ee31ae0"]},{"id":"ITEM-2","itemData":{"DOI":"10.1186/s13756-021-00969-w","ISSN":"20472994","PMID":"34193300","abstract":"Background: Infection is the leading cause of morbidity and mortality among burn patients, and bloodstream infection (BSI) is the most serious. This study aimed to evaluate the epidemiology and clinical outcomes of BSI in severe burn patients. Methods: Clinical variables of all patients admitted with severe burns (≥ 20% total body surface area, %TBSA) were analyzed retrospectively from January 2013 to December 2018 at a teaching hospital. The Kaplan–Meier method was utilized for plotting survival curves. Multivariate logistic regression and Cox regression model were also performed. Results: A total of 495 patients were evaluated, of whom 136 (27.5%) had a BSI. The median time from the patients being burned to BSI was 8 days. For BSI onset in these patients, 47.8% (65/136) occurred in the first week. The most frequently isolated causative organism was A. baumannii (22.7%), followed by methicillin-resistant Staphylococcus aureus (18.7%) and K. pneumoniae (18.2%), in patients with BSI. Multivariate logistic regression analysis showed that %TBSA (p = 0.023), mechanical ventilation (p = 0.019), central venous catheter (CVC) (p &lt; 0.001) and hospital length of stay (27d vs 50d, p &lt; 0.001) were independent risk factors associated with BSI. Cox regression model showed that acute kidney injury (HR, 12.26; 95% CI 2.31–64.98; p = 0.003) and septic shock (HR, 4.36; 95% CI 1.16–16.34; p = 0.031) were identified as independent predictors of 30-day mortality of BSI in burn patients. Conclusions: Multidrug resistant gram-negative bacteria were the main pathogens of BSI in severe burn patients. Accurate evaluation of risk factors for BSI and the mortality of BSI in severe burn patients may improve early appropriate management.","author":[{"dropping-particle":"","family":"Hu","given":"Yangmin","non-dropping-particle":"","parse-names":false,"suffix":""},{"dropping-particle":"","family":"Li","given":"Danyang","non-dropping-particle":"","parse-names":false,"suffix":""},{"dropping-particle":"","family":"Xu","given":"Lingcheng","non-dropping-particle":"","parse-names":false,"suffix":""},{"dropping-particle":"","family":"Hu","given":"Yuping","non-dropping-particle":"","parse-names":false,"suffix":""},{"dropping-particle":"","family":"Sang","given":"Yiwen","non-dropping-particle":"","parse-names":false,"suffix":""},{"dropping-particle":"","family":"Zhang","given":"Gensheng","non-dropping-particle":"","parse-names":false,"suffix":""},{"dropping-particle":"","family":"Dai","given":"Haibin","non-dropping-particle":"","parse-names":false,"suffix":""}],"container-title":"Antimicrobial Resistance and Infection Control","id":"ITEM-2","issue":"1","issued":{"date-parts":[["2021","12","1"]]},"page":"98","publisher":"Antimicrob Resist Infect Control","title":"Epidemiology and outcomes of bloodstream infections in severe burn patients: a six-year retrospective study","type":"article-journal","volume":"10"},"uris":["http://www.mendeley.com/documents/?uuid=1d888538-ab2f-3a76-9517-e07be8988826"]},{"id":"ITEM-3","itemData":{"DOI":"10.1016/j.idh.2021.06.004","ISSN":"24680869","PMID":"34334351","abstract":"Background: Health-care associated infections (HAI) are considered a public health problem and have substantial effect on mortality and morbidity. This study aimed to determine the prevalence of HAI in South Tunisian University Hospitals (UH) and to identify their risk factors. Methods: We performed a point prevalence study, in the UH of Southern Tunisia in February 2019, including all hospitalized patients for at least 48 hours. Results: Overall, 898 patients were included in this survey, among whom 480 participants (53.5%) were males. There were 81 HAIs, accounting for a prevalence of HAI of 9.02%. Urinary tract infections (28.4%) were the most common HAI, followed by respiratory tract infections (22.2%). The main identified microorganisms among HAI patients were Klebsiella pneumonia (22.7%) and Escherichia coli (20.7%). Independent intrinsic risk factors of high prevalence of HAI were diabetes (Adjusted Odds Ratio (AOR)=3.5;p=0.016) having a rapidly fatal disease (AOR=4;p=0.024) and an ASA scores ≥2 (AOR=2.8;p=0.045). As for extrinsic risk factors, admission in ICU (AOR=11.1;p= 0.04), a length of hospital stay ≥ 7 days (AOR=4.1;p=0.04), previous hospitalization within 90 days prior to the admission (AOR=4.2;p=0.01) and having a peripheral vascular catheter (AOR=6.7; p=0.039) were independently associated with higher prevalence of HAI. Lower prevalence of HAI was independently associated with prescription of antimicrobial preoperative prophylaxis (AOR= 0.1; p=0.02). Conclusion: Our findings illustrated high prevalence of HAI in South Tunisian Hospitals, affecting principally fragilized patients who may require special needs. Therefore, promoting hygiene programs for health professionals to establish patient safety's culture is urgently needed.","author":[{"dropping-particle":"","family":"Ketata","given":"Nouha","non-dropping-particle":"","parse-names":false,"suffix":""},{"dropping-particle":"","family":"Ayed","given":"Houda","non-dropping-particle":"Ben","parse-names":false,"suffix":""},{"dropping-particle":"","family":"Hmida","given":"Mariem","non-dropping-particle":"Ben","parse-names":false,"suffix":""},{"dropping-particle":"","family":"Trigui","given":"Maroua","non-dropping-particle":"","parse-names":false,"suffix":""},{"dropping-particle":"","family":"Jemaa","given":"Maissa","non-dropping-particle":"Ben","parse-names":false,"suffix":""},{"dropping-particle":"","family":"Yaich","given":"Sourour","non-dropping-particle":"","parse-names":false,"suffix":""},{"dropping-particle":"","family":"Maamri","given":"Hanen","non-dropping-particle":"","parse-names":false,"suffix":""},{"dropping-particle":"","family":"Baklouti","given":"Mouna","non-dropping-particle":"","parse-names":false,"suffix":""},{"dropping-particle":"","family":"Jedidi","given":"Jihene","non-dropping-particle":"","parse-names":false,"suffix":""},{"dropping-particle":"","family":"Kassis","given":"Mondher","non-dropping-particle":"","parse-names":false,"suffix":""},{"dropping-particle":"","family":"Feki","given":"Habib","non-dropping-particle":"","parse-names":false,"suffix":""},{"dropping-particle":"","family":"Damak","given":"Jamel","non-dropping-particle":"","parse-names":false,"suffix":""}],"container-title":"Infection, Disease and Health","id":"ITEM-3","issue":"4","issued":{"date-parts":[["2021","11","1"]]},"page":"284-291","publisher":"Infect Dis Health","title":"Point prevalence survey of health-care associated infections and their risk factors in the tertiary-care referral hospitals of Southern Tunisia","type":"article-journal","volume":"26"},"uris":["http://www.mendeley.com/documents/?uuid=c7008b27-b0df-33fc-a8e3-173953ef9b99"]},{"id":"ITEM-4","itemData":{"DOI":"10.2147/IDR.S177247","ISSN":"11786973","PMID":"30532565","abstract":"Health care-associated infections (HCAIs) are infections that occur while receiving health care, developed in a hospital or other health care facility that first appear 48 hours or more after hospital admission, or within 30 days after having received health care. Multiple studies indicate that the common types of adverse events affecting hospitalized patients are adverse drug events, HCAIs, and surgical complications. The US Center for Disease Control and Prevention identifies that nearly 1.7 million hospitalized patients annually acquire HCAIs while being treated for other health issues and that more than 98,000 patients (one in 17) die due to these. Several studies suggest that simple infection-control procedures such as cleaning hands with an alcohol-based hand rub can help prevent HCAIs and save lives, reduce morbidity, and minimize health care costs. Routine educational interventions for health care professionals can help change their hand-washing practices to prevent the spread of infection. In support of this, the WHO has produced guidelines to promote hand-washing practices among member countries.","author":[{"dropping-particle":"","family":"Haque","given":"Mainul","non-dropping-particle":"","parse-names":false,"suffix":""},{"dropping-particle":"","family":"Sartelli","given":"Massimo","non-dropping-particle":"","parse-names":false,"suffix":""},{"dropping-particle":"","family":"McKimm","given":"Judy","non-dropping-particle":"","parse-names":false,"suffix":""},{"dropping-particle":"","family":"Bakar","given":"Muhamad Abu","non-dropping-particle":"","parse-names":false,"suffix":""}],"container-title":"Infection and Drug Resistance","id":"ITEM-4","issued":{"date-parts":[["2018"]]},"page":"2321-2333","publisher":"Infect Drug Resist","title":"Health care-associated infections – An overview","type":"article-journal","volume":"11"},"uris":["http://www.mendeley.com/documents/?uuid=efa927b1-0121-310e-bd5f-4a70141749d8"]},{"id":"ITEM-5","itemData":{"DOI":"10.1056/nejmoa1306801","ISSN":"0028-4793","PMID":"24670166","abstract":"BACKGROUND Currently, no single U.S. surveillance system can provide estimates of the burden of all types of health care-associated infections across acute care patient populations. We conducted a prevalence survey in 10 geographically diverse states to determine the prevalence of health care-associated infections in acute care hospitals and generate updated estimates of the national burden of such infections. METHODS We defined health care-associated infections with the use of National Healthcare Safety Network criteria. One-day surveys of randomly selected inpatients were performed in participating hospitals. Hospital personnel collected demographic and limited clinical data. Trained data collectors reviewed medical records retrospectively to identify health care-associated infections active at the time of the survey. Survey data and 2010 Nationwide Inpatient Sample data, stratified according to patient age and length of hospital stay, were used to estimate the total numbers of health care-associated infections and of inpatients with such infections in U.S. acute care hospitals in 2011. RESULTS Surveys were conducted in 183 hospitals. Of 11,282 patients, 452 had 1 or more health care-associated infections (4.0%; 95% confidence interval, 3.7 to 4.4). Of 504 such infections, the most common types were pneumonia (21.8%), surgical-site infections (21.8%), and gastrointestinal infections (17.1%). Clostridium difficile was the most commonly reported pathogen (causing 12.1% of health care-associated infections). Device-associated infections (i.e., central-catheter-associated bloodstream infection, catheter-associated urinary tract infection, and ventilator-associated pneumonia), which have traditionally been the focus of programs to prevent health care-associated infections, accounted for 25.6% of such infections. We estimated that there were 648,000 patients with 721,800 health care-associated infections in U.S. acute care hospitals in 2011. CONCLUSIONS Results of this multistate prevalence survey of health care-associated infections indicate that public health surveillance and prevention activities should continue to address C. difficile infections. As device- and procedure-associated infections decrease, consideration should be given to expanding surveillance and prevention activities to include other health care-associated infections.","author":[{"dropping-particle":"","family":"Magill","given":"Shelley S.","non-dropping-particle":"","parse-names":false,"suffix":""},{"dropping-particle":"","family":"Edwards","given":"Jonathan R.","non-dropping-particle":"","parse-names":false,"suffix":""},{"dropping-particle":"","family":"Bamberg","given":"Wendy","non-dropping-particle":"","parse-names":false,"suffix":""},{"dropping-particle":"","family":"Beldavs","given":"Zintars G.","non-dropping-particle":"","parse-names":false,"suffix":""},{"dropping-particle":"","family":"Dumyati","given":"Ghinwa","non-dropping-particle":"","parse-names":false,"suffix":""},{"dropping-particle":"","family":"Kainer","given":"Marion A.","non-dropping-particle":"","parse-names":false,"suffix":""},{"dropping-particle":"","family":"Lynfield","given":"Ruth","non-dropping-particle":"","parse-names":false,"suffix":""},{"dropping-particle":"","family":"Maloney","given":"Meghan","non-dropping-particle":"","parse-names":false,"suffix":""},{"dropping-particle":"","family":"McAllister-Hollod","given":"Laura","non-dropping-particle":"","parse-names":false,"suffix":""},{"dropping-particle":"","family":"Nadle","given":"Joelle","non-dropping-particle":"","parse-names":false,"suffix":""},{"dropping-particle":"","family":"Ray","given":"Susan M.","non-dropping-particle":"","parse-names":false,"suffix":""},{"dropping-particle":"","family":"Thompson","given":"Deborah L.","non-dropping-particle":"","parse-names":false,"suffix":""},{"dropping-particle":"","family":"Wilson","given":"Lucy E.","non-dropping-particle":"","parse-names":false,"suffix":""},{"dropping-particle":"","family":"Fridkin","given":"Scott K.","non-dropping-particle":"","parse-names":false,"suffix":""}],"container-title":"New England Journal of Medicine","id":"ITEM-5","issue":"13","issued":{"date-parts":[["2014","3","27"]]},"page":"1198-1208","publisher":"N Engl J Med","title":"Multistate Point-Prevalence Survey of Health Care–Associated Infections","type":"article-journal","volume":"370"},"uris":["http://www.mendeley.com/documents/?uuid=ccab61ca-5c35-36b5-b1fe-74071065d6ff"]},{"id":"ITEM-6","itemData":{"DOI":"10.1016/j.jiph.2014.04.003","ISSN":"18760341","PMID":"24861643","abstract":"Healthcare associated infections (HAI) are among the major complications of modern medical therapy. The most important HAIs are those related to invasive devices: central line-associated bloodstream infections (CLABSI), catheter-associated urinary tract infections (CAUTI), ventilator-associated pneumonia (VAP) as well as surgical site infections (SSI). HAIs are associated with significant mortality, morbidities and increasing healthcare cost. The cited case-fatality rate ranges from 2.3% to 14.4% depending on the type of infection. In this mini-review, we shed light on these aspects as well as drivers to decrease HAIs. © 2014 King Saud Bin Abdulaziz University for Health Sciences.","author":[{"dropping-particle":"","family":"Al-Tawfiq","given":"Jaffar A.","non-dropping-particle":"","parse-names":false,"suffix":""},{"dropping-particle":"","family":"Tambyah","given":"Paul A.","non-dropping-particle":"","parse-names":false,"suffix":""}],"container-title":"Journal of Infection and Public Health","id":"ITEM-6","issue":"4","issued":{"date-parts":[["2014","7","1"]]},"page":"339-344","publisher":"Elsevier","title":"Healthcare associated infections (HAI) perspectives","type":"article-journal","volume":"7"},"uris":["http://www.mendeley.com/documents/?uuid=9465761a-d307-32da-b7bf-3acf51e4c061"]}],"mendeley":{"formattedCitation":"[18,20–24]","plainTextFormattedCitation":"[18,20–24]","previouslyFormattedCitation":"[18,20–24]"},"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[18,20–24]</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w:t>
      </w:r>
      <w:r w:rsidRPr="003F4633">
        <w:rPr>
          <w:rFonts w:eastAsia="Times New Roman" w:cs="Times New Roman"/>
          <w:szCs w:val="24"/>
          <w:lang w:val="en-GB"/>
        </w:rPr>
        <w:t xml:space="preserve">These infections are prevalent in intensive care units (ICUs), where patients are particularly vulnerable due to invasive procedures, immunocompromised, and extensive antibiotic use </w:t>
      </w:r>
      <w:r w:rsidRPr="003F4633">
        <w:rPr>
          <w:rFonts w:eastAsia="Times New Roman" w:cs="Times New Roman"/>
          <w:szCs w:val="24"/>
          <w:lang w:val="en-GB"/>
        </w:rPr>
        <w:fldChar w:fldCharType="begin" w:fldLock="1"/>
      </w:r>
      <w:r w:rsidR="005E406D">
        <w:rPr>
          <w:rFonts w:eastAsia="Times New Roman" w:cs="Times New Roman"/>
          <w:szCs w:val="24"/>
          <w:lang w:val="en-GB"/>
        </w:rPr>
        <w:instrText>ADDIN CSL_CITATION {"citationItems":[{"id":"ITEM-1","itemData":{"DOI":"10.1016/j.heliyon.2023.e20561","ISSN":"24058440","abstract":"The burden of Hospital care-associated infections (HCAIs) is becoming a global concern. This is compounded by the emergence of virulent and high-risk bacterial strains such as “ESKAPE” pathogens – (Enterococcus faecium, Staphylococcus aureus, Klebsiella pneumoniae, Acinetobacter baumannii, Pseudomonas aeruginosa and Enterobacter species), especially within Intensive care units (ICUs) that house high-risk and immunocompromised patients. In this review, we discuss the contributions of AMR pathogens to the increasing burden of HCAIs and provide insights into AMR mechanisms, with a particular focus on last-resort antibiotics like polymyxins. We extensively discuss how structural modifications of surface-membrane lipopolysaccharides and cationic interactions influence and inform AMR, and subsequent severity of HCAIs. We highlight some bacterial phenotypic survival mechanisms against polymyxins. Lastly, we discuss the emergence of plasmid-mediated resistance as a phenomenon making mitigation of AMR difficult, especially within the ICUs. This review provides a balanced perspective on the burden of HCAIs, associated pathogens, implication of AMR and factors influencing emerging AMR mechanisms.","author":[{"dropping-particle":"","family":"Abban","given":"Molly Kukua","non-dropping-particle":"","parse-names":false,"suffix":""},{"dropping-particle":"","family":"Ayerakwa","given":"Eunice Ampadubea","non-dropping-particle":"","parse-names":false,"suffix":""},{"dropping-particle":"","family":"Mosi","given":"Lydia","non-dropping-particle":"","parse-names":false,"suffix":""},{"dropping-particle":"","family":"Isawumi","given":"Abiola","non-dropping-particle":"","parse-names":false,"suffix":""}],"container-title":"Heliyon","id":"ITEM-1","issue":"10","issued":{"date-parts":[["2023","10","1"]]},"page":"e20561","publisher":"Elsevier","title":"The burden of hospital acquired infections and antimicrobial resistance","type":"article-journal","volume":"9"},"uris":["http://www.mendeley.com/documents/?uuid=7f77a6b2-0e1d-3afd-b8cd-05fd779747d7"]},{"id":"ITEM-2","itemData":{"DOI":"10.1001/jama.2009.1754","ISSN":"15383598","PMID":"19952319","abstract":"Context: Infection is a major cause of morbidity and mortality in intensive care units (ICUs) worldwide. However, relatively little information is available about the global epidemiology of such infections. Objective: To provide an up-to-date, international picture of the extent and patterns of infection in ICUs. Design, Setting, and Patients: The Extended Prevalence of Infection in Intensive Care (EPIC II) study, a 1-day, prospective, point prevalence study with follow-up conducted on May 8, 2007. Demographic, physiological, bacteriological, therapeutic, and outcome data were collected for 14 414 patients in 1265 participating ICUs from 75 countries on the study day. Analyses focused on the data from the 13 796 adult (&gt;18 years) patients. Results: On the day of the study, 7087 of 13 796 patients (51%) were considered infected; 9084 (71%) were receiving antibiotics. The infection was of respiratory origin in 4503 (64%), and microbiological culture results were positive in 4947 (70%) of the infected patients; 62% of the positive isolates were gram-negative organisms, 47% were gram-positive, and 19% were fungi. Patients who had longer ICU stays prior to the study day had higher rates of infection, especially infections due to resistant staphylococci, Acinetobacter, Pseudomonas species, and Candida species. The ICU mortality rate of infected patients was more than twice that of noninfected patients (25% [1688/6659] vs 11% [682/6352], respectively; P&lt;.001), as was the hospital mortality rate (33% [2201/6659] vs 15% [942/6352], respectively; P&lt;.001) (adjusted odds ratio for risk of hospital mortality, 1.51; 95% confidence interval, 1.36-1.68; P&lt;.001). Conclusions: Infections are common in patients in contemporary ICUs, and risk of infection increases with duration of ICU stay. In this large cohort, infection was independently associated with an increased risk of hospital death. ©2009 American Medical Association. All rights reserved.","author":[{"dropping-particle":"","family":"Vincent","given":"Jean Louis","non-dropping-particle":"","parse-names":false,"suffix":""},{"dropping-particle":"","family":"Rello","given":"Jordi","non-dropping-particle":"","parse-names":false,"suffix":""},{"dropping-particle":"","family":"Marshall","given":"John","non-dropping-particle":"","parse-names":false,"suffix":""},{"dropping-particle":"","family":"Silva","given":"Eliezer","non-dropping-particle":"","parse-names":false,"suffix":""},{"dropping-particle":"","family":"Anzueto","given":"Antonio","non-dropping-particle":"","parse-names":false,"suffix":""},{"dropping-particle":"","family":"Martin","given":"Claude D.","non-dropping-particle":"","parse-names":false,"suffix":""},{"dropping-particle":"","family":"Moreno","given":"Rui","non-dropping-particle":"","parse-names":false,"suffix":""},{"dropping-particle":"","family":"Lipman","given":"Jeffrey","non-dropping-particle":"","parse-names":false,"suffix":""},{"dropping-particle":"","family":"Gomersall","given":"Charles","non-dropping-particle":"","parse-names":false,"suffix":""},{"dropping-particle":"","family":"Sakr","given":"Yasser","non-dropping-particle":"","parse-names":false,"suffix":""},{"dropping-particle":"","family":"Reinhart","given":"Konrad","non-dropping-particle":"","parse-names":false,"suffix":""}],"container-title":"JAMA","id":"ITEM-2","issue":"21","issued":{"date-parts":[["2009","12","2"]]},"page":"2323-2329","publisher":"JAMA","title":"International study of the prevalence and outcomes of infection in intensive care units","type":"article-journal","volume":"302"},"uris":["http://www.mendeley.com/documents/?uuid=96e1c859-7422-3333-9a2e-e72f95efb2a1"]},{"id":"ITEM-3","itemData":{"DOI":"10.1186/s40545-022-00500-5","ISSN":"20523211","PMID":"36494700","abstract":"Background: There is limited data to describe the point-prevalence of healthcare-associated infections (HAIs) among patients at a regional level in Africa. This study estimated the pooled prevalence of HAIs and described the distribution of HAIs as well as the pathogens identified from African studies. Methods: PubMed, Scopus and Google Scholar databases were searched to find point-prevalence studies of HAIs in Africa. Studies conducted in Humans that reported the prevalence of HAIs among hospitalized patients and published in English language from January 2010 to March 2022 were selected. Longitudinal studies of HAIs and unpublished studies were excluded. The reference list of the selected studies was checked to find additional studies. A meta-analysis was conducted using RevMan 5.4 and the pooled prevalence of HAIs was determined using a random effect model. Results: Of the 6094 articles identified from the databases, fifteen eligible articles were selected. The studies were conducted in the North, South, East and West African regions with Tunisia (n = 4) and South Africa (n = 2) having the highest number of studies. Most of the studies (n = 12, 80.0%) had good quality. The pooled prevalence of HAIs was 12.76% (95% confidence interval [CI] 10.30–15.23) with a high degree of heterogeneity (I2 = 90.0%). The prevalence of HAIs varied between wards with the highest rate found in the ICU (25.2%–100%), followed by neonatal ICU/ward (7.0%–53.6%) and paediatric medical ward (2.7%–33.0%). Surgical site infection was the most common HAIs and accounted for 41.6% of all HAIs (95% CI 23.55–59.80), followed by bloodstream infection (17.07%, 95% CI 11.80–22.33) and respiratory tract infections/pneumonia (17.04%, 95% CI 13.21–20.87). Recent hospitalization (adjusted odds ratio [AOR]: 4.17, 95% CI 1.85–9.41), presence of peripheral vascular catheter (AOR: 2.87, 95% CI 1.54–5.36) and having diabetes mellitus (AOR: 2.46, 95% CI 1.45–4.17) were the strongest predictors of HAIs in Africa. Only 37.9% of HAIs had documented positive microbiological culture result with gram negative bacteria including Klebsiella pneumoniae, Escherichia coli, Pseudomonas aeruginosa, Acinetobacter baumannii and Citrobacter been the most common microorganisms and accounted for 40%–100% of the pathogens. Conclusions: The pooled point-prevalence of HAIs in Africa is more than two times higher than the rate reported in developed countries. The prevalence varied between the countries and was highes…","author":[{"dropping-particle":"","family":"Abubakar","given":"Usman","non-dropping-particle":"","parse-names":false,"suffix":""},{"dropping-particle":"","family":"Amir","given":"Omalhassan","non-dropping-particle":"","parse-names":false,"suffix":""},{"dropping-particle":"","family":"Rodríguez-Baño","given":"Jesús","non-dropping-particle":"","parse-names":false,"suffix":""}],"container-title":"Journal of Pharmaceutical Policy and Practice","id":"ITEM-3","issue":"1","issued":{"date-parts":[["2022","12","1"]]},"page":"99","publisher":"J Pharm Policy Pract","title":"Healthcare-associated infections in Africa: a systematic review and meta-analysis of point prevalence studies","type":"article-journal","volume":"15"},"uris":["http://www.mendeley.com/documents/?uuid=c0922c7d-ec79-3017-8818-384b58ddf07d"]},{"id":"ITEM-4","itemData":{"DOI":"10.3855/jidc.6832","ISSN":"19722680","PMID":"26517477","abstract":"Healthcare-associated infections (HAIs) are major patient safety problems in hospitals, especially in intensive care units (ICUs). Patients in ICUs are prone to HAIs due to reduced host defense mechanisms, low compliance with infection prevention and control (IPC) measures due to lack of education and training, and heavy workload and low staffing levels, leading to cross-transmission of microorganisms from patient to patient. Patients with HAIs have prolonged hospital stays, and have high morbidity and mortality, thus adding economic burden on the healthcare system. For various reasons, in low-to-middle income countries (LMICs), the scale of the problem is huge; each year, many people die from HAIs. In this review, epidemiology of HAIs and infection prevention and control measures in ICUs is discussed, with especial emphasis on LMICs. High rates of HAIs caused by multidrug-resistant organisms (MDROs) are serious problems in ICUs in LMICs. In view of increasing prevalence of MDROs, LMICs should establish effective IPC infrastructure, appoint IPC teams, and provide adequate training and resources. These resources to establish and appoint IPC teams can be released by avoiding ritualistic, wasteful, and unsafe IPC practices, and by diverting resources to implement basic IPC measures, including early detection of infection, isolation of patients, application of appropriate IPC precautions, adherence to hand hygiene, and implementation of HAIs care bundles and basic evidence-based practices.","author":[{"dropping-particle":"","family":"Alp","given":"Emine","non-dropping-particle":"","parse-names":false,"suffix":""},{"dropping-particle":"","family":"Damani","given":"Nizam","non-dropping-particle":"","parse-names":false,"suffix":""}],"container-title":"Journal of Infection in Developing Countries","id":"ITEM-4","issue":"10","issued":{"date-parts":[["2015","10","1"]]},"page":"1040-1045","publisher":"J Infect Dev Ctries","title":"Healthcare-associated infections in intensive care units: Epidemiology and infection control in low-to-middle income countries","type":"article","volume":"9"},"uris":["http://www.mendeley.com/documents/?uuid=3f6ea4e2-a5d2-30aa-a9ba-736eacb7d69a"]}],"mendeley":{"formattedCitation":"[5,8,15,25]","plainTextFormattedCitation":"[5,8,15,25]","previouslyFormattedCitation":"[5,8,15,25]"},"properties":{"noteIndex":0},"schema":"https://github.com/citation-style-language/schema/raw/master/csl-citation.json"}</w:instrText>
      </w:r>
      <w:r w:rsidRPr="003F4633">
        <w:rPr>
          <w:rFonts w:eastAsia="Times New Roman" w:cs="Times New Roman"/>
          <w:szCs w:val="24"/>
          <w:lang w:val="en-GB"/>
        </w:rPr>
        <w:fldChar w:fldCharType="separate"/>
      </w:r>
      <w:r w:rsidR="001E7355" w:rsidRPr="001E7355">
        <w:rPr>
          <w:rFonts w:eastAsia="Times New Roman" w:cs="Times New Roman"/>
          <w:noProof/>
          <w:szCs w:val="24"/>
          <w:lang w:val="en-GB"/>
        </w:rPr>
        <w:t>[5,8,15,25]</w:t>
      </w:r>
      <w:r w:rsidRPr="003F4633">
        <w:rPr>
          <w:rFonts w:eastAsia="Times New Roman" w:cs="Times New Roman"/>
          <w:szCs w:val="24"/>
          <w:lang w:val="en"/>
        </w:rPr>
        <w:fldChar w:fldCharType="end"/>
      </w:r>
      <w:r w:rsidRPr="003F4633">
        <w:rPr>
          <w:rFonts w:eastAsia="Times New Roman" w:cs="Times New Roman"/>
          <w:szCs w:val="24"/>
          <w:lang w:val="en-GB"/>
        </w:rPr>
        <w:t xml:space="preserve">. </w:t>
      </w:r>
    </w:p>
    <w:p w14:paraId="76A89CDB" w14:textId="28C3E5A9" w:rsidR="003F4633" w:rsidRPr="003F4633" w:rsidRDefault="003F4633" w:rsidP="003F4633">
      <w:pPr>
        <w:spacing w:before="0" w:line="360" w:lineRule="auto"/>
        <w:jc w:val="both"/>
        <w:rPr>
          <w:rFonts w:eastAsia="Times New Roman" w:cs="Times New Roman"/>
          <w:szCs w:val="24"/>
          <w:lang w:val="en-GB"/>
        </w:rPr>
      </w:pPr>
      <w:r w:rsidRPr="003F4633">
        <w:rPr>
          <w:rFonts w:eastAsia="Times New Roman" w:cs="Times New Roman"/>
          <w:szCs w:val="24"/>
          <w:lang w:val="en-GB"/>
        </w:rPr>
        <w:t xml:space="preserve">The occurrence of these HAIs contributes to the overuse of antibiotics, increases costs and eventually the development and spread of AMR </w:t>
      </w:r>
      <w:r w:rsidRPr="003F4633">
        <w:rPr>
          <w:rFonts w:eastAsia="Times New Roman" w:cs="Times New Roman"/>
          <w:szCs w:val="24"/>
          <w:lang w:val="en-GB"/>
        </w:rPr>
        <w:fldChar w:fldCharType="begin" w:fldLock="1"/>
      </w:r>
      <w:r w:rsidR="005E406D">
        <w:rPr>
          <w:rFonts w:eastAsia="Times New Roman" w:cs="Times New Roman"/>
          <w:szCs w:val="24"/>
          <w:lang w:val="en-GB"/>
        </w:rPr>
        <w:instrText>ADDIN CSL_CITATION {"citationItems":[{"id":"ITEM-1","itemData":{"DOI":"10.1016/j.heliyon.2023.e20561","ISSN":"24058440","abstract":"The burden of Hospital care-associated infections (HCAIs) is becoming a global concern. This is compounded by the emergence of virulent and high-risk bacterial strains such as “ESKAPE” pathogens – (Enterococcus faecium, Staphylococcus aureus, Klebsiella pneumoniae, Acinetobacter baumannii, Pseudomonas aeruginosa and Enterobacter species), especially within Intensive care units (ICUs) that house high-risk and immunocompromised patients. In this review, we discuss the contributions of AMR pathogens to the increasing burden of HCAIs and provide insights into AMR mechanisms, with a particular focus on last-resort antibiotics like polymyxins. We extensively discuss how structural modifications of surface-membrane lipopolysaccharides and cationic interactions influence and inform AMR, and subsequent severity of HCAIs. We highlight some bacterial phenotypic survival mechanisms against polymyxins. Lastly, we discuss the emergence of plasmid-mediated resistance as a phenomenon making mitigation of AMR difficult, especially within the ICUs. This review provides a balanced perspective on the burden of HCAIs, associated pathogens, implication of AMR and factors influencing emerging AMR mechanisms.","author":[{"dropping-particle":"","family":"Abban","given":"Molly Kukua","non-dropping-particle":"","parse-names":false,"suffix":""},{"dropping-particle":"","family":"Ayerakwa","given":"Eunice Ampadubea","non-dropping-particle":"","parse-names":false,"suffix":""},{"dropping-particle":"","family":"Mosi","given":"Lydia","non-dropping-particle":"","parse-names":false,"suffix":""},{"dropping-particle":"","family":"Isawumi","given":"Abiola","non-dropping-particle":"","parse-names":false,"suffix":""}],"container-title":"Heliyon","id":"ITEM-1","issue":"10","issued":{"date-parts":[["2023","10","1"]]},"page":"e20561","publisher":"Elsevier","title":"The burden of hospital acquired infections and antimicrobial resistance","type":"article-journal","volume":"9"},"uris":["http://www.mendeley.com/documents/?uuid=7f77a6b2-0e1d-3afd-b8cd-05fd779747d7"]},{"id":"ITEM-2","itemData":{"DOI":"10.1016/j.glmedi.2024.100081","ISSN":"2949916X","abstract":"Antimicrobial resistance (AMR) is a critical global health issue driven by antibiotic misuse and overuse in various sectors, leading to the emergence of resistant microorganisms. The history of AMR dates back to the discovery of penicillin, with the rise of multidrug-resistant pathogens posing significant challenges to healthcare systems worldwide. The misuse of antibiotics in human and animal health, as well as in agriculture, contributes to the spread of resistance genes, creating a \"Silent Pandemic\" that could surpass other causes of mortality by 2050. AMR affects both humans and animals, with resistant pathogens posing challenges in treating infections. Various mechanisms, such as enzymatic modification and biofilm formation, enable microbes to withstand the effects of antibiotics. The lack of effective antibiotics threatens routine medical procedures and could lead to millions of deaths annually if left unchecked. The economic impact of AMR is substantial, with projected losses in the trillions of dollars and significant financial burdens on healthcare systems and agriculture. Artificial intelligence is being explored as a tool to combat AMR by improving diagnostics and treatment strategies, although challenges such as data quality and algorithmic biases exist. To address AMR effectively, a One Health approach that considers human, animal, and environmental factors is crucial. This includes enhancing surveillance systems, promoting stewardship programs, and investing in research and development for new antimicrobial options. Public awareness, education, and international collaboration are essential for combating AMR and preserving the efficacy of antibiotics for future generations.","author":[{"dropping-particle":"","family":"Ahmed","given":"Sirwan Khalid","non-dropping-particle":"","parse-names":false,"suffix":""},{"dropping-particle":"","family":"Hussein","given":"Safin","non-dropping-particle":"","parse-names":false,"suffix":""},{"dropping-particle":"","family":"Qurbani","given":"Karzan","non-dropping-particle":"","parse-names":false,"suffix":""},{"dropping-particle":"","family":"Ibrahim","given":"Radhwan Hussein","non-dropping-particle":"","parse-names":false,"suffix":""},{"dropping-particle":"","family":"Fareeq","given":"Abdulmalik","non-dropping-particle":"","parse-names":false,"suffix":""},{"dropping-particle":"","family":"Mahmood","given":"Kochr Ali","non-dropping-particle":"","parse-names":false,"suffix":""},{"dropping-particle":"","family":"Mohamed","given":"Mona Gamal","non-dropping-particle":"","parse-names":false,"suffix":""}],"container-title":"Journal of Medicine, Surgery, and Public Health","id":"ITEM-2","issued":{"date-parts":[["2024","4","1"]]},"page":"100081","publisher":"Elsevier","title":"Antimicrobial resistance: Impacts, challenges, and future prospects","type":"article-journal","volume":"2"},"uris":["http://www.mendeley.com/documents/?uuid=5a782c19-5895-36c8-9f2c-f12f0ca936a6"]}],"mendeley":{"formattedCitation":"[15,26]","plainTextFormattedCitation":"[15,26]","previouslyFormattedCitation":"[15,26]"},"properties":{"noteIndex":0},"schema":"https://github.com/citation-style-language/schema/raw/master/csl-citation.json"}</w:instrText>
      </w:r>
      <w:r w:rsidRPr="003F4633">
        <w:rPr>
          <w:rFonts w:eastAsia="Times New Roman" w:cs="Times New Roman"/>
          <w:szCs w:val="24"/>
          <w:lang w:val="en-GB"/>
        </w:rPr>
        <w:fldChar w:fldCharType="separate"/>
      </w:r>
      <w:r w:rsidR="001E7355" w:rsidRPr="001E7355">
        <w:rPr>
          <w:rFonts w:eastAsia="Times New Roman" w:cs="Times New Roman"/>
          <w:noProof/>
          <w:szCs w:val="24"/>
          <w:lang w:val="en-GB"/>
        </w:rPr>
        <w:t>[15,26]</w:t>
      </w:r>
      <w:r w:rsidRPr="003F4633">
        <w:rPr>
          <w:rFonts w:eastAsia="Times New Roman" w:cs="Times New Roman"/>
          <w:szCs w:val="24"/>
          <w:lang w:val="en"/>
        </w:rPr>
        <w:fldChar w:fldCharType="end"/>
      </w:r>
      <w:r w:rsidRPr="003F4633">
        <w:rPr>
          <w:rFonts w:eastAsia="Times New Roman" w:cs="Times New Roman"/>
          <w:szCs w:val="24"/>
          <w:lang w:val="en-GB"/>
        </w:rPr>
        <w:t xml:space="preserve">. The economic and clinical burden associated with HAIs is substantial, with patients experiencing longer hospital stays and higher medical costs </w:t>
      </w:r>
      <w:r w:rsidRPr="003F4633">
        <w:rPr>
          <w:rFonts w:eastAsia="Times New Roman" w:cs="Times New Roman"/>
          <w:szCs w:val="24"/>
          <w:lang w:val="en-GB"/>
        </w:rPr>
        <w:fldChar w:fldCharType="begin" w:fldLock="1"/>
      </w:r>
      <w:r w:rsidR="005E406D">
        <w:rPr>
          <w:rFonts w:eastAsia="Times New Roman" w:cs="Times New Roman"/>
          <w:szCs w:val="24"/>
          <w:lang w:val="en-GB"/>
        </w:rPr>
        <w:instrText>ADDIN CSL_CITATION {"citationItems":[{"id":"ITEM-1","itemData":{"DOI":"10.1371/journal.pone.0282141","ISSN":"19326203","PMID":"36821590","abstract":"Introduction Healthcare-associated infections (HAIs) have become a serious public health problem. Despite the fact that implementing evidence-based infection control strategies could prevent HAIs and save billions of dollars, Ethiopia lacks national surveillance studies on the rate, economic, and clinical burden of HAIs. Objective To assess the clinical and economic burden of HAIs in hospitalized patients at Ayder comprehensive specialized hospital. Materials and methods A prospective cohort study design was conducted in patients with and without HAIs. A review of medical records, interviews, and patient bills was used to extract necessary information. The patients in the two arms were matched based on age, sex, Charlson comorbidity index, and ward type. Measurable factors were compared between infected and uninfected patients using the paired ttest or McNemar’s test, as appropriate. Logistic regression was used to identify predictors of in-hospital mortality. Stata 14.1 was used to conduct all analyses. Results A total of 408 patients, 204 with HAIs and 204 without HAIs were included in the study. In-hospital mortality was higher in patients with HAI (14.7% vs 7.8%, P = 0.028). Patients with HAI stayed an average of 8.3 days longer than controls (18.85 vs 10.59, P&lt;0.001). The average direct medical costs for patients with HAI were 3033 Ethiopian birrs (ETB) higher than controls (4826 vs 1793, P&lt;0.001). The presence of HAIs (AOR: 2.22, 95% CI: 1.13–4.39) and admission to intensive care units (AOR: 3.39, 95% CI: 1.55–7.40) were significant predictors of in-hospital mortality. Conclusion HAIs have a significant impact on in-hospital mortality, the length of extra hospital stays, and extra costs for medical care. Patients admitted to intensive care units and those with HAIs were found to be significant predictors of in-hospital mortality. Interventions must be implemented to prevent HAIs, especially in patients admitted to intensive care units.","author":[{"dropping-particle":"","family":"Gidey","given":"Kidu","non-dropping-particle":"","parse-names":false,"suffix":""},{"dropping-particle":"","family":"Gidey","given":"Meles Tekie","non-dropping-particle":"","parse-names":false,"suffix":""},{"dropping-particle":"","family":"Hailu","given":"Berhane Yohannes","non-dropping-particle":"","parse-names":false,"suffix":""},{"dropping-particle":"","family":"Gebreamlak","given":"Zigbey Brhane","non-dropping-particle":"","parse-names":false,"suffix":""},{"dropping-particle":"","family":"Niriayo","given":"Yirga Legesse","non-dropping-particle":"","parse-names":false,"suffix":""}],"container-title":"PLoS ONE","id":"ITEM-1","issue":"2","issued":{"date-parts":[["2023","2","1"]]},"page":"e0282141","publisher":"PLoS One","title":"Clinical and economic burden of healthcare-associated infections: A prospective cohort study","type":"article-journal","volume":"18"},"uris":["http://www.mendeley.com/documents/?uuid=1f1504ba-6fed-3108-9606-3b1f8d7594ce"]},{"id":"ITEM-2","itemData":{"DOI":"10.1016/j.jinf.2023.12.008","ISSN":"15322742","PMID":"38135161","abstract":"Objectives: Healthcare-associated infections (HAIs) represent a major threat to patient safety and are associated with significant economic burden. Calculating the costs attributable to HAIs is challenging given the various sources of bias. Although HAIs as a reasonably preventable medical harm should have been closely linked to medical insurance incentives, there was little linkage between HAIs and medicare in western China owing to the lack of economic evaluation data. The present study aimed to generate estimates of the attributable costs associated with HAIs and the magnitude of costs growth. Methods: In this cohort study designed horizontally and vertically from 2016 to 2022, we compared outcomes of randomly sampling patients with HAIs and individually matched patients without HAIs in two cohorts at a 6-year interval at 34 hospitals in western China. The primary outcome was the direct medical cost for the entire hospital stay, converted to US dollars ($ for the benchmark year), discounted at 3% annually, and estimated separately in the full analysis set (FAS) and the per protocol set (PPS). We used multiple linear regression to adjust the discounted costs and to assess subgroups effects within each cohort. We nested a dynamic vertical comparison of costs attributable to HAIs between the front and rear cohorts. Results: A total of 230 patients with HAIs in 2016 and 204 patients with HAIs in 2022 were enrolled. After a 1:1 match, all 431 pairs were recruited as FAS, of which 332 pairs as PPS met all matching restrictions. Compared to the 2016 cohort in FAS, the patients with HAIs in 2022 had a significantly older age (64.40 ± 16.45 years), higher repeat hospitalization rate (65 [32.02%] of 203), and lower immune function (69 [33.99%] of 203). The discounted costs and adjusted-discounted costs for patients with HAIs in the 2022 cohort were found to be significantly higher than those of patients without HAIs (discounted costs: $5484.60 [IQR 8426.03] vs $2554.04(4530.82), P &lt; 0.001; adjusted-discounted costs: $5235.90 [3772.12] vs $3040.21(1823.36), P &lt; 0.001, respectively), and also higher than those of patients with HAIs in the 2016 cohort (discounted costs: $5484.60 [8426.03] vs $3553.00 [6127.79], P &lt; 0.001; adjusted-discounted costs: $5235.90 [3772.12] vs $3703.82 [3159.14], P &lt; 0.001, respectively). In vertical comparison of PPS, the incremental costs of the 2022 cohort are 1.48 times higher than those of the 2016 cohort ($964.63(4076.15) vs $652.…","author":[{"dropping-particle":"","family":"Lv","given":"Yu","non-dropping-particle":"","parse-names":false,"suffix":""},{"dropping-particle":"","family":"Huang","given":"Xiaobo","non-dropping-particle":"","parse-names":false,"suffix":""},{"dropping-particle":"","family":"Wu","given":"Jiayu","non-dropping-particle":"","parse-names":false,"suffix":""},{"dropping-particle":"","family":"Xiao","given":"Xueqin","non-dropping-particle":"","parse-names":false,"suffix":""},{"dropping-particle":"","family":"Ma","given":"Chunhua","non-dropping-particle":"","parse-names":false,"suffix":""},{"dropping-particle":"","family":"Jiang","given":"Xiaoyun","non-dropping-particle":"","parse-names":false,"suffix":""},{"dropping-particle":"","family":"Zhou","given":"Ping","non-dropping-particle":"","parse-names":false,"suffix":""},{"dropping-particle":"","family":"Liu","given":"Linlin","non-dropping-particle":"","parse-names":false,"suffix":""},{"dropping-particle":"","family":"Jiang","given":"Yiguo","non-dropping-particle":"","parse-names":false,"suffix":""},{"dropping-particle":"","family":"Zou","given":"Anna","non-dropping-particle":"","parse-names":false,"suffix":""},{"dropping-particle":"","family":"Niu","given":"Hui","non-dropping-particle":"","parse-names":false,"suffix":""},{"dropping-particle":"","family":"Sun","given":"Juhua","non-dropping-particle":"","parse-names":false,"suffix":""},{"dropping-particle":"","family":"Hou","given":"Li","non-dropping-particle":"","parse-names":false,"suffix":""},{"dropping-particle":"","family":"Wang","given":"Xiaomeng","non-dropping-particle":"","parse-names":false,"suffix":""},{"dropping-particle":"","family":"Dai","given":"Yulin","non-dropping-particle":"","parse-names":false,"suffix":""},{"dropping-particle":"","family":"Peng","given":"Shuling","non-dropping-particle":"","parse-names":false,"suffix":""},{"dropping-particle":"","family":"Deng","given":"Xiaorong","non-dropping-particle":"","parse-names":false,"suffix":""},{"dropping-particle":"","family":"Xia","given":"Hong","non-dropping-particle":"","parse-names":false,"suffix":""},{"dropping-particle":"","family":"Guo","given":"Yao","non-dropping-particle":"","parse-names":false,"suffix":""},{"dropping-particle":"","family":"Wang","given":"Defen","non-dropping-particle":"","parse-names":false,"suffix":""},{"dropping-particle":"","family":"Huang","given":"Ting","non-dropping-particle":"","parse-names":false,"suffix":""},{"dropping-particle":"","family":"Li","given":"Chunyu","non-dropping-particle":"","parse-names":false,"suffix":""},{"dropping-particle":"","family":"He","given":"Lirong","non-dropping-particle":"","parse-names":false,"suffix":""},{"dropping-particle":"","family":"Xiong","given":"Fengqing","non-dropping-particle":"","parse-names":false,"suffix":""},{"dropping-particle":"","family":"Xiong","given":"Hongmei","non-dropping-particle":"","parse-names":false,"suffix":""},{"dropping-particle":"","family":"Cao","given":"Hongmei","non-dropping-particle":"","parse-names":false,"suffix":""},{"dropping-particle":"","family":"Lu","given":"Jie","non-dropping-particle":"","parse-names":false,"suffix":""},{"dropping-particle":"","family":"Liu","given":"Xingfeng","non-dropping-particle":"","parse-names":false,"suffix":""},{"dropping-particle":"","family":"Jian","given":"Xiaohong","non-dropping-particle":"","parse-names":false,"suffix":""},{"dropping-particle":"","family":"Luo","given":"Wanzhen","non-dropping-particle":"","parse-names":false,"suffix":""},{"dropping-particle":"","family":"An","given":"Yanmei","non-dropping-particle":"","parse-names":false,"suffix":""},{"dropping-particle":"","family":"Wu","given":"Yumei","non-dropping-particle":"","parse-names":false,"suffix":""},{"dropping-particle":"","family":"Deng","given":"Keqin","non-dropping-particle":"","parse-names":false,"suffix":""},{"dropping-particle":"","family":"Kang","given":"Xiaoli","non-dropping-particle":"","parse-names":false,"suffix":""},{"dropping-particle":"","family":"Chen","given":"Xiaorong","non-dropping-particle":"","parse-names":false,"suffix":""},{"dropping-particle":"","family":"Tang","given":"Beibei","non-dropping-particle":"","parse-names":false,"suffix":""},{"dropping-particle":"","family":"Li","given":"Li","non-dropping-particle":"","parse-names":false,"suffix":""},{"dropping-particle":"","family":"Xiang","given":"Qian","non-dropping-particle":"","parse-names":false,"suffix":""}],"container-title":"Journal of Infection","id":"ITEM-2","issue":"2","issued":{"date-parts":[["2024","2","1"]]},"page":"112-122","publisher":"J Infect","title":"Economic burden attributable to healthcare-associated infections at western China hospitals: 6 Year, prospective cohort study","type":"article-journal","volume":"88"},"uris":["http://www.mendeley.com/documents/?uuid=e5d25147-e690-3720-9f08-d63cefbf4b32"]}],"mendeley":{"formattedCitation":"[27,28]","plainTextFormattedCitation":"[27,28]","previouslyFormattedCitation":"[27,28]"},"properties":{"noteIndex":0},"schema":"https://github.com/citation-style-language/schema/raw/master/csl-citation.json"}</w:instrText>
      </w:r>
      <w:r w:rsidRPr="003F4633">
        <w:rPr>
          <w:rFonts w:eastAsia="Times New Roman" w:cs="Times New Roman"/>
          <w:szCs w:val="24"/>
          <w:lang w:val="en-GB"/>
        </w:rPr>
        <w:fldChar w:fldCharType="separate"/>
      </w:r>
      <w:r w:rsidR="001E7355" w:rsidRPr="001E7355">
        <w:rPr>
          <w:rFonts w:eastAsia="Times New Roman" w:cs="Times New Roman"/>
          <w:noProof/>
          <w:szCs w:val="24"/>
          <w:lang w:val="en-GB"/>
        </w:rPr>
        <w:t>[27,28]</w:t>
      </w:r>
      <w:r w:rsidRPr="003F4633">
        <w:rPr>
          <w:rFonts w:eastAsia="Times New Roman" w:cs="Times New Roman"/>
          <w:szCs w:val="24"/>
          <w:lang w:val="en"/>
        </w:rPr>
        <w:fldChar w:fldCharType="end"/>
      </w:r>
      <w:r w:rsidRPr="003F4633">
        <w:rPr>
          <w:rFonts w:eastAsia="Times New Roman" w:cs="Times New Roman"/>
          <w:szCs w:val="24"/>
          <w:lang w:val="en-GB"/>
        </w:rPr>
        <w:t xml:space="preserve">. In the USA, attributable costs to HAIs have been estimated at $3,384 ($885-$7,717) per patient for vancomycin-resistant enterococci, increasing to $39,787 ($20,813-$64,140) for </w:t>
      </w:r>
      <w:r w:rsidRPr="003F4633">
        <w:rPr>
          <w:rFonts w:eastAsia="Times New Roman" w:cs="Times New Roman"/>
          <w:iCs/>
          <w:szCs w:val="24"/>
          <w:lang w:val="en-GB"/>
        </w:rPr>
        <w:t>MDR</w:t>
      </w:r>
      <w:r w:rsidRPr="003F4633">
        <w:rPr>
          <w:rFonts w:eastAsia="Times New Roman" w:cs="Times New Roman"/>
          <w:i/>
          <w:iCs/>
          <w:szCs w:val="24"/>
          <w:lang w:val="en-GB"/>
        </w:rPr>
        <w:t xml:space="preserve"> Acinetobacter </w:t>
      </w:r>
      <w:r w:rsidRPr="003F4633">
        <w:rPr>
          <w:rFonts w:eastAsia="Times New Roman" w:cs="Times New Roman"/>
          <w:szCs w:val="24"/>
          <w:lang w:val="en-GB"/>
        </w:rPr>
        <w:t xml:space="preserve">and further rising to $74,306 ($20,377-$128,235) for </w:t>
      </w:r>
      <w:r w:rsidRPr="009067FC">
        <w:rPr>
          <w:rFonts w:eastAsia="Times New Roman" w:cs="Times New Roman"/>
          <w:iCs/>
          <w:szCs w:val="24"/>
          <w:lang w:val="en-GB"/>
        </w:rPr>
        <w:t>carbapenem-resistant (CR)</w:t>
      </w:r>
      <w:r w:rsidRPr="003F4633">
        <w:rPr>
          <w:rFonts w:eastAsia="Times New Roman" w:cs="Times New Roman"/>
          <w:i/>
          <w:iCs/>
          <w:szCs w:val="24"/>
          <w:lang w:val="en-GB"/>
        </w:rPr>
        <w:t xml:space="preserve"> Acinetobacter </w:t>
      </w:r>
      <w:r w:rsidRPr="003F4633">
        <w:rPr>
          <w:rFonts w:eastAsia="Times New Roman" w:cs="Times New Roman"/>
          <w:i/>
          <w:iCs/>
          <w:szCs w:val="24"/>
          <w:lang w:val="en-GB"/>
        </w:rPr>
        <w:fldChar w:fldCharType="begin" w:fldLock="1"/>
      </w:r>
      <w:r w:rsidR="005E406D">
        <w:rPr>
          <w:rFonts w:eastAsia="Times New Roman" w:cs="Times New Roman"/>
          <w:i/>
          <w:iCs/>
          <w:szCs w:val="24"/>
          <w:lang w:val="en-GB"/>
        </w:rPr>
        <w:instrText>ADDIN CSL_CITATION {"citationItems":[{"id":"ITEM-1","itemData":{"DOI":"10.1093/ofid/ofx163.323","ISSN":"2328-8957","abstract":"Background. Healthcare-associated infections (HAIs) are recognized as one of the most important preventable patient safety events in the inpatient setting, yet previous estimates of the overall burden of HAIs have been limited in their scope and data availability. To remedy this, we generated estimates of the annual burden of HAIs due to Clostridium difficile, methicillin-resistant Staphylococcus aureus (MRSA), multidrug-resistant (MDR) Pseudomonas aeruginosa, MDR Acinetobacter, MDR Enterobacteriaceae, and vancomycin-resistant Enterococci (VRE) using data from systematic reviews of published studies as well as inputs generated from electronic data from the US Department of Veterans Affairs. Methods. We created a decision analytic simulation model parameterized with estimates of excess length of stay (LOS), readmissions, and mortality attributable to hospital- onset HAIs for our pathogens of interest. To calculate the cost of an HAI, we multiplied the excess LOS and readmission days by the cost per inpatient day from the payer perspective ($2,877). We ran our model using 1,000 first-order and 10,000 second-order Monte Carlo simulations. We used the incidence rate of each of these HAIs to generate cumulative incidence, cost, and mortality associated with these infections for the US adult population. The model was run separately for each pathogen. Costs were expressed in 2016 US dollars. Results. Our estimates of the cost (95% CI) per HAI ranged from $39,787 ($20,813-$64,140) for MDR Acinetobacter to $3,384 ($885-$7,717) for VRE. Of the 221,737 (154,615-342,607) annual HAIs estimated by our model, 122,795 (99,087- 219,006) were due to Clostridium difficile and 35,484 (27,655-43,313) were due to MRSA. Clostridium difficile and MRSA were also the largest contributors to infection- related deaths. Finally, our model estimated an annual cost of $4.1 billion due to these HAIs with Clostridium difficile and MRSA contributing $1.9 billion and $1.2 billion, respectively. The results from our analyses can be found in Figures 1-3. Conclusion. We found that HAIs due to MDR bacteria and Clostridium difficile account for a substantial cost and mortality burden in the US. These results are relevant to understanding the expenditures and lives that could be saved through prevention. (Figure Presented) .","author":[{"dropping-particle":"","family":"Nelson","given":"Richard E","non-dropping-particle":"","parse-names":false,"suffix":""},{"dropping-particle":"","family":"Schweizer","given":"Marin","non-dropping-particle":"","parse-names":false,"suffix":""},{"dropping-particle":"","family":"Jones","given":"Makoto","non-dropping-particle":"","parse-names":false,"suffix":""},{"dropping-particle":"","family":"Stevens","given":"Vanessa W","non-dropping-particle":"","parse-names":false,"suffix":""},{"dropping-particle":"","family":"Khader","given":"Karim","non-dropping-particle":"","parse-names":false,"suffix":""},{"dropping-particle":"","family":"Perencevich","given":"Eli","non-dropping-particle":"","parse-names":false,"suffix":""},{"dropping-particle":"","family":"Rubin","given":"Michael","non-dropping-particle":"","parse-names":false,"suffix":""},{"dropping-particle":"","family":"Samore","given":"Matthew","non-dropping-particle":"","parse-names":false,"suffix":""}],"container-title":"Open Forum Infectious Diseases","id":"ITEM-1","issue":"suppl_1","issued":{"date-parts":[["2017"]]},"page":"S177-S178","publisher":"Oxford University Press","title":"The Cost and Mortality Burden of Hospital-Onset Antimicrobial-Resistant Healthcare-Associated Infections in the USA","type":"article-journal","volume":"4"},"uris":["http://www.mendeley.com/documents/?uuid=7f195dbb-be80-30a1-8ddf-cf9e3f0ce64f"]},{"id":"ITEM-2","itemData":{"DOI":"10.1093/cid/ciaa1581","ISSN":"15376591","PMID":"33512523","abstract":"Background: Treating patients with infections due to multidrug-resistant pathogens often requires substantial healthcare resources. The purpose of this study was to report estimates of the healthcare costs associated with infections due to multidrug-resistant bacteria in the United States (US). Methods: We performed retrospective cohort studies of patients admitted for inpatient stays in the Department of Veterans Affairs healthcare system between January 2007 and October 2015. We performed multivariable generalized linear models to estimate the attributable cost by comparing outcomes in patients with and without positive cultures for multidrug-resistant bacteria. Finally, we multiplied these pathogen-specific, per-infection attributable cost estimates by national counts of infections due to each pathogen from patients hospitalized in a cohort of 722 US hospitals from 2017 to generate estimates of the population-level healthcare costs in the US attributable to these infections. Results: Our analysis cohort consisted of 16 676 patients with community-onset infections and 172 712 matched controls and 8246 patients with hospital-onset infections and 66 939 matched controls. The highest cost was seen in hospital-onset invasive infections, with attributable costs (95% confidence intervals) ranging from $30 998 ($25 272-$36 724) for methicillin-resistant Staphylococcus aureus to $74 306 ($20 377-$128 235) for carbapenem-resistant (CR) Acinetobacter. The highest attributable costs for community-onset invasive infections were seen in CR Acinetobacter ($62 396; $20 370-$104 422). Treatment of these infections cost an estimated $4.6 billion ($4.1 billion-$5.1 billion) in 2017 in the US for community- and hospital-onset infections combined. Conclusions: We found that antimicrobial-resistant infections led to substantial healthcare costs.","author":[{"dropping-particle":"","family":"Nelson","given":"Richard E.","non-dropping-particle":"","parse-names":false,"suffix":""},{"dropping-particle":"","family":"Hatfield","given":"Kelly M.","non-dropping-particle":"","parse-names":false,"suffix":""},{"dropping-particle":"","family":"Wolford","given":"Hannah","non-dropping-particle":"","parse-names":false,"suffix":""},{"dropping-particle":"","family":"Samore","given":"Matthew H.","non-dropping-particle":"","parse-names":false,"suffix":""},{"dropping-particle":"","family":"Scott","given":"R. Douglas","non-dropping-particle":"","parse-names":false,"suffix":""},{"dropping-particle":"","family":"Reddy","given":"Sujan C.","non-dropping-particle":"","parse-names":false,"suffix":""},{"dropping-particle":"","family":"Olubajo","given":"Babatunde","non-dropping-particle":"","parse-names":false,"suffix":""},{"dropping-particle":"","family":"Paul","given":"Prabasaj","non-dropping-particle":"","parse-names":false,"suffix":""},{"dropping-particle":"","family":"Jernigan","given":"John A.","non-dropping-particle":"","parse-names":false,"suffix":""},{"dropping-particle":"","family":"Baggs","given":"James","non-dropping-particle":"","parse-names":false,"suffix":""}],"container-title":"Clinical Infectious Diseases","id":"ITEM-2","issue":"Suppl 1","issued":{"date-parts":[["2021","1","15"]]},"page":"S17-S26","publisher":"Clin Infect Dis","title":"National estimates of healthcare costs associated with multidrug-resistant bacterial infections among hospitalized patients in the United States","type":"article-journal","volume":"72"},"uris":["http://www.mendeley.com/documents/?uuid=83552ef5-bca0-3cb0-9c45-41b5292cfa00"]},{"id":"ITEM-3","itemData":{"DOI":"10.1056/nejmoa1801550","ISSN":"0028-4793","PMID":"30380384","abstract":"BACKGROUND :A point-prevalence survey that was conducted in the United States in 2011 showed that 4% of hospitalized patients had a health care-associated infection. We repeated the survey in 2015 to assess changes in the prevalence of health care-associated infections during a period of national attention to the prevention of such infections. METHODS: At Emerging Infections Program sites in 10 states, we recruited up to 25 hospitals in each site area, prioritizing hospitals that had participated in the 2011 survey. Each hospital selected 1 day on which a random sample of patients was identified for assessment. Trained staff reviewed medical records using the 2011 definitions of health care-associated infections. We compared the percentages of patients with health care-associated infections and performed multivariable log-binomial regression modeling to evaluate the association of survey year with the risk of health care-associated infections. RESULTS: In 2015, a total of 12,299 patients in 199 hospitals were surveyed, as compared with 11,282 patients in 183 hospitals in 2011. Fewer patients had health care-associated infections in 2015 (394 patients [3.2%; 95% confidence interval {CI}, 2.9 to 3.5]) than in 2011 (452 [4.0%; 95% CI, 3.7 to 4.4]) (P&lt;0.001), largely owing to reductions in the prevalence of surgical-site and urinary tract infections. Pneumonia, gastrointestinal infections (most of which were due to Clostridium difficile [now Clostridioides difficile]), and surgical-site infections were the most common health care-associated infections. Patients' risk of having a health care-associated infection was 16% lower in 2015 than in 2011 (risk ratio, 0.84; 95% CI, 0.74 to 0.95; P=0.005), after adjustment for age, presence of devices, days from admission to survey, and status of being in a large hospital. CONCLUSIONS :The prevalence of health care-associated infections was lower in 2015 than in 2011. To continue to make progress in the prevention of such infections, prevention strategies against C. difficile infection and pneumonia should be augmented.","author":[{"dropping-particle":"","family":"Magill","given":"Shelley S.","non-dropping-particle":"","parse-names":false,"suffix":""},{"dropping-particle":"","family":"O’Leary","given":"Erin","non-dropping-particle":"","parse-names":false,"suffix":""},{"dropping-particle":"","family":"Janelle","given":"Sarah J.","non-dropping-particle":"","parse-names":false,"suffix":""},{"dropping-particle":"","family":"Thompson","given":"Deborah L.","non-dropping-particle":"","parse-names":false,"suffix":""},{"dropping-particle":"","family":"Dumyati","given":"Ghinwa","non-dropping-particle":"","parse-names":false,"suffix":""},{"dropping-particle":"","family":"Nadle","given":"Joelle","non-dropping-particle":"","parse-names":false,"suffix":""},{"dropping-particle":"","family":"Wilson","given":"Lucy E.","non-dropping-particle":"","parse-names":false,"suffix":""},{"dropping-particle":"","family":"Kainer","given":"Marion A.","non-dropping-particle":"","parse-names":false,"suffix":""},{"dropping-particle":"","family":"Lynfield","given":"Ruth","non-dropping-particle":"","parse-names":false,"suffix":""},{"dropping-particle":"","family":"Greissman","given":"Samantha","non-dropping-particle":"","parse-names":false,"suffix":""},{"dropping-particle":"","family":"Ray","given":"Susan M.","non-dropping-particle":"","parse-names":false,"suffix":""},{"dropping-particle":"","family":"Beldavs","given":"Zintars","non-dropping-particle":"","parse-names":false,"suffix":""},{"dropping-particle":"","family":"Gross","given":"Cindy","non-dropping-particle":"","parse-names":false,"suffix":""},{"dropping-particle":"","family":"Bamberg","given":"Wendy","non-dropping-particle":"","parse-names":false,"suffix":""},{"dropping-particle":"","family":"Sievers","given":"Marla","non-dropping-particle":"","parse-names":false,"suffix":""},{"dropping-particle":"","family":"Concannon","given":"Cathleen","non-dropping-particle":"","parse-names":false,"suffix":""},{"dropping-particle":"","family":"Buhr","given":"Nicolai","non-dropping-particle":"","parse-names":false,"suffix":""},{"dropping-particle":"","family":"Warnke","given":"Linn","non-dropping-particle":"","parse-names":false,"suffix":""},{"dropping-particle":"","family":"Maloney","given":"Meghan","non-dropping-particle":"","parse-names":false,"suffix":""},{"dropping-particle":"","family":"Ocampo","given":"Valerie","non-dropping-particle":"","parse-names":false,"suffix":""},{"dropping-particle":"","family":"Brooks","given":"Janet","non-dropping-particle":"","parse-names":false,"suffix":""},{"dropping-particle":"","family":"Oyewumi","given":"Tolulope","non-dropping-particle":"","parse-names":false,"suffix":""},{"dropping-particle":"","family":"Sharmin","given":"Shamima","non-dropping-particle":"","parse-names":false,"suffix":""},{"dropping-particle":"","family":"Richards","given":"Katherine","non-dropping-particle":"","parse-names":false,"suffix":""},{"dropping-particle":"","family":"Rainbow","given":"Jean","non-dropping-particle":"","parse-names":false,"suffix":""},{"dropping-particle":"","family":"Samper","given":"Monika","non-dropping-particle":"","parse-names":false,"suffix":""},{"dropping-particle":"","family":"Hancock","given":"Emily B.","non-dropping-particle":"","parse-names":false,"suffix":""},{"dropping-particle":"","family":"Leaptrot","given":"Denise","non-dropping-particle":"","parse-names":false,"suffix":""},{"dropping-particle":"","family":"Scalise","given":"Eileen","non-dropping-particle":"","parse-names":false,"suffix":""},{"dropping-particle":"","family":"Badrun","given":"Farzana","non-dropping-particle":"","parse-names":false,"suffix":""},{"dropping-particle":"","family":"Phelps","given":"Ruby","non-dropping-particle":"","parse-names":false,"suffix":""},{"dropping-particle":"","family":"Edwards","given":"Jonathan R.","non-dropping-particle":"","parse-names":false,"suffix":""}],"container-title":"New England Journal of Medicine","id":"ITEM-3","issue":"18","issued":{"date-parts":[["2018","11"]]},"page":"1732-1744","publisher":"N Engl J Med","title":"Changes in Prevalence of Health Care–Associated Infections in U.S. Hospitals","type":"article-journal","volume":"379"},"uris":["http://www.mendeley.com/documents/?uuid=f21f4182-677c-335b-bd7a-53f6573e4932"]}],"mendeley":{"formattedCitation":"[29–31]","plainTextFormattedCitation":"[29–31]","previouslyFormattedCitation":"[29–31]"},"properties":{"noteIndex":0},"schema":"https://github.com/citation-style-language/schema/raw/master/csl-citation.json"}</w:instrText>
      </w:r>
      <w:r w:rsidRPr="003F4633">
        <w:rPr>
          <w:rFonts w:eastAsia="Times New Roman" w:cs="Times New Roman"/>
          <w:i/>
          <w:iCs/>
          <w:szCs w:val="24"/>
          <w:lang w:val="en-GB"/>
        </w:rPr>
        <w:fldChar w:fldCharType="separate"/>
      </w:r>
      <w:r w:rsidR="001E7355" w:rsidRPr="001E7355">
        <w:rPr>
          <w:rFonts w:eastAsia="Times New Roman" w:cs="Times New Roman"/>
          <w:iCs/>
          <w:noProof/>
          <w:szCs w:val="24"/>
          <w:lang w:val="en-GB"/>
        </w:rPr>
        <w:t>[29–31]</w:t>
      </w:r>
      <w:r w:rsidRPr="003F4633">
        <w:rPr>
          <w:rFonts w:eastAsia="Times New Roman" w:cs="Times New Roman"/>
          <w:szCs w:val="24"/>
          <w:lang w:val="en"/>
        </w:rPr>
        <w:fldChar w:fldCharType="end"/>
      </w:r>
      <w:r w:rsidRPr="003F4633">
        <w:rPr>
          <w:rFonts w:eastAsia="Times New Roman" w:cs="Times New Roman"/>
          <w:szCs w:val="24"/>
          <w:lang w:val="en-GB"/>
        </w:rPr>
        <w:t xml:space="preserve">. Subsequently, AMR also increases patient morbidity and mortality and harms the global economy </w:t>
      </w:r>
      <w:r w:rsidRPr="003F4633">
        <w:rPr>
          <w:rFonts w:eastAsia="Times New Roman" w:cs="Times New Roman"/>
          <w:szCs w:val="24"/>
          <w:lang w:val="en-GB"/>
        </w:rPr>
        <w:fldChar w:fldCharType="begin" w:fldLock="1"/>
      </w:r>
      <w:r w:rsidR="005E406D">
        <w:rPr>
          <w:rFonts w:eastAsia="Times New Roman" w:cs="Times New Roman"/>
          <w:szCs w:val="24"/>
          <w:lang w:val="en-GB"/>
        </w:rPr>
        <w:instrText>ADDIN CSL_CITATION {"citationItems":[{"id":"ITEM-1","itemData":{"DOI":"10.3390/healthcare11131946","ISSN":"2227-9032","PMID":"37444780","abstract":"Antibiotics are among the most important discoveries of the 20th century, having saved millions of lives from infectious diseases. Microbes have developed acquired antimicrobial resistance (AMR) to many drugs due to high selection pressure from increasing use and misuse of antibiotics over the years. The transmission and acquisition of AMR occur primarily via a human–human interface both within and outside of healthcare facilities. A huge number of interdependent factors related to healthcare and agriculture govern the development of AMR through various drug-resistance mechanisms. The emergence and spread of AMR from the unrestricted use of antimicrobials in livestock feed has been a major contributing factor. The prevalence of antimicrobial-resistant bacteria has attained an incongruous level worldwide and threatens global public health as a silent pandemic, necessitating urgent intervention. Therapeutic options of infections caused by antimicrobial-resistant bacteria are limited, resulting in significant morbidity and mortality with high financial impact. The paucity in discovery and supply of new novel antimicrobials to treat life-threatening infections by resistant pathogens stands in sharp contrast to demand. Immediate interventions to contain AMR include surveillance and monitoring, minimizing over-the-counter antibiotics and antibiotics in food animals, access to quality and affordable medicines, vaccines and diagnostics, and enforcement of legislation. An orchestrated collaborative action within and between multiple national and international organizations is required urgently, otherwise, a postantibiotic era can be a more real possibility than an apocalyptic fantasy for the 21st century. This narrative review highlights on this basis, mechanisms and factors in microbial resistance, and key strategies to combat antimicrobial resistance.","author":[{"dropping-particle":"","family":"Salam","given":"Md. Abdus","non-dropping-particle":"","parse-names":false,"suffix":""},{"dropping-particle":"","family":"Al-Amin","given":"Md. Yusuf","non-dropping-particle":"","parse-names":false,"suffix":""},{"dropping-particle":"","family":"Salam","given":"Moushumi Tabassoom","non-dropping-particle":"","parse-names":false,"suffix":""},{"dropping-particle":"","family":"Pawar","given":"Jogendra Singh","non-dropping-particle":"","parse-names":false,"suffix":""},{"dropping-particle":"","family":"Akhter","given":"Naseem","non-dropping-particle":"","parse-names":false,"suffix":""},{"dropping-particle":"","family":"Rabaan","given":"Ali A.","non-dropping-particle":"","parse-names":false,"suffix":""},{"dropping-particle":"","family":"Alqumber","given":"Mohammed A. A.","non-dropping-particle":"","parse-names":false,"suffix":""}],"container-title":"Healthcare","id":"ITEM-1","issue":"13","issued":{"date-parts":[["2023","7","5"]]},"page":"1946","publisher":"Healthcare (Basel)","title":"Antimicrobial Resistance: A Growing Serious Threat for Global Public Health","type":"article-journal","volume":"11"},"uris":["http://www.mendeley.com/documents/?uuid=feec0c86-f52a-30a1-93ea-d96d47c7a587"]},{"id":"ITEM-2","itemData":{"DOI":"10.1016/S0140-6736(22)02185-7","ISSN":"1474547X","PMID":"36423648","abstract":"Background: Reducing the burden of death due to infection is an urgent global public health priority. Previous studies have estimated the number of deaths associated with drug-resistant infections and sepsis and found that infections remain a leading cause of death globally. Understanding the global burden of common bacterial pathogens (both susceptible and resistant to antimicrobials) is essential to identify the greatest threats to public health. To our knowledge, this is the first study to present global comprehensive estimates of deaths associated with 33 bacterial pathogens across 11 major infectious syndromes. Methods: We estimated deaths associated with 33 bacterial genera or species across 11 infectious syndromes in 2019 using methods from the Global Burden of Diseases, Injuries, and Risk Factors Study (GBD) 2019, in addition to a subset of the input data described in the Global Burden of Antimicrobial Resistance 2019 study. This study included 343 million individual records or isolates covering 11 361 study-location-years. We used three modelling steps to estimate the number of deaths associated with each pathogen: deaths in which infection had a role, the fraction of deaths due to infection that are attributable to a given infectious syndrome, and the fraction of deaths due to an infectious syndrome that are attributable to a given pathogen. Estimates were produced for all ages and for males and females across 204 countries and territories in 2019. 95% uncertainty intervals (UIs) were calculated for final estimates of deaths and infections associated with the 33 bacterial pathogens following standard GBD methods by taking the 2·5th and 97·5th percentiles across 1000 posterior draws for each quantity of interest. Findings: From an estimated 13·7 million (95% UI 10·9–17·1) infection-related deaths in 2019, there were 7·7 million deaths (5·7–10·2) associated with the 33 bacterial pathogens (both resistant and susceptible to antimicrobials) across the 11 infectious syndromes estimated in this study. We estimated deaths associated with the 33 bacterial pathogens to comprise 13·6% (10·2–18·1) of all global deaths and 56·2% (52·1–60·1) of all sepsis-related deaths in 2019. Five leading pathogens—Staphylococcus aureus, Escherichia coli, Streptococcus pneumoniae, Klebsiella pneumoniae, and Pseudomonas aeruginosa—were responsible for 54·9% (52·9–56·9) of deaths among the investigated bacteria. The deadliest infectious syndromes and pathogens varied by l…","author":[{"dropping-particle":"","family":"Ikuta","given":"Kevin S.","non-dropping-particle":"","parse-names":false,"suffix":""},{"dropping-particle":"","family":"Swetschinski","given":"Lucien R.","non-dropping-particle":"","parse-names":false,"suffix":""},{"dropping-particle":"","family":"Robles Aguilar","given":"Gisela","non-dropping-particle":"","parse-names":false,"suffix":""},{"dropping-particle":"","family":"Sharara","given":"Fablina","non-dropping-particle":"","parse-names":false,"suffix":""},{"dropping-particle":"","family":"Mestrovic","given":"Tomislav","non-dropping-particle":"","parse-names":false,"suffix":""},{"dropping-particle":"","family":"Gray","given":"Authia P.","non-dropping-particle":"","parse-names":false,"suffix":""},{"dropping-particle":"","family":"Davis Weaver","given":"Nicole","non-dropping-particle":"","parse-names":false,"suffix":""},{"dropping-particle":"","family":"Wool","given":"Eve E.","non-dropping-particle":"","parse-names":false,"suffix":""},{"dropping-particle":"","family":"Han","given":"Chieh","non-dropping-particle":"","parse-names":false,"suffix":""},{"dropping-particle":"","family":"Gershberg Hayoon","given":"Anna","non-dropping-particle":"","parse-names":false,"suffix":""},{"dropping-particle":"","family":"Aali","given":"Amirali","non-dropping-particle":"","parse-names":false,"suffix":""},{"dropping-particle":"","family":"Abate","given":"Semagn Mekonnen","non-dropping-particle":"","parse-names":false,"suffix":""},{"dropping-particle":"","family":"Abbasi-Kangevari","given":"Mohsen","non-dropping-particle":"","parse-names":false,"suffix":""},{"dropping-particle":"","family":"Abbasi-Kangevari","given":"Zeinab","non-dropping-particle":"","parse-names":false,"suffix":""},{"dropping-particle":"","family":"Abd-Elsalam","given":"Sherief","non-dropping-particle":"","parse-names":false,"suffix":""},{"dropping-particle":"","family":"Abebe","given":"Getachew","non-dropping-particle":"","parse-names":false,"suffix":""},{"dropping-particle":"","family":"Abedi","given":"Aidin","non-dropping-particle":"","parse-names":false,"suffix":""},{"dropping-particle":"","family":"Abhari","given":"Amir Parsa","non-dropping-particle":"","parse-names":false,"suffix":""},{"dropping-particle":"","family":"Abidi","given":"Hassan","non-dropping-particle":"","parse-names":false,"suffix":""},{"dropping-particle":"","family":"Aboagye","given":"Richard Gyan","non-dropping-particle":"","parse-names":false,"suffix":""},{"dropping-particle":"","family":"Absalan","given":"Abdorrahim","non-dropping-particle":"","parse-names":false,"suffix":""},{"dropping-particle":"","family":"Abubaker Ali","given":"Hiwa","non-dropping-particle":"","parse-names":false,"suffix":""},{"dropping-particle":"","family":"Acuna","given":"Juan Manuel","non-dropping-particle":"","parse-names":false,"suffix":""},{"dropping-particle":"","family":"Adane","given":"Tigist Demssew","non-dropping-particle":"","parse-names":false,"suffix":""},{"dropping-particle":"","family":"Addo","given":"Isaac Yeboah","non-dropping-particle":"","parse-names":false,"suffix":""},{"dropping-particle":"","family":"Adegboye","given":"Oyelola A.","non-dropping-particle":"","parse-names":false,"suffix":""},{"dropping-particle":"","family":"Adnan","given":"Mohammad","non-dropping-particle":"","parse-names":false,"suffix":""},{"dropping-particle":"","family":"Adnani","given":"Qorinah Estiningtyas Sakilah","non-dropping-particle":"","parse-names":false,"suffix":""},{"dropping-particle":"","family":"Afzal","given":"Muhammad Sohail","non-dropping-particle":"","parse-names":false,"suffix":""},{"dropping-particle":"","family":"Afzal","given":"Saira","non-dropping-particle":"","parse-names":false,"suffix":""},{"dropping-particle":"","family":"Aghdam","given":"Zahra Babaei","non-dropping-particle":"","parse-names":false,"suffix":""},{"dropping-particle":"","family":"Ahinkorah","given":"Bright Opoku","non-dropping-particle":"","parse-names":false,"suffix":""},{"dropping-particle":"","family":"Ahmad","given":"Aqeel","non-dropping-particle":"","parse-names":false,"suffix":""},{"dropping-particle":"","family":"Ahmad","given":"Araz Ramazan","non-dropping-particle":"","parse-names":false,"suffix":""},{"dropping-particle":"","family":"Ahmad","given":"Rizwan","non-dropping-particle":"","parse-names":false,"suffix":""},{"dropping-particle":"","family":"Ahmad","given":"Sajjad","non-dropping-particle":"","parse-names":false,"suffix":""},{"dropping-particle":"","family":"Ahmad","given":"Sohail","non-dropping-particle":"","parse-names":false,"suffix":""},{"dropping-particle":"","family":"Ahmadi","given":"Sepideh","non-dropping-particle":"","parse-names":false,"suffix":""},{"dropping-particle":"","family":"Ahmed","given":"Ali","non-dropping-particle":"","parse-names":false,"suffix":""},{"dropping-particle":"","family":"Ahmed","given":"Haroon","non-dropping-particle":"","parse-names":false,"suffix":""},{"dropping-particle":"","family":"Ahmed","given":"Jivan Qasim","non-dropping-particle":"","parse-names":false,"suffix":""},{"dropping-particle":"","family":"Ahmed Rashid","given":"Tarik","non-dropping-particle":"","parse-names":false,"suffix":""},{"dropping-particle":"","family":"Ajami","given":"Marjan","non-dropping-particle":"","parse-names":false,"suffix":""},{"dropping-particle":"","family":"Aji","given":"Budi","non-dropping-particle":"","parse-names":false,"suffix":""},{"dropping-particle":"","family":"Akbarzadeh-Khiavi","given":"Mostafa","non-dropping-particle":"","parse-names":false,"suffix":""},{"dropping-particle":"","family":"Akunna","given":"Chisom Joyqueenet","non-dropping-particle":"","parse-names":false,"suffix":""},{"dropping-particle":"","family":"Hamad","given":"Hanadi","non-dropping-particle":"Al","parse-names":false,"suffix":""},{"dropping-particle":"","family":"Alahdab","given":"Fares","non-dropping-particle":"","parse-names":false,"suffix":""},{"dropping-particle":"","family":"Al-Aly","given":"Ziyad","non-dropping-particle":"","parse-names":false,"suffix":""},{"dropping-particle":"","family":"Aldeyab","given":"Mamoon A.","non-dropping-particle":"","parse-names":false,"suffix":""},{"dropping-particle":"V.","family":"Aleman","given":"Alicia","non-dropping-particle":"","parse-names":false,"suffix":""},{"dropping-particle":"","family":"Alhalaiqa","given":"Fadwa Alhalaiqa Naji","non-dropping-particle":"","parse-names":false,"suffix":""},{"dropping-particle":"","family":"Alhassan","given":"Robert Kaba","non-dropping-particle":"","parse-names":false,"suffix":""},{"dropping-particle":"","family":"Ali","given":"Beriwan Abdulqadir","non-dropping-particle":"","parse-names":false,"suffix":""},{"dropping-particle":"","family":"Ali","given":"Liaqat","non-dropping-particle":"","parse-names":false,"suffix":""},{"dropping-particle":"","family":"Ali","given":"Syed Shujait","non-dropping-particle":"","parse-names":false,"suffix":""},{"dropping-particle":"","family":"Alimohamadi","given":"Yousef","non-dropping-particle":"","parse-names":false,"suffix":""},{"dropping-particle":"","family":"Alipour","given":"Vahid","non-dropping-particle":"","parse-names":false,"suffix":""},{"dropping-particle":"","family":"Alizadeh","given":"Atiyeh","non-dropping-particle":"","parse-names":false,"suffix":""},{"dropping-particle":"","family":"Aljunid","given":"Syed Mohamed","non-dropping-particle":"","parse-names":false,"suffix":""},{"dropping-particle":"","family":"Allel","given":"Kasim","non-dropping-particle":"","parse-names":false,"suffix":""},{"dropping-particle":"","family":"Almustanyir","given":"Sami","non-dropping-particle":"","parse-names":false,"suffix":""},{"dropping-particle":"","family":"Ameyaw","given":"Edward Kwabena","non-dropping-particle":"","parse-names":false,"suffix":""},{"dropping-particle":"","family":"Amit","given":"Arianna Maever L.","non-dropping-particle":"","parse-names":false,"suffix":""},{"dropping-particle":"","family":"Anandavelane","given":"Nivedita","non-dropping-particle":"","parse-names":false,"suffix":""},{"dropping-particle":"","family":"Ancuceanu","given":"Robert","non-dropping-particle":"","parse-names":false,"suffix":""},{"dropping-particle":"","family":"Andrei","given":"Catalina Liliana","non-dropping-particle":"","parse-names":false,"suffix":""},{"dropping-particle":"","family":"Andrei","given":"Tudorel","non-dropping-particle":"","parse-names":false,"suffix":""},{"dropping-particle":"","family":"Anggraini","given":"Dewi","non-dropping-particle":"","parse-names":false,"suffix":""},{"dropping-particle":"","family":"Ansar","given":"Adnan","non-dropping-particle":"","parse-names":false,"suffix":""},{"dropping-particle":"","family":"Anyasodor","given":"Anayochukwu Edward","non-dropping-particle":"","parse-names":false,"suffix":""},{"dropping-particle":"","family":"Arabloo","given":"Jalal","non-dropping-particle":"","parse-names":false,"suffix":""},{"dropping-particle":"","family":"Aravkin","given":"Aleksandr Y.","non-dropping-particle":"","parse-names":false,"suffix":""},{"dropping-particle":"","family":"Areda","given":"Demelash","non-dropping-particle":"","parse-names":false,"suffix":""},{"dropping-particle":"","family":"Aripov","given":"Timur","non-dropping-particle":"","parse-names":false,"suffix":""},{"dropping-particle":"","family":"Artamonov","given":"Anton A.","non-dropping-particle":"","parse-names":false,"suffix":""},{"dropping-particle":"","family":"Arulappan","given":"Judie","non-dropping-particle":"","parse-names":false,"suffix":""},{"dropping-particle":"","family":"Aruleba","given":"Raphael Taiwo","non-dropping-particle":"","parse-names":false,"suffix":""},{"dropping-particle":"","family":"Asaduzzaman","given":"Muhammad","non-dropping-particle":"","parse-names":false,"suffix":""},{"dropping-particle":"","family":"Ashraf","given":"Tahira","non-dropping-particle":"","parse-names":false,"suffix":""},{"dropping-particle":"","family":"Athari","given":"Seyyed Shamsadin","non-dropping-particle":"","parse-names":false,"suffix":""},{"dropping-particle":"","family":"Atlaw","given":"Daniel","non-dropping-particle":"","parse-names":false,"suffix":""},{"dropping-particle":"","family":"Attia","given":"Sameh","non-dropping-particle":"","parse-names":false,"suffix":""},{"dropping-particle":"","family":"Ausloos","given":"Marcel","non-dropping-particle":"","parse-names":false,"suffix":""},{"dropping-particle":"","family":"Awoke","given":"Tewachew","non-dropping-particle":"","parse-names":false,"suffix":""},{"dropping-particle":"","family":"Ayala Quintanilla","given":"Beatriz Paulina","non-dropping-particle":"","parse-names":false,"suffix":""},{"dropping-particle":"","family":"Ayana","given":"Tegegn Mulatu","non-dropping-particle":"","parse-names":false,"suffix":""},{"dropping-particle":"","family":"Azadnajafabad","given":"Sina","non-dropping-particle":"","parse-names":false,"suffix":""},{"dropping-particle":"","family":"Azari Jafari","given":"Amirhossein","non-dropping-particle":"","parse-names":false,"suffix":""},{"dropping-particle":"","family":"B","given":"Darshan B.","non-dropping-particle":"","parse-names":false,"suffix":""},{"dropping-particle":"","family":"Badar","given":"Muhammad","non-dropping-particle":"","parse-names":false,"suffix":""},{"dropping-particle":"","family":"Badiye","given":"Ashish D.","non-dropping-particle":"","parse-names":false,"suffix":""},{"dropping-particle":"","family":"Baghcheghi","given":"Nayereh","non-dropping-particle":"","parse-names":false,"suffix":""},{"dropping-particle":"","family":"Bagherieh","given":"Sara","non-dropping-particle":"","parse-names":false,"suffix":""},{"dropping-particle":"","family":"Baig","given":"Atif Amin","non-dropping-particle":"","parse-names":false,"suffix":""},{"dropping-particle":"","family":"Banerjee","given":"Indrajit","non-dropping-particle":"","parse-names":false,"suffix":""},{"dropping-particle":"","family":"Barac","given":"Aleksandra","non-dropping-particle":"","parse-names":false,"suffix":""},{"dropping-particle":"","family":"Bardhan","given":"Mainak","non-dropping-particle":"","parse-names":false,"suffix":""},{"dropping-particle":"","family":"Barone-Adesi","given":"Francesco","non-dropping-particle":"","parse-names":false,"suffix":""},{"dropping-particle":"","family":"Barqawi","given":"Hiba Jawdat","non-dropping-particle":"","parse-names":false,"suffix":""},{"dropping-particle":"","family":"Barrow","given":"Amadou","non-dropping-particle":"","parse-names":false,"suffix":""},{"dropping-particle":"","family":"Baskaran","given":"Pritish","non-dropping-particle":"","parse-names":false,"suffix":""},{"dropping-particle":"","family":"Basu","given":"Saurav","non-dropping-particle":"","parse-names":false,"suffix":""},{"dropping-particle":"","family":"Batiha","given":"Abdul Monim Mohammad","non-dropping-particle":"","parse-names":false,"suffix":""},{"dropping-particle":"","family":"Bedi","given":"Neeraj","non-dropping-particle":"","parse-names":false,"suffix":""},{"dropping-particle":"","family":"Belete","given":"Melaku Ashagrie","non-dropping-particle":"","parse-names":false,"suffix":""},{"dropping-particle":"","family":"Belgaumi","given":"Uzma Iqbal","non-dropping-particle":"","parse-names":false,"suffix":""},{"dropping-particle":"","family":"Bender","given":"Rose G.","non-dropping-particle":"","parse-names":false,"suffix":""},{"dropping-particle":"","family":"Bhandari","given":"Bharti","non-dropping-particle":"","parse-names":false,"suffix":""},{"dropping-particle":"","family":"Bhandari","given":"Dinesh","non-dropping-particle":"","parse-names":false,"suffix":""},{"dropping-particle":"","family":"Bhardwaj","given":"Pankaj","non-dropping-particle":"","parse-names":false,"suffix":""},{"dropping-particle":"","family":"Bhaskar","given":"Sonu","non-dropping-particle":"","parse-names":false,"suffix":""},{"dropping-particle":"","family":"Bhattacharyya","given":"Krittika","non-dropping-particle":"","parse-names":false,"suffix":""},{"dropping-particle":"","family":"Bhattarai","given":"Suraj","non-dropping-particle":"","parse-names":false,"suffix":""},{"dropping-particle":"","family":"Bitaraf","given":"Saeid","non-dropping-particle":"","parse-names":false,"suffix":""},{"dropping-particle":"","family":"Buonsenso","given":"Danilo","non-dropping-particle":"","parse-names":false,"suffix":""},{"dropping-particle":"","family":"Butt","given":"Zahid A.","non-dropping-particle":"","parse-names":false,"suffix":""},{"dropping-particle":"","family":"Caetano dos Santos","given":"Florentino Luciano","non-dropping-particle":"","parse-names":false,"suffix":""},{"dropping-particle":"","family":"Cai","given":"Jiao","non-dropping-particle":"","parse-names":false,"suffix":""},{"dropping-particle":"","family":"Calina","given":"Daniela","non-dropping-particle":"","parse-names":false,"suffix":""},{"dropping-particle":"","family":"Camargos","given":"Paulo","non-dropping-particle":"","parse-names":false,"suffix":""},{"dropping-particle":"","family":"Cámera","given":"Luis Alberto","non-dropping-particle":"","parse-names":false,"suffix":""},{"dropping-particle":"","family":"Cárdenas","given":"Rosario","non-dropping-particle":"","parse-names":false,"suffix":""},{"dropping-particle":"","family":"Cevik","given":"Muge","non-dropping-particle":"","parse-names":false,"suffix":""},{"dropping-particle":"","family":"Chadwick","given":"Joshua","non-dropping-particle":"","parse-names":false,"suffix":""},{"dropping-particle":"","family":"Charan","given":"Jaykaran","non-dropping-particle":"","parse-names":false,"suffix":""},{"dropping-particle":"","family":"Chaurasia","given":"Akhilanand","non-dropping-particle":"","parse-names":false,"suffix":""},{"dropping-particle":"","family":"Ching","given":"Patrick R.","non-dropping-particle":"","parse-names":false,"suffix":""},{"dropping-particle":"","family":"Choudhari","given":"Sonali Gajanan","non-dropping-particle":"","parse-names":false,"suffix":""},{"dropping-particle":"","family":"Chowdhury","given":"Enayet Karim","non-dropping-particle":"","parse-names":false,"suffix":""},{"dropping-particle":"","family":"Chowdhury","given":"Fazle Rabbi","non-dropping-particle":"","parse-names":false,"suffix":""},{"dropping-particle":"","family":"Chu","given":"Dinh Toi","non-dropping-particle":"","parse-names":false,"suffix":""},{"dropping-particle":"","family":"Chukwu","given":"Isaac Sunday","non-dropping-particle":"","parse-names":false,"suffix":""},{"dropping-particle":"","family":"Dadras","given":"Omid","non-dropping-particle":"","parse-names":false,"suffix":""},{"dropping-particle":"","family":"Dagnaw","given":"Fentaw Teshome","non-dropping-particle":"","parse-names":false,"suffix":""},{"dropping-particle":"","family":"Dai","given":"Xiaochen","non-dropping-particle":"","parse-names":false,"suffix":""},{"dropping-particle":"","family":"Das","given":"Saswati","non-dropping-particle":"","parse-names":false,"suffix":""},{"dropping-particle":"","family":"Dastiridou","given":"Anna","non-dropping-particle":"","parse-names":false,"suffix":""},{"dropping-particle":"","family":"Debela","given":"Sisay Abebe","non-dropping-particle":"","parse-names":false,"suffix":""},{"dropping-particle":"","family":"Demisse","given":"Fitsum Wolde","non-dropping-particle":"","parse-names":false,"suffix":""},{"dropping-particle":"","family":"Demissie","given":"Solomon","non-dropping-particle":"","parse-names":false,"suffix":""},{"dropping-particle":"","family":"Dereje","given":"Diriba","non-dropping-particle":"","parse-names":false,"suffix":""},{"dropping-particle":"","family":"Derese","given":"Msganaw","non-dropping-particle":"","parse-names":false,"suffix":""},{"dropping-particle":"","family":"Desai","given":"Hardik Dineshbhai","non-dropping-particle":"","parse-names":false,"suffix":""},{"dropping-particle":"","family":"Dessalegn","given":"Fikadu Nugusu","non-dropping-particle":"","parse-names":false,"suffix":""},{"dropping-particle":"","family":"Dessalegni","given":"Samuel Abebe A.","non-dropping-particle":"","parse-names":false,"suffix":""},{"dropping-particle":"","family":"Desye","given":"Belay","non-dropping-particle":"","parse-names":false,"suffix":""},{"dropping-particle":"","family":"Dhaduk","given":"Kartik","non-dropping-particle":"","parse-names":false,"suffix":""},{"dropping-particle":"","family":"Dhimal","given":"Meghnath","non-dropping-particle":"","parse-names":false,"suffix":""},{"dropping-particle":"","family":"Dhingra","given":"Sameer","non-dropping-particle":"","parse-names":false,"suffix":""},{"dropping-particle":"","family":"Diao","given":"Nancy","non-dropping-particle":"","parse-names":false,"suffix":""},{"dropping-particle":"","family":"Diaz","given":"Daniel","non-dropping-particle":"","parse-names":false,"suffix":""},{"dropping-particle":"","family":"Djalalinia","given":"Shirin","non-dropping-particle":"","parse-names":false,"suffix":""},{"dropping-particle":"","family":"Dodangeh","given":"Milad","non-dropping-particle":"","parse-names":false,"suffix":""},{"dropping-particle":"","family":"Dongarwar","given":"Deepa","non-dropping-particle":"","parse-names":false,"suffix":""},{"dropping-particle":"","family":"Dora","given":"Bezabih Terefe","non-dropping-particle":"","parse-names":false,"suffix":""},{"dropping-particle":"","family":"Dorostkar","given":"Fariba","non-dropping-particle":"","parse-names":false,"suffix":""},{"dropping-particle":"","family":"Dsouza","given":"Haneil Larson","non-dropping-particle":"","parse-names":false,"suffix":""},{"dropping-particle":"","family":"Dubljanin","given":"Eleonora","non-dropping-particle":"","parse-names":false,"suffix":""},{"dropping-particle":"","family":"Dunachie","given":"Susanna J.","non-dropping-particle":"","parse-names":false,"suffix":""},{"dropping-particle":"","family":"Durojaiye","given":"Oyewole Christopher","non-dropping-particle":"","parse-names":false,"suffix":""},{"dropping-particle":"","family":"Edinur","given":"Hisham Atan","non-dropping-particle":"","parse-names":false,"suffix":""},{"dropping-particle":"","family":"Ejigu","given":"Habtamu Bekele","non-dropping-particle":"","parse-names":false,"suffix":""},{"dropping-particle":"","family":"Ekholuenetale","given":"Michael","non-dropping-particle":"","parse-names":false,"suffix":""},{"dropping-particle":"","family":"Ekundayo","given":"Temitope Cyrus","non-dropping-particle":"","parse-names":false,"suffix":""},{"dropping-particle":"","family":"El-Abid","given":"Hassan","non-dropping-particle":"","parse-names":false,"suffix":""},{"dropping-particle":"","family":"Elhadi","given":"Muhammed","non-dropping-particle":"","parse-names":false,"suffix":""},{"dropping-particle":"","family":"Elmonem","given":"Mohamed A.","non-dropping-particle":"","parse-names":false,"suffix":""},{"dropping-particle":"","family":"Emami","given":"Amir","non-dropping-particle":"","parse-names":false,"suffix":""},{"dropping-particle":"","family":"Engelbert Bain","given":"Luchuo","non-dropping-particle":"","parse-names":false,"suffix":""},{"dropping-particle":"","family":"Enyew","given":"Daniel Berhanie","non-dropping-particle":"","parse-names":false,"suffix":""},{"dropping-particle":"","family":"Erkhembayar","given":"Ryenchindorj","non-dropping-particle":"","parse-names":false,"suffix":""},{"dropping-particle":"","family":"Eshrati","given":"Babak","non-dropping-particle":"","parse-names":false,"suffix":""},{"dropping-particle":"","family":"Etaee","given":"Farshid","non-dropping-particle":"","parse-names":false,"suffix":""},{"dropping-particle":"","family":"Fagbamigbe","given":"Adeniyi Francis","non-dropping-particle":"","parse-names":false,"suffix":""},{"dropping-particle":"","family":"Falahi","given":"Shahab","non-dropping-particle":"","parse-names":false,"suffix":""},{"dropping-particle":"","family":"Fallahzadeh","given":"Aida","non-dropping-particle":"","parse-names":false,"suffix":""},{"dropping-particle":"","family":"Faraon","given":"Emerito Jose A.","non-dropping-particle":"","parse-names":false,"suffix":""},{"dropping-particle":"","family":"Fatehizadeh","given":"Ali","non-dropping-particle":"","parse-names":false,"suffix":""},{"dropping-particle":"","family":"Fekadu","given":"Ginenus","non-dropping-particle":"","parse-names":false,"suffix":""},{"dropping-particle":"","family":"Fernandes","given":"João C.","non-dropping-particle":"","parse-names":false,"suffix":""},{"dropping-particle":"","family":"Ferrari","given":"Allegra","non-dropping-particle":"","parse-names":false,"suffix":""},{"dropping-particle":"","family":"Fetensa","given":"Getahun","non-dropping-particle":"","parse-names":false,"suffix":""},{"dropping-particle":"","family":"Filip","given":"Irina","non-dropping-particle":"","parse-names":false,"suffix":""},{"dropping-particle":"","family":"Fischer","given":"Florian","non-dropping-particle":"","parse-names":false,"suffix":""},{"dropping-particle":"","family":"Foroutan","given":"Masoud","non-dropping-particle":"","parse-names":false,"suffix":""},{"dropping-particle":"","family":"Gaal","given":"Peter Andras","non-dropping-particle":"","parse-names":false,"suffix":""},{"dropping-particle":"","family":"Gadanya","given":"Muktar A.","non-dropping-particle":"","parse-names":false,"suffix":""},{"dropping-particle":"","family":"Gaidhane","given":"Abhay Motiramji","non-dropping-particle":"","parse-names":false,"suffix":""},{"dropping-particle":"","family":"Ganesan","given":"Balasankar","non-dropping-particle":"","parse-names":false,"suffix":""},{"dropping-particle":"","family":"Gebrehiwot","given":"Mesfin","non-dropping-particle":"","parse-names":false,"suffix":""},{"dropping-particle":"","family":"Ghanbari","given":"Reza","non-dropping-particle":"","parse-names":false,"suffix":""},{"dropping-particle":"","family":"Ghasemi Nour","given":"Mohammad","non-dropping-particle":"","parse-names":false,"suffix":""},{"dropping-particle":"","family":"Ghashghaee","given":"Ahmad","non-dropping-particle":"","parse-names":false,"suffix":""},{"dropping-particle":"","family":"Gholamrezanezhad","given":"Ali","non-dropping-particle":"","parse-names":false,"suffix":""},{"dropping-particle":"","family":"Gholizadeh","given":"Abdolmajid","non-dropping-particle":"","parse-names":false,"suffix":""},{"dropping-particle":"","family":"Golechha","given":"Mahaveer","non-dropping-particle":"","parse-names":false,"suffix":""},{"dropping-particle":"","family":"Goleij","given":"Pouya","non-dropping-particle":"","parse-names":false,"suffix":""},{"dropping-particle":"","family":"Golinelli","given":"Davide","non-dropping-particle":"","parse-names":false,"suffix":""},{"dropping-particle":"","family":"Goodridge","given":"Amador","non-dropping-particle":"","parse-names":false,"suffix":""},{"dropping-particle":"","family":"Gunawardane","given":"Damitha Asanga","non-dropping-particle":"","parse-names":false,"suffix":""},{"dropping-particle":"","family":"Guo","given":"Yuming","non-dropping-particle":"","parse-names":false,"suffix":""},{"dropping-particle":"Das","family":"Gupta","given":"Rajat","non-dropping-particle":"","parse-names":false,"suffix":""},{"dropping-particle":"","family":"Gupta","given":"Sapna","non-dropping-particle":"","parse-names":false,"suffix":""},{"dropping-particle":"","family":"Gupta","given":"Veer Bala","non-dropping-particle":"","parse-names":false,"suffix":""},{"dropping-particle":"","family":"Gupta","given":"Vivek Kumar","non-dropping-particle":"","parse-names":false,"suffix":""},{"dropping-particle":"","family":"Guta","given":"Alemu","non-dropping-particle":"","parse-names":false,"suffix":""},{"dropping-particle":"","family":"Habibzadeh","given":"Parham","non-dropping-particle":"","parse-names":false,"suffix":""},{"dropping-particle":"","family":"Haddadi Avval","given":"Atlas","non-dropping-particle":"","parse-names":false,"suffix":""},{"dropping-particle":"","family":"Halwani","given":"Rabih","non-dropping-particle":"","parse-names":false,"suffix":""},{"dropping-particle":"","family":"Hanif","given":"Asif","non-dropping-particle":"","parse-names":false,"suffix":""},{"dropping-particle":"","family":"Hannan","given":"Md Abdul","non-dropping-particle":"","parse-names":false,"suffix":""},{"dropping-particle":"","family":"Harapan","given":"Harapan","non-dropping-particle":"","parse-names":false,"suffix":""},{"dropping-particle":"","family":"Hassan","given":"Shoaib","non-dropping-particle":"","parse-names":false,"suffix":""},{"dropping-particle":"","family":"Hassankhani","given":"Hadi","non-dropping-particle":"","parse-names":false,"suffix":""},{"dropping-particle":"","family":"Hayat","given":"Khezar","non-dropping-particle":"","parse-names":false,"suffix":""},{"dropping-particle":"","family":"Heibati","given":"Behzad","non-dropping-particle":"","parse-names":false,"suffix":""},{"dropping-particle":"","family":"Heidari","given":"Golnaz","non-dropping-particle":"","parse-names":false,"suffix":""},{"dropping-particle":"","family":"Heidari","given":"Mohammad","non-dropping-particle":"","parse-names":false,"suffix":""},{"dropping-particle":"","family":"Heidari-Soureshjani","given":"Reza","non-dropping-particle":"","parse-names":false,"suffix":""},{"dropping-particle":"","family":"Herteliu","given":"Claudiu","non-dropping-particle":"","parse-names":false,"suffix":""},{"dropping-particle":"","family":"Heyi","given":"Demisu Zenbaba","non-dropping-particle":"","parse-names":false,"suffix":""},{"dropping-particle":"","family":"Hezam","given":"Kamal","non-dropping-particle":"","parse-names":false,"suffix":""},{"dropping-particle":"","family":"Hoogar","given":"Praveen","non-dropping-particle":"","parse-names":false,"suffix":""},{"dropping-particle":"","family":"Horita","given":"Nobuyuki","non-dropping-particle":"","parse-names":false,"suffix":""},{"dropping-particle":"","family":"Hossain","given":"Md Mahbub","non-dropping-particle":"","parse-names":false,"suffix":""},{"dropping-particle":"","family":"Hosseinzadeh","given":"Mehdi","non-dropping-particle":"","parse-names":false,"suffix":""},{"dropping-particle":"","family":"Hostiuc","given":"Mihaela","non-dropping-particle":"","parse-names":false,"suffix":""},{"dropping-particle":"","family":"Hostiuc","given":"Sorin","non-dropping-particle":"","parse-names":false,"suffix":""},{"dropping-particle":"","family":"Hoveidamanesh","given":"Soodabeh","non-dropping-particle":"","parse-names":false,"suffix":""},{"dropping-particle":"","family":"Huang","given":"Junjie","non-dropping-particle":"","parse-names":false,"suffix":""},{"dropping-particle":"","family":"Hussain","given":"Salman","non-dropping-particle":"","parse-names":false,"suffix":""},{"dropping-particle":"","family":"Hussein","given":"Nawfal R.","non-dropping-particle":"","parse-names":false,"suffix":""},{"dropping-particle":"","family":"Ibitoye","given":"Segun Emmanuel","non-dropping-particle":"","parse-names":false,"suffix":""},{"dropping-particle":"","family":"Ilesanmi","given":"Olayinka Stephen","non-dropping-particle":"","parse-names":false,"suffix":""},{"dropping-particle":"","family":"Ilic","given":"Irena M.","non-dropping-particle":"","parse-names":false,"suffix":""},{"dropping-particle":"","family":"Ilic","given":"Milena D.","non-dropping-particle":"","parse-names":false,"suffix":""},{"dropping-particle":"","family":"Imam","given":"Mohammad Tarique","non-dropping-particle":"","parse-names":false,"suffix":""},{"dropping-particle":"","family":"Immurana","given":"Mustapha","non-dropping-particle":"","parse-names":false,"suffix":""},{"dropping-particle":"","family":"Inbaraj","given":"Leeberk Raja","non-dropping-particle":"","parse-names":false,"suffix":""},{"dropping-particle":"","family":"Iradukunda","given":"Arnaud","non-dropping-particle":"","parse-names":false,"suffix":""},{"dropping-particle":"","family":"Ismail","given":"Nahlah Elkudssiah","non-dropping-particle":"","parse-names":false,"suffix":""},{"dropping-particle":"","family":"Iwu","given":"Chidozie C.D.","non-dropping-particle":"","parse-names":false,"suffix":""},{"dropping-particle":"","family":"Iwu","given":"Chinwe Juliana","non-dropping-particle":"","parse-names":false,"suffix":""},{"dropping-particle":"","family":"J","given":"Linda Merin","non-dropping-particle":"","parse-names":false,"suffix":""},{"dropping-particle":"","family":"Jakovljevic","given":"Mihajlo","non-dropping-particle":"","parse-names":false,"suffix":""},{"dropping-particle":"","family":"Jamshidi","given":"Elham","non-dropping-particle":"","parse-names":false,"suffix":""},{"dropping-particle":"","family":"Javaheri","given":"Tahereh","non-dropping-particle":"","parse-names":false,"suffix":""},{"dropping-particle":"","family":"Javanmardi","given":"Fatemeh","non-dropping-particle":"","parse-names":false,"suffix":""},{"dropping-particle":"","family":"Javidnia","given":"Javad","non-dropping-particle":"","parse-names":false,"suffix":""},{"dropping-particle":"","family":"Jayapal","given":"Sathish Kumar","non-dropping-particle":"","parse-names":false,"suffix":""},{"dropping-particle":"","family":"Jayarajah","given":"Umesh","non-dropping-particle":"","parse-names":false,"suffix":""},{"dropping-particle":"","family":"Jebai","given":"Rime","non-dropping-particle":"","parse-names":false,"suffix":""},{"dropping-particle":"","family":"Jha","given":"Ravi Prakash","non-dropping-particle":"","parse-names":false,"suffix":""},{"dropping-particle":"","family":"Joo","given":"Tamas","non-dropping-particle":"","parse-names":false,"suffix":""},{"dropping-particle":"","family":"Joseph","given":"Nitin","non-dropping-particle":"","parse-names":false,"suffix":""},{"dropping-particle":"","family":"Joukar","given":"Farahnaz","non-dropping-particle":"","parse-names":false,"suffix":""},{"dropping-particle":"","family":"Jozwiak","given":"Jacek Jerzy","non-dropping-particle":"","parse-names":false,"suffix":""},{"dropping-particle":"","family":"Kacimi","given":"Salah Eddine Oussama","non-dropping-particle":"","parse-names":false,"suffix":""},{"dropping-particle":"","family":"Kadashetti","given":"Vidya","non-dropping-particle":"","parse-names":false,"suffix":""},{"dropping-particle":"","family":"Kalankesh","given":"Laleh R.","non-dropping-particle":"","parse-names":false,"suffix":""},{"dropping-particle":"","family":"Kalhor","given":"Rohollah","non-dropping-particle":"","parse-names":false,"suffix":""},{"dropping-particle":"","family":"Kamal","given":"Vineet Kumar","non-dropping-particle":"","parse-names":false,"suffix":""},{"dropping-particle":"","family":"Kandel","given":"Himal","non-dropping-particle":"","parse-names":false,"suffix":""},{"dropping-particle":"","family":"Kapoor","given":"Neeti","non-dropping-particle":"","parse-names":false,"suffix":""},{"dropping-particle":"","family":"Karkhah","given":"Samad","non-dropping-particle":"","parse-names":false,"suffix":""},{"dropping-particle":"","family":"Kassa","given":"Bekalu Getnet","non-dropping-particle":"","parse-names":false,"suffix":""},{"dropping-particle":"","family":"Kassebaum","given":"Nicholas J.","non-dropping-particle":"","parse-names":false,"suffix":""},{"dropping-particle":"","family":"Katoto","given":"Patrick DMC","non-dropping-particle":"","parse-names":false,"suffix":""},{"dropping-particle":"","family":"Keykhaei","given":"Mohammad","non-dropping-particle":"","parse-names":false,"suffix":""},{"dropping-particle":"","family":"Khajuria","given":"Himanshu","non-dropping-particle":"","parse-names":false,"suffix":""},{"dropping-particle":"","family":"Khan","given":"Abbas","non-dropping-particle":"","parse-names":false,"suffix":""},{"dropping-particle":"","family":"Khan","given":"Imteyaz A.","non-dropping-particle":"","parse-names":false,"suffix":""},{"dropping-particle":"","family":"Khan","given":"Maseer","non-dropping-particle":"","parse-names":false,"suffix":""},{"dropping-particle":"","family":"Khan","given":"Md Nuruzzaman","non-dropping-particle":"","parse-names":false,"suffix":""},{"dropping-particle":"","family":"Khan","given":"Moien AB","non-dropping-particle":"","parse-names":false,"suffix":""},{"dropping-particle":"","family":"Khatatbeh","given":"Moawiah Mohammad","non-dropping-particle":"","parse-names":false,"suffix":""},{"dropping-particle":"","family":"Khater","given":"Mona M.","non-dropping-particle":"","parse-names":false,"suffix":""},{"dropping-particle":"","family":"Khayat Kashani","given":"Hamid Reza","non-dropping-particle":"","parse-names":false,"suffix":""},{"dropping-particle":"","family":"Khubchandani","given":"Jagdish","non-dropping-particle":"","parse-names":false,"suffix":""},{"dropping-particle":"","family":"Kim","given":"Hanna","non-dropping-particle":"","parse-names":false,"suffix":""},{"dropping-particle":"","family":"Kim","given":"Min Seo","non-dropping-particle":"","parse-names":false,"suffix":""},{"dropping-particle":"","family":"Kimokoti","given":"Ruth W.","non-dropping-particle":"","parse-names":false,"suffix":""},{"dropping-particle":"","family":"Kissoon","given":"Niranjan","non-dropping-particle":"","parse-names":false,"suffix":""},{"dropping-particle":"","family":"Kochhar","given":"Sonali","non-dropping-particle":"","parse-names":false,"suffix":""},{"dropping-particle":"","family":"Kompani","given":"Farzad","non-dropping-particle":"","parse-names":false,"suffix":""},{"dropping-particle":"","family":"Kosen","given":"Soewarta","non-dropping-particle":"","parse-names":false,"suffix":""},{"dropping-particle":"","family":"Koul","given":"Parvaiz A.","non-dropping-particle":"","parse-names":false,"suffix":""},{"dropping-particle":"","family":"Koulmane Laxminarayana","given":"Sindhura Lakshmi","non-dropping-particle":"","parse-names":false,"suffix":""},{"dropping-particle":"","family":"Krapp Lopez","given":"Fiorella","non-dropping-particle":"","parse-names":false,"suffix":""},{"dropping-particle":"","family":"Krishan","given":"Kewal","non-dropping-particle":"","parse-names":false,"suffix":""},{"dropping-particle":"","family":"Krishnamoorthy","given":"Vijay","non-dropping-particle":"","parse-names":false,"suffix":""},{"dropping-particle":"","family":"Kulkarni","given":"Vishnutheertha","non-dropping-particle":"","parse-names":false,"suffix":""},{"dropping-particle":"","family":"Kumar","given":"Naveen","non-dropping-particle":"","parse-names":false,"suffix":""},{"dropping-particle":"","family":"Kurmi","given":"Om P.","non-dropping-particle":"","parse-names":false,"suffix":""},{"dropping-particle":"","family":"Kuttikkattu","given":"Ambily","non-dropping-particle":"","parse-names":false,"suffix":""},{"dropping-particle":"","family":"Kyu","given":"Hmwe Hmwe","non-dropping-particle":"","parse-names":false,"suffix":""},{"dropping-particle":"","family":"Lal","given":"Dharmesh Kumar","non-dropping-particle":"","parse-names":false,"suffix":""},{"dropping-particle":"","family":"Lám","given":"Judit","non-dropping-particle":"","parse-names":false,"suffix":""},{"dropping-particle":"","family":"Landires","given":"Iván","non-dropping-particle":"","parse-names":false,"suffix":""},{"dropping-particle":"","family":"Lasrado","given":"Savita","non-dropping-particle":"","parse-names":false,"suffix":""},{"dropping-particle":"","family":"Lee","given":"Sang woong","non-dropping-particle":"","parse-names":false,"suffix":""},{"dropping-particle":"","family":"Lenzi","given":"Jacopo","non-dropping-particle":"","parse-names":false,"suffix":""},{"dropping-particle":"","family":"Lewycka","given":"Sonia","non-dropping-particle":"","parse-names":false,"suffix":""},{"dropping-particle":"","family":"Li","given":"Shanshan","non-dropping-particle":"","parse-names":false,"suffix":""},{"dropping-particle":"","family":"Lim","given":"Stephen S.","non-dropping-particle":"","parse-names":false,"suffix":""},{"dropping-particle":"","family":"Liu","given":"Wei","non-dropping-particle":"","parse-names":false,"suffix":""},{"dropping-particle":"","family":"Lodha","given":"Rakesh","non-dropping-particle":"","parse-names":false,"suffix":""},{"dropping-particle":"","family":"Loftus","given":"Michael J.","non-dropping-particle":"","parse-names":false,"suffix":""},{"dropping-particle":"","family":"Lohiya","given":"Ayush","non-dropping-particle":"","parse-names":false,"suffix":""},{"dropping-particle":"","family":"Lorenzovici","given":"László","non-dropping-particle":"","parse-names":false,"suffix":""},{"dropping-particle":"","family":"Lotfi","given":"Mojgan","non-dropping-particle":"","parse-names":false,"suffix":""},{"dropping-particle":"","family":"Mahmoodpoor","given":"Ata","non-dropping-particle":"","parse-names":false,"suffix":""},{"dropping-particle":"","family":"Mahmoud","given":"Mansour Adam","non-dropping-particle":"","parse-names":false,"suffix":""},{"dropping-particle":"","family":"Mahmoudi","given":"Razzagh","non-dropping-particle":"","parse-names":false,"suffix":""},{"dropping-particle":"","family":"Majeed","given":"Azeem","non-dropping-particle":"","parse-names":false,"suffix":""},{"dropping-particle":"","family":"Majidpoor","given":"Jamal","non-dropping-particle":"","parse-names":false,"suffix":""},{"dropping-particle":"","family":"Makki","given":"Alaa","non-dropping-particle":"","parse-names":false,"suffix":""},{"dropping-particle":"","family":"Mamo","given":"Galana Ayana","non-dropping-particle":"","parse-names":false,"suffix":""},{"dropping-particle":"","family":"Manla","given":"Yosef","non-dropping-particle":"","parse-names":false,"suffix":""},{"dropping-particle":"","family":"Martorell","given":"Miquel","non-dropping-particle":"","parse-names":false,"suffix":""},{"dropping-particle":"","family":"Matei","given":"Clara N.","non-dropping-particle":"","parse-names":false,"suffix":""},{"dropping-particle":"","family":"McManigal","given":"Barney","non-dropping-particle":"","parse-names":false,"suffix":""},{"dropping-particle":"","family":"Mehrabi Nasab","given":"Entezar","non-dropping-particle":"","parse-names":false,"suffix":""},{"dropping-particle":"","family":"Mehrotra","given":"Ravi","non-dropping-particle":"","parse-names":false,"suffix":""},{"dropping-particle":"","family":"Melese","given":"Addisu","non-dropping-particle":"","parse-names":false,"suffix":""},{"dropping-particle":"","family":"Mendoza-Cano","given":"Oliver","non-dropping-particle":"","parse-names":false,"suffix":""},{"dropping-particle":"","family":"Menezes","given":"Ritesh G.","non-dropping-particle":"","parse-names":false,"suffix":""},{"dropping-particle":"","family":"Mentis","given":"Alexios Fotios A.","non-dropping-particle":"","parse-names":false,"suffix":""},{"dropping-particle":"","family":"Micha","given":"Georgia","non-dropping-particle":"","parse-names":false,"suffix":""},{"dropping-particle":"","family":"Michalek","given":"Irmina Maria","non-dropping-particle":"","parse-names":false,"suffix":""},{"dropping-particle":"","family":"Micheletti Gomide Nogueira de Sá","given":"Ana Carolina","non-dropping-particle":"","parse-names":false,"suffix":""},{"dropping-particle":"","family":"Milevska Kostova","given":"Neda","non-dropping-particle":"","parse-names":false,"suffix":""},{"dropping-particle":"","family":"Mir","given":"Shabir Ahmad","non-dropping-particle":"","parse-names":false,"suffix":""},{"dropping-particle":"","family":"Mirghafourvand","given":"Mojgan","non-dropping-particle":"","parse-names":false,"suffix":""},{"dropping-particle":"","family":"Mirmoeeni","given":"Seyyedmohammadsadeq","non-dropping-particle":"","parse-names":false,"suffix":""},{"dropping-particle":"","family":"Mirrakhimov","given":"Erkin M.","non-dropping-particle":"","parse-names":false,"suffix":""},{"dropping-particle":"","family":"Mirza-Aghazadeh-Attari","given":"Mohammad","non-dropping-particle":"","parse-names":false,"suffix":""},{"dropping-particle":"","family":"Misganaw","given":"Abay Sisay","non-dropping-particle":"","parse-names":false,"suffix":""},{"dropping-particle":"","family":"Misganaw","given":"Awoke","non-dropping-particle":"","parse-names":false,"suffix":""},{"dropping-particle":"","family":"Misra","given":"Sanjeev","non-dropping-particle":"","parse-names":false,"suffix":""},{"dropping-particle":"","family":"Mohammadi","given":"Esmaeil","non-dropping-particle":"","parse-names":false,"suffix":""},{"dropping-particle":"","family":"Mohammadi","given":"Mokhtar","non-dropping-particle":"","parse-names":false,"suffix":""},{"dropping-particle":"","family":"Mohammadian-Hafshejani","given":"Abdollah","non-dropping-particle":"","parse-names":false,"suffix":""},{"dropping-particle":"","family":"Mohammed","given":"Shafiu","non-dropping-particle":"","parse-names":false,"suffix":""},{"dropping-particle":"","family":"Mohan","given":"Syam","non-dropping-particle":"","parse-names":false,"suffix":""},{"dropping-particle":"","family":"Mohseni","given":"Mohammad","non-dropping-particle":"","parse-names":false,"suffix":""},{"dropping-particle":"","family":"Mokdad","given":"Ali H.","non-dropping-particle":"","parse-names":false,"suffix":""},{"dropping-particle":"","family":"Momtazmanesh","given":"Sara","non-dropping-particle":"","parse-names":false,"suffix":""},{"dropping-particle":"","family":"Monasta","given":"Lorenzo","non-dropping-particle":"","parse-names":false,"suffix":""},{"dropping-particle":"","family":"Moore","given":"Catrin E.","non-dropping-particle":"","parse-names":false,"suffix":""},{"dropping-particle":"","family":"Moradi","given":"Maryam","non-dropping-particle":"","parse-names":false,"suffix":""},{"dropping-particle":"","family":"Moradi Sarabi","given":"Mostafa","non-dropping-particle":"","parse-names":false,"suffix":""},{"dropping-particle":"","family":"Morrison","given":"Shane Douglas","non-dropping-particle":"","parse-names":false,"suffix":""},{"dropping-particle":"","family":"Motaghinejad","given":"Majid","non-dropping-particle":"","parse-names":false,"suffix":""},{"dropping-particle":"","family":"Mousavi Isfahani","given":"Haleh","non-dropping-particle":"","parse-names":false,"suffix":""},{"dropping-particle":"","family":"Mousavi Khaneghah","given":"Amin","non-dropping-particle":"","parse-names":false,"suffix":""},{"dropping-particle":"","family":"Mousavi-Aghdas","given":"Seyed Ali","non-dropping-particle":"","parse-names":false,"suffix":""},{"dropping-particle":"","family":"Mubarik","given":"Sumaira","non-dropping-particle":"","parse-names":false,"suffix":""},{"dropping-particle":"","family":"Mulita","given":"Francesk","non-dropping-particle":"","parse-names":false,"suffix":""},{"dropping-particle":"","family":"Mulu","given":"Getaneh Baye B.","non-dropping-particle":"","parse-names":false,"suffix":""},{"dropping-particle":"","family":"Munro","given":"Sandra B.","non-dropping-particle":"","parse-names":false,"suffix":""},{"dropping-particle":"","family":"Muthupandian","given":"Saravanan","non-dropping-particle":"","parse-names":false,"suffix":""},{"dropping-particle":"","family":"Nair","given":"Tapas Sadasivan","non-dropping-particle":"","parse-names":false,"suffix":""},{"dropping-particle":"","family":"Naqvi","given":"Atta Abbas","non-dropping-particle":"","parse-names":false,"suffix":""},{"dropping-particle":"","family":"Narang","given":"Himanshi","non-dropping-particle":"","parse-names":false,"suffix":""},{"dropping-particle":"","family":"Natto","given":"Zuhair S.","non-dropping-particle":"","parse-names":false,"suffix":""},{"dropping-particle":"","family":"Naveed","given":"Muhammad","non-dropping-particle":"","parse-names":false,"suffix":""},{"dropping-particle":"","family":"Nayak","given":"Biswa Prakash","non-dropping-particle":"","parse-names":false,"suffix":""},{"dropping-particle":"","family":"Naz","given":"Shumaila","non-dropping-particle":"","parse-names":false,"suffix":""},{"dropping-particle":"","family":"Negoi","given":"Ionut","non-dropping-particle":"","parse-names":false,"suffix":""},{"dropping-particle":"","family":"Nejadghaderi","given":"Seyed Aria","non-dropping-particle":"","parse-names":false,"suffix":""},{"dropping-particle":"","family":"Neupane Kandel","given":"Sandhya","non-dropping-particle":"","parse-names":false,"suffix":""},{"dropping-particle":"","family":"Ngwa","given":"Che Henry","non-dropping-particle":"","parse-names":false,"suffix":""},{"dropping-particle":"","family":"Niazi","given":"Robina Khan","non-dropping-particle":"","parse-names":false,"suffix":""},{"dropping-particle":"","family":"Nogueira de Sá","given":"Antonio Tolentino","non-dropping-particle":"","parse-names":false,"suffix":""},{"dropping-particle":"","family":"Noroozi","given":"Nafise","non-dropping-particle":"","parse-names":false,"suffix":""},{"dropping-particle":"","family":"Nouraei","given":"Hasti","non-dropping-particle":"","parse-names":false,"suffix":""},{"dropping-particle":"","family":"Nowroozi","given":"Ali","non-dropping-particle":"","parse-names":false,"suffix":""},{"dropping-particle":"","family":"Nuñez-Samudio","given":"Virginia","non-dropping-particle":"","parse-names":false,"suffix":""},{"dropping-particle":"","family":"Nutor","given":"Jerry John","non-dropping-particle":"","parse-names":false,"suffix":""},{"dropping-particle":"","family":"Nzoputam","given":"Chimezie Igwegbe","non-dropping-particle":"","parse-names":false,"suffix":""},{"dropping-particle":"","family":"Nzoputam","given":"Ogochukwu Janet","non-dropping-particle":"","parse-names":false,"suffix":""},{"dropping-particle":"","family":"Oancea","given":"Bogdan","non-dropping-particle":"","parse-names":false,"suffix":""},{"dropping-particle":"","family":"Obaidur","given":"Rahman Md","non-dropping-particle":"","parse-names":false,"suffix":""},{"dropping-particle":"","family":"Ojha","given":"Vivek Anand","non-dropping-particle":"","parse-names":false,"suffix":""},{"dropping-particle":"","family":"Okekunle","given":"Akinkunmi Paul","non-dropping-particle":"","parse-names":false,"suffix":""},{"dropping-particle":"","family":"Okonji","given":"Osaretin Christabel","non-dropping-particle":"","parse-names":false,"suffix":""},{"dropping-particle":"","family":"Olagunju","given":"Andrew T.","non-dropping-particle":"","parse-names":false,"suffix":""},{"dropping-particle":"","family":"Olusanya","given":"Bolajoko Olubukunola","non-dropping-particle":"","parse-names":false,"suffix":""},{"dropping-particle":"","family":"Omar Bali","given":"Ahmed","non-dropping-particle":"","parse-names":false,"suffix":""},{"dropping-particle":"","family":"Omer","given":"Emad","non-dropping-particle":"","parse-names":false,"suffix":""},{"dropping-particle":"","family":"Otstavnov","given":"Nikita","non-dropping-particle":"","parse-names":false,"suffix":""},{"dropping-particle":"","family":"Oumer","given":"Bilcha","non-dropping-particle":"","parse-names":false,"suffix":""},{"dropping-particle":"","family":"P A","given":"Mahesh","non-dropping-particle":"","parse-names":false,"suffix":""},{"dropping-particle":"","family":"Padubidri","given":"Jagadish Rao","non-dropping-particle":"","parse-names":false,"suffix":""},{"dropping-particle":"","family":"Pakshir","given":"Keyvan","non-dropping-particle":"","parse-names":false,"suffix":""},{"dropping-particle":"","family":"Palicz","given":"Tamás","non-dropping-particle":"","parse-names":false,"suffix":""},{"dropping-particle":"","family":"Pana","given":"Adrian","non-dropping-particle":"","parse-names":false,"suffix":""},{"dropping-particle":"","family":"Pardhan","given":"Shahina","non-dropping-particle":"","parse-names":false,"suffix":""},{"dropping-particle":"","family":"Paredes","given":"Jose L.","non-dropping-particle":"","parse-names":false,"suffix":""},{"dropping-particle":"","family":"Parekh","given":"Utsav","non-dropping-particle":"","parse-names":false,"suffix":""},{"dropping-particle":"","family":"Park","given":"Eun Cheol","non-dropping-particle":"","parse-names":false,"suffix":""},{"dropping-particle":"","family":"Park","given":"Seoyeon","non-dropping-particle":"","parse-names":false,"suffix":""},{"dropping-particle":"","family":"Pathak","given":"Ashish","non-dropping-particle":"","parse-names":false,"suffix":""},{"dropping-particle":"","family":"Paudel","given":"Rajan","non-dropping-particle":"","parse-names":false,"suffix":""},{"dropping-particle":"","family":"Paudel","given":"Uttam","non-dropping-particle":"","parse-names":false,"suffix":""},{"dropping-particle":"","family":"Pawar","given":"Shrikant","non-dropping-particle":"","parse-names":false,"suffix":""},{"dropping-particle":"","family":"Pazoki Toroudi","given":"Hamidreza","non-dropping-particle":"","parse-names":false,"suffix":""},{"dropping-particle":"","family":"Peng","given":"Minjin","non-dropping-particle":"","parse-names":false,"suffix":""},{"dropping-particle":"","family":"Pensato","given":"Umberto","non-dropping-particle":"","parse-names":false,"suffix":""},{"dropping-particle":"","family":"Pepito","given":"Veincent Christian Filipino","non-dropping-particle":"","parse-names":false,"suffix":""},{"dropping-particle":"","family":"Pereira","given":"Marcos","non-dropping-particle":"","parse-names":false,"suffix":""},{"dropping-particle":"","family":"Peres","given":"Mario F.P.","non-dropping-particle":"","parse-names":false,"suffix":""},{"dropping-particle":"","family":"Perico","given":"Norberto","non-dropping-particle":"","parse-names":false,"suffix":""},{"dropping-particle":"","family":"Petcu","given":"Ionela Roxana","non-dropping-particle":"","parse-names":false,"suffix":""},{"dropping-particle":"","family":"Piracha","given":"Zahra Zahid","non-dropping-particle":"","parse-names":false,"suffix":""},{"dropping-particle":"","family":"Podder","given":"Indrashis","non-dropping-particle":"","parse-names":false,"suffix":""},{"dropping-particle":"","family":"Pokhrel","given":"Nayanum","non-dropping-particle":"","parse-names":false,"suffix":""},{"dropping-particle":"","family":"Poluru","given":"Ramesh","non-dropping-particle":"","parse-names":false,"suffix":""},{"dropping-particle":"","family":"Postma","given":"Maarten J.","non-dropping-particle":"","parse-names":false,"suffix":""},{"dropping-particle":"","family":"Pourtaheri","given":"Naeimeh","non-dropping-particle":"","parse-names":false,"suffix":""},{"dropping-particle":"","family":"Prashant","given":"Akila","non-dropping-particle":"","parse-names":false,"suffix":""},{"dropping-particle":"","family":"Qattea","given":"Ibrahim","non-dropping-particle":"","parse-names":false,"suffix":""},{"dropping-particle":"","family":"Rabiee","given":"Mohammad","non-dropping-particle":"","parse-names":false,"suffix":""},{"dropping-particle":"","family":"Rabiee","given":"Navid","non-dropping-particle":"","parse-names":false,"suffix":""},{"dropping-particle":"","family":"Radfar","given":"Amir","non-dropping-particle":"","parse-names":false,"suffix":""},{"dropping-particle":"","family":"Raeghi","given":"Saber","non-dropping-particle":"","parse-names":false,"suffix":""},{"dropping-particle":"","family":"Rafiei","given":"Sima","non-dropping-particle":"","parse-names":false,"suffix":""},{"dropping-particle":"","family":"Raghav","given":"Pankaja Raghav","non-dropping-particle":"","parse-names":false,"suffix":""},{"dropping-particle":"","family":"Rahbarnia","given":"Leila","non-dropping-particle":"","parse-names":false,"suffix":""},{"dropping-particle":"","family":"Rahimi-Movaghar","given":"Vafa","non-dropping-particle":"","parse-names":false,"suffix":""},{"dropping-particle":"","family":"Rahman","given":"Mosiur","non-dropping-particle":"","parse-names":false,"suffix":""},{"dropping-particle":"","family":"Rahman","given":"Muhammad Aziz","non-dropping-particle":"","parse-names":false,"suffix":""},{"dropping-particle":"","family":"Rahmani","given":"Amir Masoud","non-dropping-particle":"","parse-names":false,"suffix":""},{"dropping-particle":"","family":"Rahmanian","given":"Vahid","non-dropping-particle":"","parse-names":false,"suffix":""},{"dropping-particle":"","family":"Ram","given":"Pradhum","non-dropping-particle":"","parse-names":false,"suffix":""},{"dropping-particle":"","family":"Ranjha","given":"Muhammad Modassar Ali Nawaz","non-dropping-particle":"","parse-names":false,"suffix":""},{"dropping-particle":"","family":"Rao","given":"Sowmya J.","non-dropping-particle":"","parse-names":false,"suffix":""},{"dropping-particle":"","family":"Rashidi","given":"Mohammad Mahdi","non-dropping-particle":"","parse-names":false,"suffix":""},{"dropping-particle":"","family":"Rasul","given":"Azad","non-dropping-particle":"","parse-names":false,"suffix":""},{"dropping-particle":"","family":"Ratan","given":"Zubair Ahmed","non-dropping-particle":"","parse-names":false,"suffix":""},{"dropping-particle":"","family":"Rawaf","given":"Salman","non-dropping-particle":"","parse-names":false,"suffix":""},{"dropping-particle":"","family":"Rawassizadeh","given":"Reza","non-dropping-particle":"","parse-names":false,"suffix":""},{"dropping-particle":"","family":"Razeghinia","given":"Mohammad Sadegh","non-dropping-particle":"","parse-names":false,"suffix":""},{"dropping-particle":"","family":"Redwan","given":"Elrashdy Moustafa Mohamed","non-dropping-particle":"","parse-names":false,"suffix":""},{"dropping-particle":"","family":"Regasa","given":"Misganu Teshoma","non-dropping-particle":"","parse-names":false,"suffix":""},{"dropping-particle":"","family":"Remuzzi","given":"Giuseppe","non-dropping-particle":"","parse-names":false,"suffix":""},{"dropping-particle":"","family":"Reta","given":"Melese Abate","non-dropping-particle":"","parse-names":false,"suffix":""},{"dropping-particle":"","family":"Rezaei","given":"Nazila","non-dropping-particle":"","parse-names":false,"suffix":""},{"dropping-particle":"","family":"Rezapour","given":"Aziz","non-dropping-particle":"","parse-names":false,"suffix":""},{"dropping-particle":"","family":"Riad","given":"Abanoub","non-dropping-particle":"","parse-names":false,"suffix":""},{"dropping-particle":"","family":"Ripon","given":"Rezaul Karim","non-dropping-particle":"","parse-names":false,"suffix":""},{"dropping-particle":"","family":"Rudd","given":"Kristina E.","non-dropping-particle":"","parse-names":false,"suffix":""},{"dropping-particle":"","family":"Saddik","given":"Basema","non-dropping-particle":"","parse-names":false,"suffix":""},{"dropping-particle":"","family":"Sadeghian","given":"Saeid","non-dropping-particle":"","parse-names":false,"suffix":""},{"dropping-particle":"","family":"Saeed","given":"Umar","non-dropping-particle":"","parse-names":false,"suffix":""},{"dropping-particle":"","family":"Safaei","given":"Mohsen","non-dropping-particle":"","parse-names":false,"suffix":""},{"dropping-particle":"","family":"Safary","given":"Azam","non-dropping-particle":"","parse-names":false,"suffix":""},{"dropping-particle":"","family":"Safi","given":"Sher Zaman","non-dropping-particle":"","parse-names":false,"suffix":""},{"dropping-particle":"","family":"Sahebazzamani","given":"Maryam","non-dropping-particle":"","parse-names":false,"suffix":""},{"dropping-particle":"","family":"Sahebkar","given":"Amirhossein","non-dropping-particle":"","parse-names":false,"suffix":""},{"dropping-particle":"","family":"Sahoo","given":"Harihar","non-dropping-particle":"","parse-names":false,"suffix":""},{"dropping-particle":"","family":"Salahi","given":"Saina","non-dropping-particle":"","parse-names":false,"suffix":""},{"dropping-particle":"","family":"Salahi","given":"Sarvenaz","non-dropping-particle":"","parse-names":false,"suffix":""},{"dropping-particle":"","family":"Salari","given":"Hedayat","non-dropping-particle":"","parse-names":false,"suffix":""},{"dropping-particle":"","family":"Salehi","given":"Sana","non-dropping-particle":"","parse-names":false,"suffix":""},{"dropping-particle":"","family":"Samadi Kafil","given":"Hossein","non-dropping-particle":"","parse-names":false,"suffix":""},{"dropping-particle":"","family":"Samy","given":"Abdallah M.","non-dropping-particle":"","parse-names":false,"suffix":""},{"dropping-particle":"","family":"Sanadgol","given":"Nima","non-dropping-particle":"","parse-names":false,"suffix":""},{"dropping-particle":"","family":"Sankararaman","given":"Senthilkumar","non-dropping-particle":"","parse-names":false,"suffix":""},{"dropping-particle":"","family":"Sanmarchi","given":"Francesco","non-dropping-particle":"","parse-names":false,"suffix":""},{"dropping-particle":"","family":"Sathian","given":"Brijesh","non-dropping-particle":"","parse-names":false,"suffix":""},{"dropping-particle":"","family":"Sawhney","given":"Monika","non-dropping-particle":"","parse-names":false,"suffix":""},{"dropping-particle":"","family":"Saya","given":"Ganesh Kumar","non-dropping-particle":"","parse-names":false,"suffix":""},{"dropping-particle":"","family":"Senthilkumaran","given":"Subramanian","non-dropping-particle":"","parse-names":false,"suffix":""},{"dropping-particle":"","family":"Seylani","given":"Allen","non-dropping-particle":"","parse-names":false,"suffix":""},{"dropping-particle":"","family":"Shah","given":"Pritik A.","non-dropping-particle":"","parse-names":false,"suffix":""},{"dropping-particle":"","family":"Shaikh","given":"Masood Ali","non-dropping-particle":"","parse-names":false,"suffix":""},{"dropping-particle":"","family":"Shaker","given":"Elaheh","non-dropping-particle":"","parse-names":false,"suffix":""},{"dropping-particle":"","family":"Shakhmardanov","given":"Murad Ziyaudinovich","non-dropping-particle":"","parse-names":false,"suffix":""},{"dropping-particle":"","family":"Sharew","given":"Mequannent Melaku","non-dropping-particle":"","parse-names":false,"suffix":""},{"dropping-particle":"","family":"Sharifi-Razavi","given":"Athena","non-dropping-particle":"","parse-names":false,"suffix":""},{"dropping-particle":"","family":"Sharma","given":"Purva","non-dropping-particle":"","parse-names":false,"suffix":""},{"dropping-particle":"","family":"Sheikhi","given":"Rahim Ali","non-dropping-particle":"","parse-names":false,"suffix":""},{"dropping-particle":"","family":"Sheikhy","given":"Ali","non-dropping-particle":"","parse-names":false,"suffix":""},{"dropping-particle":"","family":"Shetty","given":"Pavanchand H.","non-dropping-particle":"","parse-names":false,"suffix":""},{"dropping-particle":"","family":"Shigematsu","given":"Mika","non-dropping-particle":"","parse-names":false,"suffix":""},{"dropping-particle":"Il","family":"Shin","given":"Jae","non-dropping-particle":"","parse-names":false,"suffix":""},{"dropping-particle":"","family":"Shirzad-Aski","given":"Hesamaddin","non-dropping-particle":"","parse-names":false,"suffix":""},{"dropping-particle":"","family":"Shivakumar","given":"K. M.","non-dropping-particle":"","parse-names":false,"suffix":""},{"dropping-particle":"","family":"Shobeiri","given":"Parnian","non-dropping-particle":"","parse-names":false,"suffix":""},{"dropping-particle":"","family":"Shorofi","given":"Seyed Afshin","non-dropping-particle":"","parse-names":false,"suffix":""},{"dropping-particle":"","family":"Shrestha","given":"Sunil","non-dropping-particle":"","parse-names":false,"suffix":""},{"dropping-particle":"","family":"Sibhat","given":"Migbar Mekonnen","non-dropping-particle":"","parse-names":false,"suffix":""},{"dropping-particle":"","family":"Sidemo","given":"Negussie Boti","non-dropping-particle":"","parse-names":false,"suffix":""},{"dropping-particle":"","family":"Sikder","given":"Mustafa Kamal","non-dropping-particle":"","parse-names":false,"suffix":""},{"dropping-particle":"","family":"Silva","given":"Luís Manuel Lopes Rodrigues","non-dropping-particle":"","parse-names":false,"suffix":""},{"dropping-particle":"","family":"Singh","given":"Jasvinder A.","non-dropping-particle":"","parse-names":false,"suffix":""},{"dropping-particle":"","family":"Singh","given":"Paramdeep","non-dropping-particle":"","parse-names":false,"suffix":""},{"dropping-particle":"","family":"Singh","given":"Surjit","non-dropping-particle":"","parse-names":false,"suffix":""},{"dropping-particle":"","family":"Siraj","given":"Md Shahjahan","non-dropping-particle":"","parse-names":false,"suffix":""},{"dropping-particle":"","family":"Siwal","given":"Samarjeet Singh","non-dropping-particle":"","parse-names":false,"suffix":""},{"dropping-particle":"","family":"Skryabin","given":"Valentin Yurievich","non-dropping-particle":"","parse-names":false,"suffix":""},{"dropping-particle":"","family":"Skryabina","given":"Anna Aleksandrovna","non-dropping-particle":"","parse-names":false,"suffix":""},{"dropping-particle":"","family":"Socea","given":"Bogdan","non-dropping-particle":"","parse-names":false,"suffix":""},{"dropping-particle":"","family":"Solomon","given":"Damtew Damtew","non-dropping-particle":"","parse-names":false,"suffix":""},{"dropping-particle":"","family":"Song","given":"Yimeng","non-dropping-particle":"","parse-names":false,"suffix":""},{"dropping-particle":"","family":"Sreeramareddy","given":"Chandrashekhar T.","non-dropping-particle":"","parse-names":false,"suffix":""},{"dropping-particle":"","family":"Suleman","given":"Muhammad","non-dropping-particle":"","parse-names":false,"suffix":""},{"dropping-particle":"","family":"Suliankatchi Abdulkader","given":"Rizwan","non-dropping-particle":"","parse-names":false,"suffix":""},{"dropping-particle":"","family":"Sultana","given":"Saima","non-dropping-particle":"","parse-names":false,"suffix":""},{"dropping-particle":"","family":"Szócska","given":"Miklós","non-dropping-particle":"","parse-names":false,"suffix":""},{"dropping-particle":"","family":"Tabatabaeizadeh","given":"Seyed Amir","non-dropping-particle":"","parse-names":false,"suffix":""},{"dropping-particle":"","family":"Tabish","given":"Mohammad","non-dropping-particle":"","parse-names":false,"suffix":""},{"dropping-particle":"","family":"Taheri","given":"Majid","non-dropping-particle":"","parse-names":false,"suffix":""},{"dropping-particle":"","family":"Taki","given":"Elahe","non-dropping-particle":"","parse-names":false,"suffix":""},{"dropping-particle":"","family":"Tan","given":"Ker Kan","non-dropping-particle":"","parse-names":false,"suffix":""},{"dropping-particle":"","family":"Tandukar","given":"Sarmila","non-dropping-particle":"","parse-names":false,"suffix":""},{"dropping-particle":"","family":"Tat","given":"Nathan Y.","non-dropping-particle":"","parse-names":false,"suffix":""},{"dropping-particle":"","family":"Tat","given":"Vivian Y.","non-dropping-particle":"","parse-names":false,"suffix":""},{"dropping-particle":"","family":"Tefera","given":"Belay Negash","non-dropping-particle":"","parse-names":false,"suffix":""},{"dropping-particle":"","family":"Tefera","given":"Yibekal Manaye","non-dropping-particle":"","parse-names":false,"suffix":""},{"dropping-particle":"","family":"Temesgen","given":"Gebremaryam","non-dropping-particle":"","parse-names":false,"suffix":""},{"dropping-particle":"","family":"Temsah","given":"Mohamad Hani","non-dropping-particle":"","parse-names":false,"suffix":""},{"dropping-particle":"","family":"Tharwat","given":"Samar","non-dropping-particle":"","parse-names":false,"suffix":""},{"dropping-particle":"","family":"Thiyagarajan","given":"Arulmani","non-dropping-particle":"","parse-names":false,"suffix":""},{"dropping-particle":"","family":"Tleyjeh","given":"Imad I.","non-dropping-particle":"","parse-names":false,"suffix":""},{"dropping-particle":"","family":"Troeger","given":"Christopher E.","non-dropping-particle":"","parse-names":false,"suffix":""},{"dropping-particle":"","family":"Umapathi","given":"Krishna Kishore","non-dropping-particle":"","parse-names":false,"suffix":""},{"dropping-particle":"","family":"Upadhyay","given":"Era","non-dropping-particle":"","parse-names":false,"suffix":""},{"dropping-particle":"","family":"Valadan Tahbaz","given":"Sahel","non-dropping-particle":"","parse-names":false,"suffix":""},{"dropping-particle":"","family":"Valdez","given":"Pascual R.","non-dropping-particle":"","parse-names":false,"suffix":""},{"dropping-particle":"","family":"Eynde","given":"Jef","non-dropping-particle":"Van den","parse-names":false,"suffix":""},{"dropping-particle":"","family":"Doorn","given":"H. Rogier","non-dropping-particle":"van","parse-names":false,"suffix":""},{"dropping-particle":"","family":"Vaziri","given":"Siavash","non-dropping-particle":"","parse-names":false,"suffix":""},{"dropping-particle":"","family":"Verras","given":"Georgios Ioannis","non-dropping-particle":"","parse-names":false,"suffix":""},{"dropping-particle":"","family":"Viswanathan","given":"Harimadhav","non-dropping-particle":"","parse-names":false,"suffix":""},{"dropping-particle":"","family":"Vo","given":"Bay","non-dropping-particle":"","parse-names":false,"suffix":""},{"dropping-particle":"","family":"Waris","given":"Abdul","non-dropping-particle":"","parse-names":false,"suffix":""},{"dropping-particle":"","family":"Wassie","given":"Gizachew Tadesse","non-dropping-particle":"","parse-names":false,"suffix":""},{"dropping-particle":"","family":"Wickramasinghe","given":"Nuwan Darshana","non-dropping-particle":"","parse-names":false,"suffix":""},{"dropping-particle":"","family":"Yaghoubi","given":"Sajad","non-dropping-particle":"","parse-names":false,"suffix":""},{"dropping-particle":"","family":"Yahya","given":"Gahin Abdulraheem Tayib Yahya","non-dropping-particle":"","parse-names":false,"suffix":""},{"dropping-particle":"","family":"Yahyazadeh Jabbari","given":"Seyed Hossein","non-dropping-particle":"","parse-names":false,"suffix":""},{"dropping-particle":"","family":"Yigit","given":"Arzu","non-dropping-particle":"","parse-names":false,"suffix":""},{"dropping-particle":"","family":"Yiğit","given":"Vahit","non-dropping-particle":"","parse-names":false,"suffix":""},{"dropping-particle":"","family":"Yon","given":"Dong Keon","non-dropping-particle":"","parse-names":false,"suffix":""},{"dropping-particle":"","family":"Yonemoto","given":"Naohiro","non-dropping-particle":"","parse-names":false,"suffix":""},{"dropping-particle":"","family":"Zahir","given":"Mazyar","non-dropping-particle":"","parse-names":false,"suffix":""},{"dropping-particle":"","family":"Zaman","given":"Burhan Abdullah","non-dropping-particle":"","parse-names":false,"suffix":""},{"dropping-particle":"Bin","family":"Zaman","given":"Sojib","non-dropping-particle":"","parse-names":false,"suffix":""},{"dropping-particle":"","family":"Zangiabadian","given":"Moein","non-dropping-particle":"","parse-names":false,"suffix":""},{"dropping-particle":"","family":"Zare","given":"Iman","non-dropping-particle":"","parse-names":false,"suffix":""},{"dropping-particle":"","family":"Zastrozhin","given":"Mikhail Sergeevich","non-dropping-particle":"","parse-names":false,"suffix":""},{"dropping-particle":"","family":"Zhang","given":"Zhi Jiang","non-dropping-particle":"","parse-names":false,"suffix":""},{"dropping-particle":"","family":"Zheng","given":"Peng","non-dropping-particle":"","parse-names":false,"suffix":""},{"dropping-particle":"","family":"Zhong","given":"Chenwen","non-dropping-particle":"","parse-names":false,"suffix":""},{"dropping-particle":"","family":"Zoladl","given":"Mohammad","non-dropping-particle":"","parse-names":false,"suffix":""},{"dropping-particle":"","family":"Zumla","given":"Alimuddin","non-dropping-particle":"","parse-names":false,"suffix":""},{"dropping-particle":"","family":"Hay","given":"Simon I.","non-dropping-particle":"","parse-names":false,"suffix":""},{"dropping-particle":"","family":"Dolecek","given":"Christiane","non-dropping-particle":"","parse-names":false,"suffix":""},{"dropping-particle":"","family":"Sartorius","given":"Benn","non-dropping-particle":"","parse-names":false,"suffix":""},{"dropping-particle":"","family":"Murray","given":"Christopher J.L.","non-dropping-particle":"","parse-names":false,"suffix":""},{"dropping-particle":"","family":"Naghavi","given":"Mohsen","non-dropping-particle":"","parse-names":false,"suffix":""}],"container-title":"The Lancet","id":"ITEM-2","issue":"10369","issued":{"date-parts":[["2022","12","17"]]},"page":"2221-2248","publisher":"Elsevier B.V.","title":"Global mortality associated with 33 bacterial pathogens in 2019: a systematic analysis for the Global Burden of Disease Study 2019","type":"article-journal","volume":"400"},"uris":["http://www.mendeley.com/documents/?uuid=5fff56c3-a25b-391f-82ed-e1322eaf32cd"]},{"id":"ITEM-3","itemData":{"DOI":"10.1016/S0140-6736(21)02724-0","ISSN":"1474547X","PMID":"35065702","abstract":"Background: Antimicrobial resistance (AMR) poses a major threat to human health around the world. Previous publications have estimated the effect of AMR on incidence, deaths, hospital length of stay, and health-care costs for specific pathogen–drug combinations in select locations. To our knowledge, this study presents the most comprehensive estimates of AMR burden to date. Methods: We estimated deaths and disability-adjusted life-years (DALYs) attributable to and associated with bacterial AMR for 23 pathogens and 88 pathogen–drug combinations in 204 countries and territories in 2019. We obtained data from systematic literature reviews, hospital systems, surveillance systems, and other sources, covering 471 million individual records or isolates and 7585 study-location-years. We used predictive statistical modelling to produce estimates of AMR burden for all locations, including for locations with no data. Our approach can be divided into five broad components: number of deaths where infection played a role, proportion of infectious deaths attributable to a given infectious syndrome, proportion of infectious syndrome deaths attributable to a given pathogen, the percentage of a given pathogen resistant to an antibiotic of interest, and the excess risk of death or duration of an infection associated with this resistance. Using these components, we estimated disease burden based on two counterfactuals: deaths attributable to AMR (based on an alternative scenario in which all drug-resistant infections were replaced by drug-susceptible infections), and deaths associated with AMR (based on an alternative scenario in which all drug-resistant infections were replaced by no infection). We generated 95% uncertainty intervals (UIs) for final estimates as the 25th and 975th ordered values across 1000 posterior draws, and models were cross-validated for out-of-sample predictive validity. We present final estimates aggregated to the global and regional level. Findings: On the basis of our predictive statistical models, there were an estimated 4·95 million (3·62–6·57) deaths associated with bacterial AMR in 2019, including 1·27 million (95% UI 0·911–1·71) deaths attributable to bacterial AMR. At the regional level, we estimated the all-age death rate attributable to resistance to be highest in western sub-Saharan Africa, at 27·3 deaths per 100 000 (20·9–35·3), and lowest in Australasia, at 6·5 deaths (4·3–9·4) per 100 000. Lower respiratory infections accounted for mo…","author":[{"dropping-particle":"","family":"Murray","given":"Christopher JL","non-dropping-particle":"","parse-names":false,"suffix":""},{"dropping-particle":"","family":"Ikuta","given":"Kevin Shunji","non-dropping-particle":"","parse-names":false,"suffix":""},{"dropping-particle":"","family":"Sharara","given":"Fablina","non-dropping-particle":"","parse-names":false,"suffix":""},{"dropping-particle":"","family":"Swetschinski","given":"Lucien","non-dropping-particle":"","parse-names":false,"suffix":""},{"dropping-particle":"","family":"Robles Aguilar","given":"Gisela","non-dropping-particle":"","parse-names":false,"suffix":""},{"dropping-particle":"","family":"Gray","given":"Authia","non-dropping-particle":"","parse-names":false,"suffix":""},{"dropping-particle":"","family":"Han","given":"Chieh","non-dropping-particle":"","parse-names":false,"suffix":""},{"dropping-particle":"","family":"Bisignano","given":"Catherine","non-dropping-particle":"","parse-names":false,"suffix":""},{"dropping-particle":"","family":"Rao","given":"Puja","non-dropping-particle":"","parse-names":false,"suffix":""},{"dropping-particle":"","family":"Wool","given":"Eve","non-dropping-particle":"","parse-names":false,"suffix":""},{"dropping-particle":"","family":"Johnson","given":"Sarah C.","non-dropping-particle":"","parse-names":false,"suffix":""},{"dropping-particle":"","family":"Browne","given":"Annie J.","non-dropping-particle":"","parse-names":false,"suffix":""},{"dropping-particle":"","family":"Chipeta","given":"Michael Give","non-dropping-particle":"","parse-names":false,"suffix":""},{"dropping-particle":"","family":"Fell","given":"Frederick","non-dropping-particle":"","parse-names":false,"suffix":""},{"dropping-particle":"","family":"Hackett","given":"Sean","non-dropping-particle":"","parse-names":false,"suffix":""},{"dropping-particle":"","family":"Haines-Woodhouse","given":"Georgina","non-dropping-particle":"","parse-names":false,"suffix":""},{"dropping-particle":"","family":"Kashef Hamadani","given":"Bahar H.","non-dropping-particle":"","parse-names":false,"suffix":""},{"dropping-particle":"","family":"Kumaran","given":"Emmanuelle A.P.","non-dropping-particle":"","parse-names":false,"suffix":""},{"dropping-particle":"","family":"McManigal","given":"Barney","non-dropping-particle":"","parse-names":false,"suffix":""},{"dropping-particle":"","family":"Agarwal","given":"Ramesh","non-dropping-particle":"","parse-names":false,"suffix":""},{"dropping-particle":"","family":"Akech","given":"Samuel","non-dropping-particle":"","parse-names":false,"suffix":""},{"dropping-particle":"","family":"Albertson","given":"Samuel","non-dropping-particle":"","parse-names":false,"suffix":""},{"dropping-particle":"","family":"Amuasi","given":"John","non-dropping-particle":"","parse-names":false,"suffix":""},{"dropping-particle":"","family":"Andrews","given":"Jason","non-dropping-particle":"","parse-names":false,"suffix":""},{"dropping-particle":"","family":"Aravkin","given":"Aleskandr","non-dropping-particle":"","parse-names":false,"suffix":""},{"dropping-particle":"","family":"Ashley","given":"Elizabeth","non-dropping-particle":"","parse-names":false,"suffix":""},{"dropping-particle":"","family":"Bailey","given":"Freddie","non-dropping-particle":"","parse-names":false,"suffix":""},{"dropping-particle":"","family":"Baker","given":"Stephen","non-dropping-particle":"","parse-names":false,"suffix":""},{"dropping-particle":"","family":"Basnyat","given":"Buddha","non-dropping-particle":"","parse-names":false,"suffix":""},{"dropping-particle":"","family":"Bekker","given":"Adrie","non-dropping-particle":"","parse-names":false,"suffix":""},{"dropping-particle":"","family":"Bender","given":"Rose","non-dropping-particle":"","parse-names":false,"suffix":""},{"dropping-particle":"","family":"Bethou","given":"Adhisivam","non-dropping-particle":"","parse-names":false,"suffix":""},{"dropping-particle":"","family":"Bielicki","given":"Julia","non-dropping-particle":"","parse-names":false,"suffix":""},{"dropping-particle":"","family":"Boonkasidecha","given":"Suppawat","non-dropping-particle":"","parse-names":false,"suffix":""},{"dropping-particle":"","family":"Bukosia","given":"James","non-dropping-particle":"","parse-names":false,"suffix":""},{"dropping-particle":"","family":"Carvalheiro","given":"Cristina","non-dropping-particle":"","parse-names":false,"suffix":""},{"dropping-particle":"","family":"Castañeda-Orjuela","given":"Carlos","non-dropping-particle":"","parse-names":false,"suffix":""},{"dropping-particle":"","family":"Chansamouth","given":"Vilada","non-dropping-particle":"","parse-names":false,"suffix":""},{"dropping-particle":"","family":"Chaurasia","given":"Suman","non-dropping-particle":"","parse-names":false,"suffix":""},{"dropping-particle":"","family":"Chiurchiù","given":"Sara","non-dropping-particle":"","parse-names":false,"suffix":""},{"dropping-particle":"","family":"Chowdhury","given":"Fazle","non-dropping-particle":"","parse-names":false,"suffix":""},{"dropping-particle":"","family":"Cook","given":"Aislinn J.","non-dropping-particle":"","parse-names":false,"suffix":""},{"dropping-particle":"","family":"Cooper","given":"Ben","non-dropping-particle":"","parse-names":false,"suffix":""},{"dropping-particle":"","family":"Cressey","given":"Tim R.","non-dropping-particle":"","parse-names":false,"suffix":""},{"dropping-particle":"","family":"Criollo-Mora","given":"Elia","non-dropping-particle":"","parse-names":false,"suffix":""},{"dropping-particle":"","family":"Cunningham","given":"Matthew","non-dropping-particle":"","parse-names":false,"suffix":""},{"dropping-particle":"","family":"Darboe","given":"Saffiatou","non-dropping-particle":"","parse-names":false,"suffix":""},{"dropping-particle":"","family":"Day","given":"Nicholas P.J.","non-dropping-particle":"","parse-names":false,"suffix":""},{"dropping-particle":"","family":"Luca","given":"Maia","non-dropping-particle":"De","parse-names":false,"suffix":""},{"dropping-particle":"","family":"Dokova","given":"Klara","non-dropping-particle":"","parse-names":false,"suffix":""},{"dropping-particle":"","family":"Dramowski","given":"Angela","non-dropping-particle":"","parse-names":false,"suffix":""},{"dropping-particle":"","family":"Dunachie","given":"Susanna J.","non-dropping-particle":"","parse-names":false,"suffix":""},{"dropping-particle":"","family":"Eckmanns","given":"Tim","non-dropping-particle":"","parse-names":false,"suffix":""},{"dropping-particle":"","family":"Eibach","given":"Daniel","non-dropping-particle":"","parse-names":false,"suffix":""},{"dropping-particle":"","family":"Emami","given":"Amir","non-dropping-particle":"","parse-names":false,"suffix":""},{"dropping-particle":"","family":"Feasey","given":"Nicholas","non-dropping-particle":"","parse-names":false,"suffix":""},{"dropping-particle":"","family":"Fisher-Pearson","given":"Natasha","non-dropping-particle":"","parse-names":false,"suffix":""},{"dropping-particle":"","family":"Forrest","given":"Karen","non-dropping-particle":"","parse-names":false,"suffix":""},{"dropping-particle":"","family":"Garrett","given":"Denise","non-dropping-particle":"","parse-names":false,"suffix":""},{"dropping-particle":"","family":"Gastmeier","given":"Petra","non-dropping-particle":"","parse-names":false,"suffix":""},{"dropping-particle":"","family":"Giref","given":"Ababi Zergaw","non-dropping-particle":"","parse-names":false,"suffix":""},{"dropping-particle":"","family":"Greer","given":"Rachel Claire","non-dropping-particle":"","parse-names":false,"suffix":""},{"dropping-particle":"","family":"Gupta","given":"Vikas","non-dropping-particle":"","parse-names":false,"suffix":""},{"dropping-particle":"","family":"Haller","given":"Sebastian","non-dropping-particle":"","parse-names":false,"suffix":""},{"dropping-particle":"","family":"Haselbeck","given":"Andrea","non-dropping-particle":"","parse-names":false,"suffix":""},{"dropping-particle":"","family":"Hay","given":"Simon I.","non-dropping-particle":"","parse-names":false,"suffix":""},{"dropping-particle":"","family":"Holm","given":"Marianne","non-dropping-particle":"","parse-names":false,"suffix":""},{"dropping-particle":"","family":"Hopkins","given":"Susan","non-dropping-particle":"","parse-names":false,"suffix":""},{"dropping-particle":"","family":"Iregbu","given":"Kenneth C.","non-dropping-particle":"","parse-names":false,"suffix":""},{"dropping-particle":"","family":"Jacobs","given":"Jan","non-dropping-particle":"","parse-names":false,"suffix":""},{"dropping-particle":"","family":"Jarovsky","given":"Daniel","non-dropping-particle":"","parse-names":false,"suffix":""},{"dropping-particle":"","family":"Javanmardi","given":"Fatemeh","non-dropping-particle":"","parse-names":false,"suffix":""},{"dropping-particle":"","family":"Khorana","given":"Meera","non-dropping-particle":"","parse-names":false,"suffix":""},{"dropping-particle":"","family":"Kissoon","given":"Niranjan","non-dropping-particle":"","parse-names":false,"suffix":""},{"dropping-particle":"","family":"Kobeissi","given":"Elsa","non-dropping-particle":"","parse-names":false,"suffix":""},{"dropping-particle":"","family":"Kostyanev","given":"Tomislav","non-dropping-particle":"","parse-names":false,"suffix":""},{"dropping-particle":"","family":"Krapp","given":"Fiorella","non-dropping-particle":"","parse-names":false,"suffix":""},{"dropping-particle":"","family":"Krumkamp","given":"Ralf","non-dropping-particle":"","parse-names":false,"suffix":""},{"dropping-particle":"","family":"Kumar","given":"Ajay","non-dropping-particle":"","parse-names":false,"suffix":""},{"dropping-particle":"","family":"Kyu","given":"Hmwe Hmwe","non-dropping-particle":"","parse-names":false,"suffix":""},{"dropping-particle":"","family":"Lim","given":"Cherry","non-dropping-particle":"","parse-names":false,"suffix":""},{"dropping-particle":"","family":"Limmathurotsakul","given":"Direk","non-dropping-particle":"","parse-names":false,"suffix":""},{"dropping-particle":"","family":"Loftus","given":"Michael James","non-dropping-particle":"","parse-names":false,"suffix":""},{"dropping-particle":"","family":"Lunn","given":"Miles","non-dropping-particle":"","parse-names":false,"suffix":""},{"dropping-particle":"","family":"Ma","given":"Jianing","non-dropping-particle":"","parse-names":false,"suffix":""},{"dropping-particle":"","family":"Mturi","given":"Neema","non-dropping-particle":"","parse-names":false,"suffix":""},{"dropping-particle":"","family":"Munera-Huertas","given":"Tatiana","non-dropping-particle":"","parse-names":false,"suffix":""},{"dropping-particle":"","family":"Musicha","given":"Patrick","non-dropping-particle":"","parse-names":false,"suffix":""},{"dropping-particle":"","family":"Mussi-Pinhata","given":"Marisa Marcia","non-dropping-particle":"","parse-names":false,"suffix":""},{"dropping-particle":"","family":"Nakamura","given":"Tomoka","non-dropping-particle":"","parse-names":false,"suffix":""},{"dropping-particle":"","family":"Nanavati","given":"Ruchi","non-dropping-particle":"","parse-names":false,"suffix":""},{"dropping-particle":"","family":"Nangia","given":"Sushma","non-dropping-particle":"","parse-names":false,"suffix":""},{"dropping-particle":"","family":"Newton","given":"Paul","non-dropping-particle":"","parse-names":false,"suffix":""},{"dropping-particle":"","family":"Ngoun","given":"Chanpheaktra","non-dropping-particle":"","parse-names":false,"suffix":""},{"dropping-particle":"","family":"Novotney","given":"Amanda","non-dropping-particle":"","parse-names":false,"suffix":""},{"dropping-particle":"","family":"Nwakanma","given":"Davis","non-dropping-particle":"","parse-names":false,"suffix":""},{"dropping-particle":"","family":"Obiero","given":"Christina W.","non-dropping-particle":"","parse-names":false,"suffix":""},{"dropping-particle":"","family":"Olivas-Martinez","given":"Antonio","non-dropping-particle":"","parse-names":false,"suffix":""},{"dropping-particle":"","family":"Olliaro","given":"Piero","non-dropping-particle":"","parse-names":false,"suffix":""},{"dropping-particle":"","family":"Ooko","given":"Ednah","non-dropping-particle":"","parse-names":false,"suffix":""},{"dropping-particle":"","family":"Ortiz-Brizuela","given":"Edgar","non-dropping-particle":"","parse-names":false,"suffix":""},{"dropping-particle":"","family":"Peleg","given":"Anton Yariv","non-dropping-particle":"","parse-names":false,"suffix":""},{"dropping-particle":"","family":"Perrone","given":"Carlo","non-dropping-particle":"","parse-names":false,"suffix":""},{"dropping-particle":"","family":"Plakkal","given":"Nishad","non-dropping-particle":"","parse-names":false,"suffix":""},{"dropping-particle":"","family":"Ponce-de-Leon","given":"Alfredo","non-dropping-particle":"","parse-names":false,"suffix":""},{"dropping-particle":"","family":"Raad","given":"Mathieu","non-dropping-particle":"","parse-names":false,"suffix":""},{"dropping-particle":"","family":"Ramdin","given":"Tanusha","non-dropping-particle":"","parse-names":false,"suffix":""},{"dropping-particle":"","family":"Riddell","given":"Amy","non-dropping-particle":"","parse-names":false,"suffix":""},{"dropping-particle":"","family":"Roberts","given":"Tamalee","non-dropping-particle":"","parse-names":false,"suffix":""},{"dropping-particle":"","family":"Robotham","given":"Julie Victoria","non-dropping-particle":"","parse-names":false,"suffix":""},{"dropping-particle":"","family":"Roca","given":"Anna","non-dropping-particle":"","parse-names":false,"suffix":""},{"dropping-particle":"","family":"Rudd","given":"Kristina E.","non-dropping-particle":"","parse-names":false,"suffix":""},{"dropping-particle":"","family":"Russell","given":"Neal","non-dropping-particle":"","parse-names":false,"suffix":""},{"dropping-particle":"","family":"Schnall","given":"Jesse","non-dropping-particle":"","parse-names":false,"suffix":""},{"dropping-particle":"","family":"Scott","given":"John Anthony Gerard","non-dropping-particle":"","parse-names":false,"suffix":""},{"dropping-particle":"","family":"Shivamallappa","given":"Madhusudhan","non-dropping-particle":"","parse-names":false,"suffix":""},{"dropping-particle":"","family":"Sifuentes-Osornio","given":"Jose","non-dropping-particle":"","parse-names":false,"suffix":""},{"dropping-particle":"","family":"Steenkeste","given":"Nicolas","non-dropping-particle":"","parse-names":false,"suffix":""},{"dropping-particle":"","family":"Stewardson","given":"Andrew James","non-dropping-particle":"","parse-names":false,"suffix":""},{"dropping-particle":"","family":"Stoeva","given":"Temenuga","non-dropping-particle":"","parse-names":false,"suffix":""},{"dropping-particle":"","family":"Tasak","given":"Nidanuch","non-dropping-particle":"","parse-names":false,"suffix":""},{"dropping-particle":"","family":"Thaiprakong","given":"Areerat","non-dropping-particle":"","parse-names":false,"suffix":""},{"dropping-particle":"","family":"Thwaites","given":"Guy","non-dropping-particle":"","parse-names":false,"suffix":""},{"dropping-particle":"","family":"Turner","given":"Claudia","non-dropping-particle":"","parse-names":false,"suffix":""},{"dropping-particle":"","family":"Turner","given":"Paul","non-dropping-particle":"","parse-names":false,"suffix":""},{"dropping-particle":"","family":"Doorn","given":"H. Rogier","non-dropping-particle":"van","parse-names":false,"suffix":""},{"dropping-particle":"","family":"Velaphi","given":"Sithembiso","non-dropping-particle":"","parse-names":false,"suffix":""},{"dropping-particle":"","family":"Vongpradith","given":"Avina","non-dropping-particle":"","parse-names":false,"suffix":""},{"dropping-particle":"","family":"Vu","given":"Huong","non-dropping-particle":"","parse-names":false,"suffix":""},{"dropping-particle":"","family":"Walsh","given":"Timothy","non-dropping-particle":"","parse-names":false,"suffix":""},{"dropping-particle":"","family":"Waner","given":"Seymour","non-dropping-particle":"","parse-names":false,"suffix":""},{"dropping-particle":"","family":"Wangrangsimakul","given":"Tri","non-dropping-particle":"","parse-names":false,"suffix":""},{"dropping-particle":"","family":"Wozniak","given":"Teresa","non-dropping-particle":"","parse-names":false,"suffix":""},{"dropping-particle":"","family":"Zheng","given":"Peng","non-dropping-particle":"","parse-names":false,"suffix":""},{"dropping-particle":"","family":"Sartorius","given":"Benn","non-dropping-particle":"","parse-names":false,"suffix":""},{"dropping-particle":"","family":"Lopez","given":"Alan D.","non-dropping-particle":"","parse-names":false,"suffix":""},{"dropping-particle":"","family":"Stergachis","given":"Andy","non-dropping-particle":"","parse-names":false,"suffix":""},{"dropping-particle":"","family":"Moore","given":"Catrin","non-dropping-particle":"","parse-names":false,"suffix":""},{"dropping-particle":"","family":"Dolecek","given":"Christiane","non-dropping-particle":"","parse-names":false,"suffix":""},{"dropping-particle":"","family":"Naghavi","given":"Mohsen","non-dropping-particle":"","parse-names":false,"suffix":""}],"container-title":"The Lancet","id":"ITEM-3","issue":"10325","issued":{"date-parts":[["2022","2","12"]]},"page":"629-655","publisher":"Elsevier B.V.","title":"Global burden of bacterial antimicrobial resistance in 2019: a systematic analysis","type":"article-journal","volume":"399"},"uris":["http://www.mendeley.com/documents/?uuid=7fc462c7-f5c8-317c-abbb-e3a4ccf44033"]},{"id":"ITEM-4","itemData":{"DOI":"10.1016/S0140-6736(24)01867-1","ISSN":"0140-6736","PMID":"39299261","abstract":"Summary Background Antimicrobial resistance (AMR) poses an important global health challenge in the 21st century. A previous study has quantified the global and regional burden of AMR for 2019, followed with additional publications that provided more detailed estimates for several WHO regions by country. To date, there have been no studies that produce comprehensive estimates of AMR burden across locations that encompass historical trends and future forecasts. Methods We estimated all-age and age-specific deaths and disability-adjusted life-years (DALYs) attributable to and associated with bacterial AMR for 22 pathogens, 84 pathogen–drug combinations, and 11 infectious syndromes in 204 countries and territories from 1990 to 2021. We collected and used multiple cause of death data, hospital discharge data, microbiology data, literature studies, single drug resistance profiles, pharmaceutical sales, antibiotic use surveys, mortality surveillance, linkage data, outpatient and inpatient insurance claims data, and previously published data, covering 520 million individual records or isolates and 19 513 study-location-years. We used statistical modelling to produce estimates of AMR burden for all locations, including those with no data. Our approach leverages the estimation of five broad component quantities: the number of deaths involving sepsis; the proportion of infectious deaths attributable to a given infectious syndrome; the proportion of infectious syndrome deaths attributable to a given pathogen; the percentage of a given pathogen resistant to an antibiotic of interest; and the excess risk of death or duration of an infection associated with this resistance. Using these components, we estimated disease burden attributable to and associated with AMR, which we define based on two counterfactuals; respectively, an alternative scenario in which all drug-resistant infections are replaced by drug-susceptible infections, and an alternative scenario in which all drug-resistant infections were replaced by no infection. Additionally, we produced global and regional forecasts of AMR burden until 2050 for three scenarios: a reference scenario that is a probabilistic forecast of the most likely future; a Gram-negative drug scenario that assumes future drug development that targets Gram-negative pathogens; and a better care scenario that assumes future improvements in health-care quality and access to appropriate antimicrobials. We present final estimates aggregate…","author":[{"dropping-particle":"","family":"Naghavi","given":"Mohsen","non-dropping-particle":"","parse-names":false,"suffix":""},{"dropping-particle":"","family":"Emil Vollset","given":"Stein","non-dropping-particle":"","parse-names":false,"suffix":""},{"dropping-particle":"","family":"Ikuta","given":"Kevin S","non-dropping-particle":"","parse-names":false,"suffix":""},{"dropping-particle":"","family":"Swetschinski","given":"Lucien R","non-dropping-particle":"","parse-names":false,"suffix":""},{"dropping-particle":"","family":"Gray","given":"Authia P","non-dropping-particle":"","parse-names":false,"suffix":""},{"dropping-particle":"","family":"Wool","given":"Eve E","non-dropping-particle":"","parse-names":false,"suffix":""},{"dropping-particle":"","family":"Robles Aguilar","given":"Gisela","non-dropping-particle":"","parse-names":false,"suffix":""},{"dropping-particle":"","family":"Mestrovic","given":"Tomislav","non-dropping-particle":"","parse-names":false,"suffix":""},{"dropping-particle":"","family":"Smith","given":"Georgia","non-dropping-particle":"","parse-names":false,"suffix":""},{"dropping-particle":"","family":"Han","given":"Chieh","non-dropping-particle":"","parse-names":false,"suffix":""},{"dropping-particle":"","family":"Hsu","given":"Rebecca L","non-dropping-particle":"","parse-names":false,"suffix":""},{"dropping-particle":"","family":"Chalek","given":"Julian","non-dropping-particle":"","parse-names":false,"suffix":""},{"dropping-particle":"","family":"Araki","given":"Daniel T","non-dropping-particle":"","parse-names":false,"suffix":""},{"dropping-particle":"","family":"Chung","given":"Erin","non-dropping-particle":"","parse-names":false,"suffix":""},{"dropping-particle":"","family":"Raggi","given":"Catalina","non-dropping-particle":"","parse-names":false,"suffix":""},{"dropping-particle":"","family":"Gershberg Hayoon","given":"Anna","non-dropping-particle":"","parse-names":false,"suffix":""},{"dropping-particle":"","family":"Davis Weaver","given":"Nicole","non-dropping-particle":"","parse-names":false,"suffix":""},{"dropping-particle":"","family":"Lindstedt","given":"Paulina A","non-dropping-particle":"","parse-names":false,"suffix":""},{"dropping-particle":"","family":"Smith","given":"Amanda E","non-dropping-particle":"","parse-names":false,"suffix":""},{"dropping-particle":"","family":"Altay","given":"Umut","non-dropping-particle":"","parse-names":false,"suffix":""},{"dropping-particle":"V","family":"Bhattacharjee","given":"Natalia","non-dropping-particle":"","parse-names":false,"suffix":""},{"dropping-particle":"","family":"Giannakis","given":"Konstantinos","non-dropping-particle":"","parse-names":false,"suffix":""},{"dropping-particle":"","family":"Fell","given":"Frederick","non-dropping-particle":"","parse-names":false,"suffix":""},{"dropping-particle":"","family":"McManigal","given":"Barney","non-dropping-particle":"","parse-names":false,"suffix":""},{"dropping-particle":"","family":"Ekapirat","given":"Nattwut","non-dropping-particle":"","parse-names":false,"suffix":""},{"dropping-particle":"","family":"Andretta Mendes","given":"Jessica","non-dropping-particle":"","parse-names":false,"suffix":""},{"dropping-particle":"","family":"Runghien","given":"Tilleye","non-dropping-particle":"","parse-names":false,"suffix":""},{"dropping-particle":"","family":"Srimokla","given":"Oraya","non-dropping-particle":"","parse-names":false,"suffix":""},{"dropping-particle":"","family":"Abdelkader","given":"Atef","non-dropping-particle":"","parse-names":false,"suffix":""},{"dropping-particle":"","family":"Abd-Elsalam","given":"Sherief","non-dropping-particle":"","parse-names":false,"suffix":""},{"dropping-particle":"","family":"Gyan Aboagye","given":"Richard","non-dropping-particle":"","parse-names":false,"suffix":""},{"dropping-particle":"","family":"Abolhassani","given":"Hassan","non-dropping-particle":"","parse-names":false,"suffix":""},{"dropping-particle":"","family":"Abualruz","given":"Hasan","non-dropping-particle":"","parse-names":false,"suffix":""},{"dropping-particle":"","family":"Abubakar","given":"Usman","non-dropping-particle":"","parse-names":false,"suffix":""},{"dropping-particle":"","family":"Abukhadijah","given":"Hana J","non-dropping-particle":"","parse-names":false,"suffix":""},{"dropping-particle":"","family":"Aburuz","given":"Salahdein","non-dropping-particle":"","parse-names":false,"suffix":""},{"dropping-particle":"","family":"Abu-Zaid","given":"Ahmed","non-dropping-particle":"","parse-names":false,"suffix":""},{"dropping-particle":"","family":"Achalapong","given":"Sureerak","non-dropping-particle":"","parse-names":false,"suffix":""},{"dropping-particle":"","family":"Yeboah Addo","given":"Isaac","non-dropping-particle":"","parse-names":false,"suffix":""},{"dropping-particle":"","family":"Adekanmbi","given":"Victor","non-dropping-particle":"","parse-names":false,"suffix":""},{"dropping-particle":"","family":"Esther Adeyeoluwa","given":"Temitayo","non-dropping-particle":"","parse-names":false,"suffix":""},{"dropping-particle":"","family":"Estiningtyas Sakilah Adnani","given":"Qorinah","non-dropping-particle":"","parse-names":false,"suffix":""},{"dropping-particle":"","family":"Akua Adzigbli","given":"Leticia","non-dropping-particle":"","parse-names":false,"suffix":""},{"dropping-particle":"","family":"Sohail Afzal","given":"Muhammad","non-dropping-particle":"","parse-names":false,"suffix":""},{"dropping-particle":"","family":"Afzal","given":"Saira","non-dropping-particle":"","parse-names":false,"suffix":""},{"dropping-particle":"","family":"Agodi","given":"Antonella","non-dropping-particle":"","parse-names":false,"suffix":""},{"dropping-particle":"","family":"Ahlstrom","given":"Austin J","non-dropping-particle":"","parse-names":false,"suffix":""},{"dropping-particle":"","family":"Ahmad","given":"Aqeel","non-dropping-particle":"","parse-names":false,"suffix":""},{"dropping-particle":"","family":"Ahmad","given":"Sajjad","non-dropping-particle":"","parse-names":false,"suffix":""},{"dropping-particle":"","family":"Ahmad","given":"Tauseef","non-dropping-particle":"","parse-names":false,"suffix":""},{"dropping-particle":"","family":"Ahmadi","given":"Ali","non-dropping-particle":"","parse-names":false,"suffix":""},{"dropping-particle":"","family":"Ahmed","given":"Ayman","non-dropping-particle":"","parse-names":false,"suffix":""},{"dropping-particle":"","family":"Ahmed","given":"Haroon","non-dropping-particle":"","parse-names":false,"suffix":""},{"dropping-particle":"","family":"Ahmed","given":"Ibrar","non-dropping-particle":"","parse-names":false,"suffix":""},{"dropping-particle":"","family":"Ahmed","given":"Mohammed","non-dropping-particle":"","parse-names":false,"suffix":""},{"dropping-particle":"","family":"Ahmed","given":"Saeed","non-dropping-particle":"","parse-names":false,"suffix":""},{"dropping-particle":"","family":"Anees Ahmed","given":"Syed","non-dropping-particle":"","parse-names":false,"suffix":""},{"dropping-particle":"","family":"Ahmed Akkaif","given":"Mohammed","non-dropping-particle":"","parse-names":false,"suffix":""},{"dropping-particle":"","family":"Awaidy","given":"Salah","non-dropping-particle":"Al","parse-names":false,"suffix":""},{"dropping-particle":"","family":"Thaher","given":"Yazan","non-dropping-particle":"Al","parse-names":false,"suffix":""},{"dropping-particle":"","family":"Alalalmeh","given":"Samer O","non-dropping-particle":"","parse-names":false,"suffix":""},{"dropping-particle":"","family":"AlBataineh","given":"Mohammad T","non-dropping-particle":"","parse-names":false,"suffix":""},{"dropping-particle":"","family":"Aldhaleei","given":"Wafa A","non-dropping-particle":"","parse-names":false,"suffix":""},{"dropping-particle":"","family":"Ali Saeed Al-Gheethi","given":"Adel","non-dropping-particle":"","parse-names":false,"suffix":""},{"dropping-particle":"","family":"Bida Alhaji","given":"Nma","non-dropping-particle":"","parse-names":false,"suffix":""},{"dropping-particle":"","family":"Ali","given":"Abid","non-dropping-particle":"","parse-names":false,"suffix":""},{"dropping-particle":"","family":"Ali","given":"Liaqat","non-dropping-particle":"","parse-names":false,"suffix":""},{"dropping-particle":"","family":"Shujait Ali","given":"Syed","non-dropping-particle":"","parse-names":false,"suffix":""},{"dropping-particle":"","family":"Ali","given":"Waad","non-dropping-particle":"","parse-names":false,"suffix":""},{"dropping-particle":"","family":"Allel","given":"Kasim","non-dropping-particle":"","parse-names":false,"suffix":""},{"dropping-particle":"","family":"Al-Marwani","given":"Sabah","non-dropping-particle":"","parse-names":false,"suffix":""},{"dropping-particle":"","family":"Alrawashdeh","given":"Ahmad","non-dropping-particle":"","parse-names":false,"suffix":""},{"dropping-particle":"","family":"Altaf","given":"Awais","non-dropping-particle":"","parse-names":false,"suffix":""},{"dropping-particle":"","family":"Al-Tammemi","given":"Alaa B","non-dropping-particle":"","parse-names":false,"suffix":""},{"dropping-particle":"","family":"Al-Tawfiq","given":"Jaffar A","non-dropping-particle":"","parse-names":false,"suffix":""},{"dropping-particle":"","family":"Alzoubi","given":"Karem H","non-dropping-particle":"","parse-names":false,"suffix":""},{"dropping-particle":"","family":"Adnan Al-Zyoud","given":"Walid","non-dropping-particle":"","parse-names":false,"suffix":""},{"dropping-particle":"","family":"Amos","given":"Ben","non-dropping-particle":"","parse-names":false,"suffix":""},{"dropping-particle":"","family":"Amuasi","given":"John H","non-dropping-particle":"","parse-names":false,"suffix":""},{"dropping-particle":"","family":"Ancuceanu","given":"Robert","non-dropping-particle":"","parse-names":false,"suffix":""},{"dropping-particle":"","family":"Andrews","given":"Jason R","non-dropping-particle":"","parse-names":false,"suffix":""},{"dropping-particle":"","family":"Anil","given":"Abhishek","non-dropping-particle":"","parse-names":false,"suffix":""},{"dropping-particle":"","family":"Adesola Anuoluwa","given":"Iyadunni","non-dropping-particle":"","parse-names":false,"suffix":""},{"dropping-particle":"","family":"Anvari","given":"Saeid","non-dropping-particle":"","parse-names":false,"suffix":""},{"dropping-particle":"","family":"Edward Anyasodor","given":"Anayochukwu","non-dropping-particle":"","parse-names":false,"suffix":""},{"dropping-particle":"","family":"Louis Carace Apostol","given":"Geminn","non-dropping-particle":"","parse-names":false,"suffix":""},{"dropping-particle":"","family":"Arabloo","given":"Jalal","non-dropping-particle":"","parse-names":false,"suffix":""},{"dropping-particle":"","family":"Arafat","given":"Mosab","non-dropping-particle":"","parse-names":false,"suffix":""},{"dropping-particle":"","family":"Aravkin","given":"Aleksandr Y","non-dropping-particle":"","parse-names":false,"suffix":""},{"dropping-particle":"","family":"Areda","given":"Demelash","non-dropping-particle":"","parse-names":false,"suffix":""},{"dropping-particle":"","family":"Aremu","given":"Abdulfatai","non-dropping-particle":"","parse-names":false,"suffix":""},{"dropping-particle":"","family":"Artamonov","given":"Anton A","non-dropping-particle":"","parse-names":false,"suffix":""},{"dropping-particle":"","family":"Ashley","given":"Elizabeth A","non-dropping-particle":"","parse-names":false,"suffix":""},{"dropping-particle":"","family":"Asika","given":"Marvellous O","non-dropping-particle":"","parse-names":false,"suffix":""},{"dropping-particle":"","family":"Shamsadin Athari","given":"Seyyed","non-dropping-particle":"","parse-names":false,"suffix":""},{"dropping-particle":"","family":"Moh","given":"Maha","non-dropping-particle":"","parse-names":false,"suffix":""},{"dropping-particle":"","family":"Atout","given":"Wahbi","non-dropping-particle":"","parse-names":false,"suffix":""},{"dropping-particle":"","family":"Awoke","given":"Tewachew","non-dropping-particle":"","parse-names":false,"suffix":""},{"dropping-particle":"","family":"Azadnajafabad","given":"Sina","non-dropping-particle":"","parse-names":false,"suffix":""},{"dropping-particle":"","family":"Mba Azam","given":"James","non-dropping-particle":"","parse-names":false,"suffix":""},{"dropping-particle":"","family":"Aziz","given":"Shahkaar","non-dropping-particle":"","parse-names":false,"suffix":""},{"dropping-particle":"","family":"Azzam","given":"Ahmed Y","non-dropping-particle":"","parse-names":false,"suffix":""},{"dropping-particle":"","family":"Babaei","given":"Mahsa","non-dropping-particle":"","parse-names":false,"suffix":""},{"dropping-particle":"","family":"Babin","given":"Francois-Xavier","non-dropping-particle":"","parse-names":false,"suffix":""},{"dropping-particle":"","family":"Badar","given":"Muhammad","non-dropping-particle":"","parse-names":false,"suffix":""},{"dropping-particle":"","family":"Amin Baig","given":"Atif","non-dropping-particle":"","parse-names":false,"suffix":""},{"dropping-particle":"","family":"Bajcetic","given":"Milica","non-dropping-particle":"","parse-names":false,"suffix":""},{"dropping-particle":"","family":"Baker","given":"Stephen","non-dropping-particle":"","parse-names":false,"suffix":""},{"dropping-particle":"","family":"Bardhan","given":"Mainak","non-dropping-particle":"","parse-names":false,"suffix":""},{"dropping-particle":"","family":"Jawdat Barqawi","given":"Hiba","non-dropping-particle":"","parse-names":false,"suffix":""},{"dropping-particle":"","family":"Basharat","given":"Zarrin","non-dropping-particle":"","parse-names":false,"suffix":""},{"dropping-particle":"","family":"Basiru","given":"Afisu","non-dropping-particle":"","parse-names":false,"suffix":""},{"dropping-particle":"","family":"Bastard","given":"Mathieu","non-dropping-particle":"","parse-names":false,"suffix":""},{"dropping-particle":"","family":"Basu","given":"Saurav","non-dropping-particle":"","parse-names":false,"suffix":""},{"dropping-particle":"","family":"Simegnew Bayleyegn","given":"Nebiyou","non-dropping-particle":"","parse-names":false,"suffix":""},{"dropping-particle":"","family":"Ashagrie Belete","given":"Melaku","non-dropping-particle":"","parse-names":false,"suffix":""},{"dropping-particle":"","family":"Omolaja Bello","given":"Olorunjuwon","non-dropping-particle":"","parse-names":false,"suffix":""},{"dropping-particle":"","family":"Beloukas","given":"Apostolos","non-dropping-particle":"","parse-names":false,"suffix":""},{"dropping-particle":"","family":"Berkley","given":"James A","non-dropping-particle":"","parse-names":false,"suffix":""},{"dropping-particle":"","family":"Srikanth Bhagavathula","given":"Akshaya","non-dropping-particle":"","parse-names":false,"suffix":""},{"dropping-particle":"","family":"Bhaskar","given":"Sonu","non-dropping-particle":"","parse-names":false,"suffix":""},{"dropping-particle":"","family":"Bhuyan","given":"Soumitra S","non-dropping-particle":"","parse-names":false,"suffix":""},{"dropping-particle":"","family":"Bielicki","given":"Julia A","non-dropping-particle":"","parse-names":false,"suffix":""},{"dropping-particle":"","family":"Ivanovich Briko","given":"Nikolay","non-dropping-particle":"","parse-names":false,"suffix":""},{"dropping-particle":"","family":"Stewart Brown","given":"Colin","non-dropping-particle":"","parse-names":false,"suffix":""},{"dropping-particle":"","family":"Browne","given":"Annie J","non-dropping-particle":"","parse-names":false,"suffix":""},{"dropping-particle":"","family":"Buonsenso","given":"Danilo","non-dropping-particle":"","parse-names":false,"suffix":""},{"dropping-particle":"","family":"Bustanji","given":"Yasser","non-dropping-particle":"","parse-names":false,"suffix":""},{"dropping-particle":"","family":"Carvalheiro","given":"Cristina G","non-dropping-particle":"","parse-names":false,"suffix":""},{"dropping-particle":"","family":"Castañeda-Orjuela","given":"Carlos A","non-dropping-particle":"","parse-names":false,"suffix":""},{"dropping-particle":"","family":"Cenderadewi","given":"Muthia","non-dropping-particle":"","parse-names":false,"suffix":""},{"dropping-particle":"","family":"Chadwick","given":"Joshua","non-dropping-particle":"","parse-names":false,"suffix":""},{"dropping-particle":"","family":"Chakraborty","given":"Sandip","non-dropping-particle":"","parse-names":false,"suffix":""},{"dropping-particle":"","family":"Mohan Chandika","given":"Rama","non-dropping-particle":"","parse-names":false,"suffix":""},{"dropping-particle":"","family":"Chandy","given":"Sara","non-dropping-particle":"","parse-names":false,"suffix":""},{"dropping-particle":"","family":"Chansamouth","given":"Vilada","non-dropping-particle":"","parse-names":false,"suffix":""},{"dropping-particle":"","family":"Kumar Chattu","given":"Vijay","non-dropping-particle":"","parse-names":false,"suffix":""},{"dropping-particle":"","family":"Ahmad Chaudhary","given":"Anis","non-dropping-particle":"","parse-names":false,"suffix":""},{"dropping-particle":"","family":"Ching","given":"Patrick R","non-dropping-particle":"","parse-names":false,"suffix":""},{"dropping-particle":"","family":"Chopra","given":"Hitesh","non-dropping-particle":"","parse-names":false,"suffix":""},{"dropping-particle":"","family":"Rabbi Chowdhury","given":"Fazle","non-dropping-particle":"","parse-names":false,"suffix":""},{"dropping-particle":"","family":"Chu","given":"Dinh-Toi","non-dropping-particle":"","parse-names":false,"suffix":""},{"dropping-particle":"","family":"Chutiyami","given":"Muhammad","non-dropping-particle":"","parse-names":false,"suffix":""},{"dropping-particle":"","family":"Cruz-Martins","given":"Natalia","non-dropping-particle":"","parse-names":false,"suffix":""},{"dropping-particle":"","family":"Gomes da Silva","given":"Alanna","non-dropping-particle":"","parse-names":false,"suffix":""},{"dropping-particle":"","family":"Dadras","given":"Omid","non-dropping-particle":"","parse-names":false,"suffix":""},{"dropping-particle":"","family":"Dai","given":"Xiaochen","non-dropping-particle":"","parse-names":false,"suffix":""},{"dropping-particle":"","family":"Darcho","given":"Samuel D","non-dropping-particle":"","parse-names":false,"suffix":""},{"dropping-particle":"","family":"Das","given":"Saswati","non-dropping-particle":"","parse-names":false,"suffix":""},{"dropping-particle":"","family":"Pio De la Hoz","given":"Fernando","non-dropping-particle":"","parse-names":false,"suffix":""},{"dropping-particle":"","family":"Myriam Dekker","given":"Denise","non-dropping-particle":"","parse-names":false,"suffix":""},{"dropping-particle":"","family":"Dhama","given":"Kuldeep","non-dropping-particle":"","parse-names":false,"suffix":""},{"dropping-particle":"","family":"Diaz","given":"Daniel","non-dropping-particle":"","parse-names":false,"suffix":""},{"dropping-particle":"","family":"Felix Rothschild Dickson","given":"Benjamin","non-dropping-particle":"","parse-names":false,"suffix":""},{"dropping-particle":"","family":"Ghislain Djorie","given":"Serge","non-dropping-particle":"","parse-names":false,"suffix":""},{"dropping-particle":"","family":"Dodangeh","given":"Milad","non-dropping-particle":"","parse-names":false,"suffix":""},{"dropping-particle":"","family":"Dohare","given":"Sushil","non-dropping-particle":"","parse-names":false,"suffix":""},{"dropping-particle":"","family":"Georgieva Dokova","given":"Klara","non-dropping-particle":"","parse-names":false,"suffix":""},{"dropping-particle":"","family":"Prakashbhai Doshi","given":"Ojas","non-dropping-particle":"","parse-names":false,"suffix":""},{"dropping-particle":"","family":"Kokou Dowou","given":"Robert","non-dropping-particle":"","parse-names":false,"suffix":""},{"dropping-particle":"","family":"Larson Dsouza","given":"Haneil","non-dropping-particle":"","parse-names":false,"suffix":""},{"dropping-particle":"","family":"Dunachie","given":"Susanna J","non-dropping-particle":"","parse-names":false,"suffix":""},{"dropping-particle":"","family":"Marian Dziedzic","given":"Arkadiusz","non-dropping-particle":"","parse-names":false,"suffix":""},{"dropping-particle":"","family":"Eckmanns","given":"Tim","non-dropping-particle":"","parse-names":false,"suffix":""},{"dropping-particle":"","family":"Ed-Dra","given":"Abdelaziz","non-dropping-particle":"","parse-names":false,"suffix":""},{"dropping-particle":"","family":"Eftekharimehrabad","given":"Aziz","non-dropping-particle":"","parse-names":false,"suffix":""},{"dropping-particle":"","family":"Cyrus Ekundayo","given":"Temitope","non-dropping-particle":"","parse-names":false,"suffix":""},{"dropping-particle":"","family":"Sayed","given":"Iman","non-dropping-particle":"El","parse-names":false,"suffix":""},{"dropping-particle":"","family":"Elhadi","given":"Muhammed","non-dropping-particle":"","parse-names":false,"suffix":""},{"dropping-particle":"","family":"El-Huneidi","given":"Waseem","non-dropping-particle":"","parse-names":false,"suffix":""},{"dropping-particle":"","family":"Elias","given":"Christelle","non-dropping-particle":"","parse-names":false,"suffix":""},{"dropping-particle":"","family":"Ellis","given":"Sally J","non-dropping-particle":"","parse-names":false,"suffix":""},{"dropping-particle":"","family":"Elsheikh","given":"Randa","non-dropping-particle":"","parse-names":false,"suffix":""},{"dropping-particle":"","family":"Elsohaby","given":"Ibrahim","non-dropping-particle":"","parse-names":false,"suffix":""},{"dropping-particle":"","family":"Eltaha","given":"Chadi","non-dropping-particle":"","parse-names":false,"suffix":""},{"dropping-particle":"","family":"Eshrati","given":"Babak","non-dropping-particle":"","parse-names":false,"suffix":""},{"dropping-particle":"","family":"Eslami","given":"Majid","non-dropping-particle":"","parse-names":false,"suffix":""},{"dropping-particle":"","family":"William Eyre","given":"David","non-dropping-particle":"","parse-names":false,"suffix":""},{"dropping-particle":"","family":"Oluwaseun Fadaka","given":"Adewale","non-dropping-particle":"","parse-names":false,"suffix":""},{"dropping-particle":"","family":"Francis Fagbamigbe","given":"Adeniyi","non-dropping-particle":"","parse-names":false,"suffix":""},{"dropping-particle":"","family":"Fahim","given":"Ayesha","non-dropping-particle":"","parse-names":false,"suffix":""},{"dropping-particle":"","family":"Fakhri-Demeshghieh","given":"Aliasghar","non-dropping-particle":"","parse-names":false,"suffix":""},{"dropping-particle":"","family":"Oludayo Fasina","given":"Folorunso","non-dropping-particle":"","parse-names":false,"suffix":""},{"dropping-particle":"","family":"Margaret Fasina","given":"Modupe","non-dropping-particle":"","parse-names":false,"suffix":""},{"dropping-particle":"","family":"Fatehizadeh","given":"Ali","non-dropping-particle":"","parse-names":false,"suffix":""},{"dropping-particle":"","family":"Feasey","given":"Nicholas A","non-dropping-particle":"","parse-names":false,"suffix":""},{"dropping-particle":"","family":"Feizkhah","given":"Alireza","non-dropping-particle":"","parse-names":false,"suffix":""},{"dropping-particle":"","family":"Fekadu","given":"Ginenus","non-dropping-particle":"","parse-names":false,"suffix":""},{"dropping-particle":"","family":"Fischer","given":"Florian","non-dropping-particle":"","parse-names":false,"suffix":""},{"dropping-particle":"","family":"Fitriana","given":"Ida","non-dropping-particle":"","parse-names":false,"suffix":""},{"dropping-particle":"","family":"Forrest","given":"Karen M","non-dropping-particle":"","parse-names":false,"suffix":""},{"dropping-particle":"","family":"Fortuna Rodrigues","given":"Celia","non-dropping-particle":"","parse-names":false,"suffix":""},{"dropping-particle":"","family":"Fuller","given":"John E","non-dropping-particle":"","parse-names":false,"suffix":""},{"dropping-particle":"","family":"Gadanya","given":"Muktar A","non-dropping-particle":"","parse-names":false,"suffix":""},{"dropping-particle":"","family":"Gajdács","given":"Márió","non-dropping-particle":"","parse-names":false,"suffix":""},{"dropping-particle":"","family":"Gandhi","given":"Aravind P","non-dropping-particle":"","parse-names":false,"suffix":""},{"dropping-particle":"","family":"Garcia-Gallo","given":"Esteban E","non-dropping-particle":"","parse-names":false,"suffix":""},{"dropping-particle":"","family":"Garrett","given":"Denise O","non-dropping-particle":"","parse-names":false,"suffix":""},{"dropping-particle":"","family":"Gautam","given":"Rupesh K","non-dropping-particle":"","parse-names":false,"suffix":""},{"dropping-particle":"","family":"Welay Gebregergis","given":"Miglas","non-dropping-particle":"","parse-names":false,"suffix":""},{"dropping-particle":"","family":"Gebrehiwot","given":"Mesfin","non-dropping-particle":"","parse-names":false,"suffix":""},{"dropping-particle":"","family":"Gebru Gebremeskel","given":"Teferi","non-dropping-particle":"","parse-names":false,"suffix":""},{"dropping-particle":"","family":"Geffers","given":"Christine","non-dropping-particle":"","parse-names":false,"suffix":""},{"dropping-particle":"","family":"Georgalis","given":"Leonidas","non-dropping-particle":"","parse-names":false,"suffix":""},{"dropping-particle":"","family":"Mohamed Ghazy","given":"Ramy","non-dropping-particle":"","parse-names":false,"suffix":""},{"dropping-particle":"","family":"Golechha","given":"Mahaveer","non-dropping-particle":"","parse-names":false,"suffix":""},{"dropping-particle":"","family":"Golinelli","given":"Davide","non-dropping-particle":"","parse-names":false,"suffix":""},{"dropping-particle":"","family":"Gordon","given":"Melita","non-dropping-particle":"","parse-names":false,"suffix":""},{"dropping-particle":"","family":"Gulati","given":"Snigdha","non-dropping-particle":"","parse-names":false,"suffix":""},{"dropping-particle":"","family":"Gupta","given":"Rajat","non-dropping-particle":"Das","parse-names":false,"suffix":""},{"dropping-particle":"","family":"Gupta","given":"Sapna","non-dropping-particle":"","parse-names":false,"suffix":""},{"dropping-particle":"","family":"Kumar Gupta","given":"Vijai","non-dropping-particle":"","parse-names":false,"suffix":""},{"dropping-particle":"","family":"Derbie Habteyohannes","given":"Awoke","non-dropping-particle":"","parse-names":false,"suffix":""},{"dropping-particle":"","family":"Haller","given":"Sebastian","non-dropping-particle":"","parse-names":false,"suffix":""},{"dropping-particle":"","family":"Harapan","given":"Harapan","non-dropping-particle":"","parse-names":false,"suffix":""},{"dropping-particle":"","family":"Harrison","given":"Michelle L","non-dropping-particle":"","parse-names":false,"suffix":""},{"dropping-particle":"","family":"Hasaballah","given":"Ahmed I","non-dropping-particle":"","parse-names":false,"suffix":""},{"dropping-particle":"","family":"Hasan","given":"Ikramul","non-dropping-particle":"","parse-names":false,"suffix":""},{"dropping-particle":"","family":"Syeda Hasan","given":"Rumina","non-dropping-particle":"","parse-names":false,"suffix":""},{"dropping-particle":"","family":"Hasani","given":"Hamidreza","non-dropping-particle":"","parse-names":false,"suffix":""},{"dropping-particle":"","family":"Haekyung Haselbeck","given":"Andrea","non-dropping-particle":"","parse-names":false,"suffix":""},{"dropping-particle":"","family":"Saquib Hasnain","given":"Md","non-dropping-particle":"","parse-names":false,"suffix":""},{"dropping-particle":"","family":"Ibrahim Hassan","given":"Ikrama","non-dropping-particle":"","parse-names":false,"suffix":""},{"dropping-particle":"","family":"Hassan","given":"Shoaib","non-dropping-particle":"","parse-names":false,"suffix":""},{"dropping-particle":"","family":"Sadat Hassan Zadeh Tabatabaei","given":"Mahgol","non-dropping-particle":"","parse-names":false,"suffix":""},{"dropping-particle":"","family":"Hayat","given":"Khezar","non-dropping-particle":"","parse-names":false,"suffix":""},{"dropping-particle":"","family":"He","given":"Jiawei","non-dropping-particle":"","parse-names":false,"suffix":""},{"dropping-particle":"","family":"Hegazi","given":"Omar E","non-dropping-particle":"","parse-names":false,"suffix":""},{"dropping-particle":"","family":"Heidari","given":"Mohammad","non-dropping-particle":"","parse-names":false,"suffix":""},{"dropping-particle":"","family":"Hezam","given":"Kamal","non-dropping-particle":"","parse-names":false,"suffix":""},{"dropping-particle":"","family":"Holla","given":"Ramesh","non-dropping-particle":"","parse-names":false,"suffix":""},{"dropping-particle":"","family":"Holm","given":"Marianne","non-dropping-particle":"","parse-names":false,"suffix":""},{"dropping-particle":"","family":"Hopkins","given":"Heidi","non-dropping-particle":"","parse-names":false,"suffix":""},{"dropping-particle":"","family":"Mahbub Hossain","given":"Md","non-dropping-particle":"","parse-names":false,"suffix":""},{"dropping-particle":"","family":"Hosseinzadeh","given":"Mehdi","non-dropping-particle":"","parse-names":false,"suffix":""},{"dropping-particle":"","family":"Hostiuc","given":"Sorin","non-dropping-particle":"","parse-names":false,"suffix":""},{"dropping-particle":"","family":"Hussein","given":"Nawfal R","non-dropping-particle":"","parse-names":false,"suffix":""},{"dropping-particle":"","family":"Duc Huy","given":"Le","non-dropping-particle":"","parse-names":false,"suffix":""},{"dropping-particle":"","family":"Ibáñez-Prada","given":"Elsa D","non-dropping-particle":"","parse-names":false,"suffix":""},{"dropping-particle":"","family":"Ikiroma","given":"Adalia","non-dropping-particle":"","parse-names":false,"suffix":""},{"dropping-particle":"","family":"Ilic","given":"Irena M","non-dropping-particle":"","parse-names":false,"suffix":""},{"dropping-particle":"","family":"Mohammed Shariful Islam","given":"Sheikh","non-dropping-particle":"","parse-names":false,"suffix":""},{"dropping-particle":"","family":"Ismail","given":"Faisal","non-dropping-particle":"","parse-names":false,"suffix":""},{"dropping-particle":"","family":"Elkudssiah Ismail","given":"Nahlah","non-dropping-particle":"","parse-names":false,"suffix":""},{"dropping-particle":"","family":"Declan Iwu","given":"Chidozie","non-dropping-particle":"","parse-names":false,"suffix":""},{"dropping-particle":"","family":"Juliana Iwu-Jaja","given":"Chinwe","non-dropping-particle":"","parse-names":false,"suffix":""},{"dropping-particle":"","family":"Jafarzadeh","given":"Abdollah","non-dropping-particle":"","parse-names":false,"suffix":""},{"dropping-particle":"","family":"Jaiteh","given":"Fatoumatta","non-dropping-particle":"","parse-names":false,"suffix":""},{"dropping-particle":"","family":"Jalilzadeh Yengejeh","given":"Reza","non-dropping-particle":"","parse-names":false,"suffix":""},{"dropping-particle":"","family":"Dominic Jamora","given":"Roland G","non-dropping-particle":"","parse-names":false,"suffix":""},{"dropping-particle":"","family":"Javidnia","given":"Javad","non-dropping-particle":"","parse-names":false,"suffix":""},{"dropping-particle":"","family":"Jawaid","given":"Talha","non-dropping-particle":"","parse-names":false,"suffix":""},{"dropping-particle":"","family":"J Jenney","given":"Adam W","non-dropping-particle":"","parse-names":false,"suffix":""},{"dropping-particle":"","family":"Jin Jeon","given":"Hyon","non-dropping-particle":"","parse-names":false,"suffix":""},{"dropping-particle":"","family":"Jokar","given":"Mohammad","non-dropping-particle":"","parse-names":false,"suffix":""},{"dropping-particle":"","family":"Jomehzadeh","given":"Nabi","non-dropping-particle":"","parse-names":false,"suffix":""},{"dropping-particle":"","family":"Joo","given":"Tamas","non-dropping-particle":"","parse-names":false,"suffix":""},{"dropping-particle":"","family":"Joseph","given":"Nitin","non-dropping-particle":"","parse-names":false,"suffix":""},{"dropping-particle":"","family":"Kamal","given":"Zul","non-dropping-particle":"","parse-names":false,"suffix":""},{"dropping-particle":"","family":"Kazeem Kanmodi","given":"Kehinde","non-dropping-particle":"","parse-names":false,"suffix":""},{"dropping-particle":"","family":"Kantar","given":"Rami S","non-dropping-particle":"","parse-names":false,"suffix":""},{"dropping-particle":"","family":"Apollo Kapisi","given":"James","non-dropping-particle":"","parse-names":false,"suffix":""},{"dropping-particle":"","family":"Karaye","given":"Ibraheem M","non-dropping-particle":"","parse-names":false,"suffix":""},{"dropping-particle":"","family":"Saleh Khader","given":"Yousef","non-dropping-particle":"","parse-names":false,"suffix":""},{"dropping-particle":"","family":"Khajuria","given":"Himanshu","non-dropping-particle":"","parse-names":false,"suffix":""},{"dropping-particle":"","family":"Khalid","given":"Nauman","non-dropping-particle":"","parse-names":false,"suffix":""},{"dropping-particle":"","family":"Khamesipour","given":"Faham","non-dropping-particle":"","parse-names":false,"suffix":""},{"dropping-particle":"","family":"Khan","given":"Ajmal","non-dropping-particle":"","parse-names":false,"suffix":""},{"dropping-particle":"","family":"Jobair Khan","given":"Mohammad","non-dropping-particle":"","parse-names":false,"suffix":""},{"dropping-particle":"","family":"Tariq Khan","given":"Muhammad","non-dropping-particle":"","parse-names":false,"suffix":""},{"dropping-particle":"","family":"Khanal","given":"Vishnu","non-dropping-particle":"","parse-names":false,"suffix":""},{"dropping-particle":"","family":"Fatima Khidri","given":"Feriha","non-dropping-particle":"","parse-names":false,"suffix":""},{"dropping-particle":"","family":"Khubchandani","given":"Jagdish","non-dropping-particle":"","parse-names":false,"suffix":""},{"dropping-particle":"","family":"Khusuwan","given":"Suwimon","non-dropping-particle":"","parse-names":false,"suffix":""},{"dropping-particle":"","family":"Seo Kim","given":"Min","non-dropping-particle":"","parse-names":false,"suffix":""},{"dropping-particle":"","family":"Kisa","given":"Adnan","non-dropping-particle":"","parse-names":false,"suffix":""},{"dropping-particle":"","family":"Andreevich Korshunov","given":"Vladimir","non-dropping-particle":"","parse-names":false,"suffix":""},{"dropping-particle":"","family":"Krapp","given":"Fiorella","non-dropping-particle":"","parse-names":false,"suffix":""},{"dropping-particle":"","family":"Krumkamp","given":"Ralf","non-dropping-particle":"","parse-names":false,"suffix":""},{"dropping-particle":"","family":"Kuddus","given":"Mohammed","non-dropping-particle":"","parse-names":false,"suffix":""},{"dropping-particle":"","family":"Kulimbet","given":"Mukhtar","non-dropping-particle":"","parse-names":false,"suffix":""},{"dropping-particle":"","family":"Kumar","given":"Dewesh","non-dropping-particle":"","parse-names":false,"suffix":""},{"dropping-particle":"","family":"P Kumaran","given":"Emmanuelle A","non-dropping-particle":"","parse-names":false,"suffix":""},{"dropping-particle":"","family":"Kuttikkattu","given":"Ambily","non-dropping-particle":"","parse-names":false,"suffix":""},{"dropping-particle":"","family":"Hmwe Kyu","given":"Hmwe","non-dropping-particle":"","parse-names":false,"suffix":""},{"dropping-particle":"","family":"Landires","given":"Iván","non-dropping-particle":"","parse-names":false,"suffix":""},{"dropping-particle":"","family":"Kankia Lawal","given":"Basira","non-dropping-particle":"","parse-names":false,"suffix":""},{"dropping-particle":"","family":"Thi Thu Le","given":"Thao","non-dropping-particle":"","parse-names":false,"suffix":""},{"dropping-particle":"","family":"Maria Lederer","given":"Ingeborg","non-dropping-particle":"","parse-names":false,"suffix":""},{"dropping-particle":"","family":"Lee","given":"Munjae","non-dropping-particle":"","parse-names":false,"suffix":""},{"dropping-particle":"","family":"Won Lee","given":"Seung","non-dropping-particle":"","parse-names":false,"suffix":""},{"dropping-particle":"","family":"Lepape","given":"Alain","non-dropping-particle":"","parse-names":false,"suffix":""},{"dropping-particle":"","family":"Leka Lerango","given":"Temesgen","non-dropping-particle":"","parse-names":false,"suffix":""},{"dropping-particle":"","family":"Ligade","given":"Virendra S","non-dropping-particle":"","parse-names":false,"suffix":""},{"dropping-particle":"","family":"Lim","given":"Cherry","non-dropping-particle":"","parse-names":false,"suffix":""},{"dropping-particle":"","family":"Lim","given":"Stephen S","non-dropping-particle":"","parse-names":false,"suffix":""},{"dropping-particle":"","family":"Workie Limenh","given":"Liknaw","non-dropping-particle":"","parse-names":false,"suffix":""},{"dropping-particle":"","family":"Liu","given":"Chaojie","non-dropping-particle":"","parse-names":false,"suffix":""},{"dropping-particle":"","family":"Liu","given":"Xiaofeng","non-dropping-particle":"","parse-names":false,"suffix":""},{"dropping-particle":"","family":"Liu","given":"Xuefeng","non-dropping-particle":"","parse-names":false,"suffix":""},{"dropping-particle":"","family":"Loftus","given":"Michael J","non-dropping-particle":"","parse-names":false,"suffix":""},{"dropping-particle":"","family":"Ibrahim Amin","given":"Hawraz M","non-dropping-particle":"","parse-names":false,"suffix":""},{"dropping-particle":"","family":"Lynn Maass","given":"Kelsey","non-dropping-particle":"","parse-names":false,"suffix":""},{"dropping-particle":"","family":"Maharaj","given":"Sandeep B","non-dropping-particle":"","parse-names":false,"suffix":""},{"dropping-particle":"","family":"Adam Mahmoud","given":"Mansour","non-dropping-particle":"","parse-names":false,"suffix":""},{"dropping-particle":"","family":"Maikanti-Charalampous","given":"Panagiota","non-dropping-particle":"","parse-names":false,"suffix":""},{"dropping-particle":"","family":"Makram","given":"Omar M","non-dropping-particle":"","parse-names":false,"suffix":""},{"dropping-particle":"","family":"Malhotra","given":"Kashish","non-dropping-particle":"","parse-names":false,"suffix":""},{"dropping-particle":"","family":"Azam Malik","given":"Ahmad","non-dropping-particle":"","parse-names":false,"suffix":""},{"dropping-particle":"","family":"Mandilara","given":"Georgia D","non-dropping-particle":"","parse-names":false,"suffix":""},{"dropping-particle":"","family":"Marks","given":"Florian","non-dropping-particle":"","parse-names":false,"suffix":""},{"dropping-particle":"","family":"Alfonso Martinez-Guerra","given":"Bernardo","non-dropping-particle":"","parse-names":false,"suffix":""},{"dropping-particle":"","family":"Martorell","given":"Miquel","non-dropping-particle":"","parse-names":false,"suffix":""},{"dropping-particle":"","family":"Masoumi-Asl","given":"Hossein","non-dropping-particle":"","parse-names":false,"suffix":""},{"dropping-particle":"","family":"Mathioudakis","given":"Alexander G","non-dropping-particle":"","parse-names":false,"suffix":""},{"dropping-particle":"","family":"May","given":"Juergen","non-dropping-particle":"","parse-names":false,"suffix":""},{"dropping-particle":"","family":"McHugh","given":"Theresa A","non-dropping-particle":"","parse-names":false,"suffix":""},{"dropping-particle":"","family":"Meiring","given":"James","non-dropping-particle":"","parse-names":false,"suffix":""},{"dropping-particle":"","family":"Negash Meles","given":"Hadush","non-dropping-particle":"","parse-names":false,"suffix":""},{"dropping-particle":"","family":"Melese","given":"Addisu","non-dropping-particle":"","parse-names":false,"suffix":""},{"dropping-particle":"","family":"Belayneh Melese","given":"Endalkachew","non-dropping-particle":"","parse-names":false,"suffix":""},{"dropping-particle":"","family":"Minervini","given":"Giuseppe","non-dropping-particle":"","parse-names":false,"suffix":""},{"dropping-particle":"","family":"Saad Mohamed","given":"Nouh","non-dropping-particle":"","parse-names":false,"suffix":""},{"dropping-particle":"","family":"Mohammed","given":"Shafiu","non-dropping-particle":"","parse-names":false,"suffix":""},{"dropping-particle":"","family":"Mohan","given":"Syam","non-dropping-particle":"","parse-names":false,"suffix":""},{"dropping-particle":"","family":"Mokdad","given":"Ali H","non-dropping-particle":"","parse-names":false,"suffix":""},{"dropping-particle":"","family":"Monasta","given":"Lorenzo","non-dropping-particle":"","parse-names":false,"suffix":""},{"dropping-particle":"","family":"Moodi Ghalibaf","given":"AmirAli","non-dropping-particle":"","parse-names":false,"suffix":""},{"dropping-particle":"","family":"Moore","given":"Catrin E","non-dropping-particle":"","parse-names":false,"suffix":""},{"dropping-particle":"","family":"Moradi","given":"Yousef","non-dropping-particle":"","parse-names":false,"suffix":""},{"dropping-particle":"","family":"Mossialos","given":"Elias","non-dropping-particle":"","parse-names":false,"suffix":""},{"dropping-particle":"","family":"Mougin","given":"Vincent","non-dropping-particle":"","parse-names":false,"suffix":""},{"dropping-particle":"","family":"Duke Mukoro","given":"George","non-dropping-particle":"","parse-names":false,"suffix":""},{"dropping-particle":"","family":"Mulita","given":"Francesk","non-dropping-particle":"","parse-names":false,"suffix":""},{"dropping-particle":"","family":"Muller-Pebody","given":"Berit","non-dropping-particle":"","parse-names":false,"suffix":""},{"dropping-particle":"","family":"Murillo-Zamora","given":"Efren","non-dropping-particle":"","parse-names":false,"suffix":""},{"dropping-particle":"","family":"Musa","given":"Sani","non-dropping-particle":"","parse-names":false,"suffix":""},{"dropping-particle":"","family":"Musicha","given":"Patrick","non-dropping-particle":"","parse-names":false,"suffix":""},{"dropping-particle":"","family":"Musila","given":"Lillian A","non-dropping-particle":"","parse-names":false,"suffix":""},{"dropping-particle":"","family":"Muthupandian","given":"Saravanan","non-dropping-particle":"","parse-names":false,"suffix":""},{"dropping-particle":"","family":"Jayaraman Nagarajan","given":"Ahamarshan","non-dropping-particle":"","parse-names":false,"suffix":""},{"dropping-particle":"","family":"Naghavi","given":"Pirouz","non-dropping-particle":"","parse-names":false,"suffix":""},{"dropping-particle":"","family":"Nainu","given":"Firzan","non-dropping-particle":"","parse-names":false,"suffix":""},{"dropping-particle":"","family":"Sadasivan Nair","given":"Tapas","non-dropping-particle":"","parse-names":false,"suffix":""},{"dropping-particle":"","family":"Hama Rashid Najmuldeen","given":"Hastyar","non-dropping-particle":"","parse-names":false,"suffix":""},{"dropping-particle":"","family":"Natto","given":"Zuhair S","non-dropping-particle":"","parse-names":false,"suffix":""},{"dropping-particle":"","family":"Nauman","given":"Javaid","non-dropping-particle":"","parse-names":false,"suffix":""},{"dropping-particle":"","family":"Prakash Nayak","given":"Biswa","non-dropping-particle":"","parse-names":false,"suffix":""},{"dropping-particle":"","family":"Takop Nchanji","given":"G","non-dropping-particle":"","parse-names":false,"suffix":""},{"dropping-particle":"","family":"Ndishimye","given":"Pacifique","non-dropping-particle":"","parse-names":false,"suffix":""},{"dropping-particle":"","family":"Negoi","given":"Ionut","non-dropping-particle":"","parse-names":false,"suffix":""},{"dropping-particle":"","family":"Irina Negoi","given":"Ruxandra","non-dropping-particle":"","parse-names":false,"suffix":""},{"dropping-particle":"","family":"Aria Nejadghaderi","given":"Seyed","non-dropping-particle":"","parse-names":false,"suffix":""},{"dropping-particle":"","family":"Nguyen","given":"QuynhAnh P","non-dropping-particle":"","parse-names":false,"suffix":""},{"dropping-particle":"","family":"Ali Noman","given":"Efaq","non-dropping-particle":"","parse-names":false,"suffix":""},{"dropping-particle":"","family":"Nwakanma","given":"Davis C","non-dropping-particle":"","parse-names":false,"suffix":""},{"dropping-particle":"","family":"Ochoa","given":"Theresa J","non-dropping-particle":"","parse-names":false,"suffix":""},{"dropping-particle":"","family":"Odetokun","given":"Ismail A","non-dropping-particle":"","parse-names":false,"suffix":""},{"dropping-particle":"","family":"Adeolu Ogundijo","given":"Oluwaseun","non-dropping-particle":"","parse-names":false,"suffix":""},{"dropping-particle":"","family":"Ojo-Akosile","given":"Tolulope R","non-dropping-particle":"","parse-names":false,"suffix":""},{"dropping-particle":"","family":"Reuben Okeke","given":"Sylvester","non-dropping-particle":"","parse-names":false,"suffix":""},{"dropping-particle":"","family":"Christabel Okonji","given":"Osaretin","non-dropping-particle":"","parse-names":false,"suffix":""},{"dropping-particle":"","family":"Olagunju","given":"Andrew T","non-dropping-particle":"","parse-names":false,"suffix":""},{"dropping-particle":"","family":"Olivas-Martinez","given":"Antonio","non-dropping-particle":"","parse-names":false,"suffix":""},{"dropping-particle":"","family":"Abayomi Olorukooba","given":"Abdulhakeem","non-dropping-particle":"","parse-names":false,"suffix":""},{"dropping-particle":"","family":"Olwoch","given":"Peter","non-dropping-particle":"","parse-names":false,"suffix":""},{"dropping-particle":"","family":"Ikenna Onyedibe","given":"Kenneth","non-dropping-particle":"","parse-names":false,"suffix":""},{"dropping-particle":"","family":"Ortiz-Brizuela","given":"Edgar","non-dropping-particle":"","parse-names":false,"suffix":""},{"dropping-particle":"","family":"Osuolale","given":"Olayinka","non-dropping-particle":"","parse-names":false,"suffix":""},{"dropping-particle":"","family":"Ounchanum","given":"Pradthana","non-dropping-particle":"","parse-names":false,"suffix":""},{"dropping-particle":"","family":"Oyeyemi","given":"Oyetunde T","non-dropping-particle":"","parse-names":false,"suffix":""},{"dropping-particle":"","family":"Padukudru A","given":"Mahesh P","non-dropping-particle":"","parse-names":false,"suffix":""},{"dropping-particle":"","family":"Paredes","given":"Jose L","non-dropping-particle":"","parse-names":false,"suffix":""},{"dropping-particle":"","family":"Parikh","given":"Romil R","non-dropping-particle":"","parse-names":false,"suffix":""},{"dropping-particle":"","family":"Patel","given":"Jay","non-dropping-particle":"","parse-names":false,"suffix":""},{"dropping-particle":"","family":"Patil","given":"Shankargouda","non-dropping-particle":"","parse-names":false,"suffix":""},{"dropping-particle":"","family":"Pawar","given":"Shrikant","non-dropping-particle":"","parse-names":false,"suffix":""},{"dropping-particle":"","family":"Peleg","given":"Anton Y","non-dropping-particle":"","parse-names":false,"suffix":""},{"dropping-particle":"","family":"Peprah","given":"Prince","non-dropping-particle":"","parse-names":false,"suffix":""},{"dropping-particle":"","family":"Perdigão","given":"João","non-dropping-particle":"","parse-names":false,"suffix":""},{"dropping-particle":"","family":"Perrone","given":"Carlo","non-dropping-particle":"","parse-names":false,"suffix":""},{"dropping-particle":"","family":"Petcu","given":"Ionela-Roxana","non-dropping-particle":"","parse-names":false,"suffix":""},{"dropping-particle":"","family":"Phommasone","given":"Koukeo","non-dropping-particle":"","parse-names":false,"suffix":""},{"dropping-particle":"","family":"Zahid Piracha","given":"Zahra","non-dropping-particle":"","parse-names":false,"suffix":""},{"dropping-particle":"","family":"Poddighe","given":"Dimitri","non-dropping-particle":"","parse-names":false,"suffix":""},{"dropping-particle":"","family":"Pollard","given":"Andrew J","non-dropping-particle":"","parse-names":false,"suffix":""},{"dropping-particle":"","family":"Poluru","given":"Ramesh","non-dropping-particle":"","parse-names":false,"suffix":""},{"dropping-particle":"","family":"Ponce-De-Leon","given":"Alfredo","non-dropping-particle":"","parse-names":false,"suffix":""},{"dropping-particle":"","family":"Puvvula","given":"Jagadeesh","non-dropping-particle":"","parse-names":false,"suffix":""},{"dropping-particle":"","family":"Naz Qamar","given":"Farah","non-dropping-particle":"","parse-names":false,"suffix":""},{"dropping-particle":"","family":"Hashim Qasim","given":"Nameer","non-dropping-particle":"","parse-names":false,"suffix":""},{"dropping-particle":"","family":"Donatien Rafai","given":"Clotaire","non-dropping-particle":"","parse-names":false,"suffix":""},{"dropping-particle":"","family":"Raghav","given":"Pankaja","non-dropping-particle":"","parse-names":false,"suffix":""},{"dropping-particle":"","family":"Rahbarnia","given":"Leila","non-dropping-particle":"","parse-names":false,"suffix":""},{"dropping-particle":"","family":"Rahim","given":"Fakher","non-dropping-particle":"","parse-names":false,"suffix":""},{"dropping-particle":"","family":"Rahimi-Movaghar","given":"Vafa","non-dropping-particle":"","parse-names":false,"suffix":""},{"dropping-particle":"","family":"Rahman","given":"Mosiur","non-dropping-particle":"","parse-names":false,"suffix":""},{"dropping-particle":"","family":"Aziz Rahman","given":"Muhammad","non-dropping-particle":"","parse-names":false,"suffix":""},{"dropping-particle":"","family":"Ramadan","given":"Hazem","non-dropping-particle":"","parse-names":false,"suffix":""},{"dropping-particle":"","family":"Kumaran Ramasamy","given":"Shakthi","non-dropping-particle":"","parse-names":false,"suffix":""},{"dropping-particle":"","family":"Sinduvadi Ramesh","given":"Pushkal","non-dropping-particle":"","parse-names":false,"suffix":""},{"dropping-particle":"","family":"Ramteke","given":"Pramod W","non-dropping-particle":"","parse-names":false,"suffix":""},{"dropping-particle":"","family":"Kumar Rana","given":"Rishabh","non-dropping-particle":"","parse-names":false,"suffix":""},{"dropping-particle":"","family":"Rani","given":"Usha","non-dropping-particle":"","parse-names":false,"suffix":""},{"dropping-particle":"","family":"Rashidi","given":"Mohammad-Mahdi","non-dropping-particle":"","parse-names":false,"suffix":""},{"dropping-particle":"","family":"Rathish","given":"Devarajan","non-dropping-particle":"","parse-names":false,"suffix":""},{"dropping-particle":"","family":"Rattanavong","given":"Sayaphet","non-dropping-particle":"","parse-names":false,"suffix":""},{"dropping-particle":"","family":"Rawaf","given":"Salman","non-dropping-particle":"","parse-names":false,"suffix":""},{"dropping-particle":"","family":"Moustafa Mohamed Redwan","given":"Elrashdy","non-dropping-particle":"","parse-names":false,"suffix":""},{"dropping-particle":"","family":"Felipe Reyes","given":"Luis","non-dropping-particle":"","parse-names":false,"suffix":""},{"dropping-particle":"","family":"Roberts","given":"Tamalee","non-dropping-particle":"","parse-names":false,"suffix":""},{"dropping-particle":"V","family":"Robotham","given":"Julie","non-dropping-particle":"","parse-names":false,"suffix":""},{"dropping-particle":"","family":"Daniel Rosenthal","given":"Victor","non-dropping-particle":"","parse-names":false,"suffix":""},{"dropping-particle":"","family":"Guy Ross","given":"Allen","non-dropping-particle":"","parse-names":false,"suffix":""},{"dropping-particle":"","family":"Roy","given":"Nitai","non-dropping-particle":"","parse-names":false,"suffix":""},{"dropping-particle":"","family":"Rudd","given":"Kristina E","non-dropping-particle":"","parse-names":false,"suffix":""},{"dropping-particle":"","family":"John Sabet","given":"Cameron","non-dropping-particle":"","parse-names":false,"suffix":""},{"dropping-particle":"","family":"Ahmad Saddik","given":"Basema","non-dropping-particle":"","parse-names":false,"suffix":""},{"dropping-particle":"","family":"Reza Saeb","given":"Mohammad","non-dropping-particle":"","parse-names":false,"suffix":""},{"dropping-particle":"","family":"Saeed","given":"Umar","non-dropping-particle":"","parse-names":false,"suffix":""},{"dropping-particle":"","family":"Saeedi Moghaddam","given":"Sahar","non-dropping-particle":"","parse-names":false,"suffix":""},{"dropping-particle":"","family":"Saengchan","given":"Weeravoot","non-dropping-particle":"","parse-names":false,"suffix":""},{"dropping-particle":"","family":"Safaei","given":"Mohsen","non-dropping-particle":"","parse-names":false,"suffix":""},{"dropping-particle":"","family":"Saghazadeh","given":"Amene","non-dropping-particle":"","parse-names":false,"suffix":""},{"dropping-particle":"","family":"Saheb Sharif-Askari","given":"Narjes","non-dropping-particle":"","parse-names":false,"suffix":""},{"dropping-particle":"","family":"Sahebkar","given":"Amirhossein","non-dropping-particle":"","parse-names":false,"suffix":""},{"dropping-particle":"","family":"Swaroop Sahoo","given":"Soumya","non-dropping-particle":"","parse-names":false,"suffix":""},{"dropping-particle":"","family":"Sahu","given":"Maitreyi","non-dropping-particle":"","parse-names":false,"suffix":""},{"dropping-particle":"","family":"Saki","given":"Morteza","non-dropping-particle":"","parse-names":false,"suffix":""},{"dropping-particle":"","family":"Salam","given":"Nasir","non-dropping-particle":"","parse-names":false,"suffix":""},{"dropping-particle":"","family":"Saleem","given":"Zikria","non-dropping-particle":"","parse-names":false,"suffix":""},{"dropping-particle":"","family":"Saleh","given":"Mohamed A","non-dropping-particle":"","parse-names":false,"suffix":""},{"dropping-particle":"","family":"Leonardo Samodra","given":"Yoseph","non-dropping-particle":"","parse-names":false,"suffix":""},{"dropping-particle":"","family":"Samy","given":"Abdallah M","non-dropping-particle":"","parse-names":false,"suffix":""},{"dropping-particle":"","family":"Saravanan","given":"Aswini","non-dropping-particle":"","parse-names":false,"suffix":""},{"dropping-particle":"","family":"Satpathy","given":"Maheswar","non-dropping-particle":"","parse-names":false,"suffix":""},{"dropping-particle":"","family":"Schumacher","given":"Austin E","non-dropping-particle":"","parse-names":false,"suffix":""},{"dropping-particle":"","family":"Sedighi","given":"Mansour","non-dropping-particle":"","parse-names":false,"suffix":""},{"dropping-particle":"","family":"Seekaew","given":"Samroeng","non-dropping-particle":"","parse-names":false,"suffix":""},{"dropping-particle":"","family":"Shafie","given":"Mahan","non-dropping-particle":"","parse-names":false,"suffix":""},{"dropping-particle":"","family":"Shah","given":"Pritik A","non-dropping-particle":"","parse-names":false,"suffix":""},{"dropping-particle":"","family":"Shahid","given":"Samiah","non-dropping-particle":"","parse-names":false,"suffix":""},{"dropping-particle":"","family":"Jamal Shahwan","given":"Moyad","non-dropping-particle":"","parse-names":false,"suffix":""},{"dropping-particle":"","family":"Shakoor","given":"Sadia","non-dropping-particle":"","parse-names":false,"suffix":""},{"dropping-particle":"","family":"Shalev","given":"Noga","non-dropping-particle":"","parse-names":false,"suffix":""},{"dropping-particle":"","family":"Aaqib Shamim","given":"Muhammad","non-dropping-particle":"","parse-names":false,"suffix":""},{"dropping-particle":"","family":"Ali Shamshirgaran","given":"Mohammad","non-dropping-particle":"","parse-names":false,"suffix":""},{"dropping-particle":"","family":"Shamsi","given":"Anas","non-dropping-particle":"","parse-names":false,"suffix":""},{"dropping-particle":"","family":"Sharifan","given":"Amin","non-dropping-particle":"","parse-names":false,"suffix":""},{"dropping-particle":"","family":"Shastry","given":"Rajesh P","non-dropping-particle":"","parse-names":false,"suffix":""},{"dropping-particle":"","family":"Shetty","given":"Mahabalesh","non-dropping-particle":"","parse-names":false,"suffix":""},{"dropping-particle":"","family":"Shittu","given":"Aminu","non-dropping-particle":"","parse-names":false,"suffix":""},{"dropping-particle":"","family":"Shrestha","given":"Sunil","non-dropping-particle":"","parse-names":false,"suffix":""},{"dropping-particle":"","family":"Edwar Siddig","given":"Emmanuel","non-dropping-particle":"","parse-names":false,"suffix":""},{"dropping-particle":"","family":"Sideroglou","given":"Theologia","non-dropping-particle":"","parse-names":false,"suffix":""},{"dropping-particle":"","family":"Sifuentes-Osornio","given":"Jose","non-dropping-particle":"","parse-names":false,"suffix":""},{"dropping-particle":"","family":"Manuel Lopes Rodrigues Silva","given":"Luís","non-dropping-particle":"","parse-names":false,"suffix":""},{"dropping-particle":"","family":"F Simões","given":"Eric A","non-dropping-particle":"","parse-names":false,"suffix":""},{"dropping-particle":"","family":"H Simpson","given":"Andrew J","non-dropping-particle":"","parse-names":false,"suffix":""},{"dropping-particle":"","family":"Singh","given":"Amit","non-dropping-particle":"","parse-names":false,"suffix":""},{"dropping-particle":"","family":"Singh","given":"Surjit","non-dropping-particle":"","parse-names":false,"suffix":""},{"dropping-particle":"","family":"Sinto","given":"Robert","non-dropping-particle":"","parse-names":false,"suffix":""},{"dropping-particle":"","family":"M Soliman","given":"Sameh S","non-dropping-particle":"","parse-names":false,"suffix":""},{"dropping-particle":"","family":"Soraneh","given":"Soroush","non-dropping-particle":"","parse-names":false,"suffix":""},{"dropping-particle":"","family":"Stoesser","given":"Nicole","non-dropping-particle":"","parse-names":false,"suffix":""},{"dropping-particle":"","family":"Zhekova Stoeva","given":"Temenuga","non-dropping-particle":"","parse-names":false,"suffix":""},{"dropping-particle":"","family":"Kumar Swain","given":"Chandan","non-dropping-particle":"","parse-names":false,"suffix":""},{"dropping-particle":"","family":"Szarpak","given":"Lukasz","non-dropping-particle":"","parse-names":false,"suffix":""},{"dropping-particle":"","family":"Sudha Y","given":"Sree T","non-dropping-particle":"","parse-names":false,"suffix":""},{"dropping-particle":"","family":"Tabatabai","given":"Shima","non-dropping-particle":"","parse-names":false,"suffix":""},{"dropping-particle":"","family":"Tabche","given":"Celine","non-dropping-particle":"","parse-names":false,"suffix":""},{"dropping-particle":"","family":"Mohammed-Ameen Taha","given":"Zanan","non-dropping-particle":"","parse-names":false,"suffix":""},{"dropping-particle":"","family":"Tan","given":"Ker-Kan","non-dropping-particle":"","parse-names":false,"suffix":""},{"dropping-particle":"","family":"Tasak","given":"Nidanuch","non-dropping-particle":"","parse-names":false,"suffix":""},{"dropping-particle":"","family":"Tat","given":"Nathan Y","non-dropping-particle":"","parse-names":false,"suffix":""},{"dropping-particle":"","family":"Thaiprakong","given":"Areerat","non-dropping-particle":"","parse-names":false,"suffix":""},{"dropping-particle":"","family":"Thangaraju","given":"Pugazhenthan","non-dropping-particle":"","parse-names":false,"suffix":""},{"dropping-particle":"","family":"Chepngeno Tigoi","given":"Caroline","non-dropping-particle":"","parse-names":false,"suffix":""},{"dropping-particle":"","family":"Tiwari","given":"Krishna","non-dropping-particle":"","parse-names":false,"suffix":""},{"dropping-particle":"","family":"Roberto Tovani-Palone","given":"Marcos","non-dropping-particle":"","parse-names":false,"suffix":""},{"dropping-particle":"","family":"Huu Tran","given":"Thang","non-dropping-particle":"","parse-names":false,"suffix":""},{"dropping-particle":"","family":"Tumurkhuu","given":"Munkhtuya","non-dropping-particle":"","parse-names":false,"suffix":""},{"dropping-particle":"","family":"Turner","given":"Paul","non-dropping-particle":"","parse-names":false,"suffix":""},{"dropping-particle":"","family":"John Udoakang","given":"Aniefiok","non-dropping-particle":"","parse-names":false,"suffix":""},{"dropping-particle":"","family":"Udoh","given":"Arit","non-dropping-particle":"","parse-names":false,"suffix":""},{"dropping-particle":"","family":"Ullah","given":"Noor","non-dropping-particle":"","parse-names":false,"suffix":""},{"dropping-particle":"","family":"Ullah","given":"Saeed","non-dropping-particle":"","parse-names":false,"suffix":""},{"dropping-particle":"","family":"Govindaraj Vaithinathan","given":"Asokan","non-dropping-particle":"","parse-names":false,"suffix":""},{"dropping-particle":"","family":"Valenti","given":"Mario","non-dropping-particle":"","parse-names":false,"suffix":""},{"dropping-particle":"","family":"Vos","given":"Theo","non-dropping-particle":"","parse-names":false,"suffix":""},{"dropping-particle":"","family":"L Vu","given":"Huong T","non-dropping-particle":"","parse-names":false,"suffix":""},{"dropping-particle":"","family":"Waheed","given":"Yasir","non-dropping-particle":"","parse-names":false,"suffix":""},{"dropping-particle":"","family":"Sarah Walker","given":"Ann","non-dropping-particle":"","parse-names":false,"suffix":""},{"dropping-particle":"","family":"Walson","given":"Judd L","non-dropping-particle":"","parse-names":false,"suffix":""},{"dropping-particle":"","family":"Wangrangsimakul","given":"Tri","non-dropping-particle":"","parse-names":false,"suffix":""},{"dropping-particle":"","family":"Gayan Weerakoon","given":"Kosala","non-dropping-particle":"","parse-names":false,"suffix":""},{"dropping-particle":"","family":"L Wertheim","given":"Heiman F","non-dropping-particle":"","parse-names":false,"suffix":""},{"dropping-particle":"","family":"M Williams","given":"Phoebe C","non-dropping-particle":"","parse-names":false,"suffix":""},{"dropping-particle":"","family":"Arja Wolde","given":"Asrat","non-dropping-particle":"","parse-names":false,"suffix":""},{"dropping-particle":"","family":"Wozniak","given":"Teresa M","non-dropping-particle":"","parse-names":false,"suffix":""},{"dropping-particle":"","family":"Wu","given":"Felicia","non-dropping-particle":"","parse-names":false,"suffix":""},{"dropping-particle":"","family":"Wu","given":"Zenghong","non-dropping-particle":"","parse-names":false,"suffix":""},{"dropping-particle":"","family":"Kumar Kumar Yadav","given":"Mukesh","non-dropping-particle":"","parse-names":false,"suffix":""},{"dropping-particle":"","family":"Yaghoubi","given":"Sajad","non-dropping-particle":"","parse-names":false,"suffix":""},{"dropping-particle":"","family":"Sule Yahaya","given":"Zwanden","non-dropping-particle":"","parse-names":false,"suffix":""},{"dropping-particle":"","family":"Yarahmadi","given":"Amir","non-dropping-particle":"","parse-names":false,"suffix":""},{"dropping-particle":"","family":"Yezli","given":"Saber","non-dropping-particle":"","parse-names":false,"suffix":""},{"dropping-particle":"","family":"Engida Yismaw","given":"Yazachew","non-dropping-particle":"","parse-names":false,"suffix":""},{"dropping-particle":"","family":"Keon Yon","given":"Dong","non-dropping-particle":"","parse-names":false,"suffix":""},{"dropping-particle":"","family":"Yuan","given":"Chun-Wei","non-dropping-particle":"","parse-names":false,"suffix":""},{"dropping-particle":"","family":"Yusuf","given":"Hadiza","non-dropping-particle":"","parse-names":false,"suffix":""},{"dropping-particle":"","family":"Zakham","given":"Fathiah","non-dropping-particle":"","parse-names":false,"suffix":""},{"dropping-particle":"","family":"Zamagni","given":"Giulia","non-dropping-particle":"","parse-names":false,"suffix":""},{"dropping-particle":"","family":"Zhang","given":"Haijun","non-dropping-particle":"","parse-names":false,"suffix":""},{"dropping-particle":"","family":"Zhang","given":"Zhi-Jiang","non-dropping-particle":"","parse-names":false,"suffix":""},{"dropping-particle":"","family":"Zieli","given":"Magdalena","non-dropping-particle":"","parse-names":false,"suffix":""},{"dropping-particle":"","family":"Zumla","given":"Alimuddin","non-dropping-particle":"","parse-names":false,"suffix":""},{"dropping-particle":"","family":"H Zyoud","given":"ed H","non-dropping-particle":"","parse-names":false,"suffix":""},{"dropping-particle":"","family":"Zyoud","given":"Samer H","non-dropping-particle":"","parse-names":false,"suffix":""},{"dropping-particle":"","family":"Hay","given":"Simon I","non-dropping-particle":"","parse-names":false,"suffix":""},{"dropping-particle":"","family":"Stergachis","given":"Andy","non-dropping-particle":"","parse-names":false,"suffix":""},{"dropping-particle":"","family":"Sartorius","given":"Benn","non-dropping-particle":"","parse-names":false,"suffix":""},{"dropping-particle":"","family":"Cooper","given":"Ben S","non-dropping-particle":"","parse-names":false,"suffix":""},{"dropping-particle":"","family":"Dolecek","given":"Christiane","non-dropping-particle":"","parse-names":false,"suffix":""},{"dropping-particle":"","family":"L Murray","given":"Christopher J","non-dropping-particle":"","parse-names":false,"suffix":""},{"dropping-particle":"","family":"Resistance Collaborators","given":"Antimicrobial","non-dropping-particle":"","parse-names":false,"suffix":""}],"container-title":"The Lancet","id":"ITEM-4","issue":"10459","issued":{"date-parts":[["2024","9"]]},"page":"1199-1226","publisher":"Elsevier","title":"Global burden of bacterial antimicrobial resistance 1990–2021: a systematic analysis with forecasts to 2050","type":"article-journal","volume":"404"},"uris":["http://www.mendeley.com/documents/?uuid=4924ecb5-5a52-394f-9ad0-add8396c0d72"]},{"id":"ITEM-5","itemData":{"DOI":"10.1016/j.glmedi.2024.100081","ISSN":"2949916X","abstract":"Antimicrobial resistance (AMR) is a critical global health issue driven by antibiotic misuse and overuse in various sectors, leading to the emergence of resistant microorganisms. The history of AMR dates back to the discovery of penicillin, with the rise of multidrug-resistant pathogens posing significant challenges to healthcare systems worldwide. The misuse of antibiotics in human and animal health, as well as in agriculture, contributes to the spread of resistance genes, creating a \"Silent Pandemic\" that could surpass other causes of mortality by 2050. AMR affects both humans and animals, with resistant pathogens posing challenges in treating infections. Various mechanisms, such as enzymatic modification and biofilm formation, enable microbes to withstand the effects of antibiotics. The lack of effective antibiotics threatens routine medical procedures and could lead to millions of deaths annually if left unchecked. The economic impact of AMR is substantial, with projected losses in the trillions of dollars and significant financial burdens on healthcare systems and agriculture. Artificial intelligence is being explored as a tool to combat AMR by improving diagnostics and treatment strategies, although challenges such as data quality and algorithmic biases exist. To address AMR effectively, a One Health approach that considers human, animal, and environmental factors is crucial. This includes enhancing surveillance systems, promoting stewardship programs, and investing in research and development for new antimicrobial options. Public awareness, education, and international collaboration are essential for combating AMR and preserving the efficacy of antibiotics for future generations.","author":[{"dropping-particle":"","family":"Ahmed","given":"Sirwan Khalid","non-dropping-particle":"","parse-names":false,"suffix":""},{"dropping-particle":"","family":"Hussein","given":"Safin","non-dropping-particle":"","parse-names":false,"suffix":""},{"dropping-particle":"","family":"Qurbani","given":"Karzan","non-dropping-particle":"","parse-names":false,"suffix":""},{"dropping-particle":"","family":"Ibrahim","given":"Radhwan Hussein","non-dropping-particle":"","parse-names":false,"suffix":""},{"dropping-particle":"","family":"Fareeq","given":"Abdulmalik","non-dropping-particle":"","parse-names":false,"suffix":""},{"dropping-particle":"","family":"Mahmood","given":"Kochr Ali","non-dropping-particle":"","parse-names":false,"suffix":""},{"dropping-particle":"","family":"Mohamed","given":"Mona Gamal","non-dropping-particle":"","parse-names":false,"suffix":""}],"container-title":"Journal of Medicine, Surgery, and Public Health","id":"ITEM-5","issued":{"date-parts":[["2024","4","1"]]},"page":"100081","publisher":"Elsevier","title":"Antimicrobial resistance: Impacts, challenges, and future prospects","type":"article-journal","volume":"2"},"uris":["http://www.mendeley.com/documents/?uuid=5a782c19-5895-36c8-9f2c-f12f0ca936a6"]},{"id":"ITEM-6","itemData":{"DOI":"10.1179/2047773215Y.0000000030","PMID":"26343252","abstract":"Antimicrobial resistance (AMR) is one of the most serious global public health threats in this century. The first World Health Organization (WHO) Global report on surveillance of AMR, published in April 2014, collected for the first time data from national and international surveillance networks, showing the extent of this phenomenon in many parts of the world and also the presence of large gaps in the existing surveillance. In this review, we focus on antibacterial resistance (ABR), which represents at the moment the major problem, both for the high rates of resistance observed in bacteria that cause common infections and for the complexity of the consequences of ABR. We describe the health and economic impact of ABR, the principal risk factors for its emergence and, in particular, we illustrate the highlights of four antibiotic-resistant pathogens of global concern – Staphylococcus aureus, Klebsiella pneumoniae, non-typhoidal Salmonella and Mycobacterium tuberculosis – for whom we report resistance data worldwide. Measures to control the emergence and the spread of ABR are presented.","author":[{"dropping-particle":"","family":"Prestinaci","given":"Francesca","non-dropping-particle":"","parse-names":false,"suffix":""},{"dropping-particle":"","family":"Pezzotti","given":"Patrizio","non-dropping-particle":"","parse-names":false,"suffix":""},{"dropping-particle":"","family":"Pantosti","given":"Annalisa","non-dropping-particle":"","parse-names":false,"suffix":""}],"container-title":"Pathogens and Global Health","id":"ITEM-6","issue":"7","issued":{"date-parts":[["2015","10","1"]]},"page":"309-318","publisher":"Taylor &amp; Francis","title":"Antimicrobial resistance: a global multifaceted phenomenon","type":"article-journal","volume":"109"},"uris":["http://www.mendeley.com/documents/?uuid=c01d6342-68f9-38a6-99bc-d345a6fd8b9d"]}],"mendeley":{"formattedCitation":"[26,32–36]","plainTextFormattedCitation":"[26,32–36]","previouslyFormattedCitation":"[26,32–36]"},"properties":{"noteIndex":0},"schema":"https://github.com/citation-style-language/schema/raw/master/csl-citation.json"}</w:instrText>
      </w:r>
      <w:r w:rsidRPr="003F4633">
        <w:rPr>
          <w:rFonts w:eastAsia="Times New Roman" w:cs="Times New Roman"/>
          <w:szCs w:val="24"/>
          <w:lang w:val="en-GB"/>
        </w:rPr>
        <w:fldChar w:fldCharType="separate"/>
      </w:r>
      <w:r w:rsidR="001E7355" w:rsidRPr="001E7355">
        <w:rPr>
          <w:rFonts w:eastAsia="Times New Roman" w:cs="Times New Roman"/>
          <w:noProof/>
          <w:szCs w:val="24"/>
          <w:lang w:val="en-GB"/>
        </w:rPr>
        <w:t>[26,32–36]</w:t>
      </w:r>
      <w:r w:rsidRPr="003F4633">
        <w:rPr>
          <w:rFonts w:eastAsia="Times New Roman" w:cs="Times New Roman"/>
          <w:szCs w:val="24"/>
          <w:lang w:val="en"/>
        </w:rPr>
        <w:fldChar w:fldCharType="end"/>
      </w:r>
      <w:r w:rsidRPr="003F4633">
        <w:rPr>
          <w:rFonts w:eastAsia="Times New Roman" w:cs="Times New Roman"/>
          <w:szCs w:val="24"/>
          <w:lang w:val="en-GB"/>
        </w:rPr>
        <w:t xml:space="preserve">. </w:t>
      </w:r>
    </w:p>
    <w:p w14:paraId="3D967944" w14:textId="577BE788" w:rsidR="003F4633" w:rsidRPr="003F4633" w:rsidRDefault="003F4633" w:rsidP="003F4633">
      <w:pPr>
        <w:spacing w:before="0" w:line="360" w:lineRule="auto"/>
        <w:jc w:val="both"/>
        <w:rPr>
          <w:rFonts w:eastAsia="Times New Roman" w:cs="Times New Roman"/>
          <w:szCs w:val="24"/>
          <w:lang w:val="en" w:bidi="en-US"/>
        </w:rPr>
      </w:pPr>
      <w:r w:rsidRPr="003F4633">
        <w:rPr>
          <w:rFonts w:eastAsia="Times New Roman" w:cs="Times New Roman"/>
          <w:szCs w:val="24"/>
          <w:lang w:val="en" w:bidi="en-US"/>
        </w:rPr>
        <w:t xml:space="preserve">The prevalence and burden of HAIs in LMICs are significant public health and economic concerns </w:t>
      </w:r>
      <w:r w:rsidRPr="003F4633">
        <w:rPr>
          <w:rFonts w:eastAsia="Times New Roman" w:cs="Times New Roman"/>
          <w:szCs w:val="24"/>
          <w:lang w:val="en" w:bidi="en-US"/>
        </w:rPr>
        <w:fldChar w:fldCharType="begin" w:fldLock="1"/>
      </w:r>
      <w:r w:rsidR="005E406D">
        <w:rPr>
          <w:rFonts w:eastAsia="Times New Roman" w:cs="Times New Roman"/>
          <w:szCs w:val="24"/>
          <w:lang w:val="en" w:bidi="en-US"/>
        </w:rPr>
        <w:instrText>ADDIN CSL_CITATION {"citationItems":[{"id":"ITEM-1","itemData":{"DOI":"10.4236/ojog.2016.61004","ISSN":"2160-8792","abstract":"Nosocomial or hospital acquired infections are a major challenge for low and middle income countries (LMICs) which have limited healthcare resources. Risk factors include the lack of ap-propriate hospital facilities such as isolation units, bed space, and sinks; inadequate waste man-agement, contaminated equipment, inappropriate use of antibiotics and transmission of infection from the hands of healthcare workers and family caretakers due to inadequate hand washing. No-socomial infections increase the costs of healthcare due to added antimicrobial treatment and prolonged hospitalization. Since the prevalence of nosocomial infections is generally higher in developing countries with limited resources, the socio-economic burden is even more severe in these countries. This review summarizes the current knowledge on the risks of hospital acquired infections and summarizes current recommendations for the development of hospital infrastruc-ture and the institution of protocols to reduce these infections in LMICs such as Bangladesh.","author":[{"dropping-particle":"","family":"Shahida","given":"S. M.","non-dropping-particle":"","parse-names":false,"suffix":""},{"dropping-particle":"","family":"Islam","given":"Anisul","non-dropping-particle":"","parse-names":false,"suffix":""},{"dropping-particle":"","family":"Dey","given":"Bimalangshu R.","non-dropping-particle":"","parse-names":false,"suffix":""},{"dropping-particle":"","family":"Islam","given":"Ferdousi","non-dropping-particle":"","parse-names":false,"suffix":""},{"dropping-particle":"","family":"Venkatesh","given":"Kartik","non-dropping-particle":"","parse-names":false,"suffix":""},{"dropping-particle":"","family":"Goodman","given":"Annekathryn","non-dropping-particle":"","parse-names":false,"suffix":""}],"container-title":"Open Journal of Obstetrics and Gynecology","id":"ITEM-1","issue":"01","issued":{"date-parts":[["2016","1","11"]]},"page":"28-39","publisher":"Scientific Research Publishing","title":"Hospital Acquired Infections in Low and Middle Income Countries: Root Cause Analysis and the Development of Infection Control Practices in Bangladesh","type":"article-journal","volume":"06"},"uris":["http://www.mendeley.com/documents/?uuid=d4f353e9-2da8-3602-9b4c-31260fba0293"]},{"id":"ITEM-2","itemData":{"DOI":"10.1186/s40545-022-00500-5","ISSN":"20523211","PMID":"36494700","abstract":"Background: There is limited data to describe the point-prevalence of healthcare-associated infections (HAIs) among patients at a regional level in Africa. This study estimated the pooled prevalence of HAIs and described the distribution of HAIs as well as the pathogens identified from African studies. Methods: PubMed, Scopus and Google Scholar databases were searched to find point-prevalence studies of HAIs in Africa. Studies conducted in Humans that reported the prevalence of HAIs among hospitalized patients and published in English language from January 2010 to March 2022 were selected. Longitudinal studies of HAIs and unpublished studies were excluded. The reference list of the selected studies was checked to find additional studies. A meta-analysis was conducted using RevMan 5.4 and the pooled prevalence of HAIs was determined using a random effect model. Results: Of the 6094 articles identified from the databases, fifteen eligible articles were selected. The studies were conducted in the North, South, East and West African regions with Tunisia (n = 4) and South Africa (n = 2) having the highest number of studies. Most of the studies (n = 12, 80.0%) had good quality. The pooled prevalence of HAIs was 12.76% (95% confidence interval [CI] 10.30–15.23) with a high degree of heterogeneity (I2 = 90.0%). The prevalence of HAIs varied between wards with the highest rate found in the ICU (25.2%–100%), followed by neonatal ICU/ward (7.0%–53.6%) and paediatric medical ward (2.7%–33.0%). Surgical site infection was the most common HAIs and accounted for 41.6% of all HAIs (95% CI 23.55–59.80), followed by bloodstream infection (17.07%, 95% CI 11.80–22.33) and respiratory tract infections/pneumonia (17.04%, 95% CI 13.21–20.87). Recent hospitalization (adjusted odds ratio [AOR]: 4.17, 95% CI 1.85–9.41), presence of peripheral vascular catheter (AOR: 2.87, 95% CI 1.54–5.36) and having diabetes mellitus (AOR: 2.46, 95% CI 1.45–4.17) were the strongest predictors of HAIs in Africa. Only 37.9% of HAIs had documented positive microbiological culture result with gram negative bacteria including Klebsiella pneumoniae, Escherichia coli, Pseudomonas aeruginosa, Acinetobacter baumannii and Citrobacter been the most common microorganisms and accounted for 40%–100% of the pathogens. Conclusions: The pooled point-prevalence of HAIs in Africa is more than two times higher than the rate reported in developed countries. The prevalence varied between the countries and was highes…","author":[{"dropping-particle":"","family":"Abubakar","given":"Usman","non-dropping-particle":"","parse-names":false,"suffix":""},{"dropping-particle":"","family":"Amir","given":"Omalhassan","non-dropping-particle":"","parse-names":false,"suffix":""},{"dropping-particle":"","family":"Rodríguez-Baño","given":"Jesús","non-dropping-particle":"","parse-names":false,"suffix":""}],"container-title":"Journal of Pharmaceutical Policy and Practice","id":"ITEM-2","issue":"1","issued":{"date-parts":[["2022","12","1"]]},"page":"99","publisher":"J Pharm Policy Pract","title":"Healthcare-associated infections in Africa: a systematic review and meta-analysis of point prevalence studies","type":"article-journal","volume":"15"},"uris":["http://www.mendeley.com/documents/?uuid=c0922c7d-ec79-3017-8818-384b58ddf07d"]},{"id":"ITEM-3","itemData":{"DOI":"10.1371/journal.pone.0274248","ISSN":"19326203","PMID":"36706112","abstract":"Objectives Hospital-acquired infections (HAIs) are significant problems as public health issues which need attention. Such infections are significant problems for society and healthcare organizations. This study aimed to carry out a systematic review and a meta-analysis to analyze the prevalence of HAIs globally. Methods We conducted a comprehensive search of electronic databases including EMBASE, Scopus, PubMed and Web of Science between 2000 and June 2021. We found 7031 articles. After removing the duplicates, 5430 studies were screened based on the titles/abstracts. Then, we systematically evaluated the full texts of the 1909 remaining studies and selected 400 records with 29,159,630 participants for meta-analysis. Random-effects model was used for the analysis, and heterogeneity analysis and publication bias test were conducted. Results The rate of universal HAIs was 0.14 percent. The rate of HAIs is increasing by 0.06 percent annually. The highest rate of HAIs was in the AFR, while the lowest prevalence were in AMR and WPR. Besides, AFR prevalence in central Africa is higher than in other parts of the world by 0.27 (95% CI, 0.22-0.34). Besides, E. coli infected patients more than other micro-organisms such as Coagulase-negative staphylococci, Staphylococcus spp. and Pseudomonas aeruginosa. In hospital wards, Transplant, and Neonatal wards and ICU had the highest rates. The prevalence of HAIs was higher in men than in women. Conclusion We identified several essential details about the rate of HAIs in various parts of the world. The HAIs rate and the most common micro-organism were different in various contexts. However, several essential gaps were also identified. The study findings can help hospital managers and health policy makers identify the reason for HAIs and apply effective control programs to implement different plans to reduce the HAIs rate and the financial costs of such infections and save resources.","author":[{"dropping-particle":"","family":"Raoofi","given":"Samira","non-dropping-particle":"","parse-names":false,"suffix":""},{"dropping-particle":"","family":"Kan","given":"Fatemeh Pashazadeh","non-dropping-particle":"","parse-names":false,"suffix":""},{"dropping-particle":"","family":"Rafiei","given":"Sima","non-dropping-particle":"","parse-names":false,"suffix":""},{"dropping-particle":"","family":"Hosseinipalangi","given":"Zahra","non-dropping-particle":"","parse-names":false,"suffix":""},{"dropping-particle":"","family":"Mejareh","given":"Zahra Noorani","non-dropping-particle":"","parse-names":false,"suffix":""},{"dropping-particle":"","family":"Khani","given":"Saghar","non-dropping-particle":"","parse-names":false,"suffix":""},{"dropping-particle":"","family":"Abdollahi","given":"Bahare","non-dropping-particle":"","parse-names":false,"suffix":""},{"dropping-particle":"","family":"Talab","given":"Fatemeh Seyghalani","non-dropping-particle":"","parse-names":false,"suffix":""},{"dropping-particle":"","family":"Sanaei","given":"Mohaddeseh","non-dropping-particle":"","parse-names":false,"suffix":""},{"dropping-particle":"","family":"Zarabi","given":"Farnaz","non-dropping-particle":"","parse-names":false,"suffix":""},{"dropping-particle":"","family":"Dolati","given":"Yasamin","non-dropping-particle":"","parse-names":false,"suffix":""},{"dropping-particle":"","family":"Ahmadi","given":"Niloofar","non-dropping-particle":"","parse-names":false,"suffix":""},{"dropping-particle":"","family":"Raoofi","given":"Neda","non-dropping-particle":"","parse-names":false,"suffix":""},{"dropping-particle":"","family":"Sarhadi","given":"Yasamin","non-dropping-particle":"","parse-names":false,"suffix":""},{"dropping-particle":"","family":"Masoumi","given":"Maryam","non-dropping-particle":"","parse-names":false,"suffix":""},{"dropping-particle":"","family":"Hosseini","given":"Batool sadat","non-dropping-particle":"","parse-names":false,"suffix":""},{"dropping-particle":"","family":"Vali","given":"Negin","non-dropping-particle":"","parse-names":false,"suffix":""},{"dropping-particle":"","family":"Gholamali","given":"Negin","non-dropping-particle":"","parse-names":false,"suffix":""},{"dropping-particle":"","family":"Asadi","given":"Saba","non-dropping-particle":"","parse-names":false,"suffix":""},{"dropping-particle":"","family":"Ahmadi","given":"Saba","non-dropping-particle":"","parse-names":false,"suffix":""},{"dropping-particle":"","family":"Ahmadi","given":"Behrooz","non-dropping-particle":"","parse-names":false,"suffix":""},{"dropping-particle":"","family":"Chomalu","given":"Zahra Beiramy","non-dropping-particle":"","parse-names":false,"suffix":""},{"dropping-particle":"","family":"Asadollahi","given":"Elnaz","non-dropping-particle":"","parse-names":false,"suffix":""},{"dropping-particle":"","family":"Rajabi","given":"Mona","non-dropping-particle":"","parse-names":false,"suffix":""},{"dropping-particle":"","family":"Gharagozloo","given":"Dorsa","non-dropping-particle":"","parse-names":false,"suffix":""},{"dropping-particle":"","family":"Nejatifar","given":"Zahra","non-dropping-particle":"","parse-names":false,"suffix":""},{"dropping-particle":"","family":"Soheylirad","given":"Rana","non-dropping-particle":"","parse-names":false,"suffix":""},{"dropping-particle":"","family":"Jalali","given":"Shabnam","non-dropping-particle":"","parse-names":false,"suffix":""},{"dropping-particle":"","family":"Aghajani","given":"Farnaz","non-dropping-particle":"","parse-names":false,"suffix":""},{"dropping-particle":"","family":"Navidriahy","given":"Mobina","non-dropping-particle":"","parse-names":false,"suffix":""},{"dropping-particle":"","family":"Deylami","given":"Sama","non-dropping-particle":"","parse-names":false,"suffix":""},{"dropping-particle":"","family":"Nasiri","given":"Mahmoud","non-dropping-particle":"","parse-names":false,"suffix":""},{"dropping-particle":"","family":"Zareei","given":"Mahsa","non-dropping-particle":"","parse-names":false,"suffix":""},{"dropping-particle":"","family":"Golmohammadi","given":"Zahra","non-dropping-particle":"","parse-names":false,"suffix":""},{"dropping-particle":"","family":"Shabani","given":"Hamideh","non-dropping-particle":"","parse-names":false,"suffix":""},{"dropping-particle":"","family":"Torabi","given":"Fatemeh","non-dropping-particle":"","parse-names":false,"suffix":""},{"dropping-particle":"","family":"Shabaninejad","given":"Hosein","non-dropping-particle":"","parse-names":false,"suffix":""},{"dropping-particle":"","family":"Nemati","given":"Ali","non-dropping-particle":"","parse-names":false,"suffix":""},{"dropping-particle":"","family":"Amerzadeh","given":"Mohammad","non-dropping-particle":"","parse-names":false,"suffix":""},{"dropping-particle":"","family":"Aryankhesal","given":"Aidin","non-dropping-particle":"","parse-names":false,"suffix":""},{"dropping-particle":"","family":"Ghashghaee","given":"Ahmad","non-dropping-particle":"","parse-names":false,"suffix":""}],"container-title":"PLoS ONE","id":"ITEM-3","issue":"1","issued":{"date-parts":[["2023","1","1"]]},"page":"e0274248","publisher":"PLoS One","title":"Global prevalence of nosocomial infection: A systematic review and meta-analysis","type":"article-journal","volume":"18"},"uris":["http://www.mendeley.com/documents/?uuid=144d8415-407e-3abb-874d-3749d89a04bb"]}],"mendeley":{"formattedCitation":"[5,37,38]","plainTextFormattedCitation":"[5,37,38]","previouslyFormattedCitation":"[5,37,38]"},"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[5,37,38]</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Fraser et al (2021) estimated that the prevalence of HAIs across Africa between 2009 and 2018 ranged from 3% to 15% of patients; however, this was likely to be an underestimate with considerable under-reporting of HAIs across the continent </w:t>
      </w:r>
      <w:r w:rsidRPr="003F4633">
        <w:rPr>
          <w:rFonts w:eastAsia="Times New Roman" w:cs="Times New Roman"/>
          <w:szCs w:val="24"/>
          <w:lang w:val="en" w:bidi="en-US"/>
        </w:rPr>
        <w:fldChar w:fldCharType="begin" w:fldLock="1"/>
      </w:r>
      <w:r w:rsidR="005E406D">
        <w:rPr>
          <w:rFonts w:eastAsia="Times New Roman" w:cs="Times New Roman"/>
          <w:szCs w:val="24"/>
          <w:lang w:val="en" w:bidi="en-US"/>
        </w:rPr>
        <w:instrText>ADDIN CSL_CITATION {"citationItems":[{"id":"ITEM-1","itemData":{"DOI":"10.1016/j.ijid.2020.12.030","ISSN":"18783511","PMID":"33333248","abstract":"Background: Healthcare-associated infections (HAIs) are a major global public health problem, increasing the transmission of drug-resistant infections. In Africa, the prevalence of HAIs among all hospital inpatients is estimated to be between 3% and 15%, but outbreaks are infrequently reported. Failure to detect and/or report outbreaks can increase the risk of ongoing infections and recurrent outbreaks. Methods: A search of the PubMed, Web of Science, Cochrane Library, and other outbreak databases was performed to identify published literature on bacterial HAI outbreaks in Africa (January 2009 to December 2018). Details of the outbreak characteristics, hospital environment, and the control measures implemented were extracted. Results: Twenty-two studies published over the 10-year period were identified. These reported 31 distinct outbreaks and a total of 31 causative pathogens, including Klebsiella pneumoniae (six outbreaks, 19%), Staphylococcus aureus (six outbreaks, 19%), and Enterococcus (five outbreaks, 16%). Most outbreaks were reported from university (n = 8, 26%) and tertiary hospitals (n = 11, 55%), from South Africa (n = 9, 41%) and Tunisia (n = 4, 18%). Interventions to control the outbreaks were described in 27 (90%) outbreaks, and all instituted or recommended enhancing hand hygiene and education. Conclusions: Few facilities in Africa reported HAI outbreaks over the 10-year period, suggesting substantial under-detection and under-reporting. The quality and timeliness of reporting require improvement to ensure changes in public health practice.","author":[{"dropping-particle":"","family":"Fraser","given":"Jessica L.","non-dropping-particle":"","parse-names":false,"suffix":""},{"dropping-particle":"","family":"Mwatondo","given":"Athman","non-dropping-particle":"","parse-names":false,"suffix":""},{"dropping-particle":"","family":"Alimi","given":"Yewande H.","non-dropping-particle":"","parse-names":false,"suffix":""},{"dropping-particle":"","family":"Varma","given":"Jay K.","non-dropping-particle":"","parse-names":false,"suffix":""},{"dropping-particle":"","family":"Vilas","given":"Victor J.Del Rio","non-dropping-particle":"","parse-names":false,"suffix":""}],"container-title":"International Journal of Infectious Diseases","id":"ITEM-1","issued":{"date-parts":[["2021","2","1"]]},"page":"469-477","publisher":"Int J Infect Dis","title":"Healthcare-associated outbreaks of bacterial infections in Africa, 2009–2018: A review","type":"article-journal","volume":"103"},"uris":["http://www.mendeley.com/documents/?uuid=030fcf85-83ab-3711-bd0f-2a2d1ca6e51a"]}],"mendeley":{"formattedCitation":"[39]","plainTextFormattedCitation":"[39]","previouslyFormattedCitation":"[39]"},"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[39]</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Abubakar et al in 2022 estimated the prevalence of HAIs in Africa at 12.76%, with surgical site infections being the most common type </w:t>
      </w:r>
      <w:r w:rsidRPr="003F4633">
        <w:rPr>
          <w:rFonts w:eastAsia="Times New Roman" w:cs="Times New Roman"/>
          <w:szCs w:val="24"/>
          <w:lang w:val="en" w:bidi="en-US"/>
        </w:rPr>
        <w:fldChar w:fldCharType="begin" w:fldLock="1"/>
      </w:r>
      <w:r w:rsidR="00EF7410">
        <w:rPr>
          <w:rFonts w:eastAsia="Times New Roman" w:cs="Times New Roman"/>
          <w:szCs w:val="24"/>
          <w:lang w:val="en" w:bidi="en-US"/>
        </w:rPr>
        <w:instrText>ADDIN CSL_CITATION {"citationItems":[{"id":"ITEM-1","itemData":{"DOI":"10.1186/s40545-022-00500-5","ISSN":"20523211","PMID":"36494700","abstract":"Background: There is limited data to describe the point-prevalence of healthcare-associated infections (HAIs) among patients at a regional level in Africa. This study estimated the pooled prevalence of HAIs and described the distribution of HAIs as well as the pathogens identified from African studies. Methods: PubMed, Scopus and Google Scholar databases were searched to find point-prevalence studies of HAIs in Africa. Studies conducted in Humans that reported the prevalence of HAIs among hospitalized patients and published in English language from January 2010 to March 2022 were selected. Longitudinal studies of HAIs and unpublished studies were excluded. The reference list of the selected studies was checked to find additional studies. A meta-analysis was conducted using RevMan 5.4 and the pooled prevalence of HAIs was determined using a random effect model. Results: Of the 6094 articles identified from the databases, fifteen eligible articles were selected. The studies were conducted in the North, South, East and West African regions with Tunisia (n = 4) and South Africa (n = 2) having the highest number of studies. Most of the studies (n = 12, 80.0%) had good quality. The pooled prevalence of HAIs was 12.76% (95% confidence interval [CI] 10.30–15.23) with a high degree of heterogeneity (I2 = 90.0%). The prevalence of HAIs varied between wards with the highest rate found in the ICU (25.2%–100%), followed by neonatal ICU/ward (7.0%–53.6%) and paediatric medical ward (2.7%–33.0%). Surgical site infection was the most common HAIs and accounted for 41.6% of all HAIs (95% CI 23.55–59.80), followed by bloodstream infection (17.07%, 95% CI 11.80–22.33) and respiratory tract infections/pneumonia (17.04%, 95% CI 13.21–20.87). Recent hospitalization (adjusted odds ratio [AOR]: 4.17, 95% CI 1.85–9.41), presence of peripheral vascular catheter (AOR: 2.87, 95% CI 1.54–5.36) and having diabetes mellitus (AOR: 2.46, 95% CI 1.45–4.17) were the strongest predictors of HAIs in Africa. Only 37.9% of HAIs had documented positive microbiological culture result with gram negative bacteria including Klebsiella pneumoniae, Escherichia coli, Pseudomonas aeruginosa, Acinetobacter baumannii and Citrobacter been the most common microorganisms and accounted for 40%–100% of the pathogens. Conclusions: The pooled point-prevalence of HAIs in Africa is more than two times higher than the rate reported in developed countries. The prevalence varied between the countries and was highes…","author":[{"dropping-particle":"","family":"Abubakar","given":"Usman","non-dropping-particle":"","parse-names":false,"suffix":""},{"dropping-particle":"","family":"Amir","given":"Omalhassan","non-dropping-particle":"","parse-names":false,"suffix":""},{"dropping-particle":"","family":"Rodríguez-Baño","given":"Jesús","non-dropping-particle":"","parse-names":false,"suffix":""}],"container-title":"Journal of Pharmaceutical Policy and Practice","id":"ITEM-1","issue":"1","issued":{"date-parts":[["2022","12","1"]]},"page":"99","publisher":"J Pharm Policy Pract","title":"Healthcare-associated infections in Africa: a systematic review and meta-analysis of point prevalence studies","type":"article-journal","volume":"15"},"uris":["http://www.mendeley.com/documents/?uuid=c0922c7d-ec79-3017-8818-384b58ddf07d"]}],"mendeley":{"formattedCitation":"[5]","plainTextFormattedCitation":"[5]","previouslyFormattedCitation":"[5]"},"properties":{"noteIndex":0},"schema":"https://github.com/citation-style-language/schema/raw/master/csl-citation.json"}</w:instrText>
      </w:r>
      <w:r w:rsidRPr="003F4633">
        <w:rPr>
          <w:rFonts w:eastAsia="Times New Roman" w:cs="Times New Roman"/>
          <w:szCs w:val="24"/>
          <w:lang w:val="en" w:bidi="en-US"/>
        </w:rPr>
        <w:fldChar w:fldCharType="separate"/>
      </w:r>
      <w:r w:rsidRPr="003F4633">
        <w:rPr>
          <w:rFonts w:eastAsia="Times New Roman" w:cs="Times New Roman"/>
          <w:noProof/>
          <w:szCs w:val="24"/>
          <w:lang w:val="en" w:bidi="en-US"/>
        </w:rPr>
        <w:t>[5]</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More recently, Hutton et al (2024) estimated that the number of HAIs among 14 sub-Saharan African countries was 4.8 million in 2022, with the number of deaths resulting from these estimated at 502,000 </w:t>
      </w:r>
      <w:r w:rsidRPr="003F4633">
        <w:rPr>
          <w:rFonts w:eastAsia="Times New Roman" w:cs="Times New Roman"/>
          <w:szCs w:val="24"/>
          <w:lang w:val="en" w:bidi="en-US"/>
        </w:rPr>
        <w:fldChar w:fldCharType="begin" w:fldLock="1"/>
      </w:r>
      <w:r w:rsidR="005E406D">
        <w:rPr>
          <w:rFonts w:eastAsia="Times New Roman" w:cs="Times New Roman"/>
          <w:szCs w:val="24"/>
          <w:lang w:val="en" w:bidi="en-US"/>
        </w:rPr>
        <w:instrText>ADDIN CSL_CITATION {"citationItems":[{"id":"ITEM-1","itemData":{"DOI":"10.1016/j.jhin.2024.04.015","ISSN":"15322939","PMID":"38723903","abstract":"Background: Healthcare-associated infections (HAIs) remain a global health challenge, and have elevated rates in Sub-Saharan Africa. HAIs impact patients and their families by causing illness, prolonged hospital stay, potential disability, excess costs and, sometimes, death. The costs of HAIs are increasing due to spreading antimicrobial resistance. A major risk factor for HAIs is lack of water, sanitation and hygiene (WASH); environmental cleaning and healthcare waste management. In Sub-Saharan Africa, these services are lacking in at least 50% of healthcare facilities. Aim: To estimate the costs associated with HAIs at national level in 14 countries in Sub-Saharan Africa. Methods: Economic methodologies were employed to estimate the medical costs, productivity losses and value of premature death from HAIs, drawing on national statistics and published studies to populate the economic model. Results: In 2022, the number of HAIs was estimated at 4.8 million, resulting in 500,000 deaths. Health-related economic losses amounted to US$13 billion per year, equivalent to 1.14% of combined gross domestic product and US$15.7 per capita. Healthcare costs were US$500 per HAI, and represented 5.6% of total health expenditure. The costs of providing basic WASH were US$0.91 per capita, which, if they reduced HAIs by 50%, would result in benefit–cost ratios of 1.6 (financial healthcare savings alone) and 8.6 (all economic benefits). Conclusion: HAIs have a major health and economic burden on African societies, and a significant proportion can be prevented. It is critical that health policy makers and practitioners dedicate policy space, resources and training to address HAIs.","author":[{"dropping-particle":"","family":"Hutton","given":"G.","non-dropping-particle":"","parse-names":false,"suffix":""},{"dropping-particle":"","family":"Chase","given":"C.","non-dropping-particle":"","parse-names":false,"suffix":""},{"dropping-particle":"","family":"Kennedy-Walker","given":"R.","non-dropping-particle":"","parse-names":false,"suffix":""},{"dropping-particle":"","family":"Hamilton","given":"H.","non-dropping-particle":"","parse-names":false,"suffix":""}],"container-title":"Journal of Hospital Infection","id":"ITEM-1","issued":{"date-parts":[["2024","8","1"]]},"page":"1-8","publisher":"J Hosp Infect","title":"Financial and economic costs of healthcare-associated infections in Africa","type":"article-journal","volume":"150"},"uris":["http://www.mendeley.com/documents/?uuid=352a9ea1-a86f-3cdf-99d2-1defc56b41bf"]}],"mendeley":{"formattedCitation":"[40]","plainTextFormattedCitation":"[40]","previouslyFormattedCitation":"[40]"},"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[40]</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The total economic costs across the 14 sub-Saharan African countries were estimated to be at least US$13 billion in 2022, with the costs per capita of the population higher among lower-middle-income African countries at US$23.9 per capita versus low-income African countries at US$7.2 per capita </w:t>
      </w:r>
      <w:r w:rsidRPr="003F4633">
        <w:rPr>
          <w:rFonts w:eastAsia="Times New Roman" w:cs="Times New Roman"/>
          <w:szCs w:val="24"/>
          <w:lang w:val="en" w:bidi="en-US"/>
        </w:rPr>
        <w:fldChar w:fldCharType="begin" w:fldLock="1"/>
      </w:r>
      <w:r w:rsidR="005E406D">
        <w:rPr>
          <w:rFonts w:eastAsia="Times New Roman" w:cs="Times New Roman"/>
          <w:szCs w:val="24"/>
          <w:lang w:val="en" w:bidi="en-US"/>
        </w:rPr>
        <w:instrText>ADDIN CSL_CITATION {"citationItems":[{"id":"ITEM-1","itemData":{"DOI":"10.1016/j.jhin.2024.04.015","ISSN":"15322939","PMID":"38723903","abstract":"Background: Healthcare-associated infections (HAIs) remain a global health challenge, and have elevated rates in Sub-Saharan Africa. HAIs impact patients and their families by causing illness, prolonged hospital stay, potential disability, excess costs and, sometimes, death. The costs of HAIs are increasing due to spreading antimicrobial resistance. A major risk factor for HAIs is lack of water, sanitation and hygiene (WASH); environmental cleaning and healthcare waste management. In Sub-Saharan Africa, these services are lacking in at least 50% of healthcare facilities. Aim: To estimate the costs associated with HAIs at national level in 14 countries in Sub-Saharan Africa. Methods: Economic methodologies were employed to estimate the medical costs, productivity losses and value of premature death from HAIs, drawing on national statistics and published studies to populate the economic model. Results: In 2022, the number of HAIs was estimated at 4.8 million, resulting in 500,000 deaths. Health-related economic losses amounted to US$13 billion per year, equivalent to 1.14% of combined gross domestic product and US$15.7 per capita. Healthcare costs were US$500 per HAI, and represented 5.6% of total health expenditure. The costs of providing basic WASH were US$0.91 per capita, which, if they reduced HAIs by 50%, would result in benefit–cost ratios of 1.6 (financial healthcare savings alone) and 8.6 (all economic benefits). Conclusion: HAIs have a major health and economic burden on African societies, and a significant proportion can be prevented. It is critical that health policy makers and practitioners dedicate policy space, resources and training to address HAIs.","author":[{"dropping-particle":"","family":"Hutton","given":"G.","non-dropping-particle":"","parse-names":false,"suffix":""},{"dropping-particle":"","family":"Chase","given":"C.","non-dropping-particle":"","parse-names":false,"suffix":""},{"dropping-particle":"","family":"Kennedy-Walker","given":"R.","non-dropping-particle":"","parse-names":false,"suffix":""},{"dropping-particle":"","family":"Hamilton","given":"H.","non-dropping-particle":"","parse-names":false,"suffix":""}],"container-title":"Journal of Hospital Infection","id":"ITEM-1","issued":{"date-parts":[["2024","8","1"]]},"page":"1-8","publisher":"J Hosp Infect","title":"Financial and economic costs of healthcare-associated infections in Africa","type":"article-journal","volume":"150"},"uris":["http://www.mendeley.com/documents/?uuid=352a9ea1-a86f-3cdf-99d2-1defc56b41bf"]}],"mendeley":{"formattedCitation":"[40]","plainTextFormattedCitation":"[40]","previouslyFormattedCitation":"[40]"},"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[40]</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w:t>
      </w:r>
    </w:p>
    <w:p w14:paraId="50B6FB58" w14:textId="77A57E1F" w:rsidR="003F4633" w:rsidRPr="003F4633" w:rsidRDefault="003F4633" w:rsidP="003F4633">
      <w:pPr>
        <w:spacing w:before="0" w:line="360" w:lineRule="auto"/>
        <w:jc w:val="both"/>
        <w:rPr>
          <w:rFonts w:eastAsia="Times New Roman" w:cs="Times New Roman"/>
          <w:szCs w:val="24"/>
          <w:lang w:val="en" w:bidi="en-US"/>
        </w:rPr>
      </w:pPr>
      <w:r w:rsidRPr="003F4633">
        <w:rPr>
          <w:rFonts w:eastAsia="Times New Roman" w:cs="Times New Roman"/>
          <w:szCs w:val="24"/>
          <w:lang w:val="en" w:bidi="en-US"/>
        </w:rPr>
        <w:t xml:space="preserve">Rates of HAIs are typically elevated across sub-Saharan Africa as a result of poor IPC practices due to limited resources, as well as typically overcrowding in hospitals, coupled with understaffing and underfunding of healthcare facilities </w:t>
      </w:r>
      <w:r w:rsidRPr="003F4633">
        <w:rPr>
          <w:rFonts w:eastAsia="Times New Roman" w:cs="Times New Roman"/>
          <w:szCs w:val="24"/>
          <w:lang w:val="en" w:bidi="en-US"/>
        </w:rPr>
        <w:fldChar w:fldCharType="begin" w:fldLock="1"/>
      </w:r>
      <w:r w:rsidR="00EE7503">
        <w:rPr>
          <w:rFonts w:eastAsia="Times New Roman" w:cs="Times New Roman"/>
          <w:szCs w:val="24"/>
          <w:lang w:val="en" w:bidi="en-US"/>
        </w:rPr>
        <w:instrText>ADDIN CSL_CITATION {"citationItems":[{"id":"ITEM-1","itemData":{"DOI":"10.4102/ajlm.v7i2.796","ISSN":"2225-2010","abstract":"Background: Healthcare-associated infection (HCAI) is a global health challenge, not only as an issue of patient safety but also as a major driver of antimicrobial resistance (AMR). It is a major cause of morbidity and mortality with economic consequences. Objective: This review provides an update on the occurrence of HCAI, as well as the contribution of emerging AMR on healthcare delivery in Africa. Methods: We searched PubMed, Cochrane database, African Journals Online and Google Scholar for relevant articles on HCAI in Africa between 2010 and 2017. Preferred reporting items of systematic reviews and meta-analyses guidelines were followed for selection. Thirty-five eligible articles were considered for the qualitative synthesis. Results: Of the 35 eligible articles, more than half (n = 21, 60%) were from East Africa. Klebsiella spp., Staphylococcus aureus, Escherichia coli and Pseudomonas spp. were the common pathogens reported in bloodstream infection, (catheter-associated) urinary tract infection, surgical site infection and healthcare-associated pneumonia. Among these various subtypes of HCAI, methicillin-resistant S. aureus (3.9% – 56.8%) and extended-spectrum beta-lactamase producing Gram-negative bacilli (1.9% – 53.0%) were the most reported antimicrobial resistant pathogens. Conclusion: This review shows a paucity of HCAI surveillance in Africa and an emergence of AMR priority pathogens. Hence, there is a need for a coordinated national and regional surveillance of both HCAI and AMR in Africa.","author":[{"dropping-particle":"","family":"Irek","given":"Emmanuel O.","non-dropping-particle":"","parse-names":false,"suffix":""},{"dropping-particle":"","family":"Amupitan","given":"Adewale A.","non-dropping-particle":"","parse-names":false,"suffix":""},{"dropping-particle":"","family":"Obadare","given":"Temitope O.","non-dropping-particle":"","parse-names":false,"suffix":""},{"dropping-particle":"","family":"Aboderin","given":"Aaron O.","non-dropping-particle":"","parse-names":false,"suffix":""}],"container-title":"African Journal of Laboratory Medicine","id":"ITEM-1","issue":"2","issued":{"date-parts":[["2018","12","6"]]},"page":"796","publisher":"AOSIS OpenJournals Publishing AOSIS (Pty) Ltd","title":"A systematic review of healthcare-associated infections in Africa: An antimicrobial resistance perspective","type":"article-journal","volume":"7"},"uris":["http://www.mendeley.com/documents/?uuid=efedb3d1-7f17-3e70-b21f-895a9a2293af"]},{"id":"ITEM-2","itemData":{"DOI":"10.1186/s13756-020-00747-0","ISSN":"20472994","PMID":"32517810","abstract":"Background: Healthcare-associated infections (HAI) especially outbreaks of multi-drug-resistant organisms within hospitals are recognized as a major contributor to morbidity and mortality of hospitalized patients. The healthcare environment can act as an amplifier of HAI during outbreaks. The risk of acquiring HAI are 20 times higher in Low-and-middle-income countries. The purpose of this article is to review the challenges associated with controlling environmental contamination in low and lower-middle income countries (LMIC), highlighting possible solutions. Method: This is a narrative review. A literature search was carried out in Google scholar, PubMed, Science Direct, EBSCOHOST, CENGAGE, Scopus, ProQuest, Clinical Key and African journals online using the key words - Health care Associated Infections (HCAIs) in LMICs, Challenges of HAIs in LMIC, Challenges of Prevention and Control of HAIs in LMICs, Environment of care and infection transmission, Contaminated environment and HAIs. Results: From the accessed databases, 1872 articles related to environmental sources of contamination in healthcare settings were found. Of these, only 530 articles focused on LMICs. However, only 186 articles met the inclusion criteria studies published in English, conducted between 2000 and 2019 and exploring environmental sources of contamination in LMIC healthcare settings). The sources of environmental contamination in healthcare are numerous and commonly associated with poor governance, Inadequate infrastructure, human capacity and inadequate funding. Low awareness exists at all levels as to the role of the environment in healthcare outcomes and may explain in part the low priority given for funding. Conclusion: Leadership and trained personnel, both Infection prevention and control practitioners and cleaners are crucial to drive and sustain the process to reduce environmental contamination in healthcare environments.","author":[{"dropping-particle":"","family":"Ogunsola","given":"Folasade T.","non-dropping-particle":"","parse-names":false,"suffix":""},{"dropping-particle":"","family":"Mehtar","given":"Shaheen","non-dropping-particle":"","parse-names":false,"suffix":""}],"container-title":"Antimicrobial Resistance and Infection Control","id":"ITEM-2","issue":"1","issued":{"date-parts":[["2020","6","9"]]},"page":"81","publisher":"Antimicrob Resist Infect Control","title":"Challenges regarding the control of environmental sources of contamination in healthcare settings in low-and middle-income countries - A narrative review","type":"article-journal","volume":"9"},"uris":["http://www.mendeley.com/documents/?uuid=e2e0f4a7-8c35-38b3-890c-e78807f55a1e"]}],"mendeley":{"formattedCitation":"[41,42]","plainTextFormattedCitation":"[41,42]","previouslyFormattedCitation":"[41,42]"},"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[41,42]</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Overall, it is estimated that up to 50% or more of public healthcare facilities across sub-Saharan Africa, especially in rural areas, lack routine access to clean water, basic hygiene, and basic waste management, adding to the development of HAIs </w:t>
      </w:r>
      <w:r w:rsidRPr="003F4633">
        <w:rPr>
          <w:rFonts w:eastAsia="Times New Roman" w:cs="Times New Roman"/>
          <w:szCs w:val="24"/>
          <w:lang w:val="en" w:bidi="en-US"/>
        </w:rPr>
        <w:fldChar w:fldCharType="begin" w:fldLock="1"/>
      </w:r>
      <w:r w:rsidR="005E406D">
        <w:rPr>
          <w:rFonts w:eastAsia="Times New Roman" w:cs="Times New Roman"/>
          <w:szCs w:val="24"/>
          <w:lang w:val="en" w:bidi="en-US"/>
        </w:rPr>
        <w:instrText>ADDIN CSL_CITATION {"citationItems":[{"id":"ITEM-1","itemData":{"ISBN":"9789240058699","abstract":"WHO/UNICEF JOINT MONITORING PROGRAMME FOR WATER SUPPLY, SANITATION AND HYGIENE","author":[{"dropping-particle":"","family":"World Health Organization &amp; United Nations Children's Fund (UNICEF)","given":"","non-dropping-particle":"","parse-names":false,"suffix":""}],"id":"ITEM-1","issued":{"date-parts":[["2022"]]},"number-of-pages":"1-128","title":"Progress on WASH in health care facilities 2000–2021: special focus on WASH and infection prevention and control (IPC)","type":"report"},"uris":["http://www.mendeley.com/documents/?uuid=c9fe34b2-b5bd-3a70-a2ee-4cb576bfbf06"]},{"id":"ITEM-2","itemData":{"ISBN":"9789241515504","abstract":"This report presents updated national, regional and global estimates for WASH in health care facilities in 2023 and has a special focus on primary health care. The World Health Organization (WHO) and the United Nations Children’s Fund (UNICEF), through the WHO/UNICEF Joint Monitoring Programme for Water Supply, Sanitation and Hygiene (JMP), have produced regular updates on water, sanitation and hygiene (WASH) since 1990. Together, they are responsible for monitoring the 2030 Sustainable Development Goal (SDG) targets related to WASH.","author":[{"dropping-particle":"","family":"World Health Organization","given":"","non-dropping-particle":"","parse-names":false,"suffix":""}],"id":"ITEM-2","issue":"10","issued":{"date-parts":[["2024"]]},"number-of-pages":"1-132","title":"WASH in health care facilities","type":"report"},"uris":["http://www.mendeley.com/documents/?uuid=1e5744b6-1031-36d5-96f4-eda06ef1e826"]},{"id":"ITEM-3","itemData":{"DOI":"10.1371/journal.pone.0271726","ISSN":"19326203","PMID":"35917339","abstract":"A healthy and a dignified life experience requires adequate water, sanitation, and hygiene (WaSH) coverage. However, inadequate WaSH resources remain a significant public health challenge in many communities in Southern Africa. A systematic search of peer-reviewed journal articles from 2010 –May 2022 was undertaken on Medline, PubMed, EbscoHost and Google Scholar from 2010 to May 2022 was searched using combinations of predefined search terms with Boolean operators. Eighteen peer-reviewed articles from Southern Africa satisfied the inclusion criteria for this review. The general themes that emerged for both barriers and facilitators included geographical inequalities, climate change, investment in WaSH resources, low levels of knowledge on water borne-diseases and ineffective local community engagement. Key facilitators to improved WaSH practices included improved WaSH infrastructure, effective local community engagement, increased latrine ownership by individual households and the development of social capital. Water and sanitation are critical to ensuring a healthy lifestyle. However, many people and communities in Southern Africa still lack access to safe water and improved sanitation facilities. Rural areas are the most affected by barriers to improved WaSH facilities due to lack of WaSH infrastructure compared to urban settings. Our review has shown that, the current WaSH conditions in Southern Africa do not equate to the improved WaSH standards described in SDG 6 on ensuring access to water and sanitation for all. Key barriers to improved WaSH practices identified include rurality, climate change, low investments in WaSH infrastructure, inadequate knowledge on water-borne illnesses and lack of community engagement.","author":[{"dropping-particle":"","family":"Tseole","given":"Nkeka P.","non-dropping-particle":"","parse-names":false,"suffix":""},{"dropping-particle":"","family":"Mindu","given":"Tafadzwa","non-dropping-particle":"","parse-names":false,"suffix":""},{"dropping-particle":"","family":"Kalinda","given":"Chester","non-dropping-particle":"","parse-names":false,"suffix":""},{"dropping-particle":"","family":"Chimbari","given":"Moses J.","non-dropping-particle":"","parse-names":false,"suffix":""}],"container-title":"PLoS ONE","id":"ITEM-3","issue":"8","issued":{"date-parts":[["2022","8","1"]]},"page":"e0271726","publisher":"PLOS","title":"Barriers and facilitators to Water, Sanitation and Hygiene (WaSH) practices in Southern Africa: A scoping review","type":"article","volume":"17"},"uris":["http://www.mendeley.com/documents/?uuid=ec06b9af-f2dd-3aa8-9b95-02cd786fb505"]}],"mendeley":{"formattedCitation":"[43–45]","plainTextFormattedCitation":"[43–45]","previouslyFormattedCitation":"[43–45]"},"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[43–45]</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It is against these aforementioned challenges that strategies need to be instigated across countries to prevent infections and address AMR and its consequences </w:t>
      </w:r>
      <w:r w:rsidRPr="003F4633">
        <w:rPr>
          <w:rFonts w:eastAsia="Times New Roman" w:cs="Times New Roman"/>
          <w:szCs w:val="24"/>
          <w:lang w:val="en" w:bidi="en-US"/>
        </w:rPr>
        <w:fldChar w:fldCharType="begin" w:fldLock="1"/>
      </w:r>
      <w:r w:rsidR="00707407">
        <w:rPr>
          <w:rFonts w:eastAsia="Times New Roman" w:cs="Times New Roman"/>
          <w:szCs w:val="24"/>
          <w:lang w:val="en" w:bidi="en-US"/>
        </w:rPr>
        <w:instrText>ADDIN CSL_CITATION {"citationItems":[{"id":"ITEM-1","itemData":{"DOI":"10.1080/14740338.2022.2106368","ISSN":"1744764X","PMID":"35876080","abstract":"Introduction: Antimicrobial resistance (AMR) is a concern as this increases morbidity, mortality, and costs, with sub-Saharan Africa having the highest rates globally. Concerns with rising AMR have resulted in international, Pan-African, and country activities including the development of national action plans (NAPs). However, there is variable implementation across Africa with key challenges persisting. Areas covered: Consequently, there is an urgent need to document current NAP activities and challenges across sub-Saharan Africa to provide future guidance. This builds on a narrative review of the literature. Expert Opinion: All surveyed sub-Saharan African countries have developed their NAPs; however, there is variable implementation. Countries including Botswana and Namibia are yet to officially launch their NAPs with Eswatini only recently launching its NAP. Cameroon is further ahead with its NAP than these countries; though there are concerns with implementation. South Africa appears to have made the greatest strides with implementing its NAP including regular monitoring of activities and instigation of antimicrobial stewardship programs. Key challenges remain across Africa. These include available personnel, expertise, capacity, and resources to undertake agreed NAP activities including active surveillance, lack of focal points to drive NAPs, and competing demands and priorities including among donors. These challenges are being addressed, with further co-ordinated efforts needed to reduce AMR.","author":[{"dropping-particle":"","family":"Godman","given":"Brian","non-dropping-particle":"","parse-names":false,"suffix":""},{"dropping-particle":"","family":"Egwuenu","given":"Abiodun","non-dropping-particle":"","parse-names":false,"suffix":""},{"dropping-particle":"","family":"Wesangula","given":"Evelyn","non-dropping-particle":"","parse-names":false,"suffix":""},{"dropping-particle":"","family":"Schellack","given":"Natalie","non-dropping-particle":"","parse-names":false,"suffix":""},{"dropping-particle":"","family":"Kalungia","given":"Aubrey Chichonyi","non-dropping-particle":"","parse-names":false,"suffix":""},{"dropping-particle":"","family":"Tiroyakgosi","given":"Celda","non-dropping-particle":"","parse-names":false,"suffix":""},{"dropping-particle":"","family":"Kgatlwane","given":"Joyce","non-dropping-particle":"","parse-names":false,"suffix":""},{"dropping-particle":"","family":"Mwita","given":"Julius C.","non-dropping-particle":"","parse-names":false,"suffix":""},{"dropping-particle":"","family":"Patrick","given":"Okwen","non-dropping-particle":"","parse-names":false,"suffix":""},{"dropping-particle":"","family":"Niba","given":"Loveline Lum","non-dropping-particle":"","parse-names":false,"suffix":""},{"dropping-particle":"","family":"Amu","given":"Adefolarin A.","non-dropping-particle":"","parse-names":false,"suffix":""},{"dropping-particle":"","family":"Oguntade","given":"Racheal Tomilola","non-dropping-particle":"","parse-names":false,"suffix":""},{"dropping-particle":"","family":"Alabi","given":"Mobolaji Eniola","non-dropping-particle":"","parse-names":false,"suffix":""},{"dropping-particle":"","family":"Ncube","given":"Nondumiso B.Q.","non-dropping-particle":"","parse-names":false,"suffix":""},{"dropping-particle":"","family":"Sefah","given":"Israel Abebrese","non-dropping-particle":"","parse-names":false,"suffix":""},{"dropping-particle":"","family":"Acolatse","given":"Joseph","non-dropping-particle":"","parse-names":false,"suffix":""},{"dropping-particle":"","family":"Incoom","given":"Robert","non-dropping-particle":"","parse-names":false,"suffix":""},{"dropping-particle":"","family":"Guantai","given":"Anastasia Nkatha","non-dropping-particle":"","parse-names":false,"suffix":""},{"dropping-particle":"","family":"Oluka","given":"Margaret","non-dropping-particle":"","parse-names":false,"suffix":""},{"dropping-particle":"","family":"Opanga","given":"Sylvia","non-dropping-particle":"","parse-names":false,"suffix":""},{"dropping-particle":"","family":"Chikowe","given":"Ibrahim","non-dropping-particle":"","parse-names":false,"suffix":""},{"dropping-particle":"","family":"Khuluza","given":"Felix","non-dropping-particle":"","parse-names":false,"suffix":""},{"dropping-particle":"","family":"Chiumia","given":"Francis K.","non-dropping-particle":"","parse-names":false,"suffix":""},{"dropping-particle":"","family":"Jana","given":"Collins Edward","non-dropping-particle":"","parse-names":false,"suffix":""},{"dropping-particle":"","family":"Kalemeera","given":"Francis","non-dropping-particle":"","parse-names":false,"suffix":""},{"dropping-particle":"","family":"Hango","given":"Ester","non-dropping-particle":"","parse-names":false,"suffix":""},{"dropping-particle":"","family":"Fadare","given":"Joseph","non-dropping-particle":"","parse-names":false,"suffix":""},{"dropping-particle":"","family":"Ogunleye","given":"Olayinka O.","non-dropping-particle":"","parse-names":false,"suffix":""},{"dropping-particle":"","family":"Ebruke","given":"Bernard E.","non-dropping-particle":"","parse-names":false,"suffix":""},{"dropping-particle":"","family":"Meyer","given":"Johanna C.","non-dropping-particle":"","parse-names":false,"suffix":""},{"dropping-particle":"","family":"Massele","given":"Amos","non-dropping-particle":"","parse-names":false,"suffix":""},{"dropping-particle":"","family":"Malande","given":"Oliver Ombeva","non-dropping-particle":"","parse-names":false,"suffix":""},{"dropping-particle":"","family":"Kibuule","given":"Dan","non-dropping-particle":"","parse-names":false,"suffix":""},{"dropping-particle":"","family":"Kapona","given":"Otridah","non-dropping-particle":"","parse-names":false,"suffix":""},{"dropping-particle":"","family":"Zaranyika","given":"Trust","non-dropping-particle":"","parse-names":false,"suffix":""},{"dropping-particle":"","family":"Bwakura-Dangarembizi","given":"Mutsa","non-dropping-particle":"","parse-names":false,"suffix":""},{"dropping-particle":"","family":"Kujinga","given":"Tapiwanashe","non-dropping-particle":"","parse-names":false,"suffix":""},{"dropping-particle":"","family":"Saleem","given":"Zikria","non-dropping-particle":"","parse-names":false,"suffix":""},{"dropping-particle":"","family":"Kurdi","given":"Amanj","non-dropping-particle":"","parse-names":false,"suffix":""},{"dropping-particle":"","family":"Shahwan","given":"Moyad","non-dropping-particle":"","parse-names":false,"suffix":""},{"dropping-particle":"","family":"Jairoun","given":"Ammar Abdulrahman","non-dropping-particle":"","parse-names":false,"suffix":""},{"dropping-particle":"","family":"Wale","given":"Janney","non-dropping-particle":"","parse-names":false,"suffix":""},{"dropping-particle":"","family":"Brink","given":"Adrian J.","non-dropping-particle":"","parse-names":false,"suffix":""}],"container-title":"Expert Opinion on Drug Safety","id":"ITEM-1","issue":"8","issued":{"date-parts":[["2022"]]},"page":"1089-1111","publisher":"Expert Opin Drug Saf","title":"Tackling antimicrobial resistance across sub-Saharan Africa: current challenges and implications for the future","type":"article-journal","volume":"21"},"uris":["http://www.mendeley.com/documents/?uuid=101701e1-9286-3c69-baaa-65fe85b29064"]},{"id":"ITEM-2","itemData":{"DOI":"10.3390/life11060528","ISSN":"20751729","PMID":"34200116","abstract":"Antimicrobial resistance (AMR) is a high priority across countries as it increases morbidity, mortality and costs. Concerns with AMR have resulted in multiple initiatives internationally, na-tionally and regionally to enhance appropriate antibiotic utilization across sectors to reduce AMR, with the overuse of antibiotics exacerbated by the COVID-19 pandemic. Effectively tackling AMR is crucial for all countries. Principally a narrative review of ongoing activities across sectors was undertaken to improve antimicrobial use and address issues with vaccines including COVID-19. Point prevalence surveys have been successful in hospitals to identify areas for quality improvement programs, principally centering on antimicrobial stewardship programs. These include reducing prolonged antibiotic use to prevent surgical site infections. Multiple activities centering on education have been successful in reducing inappropriate prescribing and dispensing of antimicrobials in ambulatory care for essentially viral infections such as acute respiratory infections. It is imperative to develop new quality indicators for ambulatory care given current concerns, and instigate programs with clear public health messaging to reduce misinformation, essential for pandemics. Regular access to effective treatments is needed to reduce resistance to treatments for HIV, malaria and tuberculosis. Key stakeholder groups can instigate multiple initiatives to reduce AMR. These need to be followed up.","author":[{"dropping-particle":"","family":"Godman","given":"Brian","non-dropping-particle":"","parse-names":false,"suffix":""},{"dropping-particle":"","family":"Egwuenu","given":"Abiodun","non-dropping-particle":"","parse-names":false,"suffix":""},{"dropping-particle":"","family":"Haque","given":"Mainul","non-dropping-particle":"","parse-names":false,"suffix":""},{"dropping-particle":"","family":"Malande","given":"Oliver Ombeva","non-dropping-particle":"","parse-names":false,"suffix":""},{"dropping-particle":"","family":"Schellack","given":"Natalie","non-dropping-particle":"","parse-names":false,"suffix":""},{"dropping-particle":"","family":"Kumar","given":"Santosh","non-dropping-particle":"","parse-names":false,"suffix":""},{"dropping-particle":"","family":"Saleem","given":"Zikria","non-dropping-particle":"","parse-names":false,"suffix":""},{"dropping-particle":"","family":"Sneddon","given":"Jacqueline","non-dropping-particle":"","parse-names":false,"suffix":""},{"dropping-particle":"","family":"Hoxha","given":"Iris","non-dropping-particle":"","parse-names":false,"suffix":""},{"dropping-particle":"","family":"Islam","given":"Salequl","non-dropping-particle":"","parse-names":false,"suffix":""},{"dropping-particle":"","family":"Mwita","given":"Julius","non-dropping-particle":"","parse-names":false,"suffix":""},{"dropping-particle":"","family":"Nascimento","given":"Renata Cristina Rezende Macedo","non-dropping-particle":"Do","parse-names":false,"suffix":""},{"dropping-particle":"","family":"Godói","given":"Isabella Piassi Dias","non-dropping-particle":"","parse-names":false,"suffix":""},{"dropping-particle":"","family":"Niba","given":"Loveline Lum","non-dropping-particle":"","parse-names":false,"suffix":""},{"dropping-particle":"","family":"Amu","given":"Adefolarin A.","non-dropping-particle":"","parse-names":false,"suffix":""},{"dropping-particle":"","family":"Acolatse","given":"Joseph","non-dropping-particle":"","parse-names":false,"suffix":""},{"dropping-particle":"","family":"Incoom","given":"Robert","non-dropping-particle":"","parse-names":false,"suffix":""},{"dropping-particle":"","family":"Sefah","given":"Israel Abebrese","non-dropping-particle":"","parse-names":false,"suffix":""},{"dropping-particle":"","family":"Opanga","given":"Sylvia","non-dropping-particle":"","parse-names":false,"suffix":""},{"dropping-particle":"","family":"Kurdi","given":"Amanj","non-dropping-particle":"","parse-names":false,"suffix":""},{"dropping-particle":"","family":"Chikowe","given":"Ibrahim","non-dropping-particle":"","parse-names":false,"suffix":""},{"dropping-particle":"","family":"Khuluza","given":"Felix","non-dropping-particle":"","parse-names":false,"suffix":""},{"dropping-particle":"","family":"Kibuule","given":"Dan","non-dropping-particle":"","parse-names":false,"suffix":""},{"dropping-particle":"","family":"Ogunleye","given":"Olayinka O.","non-dropping-particle":"","parse-names":false,"suffix":""},{"dropping-particle":"","family":"Olalekan","given":"Adesola","non-dropping-particle":"","parse-names":false,"suffix":""},{"dropping-particle":"","family":"Markovic-Pekovic","given":"Vanda","non-dropping-particle":"","parse-names":false,"suffix":""},{"dropping-particle":"","family":"Meyer","given":"Johanna C.","non-dropping-particle":"","parse-names":false,"suffix":""},{"dropping-particle":"","family":"Alfadl","given":"Abubakr","non-dropping-particle":"","parse-names":false,"suffix":""},{"dropping-particle":"","family":"Phuong","given":"Thuy Nguyen Thi","non-dropping-particle":"","parse-names":false,"suffix":""},{"dropping-particle":"","family":"Kalungia","given":"Aubrey C.","non-dropping-particle":"","parse-names":false,"suffix":""},{"dropping-particle":"","family":"Campbell","given":"Stephen","non-dropping-particle":"","parse-names":false,"suffix":""},{"dropping-particle":"","family":"Pisana","given":"Alice","non-dropping-particle":"","parse-names":false,"suffix":""},{"dropping-particle":"","family":"Wale","given":"Janney","non-dropping-particle":"","parse-names":false,"suffix":""},{"dropping-particle":"","family":"Seaton","given":"R. Andrew","non-dropping-particle":"","parse-names":false,"suffix":""}],"container-title":"Life","id":"ITEM-2","issue":"6","issued":{"date-parts":[["2021","6","1"]]},"page":"528","title":"Strategies to improve antimicrobial utilization with a special focus on developing countries","type":"article","volume":"11"},"uris":["http://www.mendeley.com/documents/?uuid=dc112aff-0aec-3d72-a3a2-30725eb19488"]},{"id":"ITEM-3","itemData":{"DOI":"10.4236/PP.2023.148020","ISSN":"2157-9423","abstract":"Background: Antimicrobial resistance (AMR) is a global health challenge that has escalated due to the inappropriate use of antimicrobials in humans, animals, and the environment. Developing and implementing strategies to reduce and combat AMR is critical. Purpose: This study aimed to highlight some global strategies that can be implemented to address AMR using a One Health approach. Methods: This study employed a narrative review design that included studies published from January 2002 to July 2023. The study searched for literature on AMR and antimicrobial stewardship (AMS) in PubMed and Google Scholar using the 2020 PRISMA guidelines. Results: This study reveals that AMR remains a significant global public health problem. Its severity has been markedly exacerbated by inappropriate use of antimicrobials in humans, animals, and the broader ecological environment. Several strategies have been developed to address AMR, including the Global Action Plan (GAP), National Action Plans (NAPs), AMS programs, and implementation of the AWaRe classification of antimicrobials. These strategies also involve strengthening surveillance of antimicrobial consumption and resistance, encouraging the development of new antimicrobials, and enhancing regulations around antimicrobial prescribing, dispensing, and usage. Additional measures include promoting global partnerships, combating substandard and falsified antimicrobials, advocating for vaccinations, sanitation, hygiene and biosecurity, as well as exploring alternatives to antimicrobials. However, the implementation of these strategies faces various challenges. These challenges include low awareness and knowledge of AMR, a shortage of human resources and capacity building for AMR and AMS, in adequate funding for AMR and AMS initiatives, limited laboratory capacities for surveillance, behavioural change issues, and ineffective leadership and multidisciplinary teams. Conclusion: In conclusion, this study established that AMR is prevalent among humans, animals, and the environment. Successfully addressing AMR calls for a collaborative, multifaceted One Health approach. Despite this, some gaps remain effectively implementing strategies currently recommended to combat AMR. As a result, it is essential to reinforce the strategies that are deployed to counter AMR across the human, animal, and environmental sectors.","author":[{"dropping-particle":"","family":"Mudenda","given":"Steward","non-dropping-particle":"","parse-names":false,"suffix":""},{"dropping-particle":"","family":"Chabalenge","given":"Billy","non-dropping-particle":"","parse-names":false,"suffix":""},{"dropping-particle":"","family":"Daka","given":"Victor","non-dropping-particle":"","parse-names":false,"suffix":""},{"dropping-particle":"","family":"Mfune","given":"Ruth Lindizyani","non-dropping-particle":"","parse-names":false,"suffix":""},{"dropping-particle":"","family":"Salachi","given":"Kyembe Ignitius","non-dropping-particle":"","parse-names":false,"suffix":""},{"dropping-particle":"","family":"Mohamed","given":"Shafiq","non-dropping-particle":"","parse-names":false,"suffix":""},{"dropping-particle":"","family":"Mufwambi","given":"Webrod","non-dropping-particle":"","parse-names":false,"suffix":""},{"dropping-particle":"","family":"Kasanga","given":"Maisa","non-dropping-particle":"","parse-names":false,"suffix":""},{"dropping-particle":"","family":"Matafwali","given":"Scott Kaba","non-dropping-particle":"","parse-names":false,"suffix":""}],"container-title":"Pharmacology &amp; Pharmacy","id":"ITEM-3","issue":"8","issued":{"date-parts":[["2023","8","18"]]},"page":"271-328","publisher":"Scientific Research Publishing","title":"Global Strategies to Combat Antimicrobial Resistance: A One Health Perspective","type":"article-journal","volume":"14"},"uris":["http://www.mendeley.com/documents/?uuid=c2b70d62-9474-3c83-9568-2fd6b8e63934"]},{"id":"ITEM-4","itemData":{"DOI":"10.1186/s12913-022-08603-0","ISSN":"14726963","PMID":"36207710","abstract":"Background: Hospital-acquired infections (HAIs) and antimicrobial resistance (AMR) are major global health challenges. Drug-resistant infectious diseases continue to rise in developing countries, driven by shortfalls in infection control measures, antibiotic misuse, and scarcity of reliable diagnostics. These escalating global challenges have highlighted the importance of strengthening fundamental infection prevention and control (IPC) measures and implementing effective antimicrobial stewardship programs (ASP). This study aims to present a framework for enhancing IPC measures and ASP efforts to reduce the HAI and AMR burden in Bangladesh. Methods: This implementation approach will employ a mixed-methods strategy, combining both quantitative and qualitative data from 12 tertiary hospitals in Bangladesh. A baseline assessment will be conducted using the Infection Prevention and Control Assessment Framework (IPCAF) developed by the WHO. We will record IPC practices through direct observations of hand hygiene, personal protective equipment (PPE) utilization, and hospital ward IPC infrastructure. Additionally, data on healthcare providers’ knowledge, attitudes, and practices regarding IPC and antibiotic prescribing will be collected using both structured questionnaires and qualitative interviews. We will also assist the hospital leadership with establishing and/or strengthening IPC and ASP committees. Based on baseline assessments of each healthcare facility, tailored interventions and quality improvement projects will be designed and implemented. An end-line assessment will also be conducted after 12 months of intervention using the same assessment tools. The findings will be compared with the baseline to determine changes in IPC and antibiotic stewardship practices. Discussion: Comprehensive assessments of healthcare facilities in low-resource settings are crucial for strengthening IPC measures and ASP activities,. This approach to assessing existing IPC and ASP activities will provide policy-relevant data for addressing current shortfalls. Moreover, this framework proposes identifying institutionally-tailored solutions, which will ensure that response activities are appropriately contextualized, aligned with stakeholder priorities, and offer sustainable solutions. Conclusion: Findings from this study can guide the design and implementation of feasible and sustainable interventions in resource-constrained healthcare settings to address gaps in existing IP…","author":[{"dropping-particle":"","family":"Harun","given":"Md Golam Dostogir","non-dropping-particle":"","parse-names":false,"suffix":""},{"dropping-particle":"","family":"Anwar","given":"Md Mahabub Ul","non-dropping-particle":"","parse-names":false,"suffix":""},{"dropping-particle":"","family":"Sumon","given":"Shariful Amin","non-dropping-particle":"","parse-names":false,"suffix":""},{"dropping-particle":"","family":"Hassan","given":"Md Zakiul","non-dropping-particle":"","parse-names":false,"suffix":""},{"dropping-particle":"","family":"Mohona","given":"Tahrima Mohsin","non-dropping-particle":"","parse-names":false,"suffix":""},{"dropping-particle":"","family":"Rahman","given":"Aninda","non-dropping-particle":"","parse-names":false,"suffix":""},{"dropping-particle":"","family":"Abdullah","given":"Syed Abul Hassan Md","non-dropping-particle":"","parse-names":false,"suffix":""},{"dropping-particle":"","family":"Islam","given":"Md Saiful","non-dropping-particle":"","parse-names":false,"suffix":""},{"dropping-particle":"","family":"Kaydos-Daniels","given":"S. Cornelia","non-dropping-particle":"","parse-names":false,"suffix":""},{"dropping-particle":"","family":"Styczynski","given":"Ashley R.","non-dropping-particle":"","parse-names":false,"suffix":""}],"container-title":"BMC Health Services Research","id":"ITEM-4","issue":"1","issued":{"date-parts":[["2022","12","1"]]},"page":"1239","publisher":"BioMed Central Ltd","title":"Rationale and guidance for strengthening infection prevention and control measures and antimicrobial stewardship programs in Bangladesh: a study protocol","type":"article-journal","volume":"22"},"uris":["http://www.mendeley.com/documents/?uuid=5e85a909-ec93-3d60-8fa8-12a241a8ad2d"]},{"id":"ITEM-5","itemData":{"DOI":"10.3390/applbiosci2020011","ISSN":"2813-0464","abstract":"Antimicrobial resistance (AMR) is one of the top 10 global health threats facing humanity, and the sub-Saharan Africa (SSA) is among the heavily affected regions due to its weak health systems and limited resources. Due to an escalating number of AMR pathogens and the scarcity of new antimicrobials, efforts in the prevention of infections and the search for alternative treatment options are ongoing. The objective of this review was to assess important weapons against AMR in SSA. The highlighted weapons include vaccines, education and awareness, infection prevention and control (IPC) using water, sanitation, and hygiene (WASH), alternative treatment options, the One Health (OH) approach, AMR surveillance, operational national action plans (NAPs) on AMR, antimicrobial stewardship (AMS) programs, and good governance and regulations. Despite not being used at a satisfactory level in SSA, advanced techniques in dealing with AMR in SSA include (i) metagenomics, (ii) whole-genome sequencing (WGS) in AMR surveillance to track resistance trends and know when to intervene, and (iii) use of artificial intelligence in AMR prediction based on genomics data. The fight against AMR threat in SSA has embraced a number of currently available strategies, and developing new ones will lower the consequences of such a threat for future generations.","author":[{"dropping-particle":"","family":"Gahamanyi","given":"Noel","non-dropping-particle":"","parse-names":false,"suffix":""},{"dropping-particle":"","family":"Umuhoza","given":"Therese","non-dropping-particle":"","parse-names":false,"suffix":""},{"dropping-particle":"","family":"Saeed","given":"Shamsaldeen Ibrahim","non-dropping-particle":"","parse-names":false,"suffix":""},{"dropping-particle":"","family":"Mayigane","given":"Landry Ndriko","non-dropping-particle":"","parse-names":false,"suffix":""},{"dropping-particle":"","family":"Hakizimana","given":"Jean Nepomuscene","non-dropping-particle":"","parse-names":false,"suffix":""}],"container-title":"Applied Biosciences","id":"ITEM-5","issue":"2","issued":{"date-parts":[["2023","4","1"]]},"page":"136-156","publisher":"Multidisciplinary Digital Publishing Institute","title":"A Review of the Important Weapons against Antimicrobial Resistance in Sub-Saharan Africa","type":"article-journal","volume":"2"},"uris":["http://www.mendeley.com/documents/?uuid=12e1b6ea-088d-3807-af6b-7aab1fa4585a"]},{"id":"ITEM-6","itemData":{"DOI":"10.3390/microorganisms12091920","ISSN":"20762607","abstract":"Antimicrobial resistance (AMR), frequently considered a major global public health threat, requires a comprehensive understanding of its emergence, mechanisms, advances, and implications. AMR’s epidemiological landscape is characterized by its widespread prevalence and constantly evolving patterns, with multidrug-resistant organisms (MDROs) creating new challenges every day. The most common mechanisms underlying AMR (i.e., genetic mutations, horizontal gene transfer, and selective pressure) contribute to the emergence and dissemination of new resistant strains. Therefore, mitigation strategies (e.g., antibiotic stewardship programs—ASPs—and infection prevention and control strategies—IPCs) emphasize the importance of responsible antimicrobial use and surveillance. A One Health approach (i.e., the interconnectedness of human, animal, and environmental health) highlights the necessity for interdisciplinary collaboration and holistic strategies in combating AMR. Advancements in novel therapeutics (e.g., alternative antimicrobial agents and vaccines) offer promising avenues in addressing AMR challenges. Policy interventions at the international and national levels also promote ASPs aiming to regulate antimicrobial use. Despite all of the observed progress, AMR remains a pressing concern, demanding sustained efforts to address emerging threats and promote antimicrobial sustainability. Future research must prioritize innovative approaches and address the complex socioecological dynamics underlying AMR. This manuscript is a comprehensive resource for researchers, policymakers, and healthcare professionals seeking to navigate the complex AMR landscape and develop effective strategies for its mitigation.","author":[{"dropping-particle":"","family":"Oliveira","given":"Manuela","non-dropping-particle":"","parse-names":false,"suffix":""},{"dropping-particle":"","family":"Antunes","given":"Wilson","non-dropping-particle":"","parse-names":false,"suffix":""},{"dropping-particle":"","family":"Mota","given":"Salete","non-dropping-particle":"","parse-names":false,"suffix":""},{"dropping-particle":"","family":"Madureira-Carvalho","given":"Áurea","non-dropping-particle":"","parse-names":false,"suffix":""},{"dropping-particle":"","family":"Dinis-Oliveira","given":"Ricardo Jorge","non-dropping-particle":"","parse-names":false,"suffix":""},{"dropping-particle":"","family":"Dias da Silva","given":"Diana","non-dropping-particle":"","parse-names":false,"suffix":""}],"container-title":"Microorganisms","id":"ITEM-6","issue":"9","issued":{"date-parts":[["2024","9","21"]]},"page":"1920","publisher":"Multidisciplinary Digital Publishing Institute","title":"An Overview of the Recent Advances in Antimicrobial Resistance","type":"article-journal","volume":"12"},"uris":["http://www.mendeley.com/documents/?uuid=8e98dc61-d16e-3884-9ddc-170013bbbf0f"]},{"id":"ITEM-7","itemData":{"DOI":"10.1016/j.soh.2024.100082","ISSN":"29497043","PMID":"39559453","abstract":"Antimicrobial resistance (AMR) is a significant and growing threat to human health. A recent United Nations General Assembly declaration highlights that those in need must have sustained access to effective treatments. In the absence of a reliable supply of new drugs, pressure on existing drugs can be reduced by minimising demand. Routes to reducing demand include: promotion of WASH (access to clean water, sanitation and hygiene) and Universal Health Coverage (UHC); improved infection control in health care settings; and continued efforts to curtail drug use in agriculture. This is a One Health strategy, requiring coordinated action across the human, livestock and environmental sectors.","author":[{"dropping-particle":"","family":"Woolhouse","given":"M. E.J.","non-dropping-particle":"","parse-names":false,"suffix":""}],"container-title":"Science in One Health","id":"ITEM-7","issued":{"date-parts":[["2024","1","1"]]},"page":"100082","publisher":"Sci One Health","title":"One Health approaches to tackling antimicrobial resistance","type":"article-journal","volume":"3"},"uris":["http://www.mendeley.com/documents/?uuid=2e583ec5-4619-37b6-8d75-4f905ce1bc3e"]},{"id":"ITEM-8","itemData":{"DOI":"10.1371/journal.pmed.1004264","ISBN":"1111111111","ISSN":"15491676","PMID":"37399216","author":[{"dropping-particle":"","family":"Walsh","given":"Timothy R.","non-dropping-particle":"","parse-names":false,"suffix":""},{"dropping-particle":"","family":"Gales","given":"Ana C.","non-dropping-particle":"","parse-names":false,"suffix":""},{"dropping-particle":"","family":"Laxminarayan","given":"Ramanan","non-dropping-particle":"","parse-names":false,"suffix":""},{"dropping-particle":"","family":"Dodd","given":"Philippa C.","non-dropping-particle":"","parse-names":false,"suffix":""}],"container-title":"PLoS medicine","id":"ITEM-8","issue":"7","issued":{"date-parts":[["2023","7","1"]]},"page":"e1004264","publisher":"Public Library of Science","title":"Antimicrobial Resistance: Addressing a Global Threat to Humanity","type":"article","volume":"20"},"uris":["http://www.mendeley.com/documents/?uuid=ca7e2887-2a1c-3a33-9444-ef75af425c27"]},{"id":"ITEM-9","itemData":{"DOI":"10.1016/j.jhin.2024.04.015","ISSN":"15322939","PMID":"38723903","abstract":"Background: Healthcare-associated infections (HAIs) remain a global health challenge, and have elevated rates in Sub-Saharan Africa. HAIs impact patients and their families by causing illness, prolonged hospital stay, potential disability, excess costs and, sometimes, death. The costs of HAIs are increasing due to spreading antimicrobial resistance. A major risk factor for HAIs is lack of water, sanitation and hygiene (WASH); environmental cleaning and healthcare waste management. In Sub-Saharan Africa, these services are lacking in at least 50% of healthcare facilities. Aim: To estimate the costs associated with HAIs at national level in 14 countries in Sub-Saharan Africa. Methods: Economic methodologies were employed to estimate the medical costs, productivity losses and value of premature death from HAIs, drawing on national statistics and published studies to populate the economic model. Results: In 2022, the number of HAIs was estimated at 4.8 million, resulting in 500,000 deaths. Health-related economic losses amounted to US$13 billion per year, equivalent to 1.14% of combined gross domestic product and US$15.7 per capita. Healthcare costs were US$500 per HAI, and represented 5.6% of total health expenditure. The costs of providing basic WASH were US$0.91 per capita, which, if they reduced HAIs by 50%, would result in benefit–cost ratios of 1.6 (financial healthcare savings alone) and 8.6 (all economic benefits). Conclusion: HAIs have a major health and economic burden on African societies, and a significant proportion can be prevented. It is critical that health policy makers and practitioners dedicate policy space, resources and training to address HAIs.","author":[{"dropping-particle":"","family":"Hutton","given":"G.","non-dropping-particle":"","parse-names":false,"suffix":""},{"dropping-particle":"","family":"Chase","given":"C.","non-dropping-particle":"","parse-names":false,"suffix":""},{"dropping-particle":"","family":"Kennedy-Walker","given":"R.","non-dropping-particle":"","parse-names":false,"suffix":""},{"dropping-particle":"","family":"Hamilton","given":"H.","non-dropping-particle":"","parse-names":false,"suffix":""}],"container-title":"Journal of Hospital Infection","id":"ITEM-9","issued":{"date-parts":[["2024","8","1"]]},"page":"1-8","publisher":"J Hosp Infect","title":"Financial and economic costs of healthcare-associated infections in Africa","type":"article-journal","volume":"150"},"uris":["http://www.mendeley.com/documents/?uuid=352a9ea1-a86f-3cdf-99d2-1defc56b41bf"]},{"id":"ITEM-10","itemData":{"DOI":"10.1186/s13756-016-0149-9","ISBN":"1375601601499","ISSN":"20472994","abstract":"Health care-associated infections (HAI) are a major public health problem with a significant impact on morbidity, mortality and quality of life. They represent also an important economic burden to health systems worldwide. However, a large proportion of HAI are preventable through effective infection prevention and control (IPC) measures. Improvements in IPC at the national and facility level are critical for the successful containment of antimicrobial resistance and the prevention of HAI, including outbreaks of highly transmissible diseases through high quality care within the context of universal health coverage. Given the limited availability of IPC evidence-based guidance and standards, the World Health Organization (WHO) decided to prioritize the development of global recommendations on the core components of effective IPC programmes both at the national and acute health care facility level, based on systematic literature reviews and expert consensus. The aim of the guideline development process was to identify the evidence and evaluate its quality, consider patient values and preferences, resource implications, and the feasibility and acceptability of the recommendations. As a result, 11 recommendations and three good practice statements are presented here, including a summary of the supporting evidence, and form the substance of a new WHO IPC guideline.","author":[{"dropping-particle":"","family":"Storr","given":"Julie","non-dropping-particle":"","parse-names":false,"suffix":""},{"dropping-particle":"","family":"Twyman","given":"Anthony","non-dropping-particle":"","parse-names":false,"suffix":""},{"dropping-particle":"","family":"Zingg","given":"Walter","non-dropping-particle":"","parse-names":false,"suffix":""},{"dropping-particle":"","family":"Damani","given":"Nizam","non-dropping-particle":"","parse-names":false,"suffix":""},{"dropping-particle":"","family":"Kilpatrick","given":"Claire","non-dropping-particle":"","parse-names":false,"suffix":""},{"dropping-particle":"","family":"Reilly","given":"Jacqui","non-dropping-particle":"","parse-names":false,"suffix":""},{"dropping-particle":"","family":"Price","given":"Lesley","non-dropping-particle":"","parse-names":false,"suffix":""},{"dropping-particle":"","family":"Egger","given":"Matthias","non-dropping-particle":"","parse-names":false,"suffix":""},{"dropping-particle":"","family":"Grayson","given":"M. Lindsay","non-dropping-particle":"","parse-names":false,"suffix":""},{"dropping-particle":"","family":"Kelley","given":"Edward","non-dropping-particle":"","parse-names":false,"suffix":""},{"dropping-particle":"","family":"Allegranzi","given":"Benedetta","non-dropping-particle":"","parse-names":false,"suffix":""},{"dropping-particle":"","family":"Caluwaerts","given":"An","non-dropping-particle":"","parse-names":false,"suffix":""},{"dropping-particle":"","family":"El-Asady","given":"Riham","non-dropping-particle":"","parse-names":false,"suffix":""},{"dropping-particle":"","family":"Fisher","given":"Dale","non-dropping-particle":"","parse-names":false,"suffix":""},{"dropping-particle":"","family":"Gastmeier","given":"Petra","non-dropping-particle":"","parse-names":false,"suffix":""},{"dropping-particle":"","family":"Holmes","given":"Alison","non-dropping-particle":"","parse-names":false,"suffix":""},{"dropping-particle":"","family":"Jayatilleke","given":"Kushlani","non-dropping-particle":"","parse-names":false,"suffix":""},{"dropping-particle":"","family":"McLaws","given":"Mary Louise","non-dropping-particle":"","parse-names":false,"suffix":""},{"dropping-particle":"","family":"Mehta","given":"Geeta","non-dropping-particle":"","parse-names":false,"suffix":""},{"dropping-particle":"","family":"Mehtar","given":"Shaheen","non-dropping-particle":"","parse-names":false,"suffix":""},{"dropping-particle":"","family":"Ndoye","given":"Babacar","non-dropping-particle":"","parse-names":false,"suffix":""},{"dropping-particle":"","family":"Otaíza","given":"Fernando","non-dropping-particle":"","parse-names":false,"suffix":""},{"dropping-particle":"","family":"Padoveze","given":"Maria Clara","non-dropping-particle":"","parse-names":false,"suffix":""},{"dropping-particle":"","family":"Park","given":"Benjamin","non-dropping-particle":"","parse-names":false,"suffix":""},{"dropping-particle":"","family":"Parneix","given":"Pierre","non-dropping-particle":"","parse-names":false,"suffix":""},{"dropping-particle":"","family":"Pittet","given":"Didier","non-dropping-particle":"","parse-names":false,"suffix":""},{"dropping-particle":"","family":"Robertson","given":"Valerie","non-dropping-particle":"","parse-names":false,"suffix":""},{"dropping-particle":"","family":"Sesay-Kamara","given":"Nanah","non-dropping-particle":"","parse-names":false,"suffix":""},{"dropping-particle":"","family":"Seto","given":"Wing Hong","non-dropping-particle":"","parse-names":false,"suffix":""},{"dropping-particle":"","family":"Talaat","given":"Maha","non-dropping-particle":"","parse-names":false,"suffix":""},{"dropping-particle":"","family":"Unahalekhaka","given":"Akeau","non-dropping-particle":"","parse-names":false,"suffix":""},{"dropping-particle":"","family":"Curiel","given":"Evangelina Vazquez","non-dropping-particle":"","parse-names":false,"suffix":""}],"container-title":"Antimicrobial Resistance and Infection Control","id":"ITEM-10","issue":"1","issued":{"date-parts":[["2017","1","10"]]},"page":"6","publisher":"BioMed Central","title":"Core components for effective infection prevention and control programmes: New WHO evidence-based recommendations","type":"article-journal","volume":"6"},"uris":["http://www.mendeley.com/documents/?uuid=9596cd72-a4b9-3dc9-93ed-ae1d8f7d44ec"]},{"id":"ITEM-11","itemData":{"DOI":"10.2147/RMHP.S269315","ISSN":"11791594","PMID":"33061710","abstract":"Healthcare-associated infections (HCAIs) are a major source of morbidity and mortality and are the second most prevalent cause of death. Furthermore, it has been reported that for every one-hundred patients admitted to hospital, seven patients in high-income economies and ten in emerging and low-income economies acquire at least one type of HCAI. Currently, almost all pathogenic microorganisms have developed antimicrobial resis-tance, and few new antimicrobials are being developed and brought to market. The literature search for this narrative review was performed by searching bibliographic databases (includ-ing Google Scholar and PubMed) using the search terms: “Strategies,” “Prevention,” and “Healthcare-Associated Infections,” followed by snowballing references cited by critical articles. We found that although hand hygiene is a centuries-old concept, it is still the primary strategy used around the world to prevent HCAIs. It forms one of a bundle of approaches used to clean and maintain a safe hospital environment and to stop the transmission of contagious and infectious microorganisms, including multidrug-resistant microbes. Finally, antibiotic stewardship also has a crucial role in reducing the impact of HCAIs through conserving currently available antimicrobials.","author":[{"dropping-particle":"","family":"Haque","given":"Mainul","non-dropping-particle":"","parse-names":false,"suffix":""},{"dropping-particle":"","family":"McKimm","given":"Judy","non-dropping-particle":"","parse-names":false,"suffix":""},{"dropping-particle":"","family":"Sartelli","given":"Massimo","non-dropping-particle":"","parse-names":false,"suffix":""},{"dropping-particle":"","family":"Dhingra","given":"Sameer","non-dropping-particle":"","parse-names":false,"suffix":""},{"dropping-particle":"","family":"Labricciosa","given":"Francesco M.","non-dropping-particle":"","parse-names":false,"suffix":""},{"dropping-particle":"","family":"Islam","given":"Salequl","non-dropping-particle":"","parse-names":false,"suffix":""},{"dropping-particle":"","family":"Jahan","given":"Dilshad","non-dropping-particle":"","parse-names":false,"suffix":""},{"dropping-particle":"","family":"Nusrat","given":"Tanzina","non-dropping-particle":"","parse-names":false,"suffix":""},{"dropping-particle":"","family":"Chowdhury","given":"Tajkera Sultana","non-dropping-particle":"","parse-names":false,"suffix":""},{"dropping-particle":"","family":"Coccolini","given":"Federico","non-dropping-particle":"","parse-names":false,"suffix":""},{"dropping-particle":"","family":"Iskandar","given":"Katia","non-dropping-particle":"","parse-names":false,"suffix":""},{"dropping-particle":"","family":"Catena","given":"Fausto","non-dropping-particle":"","parse-names":false,"suffix":""},{"dropping-particle":"","family":"Charan","given":"Jaykaran","non-dropping-particle":"","parse-names":false,"suffix":""}],"container-title":"Risk Management and Healthcare Policy","id":"ITEM-11","issued":{"date-parts":[["2020","9","28"]]},"page":"1765-1780","publisher":"Dove Press","title":"Strategies to prevent healthcare-associated infections: A narrative overview","type":"article-journal","volume":"13"},"uris":["http://www.mendeley.com/documents/?uuid=b3629c01-8e5b-3f3b-9018-d6d51ad2a802"]},{"id":"ITEM-12","itemData":{"DOI":"10.1177/1757177419852662","ISSN":"17571782","PMID":"31762788","abstract":"Background: Hospital-acquired infections (HAI) contribute to prolonged hospital stays and account for a substantial economic burden to healthcare systems. Middle-income countries (MICs) experience a greater burden of HAI than developed countries. Evidence on the cost-effectiveness of interventions to reduce HAI is required to inform decision-making in these settings. Aim: To synthesise the evidence on cost-effectiveness as related to HAI interventions in MICs and to assess the quality of this evidence. Methods: A systematic review of published literature on the cost-effectiveness of interventions to reduce the incidence of HAI in MICs between 2000 and 2018 was conducted. Results: Six studies met the pre-determined inclusion criteria. The studies were from three countries: Thailand; India; and Vietnam. The evidence suggests that interventions to reduce HAI are cost-effective and, in most cases, cost-saving to healthcare systems. The quality of the reporting varied across studies. Conclusions: The implementation of HAI prevention interventions appears to be a high value use of resources in MICs. There is a need for further cost-effectiveness analyses in a wider range of MICs in order to confirm these findings. Improved standardisation and quality of reporting is required.","author":[{"dropping-particle":"","family":"Gamalathge","given":"Pushpa Udayangani","non-dropping-particle":"","parse-names":false,"suffix":""},{"dropping-particle":"","family":"Kularatna","given":"Sanjeewa","non-dropping-particle":"","parse-names":false,"suffix":""},{"dropping-particle":"","family":"Carter","given":"Hannah E.","non-dropping-particle":"","parse-names":false,"suffix":""},{"dropping-particle":"","family":"Senanayake","given":"Sameera","non-dropping-particle":"","parse-names":false,"suffix":""},{"dropping-particle":"","family":"Graves","given":"Nicholous","non-dropping-particle":"","parse-names":false,"suffix":""}],"container-title":"Journal of Infection Prevention","id":"ITEM-12","issue":"6","issued":{"date-parts":[["2019","11","1"]]},"page":"266-273","publisher":"SAGE Publications Ltd","title":"Cost-effectiveness of interventions to reduce the risk of healthcare-acquired infections in middle-income countries: A systematic review","type":"article-journal","volume":"20"},"uris":["http://www.mendeley.com/documents/?uuid=43509335-2068-3729-9ca0-4c1e44f1fbe7"]}],"mendeley":{"formattedCitation":"[40,46–56]","plainTextFormattedCitation":"[40,46–56]","previouslyFormattedCitation":"[40,46–56]"},"properties":{"noteIndex":0},"schema":"https://github.com/citation-style-language/schema/raw/master/csl-citation.json"}</w:instrText>
      </w:r>
      <w:r w:rsidRPr="003F4633">
        <w:rPr>
          <w:rFonts w:eastAsia="Times New Roman" w:cs="Times New Roman"/>
          <w:szCs w:val="24"/>
          <w:lang w:val="en" w:bidi="en-US"/>
        </w:rPr>
        <w:fldChar w:fldCharType="separate"/>
      </w:r>
      <w:r w:rsidR="00D56FA2" w:rsidRPr="00D56FA2">
        <w:rPr>
          <w:rFonts w:eastAsia="Times New Roman" w:cs="Times New Roman"/>
          <w:noProof/>
          <w:szCs w:val="24"/>
          <w:lang w:val="en" w:bidi="en-US"/>
        </w:rPr>
        <w:t>[40,46–56]</w:t>
      </w:r>
      <w:r w:rsidRPr="003F4633">
        <w:rPr>
          <w:rFonts w:eastAsia="Times New Roman" w:cs="Times New Roman"/>
          <w:szCs w:val="24"/>
          <w:lang w:val="en"/>
        </w:rPr>
        <w:fldChar w:fldCharType="end"/>
      </w:r>
      <w:r w:rsidRPr="003F4633">
        <w:rPr>
          <w:rFonts w:eastAsia="Times New Roman" w:cs="Times New Roman"/>
          <w:szCs w:val="24"/>
          <w:lang w:val="en" w:bidi="en-US"/>
        </w:rPr>
        <w:t>.</w:t>
      </w:r>
    </w:p>
    <w:p w14:paraId="16D5506A" w14:textId="42C61D59" w:rsidR="003F4633" w:rsidRPr="00E67B00" w:rsidRDefault="003F4633" w:rsidP="003F4633">
      <w:pPr>
        <w:spacing w:before="0" w:line="360" w:lineRule="auto"/>
        <w:jc w:val="both"/>
        <w:rPr>
          <w:rFonts w:eastAsia="Times New Roman" w:cs="Times New Roman"/>
          <w:szCs w:val="24"/>
          <w:lang w:val="en" w:bidi="en-US"/>
        </w:rPr>
      </w:pPr>
      <w:r w:rsidRPr="003F4633">
        <w:rPr>
          <w:rFonts w:eastAsia="Times New Roman" w:cs="Times New Roman"/>
          <w:szCs w:val="24"/>
          <w:lang w:val="en" w:bidi="en-US"/>
        </w:rPr>
        <w:t xml:space="preserve">To help address the challenge of HAIs, the WHO developed the Infection Prevention and Control Assessment Framework (IPCAF) to evaluate and monitor IPC programs and support the implementation of IPC guidelines in healthcare facilities, particularly among LMICs </w:t>
      </w:r>
      <w:r w:rsidRPr="003F4633">
        <w:rPr>
          <w:rFonts w:eastAsia="Times New Roman" w:cs="Times New Roman"/>
          <w:szCs w:val="24"/>
          <w:lang w:val="en" w:bidi="en-US"/>
        </w:rPr>
        <w:fldChar w:fldCharType="begin" w:fldLock="1"/>
      </w:r>
      <w:r w:rsidR="005E406D">
        <w:rPr>
          <w:rFonts w:eastAsia="Times New Roman" w:cs="Times New Roman"/>
          <w:szCs w:val="24"/>
          <w:lang w:val="en" w:bidi="en-US"/>
        </w:rPr>
        <w:instrText>ADDIN CSL_CITATION {"citationItems":[{"id":"ITEM-1","itemData":{"ISSN":"08863350","abstract":"Cataract surgery is routinely performed using an anterior continuous curvilinear capsulorhexis (CCC). A manual surgical technique is described for performing a small (less than 1.5 mm diameter) anterior CCC. This technique's applications extend from Phaco-Ersatz, a cataract surgical technique designed to restore accommodation to pediatric cataract surgery. An experimental rabbit study was conducted to determine the feasibility of the technique. Up to 9 small peripheral anterior CCCs were made in the same lens capsule without the capsule tearing, The mean diameter of the CCCs was 1.1 mm ± 0.3 (SD). A 30 gauge needle and Utrata capsulorhexis forceps were used to construct the CCC. This technique shows promise for the successful performance of small CCCs in Phaco-Ersatz procedures and pediatric cataract surgery.","author":[{"dropping-particle":"","family":"World Health Organization","given":"","non-dropping-particle":"","parse-names":false,"suffix":""}],"container-title":"World Health Organization","id":"ITEM-1","issued":{"date-parts":[["2018"]]},"number-of-pages":"1-16","title":"Infection Prevention and Control Assessment Framework at the Facility Level","type":"report"},"uris":["http://www.mendeley.com/documents/?uuid=cf2b6173-ea8b-3725-85c2-0f87dfbca6f1"]},{"id":"ITEM-2","itemData":{"DOI":"10.1016/S1473-3099(21)00809-4","ISSN":"14744457","PMID":"35202599","abstract":"Background: WHO core components for infection prevention and control (IPC) are important building blocks for effective IPC programmes. To our knowledge, we did the first WHO global survey to assess implementation of these programmes in health-care facilities. Methods: In this cross-sectional survey, IPC professionals were invited through global outreach and national coordinated efforts to complete the online WHO IPC assessment framework (IPCAF). The survey was created in English and was then translated into ten languages: Arabic, Chinese, English, French, German, Italian, Japanese, Russian, Spanish, and Thai. Post-stratification weighting was applied and countries with low response rates were excluded to improve representativeness. Weighted median scores and IQRs as well as weighted proportions (Nw) meeting defined IPCAF minimum requirements were reported. Indicators associated with the IPCAF score were assessed using a generalised estimating equation. Findings: From Jan 16 to Dec 31, 2019, 4440 responses were received from 81 countries. The overall weighted IPCAF median score indicated an advanced level of implementation (605, IQR 450·4–705·0), but significantly lower scores were found in low-income (385, 279·7–442·9) and lower-middle-income countries (500·4, 345·0–657·5), and public facilities (515, 385–637·8). Core component 8 (built environment; 90·0, IQR 75·0–100·0) and core component 2 (guidelines; 87·5, 70·0–97·5) scored the highest, and core component 7 (workload, staffing, and bed occupancy; 70·0, 50–90) and core component 3 (education and training; 70 ·0, 50·0–85·0) scored the lowest. Overall, only 15·2% (Nw: 588 of 3873) of facilities met all IPCAF minimum requirements, ranging from 0% (0 of 417) in low-income countries to 25·6% (278 of 1087) in primary facilities, 9% (24 of 268) in secondary facilities, and 19% (18 of 95) in tertiary facilities in high-income countries. Interpretation: Despite an overall high IPCAF score globally, important gaps in IPC facility implementation and core components across income levels hinder IPC progress. Increased support for more effective and sustainable IPC programmes is crucial to reduce risks posed by outbreaks to global health security and to ensure patient and health worker safety. Funding: WHO and the Infection Control Programme, University of Geneva Hospitals and Faculty of Medicine. Translations: For the French and Spanish translations of the abstract see Supplementary Materials section.","author":[{"dropping-particle":"","family":"Tomczyk","given":"Sara","non-dropping-particle":"","parse-names":false,"suffix":""},{"dropping-particle":"","family":"Twyman","given":"Anthony","non-dropping-particle":"","parse-names":false,"suffix":""},{"dropping-particle":"","family":"Kraker","given":"Marlieke E.A.","non-dropping-particle":"de","parse-names":false,"suffix":""},{"dropping-particle":"","family":"Coutinho Rehse","given":"Ana Paula","non-dropping-particle":"","parse-names":false,"suffix":""},{"dropping-particle":"","family":"Tartari","given":"Ermira","non-dropping-particle":"","parse-names":false,"suffix":""},{"dropping-particle":"","family":"Toledo","given":"João Paulo","non-dropping-particle":"","parse-names":false,"suffix":""},{"dropping-particle":"","family":"Cassini","given":"Alessandro","non-dropping-particle":"","parse-names":false,"suffix":""},{"dropping-particle":"","family":"Pittet","given":"Didier","non-dropping-particle":"","parse-names":false,"suffix":""},{"dropping-particle":"","family":"Allegranzi","given":"Benedetta","non-dropping-particle":"","parse-names":false,"suffix":""}],"container-title":"The Lancet Infectious Diseases","id":"ITEM-2","issue":"6","issued":{"date-parts":[["2022","6","1"]]},"page":"845-856","publisher":"Elsevier Ltd","title":"The first WHO global survey on infection prevention and control in health-care facilities","type":"article-journal","volume":"22"},"uris":["http://www.mendeley.com/documents/?uuid=38bdf83d-4730-3db3-b5bb-3b9a2d3b8e42"]},{"id":"ITEM-3","itemData":{"DOI":"10.1186/s13756-021-00962-3","ISSN":"20472994","PMID":"34332622","abstract":"Background: The coronavirus disease-2019 (COVID-19) pandemic has again demonstrated the critical role of effective infection prevention and control (IPC) implementation to combat infectious disease threats. Standards such as the World Health Organization (WHO) IPC minimum requirements offer a basis, but robust evidence on effective IPC implementation strategies in low-resource settings remains limited. We aimed to qualitatively assess IPC implementation themes in these settings. Methods: Semi-structured interviews were conducted with IPC experts from low-resource settings, guided by a standardised questionnaire. Applying a qualitative inductive thematic analysis, IPC implementation examples from interview transcripts were coded, collated into sub-themes, grouped again into broad themes, and finally reviewed to ensure validity. Sub-themes appearing ≥ 3 times in data were highlighted as frequent IPC implementation themes and all findings were summarised descriptively. Results: Interviews were conducted with IPC experts from 29 countries in six WHO regions. Frequent IPC implementation themes including the related critical actions to achieve the WHO IPC core components included: (1) To develop IPC programmes: continuous advocacy with leadership, initial external technical assistance, stepwise approach to build resources, use of catalysts, linkages with other programmes, role of national IPC associations and normative legal actions; (2) To develop guidelines: early planning for their operationalization, initial external technical assistance and local guideline adaption; (3) To establish training: attention to methods, fostering local leadership, and sustainable health system linkages such as developing an IPC career path; (4) To establish health care-associated (HAI) surveillance: feasible but high-impact pilots, multidisciplinary collaboration, mentorship, careful consideration of definitions and data quality, and “data for action”; (5) To implement multimodal strategies: clear communication to explain multimodal strategies, attention to certain elements, and feasible but high-impact pilots; (6) To develop monitoring, audit and feedback: feasible but high-impact pilots, attention to methods such as positive (not punitive) incentives and “data for action”; (7) To improve staffing and bed occupancy: participation of national actors to set standards and attention to methods such as use of data; and (8) To promote built environment: involvement of IPC professio…","author":[{"dropping-particle":"","family":"Tomczyk","given":"Sara","non-dropping-particle":"","parse-names":false,"suffix":""},{"dropping-particle":"","family":"Storr","given":"Julie","non-dropping-particle":"","parse-names":false,"suffix":""},{"dropping-particle":"","family":"Kilpatrick","given":"Claire","non-dropping-particle":"","parse-names":false,"suffix":""},{"dropping-particle":"","family":"Allegranzi","given":"Benedetta","non-dropping-particle":"","parse-names":false,"suffix":""}],"container-title":"Antimicrobial Resistance and Infection Control","id":"ITEM-3","issue":"1","issued":{"date-parts":[["2021","12","1"]]},"page":"113","publisher":"BioMed Central Ltd","title":"Infection prevention and control (IPC) implementation in low-resource settings: a qualitative analysis","type":"article-journal","volume":"10"},"uris":["http://www.mendeley.com/documents/?uuid=667d1007-aecf-3dc9-b08a-4cb379536d9a"]}],"mendeley":{"formattedCitation":"[57–59]","plainTextFormattedCitation":"[57–59]","previouslyFormattedCitation":"[57–59]"},"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[57–59]</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This user-friendly tool aligns with WHO’s eight core IPC components, providing a baseline assessment and enabling ongoing monitoring to track progress and identify gaps </w:t>
      </w:r>
      <w:r w:rsidRPr="003F4633">
        <w:rPr>
          <w:rFonts w:eastAsia="Times New Roman" w:cs="Times New Roman"/>
          <w:szCs w:val="24"/>
          <w:lang w:val="en" w:bidi="en-US"/>
        </w:rPr>
        <w:fldChar w:fldCharType="begin" w:fldLock="1"/>
      </w:r>
      <w:r w:rsidR="005E406D">
        <w:rPr>
          <w:rFonts w:eastAsia="Times New Roman" w:cs="Times New Roman"/>
          <w:szCs w:val="24"/>
          <w:lang w:val="en" w:bidi="en-US"/>
        </w:rPr>
        <w:instrText>ADDIN CSL_CITATION {"citationItems":[{"id":"ITEM-1","itemData":{"ISSN":"08863350","abstract":"Cataract surgery is routinely performed using an anterior continuous curvilinear capsulorhexis (CCC). A manual surgical technique is described for performing a small (less than 1.5 mm diameter) anterior CCC. This technique's applications extend from Phaco-Ersatz, a cataract surgical technique designed to restore accommodation to pediatric cataract surgery. An experimental rabbit study was conducted to determine the feasibility of the technique. Up to 9 small peripheral anterior CCCs were made in the same lens capsule without the capsule tearing, The mean diameter of the CCCs was 1.1 mm ± 0.3 (SD). A 30 gauge needle and Utrata capsulorhexis forceps were used to construct the CCC. This technique shows promise for the successful performance of small CCCs in Phaco-Ersatz procedures and pediatric cataract surgery.","author":[{"dropping-particle":"","family":"World Health Organization","given":"","non-dropping-particle":"","parse-names":false,"suffix":""}],"container-title":"World Health Organization","id":"ITEM-1","issued":{"date-parts":[["2018"]]},"number-of-pages":"1-16","title":"Infection Prevention and Control Assessment Framework at the Facility Level","type":"report"},"uris":["http://www.mendeley.com/documents/?uuid=cf2b6173-ea8b-3725-85c2-0f87dfbca6f1"]},{"id":"ITEM-2","itemData":{"DOI":"10.1186/s13756-020-00761-2","ISSN":"20472994","PMID":"32571434","abstract":"Background: Infection prevention and control (IPC) is crucial for patient safety. The World Health Organization (WHO) has released various tools to promote IPC. In 2018, the WHO released the Infection Prevention and Control Assessment Framework (IPCAF) that enables acute care healthcare facilities to evaluate IPC structures and practices. Data regarding IPC implementation in Austria are scarce. To deliver insights into this topic and promote the IPCAF within the Austrian IPC community, we decided to invite all Austrian hospitals participating in the German nosocomial infection surveillance system to conduct a self-assessment using the WHO IPCAF. Methods: The IPCAF follows the eight WHO core components of IPC. A German translation of the IPCAF was sent to 127 Austrian acute care hospitals. The survey period was from October to December 2018. Participation in the survey, data entry and transfer to the German national reference center for surveillance of healthcare-associated infections was on a voluntary basis. Results: Altogether, 65 Austrian hospitals provided a complete dataset. The overall median IPCAF score of all hospitals was 620 (of a possible maximum score of 800), which corresponded to an advanced level of IPC. Of the 65 hospitals, 38 achieved an advanced IPC level. Deeper analysis of the different core components yielded diverse results. Scores were lowest for core components on multimodal strategies for implementation of IPC interventions, and IPC education and training. Around 26% (n = 17) of hospitals reported that the local IPC team was not steadily supported by an IPC committee. Senior clinical staff was not present in the IPC committee in 23% (n = 15) of hospitals. Only 26% (n = 17) of hospitals reported employing at least one IPC professional per ≤250 beds. Surveillance for multidrug-resistant pathogens was not conducted in 26% (n = 17) of hospitals. Conclusions: Implementation of IPC key aspects is generally at a high level in Austria. However, potentials for improvement were demonstrated, most prominently with regard to staffing, IPC education and training, effective implementation of multimodal strategies, and involvement of professional groups. Our survey demonstrated that the IPCAF is a useful tool for IPC self-assessment and can uncover deficits even in a high-income setting like Austria.","author":[{"dropping-particle":"","family":"Aghdassi","given":"Seven Johannes Sam","non-dropping-particle":"","parse-names":false,"suffix":""},{"dropping-particle":"","family":"Aghdassi","given":"Seven Johannes Sam","non-dropping-particle":"","parse-names":false,"suffix":""},{"dropping-particle":"","family":"Grisold","given":"Andrea","non-dropping-particle":"","parse-names":false,"suffix":""},{"dropping-particle":"","family":"Grisold","given":"Andrea","non-dropping-particle":"","parse-names":false,"suffix":""},{"dropping-particle":"","family":"Wechsler-Fördös","given":"Agnes","non-dropping-particle":"","parse-names":false,"suffix":""},{"dropping-particle":"","family":"Hansen","given":"Sonja","non-dropping-particle":"","parse-names":false,"suffix":""},{"dropping-particle":"","family":"Hansen","given":"Sonja","non-dropping-particle":"","parse-names":false,"suffix":""},{"dropping-particle":"","family":"Bischoff","given":"Peter","non-dropping-particle":"","parse-names":false,"suffix":""},{"dropping-particle":"","family":"Bischoff","given":"Peter","non-dropping-particle":"","parse-names":false,"suffix":""},{"dropping-particle":"","family":"Behnke","given":"Michael","non-dropping-particle":"","parse-names":false,"suffix":""},{"dropping-particle":"","family":"Behnke","given":"Michael","non-dropping-particle":"","parse-names":false,"suffix":""},{"dropping-particle":"","family":"Gastmeier","given":"Petra","non-dropping-particle":"","parse-names":false,"suffix":""},{"dropping-particle":"","family":"Gastmeier","given":"Petra","non-dropping-particle":"","parse-names":false,"suffix":""}],"container-title":"Antimicrobial Resistance and Infection Control","id":"ITEM-2","issue":"1","issued":{"date-parts":[["2020","6","22"]]},"page":"92","publisher":"BioMed Central","title":"Evaluating infection prevention and control programs in Austrian acute care hospitals using the WHO Infection Prevention and Control Assessment Framework","type":"article-journal","volume":"9"},"uris":["http://www.mendeley.com/documents/?uuid=2a4ccabd-6c37-3daa-91ab-b3c797f956ee"]}],"mendeley":{"formattedCitation":"[57,60]","plainTextFormattedCitation":"[57,60]","previouslyFormattedCitation":"[57,60]"},"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[57,60]</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By guiding targeted interventions, the IPCAF aims to improve healthcare quality, reduce the level of HAIs, and combat AMR </w:t>
      </w:r>
      <w:r w:rsidRPr="003F4633">
        <w:rPr>
          <w:rFonts w:eastAsia="Times New Roman" w:cs="Times New Roman"/>
          <w:szCs w:val="24"/>
          <w:lang w:val="en" w:bidi="en-US"/>
        </w:rPr>
        <w:fldChar w:fldCharType="begin" w:fldLock="1"/>
      </w:r>
      <w:r w:rsidR="005E406D">
        <w:rPr>
          <w:rFonts w:eastAsia="Times New Roman" w:cs="Times New Roman"/>
          <w:szCs w:val="24"/>
          <w:lang w:val="en" w:bidi="en-US"/>
        </w:rPr>
        <w:instrText>ADDIN CSL_CITATION {"citationItems":[{"id":"ITEM-1","itemData":{"DOI":"10.1016/S1473-3099(21)00809-4","ISSN":"14744457","PMID":"35202599","abstract":"Background: WHO core components for infection prevention and control (IPC) are important building blocks for effective IPC programmes. To our knowledge, we did the first WHO global survey to assess implementation of these programmes in health-care facilities. Methods: In this cross-sectional survey, IPC professionals were invited through global outreach and national coordinated efforts to complete the online WHO IPC assessment framework (IPCAF). The survey was created in English and was then translated into ten languages: Arabic, Chinese, English, French, German, Italian, Japanese, Russian, Spanish, and Thai. Post-stratification weighting was applied and countries with low response rates were excluded to improve representativeness. Weighted median scores and IQRs as well as weighted proportions (Nw) meeting defined IPCAF minimum requirements were reported. Indicators associated with the IPCAF score were assessed using a generalised estimating equation. Findings: From Jan 16 to Dec 31, 2019, 4440 responses were received from 81 countries. The overall weighted IPCAF median score indicated an advanced level of implementation (605, IQR 450·4–705·0), but significantly lower scores were found in low-income (385, 279·7–442·9) and lower-middle-income countries (500·4, 345·0–657·5), and public facilities (515, 385–637·8). Core component 8 (built environment; 90·0, IQR 75·0–100·0) and core component 2 (guidelines; 87·5, 70·0–97·5) scored the highest, and core component 7 (workload, staffing, and bed occupancy; 70·0, 50–90) and core component 3 (education and training; 70 ·0, 50·0–85·0) scored the lowest. Overall, only 15·2% (Nw: 588 of 3873) of facilities met all IPCAF minimum requirements, ranging from 0% (0 of 417) in low-income countries to 25·6% (278 of 1087) in primary facilities, 9% (24 of 268) in secondary facilities, and 19% (18 of 95) in tertiary facilities in high-income countries. Interpretation: Despite an overall high IPCAF score globally, important gaps in IPC facility implementation and core components across income levels hinder IPC progress. Increased support for more effective and sustainable IPC programmes is crucial to reduce risks posed by outbreaks to global health security and to ensure patient and health worker safety. Funding: WHO and the Infection Control Programme, University of Geneva Hospitals and Faculty of Medicine. Translations: For the French and Spanish translations of the abstract see Supplementary Materials section.","author":[{"dropping-particle":"","family":"Tomczyk","given":"Sara","non-dropping-particle":"","parse-names":false,"suffix":""},{"dropping-particle":"","family":"Twyman","given":"Anthony","non-dropping-particle":"","parse-names":false,"suffix":""},{"dropping-particle":"","family":"Kraker","given":"Marlieke E.A.","non-dropping-particle":"de","parse-names":false,"suffix":""},{"dropping-particle":"","family":"Coutinho Rehse","given":"Ana Paula","non-dropping-particle":"","parse-names":false,"suffix":""},{"dropping-particle":"","family":"Tartari","given":"Ermira","non-dropping-particle":"","parse-names":false,"suffix":""},{"dropping-particle":"","family":"Toledo","given":"João Paulo","non-dropping-particle":"","parse-names":false,"suffix":""},{"dropping-particle":"","family":"Cassini","given":"Alessandro","non-dropping-particle":"","parse-names":false,"suffix":""},{"dropping-particle":"","family":"Pittet","given":"Didier","non-dropping-particle":"","parse-names":false,"suffix":""},{"dropping-particle":"","family":"Allegranzi","given":"Benedetta","non-dropping-particle":"","parse-names":false,"suffix":""}],"container-title":"The Lancet Infectious Diseases","id":"ITEM-1","issue":"6","issued":{"date-parts":[["2022","6","1"]]},"page":"845-856","publisher":"Elsevier Ltd","title":"The first WHO global survey on infection prevention and control in health-care facilities","type":"article-journal","volume":"22"},"uris":["http://www.mendeley.com/documents/?uuid=38bdf83d-4730-3db3-b5bb-3b9a2d3b8e42"]}],"mendeley":{"formattedCitation":"[58]","plainTextFormattedCitation":"[58]","previouslyFormattedCitation":"[58]"},"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[58]</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Its structured approach supports data-driven IPC strategies, fostering accountability and continuous improvement, making it valuable, especially among LMICs where there are more concerns </w:t>
      </w:r>
      <w:r w:rsidRPr="00E67B00">
        <w:rPr>
          <w:rFonts w:eastAsia="Times New Roman" w:cs="Times New Roman"/>
          <w:szCs w:val="24"/>
          <w:lang w:val="en" w:bidi="en-US"/>
        </w:rPr>
        <w:fldChar w:fldCharType="begin" w:fldLock="1"/>
      </w:r>
      <w:r w:rsidR="00EE7503" w:rsidRPr="00E67B00">
        <w:rPr>
          <w:rFonts w:eastAsia="Times New Roman" w:cs="Times New Roman"/>
          <w:szCs w:val="24"/>
          <w:lang w:val="en" w:bidi="en-US"/>
        </w:rPr>
        <w:instrText>ADDIN CSL_CITATION {"citationItems":[{"id":"ITEM-1","itemData":{"DOI":"10.1016/j.ajic.2024.12.015","ISSN":"01966553","PMID":"39736332","abstract":"A cross-sectional study was conducted to evaluate the relationship between Infection Prevention and Control Assessment Framework scores and the incidence of health care-associated infections in tertiary hospitals in Eastern China. The results indicate that hospitals with Infection Prevention and Control Assessment Framework scores above 700 have a lower incidence rate of health care-associated infections (1.31%; 95%CI, 1.15%-1.47%) compared to those with scores below 700 (1.90%; 95%CI, 1.60%-2.21%).","author":[{"dropping-particle":"","family":"Lu","given":"Qun","non-dropping-particle":"","parse-names":false,"suffix":""},{"dropping-particle":"","family":"Sun","given":"Liyuan","non-dropping-particle":"","parse-names":false,"suffix":""},{"dropping-particle":"","family":"Wang","given":"Wei","non-dropping-particle":"","parse-names":false,"suffix":""},{"dropping-particle":"","family":"Li","given":"Zhenwei","non-dropping-particle":"","parse-names":false,"suffix":""},{"dropping-particle":"","family":"Wu","given":"Feiyu","non-dropping-particle":"","parse-names":false,"suffix":""},{"dropping-particle":"","family":"Ni","given":"Kaiwen","non-dropping-particle":"","parse-names":false,"suffix":""}],"container-title":"American Journal of Infection Control","id":"ITEM-1","issue":"4","issued":{"date-parts":[["2025","4","28"]]},"page":"527-529","publisher":"Mosby","title":"Assessment of IPCAF scores and incidence of health care-associated infections: A cross-sectional study in Eastern China","type":"article-journal","volume":"53"},"uris":["http://www.mendeley.com/documents/?uuid=3247d63b-624d-3caa-81dc-e19534b222e8"]},{"id":"ITEM-2","itemData":{"DOI":"10.1016/j.infpip.2024.100388","ISSN":"25900889","abstract":"Background: Infection prevention and control (IPC) is important for the reduction of healthcare-associated infections (HAI). The World Health Organization (WHO) developed the IPC Assessment Framework (IPCAF) tool to assess the level of IPC implementation and to identify areas for improvement in healthcare facilities. Methods: A cross -sectional survey was conducted using the WHO IPCAF tool from May to June 2023. The aim was to provide a baseline assessment of the IPC programme and activities within health care facilities in Malawi. Forty healthcare facilities were invited to participate. IPC teams were requested to complete the IPCAF and return the scores. The IPCAF tool scores were assessed as recommended in the WHO IPCAF tool. Results: The response rate was 82.5%. The median IPCAF score was 445 out of 800 corresponding to an intermediate IPC implementation level. The results revealed that 66.7% facilities were at intermediate level, 26.4% at basic level, and 6.9% at advanced level. Most facilities (76%) had an IPC program in place with clear objectives and an IPC focal person. Few had a dedicated budget for IPC. The IPCAF domain “monitoring/audit of IPC practices and feedback” had the lowest median score of 15/100, and in 90% of facilities, no monitoring, audit, and feedback was done. HAI surveillance median score was 40/100, workload, staffing and bed occupancy median score was 45/100. Conclusions: Whilst there has been some degree of implementation of WHO IPC guidelines in Malawi's healthcare system, there is significant room for improvement. The IPCAF tool revealed that monitoring/audit and feedback, HAI surveillance and workload, staffing and bed occupancy need to be strengthened. The IPCAF scoring system may need reconsidering given the centrality of these domains to IPC.","author":[{"dropping-particle":"","family":"Ng'ambi","given":"Dorica","non-dropping-particle":"","parse-names":false,"suffix":""},{"dropping-particle":"","family":"O'Byrne","given":"Thomasena","non-dropping-particle":"","parse-names":false,"suffix":""},{"dropping-particle":"","family":"Jingini","given":"Emmie","non-dropping-particle":"","parse-names":false,"suffix":""},{"dropping-particle":"","family":"Chadwala","given":"Hope","non-dropping-particle":"","parse-names":false,"suffix":""},{"dropping-particle":"","family":"Musopole","given":"Owen","non-dropping-particle":"","parse-names":false,"suffix":""},{"dropping-particle":"","family":"Kamchedzera","given":"Wala","non-dropping-particle":"","parse-names":false,"suffix":""},{"dropping-particle":"","family":"Tancred","given":"Tara","non-dropping-particle":"","parse-names":false,"suffix":""},{"dropping-particle":"","family":"Feasey","given":"Nicholas","non-dropping-particle":"","parse-names":false,"suffix":""}],"container-title":"Infection Prevention in Practice","id":"ITEM-2","issue":"4","issued":{"date-parts":[["2024","12","1"]]},"page":"100388","publisher":"Elsevier","title":"An assessment of infection prevention and control implementation in Malawian hospitals using the WHO Infection Prevention and Control Assessment Framework (IPCAF) tool","type":"article-journal","volume":"6"},"uris":["http://www.mendeley.com/documents/?uuid=5d0bfc10-c722-34f0-88bd-6182247493f9"]},{"id":"ITEM-3","itemData":{"DOI":"10.1016/j.infpip.2024.100351","ISSN":"25900889","abstract":"Healthcare settings have a high prevalence of infectious agents. This narrative review examines the existing evidence regarding infection prevention and control (IPC) using the WHO Infection Prevention and Control Assessment Framework (IPCAF) tool in healthcare facilities. A total of 13 full length papers from Africa, Asia and Europe were considered for this review. The findings showed that there are discrepancies in the IPCAF values from insufficient to advanced level. The current review shows an advanced IPCAF level in middle income and high income countries. Low income countries showed a lower IPCAF score. There is a need to enhance the IPC capacity building and to supply infection prevention resources to prevent healthcare associated infection (HAI) with a focus on low income countries.","author":[{"dropping-particle":"","family":"Asgedom","given":"Akeza Awealom","non-dropping-particle":"","parse-names":false,"suffix":""}],"container-title":"Infection Prevention in Practice","id":"ITEM-3","issue":"2","issued":{"date-parts":[["2024","6","1"]]},"page":"100351","publisher":"Elsevier","title":"Status of infection prevention and control (IPC) as per the WHO standardised Infection Prevention and Control Assessment Framework (IPCAF) tool: existing evidence and its implication","type":"article-journal","volume":"6"},"uris":["http://www.mendeley.com/documents/?uuid=b53a2779-315e-3f6d-84e3-3b2ee2049686"]},{"id":"ITEM-4","itemData":{"DOI":"10.1007/s40506-019-00200-w","ISSN":"1534-6250","abstract":"Healthcare-associated infections (HAIs) and rising antimicrobial resistance (AMR) have posed a major challenge in patient care across the globe, more so in lower-middle-income countries (LMICs). Studies have shown that implementation of an effective infection prevention and control (IPC) program reduces incidence of HAI to a large extent. However, implementation of such a program in low-resource setting has many challenges. Research have shown that gaps exist due to absence of political will, trained manpower, and alternate healthcare priorities. With progress in science of healthcare epidemiology and digital communication, opportunities to establish an effective IPC program at minimal cost is possible. In this review, we explore ways the existing challenges can be mitigated in LMICs. In recent times, the UN general assembly along with World Health Organization (2015) and member countries took a resolution to come up with an action plan to tackle the rising threat of AMR by strengthening IPC programs at national level. We reviewed the progress made by the developing countries in their efforts to implement the program.","author":[{"dropping-particle":"","family":"Sengupta","given":"Sharmila","non-dropping-particle":"","parse-names":false,"suffix":""},{"dropping-particle":"","family":"Barman","given":"Purabi","non-dropping-particle":"","parse-names":false,"suffix":""},{"dropping-particle":"","family":"Lo","given":"Jamie","non-dropping-particle":"","parse-names":false,"suffix":""}],"container-title":"Current Treatment Options in Infectious Diseases","id":"ITEM-4","issue":"3","issued":{"date-parts":[["2019","7","27"]]},"page":"267-280","publisher":"Springer","title":"Opportunities to Overcome Implementation Challenges of Infection Prevention and Control in Low-Middle Income Countries","type":"article-journal","volume":"11"},"uris":["http://www.mendeley.com/documents/?uuid=0d36a205-1de7-3970-af08-9fa3b8fd1578"]},{"id":"ITEM-5","itemData":{"DOI":"10.1186/s13012-019-0958-3","ISSN":"17485908","PMID":"31888673","abstract":"Background: Despite impressive reductions in infectious disease burden within Sub-Saharan Africa (SSA), half of the top ten causes of poor health or death in SSA are communicable illnesses. With emerging and re-emerging infections affecting the region, the possibility of healthcare-acquired infections (HAIs) being transmitted to patients and healthcare workers, especially nurses, is a critical concern. Despite infection prevention and control (IPC) evidence-based practices (EBP) to minimize the transmission of HAIs, many healthcare systems in SSA are challenged to implement them. The purpose of this review is to synthesize and critique what is known about implementation strategies to promote IPC for nurses in SSA. Methods: The databases, PubMed, Ovid/Medline, Embase, Cochrane, and CINHAL, were searched for articles with the following criteria: English language, peer-reviewed, published between 1998 and 2018, implemented in SSA, targeted nurses, and promoted IPC EBPs. Further, 6241 search results were produced and screened for eligibility to identify implementation strategies used to promote IPC for nurses in SSA. A total of 61 articles met the inclusion criteria for the final review. The articles were evaluated using the Joanna Briggs Institute's (JBI) quality appraisal tools. Results were reported using PRISMA guidelines. Results: Most studies were conducted in South Africa (n = 18, 30%), within the last 18 years (n = 41, 67%), and utilized a quasi-experimental design (n = 22, 36%). Few studies (n = 14, 23%) had sample populations comprising nurses only. The majority of studies focused on administrative precautions (n = 36, 59%). The most frequent implementation strategies reported were education (n = 59, 97%), quality management (n = 39, 64%), planning (n = 33, 54%), and restructure (n = 32, 53%). Penetration and feasibility were the most common outcomes measured for both EBPs and implementation strategies used to implement the EBPs. The most common MAStARI and MMAT scores were 5 (n = 19, 31%) and 50% (n = 3, 4.9%) respectively. Conclusions: As infectious diseases, especially emerging and re-emerging infectious diseases, continue to challenge healthcare systems in SSA, nurses, the keystones to IPC practice, need to have a better understanding of which, in what combination, and in what context implementation strategies should be best utilized to ensure their safety and that of their patients. Based on the results of this review, it is clear that implem…","author":[{"dropping-particle":"","family":"Barrera-Cancedda","given":"Amy Elizabeth","non-dropping-particle":"","parse-names":false,"suffix":""},{"dropping-particle":"","family":"Riman","given":"Kathryn A.","non-dropping-particle":"","parse-names":false,"suffix":""},{"dropping-particle":"","family":"Shinnick","given":"Julianna E.","non-dropping-particle":"","parse-names":false,"suffix":""},{"dropping-particle":"","family":"Buttenheim","given":"Alison M.","non-dropping-particle":"","parse-names":false,"suffix":""}],"container-title":"Implementation Science","id":"ITEM-5","issue":"1","issued":{"date-parts":[["2019","12","30"]]},"page":"111","publisher":"BMC","title":"Implementation strategies for infection prevention and control promotion for nurses in Sub-Saharan Africa: A systematic review","type":"article","volume":"14"},"uris":["http://www.mendeley.com/documents/?uuid=4337534e-ed79-3657-b838-81eeccdb23b2"]}],"mendeley":{"formattedCitation":"[4,61–64]","plainTextFormattedCitation":"[4,61–64]","previouslyFormattedCitation":"[4,61–64]"},"properties":{"noteIndex":0},"schema":"https://github.com/citation-style-language/schema/raw/master/csl-citation.json"}</w:instrText>
      </w:r>
      <w:r w:rsidRPr="00E67B00">
        <w:rPr>
          <w:rFonts w:eastAsia="Times New Roman" w:cs="Times New Roman"/>
          <w:szCs w:val="24"/>
          <w:lang w:val="en" w:bidi="en-US"/>
        </w:rPr>
        <w:fldChar w:fldCharType="separate"/>
      </w:r>
      <w:r w:rsidR="001E7355" w:rsidRPr="00E67B00">
        <w:rPr>
          <w:rFonts w:eastAsia="Times New Roman" w:cs="Times New Roman"/>
          <w:noProof/>
          <w:szCs w:val="24"/>
          <w:lang w:val="en" w:bidi="en-US"/>
        </w:rPr>
        <w:t>[4,61–64]</w:t>
      </w:r>
      <w:r w:rsidRPr="00E67B00">
        <w:rPr>
          <w:rFonts w:eastAsia="Times New Roman" w:cs="Times New Roman"/>
          <w:szCs w:val="24"/>
          <w:lang w:val="en"/>
        </w:rPr>
        <w:fldChar w:fldCharType="end"/>
      </w:r>
      <w:r w:rsidRPr="00E67B00">
        <w:rPr>
          <w:rFonts w:eastAsia="Times New Roman" w:cs="Times New Roman"/>
          <w:szCs w:val="24"/>
          <w:lang w:val="en" w:bidi="en-US"/>
        </w:rPr>
        <w:t>.</w:t>
      </w:r>
    </w:p>
    <w:p w14:paraId="792B1A4B" w14:textId="16E24AF4" w:rsidR="00716D1F" w:rsidRPr="00E67B00" w:rsidRDefault="00716D1F" w:rsidP="00716D1F">
      <w:pPr>
        <w:spacing w:before="0" w:line="360" w:lineRule="auto"/>
        <w:jc w:val="both"/>
        <w:rPr>
          <w:rFonts w:eastAsia="Times New Roman" w:cs="Times New Roman"/>
          <w:szCs w:val="24"/>
          <w:lang w:val="en" w:bidi="en-US"/>
        </w:rPr>
      </w:pPr>
      <w:r w:rsidRPr="00E67B00">
        <w:rPr>
          <w:rFonts w:eastAsia="Times New Roman" w:cs="Times New Roman"/>
          <w:szCs w:val="24"/>
          <w:lang w:bidi="en-US"/>
        </w:rPr>
        <w:t xml:space="preserve">Effective IPC is a multifaceted endeavour requiring a synergistic approach across various critical components </w:t>
      </w:r>
      <w:r w:rsidRPr="00E67B00">
        <w:rPr>
          <w:rFonts w:eastAsia="Times New Roman" w:cs="Times New Roman"/>
          <w:szCs w:val="24"/>
          <w:lang w:bidi="en-US"/>
        </w:rPr>
        <w:fldChar w:fldCharType="begin" w:fldLock="1"/>
      </w:r>
      <w:r w:rsidRPr="00E67B00">
        <w:rPr>
          <w:rFonts w:eastAsia="Times New Roman" w:cs="Times New Roman"/>
          <w:szCs w:val="24"/>
          <w:lang w:bidi="en-US"/>
        </w:rPr>
        <w:instrText>ADDIN CSL_CITATION {"citationItems":[{"id":"ITEM-1","itemData":{"DOI":"10.1186/s13756-020-00801-x","ISSN":"20472994","PMID":"32831153","abstract":"Background: Infection prevention and control (IPC) is one of the most cost-effective interventions against antimicrobial resistance (AMR). Yet, IPC knowledge gaps often receive little prominence in AMR research agendas. In this article, we construct IPC research priorities, in order to draw attention to these critical research needs. Methods: We developed a 4-step framework to identify IPC knowledge gaps from literature (narrative review). These gaps were then translated into research priorities and sent to two groups of European IPC experts for validation and critique through an online survey. Results: Seventy-nine publications were retrieved from the literature review, identifying fifteen IPC research gaps. Forty-four IPC experts, clustered in two groups, vetted them. The experts classified all research gaps as medium or high priority. Overall agreement between both groups was average (Kendall's τ = 0.43), with strong alignment on the highest priorities: (i) the assessment of organizational, socio-economic, and behavioural barriers/facilitators for the implementation of IPC programmes, (ii) the impact of overcrowding on the spread of infections and (iii) the impact of infrastructural changes, at facility level, on the reduction of infections. Feedback from experts also identified an additional research gap on the interaction between the human and hospital microbiomes. Conclusions: We formulated a list of sixteen research priorities and identified three urgent needs. Now, we encourage researchers, funding agencies, policymakers and relevant stakeholders to start addressing the identified gaps.","author":[{"dropping-particle":"","family":"Lacotte","given":"Yohann","non-dropping-particle":"","parse-names":false,"suffix":""},{"dropping-particle":"","family":"Årdal","given":"Christine","non-dropping-particle":"","parse-names":false,"suffix":""},{"dropping-particle":"","family":"Ploy","given":"Marie Cécile","non-dropping-particle":"","parse-names":false,"suffix":""}],"container-title":"Antimicrobial Resistance and Infection Control","id":"ITEM-1","issue":"1","issued":{"date-parts":[["2020","8","24"]]},"page":"142","publisher":"BioMed Central Ltd","title":"Infection prevention and control research priorities: What do we need to combat healthcare-associated infections and antimicrobial resistance? Results of a narrative literature review and survey analysis","type":"article-journal","volume":"9"},"uris":["http://www.mendeley.com/documents/?uuid=76cec8d3-bcd4-32c8-a41b-9e4f83f67657"]},{"id":"ITEM-2","itemData":{"URL":"https://www.who.int/teams/integrated-health-services/infection-prevention-control/ipc-and-antimicrobial-resistance","abstract":"Antimicrobial resistance (AMR) is a global crisis that threatens a century of progress in health and achievement of the Sustainable Development Goals and achieving Universal Health Coverage. Alarming levels of resistance have been reported in countries of all income levels, with the result that common diseases are becoming untreatable, and lifesaving medical procedures riskier to perform. Strong IPC is a the most effective approach to controlling the spread of AMR. Robust IPC measures are cost-saving because AMR can thrive in healthcare facilities. The most effective intervention is to improve hygiene in healthcare facilities, including promotion of hand hygiene and better hospital hygiene. Safer hospitals mean fewer infections and every infection prevented is an antibiotic avoided. Improving IPC helps achieve quality care for all and is one of the five objectives in the AMR Global Action Plan.","accessed":{"date-parts":[["2025","4","13"]]},"author":[{"dropping-particle":"","family":"World Health Organization","given":"","non-dropping-particle":"","parse-names":false,"suffix":""}],"container-title":"IPC and Antimicrobial Resistance (AMR)","id":"ITEM-2","issued":{"date-parts":[["2025"]]},"title":"Infection Prevention and Control","type":"webpage"},"uris":["http://www.mendeley.com/documents/?uuid=76a993d7-8602-386f-8996-9b27d492c543"]}],"mendeley":{"formattedCitation":"[65,66]","plainTextFormattedCitation":"[65,66]","previouslyFormattedCitation":"[65,66]"},"properties":{"noteIndex":0},"schema":"https://github.com/citation-style-language/schema/raw/master/csl-citation.json"}</w:instrText>
      </w:r>
      <w:r w:rsidRPr="00E67B00">
        <w:rPr>
          <w:rFonts w:eastAsia="Times New Roman" w:cs="Times New Roman"/>
          <w:szCs w:val="24"/>
          <w:lang w:bidi="en-US"/>
        </w:rPr>
        <w:fldChar w:fldCharType="separate"/>
      </w:r>
      <w:r w:rsidRPr="00E67B00">
        <w:rPr>
          <w:rFonts w:eastAsia="Times New Roman" w:cs="Times New Roman"/>
          <w:noProof/>
          <w:szCs w:val="24"/>
          <w:lang w:bidi="en-US"/>
        </w:rPr>
        <w:t>[65,66]</w:t>
      </w:r>
      <w:r w:rsidRPr="00E67B00">
        <w:rPr>
          <w:rFonts w:eastAsia="Times New Roman" w:cs="Times New Roman"/>
          <w:szCs w:val="24"/>
          <w:lang w:bidi="en-US"/>
        </w:rPr>
        <w:fldChar w:fldCharType="end"/>
      </w:r>
      <w:r w:rsidRPr="00E67B00">
        <w:rPr>
          <w:rFonts w:eastAsia="Times New Roman" w:cs="Times New Roman"/>
          <w:szCs w:val="24"/>
          <w:lang w:bidi="en-US"/>
        </w:rPr>
        <w:t xml:space="preserve">. Further, robust IPC programs, underpinned by evidence-based national and facility-level guidelines, standardize practices and ensure a systematic approach to safety </w:t>
      </w:r>
      <w:r w:rsidRPr="00E67B00">
        <w:rPr>
          <w:rFonts w:eastAsia="Times New Roman" w:cs="Times New Roman"/>
          <w:szCs w:val="24"/>
          <w:lang w:bidi="en-US"/>
        </w:rPr>
        <w:fldChar w:fldCharType="begin" w:fldLock="1"/>
      </w:r>
      <w:r w:rsidRPr="00E67B00">
        <w:rPr>
          <w:rFonts w:eastAsia="Times New Roman" w:cs="Times New Roman"/>
          <w:szCs w:val="24"/>
          <w:lang w:bidi="en-US"/>
        </w:rPr>
        <w:instrText>ADDIN CSL_CITATION {"citationItems":[{"id":"ITEM-1","itemData":{"author":[{"dropping-particle":"","family":"World Health Organization","given":"","non-dropping-particle":"","parse-names":false,"suffix":""}],"id":"ITEM-1","issued":{"date-parts":[["2016"]]},"number-of-pages":"1-91","title":"Guidelines on core components of infection prevention and control programmes at the national and acute health care facility level","type":"report"},"uris":["http://www.mendeley.com/documents/?uuid=930ef82e-7e5d-3897-becd-8d9e3cd761a2"]},{"id":"ITEM-2","itemData":{"ISSN":"08863350","abstract":"Cataract surgery is routinely performed using an anterior continuous curvilinear capsulorhexis (CCC). A manual surgical technique is described for performing a small (less than 1.5 mm diameter) anterior CCC. This technique's applications extend from Phaco-Ersatz, a cataract surgical technique designed to restore accommodation to pediatric cataract surgery. An experimental rabbit study was conducted to determine the feasibility of the technique. Up to 9 small peripheral anterior CCCs were made in the same lens capsule without the capsule tearing, The mean diameter of the CCCs was 1.1 mm ± 0.3 (SD). A 30 gauge needle and Utrata capsulorhexis forceps were used to construct the CCC. This technique shows promise for the successful performance of small CCCs in Phaco-Ersatz procedures and pediatric cataract surgery.","author":[{"dropping-particle":"","family":"World Health Organization","given":"","non-dropping-particle":"","parse-names":false,"suffix":""}],"container-title":"World Health Organization","id":"ITEM-2","issued":{"date-parts":[["2018"]]},"number-of-pages":"1-16","title":"Infection Prevention and Control Assessment Framework at the Facility Level","type":"report"},"uris":["http://www.mendeley.com/documents/?uuid=cf2b6173-ea8b-3725-85c2-0f87dfbca6f1"]}],"mendeley":{"formattedCitation":"[1,57]","plainTextFormattedCitation":"[1,57]","previouslyFormattedCitation":"[1,57]"},"properties":{"noteIndex":0},"schema":"https://github.com/citation-style-language/schema/raw/master/csl-citation.json"}</w:instrText>
      </w:r>
      <w:r w:rsidRPr="00E67B00">
        <w:rPr>
          <w:rFonts w:eastAsia="Times New Roman" w:cs="Times New Roman"/>
          <w:szCs w:val="24"/>
          <w:lang w:bidi="en-US"/>
        </w:rPr>
        <w:fldChar w:fldCharType="separate"/>
      </w:r>
      <w:r w:rsidRPr="00E67B00">
        <w:rPr>
          <w:rFonts w:eastAsia="Times New Roman" w:cs="Times New Roman"/>
          <w:noProof/>
          <w:szCs w:val="24"/>
          <w:lang w:bidi="en-US"/>
        </w:rPr>
        <w:t>[1,57]</w:t>
      </w:r>
      <w:r w:rsidRPr="00E67B00">
        <w:rPr>
          <w:rFonts w:eastAsia="Times New Roman" w:cs="Times New Roman"/>
          <w:szCs w:val="24"/>
          <w:lang w:bidi="en-US"/>
        </w:rPr>
        <w:fldChar w:fldCharType="end"/>
      </w:r>
      <w:r w:rsidRPr="00E67B00">
        <w:rPr>
          <w:rFonts w:eastAsia="Times New Roman" w:cs="Times New Roman"/>
          <w:szCs w:val="24"/>
          <w:lang w:bidi="en-US"/>
        </w:rPr>
        <w:t xml:space="preserve">. Furthermore, comprehensive education and training empower healthcare workers </w:t>
      </w:r>
      <w:r w:rsidRPr="00E67B00">
        <w:rPr>
          <w:rFonts w:eastAsia="Times New Roman" w:cs="Times New Roman"/>
          <w:szCs w:val="24"/>
          <w:lang w:bidi="en-US"/>
        </w:rPr>
        <w:fldChar w:fldCharType="begin" w:fldLock="1"/>
      </w:r>
      <w:r w:rsidRPr="00E67B00">
        <w:rPr>
          <w:rFonts w:eastAsia="Times New Roman" w:cs="Times New Roman"/>
          <w:szCs w:val="24"/>
          <w:lang w:bidi="en-US"/>
        </w:rPr>
        <w:instrText>ADDIN CSL_CITATION {"citationItems":[{"id":"ITEM-1","itemData":{"DOI":"10.1186/s13756-016-0149-9","ISBN":"1375601601499","ISSN":"20472994","abstract":"Health care-associated infections (HAI) are a major public health problem with a significant impact on morbidity, mortality and quality of life. They represent also an important economic burden to health systems worldwide. However, a large proportion of HAI are preventable through effective infection prevention and control (IPC) measures. Improvements in IPC at the national and facility level are critical for the successful containment of antimicrobial resistance and the prevention of HAI, including outbreaks of highly transmissible diseases through high quality care within the context of universal health coverage. Given the limited availability of IPC evidence-based guidance and standards, the World Health Organization (WHO) decided to prioritize the development of global recommendations on the core components of effective IPC programmes both at the national and acute health care facility level, based on systematic literature reviews and expert consensus. The aim of the guideline development process was to identify the evidence and evaluate its quality, consider patient values and preferences, resource implications, and the feasibility and acceptability of the recommendations. As a result, 11 recommendations and three good practice statements are presented here, including a summary of the supporting evidence, and form the substance of a new WHO IPC guideline.","author":[{"dropping-particle":"","family":"Storr","given":"Julie","non-dropping-particle":"","parse-names":false,"suffix":""},{"dropping-particle":"","family":"Twyman","given":"Anthony","non-dropping-particle":"","parse-names":false,"suffix":""},{"dropping-particle":"","family":"Zingg","given":"Walter","non-dropping-particle":"","parse-names":false,"suffix":""},{"dropping-particle":"","family":"Damani","given":"Nizam","non-dropping-particle":"","parse-names":false,"suffix":""},{"dropping-particle":"","family":"Kilpatrick","given":"Claire","non-dropping-particle":"","parse-names":false,"suffix":""},{"dropping-particle":"","family":"Reilly","given":"Jacqui","non-dropping-particle":"","parse-names":false,"suffix":""},{"dropping-particle":"","family":"Price","given":"Lesley","non-dropping-particle":"","parse-names":false,"suffix":""},{"dropping-particle":"","family":"Egger","given":"Matthias","non-dropping-particle":"","parse-names":false,"suffix":""},{"dropping-particle":"","family":"Grayson","given":"M. Lindsay","non-dropping-particle":"","parse-names":false,"suffix":""},{"dropping-particle":"","family":"Kelley","given":"Edward","non-dropping-particle":"","parse-names":false,"suffix":""},{"dropping-particle":"","family":"Allegranzi","given":"Benedetta","non-dropping-particle":"","parse-names":false,"suffix":""},{"dropping-particle":"","family":"Caluwaerts","given":"An","non-dropping-particle":"","parse-names":false,"suffix":""},{"dropping-particle":"","family":"El-Asady","given":"Riham","non-dropping-particle":"","parse-names":false,"suffix":""},{"dropping-particle":"","family":"Fisher","given":"Dale","non-dropping-particle":"","parse-names":false,"suffix":""},{"dropping-particle":"","family":"Gastmeier","given":"Petra","non-dropping-particle":"","parse-names":false,"suffix":""},{"dropping-particle":"","family":"Holmes","given":"Alison","non-dropping-particle":"","parse-names":false,"suffix":""},{"dropping-particle":"","family":"Jayatilleke","given":"Kushlani","non-dropping-particle":"","parse-names":false,"suffix":""},{"dropping-particle":"","family":"McLaws","given":"Mary Louise","non-dropping-particle":"","parse-names":false,"suffix":""},{"dropping-particle":"","family":"Mehta","given":"Geeta","non-dropping-particle":"","parse-names":false,"suffix":""},{"dropping-particle":"","family":"Mehtar","given":"Shaheen","non-dropping-particle":"","parse-names":false,"suffix":""},{"dropping-particle":"","family":"Ndoye","given":"Babacar","non-dropping-particle":"","parse-names":false,"suffix":""},{"dropping-particle":"","family":"Otaíza","given":"Fernando","non-dropping-particle":"","parse-names":false,"suffix":""},{"dropping-particle":"","family":"Padoveze","given":"Maria Clara","non-dropping-particle":"","parse-names":false,"suffix":""},{"dropping-particle":"","family":"Park","given":"Benjamin","non-dropping-particle":"","parse-names":false,"suffix":""},{"dropping-particle":"","family":"Parneix","given":"Pierre","non-dropping-particle":"","parse-names":false,"suffix":""},{"dropping-particle":"","family":"Pittet","given":"Didier","non-dropping-particle":"","parse-names":false,"suffix":""},{"dropping-particle":"","family":"Robertson","given":"Valerie","non-dropping-particle":"","parse-names":false,"suffix":""},{"dropping-particle":"","family":"Sesay-Kamara","given":"Nanah","non-dropping-particle":"","parse-names":false,"suffix":""},{"dropping-particle":"","family":"Seto","given":"Wing Hong","non-dropping-particle":"","parse-names":false,"suffix":""},{"dropping-particle":"","family":"Talaat","given":"Maha","non-dropping-particle":"","parse-names":false,"suffix":""},{"dropping-particle":"","family":"Unahalekhaka","given":"Akeau","non-dropping-particle":"","parse-names":false,"suffix":""},{"dropping-particle":"","family":"Curiel","given":"Evangelina Vazquez","non-dropping-particle":"","parse-names":false,"suffix":""}],"container-title":"Antimicrobial Resistance and Infection Control","id":"ITEM-1","issue":"1","issued":{"date-parts":[["2017","1","10"]]},"page":"6","publisher":"BioMed Central","title":"Core components for effective infection prevention and control programmes: New WHO evidence-based recommendations","type":"article-journal","volume":"6"},"uris":["http://www.mendeley.com/documents/?uuid=9596cd72-a4b9-3dc9-93ed-ae1d8f7d44ec"]}],"mendeley":{"formattedCitation":"[56]","plainTextFormattedCitation":"[56]","previouslyFormattedCitation":"[56]"},"properties":{"noteIndex":0},"schema":"https://github.com/citation-style-language/schema/raw/master/csl-citation.json"}</w:instrText>
      </w:r>
      <w:r w:rsidRPr="00E67B00">
        <w:rPr>
          <w:rFonts w:eastAsia="Times New Roman" w:cs="Times New Roman"/>
          <w:szCs w:val="24"/>
          <w:lang w:bidi="en-US"/>
        </w:rPr>
        <w:fldChar w:fldCharType="separate"/>
      </w:r>
      <w:r w:rsidRPr="00E67B00">
        <w:rPr>
          <w:rFonts w:eastAsia="Times New Roman" w:cs="Times New Roman"/>
          <w:noProof/>
          <w:szCs w:val="24"/>
          <w:lang w:bidi="en-US"/>
        </w:rPr>
        <w:t>[56]</w:t>
      </w:r>
      <w:r w:rsidRPr="00E67B00">
        <w:rPr>
          <w:rFonts w:eastAsia="Times New Roman" w:cs="Times New Roman"/>
          <w:szCs w:val="24"/>
          <w:lang w:bidi="en-US"/>
        </w:rPr>
        <w:fldChar w:fldCharType="end"/>
      </w:r>
      <w:r w:rsidRPr="00E67B00">
        <w:rPr>
          <w:rFonts w:eastAsia="Times New Roman" w:cs="Times New Roman"/>
          <w:szCs w:val="24"/>
          <w:lang w:bidi="en-US"/>
        </w:rPr>
        <w:t xml:space="preserve">, while continuous HAI surveillance </w:t>
      </w:r>
      <w:r w:rsidRPr="00E67B00">
        <w:rPr>
          <w:rFonts w:eastAsia="Times New Roman" w:cs="Times New Roman"/>
          <w:szCs w:val="24"/>
          <w:lang w:bidi="en-US"/>
        </w:rPr>
        <w:fldChar w:fldCharType="begin" w:fldLock="1"/>
      </w:r>
      <w:r w:rsidRPr="00E67B00">
        <w:rPr>
          <w:rFonts w:eastAsia="Times New Roman" w:cs="Times New Roman"/>
          <w:szCs w:val="24"/>
          <w:lang w:bidi="en-US"/>
        </w:rPr>
        <w:instrText>ADDIN CSL_CITATION {"citationItems":[{"id":"ITEM-1","itemData":{"DOI":"10.1186/s13756-017-0172-5","ISSN":"2047-2994","abstract":"Background: Healthcare associated infections (HAI) are the most common preventable adverse events following admission to healthcare facilities. Data from low-income countries are scarce. We sought to prospectively define HAI incidence at Angkor Hospital for Children (AHC), a Cambodian pediatric referral hospital. Methods: Prospective HAI surveillance was introduced for medical admissions to AHC. Cases were identified on daily ward rounds and confirmed using locally adapted Centers for Disease Control and Prevention (CDC) definitions. During the surveillance period, established infection prevention and control (IPC) activities continued, including hand hygiene surveillance. In addition, antimicrobial stewardship practices such as the creation of an antimicrobial guideline smartphone app were introduced. Results: Between 1st January and 31st December 2015 there were 3,263 medical admissions and 102 HAI cases. The incidence of HAI was 4.6/1,000 patient-days (95% confidence interval 3.8-5.6) and rates were highest amongst neonates. Median length of stay was significantly longer in HAI cases: 25 days versus 5 days for non-HAI cases (p &lt; 0.0001). All-cause in-hospital mortality increased from 2.0 to 16.1% with HAI (p &lt; 0.0001). Respiratory infections were the most common HAI (54/102; 52.9%). Amongst culture positive infections, Gram-negative organisms predominated (13/16; 81.3%). Resistance to third generation cephalosporins was common, supporting the use of more expensive carbapenem drugs empirically in HAI cases. The total cost of treatment for all 102 HCAI cases combined, based on additional inpatient days, was estimated to be $299,608. Conclusions: Prospective HAI surveillance can form part of routine practice in low-income healthcare settings. HAI incidence at AHC was relatively low, but human and financial costs remained high due to increased carbapenem use, prolonged admissions and higher mortality rates.","author":[{"dropping-particle":"","family":"Hearn","given":"Pasco","non-dropping-particle":"","parse-names":false,"suffix":""},{"dropping-particle":"","family":"Miliya","given":"Thyl","non-dropping-particle":"","parse-names":false,"suffix":""},{"dropping-particle":"","family":"Seng","given":"Soklin","non-dropping-particle":"","parse-names":false,"suffix":""},{"dropping-particle":"","family":"Ngoun","given":"Chanpheaktra","non-dropping-particle":"","parse-names":false,"suffix":""},{"dropping-particle":"","family":"Day","given":"Nicholas P. J.","non-dropping-particle":"","parse-names":false,"suffix":""},{"dropping-particle":"","family":"Lubell","given":"Yoel","non-dropping-particle":"","parse-names":false,"suffix":""},{"dropping-particle":"","family":"Turner","given":"Claudia","non-dropping-particle":"","parse-names":false,"suffix":""},{"dropping-particle":"","family":"Turner","given":"Paul","non-dropping-particle":"","parse-names":false,"suffix":""}],"container-title":"Antimicrobial Resistance &amp; Infection Control","id":"ITEM-1","issue":"1","issued":{"date-parts":[["2017","12","23"]]},"page":"16","title":"Prospective surveillance of healthcare associated infections in a Cambodian pediatric hospital","type":"article-journal","volume":"6"},"uris":["http://www.mendeley.com/documents/?uuid=1174d7f3-ce15-3461-84e5-5df74b25d974"]},{"id":"ITEM-2","itemData":{"DOI":"10.2147/RMHP.S269315","ISSN":"11791594","PMID":"33061710","abstract":"Healthcare-associated infections (HCAIs) are a major source of morbidity and mortality and are the second most prevalent cause of death. Furthermore, it has been reported that for every one-hundred patients admitted to hospital, seven patients in high-income economies and ten in emerging and low-income economies acquire at least one type of HCAI. Currently, almost all pathogenic microorganisms have developed antimicrobial resis-tance, and few new antimicrobials are being developed and brought to market. The literature search for this narrative review was performed by searching bibliographic databases (includ-ing Google Scholar and PubMed) using the search terms: “Strategies,” “Prevention,” and “Healthcare-Associated Infections,” followed by snowballing references cited by critical articles. We found that although hand hygiene is a centuries-old concept, it is still the primary strategy used around the world to prevent HCAIs. It forms one of a bundle of approaches used to clean and maintain a safe hospital environment and to stop the transmission of contagious and infectious microorganisms, including multidrug-resistant microbes. Finally, antibiotic stewardship also has a crucial role in reducing the impact of HCAIs through conserving currently available antimicrobials.","author":[{"dropping-particle":"","family":"Haque","given":"Mainul","non-dropping-particle":"","parse-names":false,"suffix":""},{"dropping-particle":"","family":"McKimm","given":"Judy","non-dropping-particle":"","parse-names":false,"suffix":""},{"dropping-particle":"","family":"Sartelli","given":"Massimo","non-dropping-particle":"","parse-names":false,"suffix":""},{"dropping-particle":"","family":"Dhingra","given":"Sameer","non-dropping-particle":"","parse-names":false,"suffix":""},{"dropping-particle":"","family":"Labricciosa","given":"Francesco M.","non-dropping-particle":"","parse-names":false,"suffix":""},{"dropping-particle":"","family":"Islam","given":"Salequl","non-dropping-particle":"","parse-names":false,"suffix":""},{"dropping-particle":"","family":"Jahan","given":"Dilshad","non-dropping-particle":"","parse-names":false,"suffix":""},{"dropping-particle":"","family":"Nusrat","given":"Tanzina","non-dropping-particle":"","parse-names":false,"suffix":""},{"dropping-particle":"","family":"Chowdhury","given":"Tajkera Sultana","non-dropping-particle":"","parse-names":false,"suffix":""},{"dropping-particle":"","family":"Coccolini","given":"Federico","non-dropping-particle":"","parse-names":false,"suffix":""},{"dropping-particle":"","family":"Iskandar","given":"Katia","non-dropping-particle":"","parse-names":false,"suffix":""},{"dropping-particle":"","family":"Catena","given":"Fausto","non-dropping-particle":"","parse-names":false,"suffix":""},{"dropping-particle":"","family":"Charan","given":"Jaykaran","non-dropping-particle":"","parse-names":false,"suffix":""}],"container-title":"Risk Management and Healthcare Policy","id":"ITEM-2","issued":{"date-parts":[["2020","9","28"]]},"page":"1765-1780","publisher":"Dove Press","title":"Strategies to prevent healthcare-associated infections: A narrative overview","type":"article-journal","volume":"13"},"uris":["http://www.mendeley.com/documents/?uuid=b3629c01-8e5b-3f3b-9018-d6d51ad2a802"]}],"mendeley":{"formattedCitation":"[47,67]","plainTextFormattedCitation":"[47,67]","previouslyFormattedCitation":"[47,67]"},"properties":{"noteIndex":0},"schema":"https://github.com/citation-style-language/schema/raw/master/csl-citation.json"}</w:instrText>
      </w:r>
      <w:r w:rsidRPr="00E67B00">
        <w:rPr>
          <w:rFonts w:eastAsia="Times New Roman" w:cs="Times New Roman"/>
          <w:szCs w:val="24"/>
          <w:lang w:bidi="en-US"/>
        </w:rPr>
        <w:fldChar w:fldCharType="separate"/>
      </w:r>
      <w:r w:rsidRPr="00E67B00">
        <w:rPr>
          <w:rFonts w:eastAsia="Times New Roman" w:cs="Times New Roman"/>
          <w:noProof/>
          <w:szCs w:val="24"/>
          <w:lang w:bidi="en-US"/>
        </w:rPr>
        <w:t>[47,67]</w:t>
      </w:r>
      <w:r w:rsidRPr="00E67B00">
        <w:rPr>
          <w:rFonts w:eastAsia="Times New Roman" w:cs="Times New Roman"/>
          <w:szCs w:val="24"/>
          <w:lang w:bidi="en-US"/>
        </w:rPr>
        <w:fldChar w:fldCharType="end"/>
      </w:r>
      <w:r w:rsidRPr="00E67B00">
        <w:rPr>
          <w:rFonts w:eastAsia="Times New Roman" w:cs="Times New Roman"/>
          <w:szCs w:val="24"/>
          <w:lang w:bidi="en-US"/>
        </w:rPr>
        <w:t xml:space="preserve">, coupled with diligent monitoring and feedback </w:t>
      </w:r>
      <w:r w:rsidRPr="00E67B00">
        <w:rPr>
          <w:rFonts w:eastAsia="Times New Roman" w:cs="Times New Roman"/>
          <w:szCs w:val="24"/>
          <w:lang w:bidi="en-US"/>
        </w:rPr>
        <w:fldChar w:fldCharType="begin" w:fldLock="1"/>
      </w:r>
      <w:r w:rsidRPr="00E67B00">
        <w:rPr>
          <w:rFonts w:eastAsia="Times New Roman" w:cs="Times New Roman"/>
          <w:szCs w:val="24"/>
          <w:lang w:bidi="en-US"/>
        </w:rPr>
        <w:instrText>ADDIN CSL_CITATION {"citationItems":[{"id":"ITEM-1","itemData":{"ISSN":"08863350","abstract":"Cataract surgery is routinely performed using an anterior continuous curvilinear capsulorhexis (CCC). A manual surgical technique is described for performing a small (less than 1.5 mm diameter) anterior CCC. This technique's applications extend from Phaco-Ersatz, a cataract surgical technique designed to restore accommodation to pediatric cataract surgery. An experimental rabbit study was conducted to determine the feasibility of the technique. Up to 9 small peripheral anterior CCCs were made in the same lens capsule without the capsule tearing, The mean diameter of the CCCs was 1.1 mm ± 0.3 (SD). A 30 gauge needle and Utrata capsulorhexis forceps were used to construct the CCC. This technique shows promise for the successful performance of small CCCs in Phaco-Ersatz procedures and pediatric cataract surgery.","author":[{"dropping-particle":"","family":"World Health Organization","given":"","non-dropping-particle":"","parse-names":false,"suffix":""}],"container-title":"World Health Organization","id":"ITEM-1","issued":{"date-parts":[["2018"]]},"number-of-pages":"1-16","title":"Infection Prevention and Control Assessment Framework at the Facility Level","type":"report"},"uris":["http://www.mendeley.com/documents/?uuid=cf2b6173-ea8b-3725-85c2-0f87dfbca6f1"]},{"id":"ITEM-2","itemData":{"DOI":"10.1186/s13756-023-01358-1","ISSN":"20472994","PMID":"38221629","abstract":"Background: The coronavirus pandemic again highlighted the need for robust health care facility infection prevention and control (IPC) programmes. WHO guidelines on the core components (CCs) of IPC programmes provides guidance for facilities, but their implementation can be difficult to achieve in resource-limited settings. We aimed to gather evidence on an initial WHO IPC implementation experience using a mixed methods approach. Methods: A five-day training on the WHO IPC CCs was conducted at two reference acute health care facilities in the Democratic Republic of Congo and Burkina Faso. This was accompanied by a three-part mixed-methods evaluation consisting of a: (1) baseline and follow-up survey of participants’ knowledge, attitudes and practices (KAP), (2) qualitative assessment of plenary discussion transcripts and (3) deployment of the WHO IPC assessment framework (IPCAF) tool. Results were analysed descriptively and with a qualitative inductive thematic approach. Results: Twenty-two and twenty-four participants were trained at each facility, respectively. Baseline and follow-up KAP results suggested increases in knowledge related to the necessity of a dedicated IPC focal person and annual evaluations of IPC training although lack of recognition on the importance of including hospital leadership in IPC training and hand hygiene monitoring recommendations remained. Most participants reported rarely attending IPC meetings or participating in IPC action planning although attitudes shifted towards stronger agreement with the feeling of IPC responsibility and importance of an IPC team. A reocurring theme in plenary discussions was related to limited resources as a barrier to IPC implementation, namely lack of reliable water access. However, participants recognised the importance of IPC improvement efforts such as practical IPC training methods or the use of data to improve quality of care. The facilities’ IPCAF scores reflected a ‘basic/intermediate’ IPC implementation level. Conclusions: The training and mixed methods evaluation revealed initial IPC implementation experiences that could be used to inform stepwise approaches to facility IPC improvement in resource-limited settings. Implementation strategies should consider both global standards such as the WHO IPC CCs and specific local contexts. The early involvement of all relevant stakeholders and parallel efforts to advocate for sufficient resources and health system infrastructure are critical.","author":[{"dropping-particle":"","family":"Wood","given":"R.","non-dropping-particle":"","parse-names":false,"suffix":""},{"dropping-particle":"","family":"Tembele","given":"W.","non-dropping-particle":"","parse-names":false,"suffix":""},{"dropping-particle":"","family":"Hema","given":"A.","non-dropping-particle":"","parse-names":false,"suffix":""},{"dropping-particle":"","family":"Somé","given":"A.","non-dropping-particle":"","parse-names":false,"suffix":""},{"dropping-particle":"","family":"Kinganda-Lusamaki","given":"E.","non-dropping-particle":"","parse-names":false,"suffix":""},{"dropping-particle":"","family":"Basilubo","given":"C.","non-dropping-particle":"","parse-names":false,"suffix":""},{"dropping-particle":"","family":"Lumembe","given":"R.","non-dropping-particle":"","parse-names":false,"suffix":""},{"dropping-particle":"","family":"Alama","given":"N.","non-dropping-particle":"","parse-names":false,"suffix":""},{"dropping-particle":"","family":"Mbunsu","given":"G.","non-dropping-particle":"","parse-names":false,"suffix":""},{"dropping-particle":"","family":"Zongo","given":"A.","non-dropping-particle":"","parse-names":false,"suffix":""},{"dropping-particle":"","family":"Ahuka","given":"S.","non-dropping-particle":"","parse-names":false,"suffix":""},{"dropping-particle":"","family":"Muyembe","given":"J. J.","non-dropping-particle":"","parse-names":false,"suffix":""},{"dropping-particle":"","family":"Leendertz","given":"F.","non-dropping-particle":"","parse-names":false,"suffix":""},{"dropping-particle":"","family":"Eckmanns","given":"T.","non-dropping-particle":"","parse-names":false,"suffix":""},{"dropping-particle":"","family":"Schubert","given":"G.","non-dropping-particle":"","parse-names":false,"suffix":""},{"dropping-particle":"","family":"Kagoné","given":"T.","non-dropping-particle":"","parse-names":false,"suffix":""},{"dropping-particle":"","family":"Makiala","given":"S.","non-dropping-particle":"","parse-names":false,"suffix":""},{"dropping-particle":"","family":"Tomczyk","given":"S.","non-dropping-particle":"","parse-names":false,"suffix":""}],"container-title":"Antimicrobial Resistance and Infection Control","id":"ITEM-2","issue":"1","issued":{"date-parts":[["2024","12","1"]]},"page":"4","publisher":"BioMed Central Ltd","title":"Implementation of the WHO core components of an infection prevention and control programme in two sub-Saharan African acute health-care facilities: a mixed methods study","type":"article-journal","volume":"13"},"uris":["http://www.mendeley.com/documents/?uuid=9259b542-e689-3b8e-b204-e38787758396"]}],"mendeley":{"formattedCitation":"[57,68]","plainTextFormattedCitation":"[57,68]","previouslyFormattedCitation":"[57,68]"},"properties":{"noteIndex":0},"schema":"https://github.com/citation-style-language/schema/raw/master/csl-citation.json"}</w:instrText>
      </w:r>
      <w:r w:rsidRPr="00E67B00">
        <w:rPr>
          <w:rFonts w:eastAsia="Times New Roman" w:cs="Times New Roman"/>
          <w:szCs w:val="24"/>
          <w:lang w:bidi="en-US"/>
        </w:rPr>
        <w:fldChar w:fldCharType="separate"/>
      </w:r>
      <w:r w:rsidRPr="00E67B00">
        <w:rPr>
          <w:rFonts w:eastAsia="Times New Roman" w:cs="Times New Roman"/>
          <w:noProof/>
          <w:szCs w:val="24"/>
          <w:lang w:bidi="en-US"/>
        </w:rPr>
        <w:t>[57,68]</w:t>
      </w:r>
      <w:r w:rsidRPr="00E67B00">
        <w:rPr>
          <w:rFonts w:eastAsia="Times New Roman" w:cs="Times New Roman"/>
          <w:szCs w:val="24"/>
          <w:lang w:bidi="en-US"/>
        </w:rPr>
        <w:fldChar w:fldCharType="end"/>
      </w:r>
      <w:r w:rsidRPr="00E67B00">
        <w:rPr>
          <w:rFonts w:eastAsia="Times New Roman" w:cs="Times New Roman"/>
          <w:szCs w:val="24"/>
          <w:lang w:bidi="en-US"/>
        </w:rPr>
        <w:t xml:space="preserve">, enables data-driven adjustments and fosters a culture of improvement. Alongside this, ensuring appropriate workload, staffing, and a well-maintained built environment with functional equipment provides the necessary infrastructure for safe care </w:t>
      </w:r>
      <w:r w:rsidRPr="00E67B00">
        <w:rPr>
          <w:rFonts w:eastAsia="Times New Roman" w:cs="Times New Roman"/>
          <w:szCs w:val="24"/>
          <w:lang w:bidi="en-US"/>
        </w:rPr>
        <w:fldChar w:fldCharType="begin" w:fldLock="1"/>
      </w:r>
      <w:r w:rsidRPr="00E67B00">
        <w:rPr>
          <w:rFonts w:eastAsia="Times New Roman" w:cs="Times New Roman"/>
          <w:szCs w:val="24"/>
          <w:lang w:bidi="en-US"/>
        </w:rPr>
        <w:instrText>ADDIN CSL_CITATION {"citationItems":[{"id":"ITEM-1","itemData":{"DOI":"10.1016/S1473-3099(18)30107-5","ISSN":"14744457","PMID":"29519766","abstract":"Background: Surgical site infections (SSIs) are the most frequent health-care-associated infections in developing countries. Specific prevention measures are highly effective, but are often poorly implemented. We aimed to establish the effect of a multimodal intervention on SSIs in Africa. Methods: We did a before–after cohort study, between July 1, 2013, and Dec 31, 2015, at five African hospitals. The multimodal intervention consisted of the implementation or strengthening of multiple SSI prevention measures, combined with an adaptive approach aimed at the improvement of teamwork and the safety climate. The primary outcome was the first occurrence of SSI, and the secondary outcome was death within 30 days post surgery. Data on adherence to SSI prevention measures were prospectively collected. The intervention effect on SSI risk and death within 30 days post surgery was assessed in a mixed-effects logistic regression model, after adjustment for key confounders. Findings: Four hospitals completed the baseline and follow-up; three provided suitable (ie, sufficient number and quality) data for the sustainability period. 4322 operations were followed up (1604 at baseline, 1827 at follow-up, and 891 in the sustainability period). SSI cumulative incidence significantly decreased post intervention, from 8·0% (95% CI 6·8–9·5; n=129) to 3·8% (3·0–4·8; n=70; p&lt;0·0001), and this decrease persisted in the sustainability period (3·9%, 2·8–5·4; n=35). A substantial improvement in compliance with prevention measures was consistently observed in the follow-up and sustainability periods. The likelihood of SSI during follow-up was significantly lower than pre-intervention (odds ratio [OR] 0·40, 95% CI 0·29–0·54; p&lt;0·0001), but the likelihood of death was not significantly reduced (0·72, 0·42–1·24; p=0·2360). Interpretation: Implementation of our intervention is feasible in African hospitals. Improvement was observed across all perioperative prevention practices. A significant effect on the overall SSI risk was observed, but with some heterogeneity between sites. Further large-scale experimental studies are needed to confirm these results and to improve the sustainability and long-term effect of such complex programmes. Funding: US Agency for Healthcare Research and Quality, WHO.","author":[{"dropping-particle":"","family":"Allegranzi","given":"Benedetta","non-dropping-particle":"","parse-names":false,"suffix":""},{"dropping-particle":"","family":"Aiken","given":"Alexander M.","non-dropping-particle":"","parse-names":false,"suffix":""},{"dropping-particle":"","family":"Zeynep Kubilay","given":"Nejla","non-dropping-particle":"","parse-names":false,"suffix":""},{"dropping-particle":"","family":"Nthumba","given":"Peter","non-dropping-particle":"","parse-names":false,"suffix":""},{"dropping-particle":"","family":"Barasa","given":"Jack","non-dropping-particle":"","parse-names":false,"suffix":""},{"dropping-particle":"","family":"Okumu","given":"Gabriel","non-dropping-particle":"","parse-names":false,"suffix":""},{"dropping-particle":"","family":"Mugarura","given":"Robert","non-dropping-particle":"","parse-names":false,"suffix":""},{"dropping-particle":"","family":"Elobu","given":"Alexander","non-dropping-particle":"","parse-names":false,"suffix":""},{"dropping-particle":"","family":"Jombwe","given":"Josephat","non-dropping-particle":"","parse-names":false,"suffix":""},{"dropping-particle":"","family":"Maimbo","given":"Mayaba","non-dropping-particle":"","parse-names":false,"suffix":""},{"dropping-particle":"","family":"Musowoya","given":"Joseph","non-dropping-particle":"","parse-names":false,"suffix":""},{"dropping-particle":"","family":"Gayet-Ageron","given":"Angèle","non-dropping-particle":"","parse-names":false,"suffix":""},{"dropping-particle":"","family":"Berenholtz","given":"Sean M.","non-dropping-particle":"","parse-names":false,"suffix":""}],"container-title":"The Lancet Infectious Diseases","id":"ITEM-1","issue":"5","issued":{"date-parts":[["2018","5","1"]]},"page":"507-515","publisher":"Lancet Infect Dis","title":"A multimodal infection control and patient safety intervention to reduce surgical site infections in Africa: a multicentre, before–after, cohort study","type":"article-journal","volume":"18"},"uris":["http://www.mendeley.com/documents/?uuid=73d85748-2d1e-3a15-a5f8-4d884008ab27"]},{"id":"ITEM-2","itemData":{"DOI":"10.1016/j.cmi.2025.01.011","ISSN":"1198743X","PMID":"39863071","abstract":"Background: Health care-associated infections (HAIs) remain a significant challenge worldwide, and the use of multimodal strategies is recommended by the WHO to enhance infection prevention. Objectives: To update the systematic review on facility level infection prevention and control interventions on the WHO core component of using multimodal strategies. Methods: Data sources: Medline (by PubMed), EMBASE, CINAHL, and the Cochrane library. Study eligibility criteria: Randomized controlled studies, interrupted time series, and before-after studies in acute care settings, from November 24, 2015 to June 30, 2023. Participants: Both paediatric and adult populations. Interventions: Infection prevention and control interventions implemented with at least three WHO multimodality elements. Assessment of risk of bias: Effective practice and organisation of care and integrated quality criteria for review of multiple study designs tools. Methods of data synthesis: Descriptive data synthesis. Results: Of 5678 identified titles and abstracts, 32 publications were eligible for data extraction and analysis. Five non-controlled before-after studies were excluded due to an insufficient integrated quality criteria for review of multiple study designs score. Of the remaining 27 studies, nine reported on the effect of multimodal strategies to reduce device-associated HAIs, four on surgical site infections, eight on infections due to antimicrobial resistance and six on hand hygiene (HH) compliance. Eleven were controlled studies (randomized controlled studies or controlled before-after studies), nine interrupted time series and seven non-controlled before-after studies. Twenty-two of the studies originated from high-income countries, and the overall quality was medium to low. Twenty studies showed either significant HAI reductions or HH improvement. Conclusion: Most studies demonstrate a significant effect on HAI prevention and HH improvement after applying a multimodal strategy. However, the quality of evidence remains low to moderate, with few studies from low-income or middle-income countries. Future research should focus on higher quality studies in resource limited settings.","author":[{"dropping-particle":"","family":"Sonpar","given":"Ashlesha","non-dropping-particle":"","parse-names":false,"suffix":""},{"dropping-particle":"","family":"Hundal","given":"Chandra Omar","non-dropping-particle":"","parse-names":false,"suffix":""},{"dropping-particle":"","family":"Totté","given":"Joan E.E.","non-dropping-particle":"","parse-names":false,"suffix":""},{"dropping-particle":"","family":"Wang","given":"Jiancong","non-dropping-particle":"","parse-names":false,"suffix":""},{"dropping-particle":"","family":"Klein","given":"Sabine D.","non-dropping-particle":"","parse-names":false,"suffix":""},{"dropping-particle":"","family":"Twyman","given":"Anthony","non-dropping-particle":"","parse-names":false,"suffix":""},{"dropping-particle":"","family":"Allegranzi","given":"Benedetta","non-dropping-particle":"","parse-names":false,"suffix":""},{"dropping-particle":"","family":"Zingg","given":"Walter","non-dropping-particle":"","parse-names":false,"suffix":""}],"container-title":"Clinical Microbiology and Infection","id":"ITEM-2","issue":"6","issued":{"date-parts":[["2025","6","23"]]},"page":"948-957","publisher":"Elsevier","title":"Multimodal strategies for the implementation of infection prevention and control interventions—update of a systematic review for the WHO guidelines on core components of infection prevention and control programmes at the facility level","type":"article-journal","volume":"31"},"uris":["http://www.mendeley.com/documents/?uuid=43f92882-62a3-329a-ae6e-76ae60197f85"]},{"id":"ITEM-3","itemData":{"DOI":"10.1186/s13756-021-00962-3","ISSN":"20472994","PMID":"34332622","abstract":"Background: The coronavirus disease-2019 (COVID-19) pandemic has again demonstrated the critical role of effective infection prevention and control (IPC) implementation to combat infectious disease threats. Standards such as the World Health Organization (WHO) IPC minimum requirements offer a basis, but robust evidence on effective IPC implementation strategies in low-resource settings remains limited. We aimed to qualitatively assess IPC implementation themes in these settings. Methods: Semi-structured interviews were conducted with IPC experts from low-resource settings, guided by a standardised questionnaire. Applying a qualitative inductive thematic analysis, IPC implementation examples from interview transcripts were coded, collated into sub-themes, grouped again into broad themes, and finally reviewed to ensure validity. Sub-themes appearing ≥ 3 times in data were highlighted as frequent IPC implementation themes and all findings were summarised descriptively. Results: Interviews were conducted with IPC experts from 29 countries in six WHO regions. Frequent IPC implementation themes including the related critical actions to achieve the WHO IPC core components included: (1) To develop IPC programmes: continuous advocacy with leadership, initial external technical assistance, stepwise approach to build resources, use of catalysts, linkages with other programmes, role of national IPC associations and normative legal actions; (2) To develop guidelines: early planning for their operationalization, initial external technical assistance and local guideline adaption; (3) To establish training: attention to methods, fostering local leadership, and sustainable health system linkages such as developing an IPC career path; (4) To establish health care-associated (HAI) surveillance: feasible but high-impact pilots, multidisciplinary collaboration, mentorship, careful consideration of definitions and data quality, and “data for action”; (5) To implement multimodal strategies: clear communication to explain multimodal strategies, attention to certain elements, and feasible but high-impact pilots; (6) To develop monitoring, audit and feedback: feasible but high-impact pilots, attention to methods such as positive (not punitive) incentives and “data for action”; (7) To improve staffing and bed occupancy: participation of national actors to set standards and attention to methods such as use of data; and (8) To promote built environment: involvement of IPC professio…","author":[{"dropping-particle":"","family":"Tomczyk","given":"Sara","non-dropping-particle":"","parse-names":false,"suffix":""},{"dropping-particle":"","family":"Storr","given":"Julie","non-dropping-particle":"","parse-names":false,"suffix":""},{"dropping-particle":"","family":"Kilpatrick","given":"Claire","non-dropping-particle":"","parse-names":false,"suffix":""},{"dropping-particle":"","family":"Allegranzi","given":"Benedetta","non-dropping-particle":"","parse-names":false,"suffix":""}],"container-title":"Antimicrobial Resistance and Infection Control","id":"ITEM-3","issue":"1","issued":{"date-parts":[["2021","12","1"]]},"page":"113","publisher":"BioMed Central Ltd","title":"Infection prevention and control (IPC) implementation in low-resource settings: a qualitative analysis","type":"article-journal","volume":"10"},"uris":["http://www.mendeley.com/documents/?uuid=667d1007-aecf-3dc9-b08a-4cb379536d9a"]},{"id":"ITEM-4","itemData":{"DOI":"10.1016/S0140-6736(13)62631-8","ISSN":"1474547X","PMID":"24581683","abstract":"Background Austerity measures and health-system redesign to minimise hospital expenditures risk adversely affecting patient outcomes. The RN4CAST study was designed to inform decision making about nursing, one of the largest components of hospital operating expenses. We aimed to assess whether differences in patient to nurse ratios and nurses' educational qualifications in nine of the 12 RN4CAST countries with similar patient discharge data were associated with variation in hospital mortality after common surgical procedures. Methods For this observational study, we obtained discharge data for 422 730 patients aged 50 years or older who underwent common surgeries in 300 hospitals in nine European countries. Administrative data were coded with a standard protocol (variants of the ninth or tenth versions of the International Classification of Diseases) to estimate 30 day in-hospital mortality by use of risk adjustment measures including age, sex, admission type, 43 dummy variables suggesting surgery type, and 17 dummy variables suggesting comorbidities present at admission. Surveys of 26 516 nurses practising in study hospitals were used to measure nurse staffing and nurse education. We used generalised estimating equations to assess the effects of nursing factors on the likelihood of surgical patients dying within 30 days of admission, before and after adjusting for other hospital and patient characteristics. Findings An increase in a nurses' workload by one patient increased the likelihood of an inpatient dying within 30 days of admission by 7% (odds ratio 1·068, 95% CI 1·031- 1·106), and every 10% increase in bachelor's degree nurses was associated with a decrease in this likelihood by 7% (0·929, 0·886- 0·973). These associations imply that patients in hospitals in which 60% of nurses had bachelor's degrees and nurses cared for an average of six patients would have almost 30% lower mortality than patients in hospitals in which only 30% of nurses had bachelor's degrees and nurses cared for an average of eight patients. Interpretation Nurse staffing cuts to save money might adversely affect patient outcomes. An increased emphasis on bachelor's education for nurses could reduce preventable hospital deaths. Funding European Union's Seventh Framework Programme, National Institute of Nursing Research, National Institutes of Health, the Norwegian Nurses Organisation and the Norwegian Knowledge Centre for the Health Services, Swedish Association of Health Prof…","author":[{"dropping-particle":"","family":"Aiken","given":"Linda H.","non-dropping-particle":"","parse-names":false,"suffix":""},{"dropping-particle":"","family":"Sloane","given":"Douglas M.","non-dropping-particle":"","parse-names":false,"suffix":""},{"dropping-particle":"","family":"Bruyneel","given":"Luk","non-dropping-particle":"","parse-names":false,"suffix":""},{"dropping-particle":"","family":"Heede","given":"Koen","non-dropping-particle":"Van Den","parse-names":false,"suffix":""},{"dropping-particle":"","family":"Griffiths","given":"Peter","non-dropping-particle":"","parse-names":false,"suffix":""},{"dropping-particle":"","family":"Busse","given":"Reinhard","non-dropping-particle":"","parse-names":false,"suffix":""},{"dropping-particle":"","family":"Diomidous","given":"Marianna","non-dropping-particle":"","parse-names":false,"suffix":""},{"dropping-particle":"","family":"Kinnunen","given":"Juha","non-dropping-particle":"","parse-names":false,"suffix":""},{"dropping-particle":"","family":"Kózka","given":"Maria","non-dropping-particle":"","parse-names":false,"suffix":""},{"dropping-particle":"","family":"Lesaffre","given":"Emmanuel","non-dropping-particle":"","parse-names":false,"suffix":""},{"dropping-particle":"","family":"McHugh","given":"Matthew D.","non-dropping-particle":"","parse-names":false,"suffix":""},{"dropping-particle":"","family":"Moreno-Casbas","given":"M. T.","non-dropping-particle":"","parse-names":false,"suffix":""},{"dropping-particle":"","family":"Rafferty","given":"Anne Marie","non-dropping-particle":"","parse-names":false,"suffix":""},{"dropping-particle":"","family":"Schwendimann","given":"Rene","non-dropping-particle":"","parse-names":false,"suffix":""},{"dropping-particle":"","family":"Scott","given":"P. Anne","non-dropping-particle":"","parse-names":false,"suffix":""},{"dropping-particle":"","family":"Tishelman","given":"Carol","non-dropping-particle":"","parse-names":false,"suffix":""},{"dropping-particle":"","family":"Achterberg","given":"Theo","non-dropping-particle":"Van","parse-names":false,"suffix":""},{"dropping-particle":"","family":"Sermeus","given":"Walter","non-dropping-particle":"","parse-names":false,"suffix":""}],"container-title":"The Lancet","id":"ITEM-4","issue":"9931","issued":{"date-parts":[["2014"]]},"page":"1824-1830","publisher":"Elsevier B.V.","title":"Nurse staffing and education and hospital mortality in nine European countries: A retrospective observational study","type":"article-journal","volume":"383"},"uris":["http://www.mendeley.com/documents/?uuid=9d638dde-f614-3e85-98ce-87771c0acbc3"]},{"id":"ITEM-5","itemData":{"ISSN":"10575987","PMID":"12836624","abstract":"The health-care facility environment is rarely implicated in disease transmission, except among patients who are immunocompromised. Nonetheless, inadvertent exposures to environmental pathogens (e.g., Aspergillus spp. and Legionella spp.) or airborne pathogens (e.g., Mycobacterium tuberculosis and varicella-zoster virus) can result in adverse patient outcomes and cause illness among health-care workers. Environmental infection-control strategies and engineering controls can effectively prevent these infections. The incidence of health-care--associated infections and pseudo-outbreaks can be minimized by 1) appropriate use of cleaners and disinfectants; 2) appropriate maintenance of medical equipment (e.g., automated endoscope reprocessors or hydrotherapy equipment); 3) adherence to water-quality standards for hemodialysis, and to ventilation standards for specialized care environments (e.g., airborne infection isolation rooms, protective environments, or operating rooms); and 4) prompt management of water intrusion into the facility. Routine environmental sampling is not usually advised, except for water quality determinations in hemodialysis settings and other situations where sampling is directed by epidemiologic principles, and results can be applied directly to infection-control decisions. This report reviews previous guidelines and strategies for preventing environment-associated infections in health-care facilities and offers recommendations. These include 1) evidence-based recommendations supported by studies; 2) requirements of federal agencies (e.g., Food and Drug Administration, U.S. Environmental Protection Agency, U.S. Department of Labor, Occupational Safety and Health Administration, and U.S. Department of Justice); 3) guidelines and standards from building and equipment professional organizations (e.g., American Institute of Architects, Association for the Advancement of Medical Instrumentation, and American Society of Heating, Refrigeration, and Air-Conditioning Engineers); 4) recommendations derived from scientific theory or rationale; and 5) experienced opinions based upon infection-control and engineering practices. The report also suggests a series of performance measurements as a means to evaluate infection-control efforts.","author":[{"dropping-particle":"","family":"Sehulster","given":"Lynne","non-dropping-particle":"","parse-names":false,"suffix":""},{"dropping-particle":"","family":"Chinn","given":"Raymond Y.W.","non-dropping-particle":"","parse-names":false,"suffix":""}],"container-title":"MMWR. Recommendations and Reports","id":"ITEM-5","issue":"RR-10","issued":{"date-parts":[["2003"]]},"page":"1-42","title":"Guidelines for environmental infection control in health-care facilities. Recommendations of CDC and the Healthcare Infection Control Practices Advisory Committee (HICPAC).","type":"article-journal","volume":"52"},"uris":["http://www.mendeley.com/documents/?uuid=9106edd8-ee11-3254-8978-d4a0f66bddb8"]}],"mendeley":{"formattedCitation":"[59,69–72]","plainTextFormattedCitation":"[59,69–72]","previouslyFormattedCitation":"[59,69–72]"},"properties":{"noteIndex":0},"schema":"https://github.com/citation-style-language/schema/raw/master/csl-citation.json"}</w:instrText>
      </w:r>
      <w:r w:rsidRPr="00E67B00">
        <w:rPr>
          <w:rFonts w:eastAsia="Times New Roman" w:cs="Times New Roman"/>
          <w:szCs w:val="24"/>
          <w:lang w:bidi="en-US"/>
        </w:rPr>
        <w:fldChar w:fldCharType="separate"/>
      </w:r>
      <w:r w:rsidRPr="00E67B00">
        <w:rPr>
          <w:rFonts w:eastAsia="Times New Roman" w:cs="Times New Roman"/>
          <w:noProof/>
          <w:szCs w:val="24"/>
          <w:lang w:bidi="en-US"/>
        </w:rPr>
        <w:t>[59,69–72]</w:t>
      </w:r>
      <w:r w:rsidRPr="00E67B00">
        <w:rPr>
          <w:rFonts w:eastAsia="Times New Roman" w:cs="Times New Roman"/>
          <w:szCs w:val="24"/>
          <w:lang w:bidi="en-US"/>
        </w:rPr>
        <w:fldChar w:fldCharType="end"/>
      </w:r>
      <w:r w:rsidRPr="00E67B00">
        <w:rPr>
          <w:rFonts w:eastAsia="Times New Roman" w:cs="Times New Roman"/>
          <w:szCs w:val="24"/>
          <w:lang w:bidi="en-US"/>
        </w:rPr>
        <w:t>. Collectively, these interconnected components are foundational to minimizing infection transmission, safeguarding patient safety, and playing a pivotal role in the global fight against AMR.</w:t>
      </w:r>
    </w:p>
    <w:p w14:paraId="107AA623" w14:textId="36EC4D00" w:rsidR="003F4633" w:rsidRPr="003F4633" w:rsidRDefault="003F4633" w:rsidP="003F4633">
      <w:pPr>
        <w:spacing w:before="0" w:line="360" w:lineRule="auto"/>
        <w:jc w:val="both"/>
        <w:rPr>
          <w:rFonts w:eastAsia="Times New Roman" w:cs="Times New Roman"/>
          <w:szCs w:val="24"/>
          <w:lang w:val="en" w:bidi="en-US"/>
        </w:rPr>
      </w:pPr>
      <w:r w:rsidRPr="003F4633">
        <w:rPr>
          <w:rFonts w:eastAsia="Times New Roman" w:cs="Times New Roman"/>
          <w:szCs w:val="24"/>
          <w:lang w:val="en" w:bidi="en-US"/>
        </w:rPr>
        <w:t xml:space="preserve">In Zambia, multidrug-resistant pathogens have been reported in hospitals, demonstrating the current significant burden of AMR </w:t>
      </w:r>
      <w:r w:rsidRPr="003F4633">
        <w:rPr>
          <w:rFonts w:eastAsia="Times New Roman" w:cs="Times New Roman"/>
          <w:szCs w:val="24"/>
          <w:lang w:val="en" w:bidi="en-US"/>
        </w:rPr>
        <w:fldChar w:fldCharType="begin" w:fldLock="1"/>
      </w:r>
      <w:r w:rsidR="005E406D">
        <w:rPr>
          <w:rFonts w:eastAsia="Times New Roman" w:cs="Times New Roman"/>
          <w:szCs w:val="24"/>
          <w:lang w:val="en" w:bidi="en-US"/>
        </w:rPr>
        <w:instrText>ADDIN CSL_CITATION {"citationItems":[{"id":"ITEM-1","itemData":{"DOI":"10.3390/ANTIBIOTICS13100951","ISSN":"2079-6382","abstract":"Background: Extended-spectrum β-lactamases (ESBL) in Escherichia coli are a serious concern due to their role in developing multidrug resistance (MDR) and difficult-to-treat infections. Objective: This study aimed to identify ESBL-carrying E. coli strains from both clinical and environmental sources in Lusaka District, Zambia. Methods: This cross-sectional study included 58 ESBL-producing E. coli strains from hospital inpatients, outpatients, and non-hospital environments. Antimicrobial susceptibility was assessed using the Kirby–Bauer disk diffusion method and the VITEK® 2 Compact System, while genotypic analyses utilised the Illumina NextSeq 2000 sequencing platform. Results: Among the strains isolated strains, phylogroup B2 was the most common, with resistant MLST sequence types including ST131, ST167, ST156, and ST69. ESBL genes such as blaTEM-1B, blaCTX-M,blaOXA-1, blaNDM-5, and blaCMY were identified, with ST131 and ST410 being the most common. ST131 exhibited a high prevalence of blaCTX-M-15 and resistance to fluoroquinolones. Clinical and environmental isolates carried blaNDM-5 (3.4%), with clinical isolates showing a higher risk of carbapenemase resistance genes and the frequent occurrence of blaCTX-M and blaTEM variants, especially blaCTX-M-15 in ST131. Conclusions: This study underscores the public health risks of blaCTX-M-15- and blaNDM-5-carrying E. coli. The strengthening antimicrobial stewardship programmes and the continuous surveillance of AMR in clinical and environmental settings are recommended to mitigate the spread of resistant pathogens.","author":[{"dropping-particle":"","family":"Kasanga","given":"Maisa","non-dropping-particle":"","parse-names":false,"suffix":""},{"dropping-particle":"","family":"Gajdács","given":"Márió","non-dropping-particle":"","parse-names":false,"suffix":""},{"dropping-particle":"","family":"Muleya","given":"Walter","non-dropping-particle":"","parse-names":false,"suffix":""},{"dropping-particle":"","family":"Ikhimiukor","given":"Odion O.","non-dropping-particle":"","parse-names":false,"suffix":""},{"dropping-particle":"","family":"Mudenda","given":"Steward","non-dropping-particle":"","parse-names":false,"suffix":""},{"dropping-particle":"","family":"Kasanga","given":"Maika","non-dropping-particle":"","parse-names":false,"suffix":""},{"dropping-particle":"","family":"Chizimu","given":"Joseph","non-dropping-particle":"","parse-names":false,"suffix":""},{"dropping-particle":"","family":"Shempela","given":"Doreen Mainza","non-dropping-particle":"","parse-names":false,"suffix":""},{"dropping-particle":"","family":"Solochi","given":"Benjamin Bisesa","non-dropping-particle":"","parse-names":false,"suffix":""},{"dropping-particle":"","family":"Mwikisa","given":"Mark John","non-dropping-particle":"","parse-names":false,"suffix":""},{"dropping-particle":"","family":"Yamba","given":"Kaunda","non-dropping-particle":"","parse-names":false,"suffix":""},{"dropping-particle":"","family":"Andam","given":"Cheryl P.","non-dropping-particle":"","parse-names":false,"suffix":""},{"dropping-particle":"","family":"Chanda","given":"Raphael","non-dropping-particle":"","parse-names":false,"suffix":""},{"dropping-particle":"","family":"Chanda","given":"Duncan","non-dropping-particle":"","parse-names":false,"suffix":""},{"dropping-particle":"","family":"Kwenda","given":"Geoffrey","non-dropping-particle":"","parse-names":false,"suffix":""}],"container-title":"Antibiotics","id":"ITEM-1","issue":"10","issued":{"date-parts":[["2024","10","10"]]},"page":"951","publisher":"Multidisciplinary Digital Publishing Institute","title":"Genotypic Characterisation and Antimicrobial Resistance of Extended-Spectrum β-Lactamase-Producing Escherichia coli in Humans, Animals, and the Environment from Lusaka, Zambia: Public Health Implications and One Health Surveillance","type":"article-journal","volume":"13"},"uris":["http://www.mendeley.com/documents/?uuid=ac6bf65e-22b0-3f9c-89d4-d3089402e38b"]},{"id":"ITEM-2","itemData":{"DOI":"10.1093/JACAMR/DLAE159","abstract":"Background: Surgical site infections (SSIs) are on the rise and are a global concern as they complicate the recovery of patients postoperatively. Bacterial colonization of the patient's skin and alimentary tract are known to be major contributing sources to SSIs. However, Zambia lacks data relating to carriage rates of antibiotic-resistant rectal Escherichia coli among surgical patients. Methods: This was a cross-sectional study aimed at determining the preoperative (preop) and postoperative (postop) carriage and antimicrobial susceptibility patterns of rectal ESBL-producing E. coli (ESBL-Ec) in elective surgery patients at the highest tertiary hospital in Lusaka, Zambia. Phenotypic methods were used in the identification of E. coli. Antibiotic susceptibility patterns and identification of ESBL-Ec was determined by Kirby-Bauer disc diffusion. Results: A total of 120 study participants were recruited, of which 75 were followed up at least 72 h after surgery. From 195 rectal swabs cultured, 177 (90.8%) were positive for E. coli, of which 53 (29.9%) were ESBL-Ec, with a significantly (P &lt; 0.0001) higher proportion in postop (47.9%) than preop (17.3%) participants. Overall, ESBL-Ec isolates showed higher resistance in postop than preop to cefotaxime (100% versus 88.9%, respectively), ampicillin (100% versus 94.4%), ciprofloxacin (88.3% versus 83.3%), amoxicillin/clavulanic acid (80% versus 66.7%) and cefepime (80% versus 77.8%). MDR ESBL-Ec strains were more frequent in postop than in preop participants (91.4% versus 88.9%). Conclusions: The study showed a significantly higher rate of antimicrobial-resistant rectal E. coli in postop than preop participants. There is a need to ascertain the source of the resistance and to institute robust infection control measures, preop screening of surgical patients for ESBL-Ec, and to raise awareness on prudent use of antibiotics.","author":[{"dropping-particle":"","family":"Siame","given":"Amon","non-dropping-particle":"","parse-names":false,"suffix":""},{"dropping-particle":"","family":"Yamba","given":"Kaunda","non-dropping-particle":"","parse-names":false,"suffix":""},{"dropping-particle":"","family":"Samutela","given":"Mulemba","non-dropping-particle":"","parse-names":false,"suffix":""},{"dropping-particle":"","family":"Mukubesa","given":"Andrew","non-dropping-particle":"","parse-names":false,"suffix":""},{"dropping-particle":"","family":"Mulundu","given":"Gina","non-dropping-particle":"","parse-names":false,"suffix":""}],"container-title":"JAC-Antimicrobial Resistance","id":"ITEM-2","issue":"5","issued":{"date-parts":[["2024","9","3"]]},"page":"dlae159","publisher":"Oxford Academic","title":"Carriage and antimicrobial susceptibility patterns of rectal ESBL E. coli in surgical patients at the University Teaching Hospitals in Lusaka, Zambia","type":"article-journal","volume":"6"},"uris":["http://www.mendeley.com/documents/?uuid=54520e57-de7d-34eb-b8b4-d5ca9b01d900"]},{"id":"ITEM-3","itemData":{"DOI":"10.3390/MICROORGANISMS11081951","ISSN":"2076-2607","abstract":"Antimicrobial resistance (AMR) is a public health problem threatening human, animal, and environmental safety. This study assessed the AMR profiles and risk factors associated with Escherichia coli in hospital and environmental settings in Lusaka, Zambia. This cross-sectional study was conducted from April 2022 to August 2022 using 980 samples collected from clinical and environmental settings. Antimicrobial susceptibility testing was conducted using BD PhoenixTM 100. The data were analysed using SPSS version 26.0. Of the 980 samples, 51% were from environmental sources. Overall, 64.5% of the samples tested positive for E. coli, of which 52.5% were from clinical sources. Additionally, 31.8% were ESBL, of which 70.1% were clinical isolates. Of the 632 isolates, 48.3% were MDR. Most clinical isolates were resistant to ampicillin (83.4%), sulfamethoxazole/trimethoprim (73.8%), and ciprofloxacin (65.7%) while all environmental isolates were resistant to sulfamethoxazole/trimethoprim (100%) and some were resistant to levofloxacin (30.6%). The drivers of MDR in the tested isolates included pus (AOR = 4.6, CI: 1.9–11.3), male sex (AOR = 2.1, CI: 1.2–3.9), and water (AOR = 2.6, CI: 1.2–5.8). This study found that E. coli isolates were resistant to common antibiotics used in humans. The presence of MDR isolates is a public health concern and calls for vigorous infection prevention measures and surveillance to reduce AMR and its burdens.","author":[{"dropping-particle":"","family":"Kasanga","given":"Maisa","non-dropping-particle":"","parse-names":false,"suffix":""},{"dropping-particle":"","family":"Kwenda","given":"Geoffrey","non-dropping-particle":"","parse-names":false,"suffix":""},{"dropping-particle":"","family":"Wu","given":"Jian","non-dropping-particle":"","parse-names":false,"suffix":""},{"dropping-particle":"","family":"Kasanga","given":"Maika","non-dropping-particle":"","parse-names":false,"suffix":""},{"dropping-particle":"","family":"Mwikisa","given":"Mark J.","non-dropping-particle":"","parse-names":false,"suffix":""},{"dropping-particle":"","family":"Chanda","given":"Raphael","non-dropping-particle":"","parse-names":false,"suffix":""},{"dropping-particle":"","family":"Mupila","given":"Zachariah","non-dropping-particle":"","parse-names":false,"suffix":""},{"dropping-particle":"","family":"Yankonde","given":"Baron","non-dropping-particle":"","parse-names":false,"suffix":""},{"dropping-particle":"","family":"Sikazwe","given":"Mutemwa","non-dropping-particle":"","parse-names":false,"suffix":""},{"dropping-particle":"","family":"Mwila","given":"Enock","non-dropping-particle":"","parse-names":false,"suffix":""},{"dropping-particle":"","family":"Shempela","given":"Doreen M.","non-dropping-particle":"","parse-names":false,"suffix":""},{"dropping-particle":"","family":"Solochi","given":"Benjamin B.","non-dropping-particle":"","parse-names":false,"suffix":""},{"dropping-particle":"","family":"Phiri","given":"Christabel","non-dropping-particle":"","parse-names":false,"suffix":""},{"dropping-particle":"","family":"Mudenda","given":"Steward","non-dropping-particle":"","parse-names":false,"suffix":""},{"dropping-particle":"","family":"Chanda","given":"Duncan","non-dropping-particle":"","parse-names":false,"suffix":""}],"container-title":"Microorganisms","id":"ITEM-3","issue":"8","issued":{"date-parts":[["2023","7","31"]]},"page":"1951","publisher":"Multidisciplinary Digital Publishing Institute","title":"Antimicrobial Resistance Patterns and Risk Factors Associated with ESBL-Producing and MDR Escherichia coli in Hospital and Environmental Settings in Lusaka, Zambia: Implications for One Health, Antimicrobial Stewardship and Surveillance Systems","type":"article-journal","volume":"11"},"uris":["http://www.mendeley.com/documents/?uuid=e1d80e26-4c91-3395-b632-08a3ad5e151d"]},{"id":"ITEM-4","itemData":{"DOI":"10.1093/jacamr/dlae061","ISSN":"26321823","abstract":"Background: The overuse and misuse of antimicrobials has worsened the problem of antimicrobial resistance (AMR) globally. This study investigated the AMR profiles of Escherichia coli isolated from clinical and environmental samples in Lusaka, Zambia. Methods: This was a cross-sectional study conducted from February 2023 to June 2023 using 450 samples. VITEK® 2 Compact was used to identify E. coli and perform antimicrobial susceptibility testing. Data analysis was done using WHONET 2022 and SPSS version 25.0. Results: Of the 450 samples, 66.7% (n = 300) were clinical samples, whereas 33.3% (n = 150) were environmental samples. Overall, 47.8% (n = 215) (37.8% clinical and 10% environmental) tested positive for E. coli. Of the 215 E. coli isolates, 66.5% were MDR and 42.8% were ESBL-producers. Most isolates were resistant to ampicillin (81.4%), sulfamethoxazole/trimethoprim (70.7%), ciprofloxacin (67.9%), levofloxacin (64.6%), ceftriaxone (62.3%) and cefuroxime (62%). Intriguingly, E. coli isolates were highly susceptible to amikacin (100%), imipenem (99.5%), nitrofurantoin (89.3%), ceftolozane/tazobactam (82%) and gentamicin (72.1%). Conclusions: This study found a high resistance of E. coli to some antibiotics that are commonly used in humans. The isolation of MDR and ESBL-producing E. coli is a public health concern and requires urgent action. Therefore, there is a need to instigate and strengthen interventional strategies including antimicrobial stewardship programmes to combat AMR in Zambia.","author":[{"dropping-particle":"","family":"Kasanga","given":"Maisa","non-dropping-particle":"","parse-names":false,"suffix":""},{"dropping-particle":"","family":"Shempela","given":"Doreen Mainza","non-dropping-particle":"","parse-names":false,"suffix":""},{"dropping-particle":"","family":"Daka","given":"Victor","non-dropping-particle":"","parse-names":false,"suffix":""},{"dropping-particle":"","family":"Mwikisa","given":"Mark J.","non-dropping-particle":"","parse-names":false,"suffix":""},{"dropping-particle":"","family":"Sikalima","given":"Jay","non-dropping-particle":"","parse-names":false,"suffix":""},{"dropping-particle":"","family":"Chanda","given":"Duncan","non-dropping-particle":"","parse-names":false,"suffix":""},{"dropping-particle":"","family":"Mudenda","given":"Steward","non-dropping-particle":"","parse-names":false,"suffix":""}],"container-title":"JAC-Antimicrobial Resistance","id":"ITEM-4","issue":"2","issued":{"date-parts":[["2024","3","5"]]},"page":"dlae061","publisher":"Oxford Academic","title":"Antimicrobial resistance profiles of Escherichia coli isolated from clinical and environmental samples: findings and implications","type":"article-journal","volume":"6"},"uris":["http://www.mendeley.com/documents/?uuid=629424b8-0ddc-312e-89d6-3963736b8d14"]},{"id":"ITEM-5","itemData":{"DOI":"10.3390/microorganisms10081684","ISSN":"20762607","abstract":"Increased antimicrobial resistance (AMR) has been reported for pathogenic and commensal Escherichia coli (E. coli), hampering the treatment, and increasing the burden of infectious diarrhoeal diseases in children in developing countries. This study focused on exploring the occurrence, patterns, and possible drivers of AMR E. coli isolated from children under-five years in Zambia. A hospital-based cross-sectional study was conducted in the Lusaka and Ndola districts. Rectal swabs were collected from 565 and 455 diarrhoeic and healthy children, respectively, from which 1020 E. coli were cultured and subjected to antibiotic susceptibility testing. Nearly all E. coli (96.9%) were resistant to at least one antimicrobial agent tested. Further, 700 isolates were Multi-Drug Resistant, 136 were possibly Extensively-Drug Resistant and nine were Pan-Drug-Resistant. Forty percent of the isolates were imipenem-resistant, mostly from healthy children. A questionnaire survey documented a complex pattern of associations between and within the subgroups of the levels of MDR and socio-demographic characteristics, antibiotic stewardship, and guardians’ knowledge of AMR. This study has revealed the severity of AMR in children and the need for a community-specific-risk-based approach to implementing measures to curb the problem.","author":[{"dropping-particle":"","family":"Bumbangi","given":"Flavien Nsoni","non-dropping-particle":"","parse-names":false,"suffix":""},{"dropping-particle":"","family":"Llarena","given":"Ann-Katrin","non-dropping-particle":"","parse-names":false,"suffix":""},{"dropping-particle":"","family":"Skjerve","given":"Eystein","non-dropping-particle":"","parse-names":false,"suffix":""},{"dropping-particle":"","family":"Hang’ombe","given":"Bernard Mudenda","non-dropping-particle":"","parse-names":false,"suffix":""},{"dropping-particle":"","family":"Mpundu","given":"Prudence","non-dropping-particle":"","parse-names":false,"suffix":""},{"dropping-particle":"","family":"Mudenda","given":"Steward","non-dropping-particle":"","parse-names":false,"suffix":""},{"dropping-particle":"","family":"Mutombo","given":"Paulin Beya","non-dropping-particle":"","parse-names":false,"suffix":""},{"dropping-particle":"","family":"Muma","given":"John Bwalya","non-dropping-particle":"","parse-names":false,"suffix":""}],"container-title":"Microorganisms","id":"ITEM-5","issue":"8","issued":{"date-parts":[["2022","8","21"]]},"page":"1684","publisher":"Multidisciplinary Digital Publishing Institute","title":"Evidence of Community-Wide Spread of Multi-Drug Resistant Escherichia coli in Young Children in Lusaka and Ndola Districts, Zambia","type":"article-journal","volume":"10"},"uris":["http://www.mendeley.com/documents/?uuid=00948816-0fb0-3862-be3c-eff893c49489"]},{"id":"ITEM-6","itemData":{"DOI":"10.1371/journal.pone.0226676","ISSN":"19326203","PMID":"31869354","abstract":"Periodic monitoring of antibiotic susceptibility patterns in clinical settings is vital to ascertain the potency as well as re-establishing empirical therapy. This retrospective study aimed to evaluate the antibiotic susceptibility patterns of pathogens isolated from routine laboratory specimens at Ndola Teaching Hospital. A retrospective study was conducted on routine specimens received between May 2016 and July 2018. Specimens were cultured on standard media and Kirby-Bauer disc diffusion method was used for susceptibility testing in accordance with the Clinical and Laboratory Standard Institute’s recommendations. A total of 693 specimens were analyzed, of which 65.9% (457) specimens came from inpatient departments and 49.1% (340) came from female patients. The commonest specimens were urine (58.6%), blood (12.7%) and wound swabs (8.5%), and the most common microorganisms were coliform (29.3%), Staphylococcus aureus (15.4%), coagulase negative Staphylococci (CoNS, 13.4%), and Escherichia coli (13%). The highest percentage of resistance to any particular antibiotic was co-trimoxazole (91.7%, 33) followed by nalidixic acid (75.2%, 279), norfloxacin (69.0%, 100), ceftazidime (55.7%, 185), nitrofurantoin (46.6%, 191), chloramphenicol (43%, 111) and ciprofloxacin (8.6%, 271). Furthermore, patient location had resistance effect on coliform (p = 0.014), CoNS (p = 0.031), Streptococcus species (p = 0.024) and Klebsiella species (p = 0.004) to nitrofurantoin, ceftazidime, nitrofurantoin and chloramphenicol, respectively. Besides coliform, resistance of Enterobacter species to ceftazidime and Proteus species to nalidixic acid were more from female patients. Generally, the most effective antibiotics were chloramphenicol and nitrofurantoin with addition of ceftazidime on blood pathogens and ciprofloxacin on wound swab pathogens. The common isolates were coliform, S. aureus, coagulase negative Staphylococci and Escherichia coli. The resistance of most bacteria to ceftazidime and nitrofurantoin were influenced by both gender and location. Our study presents a broad overview of the resistance profiles of bacterial isolates. However, more nosocomial prevalence and antibiogram studies on individual routine specimens are required to provide a more detailed picture of resistance patterns.","author":[{"dropping-particle":"","family":"Chanda","given":"Warren","non-dropping-particle":"","parse-names":false,"suffix":""},{"dropping-particle":"","family":"Manyepa","given":"Mespa","non-dropping-particle":"","parse-names":false,"suffix":""},{"dropping-particle":"","family":"Chikwanda","given":"Ephraim","non-dropping-particle":"","parse-names":false,"suffix":""},{"dropping-particle":"","family":"Daka","given":"Victor","non-dropping-particle":"","parse-names":false,"suffix":""},{"dropping-particle":"","family":"Chileshe","given":"Justin","non-dropping-particle":"","parse-names":false,"suffix":""},{"dropping-particle":"","family":"Tembo","given":"Mathias","non-dropping-particle":"","parse-names":false,"suffix":""},{"dropping-particle":"","family":"Kasongo","given":"Joseph","non-dropping-particle":"","parse-names":false,"suffix":""},{"dropping-particle":"","family":"Chipipa","given":"Allen","non-dropping-particle":"","parse-names":false,"suffix":""},{"dropping-particle":"","family":"Handema","given":"Ray","non-dropping-particle":"","parse-names":false,"suffix":""},{"dropping-particle":"","family":"Mulemena","given":"John A.","non-dropping-particle":"","parse-names":false,"suffix":""}],"container-title":"PLoS ONE","id":"ITEM-6","issue":"12","issued":{"date-parts":[["2019","12","1"]]},"page":"e0226676","publisher":"PLoS One","title":"Evaluation of antibiotic susceptibility patterns of pathogens isolated from routine laboratory specimens at Ndola Teaching Hospital: A retrospective study","type":"article-journal","volume":"14"},"uris":["http://www.mendeley.com/documents/?uuid=361269dd-169d-3e71-b68d-6b85f861affc"]},{"id":"ITEM-7","itemData":{"DOI":"10.1371/JOURNAL.PGPH.0001414","ISSN":"2767-3375","abstract":"Bloodstream infections (BSI) caused by antimicrobial-resistant (AMR) Gram-negative bacteria (GNB) are a significant cause of morbidity and mortality. Third-generation cephalosporins (3GCs) have been used as empiric treatment for BSI and other invasive infections for years; however, their overuse could promote the emergence of extended-spectrum beta-lactamases (ESBLs). Thus, this study aimed to determine the epidemiological, clinical and microbiological features and the effects of antimicrobial resistance on the outcomes of BSIs at a referral hospital in Lusaka, Zambia. This was a six-month prospective facility-based study undertaken at a referral hospital in Lusaka, Zambia. As part of the routine diagnosis and patient care, blood samples for bacteriological culture were collected from patients presenting with fever and processed for pathogen identification and antimicrobial susceptibility testing using the VITEK 2 Compact instrument. ESBLs and plasmid-mediated quinolone resistance (PMQR) associated genes were determined using the polymerase chain reaction method. Patient information was collected using a structured data collection sheet and entered in CSpro 7.6. Data were analysed in WHOnet and STATA version 14. A total of 88 GNB were isolated, of which 76% were Enterobacterales, 14% Acinetobacter baumannii and 8% Pseudomonas aeruginosa. Resistance to third and fourth-generation cephalosporins was 75% and 32%, respectively. Noteworthy was the high prevalence (68%) of inappropriate empirical treatment, carbapenem resistance (7%), multi-drug resistance (83%) and ESBL-producers (76%). In comparison to E. coli as a causative agent of BSI, the odds of death were significantly higher among patients infected with Acinetobacter baumannii (OR = 3.8). The odds of death were also higher in patients that received 3GCs as empiric treatment than in those that received 4GCs or other (none cephalosporin) treatment options. Structured surveillance, yearly antibiogram updates, improved infection control and a well functional antimicrobial stewardship (AMS) program, are of utmost importance in improving appropriate antimicrobial treatment selection and favourable patient outcomes.","author":[{"dropping-particle":"","family":"Yamba","given":"Kaunda","non-dropping-particle":"","parse-names":false,"suffix":""},{"dropping-particle":"","family":"Lukwesa-Musyani","given":"Chileshe","non-dropping-particle":"","parse-names":false,"suffix":""},{"dropping-particle":"","family":"Samutela","given":"Mulemba Tillika","non-dropping-particle":"","parse-names":false,"suffix":""},{"dropping-particle":"","family":"Kapesa","given":"Christine","non-dropping-particle":"","parse-names":false,"suffix":""},{"dropping-particle":"","family":"Hang’ombe","given":"Mudenda Bernard","non-dropping-particle":"","parse-names":false,"suffix":""},{"dropping-particle":"","family":"Mpabalwani","given":"Evans","non-dropping-particle":"","parse-names":false,"suffix":""},{"dropping-particle":"","family":"Hachaambwa","given":"Lottie","non-dropping-particle":"","parse-names":false,"suffix":""},{"dropping-particle":"","family":"Fwoloshi","given":"Sombo","non-dropping-particle":"","parse-names":false,"suffix":""},{"dropping-particle":"","family":"Chanda","given":"Raphael","non-dropping-particle":"","parse-names":false,"suffix":""},{"dropping-particle":"","family":"Mpundu","given":"Mirfin","non-dropping-particle":"","parse-names":false,"suffix":""},{"dropping-particle":"","family":"Kashweka","given":"Glory","non-dropping-particle":"","parse-names":false,"suffix":""},{"dropping-particle":"","family":"Nakazwe","given":"Ruth","non-dropping-particle":"","parse-names":false,"suffix":""},{"dropping-particle":"","family":"Mudenda","given":"Steward","non-dropping-particle":"","parse-names":false,"suffix":""},{"dropping-particle":"","family":"Muma","given":"John Bwalya","non-dropping-particle":"","parse-names":false,"suffix":""}],"container-title":"PLOS Global Public Health","id":"ITEM-7","issue":"1","issued":{"date-parts":[["2023","1","31"]]},"page":"e0001414","publisher":"Public Library of Science","title":"Phenotypic and genotypic antibiotic susceptibility profiles of Gram-negative bacteria isolated from bloodstream infections at a referral hospital, Lusaka, Zambia","type":"article-journal","volume":"3"},"uris":["http://www.mendeley.com/documents/?uuid=f287b84c-c0f5-340b-851f-5071fcdfa4ac"]},{"id":"ITEM-8","itemData":{"DOI":"10.4236/PP.2024.1512024","ISSN":"2157-9423","abstract":"Background: Antimicrobial resistance (AMR) is a growing public health concern, with far-reaching consequences for modern medicine. Zambia, like many other low- and middle-income countries, faces significant challenges in addressing AMR. Further, high rates of resistance have been reported among various microorganisms in Zambia. This review paper aims to summarize the current situation of the burden of AMR in Zambia, including the prevalence, risk factors contributing to its emergence and spread, challenges in addressing this issue, and the required solutions to combat this growing public health threat. Additionally, the paper also outlines existing efforts to combat AMR and proposes required solutions and recommendations to address this threat to public health. Materials and Methods: This study employed a comprehensive narrative review design that included studies published from January 2000 to November 2024. The literature search was done using PubMed, Scopus, Web of Science, and Google Scholar. Results: In 2019, 1.27 million deaths were attributed to AMR of which 255,000 were from sub-Saharan Africa. Currently, the burden of AMR in Zambia is not well understood. This study found that the drug resistance index (DRI) in Zambia was 60.9%, demonstrating high resistance rates of pathogens to antimicrobials commonly used in humans and animals. The high DRI indicates the low effectiveness of antibiotics in treatment infections. Most pathogens with high resistance to antimicrobials include Klebsiella pneumoniae, Staphylococcus aureus, Streptococcus pneumoniae, Escherichia coli, Salmonella species, Enterococcus species, Mycobacterium tuberculosis, Acinetobacter baumannii, and Pseudomonas aeruginosa. Additionally, the study found that there was low awareness, knowledge, attitudes, and suboptimal practices regarding AMR in Zambia. The contributing factors to the emergence and spread of AMR include self-medication practices, overuse and misuse of antimicrobials in humans and animals, non-adherence to treatment guidelines, limited diagnostic capacity, substandard and falsified antimicrobials, and a lack of surveillance of AMR. There is a need to develop strategies to address the identified gaps in Zambia to successfully combat AMR. Conclusion: This study revealed high resistance of microbes to antimicrobials in Zambia. The high prevalence of AMR in Zambia indicates its burden on the country, thereby providing opportunities for further research to quantify this pro…","author":[{"dropping-particle":"","family":"Mudenda","given":"Steward","non-dropping-particle":"","parse-names":false,"suffix":""},{"dropping-particle":"","family":"Mufwambi","given":"Webrod","non-dropping-particle":"","parse-names":false,"suffix":""},{"dropping-particle":"","family":"Mohamed","given":"Shafiq","non-dropping-particle":"","parse-names":false,"suffix":""}],"container-title":"Pharmacology &amp;amp; Pharmacy","id":"ITEM-8","issue":"12","issued":{"date-parts":[["2024","12","6"]]},"page":"403-465","publisher":"Scientific Research Publishing","title":"The Burden of Antimicrobial Resistance in Zambia, a Sub-Saharan African Country: A One Health Review of the Current Situation, Risk Factors, and Solutions","type":"article-journal","volume":"15"},"uris":["http://www.mendeley.com/documents/?uuid=61b6576c-8e58-3c94-9959-e990ca9e4ca8"]},{"id":"ITEM-9","itemData":{"DOI":"10.1016/J.INFPIP.2025.100462","ISSN":"2590-0889","author":[{"dropping-particle":"","family":"Yamba","given":"Kaunda","non-dropping-particle":"","parse-names":false,"suffix":""},{"dropping-particle":"","family":"Chizimu","given":"Joseph Yamweka","non-dropping-particle":"","parse-names":false,"suffix":""},{"dropping-particle":"","family":"Chanda","given":"Raphael","non-dropping-particle":"","parse-names":false,"suffix":""},{"dropping-particle":"","family":"Mpundu","given":"Mirfin","non-dropping-particle":"","parse-names":false,"suffix":""},{"dropping-particle":"","family":"Samutela","given":"Mulemba Tillika","non-dropping-particle":"","parse-names":false,"suffix":""},{"dropping-particle":"","family":"Chanda","given":"Duncan","non-dropping-particle":"","parse-names":false,"suffix":""},{"dropping-particle":"","family":"Mudenda","given":"Steward","non-dropping-particle":"","parse-names":false,"suffix":""},{"dropping-particle":"","family":"Finjika","given":"Misa","non-dropping-particle":"","parse-names":false,"suffix":""},{"dropping-particle":"","family":"Chansa","given":"Bweendo Nduna","non-dropping-particle":"","parse-names":false,"suffix":""},{"dropping-particle":"","family":"Siame","given":"Amon","non-dropping-particle":"","parse-names":false,"suffix":""},{"dropping-particle":"","family":"Mbewe","given":"Fanny","non-dropping-particle":"","parse-names":false,"suffix":""},{"dropping-particle":"","family":"Chakopo","given":"Moses","non-dropping-particle":"","parse-names":false,"suffix":""},{"dropping-particle":"","family":"Mukubesa","given":"Andrew","non-dropping-particle":"","parse-names":false,"suffix":""},{"dropping-particle":"","family":"Mukomena","given":"Patrice","non-dropping-particle":"","parse-names":false,"suffix":""},{"dropping-particle":"","family":"Bumbangi","given":"Flavien Nsoni","non-dropping-particle":"","parse-names":false,"suffix":""},{"dropping-particle":"","family":"Muma","given":"John Bwalya","non-dropping-particle":"","parse-names":false,"suffix":""}],"container-title":"Infection Prevention in Practice","id":"ITEM-9","issued":{"date-parts":[["2025","4","12"]]},"page":"100462","publisher":"Elsevier","title":"Antibiotic Resistance Profiles in Gram-negative Bacteria Causing Bloodstream and Urinary Tract Infections in Paediatric and Adult Patients in Ndola District, Zambia, 2020-2021","type":"article-journal"},"uris":["http://www.mendeley.com/documents/?uuid=6319b985-80b3-30ad-bae8-9605d597daf2"]}],"mendeley":{"formattedCitation":"[73–81]","plainTextFormattedCitation":"[73–81]","previouslyFormattedCitation":"[73–81]"},"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[73–81]</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Very few studies, however, have been conducted on the extent of IPC implementation in Zambian hospitals </w:t>
      </w:r>
      <w:r w:rsidRPr="003F4633">
        <w:rPr>
          <w:rFonts w:eastAsia="Times New Roman" w:cs="Times New Roman"/>
          <w:szCs w:val="24"/>
          <w:lang w:val="en" w:bidi="en-US"/>
        </w:rPr>
        <w:fldChar w:fldCharType="begin" w:fldLock="1"/>
      </w:r>
      <w:r w:rsidR="00EE7503">
        <w:rPr>
          <w:rFonts w:eastAsia="Times New Roman" w:cs="Times New Roman"/>
          <w:szCs w:val="24"/>
          <w:lang w:val="en" w:bidi="en-US"/>
        </w:rPr>
        <w:instrText>ADDIN CSL_CITATION {"citationItems":[{"id":"ITEM-1","itemData":{"DOI":"10.1017/ASH.2023.428","ISSN":"2732-494X","abstract":"Background:Infection prevention and control (IPC) measures are critical in preventing the risk of acquiring and transmitting nosocomial infections. In Zambia, there is little information concerning IPC practices among pharmacy students who are exposed to potentially infectious areas both in public and private healthcare settings. Therefore, this study assessed the knowledge, attitude, and practices of undergraduate pharmacy students toward infection prevention and control at the University of Zambia.Materials and methods:This cross-sectional study was conducted among 290 undergraduate pharmacy students at the University of Zambia using a structured questionnaire from August 2022 to October 2022. Data analysis was performed using SPSS version 25.0, and statistical significance was set at a 95% confidence level.Results:Of the 290 participants, 166(57.2%) were female and the majority were aged between 18 and 23 years. Overall, 252(86.9%) had good knowledge, 167(57.6%) had positive attitudes, and 248(85.5%) had good practices toward IPC measures. These results indicate lower attitude scores compared to knowledge and practices. Having good knowledge of IPC was associated with being a Christian by religion compared to other religions (OR = 5.314, 95% CI: 1.141–24.745). There was no association between sociodemographics and attitude and practice concerning IPC.Conclusion:This study found that pharmacy students had good knowledge, positive attitudes, and good practices toward IPC measures. Consequently, more emphasis is needed to improve the student’s knowledge, attitudes, and practices toward IPC, especially in areas where gaps were identified. Additionally, there is a need to improve curricula on IPC measures in the training of pharmacy programs.","author":[{"dropping-particle":"","family":"Mudenda","given":"Steward","non-dropping-particle":"","parse-names":false,"suffix":""},{"dropping-particle":"","family":"Chizimu","given":"Joseph","non-dropping-particle":"","parse-names":false,"suffix":""},{"dropping-particle":"","family":"Chabalenge","given":"Billy","non-dropping-particle":"","parse-names":false,"suffix":""},{"dropping-particle":"","family":"Kasanga","given":"Maisa","non-dropping-particle":"","parse-names":false,"suffix":""},{"dropping-particle":"","family":"Matafwali","given":"Scott Kaba","non-dropping-particle":"","parse-names":false,"suffix":""},{"dropping-particle":"","family":"Daka","given":"Victor","non-dropping-particle":"","parse-names":false,"suffix":""},{"dropping-particle":"","family":"Yamba","given":"Kaunda","non-dropping-particle":"","parse-names":false,"suffix":""},{"dropping-particle":"","family":"Mulomba","given":"Margret","non-dropping-particle":"","parse-names":false,"suffix":""},{"dropping-particle":"","family":"Mufwambi","given":"Webrod","non-dropping-particle":"","parse-names":false,"suffix":""},{"dropping-particle":"","family":"Katowa-Mukwato","given":"Patricia","non-dropping-particle":"","parse-names":false,"suffix":""},{"dropping-particle":"","family":"Godman","given":"Brian","non-dropping-particle":"","parse-names":false,"suffix":""}],"container-title":"Antimicrobial Stewardship &amp; Healthcare Epidemiology","id":"ITEM-1","issue":"1","issued":{"date-parts":[["2023","9","11"]]},"page":"e154","title":"Knowledge, attitude, and practices toward infection prevention and control among undergraduate pharmacy students in Zambia: findings and implications","type":"article-journal","volume":"3"},"uris":["http://www.mendeley.com/documents/?uuid=e9ea3009-54d7-3ba4-b41b-0d5c3eaff9b0"]},{"id":"ITEM-2","itemData":{"DOI":"10.4314/mjz.v35i3.46530","ISSN":"0047-651X","abstract":"Objective: To determine the level of health-care workers’ compliance with Infection Prevention Guidelines and identify factors that influence compliance at Ronald Ross General Hospital, Mufulira District. Methods: A quantitative study was carried out in 2007. Convenient sampling method was used. Data was obtained using a self administered interview schedule and an observation checklist. A total of 77 health care workers who included Doctors, Registered Midwives and Nurses, Enrolled Midwives and Nurses, clinical Officers, Laboratory Technicians and physiotherapists took part in the study. Additionally, 40 out of the 77 interviewed health workers were observed carrying out at least one procedure requiring compliance with the Infection Prevention (IP) guidelines. Results: The study revealed that, high compliance was associated with inclusion of Guidelines in the Curricular, high knowledge of infection prevention/ hospital acquired infections, positive attitude towards infection prevention and availability of materials for infection prevention. The study further reviewed revealed varied levels of compliance on different components of infection prevention. The highest level of compliance (100%) was with single use of needles and syringes while the lowest (35.1) was with decontamination of needles and syringes with 0.5% chlorine solution prior to disposal. Compliance with hand hygiene was moderate (61%). Conclusion: The study findings suggest a need for inclusion of Infection Prevention Guidelines in the health workers’ curricular, provision of in-service training in infection prevention protocols and improvements in the supply of materials for infection prevention.","author":[{"dropping-particle":"","family":"Mukwato","given":"KP","non-dropping-particle":"","parse-names":false,"suffix":""},{"dropping-particle":"","family":"Ngoma","given":"CM","non-dropping-particle":"","parse-names":false,"suffix":""},{"dropping-particle":"","family":"Maimbolwa","given":"M","non-dropping-particle":"","parse-names":false,"suffix":""}],"container-title":"Medical Journal of Zambia","id":"ITEM-2","issue":"3","issued":{"date-parts":[["2009","10","6"]]},"page":"110-116","publisher":"African Journals Online (AJOL)","title":"Compliance With Infection Prevention Guidelines By Health Care Workers at Ronald Ross General Hospital Mufulira District","type":"article-journal","volume":"35"},"uris":["http://www.mendeley.com/documents/?uuid=169e8b83-5053-4a2c-bfec-917795354e3e"]}],"mendeley":{"formattedCitation":"[82,83]","plainTextFormattedCitation":"[82,83]","previouslyFormattedCitation":"[82,83]"},"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[82,83]</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hence this study. Furthermore, the implementation of IPC programmes in Zambia faces significant challenges, including resource limitations, inadequate infrastructure, and varying levels of IPC knowledge among healthcare workers. Notwithstanding, the authorities in Zambia have made notable strides towards improving IPC practices at the national and facility levels as part of ongoing initiatives to tackle AMR in the country as part of the National Action Plan (NAP) for AMR </w:t>
      </w:r>
      <w:r w:rsidRPr="003F4633">
        <w:rPr>
          <w:rFonts w:eastAsia="Times New Roman" w:cs="Times New Roman"/>
          <w:szCs w:val="24"/>
          <w:lang w:val="en" w:bidi="en-US"/>
        </w:rPr>
        <w:fldChar w:fldCharType="begin" w:fldLock="1"/>
      </w:r>
      <w:r w:rsidR="005E406D">
        <w:rPr>
          <w:rFonts w:eastAsia="Times New Roman" w:cs="Times New Roman"/>
          <w:szCs w:val="24"/>
          <w:lang w:val="en" w:bidi="en-US"/>
        </w:rPr>
        <w:instrText>ADDIN CSL_CITATION {"citationItems":[{"id":"ITEM-1","itemData":{"ISBN":"978-9988-2-6655-4","author":[{"dropping-particle":"","family":"Zambia National Public Health Institute","given":"","non-dropping-particle":"","parse-names":false,"suffix":""}],"container-title":"Zambia National Public Health Institute","id":"ITEM-1","issued":{"date-parts":[["2017"]]},"number-of-pages":"1-79","title":"Multi-sectoral National Action Plan on Antimicrobial Resistance","type":"report"},"uris":["http://www.mendeley.com/documents/?uuid=e21b996e-71a6-3890-afc2-8f94796f8382"]}],"mendeley":{"formattedCitation":"[84]","plainTextFormattedCitation":"[84]","previouslyFormattedCitation":"[84]"},"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[84]</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w:t>
      </w:r>
    </w:p>
    <w:p w14:paraId="4C4445F6" w14:textId="360AF26A" w:rsidR="003F4633" w:rsidRPr="00E67B00" w:rsidRDefault="003F4633" w:rsidP="003F4633">
      <w:pPr>
        <w:spacing w:before="0" w:after="0" w:line="360" w:lineRule="auto"/>
        <w:jc w:val="both"/>
        <w:rPr>
          <w:rFonts w:eastAsia="Times New Roman" w:cs="Times New Roman"/>
          <w:szCs w:val="24"/>
          <w:lang w:val="en" w:bidi="en-US"/>
        </w:rPr>
      </w:pPr>
      <w:r w:rsidRPr="00E67B00">
        <w:rPr>
          <w:rFonts w:eastAsia="Times New Roman" w:cs="Times New Roman"/>
          <w:szCs w:val="24"/>
          <w:lang w:val="en" w:bidi="en-US"/>
        </w:rPr>
        <w:t xml:space="preserve">The adoption of tools like the IPCAF by the Antimicrobial Resistance Coordinating Committee (AMRCC) of the Zambia National Public Health Institute (ZNPHI) has the potential to further strengthen IPC programmes by providing a standardized mechanism to assess and improve practice. This is welcomed, given ongoing concerns regarding the excessive prescribing of antibiotics across different hospitals in Zambia </w:t>
      </w:r>
      <w:r w:rsidRPr="00E67B00">
        <w:rPr>
          <w:rFonts w:eastAsia="Times New Roman" w:cs="Times New Roman"/>
          <w:szCs w:val="24"/>
          <w:lang w:val="en" w:bidi="en-US"/>
        </w:rPr>
        <w:fldChar w:fldCharType="begin" w:fldLock="1"/>
      </w:r>
      <w:r w:rsidR="005E406D" w:rsidRPr="00E67B00">
        <w:rPr>
          <w:rFonts w:eastAsia="Times New Roman" w:cs="Times New Roman"/>
          <w:szCs w:val="24"/>
          <w:lang w:val="en" w:bidi="en-US"/>
        </w:rPr>
        <w:instrText>ADDIN CSL_CITATION {"citationItems":[{"id":"ITEM-1","itemData":{"DOI":"10.3390/ANTIBIOTICS11111626","ISSN":"2079-6382","abstract":"Introduction: There are increasing concerns with growing rates of antimicrobial resistance (AMR) across Africa, including in Zambia, enhanced by inappropriate utilization of antibiotics across the sectors. There is a need in hospitals to document current prescribing patterns via point prevalence surveys (PPS) alongside recognized indicators to improve future use. The findings can subsequently be used to develop and instigate appropriate antimicrobial stewardship programs (ASPs) to improve the quality of future antimicrobial prescribing across Zambia. This includes encouraging the prescribing of &amp;lsquo;Access&amp;rsquo; over &amp;lsquo;Watch&amp;rsquo; and &amp;lsquo;Reserve&amp;rsquo; antibiotics where pertinent. Methods: A PPS was undertaken using the WHO methodology among 10 first- and second-level public hospitals across the 10 provinces of Zambia. A sampling process was used to select the hospitals. Results: The prevalence of antibiotic use among the in-patients was 307/520 (59.0%), with a high rate of empiric prescribing of ceftriaxone at 36.1% of all antibiotics prescribed (193/534). The reason for antibiotic use was recorded in only 15.7% of occasions and directed treatment prescribed in only 3.0% of occasions. Compliance with the national standard treatment guidelines (STGs) was also low at only 27.0% of occasions. Conclusion: High empiric prescribing, limited documentation of the rationale behind antibiotic prescribing, high use of &amp;lsquo;Watch&amp;rsquo; antibiotics, and limited compliance to STGs among surveyed hospitals requires the urgent instigation of ASPs across Zambia to improve future prescribing.","author":[{"dropping-particle":"","family":"Kalungia","given":"Aubrey C.","non-dropping-particle":"","parse-names":false,"suffix":""},{"dropping-particle":"","family":"Mukosha","given":"Moses","non-dropping-particle":"","parse-names":false,"suffix":""},{"dropping-particle":"","family":"Mwila","given":"Chiluba","non-dropping-particle":"","parse-names":false,"suffix":""},{"dropping-particle":"","family":"Banda","given":"David","non-dropping-particle":"","parse-names":false,"suffix":""},{"dropping-particle":"","family":"Mwale","given":"Matthews","non-dropping-particle":"","parse-names":false,"suffix":""},{"dropping-particle":"","family":"Kagulura","given":"Solomon","non-dropping-particle":"","parse-names":false,"suffix":""},{"dropping-particle":"","family":"Ogunleye","given":"Olanyika O.","non-dropping-particle":"","parse-names":false,"suffix":""},{"dropping-particle":"","family":"Meyer","given":"Johanna C.","non-dropping-particle":"","parse-names":false,"suffix":""},{"dropping-particle":"","family":"Godman","given":"Brian","non-dropping-particle":"","parse-names":false,"suffix":""}],"container-title":"Antibiotics","id":"ITEM-1","issue":"11","issued":{"date-parts":[["2022","11","15"]]},"page":"1626","publisher":"Multidisciplinary Digital Publishing Institute","title":"Antibiotic Use and Stewardship Indicators in the First- and Second-Level Hospitals in Zambia: Findings and Implications for the Future","type":"article-journal","volume":"11"},"uris":["http://www.mendeley.com/documents/?uuid=607649eb-6114-31d0-ba3b-82b2dbb69393"]},{"id":"ITEM-2","itemData":{"DOI":"10.1093/JACAMR/DLAE023","ISSN":"2632-1823","abstract":"Background: Antimicrobial resistance (AMR) is a global public health problem that is fuelled by the inappropriate prescribing of antibiotics, especially those from the 'watch' and 'reserve' antibiotic lists. The irrational prescribing of antibiotics is particularly prevalent in developing countries, including Zambia. Consequently, there is a need to better understand prescribing patterns across sectors in Zambia as a basis for future interventions. This study evaluated the prescribing patterns of antibiotics using the WHO prescribing indicators alongside the 'access, watch and reserve' (AWaRe) classification system post-COVID pandemic at a faith-based hospital in Zambia. Methods: A cross-sectional study was conducted from August 2023 to October 2023 involving the review of medical records at St. Francis' Mission Hospital in Zambia. A WHO-validated tool was used to evaluate antibiotic prescribing patterns alongside the AWaRe classification tool. Results: Out of 800 medical records reviewed, 2003 medicines were prescribed. Each patient received an average of 2.5 medicines per prescription. Antibiotics were prescribed in 72.3% of encounters, of which 28.4% were injectable. The most frequently prescribed antibiotics were amoxicillin (23.4%-access), metronidazole (17.1%-access), ciprofloxacin (8%-watch) and ceftriaxone (7.4%-watch), with 77.1% overall from the 'access' list. Encouragingly, 96.5% of the medicines were prescribed by their generic names and 98% were from the Zambia Essential Medicines List. Conclusions: There were high rates of antibiotic prescribing, including injectable antibiotics, which needs addressing going forward. It is crucial to implement targeted measures, including antimicrobial stewardship programmes , to improve future antibiotic prescribing in Zambia and reduce the risk of AMR.","author":[{"dropping-particle":"","family":"Mudenda","given":"Steward","non-dropping-particle":"","parse-names":false,"suffix":""},{"dropping-particle":"","family":"Chilimboyi","given":"Robert","non-dropping-particle":"","parse-names":false,"suffix":""},{"dropping-particle":"","family":"Matafwali","given":"Scott Kaba","non-dropping-particle":"","parse-names":false,"suffix":""},{"dropping-particle":"","family":"Daka","given":"Victor","non-dropping-particle":"","parse-names":false,"suffix":""},{"dropping-particle":"","family":"Lindizyani Mfune","given":"Ruth","non-dropping-particle":"","parse-names":false,"suffix":""},{"dropping-particle":"","family":"Arielle","given":"Loriane","non-dropping-particle":"","parse-names":false,"suffix":""},{"dropping-particle":"","family":"Kemgne","given":"Mobou","non-dropping-particle":"","parse-names":false,"suffix":""},{"dropping-particle":"","family":"Bumbangi","given":"Flavien Nsoni","non-dropping-particle":"","parse-names":false,"suffix":""},{"dropping-particle":"","family":"Hangoma","given":"Jimmy","non-dropping-particle":"","parse-names":false,"suffix":""},{"dropping-particle":"","family":"Chabalenge","given":"Billy","non-dropping-particle":"","parse-names":false,"suffix":""},{"dropping-particle":"","family":"Mweetwa","given":"Larry","non-dropping-particle":"","parse-names":false,"suffix":""},{"dropping-particle":"","family":"Godman","given":"Brian","non-dropping-particle":"","parse-names":false,"suffix":""}],"container-title":"JAC-Antimicrobial Resistance","id":"ITEM-2","issue":"1","issued":{"date-parts":[["2024","12","28"]]},"page":"dlae023","publisher":"Oxford Academic","title":"Hospital prescribing patterns of antibiotics in Zambia using the WHO prescribing indicators post-COVID-19 pandemic: findings and implications","type":"article-journal","volume":"6"},"uris":["http://www.mendeley.com/documents/?uuid=e4ca899e-819a-379b-b5e9-e40fe00acb9f"]},{"id":"ITEM-3","itemData":{"DOI":"10.4236/PP.2022.1310029","ISSN":"2157-9423","abstract":"Introduction: Indiscriminate prescribing and using of antibiotics have led to the development of antimicrobial resistance (AMR). To reduce this problem, the World Health Organization (WHO) developed the “Access”, “Watch”, and “Reserve” (AWaRe) classification of antibiotics that promotes antimicrobial stewardship (AMS). In Zambia, there are gaps in practice regarding prescribing of antibiotics based on the AWaRe protocol. This study assessed antibiotic prescribing patterns in adult in-patients in selected primary healthcare hospitals in Lusaka, Zambia. Materials and Methods: This retrospective cross-sectional study was conducted using 388 patient medical files from September 2021 to November 2021, five primary healthcare hospitals namely; Chawama, Matero, Chilenje, Kanyama, and Chipata. Data analysis was performed using the Statistical Package for Social Sciences version 23. Results: Of the selected medical files, 52.3% (n = 203) were for male patients. Overall, the prevalence of antibiotic use was 82.5% (n = 320) which was higher than the WHO recommendation of a less than 30% threshold. The most prescribed antibiotic was ceftriaxone (20.3%), a Watch group antibiotic, followed by metronidazole (17.8%) and sulfamethoxazole/trimethoprim (16.3%), both belonging to the Access group. Furthermore, of the total antibiotics prescribed, 41.9% were prescribed without adhering to the standard treatment guidelines. Conclusion: This study found a high prescription of antibiotics (82.5%) that can be linked to non-adherence to the standard treatment guidelines in primary healthcare hospitals. The most prescribed antibiotic was ceftriaxone which belongs to the Watch group, raising a lot of concerns. There is a need for rational prescribing of antibiotics and implementation of AMS programs in healthcare facilities in Zambia, and this may promote surveillance of irrational prescribing and help reduce AMR in the future.","author":[{"dropping-particle":"","family":"Mudenda","given":"Steward","non-dropping-particle":"","parse-names":false,"suffix":""},{"dropping-particle":"","family":"Chomba","given":"Mary","non-dropping-particle":"","parse-names":false,"suffix":""},{"dropping-particle":"","family":"Chabalenge","given":"Billy","non-dropping-particle":"","parse-names":false,"suffix":""},{"dropping-particle":"","family":"Hikaambo","given":"Christabel Nang’andu","non-dropping-particle":"","parse-names":false,"suffix":""},{"dropping-particle":"","family":"Banda","given":"Michelo","non-dropping-particle":"","parse-names":false,"suffix":""},{"dropping-particle":"","family":"Daka","given":"Victor","non-dropping-particle":"","parse-names":false,"suffix":""},{"dropping-particle":"","family":"Zulu","given":"Annie","non-dropping-particle":"","parse-names":false,"suffix":""},{"dropping-particle":"","family":"Mukesela","given":"Abraham","non-dropping-particle":"","parse-names":false,"suffix":""},{"dropping-particle":"","family":"Kasonde","given":"Maxwell","non-dropping-particle":"","parse-names":false,"suffix":""},{"dropping-particle":"","family":"Lukonde","given":"Peter","non-dropping-particle":"","parse-names":false,"suffix":""},{"dropping-particle":"","family":"Chikatula","given":"Enock","non-dropping-particle":"","parse-names":false,"suffix":""},{"dropping-particle":"","family":"Matowe","given":"Lloyd","non-dropping-particle":"","parse-names":false,"suffix":""},{"dropping-particle":"","family":"Mutati","given":"Ronald Kampamba","non-dropping-particle":"","parse-names":false,"suffix":""},{"dropping-particle":"","family":"Muungo","given":"Tyson Lungwani","non-dropping-particle":"","parse-names":false,"suffix":""},{"dropping-particle":"","family":"Mudenda","given":"Tobela","non-dropping-particle":"","parse-names":false,"suffix":""},{"dropping-particle":"","family":"Mohamed","given":"Shafiq","non-dropping-particle":"","parse-names":false,"suffix":""},{"dropping-particle":"","family":"Matafwali","given":"Scott","non-dropping-particle":"","parse-names":false,"suffix":""}],"container-title":"Pharmacology &amp; Pharmacy","id":"ITEM-3","issue":"10","issued":{"date-parts":[["2022","10","10"]]},"page":"379-392","publisher":"Scientific Research Publishing","title":"Antibiotic Prescribing Patterns in Adult Patients According to the WHO AWaRe Classification: A Multi-Facility Cross-Sectional Study in Primary Healthcare Hospitals in Lusaka, Zambia","type":"article-journal","volume":"13"},"uris":["http://www.mendeley.com/documents/?uuid=cfeac740-6bc3-3db6-bc11-cc5b839913dc"]},{"id":"ITEM-4","itemData":{"DOI":"10.2147/IDR.S509522","ISSN":"1178-6973","author":[{"dropping-particle":"","family":"Mudenda","given":"Steward","non-dropping-particle":"","parse-names":false,"suffix":""},{"dropping-particle":"","family":"Lubanga","given":"Adriano Focus","non-dropping-particle":"","parse-names":false,"suffix":""},{"dropping-particle":"","family":"Jamshed","given":"Shazia","non-dropping-particle":"","parse-names":false,"suffix":""},{"dropping-particle":"","family":"Biemba","given":"Bibian","non-dropping-particle":"","parse-names":false,"suffix":""},{"dropping-particle":"","family":"Sakala","given":"Racheal","non-dropping-particle":"","parse-names":false,"suffix":""},{"dropping-particle":"","family":"Chiyabi","given":"Mervis","non-dropping-particle":"","parse-names":false,"suffix":""},{"dropping-particle":"","family":"Kavubya","given":"Lorraine","non-dropping-particle":"","parse-names":false,"suffix":""},{"dropping-particle":"","family":"Milambo","given":"Linda Twaambo","non-dropping-particle":"","parse-names":false,"suffix":""},{"dropping-particle":"","family":"Bumbangi","given":"Flavien Nsoni","non-dropping-particle":"","parse-names":false,"suffix":""},{"dropping-particle":"","family":"Chizimu","given":"Joseph Yamweka","non-dropping-particle":"","parse-names":false,"suffix":""},{"dropping-particle":"","family":"Yamba","given":"Kaunda","non-dropping-particle":"","parse-names":false,"suffix":""},{"dropping-particle":"","family":"Wesangula","given":"Evelyn","non-dropping-particle":"","parse-names":false,"suffix":""},{"dropping-particle":"","family":"Chigome","given":"Audrey","non-dropping-particle":"","parse-names":false,"suffix":""},{"dropping-particle":"","family":"Kalungia","given":"Aubrey Chichonyi","non-dropping-particle":"","parse-names":false,"suffix":""},{"dropping-particle":"","family":"Sefah","given":"Israel Abebrese","non-dropping-particle":"","parse-names":false,"suffix":""},{"dropping-particle":"","family":"Mustafa","given":"Zia UI","non-dropping-particle":"","parse-names":false,"suffix":""},{"dropping-particle":"","family":"Massele","given":"Amos Yared","non-dropping-particle":"","parse-names":false,"suffix":""},{"dropping-particle":"","family":"Saleem","given":"Zikria","non-dropping-particle":"","parse-names":false,"suffix":""},{"dropping-particle":"","family":"Mutemwa","given":"Richard","non-dropping-particle":"","parse-names":false,"suffix":""},{"dropping-particle":"","family":"Kazonga","given":"Eustarckio","non-dropping-particle":"","parse-names":false,"suffix":""},{"dropping-particle":"","family":"Sartelli","given":"Massimo","non-dropping-particle":"","parse-names":false,"suffix":""},{"dropping-particle":"","family":"Meyer","given":"Johanna Catharina","non-dropping-particle":"","parse-names":false,"suffix":""},{"dropping-particle":"","family":"Muma","given":"John Bwalya","non-dropping-particle":"","parse-names":false,"suffix":""},{"dropping-particle":"","family":"Chilengi","given":"Roma","non-dropping-particle":"","parse-names":false,"suffix":""},{"dropping-particle":"","family":"Godman","given":"Brian","non-dropping-particle":"","parse-names":false,"suffix":""}],"container-title":"Infection and Drug Resistance","id":"ITEM-4","issued":{"date-parts":[["2025","2","15"]]},"page":"887-902","publisher":"Dove Press","title":"Point Prevalence Survey of Antibiotic Use in Level 1 hospitals in Zambia: Future Prospects for Antimicrobial Stewardship Programs","type":"article-journal","volume":"18"},"uris":["http://www.mendeley.com/documents/?uuid=f62a28e2-ea07-3155-aa87-abd07136b1cc"]},{"id":"ITEM-5","itemData":{"DOI":"10.1093/JACAMR/DLAE170","ISSN":"2632-1823","author":[{"dropping-particle":"","family":"Chizimu","given":"Joseph Yamweka","non-dropping-particle":"","parse-names":false,"suffix":""},{"dropping-particle":"","family":"Mudenda","given":"Steward","non-dropping-particle":"","parse-names":false,"suffix":""},{"dropping-particle":"","family":"Yamba","given":"Kaunda","non-dropping-particle":"","parse-names":false,"suffix":""},{"dropping-particle":"","family":"Lukwesa","given":"Chileshe","non-dropping-particle":"","parse-names":false,"suffix":""},{"dropping-particle":"","family":"Chanda","given":"Raphael","non-dropping-particle":"","parse-names":false,"suffix":""},{"dropping-particle":"","family":"Nakazwe","given":"Ruth","non-dropping-particle":"","parse-names":false,"suffix":""},{"dropping-particle":"","family":"Shawa","given":"Misheck","non-dropping-particle":"","parse-names":false,"suffix":""},{"dropping-particle":"","family":"Chambaro","given":"Herman","non-dropping-particle":"","parse-names":false,"suffix":""},{"dropping-particle":"","family":"Kamboyi","given":"Harvey K","non-dropping-particle":"","parse-names":false,"suffix":""},{"dropping-particle":"","family":"Kalungia","given":"Aubrey Chichonyi","non-dropping-particle":"","parse-names":false,"suffix":""},{"dropping-particle":"","family":"Chanda","given":"Duncan","non-dropping-particle":"","parse-names":false,"suffix":""},{"dropping-particle":"","family":"Fwoloshi","given":"Sombo","non-dropping-particle":"","parse-names":false,"suffix":""},{"dropping-particle":"","family":"Jere","given":"Elimas","non-dropping-particle":"","parse-names":false,"suffix":""},{"dropping-particle":"","family":"Mufune","given":"Tiza","non-dropping-particle":"","parse-names":false,"suffix":""},{"dropping-particle":"","family":"Munkombwe","given":"Derick","non-dropping-particle":"","parse-names":false,"suffix":""},{"dropping-particle":"","family":"Lisulo","given":"Peter","non-dropping-particle":"","parse-names":false,"suffix":""},{"dropping-particle":"","family":"Mateele","given":"Tebuho","non-dropping-particle":"","parse-names":false,"suffix":""},{"dropping-particle":"","family":"Thapa","given":"Jeewan","non-dropping-particle":"","parse-names":false,"suffix":""},{"dropping-particle":"","family":"Kapolowe","given":"Kenneth","non-dropping-particle":"","parse-names":false,"suffix":""},{"dropping-particle":"","family":"Sinyange","given":"Nyambe","non-dropping-particle":"","parse-names":false,"suffix":""},{"dropping-particle":"","family":"Sialubanje","given":"Cephas","non-dropping-particle":"","parse-names":false,"suffix":""},{"dropping-particle":"","family":"Kapata","given":"Nathan","non-dropping-particle":"","parse-names":false,"suffix":""},{"dropping-particle":"","family":"Mpundu","given":"Mirfin","non-dropping-particle":"","parse-names":false,"suffix":""},{"dropping-particle":"","family":"Masaninga","given":"Freddie","non-dropping-particle":"","parse-names":false,"suffix":""},{"dropping-particle":"","family":"Azam","given":"Khalid","non-dropping-particle":"","parse-names":false,"suffix":""},{"dropping-particle":"","family":"Nakajima","given":"Chie","non-dropping-particle":"","parse-names":false,"suffix":""},{"dropping-particle":"","family":"Siyanga","given":"Makomani","non-dropping-particle":"","parse-names":false,"suffix":""},{"dropping-particle":"","family":"Bakyaita","given":"Nathan Nsubuga","non-dropping-particle":"","parse-names":false,"suffix":""},{"dropping-particle":"","family":"Wesangula","given":"Evelyn","non-dropping-particle":"","parse-names":false,"suffix":""},{"dropping-particle":"","family":"Matu","given":"Martin","non-dropping-particle":"","parse-names":false,"suffix":""},{"dropping-particle":"","family":"Suzuki","given":"Yasuhiko","non-dropping-particle":"","parse-names":false,"suffix":""},{"dropping-particle":"","family":"Chilengi","given":"Roma","non-dropping-particle":"","parse-names":false,"suffix":""}],"container-title":"JAC-Antimicrobial Resistance","id":"ITEM-5","issue":"5","issued":{"date-parts":[["2024","9","3"]]},"page":"dlae170","publisher":"Oxford Academic","title":"Antibiotic use and adherence to the WHO AWaRe guidelines across 16 hospitals in Zambia: a point prevalence survey","type":"article-journal","volume":"6"},"uris":["http://www.mendeley.com/documents/?uuid=7cf80548-3cd7-33ad-9697-a2341367a824"]},{"id":"ITEM-6","itemData":{"DOI":"10.31531/2581-3080.1000138","abstract":"The use of antimicrobial agents has become a routine practice for the treatment of paediatric illnesses. The uncontrolled use of antibiotics has caused a rise in antimicrobial resistance. This study aimed to assess the antibiotic prescribing patterns in paediatric patients at Levy Mwanawasa University Teaching Hospital in Lusaka, Zambia. This was a cross-sectional study conducted between April 2019 to July 2019. The study population included both in-patients and outpatients aged between one month and eighteen years whose medical files were reviewed. A sample size of 357 medical files was conveniently sampled. Statistical Package for Social Sciences version 21.0 was used for data analysis. A chi-square test was used to assess the association between categorical variables. A p&lt;0.05 was considered to be statistically significant at 95% confidence level. The majority of the medical files 230 (64.4%) were for paediatrics in the age group of 1 month to 5 years. Antibiotic prescribing was found to be 78.7%. The study revealed that 119 (33.3%) of patients required antibiotics and were on antibiotic treatment while 46 (12.9%) did not require antibiotics but were on antibiotic treatment. The most common diseases 147 (41.2%) were those affecting the respiratory system. The most commonly prescribed antibiotics were penicillins 154 (54.8%), followed by cephalosporins 88 (31.3%). The association between age, white blood cell count status, and system of illness with antibiotic use were statistically significant (χ 2 =15.083, p=0.001; χ 2 = 6.571, p=0.037 and χ 2 =27.717, p&lt;0.0001). The study also found that the frequency of antibiotic use was high among paediatric patients as per the World Health Organization's prescribing indicators. The most commonly prescribed antibiotics to paediatric patients were penicillins.","author":[{"dropping-particle":"","family":"Kalonga","given":"Judith","non-dropping-particle":"","parse-names":false,"suffix":""},{"dropping-particle":"","family":"Hangoma","given":"Jimmy","non-dropping-particle":"","parse-names":false,"suffix":""},{"dropping-particle":"","family":"Banda","given":"Michelo","non-dropping-particle":"","parse-names":false,"suffix":""},{"dropping-particle":"","family":"Munkombwe","given":"Derick","non-dropping-particle":"","parse-names":false,"suffix":""},{"dropping-particle":"","family":"Mudenda","given":"Steward","non-dropping-particle":"","parse-names":false,"suffix":""}],"container-title":"International Journal of Pharmaceutics &amp; Pharmacology","id":"ITEM-6","issue":"1","issued":{"date-parts":[["2020"]]},"page":"1-9","title":"Antibiotic Prescribing Patterns in Paediatric Patients at Levy Mwanawasa University Teaching Hospital in Lusaka, Zambia","type":"article-journal","volume":"4"},"uris":["http://www.mendeley.com/documents/?uuid=34b65d26-8d4a-304a-be0a-1d3b0a742792"]},{"id":"ITEM-7","itemData":{"DOI":"10.1371/journal.pone.0228555","ISBN":"1111111111","ISSN":"19326203","PMID":"32040513","abstract":"Antimicrobial resistance is a growing global health concern. Antimicrobial stewardship (AMS) curbs resistance rates by encouraging rational antimicrobial use. However, data on antimicrobial stewardship in developing countries is scarce. The objective of this study was to characterize antimicrobial use at the University Teaching Hospital (UTH) in Lusaka, Zambia as a guiding step in the development of an AMS program. This was a cross-sectional, observational study evaluating antimicrobial appropriateness and consumption in non-critically ill adult medicine patients admitted to UTH. Appropriateness was defined as a composite measure based upon daily chart review. Sixty percent (88/146) of all adult patients admitted to the general wards had at least one antimicrobial ordered and were included in this study. The most commonly treated infectious diseases were tuberculosis, pneumonia, and septicemia. Treatment of drug sensitive tuberculosis is standardized in a four-drug combination pill of rifampicin, isoniazid, pyrazinamide and ethambutol, therefore appropriateness of therapy was not further evaluated. The most common antimicrobials ordered were cefotaxime (n = 45), ceftriaxone (n = 28), and metronidazole (n = 14). Overall, 67% of antimicrobial orders were inappropriately prescribed to some extent, largely driven by incorrect dose or frequency in patients with renal dysfunction. Antimicrobial prescribing among hospitalized patients at UTH is common and there is room for optimization of a majority of antimicrobial orders. Availability of certain antimicrobials must be taken into consideration during AMS program development.","author":[{"dropping-particle":"","family":"Masich","given":"Anne M.","non-dropping-particle":"","parse-names":false,"suffix":""},{"dropping-particle":"","family":"Vega","given":"Ana D.","non-dropping-particle":"","parse-names":false,"suffix":""},{"dropping-particle":"","family":"Callahan","given":"Patricia","non-dropping-particle":"","parse-names":false,"suffix":""},{"dropping-particle":"","family":"Herbert","given":"Amber","non-dropping-particle":"","parse-names":false,"suffix":""},{"dropping-particle":"","family":"Fwoloshi","given":"Sombo","non-dropping-particle":"","parse-names":false,"suffix":""},{"dropping-particle":"","family":"Zulu","given":"Paul M.","non-dropping-particle":"","parse-names":false,"suffix":""},{"dropping-particle":"","family":"Chanda","given":"Duncan","non-dropping-particle":"","parse-names":false,"suffix":""},{"dropping-particle":"","family":"Chola","given":"Uchizi","non-dropping-particle":"","parse-names":false,"suffix":""},{"dropping-particle":"","family":"Mulenga","given":"Lloyd","non-dropping-particle":"","parse-names":false,"suffix":""},{"dropping-particle":"","family":"Hachaambwa","given":"Lottie","non-dropping-particle":"","parse-names":false,"suffix":""},{"dropping-particle":"","family":"Pandit","given":"Neha S.","non-dropping-particle":"","parse-names":false,"suffix":""},{"dropping-particle":"","family":"Heil","given":"Emily L.","non-dropping-particle":"","parse-names":false,"suffix":""},{"dropping-particle":"","family":"Claassen","given":"Cassidy W.","non-dropping-particle":"","parse-names":false,"suffix":""}],"container-title":"PLoS ONE","id":"ITEM-7","issue":"2","issued":{"date-parts":[["2020","2"]]},"page":"e0228555","publisher":"Public Library of Science","title":"Antimicrobial usage at a large teaching hospital in Lusaka, Zambia","type":"article-journal","volume":"15"},"uris":["http://www.mendeley.com/documents/?uuid=df5c430a-b9c8-4a51-bb97-8029f874b80a"]},{"id":"ITEM-8","itemData":{"DOI":"10.1371/JOURNAL.PONE.0302053","ISSN":"1932-6203","abstract":"Increased antimicrobial resistance (AMR) among bacteria underscores the need to strengthen AMR surveillance and promote data-based prescribing. To evaluate trends and associations between antimicrobial usage (AMU) and AMR, we explored a dataset of 34,672 bacterial isolates collected between 2015 and 2020 from clinical samples at the University Teaching Hospital (UTH) in Lusaka, Zambia. The most frequently isolated species were Escherichia coli (4,986/34,672; 14.4%), Staphylococcus aureus (3,941/34,672; 11.4%), and Klebsiella pneumoniae (3,796/34,672; 10.9%). Of the 16 drugs (eight classes) tested, only amikacin and imipenem showed good (&gt; 50%) antimicrobial activity against both E . coli and K . pneumoniae , while nitrofurantoin was effective only in E . coli . Furthermore, 38.8% (1,934/4,980) of E . coli and 52.4% (2,079/3,791) of K . pneumoniae isolates displayed multidrug resistance (MDR) patterns on antimicrobial susceptibility tests. Among S . aureus isolates, 44.6% (973/2,181) were classified as methicillin-resistant (MRSA). Notably, all the MRSA exhibited MDR patterns. The annual hospital AMR rates varied over time, while there was a weak positive relationship (r = 0.38, 95% CI = 0.11–0.60) between the monthly use of third-generation cephalosporins (3GCs) and 3GC resistance among Enterobacterales . Overall, the results revealed high AMR rates that fluctuated over time, with a weak positive relationship between 3GC use and resistance. To our knowledge, this is the first report to evaluate the association between AMU and AMR in Zambia. Our results highlight the need to strengthen antimicrobial stewardship programs and optimize AMU in hospital settings.","author":[{"dropping-particle":"","family":"Shawa","given":"Misheck","non-dropping-particle":"","parse-names":false,"suffix":""},{"dropping-particle":"","family":"Paudel","given":"Atmika","non-dropping-particle":"","parse-names":false,"suffix":""},{"dropping-particle":"","family":"Chambaro","given":"Herman","non-dropping-particle":"","parse-names":false,"suffix":""},{"dropping-particle":"","family":"Kamboyi","given":"Harvey","non-dropping-particle":"","parse-names":false,"suffix":""},{"dropping-particle":"","family":"Nakazwe","given":"Ruth","non-dropping-particle":"","parse-names":false,"suffix":""},{"dropping-particle":"","family":"Alutuli","given":"Luke","non-dropping-particle":"","parse-names":false,"suffix":""},{"dropping-particle":"","family":"Zorigt","given":"Tuvshinzaya","non-dropping-particle":"","parse-names":false,"suffix":""},{"dropping-particle":"","family":"Sinyawa","given":"Taona","non-dropping-particle":"","parse-names":false,"suffix":""},{"dropping-particle":"","family":"Samutela","given":"Mulemba","non-dropping-particle":"","parse-names":false,"suffix":""},{"dropping-particle":"","family":"Chizimu","given":"Joseph","non-dropping-particle":"","parse-names":false,"suffix":""},{"dropping-particle":"","family":"Simbotwe","given":"Manyando","non-dropping-particle":"","parse-names":false,"suffix":""},{"dropping-particle":"","family":"Hayashida","given":"Kyoko","non-dropping-particle":"","parse-names":false,"suffix":""},{"dropping-particle":"","family":"Nao","given":"Naganori","non-dropping-particle":"","parse-names":false,"suffix":""},{"dropping-particle":"","family":"Kajihara","given":"Masahiro","non-dropping-particle":"","parse-names":false,"suffix":""},{"dropping-particle":"","family":"Furuta","given":"Yoshikazu","non-dropping-particle":"","parse-names":false,"suffix":""},{"dropping-particle":"","family":"Suzuki","given":"Yasuhiko","non-dropping-particle":"","parse-names":false,"suffix":""},{"dropping-particle":"","family":"Sawa","given":"Hirofumi","non-dropping-particle":"","parse-names":false,"suffix":""},{"dropping-particle":"","family":"Hang’ombe","given":"Bernard","non-dropping-particle":"","parse-names":false,"suffix":""},{"dropping-particle":"","family":"Higashi","given":"Hideaki","non-dropping-particle":"","parse-names":false,"suffix":""}],"container-title":"PLOS ONE","editor":[{"dropping-particle":"","family":"Ahmed","given":"Mohamed O.","non-dropping-particle":"","parse-names":false,"suffix":""}],"id":"ITEM-8","issue":"4","issued":{"date-parts":[["2024","4","16"]]},"page":"e0302053","publisher":"Public Library of Science","title":"Trends, patterns and relationship of antimicrobial use and resistance in bacterial isolates tested between 2015–2020 in a national referral hospital of Zambia","type":"article-journal","volume":"19"},"uris":["http://www.mendeley.com/documents/?uuid=64be386a-3e2d-34fc-857f-45a4b6e86723"]},{"id":"ITEM-9","itemData":{"DOI":"10.4236/PP.2025.161001","ISSN":"2157-9423","abstract":"Background: The irrational use of medicines remains a key health problem in many developing countries. The overuse of antibiotics is a key driver of antimicrobial resistance (AMR). This study surveyed antibiotic use and adherence to the World Health Organization (WHO) prescribing indicators at the Request Muntanga Hospital in the Kalomo District of Southern Province, Zambia. Materials and Methods: This cross-sectional study was conducted from July 2023 to September 2023 at Request Muntanga Hospital in Zambia and reviewed 600 medical record prescriptions which were issued from July 1, 2022 to June 30, 2023 using the WHO prescribing indicators. The collected data were analyzed using Statistical Package for Social Sciences version 23.0. Results: From the 600 prescriptions sampled, 1246 medicines were prescribed, with antibiotics making up 86.7% of the encounters. Additionally, the average number of drugs prescribed per encounter was 2.1 and the prevalence of polypharmacy was 61.3%. Further, 17.8% of medicines were prescribed as injectables. Furthermore, 76.7% of the drugs were prescribed from the Zambia Essential Medicines List and 38.9% by generic names. Conclusions: This study found a high use of antibiotics and deviations from the WHO/International Network of Rational Use of Drugs (INRUD) core prescribing indicators at the Request Muntanga Hospital indicating non-adherence to the prescribing indicators. There is a need to promote adherence to the WHO/INRUD core prescribing indicators to promote the rational use of antibiotics and prevent the emergence and spread of AMR.","author":[{"dropping-particle":"","family":"Mudenda","given":"Steward","non-dropping-particle":"","parse-names":false,"suffix":""},{"dropping-particle":"","family":"Simbaya","given":"Ronald","non-dropping-particle":"","parse-names":false,"suffix":""},{"dropping-particle":"","family":"Moonga","given":"Given","non-dropping-particle":"","parse-names":false,"suffix":""},{"dropping-particle":"","family":"Mwaba","given":"Florence","non-dropping-particle":"","parse-names":false,"suffix":""},{"dropping-particle":"","family":"Zulu","given":"Mildred","non-dropping-particle":"","parse-names":false,"suffix":""},{"dropping-particle":"","family":"Tembo","given":"Rabecca","non-dropping-particle":"","parse-names":false,"suffix":""},{"dropping-particle":"","family":"Chiyangi","given":"Harriet K.","non-dropping-particle":"","parse-names":false,"suffix":""},{"dropping-particle":"","family":"Vlahakis","given":"Pipina","non-dropping-particle":"","parse-names":false,"suffix":""},{"dropping-particle":"","family":"Mohamed","given":"Shafiq","non-dropping-particle":"","parse-names":false,"suffix":""},{"dropping-particle":"","family":"Lubanga","given":"Adriano Focus","non-dropping-particle":"","parse-names":false,"suffix":""},{"dropping-particle":"","family":"Kanaan","given":"Manal Hadi Ghaffoori","non-dropping-particle":"","parse-names":false,"suffix":""},{"dropping-particle":"","family":"Kasanga","given":"Maisa","non-dropping-particle":"","parse-names":false,"suffix":""},{"dropping-particle":"","family":"Muzondo","given":"Ngoni Veddie","non-dropping-particle":"","parse-names":false,"suffix":""},{"dropping-particle":"","family":"Mugenyi","given":"Nathan","non-dropping-particle":"","parse-names":false,"suffix":""},{"dropping-particle":"","family":"Mufwambi","given":"Webrod","non-dropping-particle":"","parse-names":false,"suffix":""},{"dropping-particle":"","family":"Mudenda","given":"Steward","non-dropping-particle":"","parse-names":false,"suffix":""},{"dropping-particle":"","family":"Simbaya","given":"Ronald","non-dropping-particle":"","parse-names":false,"suffix":""},{"dropping-particle":"","family":"Moonga","given":"Given","non-dropping-particle":"","parse-names":false,"suffix":""},{"dropping-particle":"","family":"Mwaba","given":"Florence","non-dropping-particle":"","parse-names":false,"suffix":""},{"dropping-particle":"","family":"Zulu","given":"Mildred","non-dropping-particle":"","parse-names":false,"suffix":""},{"dropping-particle":"","family":"Tembo","given":"Rabecca","non-dropping-particle":"","parse-names":false,"suffix":""},{"dropping-particle":"","family":"Chiyangi","given":"Harriet K.","non-dropping-particle":"","parse-names":false,"suffix":""},{"dropping-particle":"","family":"Vlahakis","given":"Pipina","non-dropping-particle":"","parse-names":false,"suffix":""},{"dropping-particle":"","family":"Mohamed","given":"Shafiq","non-dropping-particle":"","parse-names":false,"suffix":""},{"dropping-particle":"","family":"Lubanga","given":"Adriano Focus","non-dropping-particle":"","parse-names":false,"suffix":""},{"dropping-particle":"","family":"Kanaan","given":"Manal Hadi Ghaffoori","non-dropping-particle":"","parse-names":false,"suffix":""},{"dropping-particle":"","family":"Kasanga","given":"Maisa","non-dropping-particle":"","parse-names":false,"suffix":""},{"dropping-particle":"","family":"Muzondo","given":"Ngoni Veddie","non-dropping-particle":"","parse-names":false,"suffix":""},{"dropping-particle":"","family":"Mugenyi","given":"Nathan","non-dropping-particle":"","parse-names":false,"suffix":""},{"dropping-particle":"","family":"Mufwambi","given":"Webrod","non-dropping-particle":"","parse-names":false,"suffix":""}],"container-title":"Pharmacology &amp; Pharmacy","id":"ITEM-9","issue":"1","issued":{"date-parts":[["2025","1","6"]]},"page":"1-19","publisher":"Scientific Research Publishing","title":"Surveillance of Antibiotic Use and Adherence to the WHO/INRUD Core Prescribing Indicators at a Primary Healthcare Hospital in Southern Zambia: Opportunities for Antimicrobial Stewardship Programs","type":"article-journal","volume":"16"},"uris":["http://www.mendeley.com/documents/?uuid=c8c07111-8860-3c2e-987c-933b4006bc9c"]}],"mendeley":{"formattedCitation":"[85–93]","plainTextFormattedCitation":"[85–93]","previouslyFormattedCitation":"[85–93]"},"properties":{"noteIndex":0},"schema":"https://github.com/citation-style-language/schema/raw/master/csl-citation.json"}</w:instrText>
      </w:r>
      <w:r w:rsidRPr="00E67B00">
        <w:rPr>
          <w:rFonts w:eastAsia="Times New Roman" w:cs="Times New Roman"/>
          <w:szCs w:val="24"/>
          <w:lang w:val="en" w:bidi="en-US"/>
        </w:rPr>
        <w:fldChar w:fldCharType="separate"/>
      </w:r>
      <w:r w:rsidR="001E7355" w:rsidRPr="00E67B00">
        <w:rPr>
          <w:rFonts w:eastAsia="Times New Roman" w:cs="Times New Roman"/>
          <w:noProof/>
          <w:szCs w:val="24"/>
          <w:lang w:val="en" w:bidi="en-US"/>
        </w:rPr>
        <w:t>[85–93]</w:t>
      </w:r>
      <w:r w:rsidRPr="00E67B00">
        <w:rPr>
          <w:rFonts w:eastAsia="Times New Roman" w:cs="Times New Roman"/>
          <w:szCs w:val="24"/>
          <w:lang w:val="en"/>
        </w:rPr>
        <w:fldChar w:fldCharType="end"/>
      </w:r>
      <w:r w:rsidRPr="00E67B00">
        <w:rPr>
          <w:rFonts w:eastAsia="Times New Roman" w:cs="Times New Roman"/>
          <w:szCs w:val="24"/>
          <w:lang w:val="en" w:bidi="en-US"/>
        </w:rPr>
        <w:t xml:space="preserve">. This study assessed the level and extent of IPC implementation in nine hospitals across Zambia. The findings of this study </w:t>
      </w:r>
      <w:r w:rsidR="00756AF4" w:rsidRPr="00E67B00">
        <w:rPr>
          <w:rFonts w:eastAsia="Times New Roman" w:cs="Times New Roman"/>
          <w:szCs w:val="24"/>
          <w:lang w:val="en" w:bidi="en-US"/>
        </w:rPr>
        <w:t xml:space="preserve">will inform </w:t>
      </w:r>
      <w:r w:rsidRPr="00E67B00">
        <w:rPr>
          <w:rFonts w:eastAsia="Times New Roman" w:cs="Times New Roman"/>
          <w:szCs w:val="24"/>
          <w:lang w:val="en" w:bidi="en-US"/>
        </w:rPr>
        <w:t xml:space="preserve">the status of objective number three of the NAP and future directions towards preventing the occurrence of infections and AMR in Zambia </w:t>
      </w:r>
      <w:r w:rsidRPr="00E67B00">
        <w:rPr>
          <w:rFonts w:eastAsia="Times New Roman" w:cs="Times New Roman"/>
          <w:szCs w:val="24"/>
          <w:lang w:val="en" w:bidi="en-US"/>
        </w:rPr>
        <w:fldChar w:fldCharType="begin" w:fldLock="1"/>
      </w:r>
      <w:r w:rsidR="005E406D" w:rsidRPr="00E67B00">
        <w:rPr>
          <w:rFonts w:eastAsia="Times New Roman" w:cs="Times New Roman"/>
          <w:szCs w:val="24"/>
          <w:lang w:val="en" w:bidi="en-US"/>
        </w:rPr>
        <w:instrText>ADDIN CSL_CITATION {"citationItems":[{"id":"ITEM-1","itemData":{"ISBN":"978-9988-2-6655-4","author":[{"dropping-particle":"","family":"Zambia National Public Health Institute","given":"","non-dropping-particle":"","parse-names":false,"suffix":""}],"container-title":"Zambia National Public Health Institute","id":"ITEM-1","issued":{"date-parts":[["2017"]]},"number-of-pages":"1-79","title":"Multi-sectoral National Action Plan on Antimicrobial Resistance","type":"report"},"uris":["http://www.mendeley.com/documents/?uuid=e21b996e-71a6-3890-afc2-8f94796f8382"]}],"mendeley":{"formattedCitation":"[84]","plainTextFormattedCitation":"[84]","previouslyFormattedCitation":"[84]"},"properties":{"noteIndex":0},"schema":"https://github.com/citation-style-language/schema/raw/master/csl-citation.json"}</w:instrText>
      </w:r>
      <w:r w:rsidRPr="00E67B00">
        <w:rPr>
          <w:rFonts w:eastAsia="Times New Roman" w:cs="Times New Roman"/>
          <w:szCs w:val="24"/>
          <w:lang w:val="en" w:bidi="en-US"/>
        </w:rPr>
        <w:fldChar w:fldCharType="separate"/>
      </w:r>
      <w:r w:rsidR="001E7355" w:rsidRPr="00E67B00">
        <w:rPr>
          <w:rFonts w:eastAsia="Times New Roman" w:cs="Times New Roman"/>
          <w:noProof/>
          <w:szCs w:val="24"/>
          <w:lang w:val="en" w:bidi="en-US"/>
        </w:rPr>
        <w:t>[84]</w:t>
      </w:r>
      <w:r w:rsidRPr="00E67B00">
        <w:rPr>
          <w:rFonts w:eastAsia="Times New Roman" w:cs="Times New Roman"/>
          <w:szCs w:val="24"/>
          <w:lang w:val="en"/>
        </w:rPr>
        <w:fldChar w:fldCharType="end"/>
      </w:r>
      <w:r w:rsidRPr="00E67B00">
        <w:rPr>
          <w:rFonts w:eastAsia="Times New Roman" w:cs="Times New Roman"/>
          <w:szCs w:val="24"/>
          <w:lang w:val="en" w:bidi="en-US"/>
        </w:rPr>
        <w:t>.</w:t>
      </w:r>
    </w:p>
    <w:p w14:paraId="735E9FAE" w14:textId="77777777" w:rsidR="003F4633" w:rsidRPr="00E67B00" w:rsidRDefault="003F4633" w:rsidP="003F4633">
      <w:pPr>
        <w:spacing w:before="0" w:after="0" w:line="360" w:lineRule="auto"/>
        <w:jc w:val="both"/>
        <w:rPr>
          <w:rFonts w:eastAsia="Times New Roman" w:cs="Times New Roman"/>
          <w:szCs w:val="24"/>
          <w:lang w:val="en" w:bidi="en-US"/>
        </w:rPr>
      </w:pPr>
    </w:p>
    <w:p w14:paraId="049868CD" w14:textId="77777777" w:rsidR="003F4633" w:rsidRPr="00E67B00" w:rsidRDefault="003F4633" w:rsidP="003F4633">
      <w:pPr>
        <w:spacing w:before="0" w:after="0" w:line="360" w:lineRule="auto"/>
        <w:jc w:val="both"/>
        <w:rPr>
          <w:rFonts w:eastAsia="Times New Roman" w:cs="Times New Roman"/>
          <w:b/>
          <w:szCs w:val="24"/>
          <w:lang w:val="en" w:bidi="en-US"/>
        </w:rPr>
      </w:pPr>
      <w:r w:rsidRPr="00E67B00">
        <w:rPr>
          <w:rFonts w:eastAsia="Times New Roman" w:cs="Times New Roman"/>
          <w:b/>
          <w:szCs w:val="24"/>
          <w:lang w:val="en" w:bidi="en-US"/>
        </w:rPr>
        <w:t>Materials and Methods</w:t>
      </w:r>
    </w:p>
    <w:p w14:paraId="65F92509" w14:textId="08AFE7B3" w:rsidR="003F4633" w:rsidRPr="00E67B00" w:rsidRDefault="003F4633" w:rsidP="003F4633">
      <w:pPr>
        <w:spacing w:before="0" w:after="0" w:line="360" w:lineRule="auto"/>
        <w:jc w:val="both"/>
        <w:rPr>
          <w:rFonts w:eastAsia="Times New Roman" w:cs="Times New Roman"/>
          <w:b/>
          <w:szCs w:val="24"/>
          <w:lang w:val="en" w:bidi="en-US"/>
        </w:rPr>
      </w:pPr>
      <w:r w:rsidRPr="00E67B00">
        <w:rPr>
          <w:rFonts w:eastAsia="Times New Roman" w:cs="Times New Roman"/>
          <w:b/>
          <w:szCs w:val="24"/>
          <w:lang w:val="en" w:bidi="en-US"/>
        </w:rPr>
        <w:t>Study design, setting and population</w:t>
      </w:r>
    </w:p>
    <w:p w14:paraId="220EBCB0" w14:textId="2FFBBE3E" w:rsidR="003F4633" w:rsidRPr="00E67B00" w:rsidRDefault="003F4633" w:rsidP="003F4633">
      <w:pPr>
        <w:spacing w:before="0" w:after="0" w:line="360" w:lineRule="auto"/>
        <w:jc w:val="both"/>
        <w:rPr>
          <w:rFonts w:eastAsia="Times New Roman" w:cs="Times New Roman"/>
          <w:szCs w:val="24"/>
          <w:lang w:val="en" w:bidi="en-US"/>
        </w:rPr>
      </w:pPr>
      <w:r w:rsidRPr="00E67B00">
        <w:rPr>
          <w:rFonts w:eastAsia="Times New Roman" w:cs="Times New Roman"/>
          <w:szCs w:val="24"/>
          <w:lang w:val="en" w:bidi="en-US"/>
        </w:rPr>
        <w:t xml:space="preserve">A self-reporting, descriptive </w:t>
      </w:r>
      <w:r w:rsidR="00756AF4" w:rsidRPr="00E67B00">
        <w:rPr>
          <w:rFonts w:eastAsia="Times New Roman" w:cs="Times New Roman"/>
          <w:szCs w:val="24"/>
          <w:lang w:val="en" w:bidi="en-US"/>
        </w:rPr>
        <w:t xml:space="preserve">multicentric </w:t>
      </w:r>
      <w:r w:rsidRPr="00E67B00">
        <w:rPr>
          <w:rFonts w:eastAsia="Times New Roman" w:cs="Times New Roman"/>
          <w:szCs w:val="24"/>
          <w:lang w:val="en" w:bidi="en-US"/>
        </w:rPr>
        <w:t>cross-sectional survey was conducted to assess the IPC situation in hospitals in Zambia against the WHO minimum requirements for IPC programmes. The study was conducted from September 1 to 30, 2024 and included nine hospitals, out of which five were second</w:t>
      </w:r>
      <w:r w:rsidR="00D003A9" w:rsidRPr="00E67B00">
        <w:rPr>
          <w:rFonts w:eastAsia="Times New Roman" w:cs="Times New Roman"/>
          <w:szCs w:val="24"/>
          <w:lang w:val="en" w:bidi="en-US"/>
        </w:rPr>
        <w:t>ary</w:t>
      </w:r>
      <w:r w:rsidRPr="00E67B00">
        <w:rPr>
          <w:rFonts w:eastAsia="Times New Roman" w:cs="Times New Roman"/>
          <w:szCs w:val="24"/>
          <w:lang w:val="en" w:bidi="en-US"/>
        </w:rPr>
        <w:t>-level public hospitals namely CGH, KGH, LGH, MGH, and SGH, respectively, and four were tertiary-level ADCH, CCH, LUTH, and NTH, respectively (Figure 1). In Zambia, Second</w:t>
      </w:r>
      <w:r w:rsidR="00D003A9" w:rsidRPr="00E67B00">
        <w:rPr>
          <w:rFonts w:eastAsia="Times New Roman" w:cs="Times New Roman"/>
          <w:szCs w:val="24"/>
          <w:lang w:val="en" w:bidi="en-US"/>
        </w:rPr>
        <w:t>ary</w:t>
      </w:r>
      <w:r w:rsidRPr="00E67B00">
        <w:rPr>
          <w:rFonts w:eastAsia="Times New Roman" w:cs="Times New Roman"/>
          <w:szCs w:val="24"/>
          <w:lang w:val="en" w:bidi="en-US"/>
        </w:rPr>
        <w:t>-Level Hospitals, on the one hand, provide specialized referral services for areas of internal medicine, general surgery, paediatrics, obstetrics and gynaecology, dentistry, psychiatry, and intensive care services. They are intended to serve a population range between 200,000 and 800,000, including referral patients from First-Level Hospitals. On the other hand, Tertiary-Level Hospitals provide medical services in internal medicine, surgery, paediatrics, obstetrics, gynaecology, intensive care, and psychiatry, including health training and research. These hospitals are intended to serve a population of 800,000, including referrals from Second</w:t>
      </w:r>
      <w:r w:rsidR="00D003A9" w:rsidRPr="00E67B00">
        <w:rPr>
          <w:rFonts w:eastAsia="Times New Roman" w:cs="Times New Roman"/>
          <w:szCs w:val="24"/>
          <w:lang w:val="en" w:bidi="en-US"/>
        </w:rPr>
        <w:t>ary</w:t>
      </w:r>
      <w:r w:rsidRPr="00E67B00">
        <w:rPr>
          <w:rFonts w:eastAsia="Times New Roman" w:cs="Times New Roman"/>
          <w:szCs w:val="24"/>
          <w:lang w:val="en" w:bidi="en-US"/>
        </w:rPr>
        <w:t>-Level Hospitals. </w:t>
      </w:r>
      <w:r w:rsidR="00CA4F44" w:rsidRPr="00E67B00">
        <w:rPr>
          <w:rFonts w:eastAsia="Times New Roman" w:cs="Times New Roman"/>
          <w:szCs w:val="24"/>
          <w:lang w:val="en" w:bidi="en-US"/>
        </w:rPr>
        <w:t xml:space="preserve"> </w:t>
      </w:r>
      <w:r w:rsidRPr="00E67B00">
        <w:rPr>
          <w:rFonts w:eastAsia="Times New Roman" w:cs="Times New Roman"/>
          <w:szCs w:val="24"/>
          <w:lang w:val="en" w:bidi="en-US"/>
        </w:rPr>
        <w:t xml:space="preserve">The hospitals were selected using a purposive sampling method as they were implementing antimicrobial stewardship (AMS) programs to promote the rational use of antimicrobials, as reported in previous studies </w:t>
      </w:r>
      <w:r w:rsidRPr="00E67B00">
        <w:rPr>
          <w:rFonts w:eastAsia="Times New Roman" w:cs="Times New Roman"/>
          <w:szCs w:val="24"/>
          <w:lang w:val="en" w:bidi="en-US"/>
        </w:rPr>
        <w:fldChar w:fldCharType="begin" w:fldLock="1"/>
      </w:r>
      <w:r w:rsidR="005E406D" w:rsidRPr="00E67B00">
        <w:rPr>
          <w:rFonts w:eastAsia="Times New Roman" w:cs="Times New Roman"/>
          <w:szCs w:val="24"/>
          <w:lang w:val="en" w:bidi="en-US"/>
        </w:rPr>
        <w:instrText>ADDIN CSL_CITATION {"citationItems":[{"id":"ITEM-1","itemData":{"DOI":"10.1093/JACAMR/DLAE178","ISSN":"2632-1823","author":[{"dropping-particle":"","family":"Kalungia","given":"Aubrey Chichonyi","non-dropping-particle":"","parse-names":false,"suffix":""},{"dropping-particle":"","family":"Kampamba","given":"Martin","non-dropping-particle":"","parse-names":false,"suffix":""},{"dropping-particle":"","family":"Banda","given":"David","non-dropping-particle":"","parse-names":false,"suffix":""},{"dropping-particle":"","family":"Bambala","given":"Andrew Munkuli","non-dropping-particle":"","parse-names":false,"suffix":""},{"dropping-particle":"","family":"Marshall","given":"Sarah","non-dropping-particle":"","parse-names":false,"suffix":""},{"dropping-particle":"","family":"Newport","given":"Melanie","non-dropping-particle":"","parse-names":false,"suffix":""},{"dropping-particle":"","family":"Clair-Jones","given":"Anja St","non-dropping-particle":"","parse-names":false,"suffix":""},{"dropping-particle":"","family":"Alutuli","given":"Luke","non-dropping-particle":"","parse-names":false,"suffix":""},{"dropping-particle":"","family":"Chambula","given":"Elias","non-dropping-particle":"","parse-names":false,"suffix":""},{"dropping-particle":"","family":"Munsaka","given":"Lucky","non-dropping-particle":"","parse-names":false,"suffix":""},{"dropping-particle":"","family":"Hamachila","given":"Audrey","non-dropping-particle":"","parse-names":false,"suffix":""},{"dropping-particle":"","family":"Mwila","given":"Chiluba","non-dropping-particle":"","parse-names":false,"suffix":""},{"dropping-particle":"","family":"Chanda","given":"Duncan","non-dropping-particle":"","parse-names":false,"suffix":""},{"dropping-particle":"","family":"Chizimu","given":"Joseph","non-dropping-particle":"","parse-names":false,"suffix":""},{"dropping-particle":"","family":"Chilengi","given":"Roma","non-dropping-particle":"","parse-names":false,"suffix":""},{"dropping-particle":"","family":"Okorie","given":"Michael","non-dropping-particle":"","parse-names":false,"suffix":""}],"container-title":"JAC-Antimicrobial Resistance","id":"ITEM-1","issue":"6","issued":{"date-parts":[["2024","10","30"]]},"page":"dlae178","publisher":"Oxford Academic","title":"Impact of a hub-and-spoke approach to hospital antimicrobial stewardship programmes on antibiotic use in Zambia","type":"article-journal","volume":"6"},"uris":["http://www.mendeley.com/documents/?uuid=ee320ff5-ef54-3891-9911-93ca4c63c052"]},{"id":"ITEM-2","itemData":{"DOI":"10.3389/FPUBH.2024.1367703","ISSN":"2296-2565","abstract":"Antimicrobial stewardship (AMS) programs are critical in combating antimicrobial resistance (AMR). In Zambia, there is little information regarding the capacity of hospitals to establish and implement AMS programs. The objective of this study was to conduct a baseline assessment of WHO core elements for an AMS program implementation in eight hospitals in Zambia.Materials and methods: We conducted an exploratory cross-sectional study from September 2023 to December 2023 using a self-scoring Periodic National and Healthcare Facility Assessment Tool from the World Health Organization (WHO) policy guidance on integrated AMS activities in human health. Eight public hospitals were surveyed across the five provinces of Zambia. Data was analyzed using the WHO self-scoring tool and thematic analysis. Overall, 62.5% (6/8) of the facilities scored low (below 60%) in implementing AMS programs. Most facilities had challenges with reporting AMS feedback within the hospital (average score = 46%), Drugs and Therapeutics Committee (DTC) functionality (average score = 49%), AMS actions (average score = 50%), education and training (average score = 54%), and leadership commitment to AMS activities (average score = 56%). The overall score for all AMS core elements was average (56%). All the hospitals (100%) did not have an allocated budget for AMS programs. Finally, there were neither antibiograms to guide antimicrobial utilization nor AMS-trained staff in more than 50% of the hospitals surveyed. This study found low AMS implementation in these public hospitals, especially where DTCs were non-functional. The identified challenges and gaps require urgent attention for sustainable multidisciplinary AMS programs.","author":[{"dropping-particle":"","family":"Chizimu","given":"Joseph Yamweka","non-dropping-particle":"","parse-names":false,"suffix":""},{"dropping-particle":"","family":"Mudenda","given":"Steward","non-dropping-particle":"","parse-names":false,"suffix":""},{"dropping-particle":"","family":"Yamba","given":"Kaunda","non-dropping-particle":"","parse-names":false,"suffix":""},{"dropping-particle":"","family":"Lukwesa","given":"Chileshe","non-dropping-particle":"","parse-names":false,"suffix":""},{"dropping-particle":"","family":"Chanda","given":"Raphael","non-dropping-particle":"","parse-names":false,"suffix":""},{"dropping-particle":"","family":"Nakazwe","given":"Ruth","non-dropping-particle":"","parse-names":false,"suffix":""},{"dropping-particle":"","family":"Simunyola","given":"Bwalya","non-dropping-particle":"","parse-names":false,"suffix":""},{"dropping-particle":"","family":"Shawa","given":"Misheck","non-dropping-particle":"","parse-names":false,"suffix":""},{"dropping-particle":"","family":"Kalungia","given":"Aubrey Chichonyi","non-dropping-particle":"","parse-names":false,"suffix":""},{"dropping-particle":"","family":"Chanda","given":"Duncan","non-dropping-particle":"","parse-names":false,"suffix":""},{"dropping-particle":"","family":"Chola","given":"Uchizi","non-dropping-particle":"","parse-names":false,"suffix":""},{"dropping-particle":"","family":"Mateele","given":"Tebuho","non-dropping-particle":"","parse-names":false,"suffix":""},{"dropping-particle":"","family":"Thapa","given":"Jeewan","non-dropping-particle":"","parse-names":false,"suffix":""},{"dropping-particle":"","family":"Kapolowe","given":"Kenneth","non-dropping-particle":"","parse-names":false,"suffix":""},{"dropping-particle":"","family":"Mazaba","given":"Mazyanga Lucy","non-dropping-particle":"","parse-names":false,"suffix":""},{"dropping-particle":"","family":"Mpundu","given":"Mirfin","non-dropping-particle":"","parse-names":false,"suffix":""},{"dropping-particle":"","family":"Masaninga","given":"Freddie","non-dropping-particle":"","parse-names":false,"suffix":""},{"dropping-particle":"","family":"Azam","given":"Khalid","non-dropping-particle":"","parse-names":false,"suffix":""},{"dropping-particle":"","family":"Nakajima","given":"Chie","non-dropping-particle":"","parse-names":false,"suffix":""},{"dropping-particle":"","family":"Suzuki","given":"Yasuhiko","non-dropping-particle":"","parse-names":false,"suffix":""},{"dropping-particle":"","family":"Bakyaita","given":"Nathan Nsubuga","non-dropping-particle":"","parse-names":false,"suffix":""},{"dropping-particle":"","family":"Wesangula","given":"Evelyn","non-dropping-particle":"","parse-names":false,"suffix":""},{"dropping-particle":"","family":"Matu","given":"Martin","non-dropping-particle":"","parse-names":false,"suffix":""},{"dropping-particle":"","family":"Chilengi","given":"Roma","non-dropping-particle":"","parse-names":false,"suffix":""}],"container-title":"Frontiers in Public Health","id":"ITEM-2","issued":{"date-parts":[["2024","9","27"]]},"page":"1367703","publisher":"Frontiers","title":"Antimicrobial stewardship situation analysis in selected hospitals in Zambia: findings and implications from a national survey","type":"article-journal","volume":"12"},"uris":["http://www.mendeley.com/documents/?uuid=0f053171-f96b-3553-a329-bcdb0302c2d8"]}],"mendeley":{"formattedCitation":"[94,95]","plainTextFormattedCitation":"[94,95]","previouslyFormattedCitation":"[94,95]"},"properties":{"noteIndex":0},"schema":"https://github.com/citation-style-language/schema/raw/master/csl-citation.json"}</w:instrText>
      </w:r>
      <w:r w:rsidRPr="00E67B00">
        <w:rPr>
          <w:rFonts w:eastAsia="Times New Roman" w:cs="Times New Roman"/>
          <w:szCs w:val="24"/>
          <w:lang w:val="en" w:bidi="en-US"/>
        </w:rPr>
        <w:fldChar w:fldCharType="separate"/>
      </w:r>
      <w:r w:rsidR="001E7355" w:rsidRPr="00E67B00">
        <w:rPr>
          <w:rFonts w:eastAsia="Times New Roman" w:cs="Times New Roman"/>
          <w:noProof/>
          <w:szCs w:val="24"/>
          <w:lang w:val="en" w:bidi="en-US"/>
        </w:rPr>
        <w:t>[94,95]</w:t>
      </w:r>
      <w:r w:rsidRPr="00E67B00">
        <w:rPr>
          <w:rFonts w:eastAsia="Times New Roman" w:cs="Times New Roman"/>
          <w:szCs w:val="24"/>
          <w:lang w:val="en"/>
        </w:rPr>
        <w:fldChar w:fldCharType="end"/>
      </w:r>
      <w:r w:rsidRPr="00E67B00">
        <w:rPr>
          <w:rFonts w:eastAsia="Times New Roman" w:cs="Times New Roman"/>
          <w:szCs w:val="24"/>
          <w:lang w:val="en" w:bidi="en-US"/>
        </w:rPr>
        <w:t xml:space="preserve">. </w:t>
      </w:r>
      <w:r w:rsidR="00745047" w:rsidRPr="00E67B00">
        <w:rPr>
          <w:rFonts w:eastAsia="Times New Roman" w:cs="Times New Roman"/>
          <w:szCs w:val="24"/>
          <w:lang w:val="en" w:bidi="en-US"/>
        </w:rPr>
        <w:t xml:space="preserve">The nine hospitals included in this study were purposively selected to capture a range of facility types (secondary and tertiary) and geographical regions, with the aim of reflecting diverse IPC contexts within the country. However, these hospitals represent only a fraction of the total number of hospitals nationally, and therefore, the findings may not be fully representative of all healthcare facilities. </w:t>
      </w:r>
      <w:r w:rsidR="00756AF4" w:rsidRPr="00E67B00">
        <w:rPr>
          <w:rFonts w:eastAsia="Times New Roman" w:cs="Times New Roman"/>
          <w:szCs w:val="24"/>
          <w:lang w:val="en" w:bidi="en-US"/>
        </w:rPr>
        <w:t xml:space="preserve">To be eligible for inclusion, all hospitals were to be run and owned by the Government of the Republic of Zambia and with an established IPC Committee. Additionally, implementing effective IPC programmes in these hospitals is critical to prevent the occurrence and spread of infections and subsequently reduce the current overuse of antimicrobials. Furthermore, all targeted hospitals were secondary or tertiary-level. </w:t>
      </w:r>
      <w:r w:rsidRPr="00E67B00">
        <w:rPr>
          <w:rFonts w:eastAsia="Times New Roman" w:cs="Times New Roman"/>
          <w:szCs w:val="24"/>
          <w:lang w:val="en" w:bidi="en-US"/>
        </w:rPr>
        <w:t>The target</w:t>
      </w:r>
      <w:r w:rsidR="00D003A9" w:rsidRPr="00E67B00">
        <w:rPr>
          <w:rFonts w:eastAsia="Times New Roman" w:cs="Times New Roman"/>
          <w:szCs w:val="24"/>
          <w:lang w:val="en" w:bidi="en-US"/>
        </w:rPr>
        <w:t>ed</w:t>
      </w:r>
      <w:r w:rsidRPr="00E67B00">
        <w:rPr>
          <w:rFonts w:eastAsia="Times New Roman" w:cs="Times New Roman"/>
          <w:szCs w:val="24"/>
          <w:lang w:val="en" w:bidi="en-US"/>
        </w:rPr>
        <w:t xml:space="preserve"> respondents were healthcare professionals or teams responsible for organizing and implementing IPC activities in the respective hospitals. Overall, 27 respondents were purposively selected from the respective IPC committees to respond to the questionnaire. This included the committee chairperson, secretary and IPC nurse from each of the nine hospitals.</w:t>
      </w:r>
      <w:r w:rsidR="00CB17F7" w:rsidRPr="00E67B00">
        <w:rPr>
          <w:rFonts w:eastAsia="Times New Roman" w:cs="Times New Roman"/>
          <w:szCs w:val="24"/>
          <w:lang w:val="en" w:bidi="en-US"/>
        </w:rPr>
        <w:t xml:space="preserve"> </w:t>
      </w:r>
    </w:p>
    <w:p w14:paraId="2A696D6D" w14:textId="77777777" w:rsidR="003F4633" w:rsidRPr="003F4633" w:rsidRDefault="003F4633" w:rsidP="003F4633">
      <w:pPr>
        <w:spacing w:before="0" w:after="0" w:line="360" w:lineRule="auto"/>
        <w:jc w:val="both"/>
        <w:rPr>
          <w:rFonts w:eastAsia="Times New Roman" w:cs="Times New Roman"/>
          <w:szCs w:val="24"/>
          <w:lang w:val="en" w:bidi="en-US"/>
        </w:rPr>
      </w:pPr>
    </w:p>
    <w:p w14:paraId="2997BEFF" w14:textId="77777777" w:rsidR="003F4633" w:rsidRPr="003F4633" w:rsidRDefault="003F4633" w:rsidP="003F4633">
      <w:pPr>
        <w:spacing w:before="0" w:after="0" w:line="360" w:lineRule="auto"/>
        <w:jc w:val="both"/>
        <w:rPr>
          <w:rFonts w:eastAsia="Times New Roman" w:cs="Times New Roman"/>
          <w:szCs w:val="24"/>
          <w:lang w:val="en" w:bidi="en-US"/>
        </w:rPr>
      </w:pPr>
      <w:r w:rsidRPr="003F4633">
        <w:rPr>
          <w:rFonts w:eastAsia="Times New Roman" w:cs="Times New Roman"/>
          <w:b/>
          <w:noProof/>
          <w:szCs w:val="24"/>
        </w:rPr>
        <w:drawing>
          <wp:anchor distT="0" distB="0" distL="114300" distR="114300" simplePos="0" relativeHeight="251659264" behindDoc="1" locked="0" layoutInCell="1" allowOverlap="1" wp14:anchorId="520F7EF2" wp14:editId="3785FA15">
            <wp:simplePos x="0" y="0"/>
            <wp:positionH relativeFrom="margin">
              <wp:align>left</wp:align>
            </wp:positionH>
            <wp:positionV relativeFrom="paragraph">
              <wp:posOffset>0</wp:posOffset>
            </wp:positionV>
            <wp:extent cx="4603750" cy="3028950"/>
            <wp:effectExtent l="0" t="0" r="6350" b="0"/>
            <wp:wrapTight wrapText="bothSides">
              <wp:wrapPolygon edited="0">
                <wp:start x="0" y="0"/>
                <wp:lineTo x="0" y="21464"/>
                <wp:lineTo x="21540" y="21464"/>
                <wp:lineTo x="21540" y="0"/>
                <wp:lineTo x="0" y="0"/>
              </wp:wrapPolygon>
            </wp:wrapTight>
            <wp:docPr id="584659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59977"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03750" cy="3028950"/>
                    </a:xfrm>
                    <a:prstGeom prst="rect">
                      <a:avLst/>
                    </a:prstGeom>
                  </pic:spPr>
                </pic:pic>
              </a:graphicData>
            </a:graphic>
            <wp14:sizeRelH relativeFrom="margin">
              <wp14:pctWidth>0</wp14:pctWidth>
            </wp14:sizeRelH>
            <wp14:sizeRelV relativeFrom="margin">
              <wp14:pctHeight>0</wp14:pctHeight>
            </wp14:sizeRelV>
          </wp:anchor>
        </w:drawing>
      </w:r>
    </w:p>
    <w:p w14:paraId="3D8712A8" w14:textId="77777777" w:rsidR="003F4633" w:rsidRPr="003F4633" w:rsidRDefault="003F4633" w:rsidP="003F4633">
      <w:pPr>
        <w:spacing w:before="0" w:after="0" w:line="360" w:lineRule="auto"/>
        <w:jc w:val="both"/>
        <w:rPr>
          <w:rFonts w:eastAsia="Times New Roman" w:cs="Times New Roman"/>
          <w:szCs w:val="24"/>
          <w:lang w:val="en" w:bidi="en-US"/>
        </w:rPr>
      </w:pPr>
    </w:p>
    <w:p w14:paraId="01E37E98" w14:textId="77777777" w:rsidR="003F4633" w:rsidRPr="003F4633" w:rsidRDefault="003F4633" w:rsidP="003F4633">
      <w:pPr>
        <w:spacing w:before="0" w:after="0" w:line="360" w:lineRule="auto"/>
        <w:jc w:val="both"/>
        <w:rPr>
          <w:rFonts w:eastAsia="Times New Roman" w:cs="Times New Roman"/>
          <w:szCs w:val="24"/>
          <w:lang w:val="en" w:bidi="en-US"/>
        </w:rPr>
      </w:pPr>
    </w:p>
    <w:p w14:paraId="0F7C2C3E" w14:textId="77777777" w:rsidR="003F4633" w:rsidRPr="003F4633" w:rsidRDefault="003F4633" w:rsidP="003F4633">
      <w:pPr>
        <w:spacing w:before="0" w:after="0" w:line="360" w:lineRule="auto"/>
        <w:jc w:val="both"/>
        <w:rPr>
          <w:rFonts w:eastAsia="Times New Roman" w:cs="Times New Roman"/>
          <w:szCs w:val="24"/>
          <w:lang w:val="en" w:bidi="en-US"/>
        </w:rPr>
      </w:pPr>
    </w:p>
    <w:p w14:paraId="29BA01A5" w14:textId="77777777" w:rsidR="003F4633" w:rsidRPr="003F4633" w:rsidRDefault="003F4633" w:rsidP="003F4633">
      <w:pPr>
        <w:spacing w:before="0" w:after="0" w:line="360" w:lineRule="auto"/>
        <w:jc w:val="both"/>
        <w:rPr>
          <w:rFonts w:eastAsia="Times New Roman" w:cs="Times New Roman"/>
          <w:szCs w:val="24"/>
          <w:lang w:val="en" w:bidi="en-US"/>
        </w:rPr>
      </w:pPr>
    </w:p>
    <w:p w14:paraId="5FDDED7B" w14:textId="77777777" w:rsidR="003F4633" w:rsidRPr="003F4633" w:rsidRDefault="003F4633" w:rsidP="003F4633">
      <w:pPr>
        <w:spacing w:before="0" w:after="0" w:line="360" w:lineRule="auto"/>
        <w:jc w:val="both"/>
        <w:rPr>
          <w:rFonts w:eastAsia="Times New Roman" w:cs="Times New Roman"/>
          <w:szCs w:val="24"/>
          <w:lang w:val="en" w:bidi="en-US"/>
        </w:rPr>
      </w:pPr>
    </w:p>
    <w:p w14:paraId="5FEC8004" w14:textId="77777777" w:rsidR="003F4633" w:rsidRPr="003F4633" w:rsidRDefault="003F4633" w:rsidP="003F4633">
      <w:pPr>
        <w:spacing w:before="0" w:after="0" w:line="360" w:lineRule="auto"/>
        <w:jc w:val="both"/>
        <w:rPr>
          <w:rFonts w:eastAsia="Times New Roman" w:cs="Times New Roman"/>
          <w:szCs w:val="24"/>
          <w:lang w:val="en" w:bidi="en-US"/>
        </w:rPr>
      </w:pPr>
    </w:p>
    <w:p w14:paraId="0EF80EB8" w14:textId="77777777" w:rsidR="003F4633" w:rsidRPr="003F4633" w:rsidRDefault="003F4633" w:rsidP="003F4633">
      <w:pPr>
        <w:spacing w:before="0" w:after="0" w:line="360" w:lineRule="auto"/>
        <w:jc w:val="both"/>
        <w:rPr>
          <w:rFonts w:eastAsia="Times New Roman" w:cs="Times New Roman"/>
          <w:szCs w:val="24"/>
          <w:lang w:val="en" w:bidi="en-US"/>
        </w:rPr>
      </w:pPr>
    </w:p>
    <w:p w14:paraId="5D596695" w14:textId="77777777" w:rsidR="003F4633" w:rsidRPr="003F4633" w:rsidRDefault="003F4633" w:rsidP="003F4633">
      <w:pPr>
        <w:spacing w:before="0" w:after="0" w:line="360" w:lineRule="auto"/>
        <w:jc w:val="both"/>
        <w:rPr>
          <w:rFonts w:eastAsia="Times New Roman" w:cs="Times New Roman"/>
          <w:szCs w:val="24"/>
          <w:lang w:val="en" w:bidi="en-US"/>
        </w:rPr>
      </w:pPr>
    </w:p>
    <w:p w14:paraId="49C155BE" w14:textId="77777777" w:rsidR="003F4633" w:rsidRPr="003F4633" w:rsidRDefault="003F4633" w:rsidP="003F4633">
      <w:pPr>
        <w:spacing w:before="0" w:after="0" w:line="360" w:lineRule="auto"/>
        <w:jc w:val="both"/>
        <w:rPr>
          <w:rFonts w:eastAsia="Times New Roman" w:cs="Times New Roman"/>
          <w:szCs w:val="24"/>
          <w:lang w:val="en" w:bidi="en-US"/>
        </w:rPr>
      </w:pPr>
    </w:p>
    <w:p w14:paraId="19033E48" w14:textId="77777777" w:rsidR="003F4633" w:rsidRPr="003F4633" w:rsidRDefault="003F4633" w:rsidP="003F4633">
      <w:pPr>
        <w:spacing w:before="0" w:after="0" w:line="360" w:lineRule="auto"/>
        <w:jc w:val="both"/>
        <w:rPr>
          <w:rFonts w:eastAsia="Times New Roman" w:cs="Times New Roman"/>
          <w:szCs w:val="24"/>
          <w:lang w:val="en" w:bidi="en-US"/>
        </w:rPr>
      </w:pPr>
    </w:p>
    <w:p w14:paraId="2C7904FB" w14:textId="77777777" w:rsidR="003F4633" w:rsidRPr="003F4633" w:rsidRDefault="003F4633" w:rsidP="003F4633">
      <w:pPr>
        <w:spacing w:before="0" w:after="0" w:line="360" w:lineRule="auto"/>
        <w:jc w:val="both"/>
        <w:rPr>
          <w:rFonts w:eastAsia="Times New Roman" w:cs="Times New Roman"/>
          <w:szCs w:val="24"/>
          <w:lang w:val="en" w:bidi="en-US"/>
        </w:rPr>
      </w:pPr>
    </w:p>
    <w:p w14:paraId="39C0ED32" w14:textId="77777777" w:rsidR="003F4633" w:rsidRPr="003F4633" w:rsidRDefault="003F4633" w:rsidP="003F4633">
      <w:pPr>
        <w:spacing w:before="0" w:after="0" w:line="360" w:lineRule="auto"/>
        <w:jc w:val="both"/>
        <w:rPr>
          <w:rFonts w:eastAsia="Times New Roman" w:cs="Times New Roman"/>
          <w:b/>
          <w:szCs w:val="24"/>
          <w:lang w:val="en" w:bidi="en-US"/>
        </w:rPr>
      </w:pPr>
      <w:r w:rsidRPr="003F4633">
        <w:rPr>
          <w:rFonts w:eastAsia="Times New Roman" w:cs="Times New Roman"/>
          <w:szCs w:val="24"/>
          <w:lang w:val="en" w:bidi="en-US"/>
        </w:rPr>
        <w:t>Figure 1. Map of Zambia indicating the IPC assessment study sites.</w:t>
      </w:r>
    </w:p>
    <w:p w14:paraId="3958731A" w14:textId="77777777" w:rsidR="003F4633" w:rsidRPr="003F4633" w:rsidRDefault="003F4633" w:rsidP="003F4633">
      <w:pPr>
        <w:spacing w:before="0" w:after="0" w:line="360" w:lineRule="auto"/>
        <w:jc w:val="both"/>
        <w:rPr>
          <w:rFonts w:eastAsia="Times New Roman" w:cs="Times New Roman"/>
          <w:szCs w:val="24"/>
          <w:lang w:val="en" w:bidi="en-US"/>
        </w:rPr>
      </w:pPr>
    </w:p>
    <w:p w14:paraId="32091E4B" w14:textId="77777777" w:rsidR="006F1480" w:rsidRDefault="006F1480" w:rsidP="003F4633">
      <w:pPr>
        <w:spacing w:before="0" w:after="0" w:line="360" w:lineRule="auto"/>
        <w:jc w:val="both"/>
        <w:rPr>
          <w:rFonts w:eastAsia="Times New Roman" w:cs="Times New Roman"/>
          <w:b/>
          <w:szCs w:val="24"/>
          <w:lang w:val="en" w:bidi="en-US"/>
        </w:rPr>
      </w:pPr>
    </w:p>
    <w:p w14:paraId="29D3AC92" w14:textId="77777777" w:rsidR="006F1480" w:rsidRDefault="006F1480" w:rsidP="003F4633">
      <w:pPr>
        <w:spacing w:before="0" w:after="0" w:line="360" w:lineRule="auto"/>
        <w:jc w:val="both"/>
        <w:rPr>
          <w:rFonts w:eastAsia="Times New Roman" w:cs="Times New Roman"/>
          <w:b/>
          <w:szCs w:val="24"/>
          <w:lang w:val="en" w:bidi="en-US"/>
        </w:rPr>
      </w:pPr>
    </w:p>
    <w:p w14:paraId="1144816B" w14:textId="77777777" w:rsidR="003F4633" w:rsidRPr="003F4633" w:rsidRDefault="003F4633" w:rsidP="003F4633">
      <w:pPr>
        <w:spacing w:before="0" w:after="0" w:line="360" w:lineRule="auto"/>
        <w:jc w:val="both"/>
        <w:rPr>
          <w:rFonts w:eastAsia="Times New Roman" w:cs="Times New Roman"/>
          <w:b/>
          <w:szCs w:val="24"/>
          <w:lang w:val="en" w:bidi="en-US"/>
        </w:rPr>
      </w:pPr>
      <w:r w:rsidRPr="003F4633">
        <w:rPr>
          <w:rFonts w:eastAsia="Times New Roman" w:cs="Times New Roman"/>
          <w:b/>
          <w:szCs w:val="24"/>
          <w:lang w:val="en" w:bidi="en-US"/>
        </w:rPr>
        <w:t>Data collection</w:t>
      </w:r>
    </w:p>
    <w:p w14:paraId="195BFE4D" w14:textId="1EEEFB42" w:rsidR="003F4633" w:rsidRPr="00E67B00" w:rsidRDefault="003F4633" w:rsidP="003A3928">
      <w:pPr>
        <w:spacing w:before="0" w:after="0" w:line="360" w:lineRule="auto"/>
        <w:jc w:val="both"/>
        <w:rPr>
          <w:rFonts w:eastAsia="Times New Roman" w:cs="Times New Roman"/>
          <w:szCs w:val="24"/>
          <w:lang w:val="en" w:bidi="en-US"/>
        </w:rPr>
      </w:pPr>
      <w:r w:rsidRPr="003F4633">
        <w:rPr>
          <w:rFonts w:eastAsia="Times New Roman" w:cs="Times New Roman"/>
          <w:szCs w:val="24"/>
          <w:lang w:val="en" w:bidi="en-US"/>
        </w:rPr>
        <w:t xml:space="preserve">Data collection was done using the pre-validated WHO IPCAF tool </w:t>
      </w:r>
      <w:r w:rsidRPr="003F4633">
        <w:rPr>
          <w:rFonts w:eastAsia="Times New Roman" w:cs="Times New Roman"/>
          <w:szCs w:val="24"/>
          <w:lang w:val="en" w:bidi="en-US"/>
        </w:rPr>
        <w:fldChar w:fldCharType="begin" w:fldLock="1"/>
      </w:r>
      <w:r w:rsidR="005E406D">
        <w:rPr>
          <w:rFonts w:eastAsia="Times New Roman" w:cs="Times New Roman"/>
          <w:szCs w:val="24"/>
          <w:lang w:val="en" w:bidi="en-US"/>
        </w:rPr>
        <w:instrText>ADDIN CSL_CITATION {"citationItems":[{"id":"ITEM-1","itemData":{"ISSN":"08863350","abstract":"Cataract surgery is routinely performed using an anterior continuous curvilinear capsulorhexis (CCC). A manual surgical technique is described for performing a small (less than 1.5 mm diameter) anterior CCC. This technique's applications extend from Phaco-Ersatz, a cataract surgical technique designed to restore accommodation to pediatric cataract surgery. An experimental rabbit study was conducted to determine the feasibility of the technique. Up to 9 small peripheral anterior CCCs were made in the same lens capsule without the capsule tearing, The mean diameter of the CCCs was 1.1 mm ± 0.3 (SD). A 30 gauge needle and Utrata capsulorhexis forceps were used to construct the CCC. This technique shows promise for the successful performance of small CCCs in Phaco-Ersatz procedures and pediatric cataract surgery.","author":[{"dropping-particle":"","family":"World Health Organization","given":"","non-dropping-particle":"","parse-names":false,"suffix":""}],"container-title":"World Health Organization","id":"ITEM-1","issued":{"date-parts":[["2018"]]},"number-of-pages":"1-16","title":"Infection Prevention and Control Assessment Framework at the Facility Level","type":"report"},"uris":["http://www.mendeley.com/documents/?uuid=cf2b6173-ea8b-3725-85c2-0f87dfbca6f1"]}],"mendeley":{"formattedCitation":"[57]","plainTextFormattedCitation":"[57]","previouslyFormattedCitation":"[57]"},"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[57]</w:t>
      </w:r>
      <w:r w:rsidRPr="003F4633">
        <w:rPr>
          <w:rFonts w:eastAsia="Times New Roman" w:cs="Times New Roman"/>
          <w:szCs w:val="24"/>
          <w:lang w:val="en"/>
        </w:rPr>
        <w:fldChar w:fldCharType="end"/>
      </w:r>
      <w:r w:rsidRPr="003F4633">
        <w:rPr>
          <w:rFonts w:eastAsia="Times New Roman" w:cs="Times New Roman"/>
          <w:szCs w:val="24"/>
          <w:lang w:val="en" w:bidi="en-US"/>
        </w:rPr>
        <w:t>. We adopted the WHO globally validated</w:t>
      </w:r>
      <w:r w:rsidR="00926757">
        <w:rPr>
          <w:rFonts w:eastAsia="Times New Roman" w:cs="Times New Roman"/>
          <w:szCs w:val="24"/>
          <w:lang w:val="en" w:bidi="en-US"/>
        </w:rPr>
        <w:t xml:space="preserve"> IPCAF tool organized into eight</w:t>
      </w:r>
      <w:r w:rsidRPr="003F4633">
        <w:rPr>
          <w:rFonts w:eastAsia="Times New Roman" w:cs="Times New Roman"/>
          <w:szCs w:val="24"/>
          <w:lang w:val="en" w:bidi="en-US"/>
        </w:rPr>
        <w:t xml:space="preserve"> IPC core components and multiple choice questions </w:t>
      </w:r>
      <w:r w:rsidRPr="003F4633">
        <w:rPr>
          <w:rFonts w:eastAsia="Times New Roman" w:cs="Times New Roman"/>
          <w:szCs w:val="24"/>
          <w:lang w:val="en" w:bidi="en-US"/>
        </w:rPr>
        <w:fldChar w:fldCharType="begin" w:fldLock="1"/>
      </w:r>
      <w:r w:rsidR="005E406D">
        <w:rPr>
          <w:rFonts w:eastAsia="Times New Roman" w:cs="Times New Roman"/>
          <w:szCs w:val="24"/>
          <w:lang w:val="en" w:bidi="en-US"/>
        </w:rPr>
        <w:instrText>ADDIN CSL_CITATION {"citationItems":[{"id":"ITEM-1","itemData":{"ISSN":"08863350","abstract":"Cataract surgery is routinely performed using an anterior continuous curvilinear capsulorhexis (CCC). A manual surgical technique is described for performing a small (less than 1.5 mm diameter) anterior CCC. This technique's applications extend from Phaco-Ersatz, a cataract surgical technique designed to restore accommodation to pediatric cataract surgery. An experimental rabbit study was conducted to determine the feasibility of the technique. Up to 9 small peripheral anterior CCCs were made in the same lens capsule without the capsule tearing, The mean diameter of the CCCs was 1.1 mm ± 0.3 (SD). A 30 gauge needle and Utrata capsulorhexis forceps were used to construct the CCC. This technique shows promise for the successful performance of small CCCs in Phaco-Ersatz procedures and pediatric cataract surgery.","author":[{"dropping-particle":"","family":"World Health Organization","given":"","non-dropping-particle":"","parse-names":false,"suffix":""}],"container-title":"World Health Organization","id":"ITEM-1","issued":{"date-parts":[["2018"]]},"number-of-pages":"1-16","title":"Infection Prevention and Control Assessment Framework at the Facility Level","type":"report"},"uris":["http://www.mendeley.com/documents/?uuid=cf2b6173-ea8b-3725-85c2-0f87dfbca6f1"]}],"mendeley":{"formattedCitation":"[57]","plainTextFormattedCitation":"[57]","previouslyFormattedCitation":"[57]"},"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[57]</w:t>
      </w:r>
      <w:r w:rsidRPr="003F4633">
        <w:rPr>
          <w:rFonts w:eastAsia="Times New Roman" w:cs="Times New Roman"/>
          <w:szCs w:val="24"/>
          <w:lang w:val="en"/>
        </w:rPr>
        <w:fldChar w:fldCharType="end"/>
      </w:r>
      <w:r w:rsidRPr="003F4633">
        <w:rPr>
          <w:rFonts w:eastAsia="Times New Roman" w:cs="Times New Roman"/>
          <w:szCs w:val="24"/>
          <w:lang w:val="en" w:bidi="en-US"/>
        </w:rPr>
        <w:t>. The IPCAF is a globally validated evaluation tool designed to benchmark IPC performance at national and facility levels while supporting the implementation of the eight IPC core components (Supplementary Ma</w:t>
      </w:r>
      <w:r w:rsidR="003A3928">
        <w:rPr>
          <w:rFonts w:eastAsia="Times New Roman" w:cs="Times New Roman"/>
          <w:szCs w:val="24"/>
          <w:lang w:val="en" w:bidi="en-US"/>
        </w:rPr>
        <w:t xml:space="preserve">terial). </w:t>
      </w:r>
      <w:r w:rsidR="009067FC" w:rsidRPr="009067FC">
        <w:rPr>
          <w:rFonts w:eastAsia="Times New Roman" w:cs="Times New Roman"/>
          <w:szCs w:val="24"/>
          <w:lang w:val="en" w:bidi="en-US"/>
        </w:rPr>
        <w:t xml:space="preserve">The WHO </w:t>
      </w:r>
      <w:r w:rsidR="009067FC">
        <w:rPr>
          <w:rFonts w:eastAsia="Times New Roman" w:cs="Times New Roman"/>
          <w:szCs w:val="24"/>
          <w:lang w:val="en" w:bidi="en-US"/>
        </w:rPr>
        <w:t>IPCAF</w:t>
      </w:r>
      <w:r w:rsidR="009067FC" w:rsidRPr="009067FC">
        <w:rPr>
          <w:rFonts w:eastAsia="Times New Roman" w:cs="Times New Roman"/>
          <w:szCs w:val="24"/>
          <w:lang w:val="en" w:bidi="en-US"/>
        </w:rPr>
        <w:t xml:space="preserve"> instrument used in this study was applied in its original form without local modifications. This decision was based on the instrument’s status as a globally standardized and validated tool designed for cross-country comparability. While the IPCAF has not undergone formal psychometric validation in Zambia, it has been widely used in </w:t>
      </w:r>
      <w:r w:rsidR="009067FC">
        <w:rPr>
          <w:rFonts w:eastAsia="Times New Roman" w:cs="Times New Roman"/>
          <w:szCs w:val="24"/>
          <w:lang w:val="en" w:bidi="en-US"/>
        </w:rPr>
        <w:t>LMIC</w:t>
      </w:r>
      <w:r w:rsidR="009067FC" w:rsidRPr="009067FC">
        <w:rPr>
          <w:rFonts w:eastAsia="Times New Roman" w:cs="Times New Roman"/>
          <w:szCs w:val="24"/>
          <w:lang w:val="en" w:bidi="en-US"/>
        </w:rPr>
        <w:t xml:space="preserve"> settings with similar healthcare contexts, including in the African region. The research team ensured contextual relevance by providing brief clarifications during administration where necessary, without altering the structure, wording, or scoring system of the tool. </w:t>
      </w:r>
      <w:r w:rsidR="00756AF4" w:rsidRPr="006F4BBB">
        <w:rPr>
          <w:rFonts w:eastAsia="Times New Roman" w:cs="Times New Roman"/>
          <w:szCs w:val="24"/>
          <w:lang w:val="en" w:bidi="en-US"/>
        </w:rPr>
        <w:t>Data c</w:t>
      </w:r>
      <w:r w:rsidR="00756AF4">
        <w:rPr>
          <w:rFonts w:eastAsia="Times New Roman" w:cs="Times New Roman"/>
          <w:szCs w:val="24"/>
          <w:lang w:val="en" w:bidi="en-US"/>
        </w:rPr>
        <w:t>ollection was executed by 15</w:t>
      </w:r>
      <w:r w:rsidR="00756AF4" w:rsidRPr="006F4BBB">
        <w:rPr>
          <w:rFonts w:eastAsia="Times New Roman" w:cs="Times New Roman"/>
          <w:szCs w:val="24"/>
          <w:lang w:val="en" w:bidi="en-US"/>
        </w:rPr>
        <w:t xml:space="preserve"> data collectors </w:t>
      </w:r>
      <w:r w:rsidR="00756AF4" w:rsidRPr="00E67B00">
        <w:rPr>
          <w:rFonts w:eastAsia="Times New Roman" w:cs="Times New Roman"/>
          <w:szCs w:val="24"/>
          <w:lang w:val="en" w:bidi="en-US"/>
        </w:rPr>
        <w:t xml:space="preserve">who were specifically trained for this purpose and the team visited each hospital for a period of five days translating into a 15-day data collection and dissemination period. Each data collection team visited three hospitals and conducted face-to-face interviews with the IPC committee members. The data collectors (medical doctors, pharmacists, nurses, public health staff, and biomedical scientists) were members of the IPC Technical Working Group (TWG) under the AMRCC who were trained on the use of the tool and had previous training on IPC using the national curriculum on AMS and IPC. The trainers were part of the Antimicrobial Resistance Coordinating Committee (AMRCC) who are experts in implementing IPC and AMS activities in Zambia. The training was done for a period of three days to ensure that the data collectors understood the need to collect complete and good quality data. </w:t>
      </w:r>
      <w:r w:rsidR="006F4BBB" w:rsidRPr="00E67B00">
        <w:rPr>
          <w:rFonts w:eastAsia="Times New Roman" w:cs="Times New Roman"/>
          <w:szCs w:val="24"/>
          <w:lang w:val="en" w:bidi="en-US"/>
        </w:rPr>
        <w:t>REDCap accounts were opened for all the data collectors and testing of data entry was done on day two and three of</w:t>
      </w:r>
      <w:r w:rsidR="008455DE" w:rsidRPr="00E67B00">
        <w:rPr>
          <w:rFonts w:eastAsia="Times New Roman" w:cs="Times New Roman"/>
          <w:szCs w:val="24"/>
          <w:lang w:val="en" w:bidi="en-US"/>
        </w:rPr>
        <w:t xml:space="preserve"> training. After completion of the study</w:t>
      </w:r>
      <w:r w:rsidR="006F4BBB" w:rsidRPr="00E67B00">
        <w:rPr>
          <w:rFonts w:eastAsia="Times New Roman" w:cs="Times New Roman"/>
          <w:szCs w:val="24"/>
          <w:lang w:val="en" w:bidi="en-US"/>
        </w:rPr>
        <w:t>, a meeting was held with the hospital management and staff where the findings were disseminated and recommendations were provided.</w:t>
      </w:r>
    </w:p>
    <w:p w14:paraId="793785D8" w14:textId="230A9CDE" w:rsidR="003F4633" w:rsidRPr="00E67B00" w:rsidRDefault="003F4633" w:rsidP="003F4633">
      <w:pPr>
        <w:spacing w:before="0" w:line="360" w:lineRule="auto"/>
        <w:jc w:val="both"/>
        <w:rPr>
          <w:rFonts w:eastAsia="Times New Roman" w:cs="Times New Roman"/>
          <w:szCs w:val="24"/>
          <w:lang w:val="en" w:bidi="en-US"/>
        </w:rPr>
      </w:pPr>
      <w:r w:rsidRPr="00E67B00">
        <w:rPr>
          <w:rFonts w:eastAsia="Times New Roman" w:cs="Times New Roman"/>
          <w:szCs w:val="24"/>
          <w:lang w:val="en" w:bidi="en-US"/>
        </w:rPr>
        <w:t xml:space="preserve">The IPCAF tool generates a final score ranging from 0 to 800, categorizing IPC </w:t>
      </w:r>
      <w:r w:rsidR="003A3928" w:rsidRPr="00E67B00">
        <w:rPr>
          <w:rFonts w:eastAsia="Times New Roman" w:cs="Times New Roman"/>
          <w:szCs w:val="24"/>
          <w:lang w:val="en" w:bidi="en-US"/>
        </w:rPr>
        <w:t>implementation as</w:t>
      </w:r>
      <w:r w:rsidRPr="00E67B00">
        <w:rPr>
          <w:rFonts w:eastAsia="Times New Roman" w:cs="Times New Roman"/>
          <w:szCs w:val="24"/>
          <w:lang w:val="en" w:bidi="en-US"/>
        </w:rPr>
        <w:t xml:space="preserve"> </w:t>
      </w:r>
      <w:r w:rsidR="003A3928" w:rsidRPr="00E67B00">
        <w:rPr>
          <w:rFonts w:eastAsia="Times New Roman" w:cs="Times New Roman"/>
          <w:szCs w:val="24"/>
          <w:lang w:val="en" w:bidi="en-US"/>
        </w:rPr>
        <w:t>inadequate, basic, intermediate, and</w:t>
      </w:r>
      <w:r w:rsidRPr="00E67B00">
        <w:rPr>
          <w:rFonts w:eastAsia="Times New Roman" w:cs="Times New Roman"/>
          <w:szCs w:val="24"/>
          <w:lang w:val="en" w:bidi="en-US"/>
        </w:rPr>
        <w:t xml:space="preserve"> </w:t>
      </w:r>
      <w:r w:rsidR="003A3928" w:rsidRPr="00E67B00">
        <w:rPr>
          <w:rFonts w:eastAsia="Times New Roman" w:cs="Times New Roman"/>
          <w:szCs w:val="24"/>
          <w:lang w:val="en" w:bidi="en-US"/>
        </w:rPr>
        <w:t>advanced</w:t>
      </w:r>
      <w:r w:rsidRPr="00E67B00">
        <w:rPr>
          <w:rFonts w:eastAsia="Times New Roman" w:cs="Times New Roman"/>
          <w:szCs w:val="24"/>
          <w:lang w:val="en" w:bidi="en-US"/>
        </w:rPr>
        <w:t xml:space="preserve"> </w:t>
      </w:r>
      <w:r w:rsidRPr="00E67B00">
        <w:rPr>
          <w:rFonts w:eastAsia="Times New Roman" w:cs="Times New Roman"/>
          <w:szCs w:val="24"/>
          <w:lang w:val="en" w:bidi="en-US"/>
        </w:rPr>
        <w:fldChar w:fldCharType="begin" w:fldLock="1"/>
      </w:r>
      <w:r w:rsidR="005E406D" w:rsidRPr="00E67B00">
        <w:rPr>
          <w:rFonts w:eastAsia="Times New Roman" w:cs="Times New Roman"/>
          <w:szCs w:val="24"/>
          <w:lang w:val="en" w:bidi="en-US"/>
        </w:rPr>
        <w:instrText>ADDIN CSL_CITATION {"citationItems":[{"id":"ITEM-1","itemData":{"ISSN":"08863350","abstract":"Cataract surgery is routinely performed using an anterior continuous curvilinear capsulorhexis (CCC). A manual surgical technique is described for performing a small (less than 1.5 mm diameter) anterior CCC. This technique's applications extend from Phaco-Ersatz, a cataract surgical technique designed to restore accommodation to pediatric cataract surgery. An experimental rabbit study was conducted to determine the feasibility of the technique. Up to 9 small peripheral anterior CCCs were made in the same lens capsule without the capsule tearing, The mean diameter of the CCCs was 1.1 mm ± 0.3 (SD). A 30 gauge needle and Utrata capsulorhexis forceps were used to construct the CCC. This technique shows promise for the successful performance of small CCCs in Phaco-Ersatz procedures and pediatric cataract surgery.","author":[{"dropping-particle":"","family":"World Health Organization","given":"","non-dropping-particle":"","parse-names":false,"suffix":""}],"container-title":"World Health Organization","id":"ITEM-1","issued":{"date-parts":[["2018"]]},"number-of-pages":"1-16","title":"Infection Prevention and Control Assessment Framework at the Facility Level","type":"report"},"uris":["http://www.mendeley.com/documents/?uuid=cf2b6173-ea8b-3725-85c2-0f87dfbca6f1"]}],"mendeley":{"formattedCitation":"[57]","plainTextFormattedCitation":"[57]","previouslyFormattedCitation":"[57]"},"properties":{"noteIndex":0},"schema":"https://github.com/citation-style-language/schema/raw/master/csl-citation.json"}</w:instrText>
      </w:r>
      <w:r w:rsidRPr="00E67B00">
        <w:rPr>
          <w:rFonts w:eastAsia="Times New Roman" w:cs="Times New Roman"/>
          <w:szCs w:val="24"/>
          <w:lang w:val="en" w:bidi="en-US"/>
        </w:rPr>
        <w:fldChar w:fldCharType="separate"/>
      </w:r>
      <w:r w:rsidR="001E7355" w:rsidRPr="00E67B00">
        <w:rPr>
          <w:rFonts w:eastAsia="Times New Roman" w:cs="Times New Roman"/>
          <w:noProof/>
          <w:szCs w:val="24"/>
          <w:lang w:val="en" w:bidi="en-US"/>
        </w:rPr>
        <w:t>[57]</w:t>
      </w:r>
      <w:r w:rsidRPr="00E67B00">
        <w:rPr>
          <w:rFonts w:eastAsia="Times New Roman" w:cs="Times New Roman"/>
          <w:szCs w:val="24"/>
          <w:lang w:val="en"/>
        </w:rPr>
        <w:fldChar w:fldCharType="end"/>
      </w:r>
      <w:r w:rsidRPr="00E67B00">
        <w:rPr>
          <w:rFonts w:eastAsia="Times New Roman" w:cs="Times New Roman"/>
          <w:szCs w:val="24"/>
          <w:lang w:val="en" w:bidi="en-US"/>
        </w:rPr>
        <w:t xml:space="preserve">. This approach identifies gaps in current practices and fosters quality improvement initiatives. The scoring in the IPCAF tool is done as follows: Scores of 0–200 (Inadequate): IPC core component implementation is deficient and thus requires significant improvement; Scores of 201–400 (Basic): Some aspects of the IPC core components are in place, but not sufficiently implemented, hence, requires further improvement; Scores of 401–600 (Intermediate): Most aspects of IPC core components are appropriately implemented but there is a need to continue to improve the scope and quality of implementation and focus on the development of long-term plans to sustain and further promote the existing IPC program; Scores of 601–800 (Advanced): Means that the IPC core components are fully implemented according to the WHO recommendations and appropriate to the needs of the facility </w:t>
      </w:r>
      <w:r w:rsidRPr="00E67B00">
        <w:rPr>
          <w:rFonts w:eastAsia="Times New Roman" w:cs="Times New Roman"/>
          <w:szCs w:val="24"/>
          <w:lang w:val="en" w:bidi="en-US"/>
        </w:rPr>
        <w:fldChar w:fldCharType="begin" w:fldLock="1"/>
      </w:r>
      <w:r w:rsidR="005E406D" w:rsidRPr="00E67B00">
        <w:rPr>
          <w:rFonts w:eastAsia="Times New Roman" w:cs="Times New Roman"/>
          <w:szCs w:val="24"/>
          <w:lang w:val="en" w:bidi="en-US"/>
        </w:rPr>
        <w:instrText>ADDIN CSL_CITATION {"citationItems":[{"id":"ITEM-1","itemData":{"ISSN":"08863350","abstract":"Cataract surgery is routinely performed using an anterior continuous curvilinear capsulorhexis (CCC). A manual surgical technique is described for performing a small (less than 1.5 mm diameter) anterior CCC. This technique's applications extend from Phaco-Ersatz, a cataract surgical technique designed to restore accommodation to pediatric cataract surgery. An experimental rabbit study was conducted to determine the feasibility of the technique. Up to 9 small peripheral anterior CCCs were made in the same lens capsule without the capsule tearing, The mean diameter of the CCCs was 1.1 mm ± 0.3 (SD). A 30 gauge needle and Utrata capsulorhexis forceps were used to construct the CCC. This technique shows promise for the successful performance of small CCCs in Phaco-Ersatz procedures and pediatric cataract surgery.","author":[{"dropping-particle":"","family":"World Health Organization","given":"","non-dropping-particle":"","parse-names":false,"suffix":""}],"container-title":"World Health Organization","id":"ITEM-1","issued":{"date-parts":[["2018"]]},"number-of-pages":"1-16","title":"Infection Prevention and Control Assessment Framework at the Facility Level","type":"report"},"uris":["http://www.mendeley.com/documents/?uuid=cf2b6173-ea8b-3725-85c2-0f87dfbca6f1"]}],"mendeley":{"formattedCitation":"[57]","plainTextFormattedCitation":"[57]","previouslyFormattedCitation":"[57]"},"properties":{"noteIndex":0},"schema":"https://github.com/citation-style-language/schema/raw/master/csl-citation.json"}</w:instrText>
      </w:r>
      <w:r w:rsidRPr="00E67B00">
        <w:rPr>
          <w:rFonts w:eastAsia="Times New Roman" w:cs="Times New Roman"/>
          <w:szCs w:val="24"/>
          <w:lang w:val="en" w:bidi="en-US"/>
        </w:rPr>
        <w:fldChar w:fldCharType="separate"/>
      </w:r>
      <w:r w:rsidR="001E7355" w:rsidRPr="00E67B00">
        <w:rPr>
          <w:rFonts w:eastAsia="Times New Roman" w:cs="Times New Roman"/>
          <w:noProof/>
          <w:szCs w:val="24"/>
          <w:lang w:val="en" w:bidi="en-US"/>
        </w:rPr>
        <w:t>[57]</w:t>
      </w:r>
      <w:r w:rsidRPr="00E67B00">
        <w:rPr>
          <w:rFonts w:eastAsia="Times New Roman" w:cs="Times New Roman"/>
          <w:szCs w:val="24"/>
          <w:lang w:val="en"/>
        </w:rPr>
        <w:fldChar w:fldCharType="end"/>
      </w:r>
      <w:r w:rsidRPr="00E67B00">
        <w:rPr>
          <w:rFonts w:eastAsia="Times New Roman" w:cs="Times New Roman"/>
          <w:szCs w:val="24"/>
          <w:lang w:val="en" w:bidi="en-US"/>
        </w:rPr>
        <w:t>. All survey questions addressing the core components were multiple-choice, with response options such as "yes," "no," or "choose one answer".</w:t>
      </w:r>
      <w:r w:rsidR="00377F66" w:rsidRPr="00E67B00">
        <w:rPr>
          <w:rFonts w:eastAsia="Times New Roman" w:cs="Times New Roman"/>
          <w:szCs w:val="24"/>
          <w:lang w:val="en" w:bidi="en-US"/>
        </w:rPr>
        <w:t xml:space="preserve"> </w:t>
      </w:r>
      <w:r w:rsidR="00756AF4" w:rsidRPr="00E67B00">
        <w:rPr>
          <w:rFonts w:eastAsia="Times New Roman" w:cs="Times New Roman"/>
          <w:szCs w:val="24"/>
          <w:lang w:val="en" w:bidi="en-US"/>
        </w:rPr>
        <w:t>The findings of the study were discussed with the IPC committee and disseminated across the surveyed hospitals.</w:t>
      </w:r>
    </w:p>
    <w:p w14:paraId="6216A04F" w14:textId="77777777" w:rsidR="003F4633" w:rsidRPr="003F4633" w:rsidRDefault="003F4633" w:rsidP="003F4633">
      <w:pPr>
        <w:spacing w:before="0" w:after="0" w:line="360" w:lineRule="auto"/>
        <w:jc w:val="both"/>
        <w:rPr>
          <w:rFonts w:eastAsia="Times New Roman" w:cs="Times New Roman"/>
          <w:b/>
          <w:szCs w:val="24"/>
          <w:lang w:val="en" w:bidi="en-US"/>
        </w:rPr>
      </w:pPr>
      <w:r w:rsidRPr="003F4633">
        <w:rPr>
          <w:rFonts w:eastAsia="Times New Roman" w:cs="Times New Roman"/>
          <w:b/>
          <w:szCs w:val="24"/>
          <w:lang w:val="en" w:bidi="en-US"/>
        </w:rPr>
        <w:t>Data analysis</w:t>
      </w:r>
    </w:p>
    <w:p w14:paraId="136AA6F0" w14:textId="1A086EB4" w:rsidR="0082323C" w:rsidRPr="0082323C" w:rsidRDefault="003F4633" w:rsidP="0082323C">
      <w:pPr>
        <w:spacing w:before="0" w:line="360" w:lineRule="auto"/>
        <w:jc w:val="both"/>
        <w:rPr>
          <w:rFonts w:eastAsia="Times New Roman" w:cs="Times New Roman"/>
          <w:szCs w:val="24"/>
          <w:lang w:bidi="en-US"/>
        </w:rPr>
      </w:pPr>
      <w:r w:rsidRPr="003F4633">
        <w:rPr>
          <w:rFonts w:eastAsia="Times New Roman" w:cs="Times New Roman"/>
          <w:szCs w:val="24"/>
          <w:lang w:val="en" w:bidi="en-US"/>
        </w:rPr>
        <w:t>The collected data were checked for completeness before analysis. Data analysis was done using the self-scoring Excel sheet and IBM Statistical Package for Social Sciences (SPSS) version 25.0. Scoring for implementation of IPC core components was assigned as follows: 0–200 (Inadequate): 201–400 (Basic): 401–600 (Intermediate): and 601–800 (Advanced). Descriptive statistics were used to determine the overall implementation of IPC core components, and the status of IPC core components for each hospital was expressed as proportions. Additionally, descriptive statistics, including the mean and standard deviation, were used to summarize the overall IPCAF scores and the scores for each of the eight core components across the surveyed hospitals. Frequencies and percentages were used to describe the distribution of hospitals within the defined IPCAF implementation levels.</w:t>
      </w:r>
      <w:r w:rsidR="00377F66">
        <w:rPr>
          <w:rFonts w:eastAsia="Times New Roman" w:cs="Times New Roman"/>
          <w:szCs w:val="24"/>
          <w:lang w:val="en" w:bidi="en-US"/>
        </w:rPr>
        <w:t xml:space="preserve"> </w:t>
      </w:r>
      <w:r w:rsidR="00756AF4" w:rsidRPr="0082323C">
        <w:rPr>
          <w:rFonts w:eastAsia="Times New Roman" w:cs="Times New Roman"/>
          <w:szCs w:val="24"/>
          <w:lang w:bidi="en-US"/>
        </w:rPr>
        <w:t>To compare the mean IPC implementation sc</w:t>
      </w:r>
      <w:r w:rsidR="00756AF4">
        <w:rPr>
          <w:rFonts w:eastAsia="Times New Roman" w:cs="Times New Roman"/>
          <w:szCs w:val="24"/>
          <w:lang w:bidi="en-US"/>
        </w:rPr>
        <w:t>ores across the nine hospitals</w:t>
      </w:r>
      <w:r w:rsidR="00756AF4" w:rsidRPr="0082323C">
        <w:rPr>
          <w:rFonts w:eastAsia="Times New Roman" w:cs="Times New Roman"/>
          <w:szCs w:val="24"/>
          <w:lang w:bidi="en-US"/>
        </w:rPr>
        <w:t xml:space="preserve">, a </w:t>
      </w:r>
      <w:r w:rsidR="00756AF4" w:rsidRPr="0082323C">
        <w:rPr>
          <w:rFonts w:eastAsia="Times New Roman" w:cs="Times New Roman"/>
          <w:bCs/>
          <w:szCs w:val="24"/>
          <w:lang w:bidi="en-US"/>
        </w:rPr>
        <w:t>One-Way Analysis of Variance (ANOVA)</w:t>
      </w:r>
      <w:r w:rsidR="00756AF4" w:rsidRPr="0082323C">
        <w:rPr>
          <w:rFonts w:eastAsia="Times New Roman" w:cs="Times New Roman"/>
          <w:szCs w:val="24"/>
          <w:lang w:bidi="en-US"/>
        </w:rPr>
        <w:t xml:space="preserve"> </w:t>
      </w:r>
      <w:r w:rsidR="00756AF4">
        <w:rPr>
          <w:rFonts w:eastAsia="Times New Roman" w:cs="Times New Roman"/>
          <w:szCs w:val="24"/>
          <w:lang w:bidi="en-US"/>
        </w:rPr>
        <w:t>was performed</w:t>
      </w:r>
      <w:r w:rsidR="00756AF4" w:rsidRPr="0082323C">
        <w:rPr>
          <w:rFonts w:eastAsia="Times New Roman" w:cs="Times New Roman"/>
          <w:szCs w:val="24"/>
          <w:lang w:bidi="en-US"/>
        </w:rPr>
        <w:t>.</w:t>
      </w:r>
      <w:r w:rsidR="00756AF4">
        <w:rPr>
          <w:rFonts w:eastAsia="Times New Roman" w:cs="Times New Roman"/>
          <w:szCs w:val="24"/>
          <w:lang w:bidi="en-US"/>
        </w:rPr>
        <w:t xml:space="preserve"> The statistical test (F-statistic) was conducted at a 95% confidence level and t</w:t>
      </w:r>
      <w:r w:rsidR="00756AF4" w:rsidRPr="0082323C">
        <w:rPr>
          <w:rFonts w:eastAsia="Times New Roman" w:cs="Times New Roman"/>
          <w:szCs w:val="24"/>
          <w:lang w:bidi="en-US"/>
        </w:rPr>
        <w:t xml:space="preserve">he level of statistical significance was set at </w:t>
      </w:r>
      <w:r w:rsidR="00756AF4">
        <w:rPr>
          <w:rFonts w:eastAsia="Times New Roman" w:cs="Times New Roman"/>
          <w:szCs w:val="24"/>
          <w:lang w:bidi="en-US"/>
        </w:rPr>
        <w:t>p&lt;</w:t>
      </w:r>
      <w:r w:rsidR="00756AF4" w:rsidRPr="0082323C">
        <w:rPr>
          <w:rFonts w:eastAsia="Times New Roman" w:cs="Times New Roman"/>
          <w:szCs w:val="24"/>
          <w:lang w:bidi="en-US"/>
        </w:rPr>
        <w:t>0.05.</w:t>
      </w:r>
    </w:p>
    <w:p w14:paraId="1910E5D2" w14:textId="5E1C5145" w:rsidR="003F4633" w:rsidRPr="00E67B00" w:rsidRDefault="003F4633" w:rsidP="003F4633">
      <w:pPr>
        <w:spacing w:before="0" w:line="360" w:lineRule="auto"/>
        <w:jc w:val="both"/>
        <w:rPr>
          <w:rFonts w:eastAsia="Times New Roman" w:cs="Times New Roman"/>
          <w:szCs w:val="24"/>
          <w:lang w:val="en" w:bidi="en-US"/>
        </w:rPr>
      </w:pPr>
    </w:p>
    <w:p w14:paraId="384D6B14" w14:textId="77777777" w:rsidR="003F4633" w:rsidRPr="00E67B00" w:rsidRDefault="003F4633" w:rsidP="003F4633">
      <w:pPr>
        <w:spacing w:before="0" w:after="0" w:line="360" w:lineRule="auto"/>
        <w:jc w:val="both"/>
        <w:rPr>
          <w:rFonts w:eastAsia="Times New Roman" w:cs="Times New Roman"/>
          <w:b/>
          <w:szCs w:val="24"/>
          <w:lang w:val="en" w:bidi="en-US"/>
        </w:rPr>
      </w:pPr>
      <w:r w:rsidRPr="00E67B00">
        <w:rPr>
          <w:rFonts w:eastAsia="Times New Roman" w:cs="Times New Roman"/>
          <w:b/>
          <w:szCs w:val="24"/>
          <w:lang w:val="en" w:bidi="en-US"/>
        </w:rPr>
        <w:t>Ethical approval</w:t>
      </w:r>
    </w:p>
    <w:p w14:paraId="5178C6FE" w14:textId="2E1BA619" w:rsidR="006F1480" w:rsidRDefault="003F4633" w:rsidP="003F4633">
      <w:pPr>
        <w:adjustRightInd w:val="0"/>
        <w:snapToGrid w:val="0"/>
        <w:spacing w:before="240" w:after="60" w:line="360" w:lineRule="auto"/>
        <w:outlineLvl w:val="0"/>
        <w:rPr>
          <w:rFonts w:eastAsia="Times New Roman" w:cs="Times New Roman"/>
          <w:b/>
          <w:snapToGrid w:val="0"/>
          <w:color w:val="000000"/>
          <w:szCs w:val="24"/>
          <w:lang w:eastAsia="de-DE" w:bidi="en-US"/>
        </w:rPr>
      </w:pPr>
      <w:bookmarkStart w:id="0" w:name="_Hlk89945590"/>
      <w:bookmarkStart w:id="1" w:name="_Hlk60054323"/>
      <w:r w:rsidRPr="00E67B00">
        <w:rPr>
          <w:rFonts w:eastAsia="Times New Roman" w:cs="Times New Roman"/>
          <w:szCs w:val="24"/>
          <w:lang w:bidi="en-US"/>
        </w:rPr>
        <w:t xml:space="preserve">The study was conducted in accordance with the Declaration of Helsinki, and approved by the Ethics Committee of Tropical Diseases Research Centre (TRC/C4/09/2023). </w:t>
      </w:r>
      <w:bookmarkEnd w:id="0"/>
      <w:r w:rsidRPr="00E67B00">
        <w:rPr>
          <w:rFonts w:eastAsia="Times New Roman" w:cs="Times New Roman"/>
          <w:szCs w:val="24"/>
          <w:lang w:bidi="en-US"/>
        </w:rPr>
        <w:t>Informed consent was obtained from all subjects involved in the study. Written informed consent has been obtained from the participants and facilities to publish this paper.</w:t>
      </w:r>
      <w:r w:rsidR="0018230D" w:rsidRPr="00E67B00">
        <w:rPr>
          <w:rFonts w:eastAsia="Times New Roman" w:cs="Times New Roman"/>
          <w:szCs w:val="24"/>
          <w:lang w:bidi="en-US"/>
        </w:rPr>
        <w:t xml:space="preserve"> </w:t>
      </w:r>
      <w:r w:rsidR="00756AF4" w:rsidRPr="00E67B00">
        <w:rPr>
          <w:rFonts w:eastAsia="Times New Roman" w:cs="Times New Roman"/>
          <w:szCs w:val="24"/>
          <w:lang w:bidi="en-US"/>
        </w:rPr>
        <w:t>Respondents and hospital management were informed that the findings of the study were to be published in peer-reviewed journals.</w:t>
      </w:r>
      <w:bookmarkEnd w:id="1"/>
    </w:p>
    <w:p w14:paraId="1696CE77" w14:textId="77777777" w:rsidR="003F4633" w:rsidRPr="003F4633" w:rsidRDefault="003F4633" w:rsidP="003F4633">
      <w:pPr>
        <w:adjustRightInd w:val="0"/>
        <w:snapToGrid w:val="0"/>
        <w:spacing w:before="240" w:after="60" w:line="360" w:lineRule="auto"/>
        <w:outlineLvl w:val="0"/>
        <w:rPr>
          <w:rFonts w:eastAsia="Times New Roman" w:cs="Times New Roman"/>
          <w:b/>
          <w:snapToGrid w:val="0"/>
          <w:color w:val="000000"/>
          <w:szCs w:val="24"/>
          <w:lang w:eastAsia="de-DE" w:bidi="en-US"/>
        </w:rPr>
      </w:pPr>
      <w:r w:rsidRPr="003F4633">
        <w:rPr>
          <w:rFonts w:eastAsia="Times New Roman" w:cs="Times New Roman"/>
          <w:b/>
          <w:snapToGrid w:val="0"/>
          <w:color w:val="000000"/>
          <w:szCs w:val="24"/>
          <w:lang w:eastAsia="de-DE" w:bidi="en-US"/>
        </w:rPr>
        <w:t>Results</w:t>
      </w:r>
    </w:p>
    <w:p w14:paraId="327B605B" w14:textId="77777777" w:rsidR="003F4633" w:rsidRPr="003F4633" w:rsidRDefault="003F4633" w:rsidP="003F4633">
      <w:pPr>
        <w:spacing w:before="0" w:after="0" w:line="360" w:lineRule="auto"/>
        <w:jc w:val="both"/>
        <w:rPr>
          <w:rFonts w:eastAsia="Times New Roman" w:cs="Times New Roman"/>
          <w:b/>
          <w:szCs w:val="24"/>
        </w:rPr>
      </w:pPr>
      <w:r w:rsidRPr="003F4633">
        <w:rPr>
          <w:rFonts w:eastAsia="Times New Roman" w:cs="Times New Roman"/>
          <w:b/>
          <w:szCs w:val="24"/>
        </w:rPr>
        <w:t xml:space="preserve">Demographics of the surveyed hospitals </w:t>
      </w:r>
    </w:p>
    <w:p w14:paraId="2B3C7A20" w14:textId="6B7AFCF0" w:rsidR="00441112" w:rsidRDefault="003F4633" w:rsidP="0018230D">
      <w:pPr>
        <w:spacing w:before="0" w:after="0" w:line="360" w:lineRule="auto"/>
        <w:jc w:val="both"/>
        <w:rPr>
          <w:rFonts w:eastAsia="Times New Roman" w:cs="Times New Roman"/>
          <w:bCs/>
          <w:szCs w:val="24"/>
        </w:rPr>
      </w:pPr>
      <w:r w:rsidRPr="003F4633">
        <w:rPr>
          <w:rFonts w:eastAsia="Times New Roman" w:cs="Times New Roman"/>
          <w:bCs/>
          <w:szCs w:val="24"/>
        </w:rPr>
        <w:t xml:space="preserve">Overall, nine hospitals, including five (55.6%) </w:t>
      </w:r>
      <w:r w:rsidR="00D003A9">
        <w:rPr>
          <w:rFonts w:eastAsia="Times New Roman" w:cs="Times New Roman"/>
          <w:bCs/>
          <w:szCs w:val="24"/>
        </w:rPr>
        <w:t>secondary</w:t>
      </w:r>
      <w:r w:rsidRPr="003F4633">
        <w:rPr>
          <w:rFonts w:eastAsia="Times New Roman" w:cs="Times New Roman"/>
          <w:bCs/>
          <w:szCs w:val="24"/>
        </w:rPr>
        <w:t>-level and four (44.4%) tertiary-level hospitals, were included in this study across seven provinces in Zambia, with an overall inpatient bed capacity of 3300. Of the nine hospitals, two had bed capacities above 500, while the rest had betwe</w:t>
      </w:r>
      <w:r w:rsidR="0018230D">
        <w:rPr>
          <w:rFonts w:eastAsia="Times New Roman" w:cs="Times New Roman"/>
          <w:bCs/>
          <w:szCs w:val="24"/>
        </w:rPr>
        <w:t xml:space="preserve">en 150 and 420 beds (Table 1). </w:t>
      </w:r>
      <w:r w:rsidR="00924F9B">
        <w:rPr>
          <w:rFonts w:eastAsia="Times New Roman" w:cs="Times New Roman"/>
          <w:bCs/>
          <w:szCs w:val="24"/>
        </w:rPr>
        <w:t xml:space="preserve">The average bed capacity for secondary-level hospitals was 277 while that for tertiary-level hospitals was 479. </w:t>
      </w:r>
    </w:p>
    <w:p w14:paraId="160B39E4" w14:textId="77777777" w:rsidR="00377F66" w:rsidRDefault="00377F66" w:rsidP="00377F66">
      <w:pPr>
        <w:spacing w:before="0" w:after="0" w:line="360" w:lineRule="auto"/>
        <w:jc w:val="both"/>
        <w:rPr>
          <w:rFonts w:eastAsia="Times New Roman" w:cs="Times New Roman"/>
          <w:bCs/>
          <w:szCs w:val="24"/>
        </w:rPr>
      </w:pPr>
    </w:p>
    <w:p w14:paraId="047E0274" w14:textId="19B48A0C" w:rsidR="0018230D" w:rsidRPr="0018230D" w:rsidRDefault="00377F66" w:rsidP="00377F66">
      <w:pPr>
        <w:spacing w:before="0" w:after="0" w:line="360" w:lineRule="auto"/>
        <w:ind w:left="720" w:firstLine="720"/>
        <w:jc w:val="both"/>
        <w:rPr>
          <w:rFonts w:eastAsia="Times New Roman" w:cs="Times New Roman"/>
          <w:bCs/>
          <w:szCs w:val="24"/>
        </w:rPr>
      </w:pPr>
      <w:r w:rsidRPr="003F4633">
        <w:rPr>
          <w:rFonts w:eastAsia="Times New Roman" w:cs="Times New Roman"/>
          <w:szCs w:val="24"/>
        </w:rPr>
        <w:t>Table 1. Facility name, level of healthcare, and number of inpatient beds.</w:t>
      </w:r>
    </w:p>
    <w:tbl>
      <w:tblPr>
        <w:tblStyle w:val="PlainTable2"/>
        <w:tblpPr w:leftFromText="180" w:rightFromText="180" w:vertAnchor="text" w:horzAnchor="margin" w:tblpXSpec="center" w:tblpY="115"/>
        <w:tblW w:w="0" w:type="auto"/>
        <w:tblLook w:val="04A0" w:firstRow="1" w:lastRow="0" w:firstColumn="1" w:lastColumn="0" w:noHBand="0" w:noVBand="1"/>
      </w:tblPr>
      <w:tblGrid>
        <w:gridCol w:w="2065"/>
        <w:gridCol w:w="2070"/>
        <w:gridCol w:w="1980"/>
        <w:gridCol w:w="1725"/>
      </w:tblGrid>
      <w:tr w:rsidR="00377F66" w:rsidRPr="003F4633" w14:paraId="47458314" w14:textId="77777777" w:rsidTr="00377F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5F00CF2" w14:textId="77777777" w:rsidR="00377F66" w:rsidRPr="003F4633" w:rsidRDefault="00377F66" w:rsidP="00377F66">
            <w:pPr>
              <w:spacing w:before="0" w:after="0" w:line="276" w:lineRule="auto"/>
              <w:jc w:val="both"/>
              <w:rPr>
                <w:rFonts w:eastAsia="Times New Roman"/>
                <w:szCs w:val="24"/>
              </w:rPr>
            </w:pPr>
            <w:r w:rsidRPr="003F4633">
              <w:rPr>
                <w:rFonts w:eastAsia="Times New Roman"/>
                <w:szCs w:val="24"/>
              </w:rPr>
              <w:t>Hospital Name</w:t>
            </w:r>
          </w:p>
        </w:tc>
        <w:tc>
          <w:tcPr>
            <w:tcW w:w="2070" w:type="dxa"/>
          </w:tcPr>
          <w:p w14:paraId="552D61A0" w14:textId="77777777" w:rsidR="00377F66" w:rsidRPr="003F4633" w:rsidRDefault="00377F66" w:rsidP="00377F66">
            <w:pPr>
              <w:spacing w:before="0" w:after="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szCs w:val="24"/>
              </w:rPr>
            </w:pPr>
            <w:r w:rsidRPr="003F4633">
              <w:rPr>
                <w:rFonts w:eastAsia="Times New Roman"/>
                <w:szCs w:val="24"/>
              </w:rPr>
              <w:t>Province</w:t>
            </w:r>
          </w:p>
        </w:tc>
        <w:tc>
          <w:tcPr>
            <w:tcW w:w="1980" w:type="dxa"/>
          </w:tcPr>
          <w:p w14:paraId="49071C6E" w14:textId="77777777" w:rsidR="00377F66" w:rsidRPr="003F4633" w:rsidRDefault="00377F66" w:rsidP="00377F66">
            <w:pPr>
              <w:spacing w:before="0" w:after="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szCs w:val="24"/>
              </w:rPr>
            </w:pPr>
            <w:r w:rsidRPr="003F4633">
              <w:rPr>
                <w:rFonts w:eastAsia="Times New Roman"/>
                <w:szCs w:val="24"/>
              </w:rPr>
              <w:t>Level</w:t>
            </w:r>
          </w:p>
        </w:tc>
        <w:tc>
          <w:tcPr>
            <w:tcW w:w="1725" w:type="dxa"/>
          </w:tcPr>
          <w:p w14:paraId="30DA719E" w14:textId="77777777" w:rsidR="00377F66" w:rsidRPr="003F4633" w:rsidRDefault="00377F66" w:rsidP="00377F66">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szCs w:val="24"/>
              </w:rPr>
            </w:pPr>
            <w:r w:rsidRPr="003F4633">
              <w:rPr>
                <w:rFonts w:eastAsia="Times New Roman"/>
                <w:szCs w:val="24"/>
              </w:rPr>
              <w:t>Number of Beds</w:t>
            </w:r>
          </w:p>
        </w:tc>
      </w:tr>
      <w:tr w:rsidR="00756AF4" w:rsidRPr="003F4633" w14:paraId="6C9F23E6" w14:textId="77777777" w:rsidTr="00377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0C27772" w14:textId="77777777" w:rsidR="00756AF4" w:rsidRPr="003F4633" w:rsidRDefault="00756AF4" w:rsidP="00756AF4">
            <w:pPr>
              <w:spacing w:before="0" w:after="0" w:line="276" w:lineRule="auto"/>
              <w:jc w:val="both"/>
              <w:rPr>
                <w:rFonts w:eastAsia="Times New Roman"/>
                <w:szCs w:val="24"/>
              </w:rPr>
            </w:pPr>
            <w:r w:rsidRPr="003F4633">
              <w:rPr>
                <w:rFonts w:eastAsia="Times New Roman"/>
                <w:szCs w:val="24"/>
              </w:rPr>
              <w:t>CGH</w:t>
            </w:r>
          </w:p>
        </w:tc>
        <w:tc>
          <w:tcPr>
            <w:tcW w:w="2070" w:type="dxa"/>
          </w:tcPr>
          <w:p w14:paraId="4F6D40CE" w14:textId="77777777" w:rsidR="00756AF4" w:rsidRPr="003F4633" w:rsidRDefault="00756AF4" w:rsidP="00756AF4">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3F4633">
              <w:rPr>
                <w:rFonts w:eastAsia="Times New Roman"/>
                <w:szCs w:val="24"/>
              </w:rPr>
              <w:t>Southern</w:t>
            </w:r>
          </w:p>
        </w:tc>
        <w:tc>
          <w:tcPr>
            <w:tcW w:w="1980" w:type="dxa"/>
          </w:tcPr>
          <w:p w14:paraId="2D5C0A5C" w14:textId="2780F367" w:rsidR="00756AF4" w:rsidRPr="003F4633" w:rsidRDefault="00756AF4" w:rsidP="00756AF4">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Pr>
                <w:rFonts w:eastAsia="Times New Roman"/>
                <w:szCs w:val="24"/>
              </w:rPr>
              <w:t>Secondary</w:t>
            </w:r>
            <w:r w:rsidRPr="003F4633">
              <w:rPr>
                <w:rFonts w:eastAsia="Times New Roman"/>
                <w:szCs w:val="24"/>
              </w:rPr>
              <w:t xml:space="preserve"> Level</w:t>
            </w:r>
          </w:p>
        </w:tc>
        <w:tc>
          <w:tcPr>
            <w:tcW w:w="1725" w:type="dxa"/>
          </w:tcPr>
          <w:p w14:paraId="3F063800" w14:textId="77777777" w:rsidR="00756AF4" w:rsidRPr="003F4633" w:rsidRDefault="00756AF4" w:rsidP="00756AF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3F4633">
              <w:rPr>
                <w:rFonts w:eastAsia="Times New Roman"/>
                <w:szCs w:val="24"/>
              </w:rPr>
              <w:t>204</w:t>
            </w:r>
          </w:p>
        </w:tc>
      </w:tr>
      <w:tr w:rsidR="00756AF4" w:rsidRPr="003F4633" w14:paraId="322C6073" w14:textId="77777777" w:rsidTr="00377F66">
        <w:tc>
          <w:tcPr>
            <w:cnfStyle w:val="001000000000" w:firstRow="0" w:lastRow="0" w:firstColumn="1" w:lastColumn="0" w:oddVBand="0" w:evenVBand="0" w:oddHBand="0" w:evenHBand="0" w:firstRowFirstColumn="0" w:firstRowLastColumn="0" w:lastRowFirstColumn="0" w:lastRowLastColumn="0"/>
            <w:tcW w:w="2065" w:type="dxa"/>
          </w:tcPr>
          <w:p w14:paraId="30312ED5" w14:textId="77777777" w:rsidR="00756AF4" w:rsidRPr="003F4633" w:rsidRDefault="00756AF4" w:rsidP="00756AF4">
            <w:pPr>
              <w:spacing w:before="0" w:after="0" w:line="276" w:lineRule="auto"/>
              <w:jc w:val="both"/>
              <w:rPr>
                <w:rFonts w:eastAsia="Times New Roman"/>
                <w:szCs w:val="24"/>
              </w:rPr>
            </w:pPr>
            <w:r w:rsidRPr="003F4633">
              <w:rPr>
                <w:rFonts w:eastAsia="Times New Roman"/>
                <w:szCs w:val="24"/>
              </w:rPr>
              <w:t>KGH</w:t>
            </w:r>
          </w:p>
        </w:tc>
        <w:tc>
          <w:tcPr>
            <w:tcW w:w="2070" w:type="dxa"/>
          </w:tcPr>
          <w:p w14:paraId="69DE7A04" w14:textId="77777777" w:rsidR="00756AF4" w:rsidRPr="003F4633" w:rsidRDefault="00756AF4" w:rsidP="00756AF4">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3F4633">
              <w:rPr>
                <w:rFonts w:eastAsia="Times New Roman"/>
                <w:szCs w:val="24"/>
              </w:rPr>
              <w:t>Lusaka</w:t>
            </w:r>
          </w:p>
        </w:tc>
        <w:tc>
          <w:tcPr>
            <w:tcW w:w="1980" w:type="dxa"/>
          </w:tcPr>
          <w:p w14:paraId="16FBE716" w14:textId="19066C25" w:rsidR="00756AF4" w:rsidRPr="003F4633" w:rsidRDefault="00756AF4" w:rsidP="00756AF4">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Pr>
                <w:rFonts w:eastAsia="Times New Roman"/>
                <w:szCs w:val="24"/>
              </w:rPr>
              <w:t>Secondary</w:t>
            </w:r>
            <w:r w:rsidRPr="003F4633">
              <w:rPr>
                <w:rFonts w:eastAsia="Times New Roman"/>
                <w:szCs w:val="24"/>
              </w:rPr>
              <w:t xml:space="preserve"> Level</w:t>
            </w:r>
          </w:p>
        </w:tc>
        <w:tc>
          <w:tcPr>
            <w:tcW w:w="1725" w:type="dxa"/>
          </w:tcPr>
          <w:p w14:paraId="58DD0597" w14:textId="77777777" w:rsidR="00756AF4" w:rsidRPr="003F4633" w:rsidRDefault="00756AF4" w:rsidP="00756AF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3F4633">
              <w:rPr>
                <w:rFonts w:eastAsia="Times New Roman"/>
                <w:szCs w:val="24"/>
              </w:rPr>
              <w:t>150</w:t>
            </w:r>
          </w:p>
        </w:tc>
      </w:tr>
      <w:tr w:rsidR="00756AF4" w:rsidRPr="003F4633" w14:paraId="3023F9A9" w14:textId="77777777" w:rsidTr="00377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B7CF983" w14:textId="77777777" w:rsidR="00756AF4" w:rsidRPr="003F4633" w:rsidRDefault="00756AF4" w:rsidP="00756AF4">
            <w:pPr>
              <w:spacing w:before="0" w:after="0" w:line="276" w:lineRule="auto"/>
              <w:jc w:val="both"/>
              <w:rPr>
                <w:rFonts w:eastAsia="Times New Roman"/>
                <w:szCs w:val="24"/>
              </w:rPr>
            </w:pPr>
            <w:r w:rsidRPr="003F4633">
              <w:rPr>
                <w:rFonts w:eastAsia="Times New Roman"/>
                <w:szCs w:val="24"/>
              </w:rPr>
              <w:t>LGH</w:t>
            </w:r>
          </w:p>
        </w:tc>
        <w:tc>
          <w:tcPr>
            <w:tcW w:w="2070" w:type="dxa"/>
          </w:tcPr>
          <w:p w14:paraId="347CF959" w14:textId="77777777" w:rsidR="00756AF4" w:rsidRPr="003F4633" w:rsidRDefault="00756AF4" w:rsidP="00756AF4">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3F4633">
              <w:rPr>
                <w:rFonts w:eastAsia="Times New Roman"/>
                <w:szCs w:val="24"/>
              </w:rPr>
              <w:t>Western</w:t>
            </w:r>
          </w:p>
        </w:tc>
        <w:tc>
          <w:tcPr>
            <w:tcW w:w="1980" w:type="dxa"/>
          </w:tcPr>
          <w:p w14:paraId="39768E65" w14:textId="266F83FC" w:rsidR="00756AF4" w:rsidRPr="003F4633" w:rsidRDefault="00756AF4" w:rsidP="00756AF4">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Pr>
                <w:rFonts w:eastAsia="Times New Roman"/>
                <w:szCs w:val="24"/>
              </w:rPr>
              <w:t>Secondary</w:t>
            </w:r>
            <w:r w:rsidRPr="003F4633">
              <w:rPr>
                <w:rFonts w:eastAsia="Times New Roman"/>
                <w:szCs w:val="24"/>
              </w:rPr>
              <w:t xml:space="preserve"> Level</w:t>
            </w:r>
          </w:p>
        </w:tc>
        <w:tc>
          <w:tcPr>
            <w:tcW w:w="1725" w:type="dxa"/>
          </w:tcPr>
          <w:p w14:paraId="144181F9" w14:textId="77777777" w:rsidR="00756AF4" w:rsidRPr="003F4633" w:rsidRDefault="00756AF4" w:rsidP="00756AF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3F4633">
              <w:rPr>
                <w:rFonts w:eastAsia="Times New Roman"/>
                <w:szCs w:val="24"/>
              </w:rPr>
              <w:t>310</w:t>
            </w:r>
          </w:p>
        </w:tc>
      </w:tr>
      <w:tr w:rsidR="00756AF4" w:rsidRPr="003F4633" w14:paraId="1B4D5F49" w14:textId="77777777" w:rsidTr="00377F66">
        <w:tc>
          <w:tcPr>
            <w:cnfStyle w:val="001000000000" w:firstRow="0" w:lastRow="0" w:firstColumn="1" w:lastColumn="0" w:oddVBand="0" w:evenVBand="0" w:oddHBand="0" w:evenHBand="0" w:firstRowFirstColumn="0" w:firstRowLastColumn="0" w:lastRowFirstColumn="0" w:lastRowLastColumn="0"/>
            <w:tcW w:w="2065" w:type="dxa"/>
          </w:tcPr>
          <w:p w14:paraId="6F2D97D1" w14:textId="77777777" w:rsidR="00756AF4" w:rsidRPr="003F4633" w:rsidRDefault="00756AF4" w:rsidP="00756AF4">
            <w:pPr>
              <w:spacing w:before="0" w:after="0" w:line="276" w:lineRule="auto"/>
              <w:jc w:val="both"/>
              <w:rPr>
                <w:rFonts w:eastAsia="Times New Roman"/>
                <w:szCs w:val="24"/>
              </w:rPr>
            </w:pPr>
            <w:r w:rsidRPr="003F4633">
              <w:rPr>
                <w:rFonts w:eastAsia="Times New Roman"/>
                <w:szCs w:val="24"/>
              </w:rPr>
              <w:t>MGH</w:t>
            </w:r>
          </w:p>
        </w:tc>
        <w:tc>
          <w:tcPr>
            <w:tcW w:w="2070" w:type="dxa"/>
          </w:tcPr>
          <w:p w14:paraId="43261B72" w14:textId="77777777" w:rsidR="00756AF4" w:rsidRPr="003F4633" w:rsidRDefault="00756AF4" w:rsidP="00756AF4">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3F4633">
              <w:rPr>
                <w:rFonts w:eastAsia="Times New Roman"/>
                <w:szCs w:val="24"/>
              </w:rPr>
              <w:t>Luapula</w:t>
            </w:r>
          </w:p>
        </w:tc>
        <w:tc>
          <w:tcPr>
            <w:tcW w:w="1980" w:type="dxa"/>
          </w:tcPr>
          <w:p w14:paraId="27F7BB42" w14:textId="1F272B66" w:rsidR="00756AF4" w:rsidRPr="003F4633" w:rsidRDefault="00756AF4" w:rsidP="00756AF4">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Pr>
                <w:rFonts w:eastAsia="Times New Roman"/>
                <w:szCs w:val="24"/>
              </w:rPr>
              <w:t>Secondary</w:t>
            </w:r>
            <w:r w:rsidRPr="003F4633">
              <w:rPr>
                <w:rFonts w:eastAsia="Times New Roman"/>
                <w:szCs w:val="24"/>
              </w:rPr>
              <w:t xml:space="preserve"> Level</w:t>
            </w:r>
          </w:p>
        </w:tc>
        <w:tc>
          <w:tcPr>
            <w:tcW w:w="1725" w:type="dxa"/>
          </w:tcPr>
          <w:p w14:paraId="65D79A75" w14:textId="77777777" w:rsidR="00756AF4" w:rsidRPr="003F4633" w:rsidRDefault="00756AF4" w:rsidP="00756AF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3F4633">
              <w:rPr>
                <w:rFonts w:eastAsia="Times New Roman"/>
                <w:szCs w:val="24"/>
              </w:rPr>
              <w:t>420</w:t>
            </w:r>
          </w:p>
        </w:tc>
      </w:tr>
      <w:tr w:rsidR="00756AF4" w:rsidRPr="003F4633" w14:paraId="67784B1C" w14:textId="77777777" w:rsidTr="00377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24D32C3" w14:textId="77777777" w:rsidR="00756AF4" w:rsidRPr="003F4633" w:rsidRDefault="00756AF4" w:rsidP="00756AF4">
            <w:pPr>
              <w:spacing w:before="0" w:after="0" w:line="276" w:lineRule="auto"/>
              <w:jc w:val="both"/>
              <w:rPr>
                <w:rFonts w:eastAsia="Times New Roman"/>
                <w:szCs w:val="24"/>
              </w:rPr>
            </w:pPr>
            <w:r w:rsidRPr="003F4633">
              <w:rPr>
                <w:rFonts w:eastAsia="Times New Roman"/>
                <w:szCs w:val="24"/>
              </w:rPr>
              <w:t>SGH</w:t>
            </w:r>
          </w:p>
        </w:tc>
        <w:tc>
          <w:tcPr>
            <w:tcW w:w="2070" w:type="dxa"/>
          </w:tcPr>
          <w:p w14:paraId="66A12201" w14:textId="77777777" w:rsidR="00756AF4" w:rsidRPr="003F4633" w:rsidRDefault="00756AF4" w:rsidP="00756AF4">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3F4633">
              <w:rPr>
                <w:rFonts w:eastAsia="Times New Roman"/>
                <w:szCs w:val="24"/>
              </w:rPr>
              <w:t>North-Western</w:t>
            </w:r>
          </w:p>
        </w:tc>
        <w:tc>
          <w:tcPr>
            <w:tcW w:w="1980" w:type="dxa"/>
          </w:tcPr>
          <w:p w14:paraId="4EA25EED" w14:textId="3CB89B28" w:rsidR="00756AF4" w:rsidRPr="003F4633" w:rsidRDefault="00756AF4" w:rsidP="00756AF4">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Pr>
                <w:rFonts w:eastAsia="Times New Roman"/>
                <w:szCs w:val="24"/>
              </w:rPr>
              <w:t>Secondary</w:t>
            </w:r>
            <w:r w:rsidRPr="003F4633">
              <w:rPr>
                <w:rFonts w:eastAsia="Times New Roman"/>
                <w:szCs w:val="24"/>
              </w:rPr>
              <w:t xml:space="preserve"> Level </w:t>
            </w:r>
          </w:p>
        </w:tc>
        <w:tc>
          <w:tcPr>
            <w:tcW w:w="1725" w:type="dxa"/>
          </w:tcPr>
          <w:p w14:paraId="46207D6B" w14:textId="77777777" w:rsidR="00756AF4" w:rsidRPr="003F4633" w:rsidRDefault="00756AF4" w:rsidP="00756AF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3F4633">
              <w:rPr>
                <w:rFonts w:eastAsia="Times New Roman"/>
                <w:szCs w:val="24"/>
              </w:rPr>
              <w:t>300</w:t>
            </w:r>
          </w:p>
        </w:tc>
      </w:tr>
      <w:tr w:rsidR="00377F66" w:rsidRPr="003F4633" w14:paraId="67D59D3E" w14:textId="77777777" w:rsidTr="00377F66">
        <w:tc>
          <w:tcPr>
            <w:cnfStyle w:val="001000000000" w:firstRow="0" w:lastRow="0" w:firstColumn="1" w:lastColumn="0" w:oddVBand="0" w:evenVBand="0" w:oddHBand="0" w:evenHBand="0" w:firstRowFirstColumn="0" w:firstRowLastColumn="0" w:lastRowFirstColumn="0" w:lastRowLastColumn="0"/>
            <w:tcW w:w="2065" w:type="dxa"/>
          </w:tcPr>
          <w:p w14:paraId="0CE657D4" w14:textId="77777777" w:rsidR="00377F66" w:rsidRPr="003F4633" w:rsidRDefault="00377F66" w:rsidP="00377F66">
            <w:pPr>
              <w:spacing w:before="0" w:after="0" w:line="276" w:lineRule="auto"/>
              <w:jc w:val="both"/>
              <w:rPr>
                <w:rFonts w:eastAsia="Times New Roman"/>
                <w:szCs w:val="24"/>
              </w:rPr>
            </w:pPr>
            <w:r w:rsidRPr="003F4633">
              <w:rPr>
                <w:rFonts w:eastAsia="Times New Roman"/>
                <w:szCs w:val="24"/>
              </w:rPr>
              <w:t>ADCH</w:t>
            </w:r>
          </w:p>
        </w:tc>
        <w:tc>
          <w:tcPr>
            <w:tcW w:w="2070" w:type="dxa"/>
          </w:tcPr>
          <w:p w14:paraId="7BC40DA5" w14:textId="77777777" w:rsidR="00377F66" w:rsidRPr="003F4633" w:rsidRDefault="00377F66" w:rsidP="00377F66">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3F4633">
              <w:rPr>
                <w:rFonts w:eastAsia="Times New Roman"/>
                <w:szCs w:val="24"/>
              </w:rPr>
              <w:t xml:space="preserve">Copperbelt </w:t>
            </w:r>
          </w:p>
        </w:tc>
        <w:tc>
          <w:tcPr>
            <w:tcW w:w="1980" w:type="dxa"/>
          </w:tcPr>
          <w:p w14:paraId="2B4C6489" w14:textId="77777777" w:rsidR="00377F66" w:rsidRPr="003F4633" w:rsidRDefault="00377F66" w:rsidP="00377F66">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3F4633">
              <w:rPr>
                <w:rFonts w:eastAsia="Times New Roman"/>
                <w:szCs w:val="24"/>
              </w:rPr>
              <w:t>Tertiary Level</w:t>
            </w:r>
          </w:p>
        </w:tc>
        <w:tc>
          <w:tcPr>
            <w:tcW w:w="1725" w:type="dxa"/>
          </w:tcPr>
          <w:p w14:paraId="2CB99D55" w14:textId="77777777" w:rsidR="00377F66" w:rsidRPr="003F4633" w:rsidRDefault="00377F66" w:rsidP="00377F6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3F4633">
              <w:rPr>
                <w:rFonts w:eastAsia="Times New Roman"/>
                <w:szCs w:val="24"/>
              </w:rPr>
              <w:t>250</w:t>
            </w:r>
          </w:p>
        </w:tc>
      </w:tr>
      <w:tr w:rsidR="00377F66" w:rsidRPr="003F4633" w14:paraId="514D526F" w14:textId="77777777" w:rsidTr="00377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8FE4BC9" w14:textId="77777777" w:rsidR="00377F66" w:rsidRPr="003F4633" w:rsidRDefault="00377F66" w:rsidP="00377F66">
            <w:pPr>
              <w:spacing w:before="0" w:after="0" w:line="276" w:lineRule="auto"/>
              <w:jc w:val="both"/>
              <w:rPr>
                <w:rFonts w:eastAsia="Times New Roman"/>
                <w:szCs w:val="24"/>
              </w:rPr>
            </w:pPr>
            <w:r w:rsidRPr="003F4633">
              <w:rPr>
                <w:rFonts w:eastAsia="Times New Roman"/>
                <w:szCs w:val="24"/>
              </w:rPr>
              <w:t>CCH</w:t>
            </w:r>
          </w:p>
        </w:tc>
        <w:tc>
          <w:tcPr>
            <w:tcW w:w="2070" w:type="dxa"/>
          </w:tcPr>
          <w:p w14:paraId="1EAE25F4" w14:textId="77777777" w:rsidR="00377F66" w:rsidRPr="003F4633" w:rsidRDefault="00377F66" w:rsidP="00377F66">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3F4633">
              <w:rPr>
                <w:rFonts w:eastAsia="Times New Roman"/>
                <w:szCs w:val="24"/>
              </w:rPr>
              <w:t>Eastern</w:t>
            </w:r>
          </w:p>
        </w:tc>
        <w:tc>
          <w:tcPr>
            <w:tcW w:w="1980" w:type="dxa"/>
          </w:tcPr>
          <w:p w14:paraId="19F2C381" w14:textId="77777777" w:rsidR="00377F66" w:rsidRPr="003F4633" w:rsidRDefault="00377F66" w:rsidP="00377F66">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3F4633">
              <w:rPr>
                <w:rFonts w:eastAsia="Times New Roman"/>
                <w:szCs w:val="24"/>
              </w:rPr>
              <w:t>Tertiary Level</w:t>
            </w:r>
          </w:p>
        </w:tc>
        <w:tc>
          <w:tcPr>
            <w:tcW w:w="1725" w:type="dxa"/>
          </w:tcPr>
          <w:p w14:paraId="1142F8BE" w14:textId="77777777" w:rsidR="00377F66" w:rsidRPr="003F4633" w:rsidRDefault="00377F66" w:rsidP="00377F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3F4633">
              <w:rPr>
                <w:rFonts w:eastAsia="Times New Roman"/>
                <w:szCs w:val="24"/>
              </w:rPr>
              <w:t>600</w:t>
            </w:r>
          </w:p>
        </w:tc>
      </w:tr>
      <w:tr w:rsidR="00377F66" w:rsidRPr="003F4633" w14:paraId="0984BBD9" w14:textId="77777777" w:rsidTr="00377F66">
        <w:tc>
          <w:tcPr>
            <w:cnfStyle w:val="001000000000" w:firstRow="0" w:lastRow="0" w:firstColumn="1" w:lastColumn="0" w:oddVBand="0" w:evenVBand="0" w:oddHBand="0" w:evenHBand="0" w:firstRowFirstColumn="0" w:firstRowLastColumn="0" w:lastRowFirstColumn="0" w:lastRowLastColumn="0"/>
            <w:tcW w:w="2065" w:type="dxa"/>
          </w:tcPr>
          <w:p w14:paraId="1E605C1F" w14:textId="77777777" w:rsidR="00377F66" w:rsidRPr="003F4633" w:rsidRDefault="00377F66" w:rsidP="00377F66">
            <w:pPr>
              <w:spacing w:before="0" w:after="0" w:line="276" w:lineRule="auto"/>
              <w:jc w:val="both"/>
              <w:rPr>
                <w:rFonts w:eastAsia="Times New Roman"/>
                <w:szCs w:val="24"/>
              </w:rPr>
            </w:pPr>
            <w:r w:rsidRPr="003F4633">
              <w:rPr>
                <w:rFonts w:eastAsia="Times New Roman"/>
                <w:szCs w:val="24"/>
              </w:rPr>
              <w:t>LUTH</w:t>
            </w:r>
          </w:p>
        </w:tc>
        <w:tc>
          <w:tcPr>
            <w:tcW w:w="2070" w:type="dxa"/>
          </w:tcPr>
          <w:p w14:paraId="71BAC509" w14:textId="77777777" w:rsidR="00377F66" w:rsidRPr="003F4633" w:rsidRDefault="00377F66" w:rsidP="00377F66">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3F4633">
              <w:rPr>
                <w:rFonts w:eastAsia="Times New Roman"/>
                <w:szCs w:val="24"/>
              </w:rPr>
              <w:t>Southern</w:t>
            </w:r>
          </w:p>
        </w:tc>
        <w:tc>
          <w:tcPr>
            <w:tcW w:w="1980" w:type="dxa"/>
          </w:tcPr>
          <w:p w14:paraId="2525D7D1" w14:textId="77777777" w:rsidR="00377F66" w:rsidRPr="003F4633" w:rsidRDefault="00377F66" w:rsidP="00377F66">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3F4633">
              <w:rPr>
                <w:rFonts w:eastAsia="Times New Roman"/>
                <w:szCs w:val="24"/>
              </w:rPr>
              <w:t>Tertiary Level</w:t>
            </w:r>
          </w:p>
        </w:tc>
        <w:tc>
          <w:tcPr>
            <w:tcW w:w="1725" w:type="dxa"/>
          </w:tcPr>
          <w:p w14:paraId="37D535FB" w14:textId="77777777" w:rsidR="00377F66" w:rsidRPr="003F4633" w:rsidRDefault="00377F66" w:rsidP="00377F6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3F4633">
              <w:rPr>
                <w:rFonts w:eastAsia="Times New Roman"/>
                <w:szCs w:val="24"/>
              </w:rPr>
              <w:t>325</w:t>
            </w:r>
          </w:p>
        </w:tc>
      </w:tr>
      <w:tr w:rsidR="00377F66" w:rsidRPr="003F4633" w14:paraId="2AD20ECA" w14:textId="77777777" w:rsidTr="00377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4272942" w14:textId="77777777" w:rsidR="00377F66" w:rsidRPr="003F4633" w:rsidRDefault="00377F66" w:rsidP="00377F66">
            <w:pPr>
              <w:spacing w:before="0" w:after="0" w:line="276" w:lineRule="auto"/>
              <w:jc w:val="both"/>
              <w:rPr>
                <w:rFonts w:eastAsia="Times New Roman"/>
                <w:szCs w:val="24"/>
              </w:rPr>
            </w:pPr>
            <w:r w:rsidRPr="003F4633">
              <w:rPr>
                <w:rFonts w:eastAsia="Times New Roman"/>
                <w:szCs w:val="24"/>
              </w:rPr>
              <w:t>NTH</w:t>
            </w:r>
          </w:p>
        </w:tc>
        <w:tc>
          <w:tcPr>
            <w:tcW w:w="2070" w:type="dxa"/>
          </w:tcPr>
          <w:p w14:paraId="2D669003" w14:textId="77777777" w:rsidR="00377F66" w:rsidRPr="003F4633" w:rsidRDefault="00377F66" w:rsidP="00377F66">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3F4633">
              <w:rPr>
                <w:rFonts w:eastAsia="Times New Roman"/>
                <w:szCs w:val="24"/>
              </w:rPr>
              <w:t xml:space="preserve">Copperbelt </w:t>
            </w:r>
          </w:p>
        </w:tc>
        <w:tc>
          <w:tcPr>
            <w:tcW w:w="1980" w:type="dxa"/>
          </w:tcPr>
          <w:p w14:paraId="52AF7E0F" w14:textId="77777777" w:rsidR="00377F66" w:rsidRPr="003F4633" w:rsidRDefault="00377F66" w:rsidP="00377F66">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3F4633">
              <w:rPr>
                <w:rFonts w:eastAsia="Times New Roman"/>
                <w:szCs w:val="24"/>
              </w:rPr>
              <w:t xml:space="preserve">Tertiary Level </w:t>
            </w:r>
          </w:p>
        </w:tc>
        <w:tc>
          <w:tcPr>
            <w:tcW w:w="1725" w:type="dxa"/>
          </w:tcPr>
          <w:p w14:paraId="3183DD6B" w14:textId="77777777" w:rsidR="00377F66" w:rsidRPr="003F4633" w:rsidRDefault="00377F66" w:rsidP="00377F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3F4633">
              <w:rPr>
                <w:rFonts w:eastAsia="Times New Roman"/>
                <w:szCs w:val="24"/>
              </w:rPr>
              <w:t>741</w:t>
            </w:r>
          </w:p>
        </w:tc>
      </w:tr>
    </w:tbl>
    <w:p w14:paraId="0FCC5467" w14:textId="77777777" w:rsidR="003F4633" w:rsidRPr="003F4633" w:rsidRDefault="003F4633" w:rsidP="003F4633">
      <w:pPr>
        <w:spacing w:before="0" w:after="0"/>
        <w:ind w:left="2550"/>
        <w:jc w:val="both"/>
        <w:rPr>
          <w:rFonts w:eastAsia="Times New Roman" w:cs="Times New Roman"/>
          <w:szCs w:val="24"/>
        </w:rPr>
      </w:pPr>
    </w:p>
    <w:p w14:paraId="29BC187B" w14:textId="77777777" w:rsidR="003F4633" w:rsidRPr="003F4633" w:rsidRDefault="003F4633" w:rsidP="003F4633">
      <w:pPr>
        <w:spacing w:before="0" w:after="0" w:line="360" w:lineRule="auto"/>
        <w:jc w:val="both"/>
        <w:rPr>
          <w:rFonts w:eastAsia="Times New Roman" w:cs="Times New Roman"/>
          <w:szCs w:val="24"/>
        </w:rPr>
      </w:pPr>
    </w:p>
    <w:p w14:paraId="244D0996" w14:textId="11CBB511" w:rsidR="003F4633" w:rsidRPr="003F4633" w:rsidRDefault="00E67B00" w:rsidP="003F4633">
      <w:pPr>
        <w:spacing w:before="0" w:after="0" w:line="360" w:lineRule="auto"/>
        <w:jc w:val="both"/>
        <w:rPr>
          <w:rFonts w:eastAsia="Times New Roman" w:cs="Times New Roman"/>
          <w:szCs w:val="24"/>
        </w:rPr>
      </w:pPr>
      <w:r>
        <w:rPr>
          <w:rFonts w:eastAsia="SimSun" w:cs="Times New Roman"/>
          <w:szCs w:val="24"/>
        </w:rPr>
        <w:t>Figure</w:t>
      </w:r>
      <w:r w:rsidRPr="006F4BBB">
        <w:rPr>
          <w:rFonts w:eastAsia="SimSun" w:cs="Times New Roman"/>
          <w:szCs w:val="24"/>
        </w:rPr>
        <w:t xml:space="preserve"> 2. Distribution of IPCAF scores based on the surveyed hospitals. </w:t>
      </w:r>
    </w:p>
    <w:p w14:paraId="65F3F2F3" w14:textId="5A83826A" w:rsidR="003F4633" w:rsidRPr="003F4633" w:rsidRDefault="006F4BBB" w:rsidP="003F4633">
      <w:pPr>
        <w:spacing w:before="0" w:after="0"/>
        <w:jc w:val="both"/>
        <w:rPr>
          <w:rFonts w:eastAsia="Times New Roman" w:cs="Times New Roman"/>
          <w:szCs w:val="24"/>
        </w:rPr>
      </w:pPr>
      <w:r w:rsidRPr="00C73C79">
        <w:rPr>
          <w:noProof/>
        </w:rPr>
        <w:drawing>
          <wp:inline distT="0" distB="0" distL="0" distR="0" wp14:anchorId="022EF4C7" wp14:editId="0A3DDBE6">
            <wp:extent cx="6229350" cy="2171700"/>
            <wp:effectExtent l="0" t="0" r="0" b="0"/>
            <wp:docPr id="1680499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99710" name=""/>
                    <pic:cNvPicPr/>
                  </pic:nvPicPr>
                  <pic:blipFill>
                    <a:blip r:embed="rId14"/>
                    <a:stretch>
                      <a:fillRect/>
                    </a:stretch>
                  </pic:blipFill>
                  <pic:spPr>
                    <a:xfrm>
                      <a:off x="0" y="0"/>
                      <a:ext cx="6229350" cy="2171700"/>
                    </a:xfrm>
                    <a:prstGeom prst="rect">
                      <a:avLst/>
                    </a:prstGeom>
                  </pic:spPr>
                </pic:pic>
              </a:graphicData>
            </a:graphic>
          </wp:inline>
        </w:drawing>
      </w:r>
    </w:p>
    <w:p w14:paraId="1C52AC1F" w14:textId="0505A15D" w:rsidR="006F4BBB" w:rsidRDefault="006F4BBB" w:rsidP="0082323C">
      <w:pPr>
        <w:spacing w:before="0" w:after="0" w:line="360" w:lineRule="auto"/>
        <w:jc w:val="both"/>
        <w:rPr>
          <w:rFonts w:eastAsia="Times New Roman" w:cs="Times New Roman"/>
          <w:szCs w:val="24"/>
        </w:rPr>
      </w:pPr>
      <w:r w:rsidRPr="003F4633">
        <w:rPr>
          <w:rFonts w:eastAsia="Times New Roman" w:cs="Times New Roman"/>
          <w:szCs w:val="24"/>
        </w:rPr>
        <w:t xml:space="preserve">The average overall IPCAF score across the hospitals was </w:t>
      </w:r>
      <w:r w:rsidRPr="003F4633">
        <w:rPr>
          <w:rFonts w:eastAsia="Times New Roman" w:cs="Times New Roman"/>
          <w:bCs/>
          <w:szCs w:val="24"/>
        </w:rPr>
        <w:t>594</w:t>
      </w:r>
      <w:r w:rsidRPr="003F4633">
        <w:rPr>
          <w:rFonts w:eastAsia="Times New Roman" w:cs="Times New Roman"/>
          <w:szCs w:val="24"/>
        </w:rPr>
        <w:t>, indicating a generally intermediate level of IPC implementation</w:t>
      </w:r>
      <w:r>
        <w:rPr>
          <w:rFonts w:eastAsia="Times New Roman" w:cs="Times New Roman"/>
          <w:szCs w:val="24"/>
        </w:rPr>
        <w:t xml:space="preserve"> (Figure 2)</w:t>
      </w:r>
      <w:r w:rsidRPr="003F4633">
        <w:rPr>
          <w:rFonts w:eastAsia="Times New Roman" w:cs="Times New Roman"/>
          <w:szCs w:val="24"/>
        </w:rPr>
        <w:t xml:space="preserve">. The distribution of hospital IPCAF scores revealed that </w:t>
      </w:r>
      <w:r w:rsidRPr="003F4633">
        <w:rPr>
          <w:rFonts w:eastAsia="Times New Roman" w:cs="Times New Roman"/>
          <w:bCs/>
          <w:szCs w:val="24"/>
        </w:rPr>
        <w:t>55.6% (n=5)</w:t>
      </w:r>
      <w:r w:rsidRPr="003F4633">
        <w:rPr>
          <w:rFonts w:eastAsia="Times New Roman" w:cs="Times New Roman"/>
          <w:szCs w:val="24"/>
        </w:rPr>
        <w:t xml:space="preserve"> of the hospitals demonstrated advanced IPC implementation (score range 601-800), while </w:t>
      </w:r>
      <w:r w:rsidRPr="003F4633">
        <w:rPr>
          <w:rFonts w:eastAsia="Times New Roman" w:cs="Times New Roman"/>
          <w:bCs/>
          <w:szCs w:val="24"/>
        </w:rPr>
        <w:t>44.4% (n=4)</w:t>
      </w:r>
      <w:r w:rsidRPr="003F4633">
        <w:rPr>
          <w:rFonts w:eastAsia="Times New Roman" w:cs="Times New Roman"/>
          <w:szCs w:val="24"/>
        </w:rPr>
        <w:t xml:space="preserve"> exhibited intermediate implementat</w:t>
      </w:r>
      <w:r>
        <w:rPr>
          <w:rFonts w:eastAsia="Times New Roman" w:cs="Times New Roman"/>
          <w:szCs w:val="24"/>
        </w:rPr>
        <w:t>ion (score range 401-600) (Figure</w:t>
      </w:r>
      <w:r w:rsidRPr="003F4633">
        <w:rPr>
          <w:rFonts w:eastAsia="Times New Roman" w:cs="Times New Roman"/>
          <w:szCs w:val="24"/>
        </w:rPr>
        <w:t xml:space="preserve"> 2). No hospitals scored within the basic level (&lt;400).</w:t>
      </w:r>
      <w:r w:rsidR="0082323C">
        <w:rPr>
          <w:rFonts w:eastAsia="Times New Roman" w:cs="Times New Roman"/>
          <w:szCs w:val="24"/>
        </w:rPr>
        <w:t xml:space="preserve"> </w:t>
      </w:r>
      <w:r w:rsidR="00756AF4">
        <w:rPr>
          <w:rFonts w:eastAsia="Times New Roman" w:cs="Times New Roman"/>
          <w:szCs w:val="24"/>
        </w:rPr>
        <w:t>The F-statistic was f</w:t>
      </w:r>
      <w:r w:rsidR="00A45B66">
        <w:rPr>
          <w:rFonts w:eastAsia="Times New Roman" w:cs="Times New Roman"/>
          <w:szCs w:val="24"/>
        </w:rPr>
        <w:t>ound to be 3.72 and a p =</w:t>
      </w:r>
      <w:r w:rsidR="00756AF4">
        <w:rPr>
          <w:rFonts w:eastAsia="Times New Roman" w:cs="Times New Roman"/>
          <w:szCs w:val="24"/>
        </w:rPr>
        <w:t xml:space="preserve"> 0.001, indicating </w:t>
      </w:r>
      <w:r w:rsidR="00B11548">
        <w:rPr>
          <w:rFonts w:eastAsia="Times New Roman" w:cs="Times New Roman"/>
          <w:szCs w:val="24"/>
        </w:rPr>
        <w:t xml:space="preserve">that </w:t>
      </w:r>
      <w:r w:rsidR="00756AF4" w:rsidRPr="0082323C">
        <w:rPr>
          <w:rFonts w:eastAsia="Times New Roman" w:cs="Times New Roman"/>
          <w:szCs w:val="24"/>
        </w:rPr>
        <w:t>there is a statistically significant difference in the mean IPC implementation s</w:t>
      </w:r>
      <w:r w:rsidR="00756AF4">
        <w:rPr>
          <w:rFonts w:eastAsia="Times New Roman" w:cs="Times New Roman"/>
          <w:szCs w:val="24"/>
        </w:rPr>
        <w:t>cores across the nine hospitals.</w:t>
      </w:r>
    </w:p>
    <w:p w14:paraId="2BDE5440" w14:textId="77777777" w:rsidR="00B11548" w:rsidRDefault="00B11548" w:rsidP="0082323C">
      <w:pPr>
        <w:spacing w:before="0" w:after="0" w:line="360" w:lineRule="auto"/>
        <w:jc w:val="both"/>
        <w:rPr>
          <w:rFonts w:eastAsia="Times New Roman" w:cs="Times New Roman"/>
          <w:szCs w:val="24"/>
        </w:rPr>
      </w:pPr>
    </w:p>
    <w:p w14:paraId="0D183D54" w14:textId="77777777" w:rsidR="006F1480" w:rsidRPr="00B11548" w:rsidRDefault="006F1480" w:rsidP="006F1480">
      <w:pPr>
        <w:spacing w:before="0" w:after="160" w:line="278" w:lineRule="auto"/>
        <w:jc w:val="both"/>
        <w:rPr>
          <w:rFonts w:eastAsia="Calibri" w:cs="Times New Roman"/>
          <w:kern w:val="2"/>
          <w:szCs w:val="24"/>
          <w:lang w:val="en-GB"/>
          <w14:ligatures w14:val="standardContextual"/>
        </w:rPr>
      </w:pPr>
      <w:r w:rsidRPr="00B11548">
        <w:rPr>
          <w:rFonts w:eastAsia="Calibri" w:cs="Times New Roman"/>
          <w:kern w:val="2"/>
          <w:szCs w:val="24"/>
          <w:lang w:val="en-GB"/>
          <w14:ligatures w14:val="standardContextual"/>
        </w:rPr>
        <w:t xml:space="preserve">Tertiary hospitals outperformed secondary hospitals across most IPCAF core components, with the greatest differences observed in IPC education and training and HAI surveillance, reflecting stronger capacity-building initiatives and monitoring systems in higher-level facilities (Table 2). Secondary hospitals scored higher only in workload, staffing, and bed occupancy, likely due to lower patient volumes and reduced overcrowding. Both hospital categories demonstrated moderate performance in built environment, materials, and equipment for IPC, suggesting shared infrastructural gaps. The </w:t>
      </w:r>
      <w:r>
        <w:rPr>
          <w:rFonts w:eastAsia="Calibri" w:cs="Times New Roman"/>
          <w:kern w:val="2"/>
          <w:szCs w:val="24"/>
          <w:lang w:val="en-GB"/>
          <w14:ligatures w14:val="standardContextual"/>
        </w:rPr>
        <w:t>overall IPCAF score for tertiary hospitals was 641</w:t>
      </w:r>
      <w:r w:rsidRPr="00B11548">
        <w:rPr>
          <w:rFonts w:eastAsia="Calibri" w:cs="Times New Roman"/>
          <w:kern w:val="2"/>
          <w:szCs w:val="24"/>
          <w:lang w:val="en-GB"/>
          <w14:ligatures w14:val="standardContextual"/>
        </w:rPr>
        <w:t xml:space="preserve"> compared to secondary hospitals</w:t>
      </w:r>
      <w:r>
        <w:rPr>
          <w:rFonts w:eastAsia="Calibri" w:cs="Times New Roman"/>
          <w:kern w:val="2"/>
          <w:szCs w:val="24"/>
          <w:lang w:val="en-GB"/>
          <w14:ligatures w14:val="standardContextual"/>
        </w:rPr>
        <w:t xml:space="preserve"> at 556</w:t>
      </w:r>
      <w:r w:rsidRPr="00B11548">
        <w:rPr>
          <w:rFonts w:eastAsia="Calibri" w:cs="Times New Roman"/>
          <w:kern w:val="2"/>
          <w:szCs w:val="24"/>
          <w:lang w:val="en-GB"/>
          <w14:ligatures w14:val="standardContextual"/>
        </w:rPr>
        <w:t xml:space="preserve"> (Table 2). The F-statistic was </w:t>
      </w:r>
      <w:r>
        <w:rPr>
          <w:rFonts w:eastAsia="Calibri" w:cs="Times New Roman"/>
          <w:kern w:val="2"/>
          <w:szCs w:val="24"/>
          <w:lang w:val="en-GB"/>
          <w14:ligatures w14:val="standardContextual"/>
        </w:rPr>
        <w:t>found to be 4.65</w:t>
      </w:r>
      <w:r w:rsidRPr="00B11548">
        <w:rPr>
          <w:rFonts w:eastAsia="Calibri" w:cs="Times New Roman"/>
          <w:kern w:val="2"/>
          <w:szCs w:val="24"/>
          <w:lang w:val="en-GB"/>
          <w14:ligatures w14:val="standardContextual"/>
        </w:rPr>
        <w:t xml:space="preserve"> and a p = 0.049, indicating that there is a statistically significant difference in mean scores between secondary and tertiary hospitals, suggesting that hospital level is associated with variations in IPC performance across the IPCAF components. </w:t>
      </w:r>
    </w:p>
    <w:p w14:paraId="691B3284" w14:textId="77777777" w:rsidR="00B11548" w:rsidRPr="00B11548" w:rsidRDefault="00B11548" w:rsidP="00B11548">
      <w:pPr>
        <w:spacing w:before="0" w:after="160" w:line="278" w:lineRule="auto"/>
        <w:jc w:val="both"/>
        <w:rPr>
          <w:rFonts w:eastAsia="Calibri" w:cs="Times New Roman"/>
          <w:kern w:val="2"/>
          <w:szCs w:val="24"/>
          <w:lang w:val="en-GB"/>
          <w14:ligatures w14:val="standardContextual"/>
        </w:rPr>
      </w:pPr>
    </w:p>
    <w:p w14:paraId="29A28646" w14:textId="77777777" w:rsidR="00E67B00" w:rsidRDefault="00E67B00">
      <w:pPr>
        <w:spacing w:before="0" w:after="200" w:line="276" w:lineRule="auto"/>
        <w:rPr>
          <w:rFonts w:eastAsia="Calibri" w:cs="Times New Roman"/>
          <w:kern w:val="2"/>
          <w:szCs w:val="24"/>
          <w:lang w:val="en-GB"/>
          <w14:ligatures w14:val="standardContextual"/>
        </w:rPr>
      </w:pPr>
      <w:r>
        <w:rPr>
          <w:rFonts w:eastAsia="Calibri" w:cs="Times New Roman"/>
          <w:kern w:val="2"/>
          <w:szCs w:val="24"/>
          <w:lang w:val="en-GB"/>
          <w14:ligatures w14:val="standardContextual"/>
        </w:rPr>
        <w:br w:type="page"/>
      </w:r>
    </w:p>
    <w:p w14:paraId="6520484F" w14:textId="01AECAB0" w:rsidR="00875027" w:rsidRPr="00B11548" w:rsidRDefault="00875027" w:rsidP="00875027">
      <w:pPr>
        <w:spacing w:before="0" w:after="160" w:line="278" w:lineRule="auto"/>
        <w:jc w:val="both"/>
        <w:rPr>
          <w:rFonts w:eastAsia="Calibri" w:cs="Times New Roman"/>
          <w:kern w:val="2"/>
          <w:szCs w:val="24"/>
          <w:lang w:val="en-GB"/>
          <w14:ligatures w14:val="standardContextual"/>
        </w:rPr>
      </w:pPr>
      <w:r w:rsidRPr="00B11548">
        <w:rPr>
          <w:rFonts w:eastAsia="Calibri" w:cs="Times New Roman"/>
          <w:kern w:val="2"/>
          <w:szCs w:val="24"/>
          <w:lang w:val="en-GB"/>
          <w14:ligatures w14:val="standardContextual"/>
        </w:rPr>
        <w:t>Table 2. Scores for each of the eight core IPCAF components, stratified by hospital level.</w:t>
      </w:r>
    </w:p>
    <w:tbl>
      <w:tblPr>
        <w:tblStyle w:val="PlainTable21"/>
        <w:tblW w:w="0" w:type="auto"/>
        <w:tblInd w:w="-810" w:type="dxa"/>
        <w:tblLook w:val="04A0" w:firstRow="1" w:lastRow="0" w:firstColumn="1" w:lastColumn="0" w:noHBand="0" w:noVBand="1"/>
      </w:tblPr>
      <w:tblGrid>
        <w:gridCol w:w="5299"/>
        <w:gridCol w:w="2746"/>
        <w:gridCol w:w="2542"/>
      </w:tblGrid>
      <w:tr w:rsidR="00875027" w:rsidRPr="00B11548" w14:paraId="0D9422C3" w14:textId="77777777" w:rsidTr="007763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9" w:type="dxa"/>
            <w:hideMark/>
          </w:tcPr>
          <w:p w14:paraId="2282FAB5" w14:textId="77777777" w:rsidR="00875027" w:rsidRPr="00B11548" w:rsidRDefault="00875027" w:rsidP="00776314">
            <w:pPr>
              <w:spacing w:before="0" w:after="0" w:line="360" w:lineRule="auto"/>
              <w:jc w:val="both"/>
              <w:rPr>
                <w:rFonts w:eastAsia="Times New Roman" w:cs="Times New Roman"/>
                <w:b w:val="0"/>
              </w:rPr>
            </w:pPr>
            <w:r w:rsidRPr="00B11548">
              <w:rPr>
                <w:rFonts w:eastAsia="Times New Roman" w:cs="Times New Roman"/>
                <w:b w:val="0"/>
              </w:rPr>
              <w:t>IPCAF Core Component</w:t>
            </w:r>
          </w:p>
        </w:tc>
        <w:tc>
          <w:tcPr>
            <w:tcW w:w="0" w:type="auto"/>
            <w:hideMark/>
          </w:tcPr>
          <w:p w14:paraId="15D8BCD6" w14:textId="77777777" w:rsidR="00875027" w:rsidRPr="00B11548" w:rsidRDefault="00875027" w:rsidP="00776314">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rPr>
            </w:pPr>
            <w:r w:rsidRPr="00B11548">
              <w:rPr>
                <w:rFonts w:eastAsia="Times New Roman" w:cs="Times New Roman"/>
                <w:b w:val="0"/>
              </w:rPr>
              <w:t>Secondary Hospitals (Mean Score)</w:t>
            </w:r>
          </w:p>
        </w:tc>
        <w:tc>
          <w:tcPr>
            <w:tcW w:w="0" w:type="auto"/>
            <w:hideMark/>
          </w:tcPr>
          <w:p w14:paraId="36D1115E" w14:textId="77777777" w:rsidR="00875027" w:rsidRPr="00B11548" w:rsidRDefault="00875027" w:rsidP="00776314">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rPr>
            </w:pPr>
            <w:r w:rsidRPr="00B11548">
              <w:rPr>
                <w:rFonts w:eastAsia="Times New Roman" w:cs="Times New Roman"/>
                <w:b w:val="0"/>
              </w:rPr>
              <w:t>Tertiary Hospitals (Mean Score)</w:t>
            </w:r>
          </w:p>
        </w:tc>
      </w:tr>
      <w:tr w:rsidR="00875027" w:rsidRPr="00B11548" w14:paraId="226A8BAA" w14:textId="77777777" w:rsidTr="007763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9" w:type="dxa"/>
            <w:hideMark/>
          </w:tcPr>
          <w:p w14:paraId="07063DA1" w14:textId="77777777" w:rsidR="00875027" w:rsidRPr="00B11548" w:rsidRDefault="00875027" w:rsidP="00776314">
            <w:pPr>
              <w:spacing w:before="0" w:after="0" w:line="360" w:lineRule="auto"/>
              <w:rPr>
                <w:rFonts w:eastAsia="Times New Roman" w:cs="Times New Roman"/>
                <w:b w:val="0"/>
              </w:rPr>
            </w:pPr>
            <w:r w:rsidRPr="00B11548">
              <w:rPr>
                <w:rFonts w:eastAsia="Times New Roman" w:cs="Times New Roman"/>
                <w:b w:val="0"/>
              </w:rPr>
              <w:t>1. IPC Program</w:t>
            </w:r>
          </w:p>
        </w:tc>
        <w:tc>
          <w:tcPr>
            <w:tcW w:w="0" w:type="auto"/>
            <w:hideMark/>
          </w:tcPr>
          <w:p w14:paraId="1576F21A" w14:textId="77777777" w:rsidR="00875027" w:rsidRPr="00B11548" w:rsidRDefault="00875027" w:rsidP="00776314">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11548">
              <w:rPr>
                <w:rFonts w:eastAsia="Calibri" w:cs="Times New Roman"/>
                <w:color w:val="000000"/>
              </w:rPr>
              <w:t>83</w:t>
            </w:r>
          </w:p>
        </w:tc>
        <w:tc>
          <w:tcPr>
            <w:tcW w:w="0" w:type="auto"/>
            <w:hideMark/>
          </w:tcPr>
          <w:p w14:paraId="0F329428" w14:textId="77777777" w:rsidR="00875027" w:rsidRPr="00B11548" w:rsidRDefault="00875027" w:rsidP="00776314">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11548">
              <w:rPr>
                <w:rFonts w:eastAsia="Calibri" w:cs="Times New Roman"/>
                <w:color w:val="000000"/>
              </w:rPr>
              <w:t>89</w:t>
            </w:r>
          </w:p>
        </w:tc>
      </w:tr>
      <w:tr w:rsidR="00875027" w:rsidRPr="00B11548" w14:paraId="7B9255B5" w14:textId="77777777" w:rsidTr="00776314">
        <w:tc>
          <w:tcPr>
            <w:cnfStyle w:val="001000000000" w:firstRow="0" w:lastRow="0" w:firstColumn="1" w:lastColumn="0" w:oddVBand="0" w:evenVBand="0" w:oddHBand="0" w:evenHBand="0" w:firstRowFirstColumn="0" w:firstRowLastColumn="0" w:lastRowFirstColumn="0" w:lastRowLastColumn="0"/>
            <w:tcW w:w="5299" w:type="dxa"/>
            <w:hideMark/>
          </w:tcPr>
          <w:p w14:paraId="6C7CB705" w14:textId="77777777" w:rsidR="00875027" w:rsidRPr="00B11548" w:rsidRDefault="00875027" w:rsidP="00776314">
            <w:pPr>
              <w:spacing w:before="0" w:after="0" w:line="360" w:lineRule="auto"/>
              <w:rPr>
                <w:rFonts w:eastAsia="Times New Roman" w:cs="Times New Roman"/>
                <w:b w:val="0"/>
              </w:rPr>
            </w:pPr>
            <w:r w:rsidRPr="00B11548">
              <w:rPr>
                <w:rFonts w:eastAsia="Times New Roman" w:cs="Times New Roman"/>
                <w:b w:val="0"/>
              </w:rPr>
              <w:t>2. IPC Guidelines</w:t>
            </w:r>
          </w:p>
        </w:tc>
        <w:tc>
          <w:tcPr>
            <w:tcW w:w="0" w:type="auto"/>
            <w:hideMark/>
          </w:tcPr>
          <w:p w14:paraId="078638D9" w14:textId="77777777" w:rsidR="00875027" w:rsidRPr="00B11548" w:rsidRDefault="00875027" w:rsidP="00776314">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11548">
              <w:rPr>
                <w:rFonts w:eastAsia="Calibri" w:cs="Times New Roman"/>
                <w:color w:val="000000"/>
              </w:rPr>
              <w:t>75</w:t>
            </w:r>
          </w:p>
        </w:tc>
        <w:tc>
          <w:tcPr>
            <w:tcW w:w="0" w:type="auto"/>
            <w:hideMark/>
          </w:tcPr>
          <w:p w14:paraId="433FA464" w14:textId="77777777" w:rsidR="00875027" w:rsidRPr="00B11548" w:rsidRDefault="00875027" w:rsidP="00776314">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11548">
              <w:rPr>
                <w:rFonts w:eastAsia="Calibri" w:cs="Times New Roman"/>
                <w:color w:val="000000"/>
              </w:rPr>
              <w:t>86</w:t>
            </w:r>
          </w:p>
        </w:tc>
      </w:tr>
      <w:tr w:rsidR="00875027" w:rsidRPr="00B11548" w14:paraId="2B3506F6" w14:textId="77777777" w:rsidTr="007763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9" w:type="dxa"/>
            <w:hideMark/>
          </w:tcPr>
          <w:p w14:paraId="37EF089A" w14:textId="77777777" w:rsidR="00875027" w:rsidRPr="00B11548" w:rsidRDefault="00875027" w:rsidP="00776314">
            <w:pPr>
              <w:spacing w:before="0" w:after="0" w:line="360" w:lineRule="auto"/>
              <w:rPr>
                <w:rFonts w:eastAsia="Times New Roman" w:cs="Times New Roman"/>
                <w:b w:val="0"/>
              </w:rPr>
            </w:pPr>
            <w:r w:rsidRPr="00B11548">
              <w:rPr>
                <w:rFonts w:eastAsia="Times New Roman" w:cs="Times New Roman"/>
                <w:b w:val="0"/>
              </w:rPr>
              <w:t>3. IPC Education and Training</w:t>
            </w:r>
          </w:p>
        </w:tc>
        <w:tc>
          <w:tcPr>
            <w:tcW w:w="0" w:type="auto"/>
            <w:hideMark/>
          </w:tcPr>
          <w:p w14:paraId="6829BB8F" w14:textId="77777777" w:rsidR="00875027" w:rsidRPr="00B11548" w:rsidRDefault="00875027" w:rsidP="00776314">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11548">
              <w:rPr>
                <w:rFonts w:eastAsia="Calibri" w:cs="Times New Roman"/>
                <w:color w:val="000000"/>
              </w:rPr>
              <w:t>61</w:t>
            </w:r>
          </w:p>
        </w:tc>
        <w:tc>
          <w:tcPr>
            <w:tcW w:w="0" w:type="auto"/>
            <w:hideMark/>
          </w:tcPr>
          <w:p w14:paraId="240D3EF5" w14:textId="77777777" w:rsidR="00875027" w:rsidRPr="00B11548" w:rsidRDefault="00875027" w:rsidP="00776314">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11548">
              <w:rPr>
                <w:rFonts w:eastAsia="Calibri" w:cs="Times New Roman"/>
                <w:color w:val="000000"/>
              </w:rPr>
              <w:t>84</w:t>
            </w:r>
          </w:p>
        </w:tc>
      </w:tr>
      <w:tr w:rsidR="00875027" w:rsidRPr="00B11548" w14:paraId="4CAA82D0" w14:textId="77777777" w:rsidTr="00776314">
        <w:tc>
          <w:tcPr>
            <w:cnfStyle w:val="001000000000" w:firstRow="0" w:lastRow="0" w:firstColumn="1" w:lastColumn="0" w:oddVBand="0" w:evenVBand="0" w:oddHBand="0" w:evenHBand="0" w:firstRowFirstColumn="0" w:firstRowLastColumn="0" w:lastRowFirstColumn="0" w:lastRowLastColumn="0"/>
            <w:tcW w:w="5299" w:type="dxa"/>
            <w:hideMark/>
          </w:tcPr>
          <w:p w14:paraId="2C58C98F" w14:textId="77777777" w:rsidR="00875027" w:rsidRPr="00B11548" w:rsidRDefault="00875027" w:rsidP="00776314">
            <w:pPr>
              <w:spacing w:before="0" w:after="0" w:line="360" w:lineRule="auto"/>
              <w:rPr>
                <w:rFonts w:eastAsia="Times New Roman" w:cs="Times New Roman"/>
                <w:b w:val="0"/>
              </w:rPr>
            </w:pPr>
            <w:r w:rsidRPr="00B11548">
              <w:rPr>
                <w:rFonts w:eastAsia="Times New Roman" w:cs="Times New Roman"/>
                <w:b w:val="0"/>
              </w:rPr>
              <w:t>4. HAI Surveillance</w:t>
            </w:r>
          </w:p>
        </w:tc>
        <w:tc>
          <w:tcPr>
            <w:tcW w:w="0" w:type="auto"/>
            <w:hideMark/>
          </w:tcPr>
          <w:p w14:paraId="653943A5" w14:textId="77777777" w:rsidR="00875027" w:rsidRPr="00B11548" w:rsidRDefault="00875027" w:rsidP="00776314">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11548">
              <w:rPr>
                <w:rFonts w:eastAsia="Calibri" w:cs="Times New Roman"/>
                <w:color w:val="000000"/>
              </w:rPr>
              <w:t>67</w:t>
            </w:r>
          </w:p>
        </w:tc>
        <w:tc>
          <w:tcPr>
            <w:tcW w:w="0" w:type="auto"/>
            <w:hideMark/>
          </w:tcPr>
          <w:p w14:paraId="60E502D5" w14:textId="77777777" w:rsidR="00875027" w:rsidRPr="00B11548" w:rsidRDefault="00875027" w:rsidP="00776314">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11548">
              <w:rPr>
                <w:rFonts w:eastAsia="Calibri" w:cs="Times New Roman"/>
                <w:color w:val="000000"/>
              </w:rPr>
              <w:t>86</w:t>
            </w:r>
          </w:p>
        </w:tc>
      </w:tr>
      <w:tr w:rsidR="00875027" w:rsidRPr="00B11548" w14:paraId="51DE1521" w14:textId="77777777" w:rsidTr="007763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9" w:type="dxa"/>
            <w:hideMark/>
          </w:tcPr>
          <w:p w14:paraId="446952CF" w14:textId="77777777" w:rsidR="00875027" w:rsidRPr="00B11548" w:rsidRDefault="00875027" w:rsidP="00776314">
            <w:pPr>
              <w:spacing w:before="0" w:after="0" w:line="360" w:lineRule="auto"/>
              <w:rPr>
                <w:rFonts w:eastAsia="Times New Roman" w:cs="Times New Roman"/>
                <w:b w:val="0"/>
              </w:rPr>
            </w:pPr>
            <w:r w:rsidRPr="00B11548">
              <w:rPr>
                <w:rFonts w:eastAsia="Times New Roman" w:cs="Times New Roman"/>
                <w:b w:val="0"/>
              </w:rPr>
              <w:t>5. Multimodal Strategies for IPC Implementation</w:t>
            </w:r>
          </w:p>
        </w:tc>
        <w:tc>
          <w:tcPr>
            <w:tcW w:w="0" w:type="auto"/>
            <w:hideMark/>
          </w:tcPr>
          <w:p w14:paraId="179AA299" w14:textId="77777777" w:rsidR="00875027" w:rsidRPr="00B11548" w:rsidRDefault="00875027" w:rsidP="00776314">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11548">
              <w:rPr>
                <w:rFonts w:eastAsia="Calibri" w:cs="Times New Roman"/>
                <w:color w:val="000000"/>
              </w:rPr>
              <w:t>69</w:t>
            </w:r>
          </w:p>
        </w:tc>
        <w:tc>
          <w:tcPr>
            <w:tcW w:w="0" w:type="auto"/>
            <w:hideMark/>
          </w:tcPr>
          <w:p w14:paraId="225C816E" w14:textId="77777777" w:rsidR="00875027" w:rsidRPr="00B11548" w:rsidRDefault="00875027" w:rsidP="00776314">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11548">
              <w:rPr>
                <w:rFonts w:eastAsia="Calibri" w:cs="Times New Roman"/>
                <w:color w:val="000000"/>
              </w:rPr>
              <w:t>83</w:t>
            </w:r>
          </w:p>
        </w:tc>
      </w:tr>
      <w:tr w:rsidR="00875027" w:rsidRPr="00B11548" w14:paraId="147F1CF1" w14:textId="77777777" w:rsidTr="00776314">
        <w:tc>
          <w:tcPr>
            <w:cnfStyle w:val="001000000000" w:firstRow="0" w:lastRow="0" w:firstColumn="1" w:lastColumn="0" w:oddVBand="0" w:evenVBand="0" w:oddHBand="0" w:evenHBand="0" w:firstRowFirstColumn="0" w:firstRowLastColumn="0" w:lastRowFirstColumn="0" w:lastRowLastColumn="0"/>
            <w:tcW w:w="5299" w:type="dxa"/>
            <w:hideMark/>
          </w:tcPr>
          <w:p w14:paraId="4FDD675B" w14:textId="77777777" w:rsidR="00875027" w:rsidRPr="00B11548" w:rsidRDefault="00875027" w:rsidP="00776314">
            <w:pPr>
              <w:spacing w:before="0" w:after="0" w:line="360" w:lineRule="auto"/>
              <w:rPr>
                <w:rFonts w:eastAsia="Times New Roman" w:cs="Times New Roman"/>
                <w:b w:val="0"/>
              </w:rPr>
            </w:pPr>
            <w:r w:rsidRPr="00B11548">
              <w:rPr>
                <w:rFonts w:eastAsia="Times New Roman" w:cs="Times New Roman"/>
                <w:b w:val="0"/>
              </w:rPr>
              <w:t>6. Monitoring/Audit of IPC Practices and Feedback</w:t>
            </w:r>
          </w:p>
        </w:tc>
        <w:tc>
          <w:tcPr>
            <w:tcW w:w="0" w:type="auto"/>
            <w:hideMark/>
          </w:tcPr>
          <w:p w14:paraId="7BD2FC20" w14:textId="77777777" w:rsidR="00875027" w:rsidRPr="00B11548" w:rsidRDefault="00875027" w:rsidP="00776314">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11548">
              <w:rPr>
                <w:rFonts w:eastAsia="Calibri" w:cs="Times New Roman"/>
                <w:color w:val="000000"/>
              </w:rPr>
              <w:t>75</w:t>
            </w:r>
          </w:p>
        </w:tc>
        <w:tc>
          <w:tcPr>
            <w:tcW w:w="0" w:type="auto"/>
            <w:hideMark/>
          </w:tcPr>
          <w:p w14:paraId="681F514E" w14:textId="77777777" w:rsidR="00875027" w:rsidRPr="00B11548" w:rsidRDefault="00875027" w:rsidP="00776314">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11548">
              <w:rPr>
                <w:rFonts w:eastAsia="Calibri" w:cs="Times New Roman"/>
                <w:color w:val="000000"/>
              </w:rPr>
              <w:t>85</w:t>
            </w:r>
          </w:p>
        </w:tc>
      </w:tr>
      <w:tr w:rsidR="00875027" w:rsidRPr="00B11548" w14:paraId="323A1748" w14:textId="77777777" w:rsidTr="007763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9" w:type="dxa"/>
            <w:hideMark/>
          </w:tcPr>
          <w:p w14:paraId="6B8609D6" w14:textId="77777777" w:rsidR="00875027" w:rsidRPr="00B11548" w:rsidRDefault="00875027" w:rsidP="00776314">
            <w:pPr>
              <w:spacing w:before="0" w:after="0" w:line="360" w:lineRule="auto"/>
              <w:rPr>
                <w:rFonts w:eastAsia="Times New Roman" w:cs="Times New Roman"/>
                <w:b w:val="0"/>
              </w:rPr>
            </w:pPr>
            <w:r w:rsidRPr="00B11548">
              <w:rPr>
                <w:rFonts w:eastAsia="Times New Roman" w:cs="Times New Roman"/>
                <w:b w:val="0"/>
              </w:rPr>
              <w:t>7. Workload, Staffing, and Bed Occupancy</w:t>
            </w:r>
          </w:p>
        </w:tc>
        <w:tc>
          <w:tcPr>
            <w:tcW w:w="0" w:type="auto"/>
            <w:hideMark/>
          </w:tcPr>
          <w:p w14:paraId="1034511A" w14:textId="77777777" w:rsidR="00875027" w:rsidRPr="00B11548" w:rsidRDefault="00875027" w:rsidP="00776314">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11548">
              <w:rPr>
                <w:rFonts w:eastAsia="Calibri" w:cs="Times New Roman"/>
                <w:color w:val="000000"/>
              </w:rPr>
              <w:t>65</w:t>
            </w:r>
          </w:p>
        </w:tc>
        <w:tc>
          <w:tcPr>
            <w:tcW w:w="0" w:type="auto"/>
            <w:hideMark/>
          </w:tcPr>
          <w:p w14:paraId="42181DC0" w14:textId="77777777" w:rsidR="00875027" w:rsidRPr="00B11548" w:rsidRDefault="00875027" w:rsidP="00776314">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11548">
              <w:rPr>
                <w:rFonts w:eastAsia="Calibri" w:cs="Times New Roman"/>
                <w:color w:val="000000"/>
              </w:rPr>
              <w:t>54</w:t>
            </w:r>
          </w:p>
        </w:tc>
      </w:tr>
      <w:tr w:rsidR="00875027" w:rsidRPr="00B11548" w14:paraId="13679C8E" w14:textId="77777777" w:rsidTr="00776314">
        <w:tc>
          <w:tcPr>
            <w:cnfStyle w:val="001000000000" w:firstRow="0" w:lastRow="0" w:firstColumn="1" w:lastColumn="0" w:oddVBand="0" w:evenVBand="0" w:oddHBand="0" w:evenHBand="0" w:firstRowFirstColumn="0" w:firstRowLastColumn="0" w:lastRowFirstColumn="0" w:lastRowLastColumn="0"/>
            <w:tcW w:w="5299" w:type="dxa"/>
            <w:hideMark/>
          </w:tcPr>
          <w:p w14:paraId="799BF866" w14:textId="77777777" w:rsidR="00875027" w:rsidRPr="00B11548" w:rsidRDefault="00875027" w:rsidP="00776314">
            <w:pPr>
              <w:spacing w:before="0" w:after="0" w:line="360" w:lineRule="auto"/>
              <w:rPr>
                <w:rFonts w:eastAsia="Times New Roman" w:cs="Times New Roman"/>
                <w:b w:val="0"/>
              </w:rPr>
            </w:pPr>
            <w:r w:rsidRPr="00B11548">
              <w:rPr>
                <w:rFonts w:eastAsia="Times New Roman" w:cs="Times New Roman"/>
                <w:b w:val="0"/>
              </w:rPr>
              <w:t>8. Built Environment, Materials, and Equipment for IPC at Facility Level</w:t>
            </w:r>
          </w:p>
        </w:tc>
        <w:tc>
          <w:tcPr>
            <w:tcW w:w="0" w:type="auto"/>
            <w:hideMark/>
          </w:tcPr>
          <w:p w14:paraId="6F9559B0" w14:textId="77777777" w:rsidR="00875027" w:rsidRPr="00B11548" w:rsidRDefault="00875027" w:rsidP="00776314">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11548">
              <w:rPr>
                <w:rFonts w:eastAsia="Calibri" w:cs="Times New Roman"/>
                <w:color w:val="000000"/>
              </w:rPr>
              <w:t>63</w:t>
            </w:r>
          </w:p>
        </w:tc>
        <w:tc>
          <w:tcPr>
            <w:tcW w:w="0" w:type="auto"/>
            <w:hideMark/>
          </w:tcPr>
          <w:p w14:paraId="4F9E9FDC" w14:textId="77777777" w:rsidR="00875027" w:rsidRPr="00B11548" w:rsidRDefault="00875027" w:rsidP="00776314">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11548">
              <w:rPr>
                <w:rFonts w:eastAsia="Calibri" w:cs="Times New Roman"/>
                <w:color w:val="000000"/>
              </w:rPr>
              <w:t>74</w:t>
            </w:r>
          </w:p>
        </w:tc>
      </w:tr>
      <w:tr w:rsidR="00875027" w:rsidRPr="00B11548" w14:paraId="17F6B546" w14:textId="77777777" w:rsidTr="007763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9" w:type="dxa"/>
          </w:tcPr>
          <w:p w14:paraId="08EDC111" w14:textId="05BBA5A1" w:rsidR="00875027" w:rsidRPr="00B11548" w:rsidRDefault="00875027" w:rsidP="00776314">
            <w:pPr>
              <w:spacing w:before="0" w:after="0" w:line="360" w:lineRule="auto"/>
              <w:rPr>
                <w:rFonts w:eastAsia="Times New Roman" w:cs="Times New Roman"/>
                <w:b w:val="0"/>
              </w:rPr>
            </w:pPr>
            <w:r>
              <w:rPr>
                <w:rFonts w:eastAsia="Times New Roman" w:cs="Times New Roman"/>
                <w:b w:val="0"/>
              </w:rPr>
              <w:t>Overall</w:t>
            </w:r>
            <w:r w:rsidRPr="00B11548">
              <w:rPr>
                <w:rFonts w:eastAsia="Times New Roman" w:cs="Times New Roman"/>
                <w:b w:val="0"/>
              </w:rPr>
              <w:t xml:space="preserve"> IPCAF score </w:t>
            </w:r>
            <w:r>
              <w:rPr>
                <w:rFonts w:eastAsia="Times New Roman" w:cs="Times New Roman"/>
                <w:b w:val="0"/>
              </w:rPr>
              <w:t>by level of hospital</w:t>
            </w:r>
          </w:p>
        </w:tc>
        <w:tc>
          <w:tcPr>
            <w:tcW w:w="0" w:type="auto"/>
          </w:tcPr>
          <w:p w14:paraId="2414559C" w14:textId="77777777" w:rsidR="00875027" w:rsidRPr="00B11548" w:rsidRDefault="00875027" w:rsidP="00776314">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11548">
              <w:rPr>
                <w:rFonts w:eastAsia="Calibri" w:cs="Times New Roman"/>
                <w:color w:val="000000"/>
              </w:rPr>
              <w:t>556</w:t>
            </w:r>
          </w:p>
        </w:tc>
        <w:tc>
          <w:tcPr>
            <w:tcW w:w="0" w:type="auto"/>
          </w:tcPr>
          <w:p w14:paraId="3B25107F" w14:textId="77777777" w:rsidR="00875027" w:rsidRPr="00B11548" w:rsidRDefault="00875027" w:rsidP="00776314">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11548">
              <w:rPr>
                <w:rFonts w:eastAsia="Calibri" w:cs="Times New Roman"/>
                <w:color w:val="000000"/>
              </w:rPr>
              <w:t>641</w:t>
            </w:r>
          </w:p>
        </w:tc>
      </w:tr>
    </w:tbl>
    <w:p w14:paraId="6E950FCD" w14:textId="77777777" w:rsidR="00875027" w:rsidRPr="00B11548" w:rsidRDefault="00875027" w:rsidP="00875027">
      <w:pPr>
        <w:spacing w:before="0" w:after="160" w:line="278" w:lineRule="auto"/>
        <w:jc w:val="both"/>
        <w:rPr>
          <w:rFonts w:ascii="Calibri" w:eastAsia="Calibri" w:hAnsi="Calibri" w:cs="Times New Roman"/>
          <w:kern w:val="2"/>
          <w:szCs w:val="24"/>
          <w:lang w:val="en-GB"/>
          <w14:ligatures w14:val="standardContextual"/>
        </w:rPr>
      </w:pPr>
    </w:p>
    <w:p w14:paraId="65245FAE" w14:textId="77777777" w:rsidR="00B11548" w:rsidRDefault="00B11548" w:rsidP="0082323C">
      <w:pPr>
        <w:spacing w:before="0" w:after="0" w:line="360" w:lineRule="auto"/>
        <w:jc w:val="both"/>
        <w:rPr>
          <w:rFonts w:eastAsia="Times New Roman" w:cs="Times New Roman"/>
          <w:szCs w:val="24"/>
        </w:rPr>
      </w:pPr>
    </w:p>
    <w:p w14:paraId="7B9C36C3" w14:textId="6F59095C" w:rsidR="00441112" w:rsidRDefault="00441112" w:rsidP="00441112">
      <w:pPr>
        <w:spacing w:before="0" w:after="0" w:line="360" w:lineRule="auto"/>
        <w:jc w:val="both"/>
        <w:rPr>
          <w:rFonts w:eastAsia="SimSun" w:cs="Times New Roman"/>
          <w:szCs w:val="24"/>
        </w:rPr>
      </w:pPr>
      <w:r w:rsidRPr="003F4633">
        <w:rPr>
          <w:rFonts w:eastAsia="SimSun" w:cs="Times New Roman"/>
          <w:noProof/>
          <w:szCs w:val="24"/>
        </w:rPr>
        <w:drawing>
          <wp:anchor distT="0" distB="0" distL="114300" distR="114300" simplePos="0" relativeHeight="251660288" behindDoc="1" locked="0" layoutInCell="1" allowOverlap="1" wp14:anchorId="29D7CE3F" wp14:editId="62D9A8DD">
            <wp:simplePos x="0" y="0"/>
            <wp:positionH relativeFrom="column">
              <wp:posOffset>-433070</wp:posOffset>
            </wp:positionH>
            <wp:positionV relativeFrom="paragraph">
              <wp:posOffset>591820</wp:posOffset>
            </wp:positionV>
            <wp:extent cx="6812915" cy="3067050"/>
            <wp:effectExtent l="0" t="0" r="6985" b="0"/>
            <wp:wrapTight wrapText="bothSides">
              <wp:wrapPolygon edited="0">
                <wp:start x="0" y="0"/>
                <wp:lineTo x="0" y="21466"/>
                <wp:lineTo x="21562" y="21466"/>
                <wp:lineTo x="21562"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52EBD909" w14:textId="3F867B8F" w:rsidR="006F4BBB" w:rsidRPr="003F4633" w:rsidRDefault="006F4BBB" w:rsidP="006F4BBB">
      <w:pPr>
        <w:spacing w:before="0" w:after="0" w:line="360" w:lineRule="auto"/>
        <w:jc w:val="both"/>
        <w:rPr>
          <w:rFonts w:eastAsia="SimSun" w:cs="Times New Roman"/>
          <w:szCs w:val="24"/>
        </w:rPr>
      </w:pPr>
      <w:r>
        <w:rPr>
          <w:rFonts w:eastAsia="SimSun" w:cs="Times New Roman"/>
          <w:szCs w:val="24"/>
        </w:rPr>
        <w:t>Figure 3</w:t>
      </w:r>
      <w:r w:rsidRPr="003F4633">
        <w:rPr>
          <w:rFonts w:eastAsia="SimSun" w:cs="Times New Roman"/>
          <w:szCs w:val="24"/>
        </w:rPr>
        <w:t>. Percentage Scores on Implementation of IPC Core Component</w:t>
      </w:r>
      <w:r>
        <w:rPr>
          <w:rFonts w:eastAsia="SimSun" w:cs="Times New Roman"/>
          <w:szCs w:val="24"/>
        </w:rPr>
        <w:t xml:space="preserve"> across the surveyed hospitals.</w:t>
      </w:r>
    </w:p>
    <w:p w14:paraId="0846CF65" w14:textId="77777777" w:rsidR="00441112" w:rsidRDefault="00441112" w:rsidP="00441112">
      <w:pPr>
        <w:spacing w:before="0" w:after="0" w:line="360" w:lineRule="auto"/>
        <w:jc w:val="both"/>
        <w:rPr>
          <w:rFonts w:eastAsia="SimSun" w:cs="Times New Roman"/>
          <w:szCs w:val="24"/>
        </w:rPr>
      </w:pPr>
    </w:p>
    <w:p w14:paraId="57F08CDC" w14:textId="64E3A711" w:rsidR="003F4633" w:rsidRPr="003F4633" w:rsidRDefault="003F4633" w:rsidP="00441112">
      <w:pPr>
        <w:spacing w:before="0" w:after="0" w:line="360" w:lineRule="auto"/>
        <w:jc w:val="both"/>
        <w:rPr>
          <w:rFonts w:eastAsia="SimSun" w:cs="Times New Roman"/>
          <w:szCs w:val="24"/>
        </w:rPr>
      </w:pPr>
      <w:r w:rsidRPr="003F4633">
        <w:rPr>
          <w:rFonts w:eastAsia="SimSun" w:cs="Times New Roman"/>
          <w:szCs w:val="24"/>
        </w:rPr>
        <w:t>In this study, the IPC core components with the highest scores included IPC programmes (86%), National and Facility level IPC guidelines (80%), and IPC monitor</w:t>
      </w:r>
      <w:r w:rsidR="006F4BBB">
        <w:rPr>
          <w:rFonts w:eastAsia="SimSun" w:cs="Times New Roman"/>
          <w:szCs w:val="24"/>
        </w:rPr>
        <w:t>ing and feedback (79%) (Figure 3</w:t>
      </w:r>
      <w:r w:rsidRPr="003F4633">
        <w:rPr>
          <w:rFonts w:eastAsia="SimSun" w:cs="Times New Roman"/>
          <w:szCs w:val="24"/>
        </w:rPr>
        <w:t>). Conversely, the IPC core components with the lowest scores included workload staffing and bed occupancy (60%), build environment and equipment (68%), IPC education and training (71%), HAI surveillance (75%), and multimodal strategies for IP</w:t>
      </w:r>
      <w:r w:rsidR="006F4BBB">
        <w:rPr>
          <w:rFonts w:eastAsia="SimSun" w:cs="Times New Roman"/>
          <w:szCs w:val="24"/>
        </w:rPr>
        <w:t>C activities (75%) (Figure 3</w:t>
      </w:r>
      <w:r w:rsidR="00441112">
        <w:rPr>
          <w:rFonts w:eastAsia="SimSun" w:cs="Times New Roman"/>
          <w:szCs w:val="24"/>
        </w:rPr>
        <w:t xml:space="preserve">). </w:t>
      </w:r>
    </w:p>
    <w:p w14:paraId="4258A957" w14:textId="7E595C7D" w:rsidR="003F4633" w:rsidRPr="003F4633" w:rsidRDefault="003F4633" w:rsidP="003F4633">
      <w:pPr>
        <w:spacing w:before="0" w:after="0"/>
        <w:ind w:left="720" w:firstLine="720"/>
        <w:rPr>
          <w:rFonts w:eastAsia="SimSun" w:cs="Times New Roman"/>
          <w:szCs w:val="24"/>
        </w:rPr>
      </w:pPr>
      <w:r w:rsidRPr="003F4633">
        <w:rPr>
          <w:rFonts w:eastAsia="SimSun" w:cs="Times New Roman"/>
          <w:noProof/>
          <w:szCs w:val="24"/>
        </w:rPr>
        <w:drawing>
          <wp:anchor distT="0" distB="0" distL="114300" distR="114300" simplePos="0" relativeHeight="251661312" behindDoc="1" locked="0" layoutInCell="1" allowOverlap="1" wp14:anchorId="20A1D2CC" wp14:editId="7B209A39">
            <wp:simplePos x="0" y="0"/>
            <wp:positionH relativeFrom="margin">
              <wp:align>right</wp:align>
            </wp:positionH>
            <wp:positionV relativeFrom="paragraph">
              <wp:posOffset>2540</wp:posOffset>
            </wp:positionV>
            <wp:extent cx="5613400" cy="2964180"/>
            <wp:effectExtent l="0" t="0" r="6350" b="7620"/>
            <wp:wrapTight wrapText="bothSides">
              <wp:wrapPolygon edited="0">
                <wp:start x="0" y="0"/>
                <wp:lineTo x="0" y="21517"/>
                <wp:lineTo x="21551" y="21517"/>
                <wp:lineTo x="21551"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r w:rsidR="006F4BBB">
        <w:rPr>
          <w:rFonts w:eastAsia="SimSun" w:cs="Times New Roman"/>
          <w:szCs w:val="24"/>
        </w:rPr>
        <w:t>Figure 4</w:t>
      </w:r>
      <w:r w:rsidRPr="003F4633">
        <w:rPr>
          <w:rFonts w:eastAsia="SimSun" w:cs="Times New Roman"/>
          <w:szCs w:val="24"/>
        </w:rPr>
        <w:t>. Overall IPCAF Scores by hospital.</w:t>
      </w:r>
    </w:p>
    <w:p w14:paraId="60E8BD13" w14:textId="77777777" w:rsidR="00E67B00" w:rsidRDefault="00E67B00" w:rsidP="003F4633">
      <w:pPr>
        <w:spacing w:before="0" w:after="0" w:line="360" w:lineRule="auto"/>
        <w:jc w:val="both"/>
        <w:rPr>
          <w:rFonts w:eastAsia="SimSun" w:cs="Times New Roman"/>
          <w:szCs w:val="24"/>
        </w:rPr>
      </w:pPr>
    </w:p>
    <w:p w14:paraId="02CB7C73" w14:textId="5447C8A1" w:rsidR="003F4633" w:rsidRPr="003F4633" w:rsidRDefault="003F4633" w:rsidP="003F4633">
      <w:pPr>
        <w:spacing w:before="0" w:after="0" w:line="360" w:lineRule="auto"/>
        <w:jc w:val="both"/>
        <w:rPr>
          <w:rFonts w:eastAsia="SimSun" w:cs="Times New Roman"/>
          <w:szCs w:val="24"/>
        </w:rPr>
      </w:pPr>
      <w:r w:rsidRPr="003F4633">
        <w:rPr>
          <w:rFonts w:eastAsia="SimSun" w:cs="Times New Roman"/>
          <w:szCs w:val="24"/>
        </w:rPr>
        <w:t>The hospital with the highest IPCAF score was LUTH (705) – a tertiary level hospital, followed by MGH (692.5), CCH (652.5), NTH (625), and KGH (615) all indicating an advanced level</w:t>
      </w:r>
      <w:r w:rsidR="006F4BBB">
        <w:rPr>
          <w:rFonts w:eastAsia="SimSun" w:cs="Times New Roman"/>
          <w:szCs w:val="24"/>
        </w:rPr>
        <w:t xml:space="preserve"> of IPC implementation (Figure 4</w:t>
      </w:r>
      <w:r w:rsidRPr="003F4633">
        <w:rPr>
          <w:rFonts w:eastAsia="SimSun" w:cs="Times New Roman"/>
          <w:szCs w:val="24"/>
        </w:rPr>
        <w:t xml:space="preserve">). Consequently, the hospitals with the lowest IPCAF scores were LGH (461), CGH (505), SGH (507.5), and ADCH (581) which showed an intermediate implementation of </w:t>
      </w:r>
      <w:r w:rsidR="006F4BBB">
        <w:rPr>
          <w:rFonts w:eastAsia="SimSun" w:cs="Times New Roman"/>
          <w:szCs w:val="24"/>
        </w:rPr>
        <w:t>IPC in these hospitals (Figure 4</w:t>
      </w:r>
      <w:r w:rsidRPr="003F4633">
        <w:rPr>
          <w:rFonts w:eastAsia="SimSun" w:cs="Times New Roman"/>
          <w:szCs w:val="24"/>
        </w:rPr>
        <w:t>).</w:t>
      </w:r>
    </w:p>
    <w:p w14:paraId="5371FD33" w14:textId="77777777" w:rsidR="003F4633" w:rsidRPr="003F4633" w:rsidRDefault="003F4633" w:rsidP="003F4633">
      <w:pPr>
        <w:spacing w:before="0" w:after="0"/>
        <w:jc w:val="both"/>
        <w:rPr>
          <w:rFonts w:eastAsia="SimSun" w:cs="Times New Roman"/>
          <w:szCs w:val="24"/>
        </w:rPr>
      </w:pPr>
      <w:r w:rsidRPr="003F4633">
        <w:rPr>
          <w:rFonts w:eastAsia="SimSun" w:cs="Times New Roman"/>
          <w:noProof/>
          <w:szCs w:val="24"/>
        </w:rPr>
        <w:drawing>
          <wp:anchor distT="0" distB="0" distL="114300" distR="114300" simplePos="0" relativeHeight="251662336" behindDoc="1" locked="0" layoutInCell="1" allowOverlap="1" wp14:anchorId="2CC96CCD" wp14:editId="465FC41F">
            <wp:simplePos x="0" y="0"/>
            <wp:positionH relativeFrom="margin">
              <wp:posOffset>76200</wp:posOffset>
            </wp:positionH>
            <wp:positionV relativeFrom="paragraph">
              <wp:posOffset>151130</wp:posOffset>
            </wp:positionV>
            <wp:extent cx="5080635" cy="2295525"/>
            <wp:effectExtent l="0" t="0" r="5715" b="9525"/>
            <wp:wrapTight wrapText="bothSides">
              <wp:wrapPolygon edited="0">
                <wp:start x="0" y="0"/>
                <wp:lineTo x="0" y="21510"/>
                <wp:lineTo x="21543" y="21510"/>
                <wp:lineTo x="21543"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570B7AED" w14:textId="77777777" w:rsidR="003F4633" w:rsidRPr="003F4633" w:rsidRDefault="003F4633" w:rsidP="003F4633">
      <w:pPr>
        <w:spacing w:before="0" w:after="0"/>
        <w:jc w:val="both"/>
        <w:rPr>
          <w:rFonts w:eastAsia="SimSun" w:cs="Times New Roman"/>
          <w:szCs w:val="24"/>
        </w:rPr>
      </w:pPr>
    </w:p>
    <w:p w14:paraId="6E77A811" w14:textId="77777777" w:rsidR="003F4633" w:rsidRPr="003F4633" w:rsidRDefault="003F4633" w:rsidP="003F4633">
      <w:pPr>
        <w:spacing w:before="0" w:after="0"/>
        <w:jc w:val="both"/>
        <w:rPr>
          <w:rFonts w:eastAsia="SimSun" w:cs="Times New Roman"/>
          <w:szCs w:val="24"/>
        </w:rPr>
      </w:pPr>
    </w:p>
    <w:p w14:paraId="7F77896F" w14:textId="77777777" w:rsidR="003F4633" w:rsidRPr="003F4633" w:rsidRDefault="003F4633" w:rsidP="003F4633">
      <w:pPr>
        <w:spacing w:before="0" w:after="0"/>
        <w:jc w:val="both"/>
        <w:rPr>
          <w:rFonts w:eastAsia="SimSun" w:cs="Times New Roman"/>
          <w:szCs w:val="24"/>
        </w:rPr>
      </w:pPr>
    </w:p>
    <w:p w14:paraId="27E071DE" w14:textId="77777777" w:rsidR="003F4633" w:rsidRPr="003F4633" w:rsidRDefault="003F4633" w:rsidP="003F4633">
      <w:pPr>
        <w:spacing w:before="0" w:after="0"/>
        <w:jc w:val="both"/>
        <w:rPr>
          <w:rFonts w:eastAsia="SimSun" w:cs="Times New Roman"/>
          <w:szCs w:val="24"/>
        </w:rPr>
      </w:pPr>
    </w:p>
    <w:p w14:paraId="687D25F1" w14:textId="77777777" w:rsidR="003F4633" w:rsidRPr="003F4633" w:rsidRDefault="003F4633" w:rsidP="003F4633">
      <w:pPr>
        <w:spacing w:before="0" w:after="0"/>
        <w:jc w:val="both"/>
        <w:rPr>
          <w:rFonts w:eastAsia="SimSun" w:cs="Times New Roman"/>
          <w:szCs w:val="24"/>
        </w:rPr>
      </w:pPr>
    </w:p>
    <w:p w14:paraId="242575A7" w14:textId="77777777" w:rsidR="003F4633" w:rsidRPr="003F4633" w:rsidRDefault="003F4633" w:rsidP="003F4633">
      <w:pPr>
        <w:spacing w:before="0" w:after="0"/>
        <w:jc w:val="both"/>
        <w:rPr>
          <w:rFonts w:eastAsia="SimSun" w:cs="Times New Roman"/>
          <w:szCs w:val="24"/>
        </w:rPr>
      </w:pPr>
    </w:p>
    <w:p w14:paraId="4C1F5F1C" w14:textId="77777777" w:rsidR="003F4633" w:rsidRPr="003F4633" w:rsidRDefault="003F4633" w:rsidP="003F4633">
      <w:pPr>
        <w:spacing w:before="0" w:after="0"/>
        <w:jc w:val="both"/>
        <w:rPr>
          <w:rFonts w:eastAsia="SimSun" w:cs="Times New Roman"/>
          <w:szCs w:val="24"/>
        </w:rPr>
      </w:pPr>
    </w:p>
    <w:p w14:paraId="6A908E09" w14:textId="77777777" w:rsidR="003F4633" w:rsidRPr="003F4633" w:rsidRDefault="003F4633" w:rsidP="003F4633">
      <w:pPr>
        <w:spacing w:before="0" w:after="0"/>
        <w:jc w:val="both"/>
        <w:rPr>
          <w:rFonts w:eastAsia="SimSun" w:cs="Times New Roman"/>
          <w:szCs w:val="24"/>
        </w:rPr>
      </w:pPr>
    </w:p>
    <w:p w14:paraId="46A5D971" w14:textId="77777777" w:rsidR="003F4633" w:rsidRPr="003F4633" w:rsidRDefault="003F4633" w:rsidP="003F4633">
      <w:pPr>
        <w:spacing w:before="0" w:after="0"/>
        <w:jc w:val="both"/>
        <w:rPr>
          <w:rFonts w:eastAsia="SimSun" w:cs="Times New Roman"/>
          <w:szCs w:val="24"/>
        </w:rPr>
      </w:pPr>
    </w:p>
    <w:p w14:paraId="6393ACA6" w14:textId="77777777" w:rsidR="003F4633" w:rsidRPr="003F4633" w:rsidRDefault="003F4633" w:rsidP="003F4633">
      <w:pPr>
        <w:spacing w:before="0" w:after="0"/>
        <w:jc w:val="both"/>
        <w:rPr>
          <w:rFonts w:eastAsia="SimSun" w:cs="Times New Roman"/>
          <w:szCs w:val="24"/>
        </w:rPr>
      </w:pPr>
    </w:p>
    <w:p w14:paraId="33534C06" w14:textId="77777777" w:rsidR="003F4633" w:rsidRPr="003F4633" w:rsidRDefault="003F4633" w:rsidP="003F4633">
      <w:pPr>
        <w:spacing w:before="0" w:after="0"/>
        <w:jc w:val="both"/>
        <w:rPr>
          <w:rFonts w:eastAsia="SimSun" w:cs="Times New Roman"/>
          <w:szCs w:val="24"/>
        </w:rPr>
      </w:pPr>
    </w:p>
    <w:p w14:paraId="1D98555A" w14:textId="77777777" w:rsidR="003F4633" w:rsidRPr="003F4633" w:rsidRDefault="003F4633" w:rsidP="003F4633">
      <w:pPr>
        <w:spacing w:before="0" w:after="0"/>
        <w:jc w:val="both"/>
        <w:rPr>
          <w:rFonts w:eastAsia="SimSun" w:cs="Times New Roman"/>
          <w:szCs w:val="24"/>
        </w:rPr>
      </w:pPr>
    </w:p>
    <w:p w14:paraId="780F28FF" w14:textId="77777777" w:rsidR="003F4633" w:rsidRPr="003F4633" w:rsidRDefault="003F4633" w:rsidP="003F4633">
      <w:pPr>
        <w:spacing w:before="0" w:after="0"/>
        <w:jc w:val="both"/>
        <w:rPr>
          <w:rFonts w:eastAsia="SimSun" w:cs="Times New Roman"/>
          <w:szCs w:val="24"/>
        </w:rPr>
      </w:pPr>
    </w:p>
    <w:p w14:paraId="78A4AD87" w14:textId="680D2087" w:rsidR="003F4633" w:rsidRPr="003F4633" w:rsidRDefault="006F4BBB" w:rsidP="003F4633">
      <w:pPr>
        <w:spacing w:before="0" w:after="0" w:line="360" w:lineRule="auto"/>
        <w:jc w:val="both"/>
        <w:rPr>
          <w:rFonts w:eastAsia="SimSun" w:cs="Times New Roman"/>
          <w:szCs w:val="24"/>
        </w:rPr>
      </w:pPr>
      <w:r>
        <w:rPr>
          <w:rFonts w:eastAsia="SimSun" w:cs="Times New Roman"/>
          <w:szCs w:val="24"/>
        </w:rPr>
        <w:t>Figure 5</w:t>
      </w:r>
      <w:r w:rsidR="003F4633" w:rsidRPr="003F4633">
        <w:rPr>
          <w:rFonts w:eastAsia="SimSun" w:cs="Times New Roman"/>
          <w:szCs w:val="24"/>
        </w:rPr>
        <w:t xml:space="preserve">. Summary of IPCAF levels of the nine hospitals included in the survey. </w:t>
      </w:r>
    </w:p>
    <w:p w14:paraId="2E7A28D3" w14:textId="77777777" w:rsidR="00441112" w:rsidRDefault="00441112" w:rsidP="003F4633">
      <w:pPr>
        <w:spacing w:before="0" w:after="0" w:line="360" w:lineRule="auto"/>
        <w:jc w:val="both"/>
        <w:rPr>
          <w:rFonts w:eastAsia="SimSun" w:cs="Times New Roman"/>
          <w:szCs w:val="24"/>
        </w:rPr>
      </w:pPr>
    </w:p>
    <w:p w14:paraId="60A20DA6" w14:textId="2AD9337E" w:rsidR="003F4633" w:rsidRDefault="003F4633" w:rsidP="003F4633">
      <w:pPr>
        <w:spacing w:before="0" w:after="0" w:line="360" w:lineRule="auto"/>
        <w:jc w:val="both"/>
        <w:rPr>
          <w:rFonts w:eastAsia="SimSun" w:cs="Times New Roman"/>
          <w:szCs w:val="24"/>
        </w:rPr>
      </w:pPr>
      <w:r w:rsidRPr="003F4633">
        <w:rPr>
          <w:rFonts w:eastAsia="SimSun" w:cs="Times New Roman"/>
          <w:szCs w:val="24"/>
        </w:rPr>
        <w:t xml:space="preserve">The IPCAF levels are shown in Figure 4 which shows that four hospitals </w:t>
      </w:r>
      <w:r w:rsidRPr="003F4633">
        <w:rPr>
          <w:rFonts w:eastAsia="Times New Roman" w:cs="Times New Roman"/>
          <w:szCs w:val="24"/>
        </w:rPr>
        <w:t xml:space="preserve">(44.4%) </w:t>
      </w:r>
      <w:r w:rsidRPr="003F4633">
        <w:rPr>
          <w:rFonts w:eastAsia="SimSun" w:cs="Times New Roman"/>
          <w:szCs w:val="24"/>
        </w:rPr>
        <w:t xml:space="preserve">had an intermediate IPCAF level while five hospitals </w:t>
      </w:r>
      <w:r w:rsidRPr="003F4633">
        <w:rPr>
          <w:rFonts w:eastAsia="Times New Roman" w:cs="Times New Roman"/>
          <w:szCs w:val="24"/>
        </w:rPr>
        <w:t>(55.6%)</w:t>
      </w:r>
      <w:r w:rsidR="006F4BBB">
        <w:rPr>
          <w:rFonts w:eastAsia="SimSun" w:cs="Times New Roman"/>
          <w:szCs w:val="24"/>
        </w:rPr>
        <w:t xml:space="preserve"> had an advanced level (Figure 5</w:t>
      </w:r>
      <w:r w:rsidRPr="003F4633">
        <w:rPr>
          <w:rFonts w:eastAsia="SimSun" w:cs="Times New Roman"/>
          <w:szCs w:val="24"/>
        </w:rPr>
        <w:t xml:space="preserve">). </w:t>
      </w:r>
    </w:p>
    <w:p w14:paraId="1A5B985A" w14:textId="77777777" w:rsidR="00435F08" w:rsidRDefault="00435F08" w:rsidP="003F4633">
      <w:pPr>
        <w:spacing w:before="0" w:after="0" w:line="360" w:lineRule="auto"/>
        <w:jc w:val="both"/>
        <w:rPr>
          <w:rFonts w:eastAsia="SimSun" w:cs="Times New Roman"/>
          <w:szCs w:val="24"/>
        </w:rPr>
      </w:pPr>
    </w:p>
    <w:p w14:paraId="28E67428" w14:textId="77777777" w:rsidR="00435F08" w:rsidRDefault="00435F08" w:rsidP="003F4633">
      <w:pPr>
        <w:spacing w:before="0" w:after="0" w:line="360" w:lineRule="auto"/>
        <w:jc w:val="both"/>
        <w:rPr>
          <w:rFonts w:eastAsia="SimSun" w:cs="Times New Roman"/>
          <w:szCs w:val="24"/>
        </w:rPr>
      </w:pPr>
    </w:p>
    <w:p w14:paraId="2D321BB7" w14:textId="13DC26D9" w:rsidR="00875027" w:rsidRDefault="00875027" w:rsidP="003F4633">
      <w:pPr>
        <w:spacing w:before="0" w:after="0" w:line="360" w:lineRule="auto"/>
        <w:jc w:val="both"/>
        <w:rPr>
          <w:rFonts w:eastAsia="SimSun" w:cs="Times New Roman"/>
          <w:szCs w:val="24"/>
        </w:rPr>
      </w:pPr>
      <w:r w:rsidRPr="00875027">
        <w:rPr>
          <w:rFonts w:eastAsia="SimSun" w:cs="Times New Roman"/>
          <w:szCs w:val="24"/>
        </w:rPr>
        <w:t>Implementation of IPC in Zambia’s hospitals faces challenges such as limited dedicated staff, weak policy enforcement, insufficient funding, supply shortages, and inadequate training and infrastructure</w:t>
      </w:r>
      <w:r>
        <w:rPr>
          <w:rFonts w:eastAsia="SimSun" w:cs="Times New Roman"/>
          <w:szCs w:val="24"/>
        </w:rPr>
        <w:t xml:space="preserve"> (Table 3)</w:t>
      </w:r>
      <w:r w:rsidRPr="00875027">
        <w:rPr>
          <w:rFonts w:eastAsia="SimSun" w:cs="Times New Roman"/>
          <w:szCs w:val="24"/>
        </w:rPr>
        <w:t>. However, support from national guidelines, active committees, donor-funded programs, leadership commitment, and some infrastructure improvements act as facilitators to IPC efforts</w:t>
      </w:r>
      <w:r>
        <w:rPr>
          <w:rFonts w:eastAsia="SimSun" w:cs="Times New Roman"/>
          <w:szCs w:val="24"/>
        </w:rPr>
        <w:t xml:space="preserve"> (Table 3)</w:t>
      </w:r>
      <w:r w:rsidRPr="00875027">
        <w:rPr>
          <w:rFonts w:eastAsia="SimSun" w:cs="Times New Roman"/>
          <w:szCs w:val="24"/>
        </w:rPr>
        <w:t>.</w:t>
      </w:r>
    </w:p>
    <w:p w14:paraId="73AEAE65" w14:textId="17D67CC9" w:rsidR="00435F08" w:rsidRDefault="00B11548" w:rsidP="003F4633">
      <w:pPr>
        <w:spacing w:before="0" w:after="0" w:line="360" w:lineRule="auto"/>
        <w:jc w:val="both"/>
        <w:rPr>
          <w:rFonts w:eastAsia="SimSun" w:cs="Times New Roman"/>
          <w:szCs w:val="24"/>
        </w:rPr>
      </w:pPr>
      <w:r>
        <w:rPr>
          <w:rFonts w:eastAsia="SimSun" w:cs="Times New Roman"/>
          <w:szCs w:val="24"/>
        </w:rPr>
        <w:t>Table 3</w:t>
      </w:r>
      <w:r w:rsidR="00435F08">
        <w:rPr>
          <w:rFonts w:eastAsia="SimSun" w:cs="Times New Roman"/>
          <w:szCs w:val="24"/>
        </w:rPr>
        <w:t xml:space="preserve">. </w:t>
      </w:r>
      <w:r w:rsidR="00435F08" w:rsidRPr="00435F08">
        <w:rPr>
          <w:rFonts w:eastAsia="SimSun" w:cs="Times New Roman"/>
          <w:szCs w:val="24"/>
        </w:rPr>
        <w:t>Systemic barriers and facilitators influencing IPC implementation in Zambia’s hospitals</w:t>
      </w:r>
      <w:r w:rsidR="00435F08">
        <w:rPr>
          <w:rFonts w:eastAsia="SimSun" w:cs="Times New Roman"/>
          <w:szCs w:val="24"/>
        </w:rPr>
        <w:t>.</w:t>
      </w:r>
    </w:p>
    <w:tbl>
      <w:tblPr>
        <w:tblStyle w:val="PlainTable2"/>
        <w:tblW w:w="11160" w:type="dxa"/>
        <w:tblInd w:w="-592" w:type="dxa"/>
        <w:tblLook w:val="04A0" w:firstRow="1" w:lastRow="0" w:firstColumn="1" w:lastColumn="0" w:noHBand="0" w:noVBand="1"/>
      </w:tblPr>
      <w:tblGrid>
        <w:gridCol w:w="2434"/>
        <w:gridCol w:w="4143"/>
        <w:gridCol w:w="4583"/>
      </w:tblGrid>
      <w:tr w:rsidR="00435F08" w:rsidRPr="00435F08" w14:paraId="40335E9C" w14:textId="77777777" w:rsidTr="00357E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hideMark/>
          </w:tcPr>
          <w:p w14:paraId="3F92EC2E" w14:textId="77777777" w:rsidR="00435F08" w:rsidRPr="00435F08" w:rsidRDefault="00435F08" w:rsidP="006F1480">
            <w:pPr>
              <w:spacing w:before="0" w:after="0" w:line="360" w:lineRule="auto"/>
              <w:jc w:val="both"/>
              <w:rPr>
                <w:rFonts w:eastAsia="Times New Roman" w:cs="Times New Roman"/>
                <w:b w:val="0"/>
                <w:szCs w:val="24"/>
              </w:rPr>
            </w:pPr>
            <w:r w:rsidRPr="00435F08">
              <w:rPr>
                <w:rFonts w:eastAsia="Times New Roman" w:cs="Times New Roman"/>
                <w:b w:val="0"/>
                <w:szCs w:val="24"/>
              </w:rPr>
              <w:t>Domain</w:t>
            </w:r>
          </w:p>
        </w:tc>
        <w:tc>
          <w:tcPr>
            <w:tcW w:w="0" w:type="auto"/>
            <w:hideMark/>
          </w:tcPr>
          <w:p w14:paraId="027B7250" w14:textId="77777777" w:rsidR="00435F08" w:rsidRPr="00435F08" w:rsidRDefault="00435F08" w:rsidP="006F1480">
            <w:pPr>
              <w:spacing w:before="0" w:after="0"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szCs w:val="24"/>
              </w:rPr>
            </w:pPr>
            <w:r w:rsidRPr="00435F08">
              <w:rPr>
                <w:rFonts w:eastAsia="Times New Roman" w:cs="Times New Roman"/>
                <w:b w:val="0"/>
                <w:szCs w:val="24"/>
              </w:rPr>
              <w:t>Barriers</w:t>
            </w:r>
          </w:p>
        </w:tc>
        <w:tc>
          <w:tcPr>
            <w:tcW w:w="4583" w:type="dxa"/>
            <w:hideMark/>
          </w:tcPr>
          <w:p w14:paraId="54DD131F" w14:textId="77777777" w:rsidR="00435F08" w:rsidRPr="00435F08" w:rsidRDefault="00435F08" w:rsidP="008910AD">
            <w:pPr>
              <w:spacing w:before="0" w:after="0"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szCs w:val="24"/>
              </w:rPr>
            </w:pPr>
            <w:r w:rsidRPr="00435F08">
              <w:rPr>
                <w:rFonts w:eastAsia="Times New Roman" w:cs="Times New Roman"/>
                <w:b w:val="0"/>
                <w:szCs w:val="24"/>
              </w:rPr>
              <w:t>Facilitators</w:t>
            </w:r>
          </w:p>
        </w:tc>
      </w:tr>
      <w:tr w:rsidR="00435F08" w:rsidRPr="00435F08" w14:paraId="564F2D46" w14:textId="77777777" w:rsidTr="00357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hideMark/>
          </w:tcPr>
          <w:p w14:paraId="0DC1690E" w14:textId="77777777" w:rsidR="00435F08" w:rsidRPr="00435F08" w:rsidRDefault="00435F08" w:rsidP="006F1480">
            <w:pPr>
              <w:spacing w:before="0" w:after="0" w:line="360" w:lineRule="auto"/>
              <w:jc w:val="both"/>
              <w:rPr>
                <w:rFonts w:eastAsia="Times New Roman" w:cs="Times New Roman"/>
                <w:b w:val="0"/>
                <w:szCs w:val="24"/>
              </w:rPr>
            </w:pPr>
            <w:r w:rsidRPr="00435F08">
              <w:rPr>
                <w:rFonts w:eastAsia="Times New Roman" w:cs="Times New Roman"/>
                <w:b w:val="0"/>
                <w:szCs w:val="24"/>
              </w:rPr>
              <w:t>Governance</w:t>
            </w:r>
          </w:p>
        </w:tc>
        <w:tc>
          <w:tcPr>
            <w:tcW w:w="0" w:type="auto"/>
            <w:hideMark/>
          </w:tcPr>
          <w:p w14:paraId="2F941484" w14:textId="77777777" w:rsidR="00357E07" w:rsidRDefault="00435F08" w:rsidP="006F1480">
            <w:pPr>
              <w:pStyle w:val="ListParagraph"/>
              <w:numPr>
                <w:ilvl w:val="0"/>
                <w:numId w:val="26"/>
              </w:num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57E07">
              <w:rPr>
                <w:rFonts w:eastAsia="Times New Roman"/>
              </w:rPr>
              <w:t>Absence of dedicated IPC fo</w:t>
            </w:r>
            <w:r w:rsidR="00357E07">
              <w:rPr>
                <w:rFonts w:eastAsia="Times New Roman"/>
              </w:rPr>
              <w:t>cal persons in some facilities</w:t>
            </w:r>
          </w:p>
          <w:p w14:paraId="4FE80485" w14:textId="5F03CB1E" w:rsidR="00435F08" w:rsidRPr="00357E07" w:rsidRDefault="00435F08" w:rsidP="006F1480">
            <w:pPr>
              <w:pStyle w:val="ListParagraph"/>
              <w:numPr>
                <w:ilvl w:val="0"/>
                <w:numId w:val="26"/>
              </w:num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57E07">
              <w:rPr>
                <w:rFonts w:eastAsia="Times New Roman"/>
              </w:rPr>
              <w:t>Weak enforcement of national IPC policies and guidelines</w:t>
            </w:r>
          </w:p>
        </w:tc>
        <w:tc>
          <w:tcPr>
            <w:tcW w:w="4583" w:type="dxa"/>
            <w:hideMark/>
          </w:tcPr>
          <w:p w14:paraId="7F87A395" w14:textId="77777777" w:rsidR="00357E07" w:rsidRDefault="00435F08" w:rsidP="006F1480">
            <w:pPr>
              <w:pStyle w:val="ListParagraph"/>
              <w:numPr>
                <w:ilvl w:val="0"/>
                <w:numId w:val="26"/>
              </w:num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57E07">
              <w:rPr>
                <w:rFonts w:eastAsia="Times New Roman"/>
              </w:rPr>
              <w:t>Existing national IPC guideline</w:t>
            </w:r>
            <w:r w:rsidR="00357E07">
              <w:rPr>
                <w:rFonts w:eastAsia="Times New Roman"/>
              </w:rPr>
              <w:t>s under the Ministry of Health</w:t>
            </w:r>
          </w:p>
          <w:p w14:paraId="13023245" w14:textId="4EF5799E" w:rsidR="00435F08" w:rsidRPr="00357E07" w:rsidRDefault="00435F08" w:rsidP="006F1480">
            <w:pPr>
              <w:pStyle w:val="ListParagraph"/>
              <w:numPr>
                <w:ilvl w:val="0"/>
                <w:numId w:val="26"/>
              </w:num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57E07">
              <w:rPr>
                <w:rFonts w:eastAsia="Times New Roman"/>
              </w:rPr>
              <w:t>Active IPC committees in some hospitals</w:t>
            </w:r>
          </w:p>
        </w:tc>
      </w:tr>
      <w:tr w:rsidR="00435F08" w:rsidRPr="00435F08" w14:paraId="51108663" w14:textId="77777777" w:rsidTr="00357E07">
        <w:tc>
          <w:tcPr>
            <w:cnfStyle w:val="001000000000" w:firstRow="0" w:lastRow="0" w:firstColumn="1" w:lastColumn="0" w:oddVBand="0" w:evenVBand="0" w:oddHBand="0" w:evenHBand="0" w:firstRowFirstColumn="0" w:firstRowLastColumn="0" w:lastRowFirstColumn="0" w:lastRowLastColumn="0"/>
            <w:tcW w:w="2434" w:type="dxa"/>
            <w:hideMark/>
          </w:tcPr>
          <w:p w14:paraId="3688B6B7" w14:textId="119B869D" w:rsidR="00435F08" w:rsidRPr="00435F08" w:rsidRDefault="00435F08" w:rsidP="006F1480">
            <w:pPr>
              <w:spacing w:before="0" w:after="0" w:line="360" w:lineRule="auto"/>
              <w:jc w:val="both"/>
              <w:rPr>
                <w:rFonts w:eastAsia="Times New Roman" w:cs="Times New Roman"/>
                <w:b w:val="0"/>
                <w:szCs w:val="24"/>
              </w:rPr>
            </w:pPr>
            <w:r w:rsidRPr="00435F08">
              <w:rPr>
                <w:rFonts w:eastAsia="Times New Roman" w:cs="Times New Roman"/>
                <w:b w:val="0"/>
                <w:szCs w:val="24"/>
              </w:rPr>
              <w:t>Financing</w:t>
            </w:r>
          </w:p>
        </w:tc>
        <w:tc>
          <w:tcPr>
            <w:tcW w:w="0" w:type="auto"/>
            <w:hideMark/>
          </w:tcPr>
          <w:p w14:paraId="0F5B82D4" w14:textId="77777777" w:rsidR="00357E07" w:rsidRDefault="00435F08" w:rsidP="006F1480">
            <w:pPr>
              <w:pStyle w:val="ListParagraph"/>
              <w:numPr>
                <w:ilvl w:val="0"/>
                <w:numId w:val="26"/>
              </w:num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57E07">
              <w:rPr>
                <w:rFonts w:eastAsia="Times New Roman"/>
              </w:rPr>
              <w:t>Inadequate budget al</w:t>
            </w:r>
            <w:r w:rsidR="00357E07">
              <w:rPr>
                <w:rFonts w:eastAsia="Times New Roman"/>
              </w:rPr>
              <w:t>location for IPC activities</w:t>
            </w:r>
          </w:p>
          <w:p w14:paraId="35D64D9E" w14:textId="65873725" w:rsidR="00435F08" w:rsidRPr="00357E07" w:rsidRDefault="00435F08" w:rsidP="006F1480">
            <w:pPr>
              <w:pStyle w:val="ListParagraph"/>
              <w:numPr>
                <w:ilvl w:val="0"/>
                <w:numId w:val="26"/>
              </w:num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57E07">
              <w:rPr>
                <w:rFonts w:eastAsia="Times New Roman"/>
              </w:rPr>
              <w:t>Reliance on ad hoc or donor funding</w:t>
            </w:r>
          </w:p>
        </w:tc>
        <w:tc>
          <w:tcPr>
            <w:tcW w:w="4583" w:type="dxa"/>
            <w:hideMark/>
          </w:tcPr>
          <w:p w14:paraId="796C76A5" w14:textId="52823ED2" w:rsidR="00435F08" w:rsidRPr="00357E07" w:rsidRDefault="00435F08" w:rsidP="006F1480">
            <w:pPr>
              <w:pStyle w:val="ListParagraph"/>
              <w:numPr>
                <w:ilvl w:val="0"/>
                <w:numId w:val="26"/>
              </w:num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57E07">
              <w:rPr>
                <w:rFonts w:eastAsia="Times New Roman"/>
              </w:rPr>
              <w:t>Government and donor support for specific IPC programs</w:t>
            </w:r>
          </w:p>
        </w:tc>
      </w:tr>
      <w:tr w:rsidR="00435F08" w:rsidRPr="00435F08" w14:paraId="6EE8BCDC" w14:textId="77777777" w:rsidTr="00357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hideMark/>
          </w:tcPr>
          <w:p w14:paraId="020053EB" w14:textId="44B6ABAC" w:rsidR="00435F08" w:rsidRPr="00435F08" w:rsidRDefault="00435F08" w:rsidP="006F1480">
            <w:pPr>
              <w:spacing w:before="0" w:after="0" w:line="360" w:lineRule="auto"/>
              <w:jc w:val="both"/>
              <w:rPr>
                <w:rFonts w:eastAsia="Times New Roman" w:cs="Times New Roman"/>
                <w:b w:val="0"/>
                <w:szCs w:val="24"/>
              </w:rPr>
            </w:pPr>
            <w:r w:rsidRPr="00435F08">
              <w:rPr>
                <w:rFonts w:eastAsia="Times New Roman" w:cs="Times New Roman"/>
                <w:b w:val="0"/>
                <w:szCs w:val="24"/>
              </w:rPr>
              <w:t>Supply Chain</w:t>
            </w:r>
          </w:p>
        </w:tc>
        <w:tc>
          <w:tcPr>
            <w:tcW w:w="0" w:type="auto"/>
            <w:hideMark/>
          </w:tcPr>
          <w:p w14:paraId="4D564FC2" w14:textId="77777777" w:rsidR="00357E07" w:rsidRDefault="00435F08" w:rsidP="006F1480">
            <w:pPr>
              <w:pStyle w:val="ListParagraph"/>
              <w:numPr>
                <w:ilvl w:val="0"/>
                <w:numId w:val="26"/>
              </w:num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57E07">
              <w:rPr>
                <w:rFonts w:eastAsia="Times New Roman"/>
              </w:rPr>
              <w:t>Frequent shortages of PPE, disinfectan</w:t>
            </w:r>
            <w:r w:rsidR="00357E07">
              <w:rPr>
                <w:rFonts w:eastAsia="Times New Roman"/>
              </w:rPr>
              <w:t>ts, and sterilization supplies</w:t>
            </w:r>
          </w:p>
          <w:p w14:paraId="61A00A94" w14:textId="249D9B2A" w:rsidR="00435F08" w:rsidRPr="00357E07" w:rsidRDefault="00435F08" w:rsidP="006F1480">
            <w:pPr>
              <w:pStyle w:val="ListParagraph"/>
              <w:numPr>
                <w:ilvl w:val="0"/>
                <w:numId w:val="26"/>
              </w:num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57E07">
              <w:rPr>
                <w:rFonts w:eastAsia="Times New Roman"/>
              </w:rPr>
              <w:t>Weak stock monitoring systems</w:t>
            </w:r>
          </w:p>
        </w:tc>
        <w:tc>
          <w:tcPr>
            <w:tcW w:w="4583" w:type="dxa"/>
            <w:hideMark/>
          </w:tcPr>
          <w:p w14:paraId="53C2B00D" w14:textId="73675678" w:rsidR="00435F08" w:rsidRPr="00357E07" w:rsidRDefault="00435F08" w:rsidP="006F1480">
            <w:pPr>
              <w:pStyle w:val="ListParagraph"/>
              <w:numPr>
                <w:ilvl w:val="0"/>
                <w:numId w:val="26"/>
              </w:num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57E07">
              <w:rPr>
                <w:rFonts w:eastAsia="Times New Roman"/>
              </w:rPr>
              <w:t>Availability of some donor-supported procurement mechanisms</w:t>
            </w:r>
          </w:p>
        </w:tc>
      </w:tr>
      <w:tr w:rsidR="00435F08" w:rsidRPr="00435F08" w14:paraId="21474177" w14:textId="77777777" w:rsidTr="00357E07">
        <w:tc>
          <w:tcPr>
            <w:cnfStyle w:val="001000000000" w:firstRow="0" w:lastRow="0" w:firstColumn="1" w:lastColumn="0" w:oddVBand="0" w:evenVBand="0" w:oddHBand="0" w:evenHBand="0" w:firstRowFirstColumn="0" w:firstRowLastColumn="0" w:lastRowFirstColumn="0" w:lastRowLastColumn="0"/>
            <w:tcW w:w="2434" w:type="dxa"/>
            <w:hideMark/>
          </w:tcPr>
          <w:p w14:paraId="71A23177" w14:textId="033E937B" w:rsidR="00435F08" w:rsidRPr="00435F08" w:rsidRDefault="00435F08" w:rsidP="006F1480">
            <w:pPr>
              <w:spacing w:before="0" w:after="0" w:line="360" w:lineRule="auto"/>
              <w:jc w:val="both"/>
              <w:rPr>
                <w:rFonts w:eastAsia="Times New Roman" w:cs="Times New Roman"/>
                <w:b w:val="0"/>
                <w:szCs w:val="24"/>
              </w:rPr>
            </w:pPr>
            <w:r w:rsidRPr="00435F08">
              <w:rPr>
                <w:rFonts w:eastAsia="Times New Roman" w:cs="Times New Roman"/>
                <w:b w:val="0"/>
                <w:szCs w:val="24"/>
              </w:rPr>
              <w:t>Human Resources</w:t>
            </w:r>
          </w:p>
        </w:tc>
        <w:tc>
          <w:tcPr>
            <w:tcW w:w="0" w:type="auto"/>
            <w:hideMark/>
          </w:tcPr>
          <w:p w14:paraId="52808C70" w14:textId="77777777" w:rsidR="00357E07" w:rsidRDefault="00435F08" w:rsidP="006F1480">
            <w:pPr>
              <w:pStyle w:val="ListParagraph"/>
              <w:numPr>
                <w:ilvl w:val="0"/>
                <w:numId w:val="26"/>
              </w:num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57E07">
              <w:rPr>
                <w:rFonts w:eastAsia="Times New Roman"/>
              </w:rPr>
              <w:t>Limi</w:t>
            </w:r>
            <w:r w:rsidR="00357E07">
              <w:rPr>
                <w:rFonts w:eastAsia="Times New Roman"/>
              </w:rPr>
              <w:t>ted IPC training opportunities</w:t>
            </w:r>
          </w:p>
          <w:p w14:paraId="765091A5" w14:textId="6FDED439" w:rsidR="00435F08" w:rsidRPr="00357E07" w:rsidRDefault="00435F08" w:rsidP="006F1480">
            <w:pPr>
              <w:pStyle w:val="ListParagraph"/>
              <w:numPr>
                <w:ilvl w:val="0"/>
                <w:numId w:val="26"/>
              </w:num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57E07">
              <w:rPr>
                <w:rFonts w:eastAsia="Times New Roman"/>
              </w:rPr>
              <w:t>High staff turnover impacting IPC continuity</w:t>
            </w:r>
          </w:p>
        </w:tc>
        <w:tc>
          <w:tcPr>
            <w:tcW w:w="4583" w:type="dxa"/>
            <w:hideMark/>
          </w:tcPr>
          <w:p w14:paraId="0BF06B0B" w14:textId="46D9D487" w:rsidR="00435F08" w:rsidRPr="00357E07" w:rsidRDefault="00435F08" w:rsidP="006F1480">
            <w:pPr>
              <w:pStyle w:val="ListParagraph"/>
              <w:numPr>
                <w:ilvl w:val="0"/>
                <w:numId w:val="26"/>
              </w:num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57E07">
              <w:rPr>
                <w:rFonts w:eastAsia="Times New Roman"/>
              </w:rPr>
              <w:t>Ongoing training initiatives supported by government and partners</w:t>
            </w:r>
          </w:p>
        </w:tc>
      </w:tr>
      <w:tr w:rsidR="00435F08" w:rsidRPr="00435F08" w14:paraId="32370CC3" w14:textId="77777777" w:rsidTr="00357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hideMark/>
          </w:tcPr>
          <w:p w14:paraId="45A73C1C" w14:textId="289876BC" w:rsidR="00435F08" w:rsidRPr="00435F08" w:rsidRDefault="00435F08" w:rsidP="006F1480">
            <w:pPr>
              <w:spacing w:before="0" w:after="0" w:line="360" w:lineRule="auto"/>
              <w:jc w:val="both"/>
              <w:rPr>
                <w:rFonts w:eastAsia="Times New Roman" w:cs="Times New Roman"/>
                <w:b w:val="0"/>
                <w:szCs w:val="24"/>
              </w:rPr>
            </w:pPr>
            <w:r w:rsidRPr="00435F08">
              <w:rPr>
                <w:rFonts w:eastAsia="Times New Roman" w:cs="Times New Roman"/>
                <w:b w:val="0"/>
                <w:szCs w:val="24"/>
              </w:rPr>
              <w:t>Organizational Culture</w:t>
            </w:r>
          </w:p>
        </w:tc>
        <w:tc>
          <w:tcPr>
            <w:tcW w:w="0" w:type="auto"/>
            <w:hideMark/>
          </w:tcPr>
          <w:p w14:paraId="2B4C68C2" w14:textId="77777777" w:rsidR="00357E07" w:rsidRDefault="00435F08" w:rsidP="006F1480">
            <w:pPr>
              <w:pStyle w:val="ListParagraph"/>
              <w:numPr>
                <w:ilvl w:val="0"/>
                <w:numId w:val="26"/>
              </w:num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57E07">
              <w:rPr>
                <w:rFonts w:eastAsia="Times New Roman"/>
              </w:rPr>
              <w:t>Low prioritization of I</w:t>
            </w:r>
            <w:r w:rsidR="00357E07">
              <w:rPr>
                <w:rFonts w:eastAsia="Times New Roman"/>
              </w:rPr>
              <w:t>PC by some hospital leadership</w:t>
            </w:r>
          </w:p>
          <w:p w14:paraId="3BB9DBC2" w14:textId="325843B2" w:rsidR="00435F08" w:rsidRPr="00357E07" w:rsidRDefault="00435F08" w:rsidP="006F1480">
            <w:pPr>
              <w:pStyle w:val="ListParagraph"/>
              <w:numPr>
                <w:ilvl w:val="0"/>
                <w:numId w:val="26"/>
              </w:num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57E07">
              <w:rPr>
                <w:rFonts w:eastAsia="Times New Roman"/>
              </w:rPr>
              <w:t>Inconsistent staff adherence to IPC protocols</w:t>
            </w:r>
          </w:p>
        </w:tc>
        <w:tc>
          <w:tcPr>
            <w:tcW w:w="4583" w:type="dxa"/>
            <w:hideMark/>
          </w:tcPr>
          <w:p w14:paraId="6430764B" w14:textId="3ED5647A" w:rsidR="00435F08" w:rsidRPr="00357E07" w:rsidRDefault="00435F08" w:rsidP="006F1480">
            <w:pPr>
              <w:pStyle w:val="ListParagraph"/>
              <w:numPr>
                <w:ilvl w:val="0"/>
                <w:numId w:val="26"/>
              </w:num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57E07">
              <w:rPr>
                <w:rFonts w:eastAsia="Times New Roman"/>
              </w:rPr>
              <w:t>Strong leadership commitment in some facilities- Role modelling and advocacy by engaged leaders</w:t>
            </w:r>
          </w:p>
        </w:tc>
      </w:tr>
      <w:tr w:rsidR="00435F08" w:rsidRPr="00435F08" w14:paraId="28181843" w14:textId="77777777" w:rsidTr="00357E07">
        <w:tc>
          <w:tcPr>
            <w:cnfStyle w:val="001000000000" w:firstRow="0" w:lastRow="0" w:firstColumn="1" w:lastColumn="0" w:oddVBand="0" w:evenVBand="0" w:oddHBand="0" w:evenHBand="0" w:firstRowFirstColumn="0" w:firstRowLastColumn="0" w:lastRowFirstColumn="0" w:lastRowLastColumn="0"/>
            <w:tcW w:w="2434" w:type="dxa"/>
            <w:hideMark/>
          </w:tcPr>
          <w:p w14:paraId="04F175CD" w14:textId="2D5B9FF0" w:rsidR="00435F08" w:rsidRPr="00435F08" w:rsidRDefault="00435F08" w:rsidP="006F1480">
            <w:pPr>
              <w:spacing w:before="0" w:after="0" w:line="360" w:lineRule="auto"/>
              <w:jc w:val="both"/>
              <w:rPr>
                <w:rFonts w:eastAsia="Times New Roman" w:cs="Times New Roman"/>
                <w:b w:val="0"/>
                <w:szCs w:val="24"/>
              </w:rPr>
            </w:pPr>
            <w:r w:rsidRPr="00435F08">
              <w:rPr>
                <w:rFonts w:eastAsia="Times New Roman" w:cs="Times New Roman"/>
                <w:b w:val="0"/>
                <w:szCs w:val="24"/>
              </w:rPr>
              <w:t>Infrastructure</w:t>
            </w:r>
          </w:p>
        </w:tc>
        <w:tc>
          <w:tcPr>
            <w:tcW w:w="0" w:type="auto"/>
            <w:hideMark/>
          </w:tcPr>
          <w:p w14:paraId="3E40EE99" w14:textId="61482264" w:rsidR="00435F08" w:rsidRPr="00357E07" w:rsidRDefault="00435F08" w:rsidP="006F1480">
            <w:pPr>
              <w:pStyle w:val="ListParagraph"/>
              <w:numPr>
                <w:ilvl w:val="0"/>
                <w:numId w:val="26"/>
              </w:num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57E07">
              <w:rPr>
                <w:rFonts w:eastAsia="Times New Roman"/>
              </w:rPr>
              <w:t>Inadequate isolation facilities and waste management systems</w:t>
            </w:r>
          </w:p>
        </w:tc>
        <w:tc>
          <w:tcPr>
            <w:tcW w:w="4583" w:type="dxa"/>
            <w:hideMark/>
          </w:tcPr>
          <w:p w14:paraId="5C0E351A" w14:textId="67ECC3E3" w:rsidR="00435F08" w:rsidRPr="00357E07" w:rsidRDefault="00435F08" w:rsidP="006F1480">
            <w:pPr>
              <w:pStyle w:val="ListParagraph"/>
              <w:numPr>
                <w:ilvl w:val="0"/>
                <w:numId w:val="26"/>
              </w:num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57E07">
              <w:rPr>
                <w:rFonts w:eastAsia="Times New Roman"/>
              </w:rPr>
              <w:t>Infrastructure upgrades in certain hospitals through donor or government projects</w:t>
            </w:r>
          </w:p>
        </w:tc>
      </w:tr>
    </w:tbl>
    <w:p w14:paraId="49D15F88" w14:textId="77777777" w:rsidR="00435F08" w:rsidRPr="003F4633" w:rsidRDefault="00435F08" w:rsidP="003F4633">
      <w:pPr>
        <w:spacing w:before="0" w:after="0" w:line="360" w:lineRule="auto"/>
        <w:jc w:val="both"/>
        <w:rPr>
          <w:rFonts w:eastAsia="SimSun" w:cs="Times New Roman"/>
          <w:szCs w:val="24"/>
        </w:rPr>
      </w:pPr>
    </w:p>
    <w:p w14:paraId="43F29204" w14:textId="77777777" w:rsidR="003F4633" w:rsidRPr="003F4633" w:rsidRDefault="003F4633" w:rsidP="003F4633">
      <w:pPr>
        <w:spacing w:before="0" w:after="0" w:line="360" w:lineRule="auto"/>
        <w:jc w:val="both"/>
        <w:rPr>
          <w:rFonts w:eastAsia="Times New Roman" w:cs="Times New Roman"/>
          <w:b/>
          <w:szCs w:val="24"/>
          <w:lang w:val="en" w:bidi="en-US"/>
        </w:rPr>
      </w:pPr>
      <w:r w:rsidRPr="003F4633">
        <w:rPr>
          <w:rFonts w:eastAsia="Times New Roman" w:cs="Times New Roman"/>
          <w:b/>
          <w:szCs w:val="24"/>
          <w:lang w:val="en" w:bidi="en-US"/>
        </w:rPr>
        <w:t>Discussion</w:t>
      </w:r>
    </w:p>
    <w:p w14:paraId="4BD86ED5" w14:textId="7A8D85A6" w:rsidR="003F4633" w:rsidRPr="003F4633" w:rsidRDefault="003F4633" w:rsidP="003F4633">
      <w:pPr>
        <w:spacing w:before="0" w:line="360" w:lineRule="auto"/>
        <w:jc w:val="both"/>
        <w:rPr>
          <w:rFonts w:eastAsia="Times New Roman" w:cs="Times New Roman"/>
          <w:szCs w:val="24"/>
          <w:lang w:val="en" w:bidi="en-US"/>
        </w:rPr>
      </w:pPr>
      <w:r w:rsidRPr="003F4633">
        <w:rPr>
          <w:rFonts w:eastAsia="Times New Roman" w:cs="Times New Roman"/>
          <w:szCs w:val="24"/>
          <w:lang w:val="en" w:bidi="en-US"/>
        </w:rPr>
        <w:t xml:space="preserve">To the best of our knowledge, this study represents the first nationwide assessment of the level and extent of IPC program implementation across different levels of public hospitals in the country. While previous reports </w:t>
      </w:r>
      <w:r w:rsidRPr="003F4633">
        <w:rPr>
          <w:rFonts w:eastAsia="Times New Roman" w:cs="Times New Roman"/>
          <w:szCs w:val="24"/>
          <w:lang w:val="en" w:bidi="en-US"/>
        </w:rPr>
        <w:fldChar w:fldCharType="begin" w:fldLock="1"/>
      </w:r>
      <w:r w:rsidR="00EE7503">
        <w:rPr>
          <w:rFonts w:eastAsia="Times New Roman" w:cs="Times New Roman"/>
          <w:szCs w:val="24"/>
          <w:lang w:val="en" w:bidi="en-US"/>
        </w:rPr>
        <w:instrText>ADDIN CSL_CITATION {"citationItems":[{"id":"ITEM-1","itemData":{"DOI":"10.1017/ASH.2023.428","ISSN":"2732-494X","abstract":"Background:Infection prevention and control (IPC) measures are critical in preventing the risk of acquiring and transmitting nosocomial infections. In Zambia, there is little information concerning IPC practices among pharmacy students who are exposed to potentially infectious areas both in public and private healthcare settings. Therefore, this study assessed the knowledge, attitude, and practices of undergraduate pharmacy students toward infection prevention and control at the University of Zambia.Materials and methods:This cross-sectional study was conducted among 290 undergraduate pharmacy students at the University of Zambia using a structured questionnaire from August 2022 to October 2022. Data analysis was performed using SPSS version 25.0, and statistical significance was set at a 95% confidence level.Results:Of the 290 participants, 166(57.2%) were female and the majority were aged between 18 and 23 years. Overall, 252(86.9%) had good knowledge, 167(57.6%) had positive attitudes, and 248(85.5%) had good practices toward IPC measures. These results indicate lower attitude scores compared to knowledge and practices. Having good knowledge of IPC was associated with being a Christian by religion compared to other religions (OR = 5.314, 95% CI: 1.141–24.745). There was no association between sociodemographics and attitude and practice concerning IPC.Conclusion:This study found that pharmacy students had good knowledge, positive attitudes, and good practices toward IPC measures. Consequently, more emphasis is needed to improve the student’s knowledge, attitudes, and practices toward IPC, especially in areas where gaps were identified. Additionally, there is a need to improve curricula on IPC measures in the training of pharmacy programs.","author":[{"dropping-particle":"","family":"Mudenda","given":"Steward","non-dropping-particle":"","parse-names":false,"suffix":""},{"dropping-particle":"","family":"Chizimu","given":"Joseph","non-dropping-particle":"","parse-names":false,"suffix":""},{"dropping-particle":"","family":"Chabalenge","given":"Billy","non-dropping-particle":"","parse-names":false,"suffix":""},{"dropping-particle":"","family":"Kasanga","given":"Maisa","non-dropping-particle":"","parse-names":false,"suffix":""},{"dropping-particle":"","family":"Matafwali","given":"Scott Kaba","non-dropping-particle":"","parse-names":false,"suffix":""},{"dropping-particle":"","family":"Daka","given":"Victor","non-dropping-particle":"","parse-names":false,"suffix":""},{"dropping-particle":"","family":"Yamba","given":"Kaunda","non-dropping-particle":"","parse-names":false,"suffix":""},{"dropping-particle":"","family":"Mulomba","given":"Margret","non-dropping-particle":"","parse-names":false,"suffix":""},{"dropping-particle":"","family":"Mufwambi","given":"Webrod","non-dropping-particle":"","parse-names":false,"suffix":""},{"dropping-particle":"","family":"Katowa-Mukwato","given":"Patricia","non-dropping-particle":"","parse-names":false,"suffix":""},{"dropping-particle":"","family":"Godman","given":"Brian","non-dropping-particle":"","parse-names":false,"suffix":""}],"container-title":"Antimicrobial Stewardship &amp; Healthcare Epidemiology","id":"ITEM-1","issue":"1","issued":{"date-parts":[["2023","9","11"]]},"page":"e154","title":"Knowledge, attitude, and practices toward infection prevention and control among undergraduate pharmacy students in Zambia: findings and implications","type":"article-journal","volume":"3"},"uris":["http://www.mendeley.com/documents/?uuid=e9ea3009-54d7-3ba4-b41b-0d5c3eaff9b0"]},{"id":"ITEM-2","itemData":{"DOI":"10.4314/mjz.v35i3.46530","ISSN":"0047-651X","abstract":"Objective: To determine the level of health-care workers’ compliance with Infection Prevention Guidelines and identify factors that influence compliance at Ronald Ross General Hospital, Mufulira District. Methods: A quantitative study was carried out in 2007. Convenient sampling method was used. Data was obtained using a self administered interview schedule and an observation checklist. A total of 77 health care workers who included Doctors, Registered Midwives and Nurses, Enrolled Midwives and Nurses, clinical Officers, Laboratory Technicians and physiotherapists took part in the study. Additionally, 40 out of the 77 interviewed health workers were observed carrying out at least one procedure requiring compliance with the Infection Prevention (IP) guidelines. Results: The study revealed that, high compliance was associated with inclusion of Guidelines in the Curricular, high knowledge of infection prevention/ hospital acquired infections, positive attitude towards infection prevention and availability of materials for infection prevention. The study further reviewed revealed varied levels of compliance on different components of infection prevention. The highest level of compliance (100%) was with single use of needles and syringes while the lowest (35.1) was with decontamination of needles and syringes with 0.5% chlorine solution prior to disposal. Compliance with hand hygiene was moderate (61%). Conclusion: The study findings suggest a need for inclusion of Infection Prevention Guidelines in the health workers’ curricular, provision of in-service training in infection prevention protocols and improvements in the supply of materials for infection prevention.","author":[{"dropping-particle":"","family":"Mukwato","given":"KP","non-dropping-particle":"","parse-names":false,"suffix":""},{"dropping-particle":"","family":"Ngoma","given":"CM","non-dropping-particle":"","parse-names":false,"suffix":""},{"dropping-particle":"","family":"Maimbolwa","given":"M","non-dropping-particle":"","parse-names":false,"suffix":""}],"container-title":"Medical Journal of Zambia","id":"ITEM-2","issue":"3","issued":{"date-parts":[["2009","10","6"]]},"page":"110-116","publisher":"African Journals Online (AJOL)","title":"Compliance With Infection Prevention Guidelines By Health Care Workers at Ronald Ross General Hospital Mufulira District","type":"article-journal","volume":"35"},"uris":["http://www.mendeley.com/documents/?uuid=169e8b83-5053-4a2c-bfec-917795354e3e"]}],"mendeley":{"formattedCitation":"[82,83]","plainTextFormattedCitation":"[82,83]","previouslyFormattedCitation":"[82,83]"},"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[82,83]</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may have touched upon aspects of IPC in specific settings, none have provided a comprehensive and validated nationwide assessment of IPC implementation. This study found an intermediate implementation of IPC core components in most </w:t>
      </w:r>
      <w:r w:rsidR="00D003A9">
        <w:rPr>
          <w:rFonts w:eastAsia="Times New Roman" w:cs="Times New Roman"/>
          <w:szCs w:val="24"/>
          <w:lang w:val="en" w:bidi="en-US"/>
        </w:rPr>
        <w:t>secondary</w:t>
      </w:r>
      <w:r w:rsidRPr="003F4633">
        <w:rPr>
          <w:rFonts w:eastAsia="Times New Roman" w:cs="Times New Roman"/>
          <w:szCs w:val="24"/>
          <w:lang w:val="en" w:bidi="en-US"/>
        </w:rPr>
        <w:t>-level hospitals but an advanced implementation in most tertiary-level hospitals.</w:t>
      </w:r>
      <w:r w:rsidRPr="003F4633">
        <w:rPr>
          <w:rFonts w:eastAsia="Times New Roman" w:cs="Times New Roman"/>
          <w:b/>
          <w:szCs w:val="24"/>
          <w:lang w:val="en" w:bidi="en-US"/>
        </w:rPr>
        <w:t xml:space="preserve"> </w:t>
      </w:r>
      <w:r w:rsidRPr="003F4633">
        <w:rPr>
          <w:rFonts w:eastAsia="Times New Roman" w:cs="Times New Roman"/>
          <w:szCs w:val="24"/>
          <w:lang w:val="en" w:bidi="en-US"/>
        </w:rPr>
        <w:t xml:space="preserve">Overall, the study found an intermediate implementation of IPC programs in the surveyed hospitals, which indicates a need to continue improving the scope and quality of IPC implementation. Alongside this, the focus should be on the development of long-term plans to sustain and further promote existing IPC programs in the country to reduce the prevalence of HAIs and the overuse of antibiotics among hospitals in Zambia. </w:t>
      </w:r>
    </w:p>
    <w:p w14:paraId="4920B0E1" w14:textId="38777C7B" w:rsidR="003F4633" w:rsidRPr="003F4633" w:rsidRDefault="003F4633" w:rsidP="003F4633">
      <w:pPr>
        <w:spacing w:before="0" w:line="360" w:lineRule="auto"/>
        <w:jc w:val="both"/>
        <w:rPr>
          <w:rFonts w:eastAsia="Times New Roman" w:cs="Times New Roman"/>
          <w:szCs w:val="24"/>
          <w:lang w:val="en" w:bidi="en-US"/>
        </w:rPr>
      </w:pPr>
      <w:r w:rsidRPr="003F4633">
        <w:rPr>
          <w:rFonts w:eastAsia="Times New Roman" w:cs="Times New Roman"/>
          <w:szCs w:val="24"/>
          <w:lang w:val="en" w:bidi="en-US"/>
        </w:rPr>
        <w:t xml:space="preserve">The present study found an IPCAF score of 594, which indicates an intermediate level of IPC implementation in Zambian hospitals. These findings are similar to those reported across six hospitals in Uganda with an IPCAF score of 547 </w:t>
      </w:r>
      <w:r w:rsidRPr="003F4633">
        <w:rPr>
          <w:rFonts w:eastAsia="Times New Roman" w:cs="Times New Roman"/>
          <w:szCs w:val="24"/>
          <w:lang w:val="en" w:bidi="en-US"/>
        </w:rPr>
        <w:fldChar w:fldCharType="begin" w:fldLock="1"/>
      </w:r>
      <w:r w:rsidR="00EE7503">
        <w:rPr>
          <w:rFonts w:eastAsia="Times New Roman" w:cs="Times New Roman"/>
          <w:szCs w:val="24"/>
          <w:lang w:val="en" w:bidi="en-US"/>
        </w:rPr>
        <w:instrText>ADDIN CSL_CITATION {"citationItems":[{"id":"ITEM-1","itemData":{"DOI":"10.3389/fpubh.2024.1465439","ISSN":"2296-2565","PMID":"39502813","abstract":"Introduction: Hand hygiene (HH) plays a crucial role in mitigating healthcare-associated infections. Improving HH compliance in healthcare facilities in resource-limited settings is urgently needed. Methods: We implemented the World Health Organization (WHO) HH improvement strategy using a continuous quality improvement (CQI) approach targeting improvement in HH compliance by healthcare workers (HCWs). An intervention was implemented in six hospitals using a longitudinal study design between May 2019 and April 2023. We set up and monitored infection prevention and control (IPC) and HH programs using WHO's infection prevention and control assessment framework at the facility level (IPCAF) and hand hygiene self-assessment framework (HHSAF) tools. We implemented HH interventions using CQI techniques while targeting HCW HH knowledge and compliance with the WHO's Five Moments of HH. Results and discussion: By the end of the intervention, IPC and HH capacity improved in all six hospitals, from a median score of 547.0 and 252.5 on IPCAF and HHSAF tools at baseline to an advanced score of 635.0 and 350.0 at endline assessment, respectively. Similarly, HCWs' HH knowledge improved in all hospitals, from a mean score of 45.0% at baseline to 76.0% at endline assessment, most notably among nurses. HH compliance, as assessed using WHO's HH observation tool, at least doubled in all hospitals, rising from 19.9% to 53.8%, with before touching a patient registering the highest (22-fold) improvement. On linear regression analysis, no significant association was observed between HH compliance and IPCAF b = -0.0004 (95% CI -0.093, 0.93) p = 0.990, HHSAF b = 0.009 (95% CI -.0127, 0.145) p = 0.842 and HCW knowledge on HH/IPC b = -0.165 (95% CI 0.815, 0.485) p = 0.519. This is the first documented comprehensive utilization of CQI approaches to implement HH as an entry point for the development of hospital IPC programs, and evaluation of WHO tools and approaches for IPC and HH improvement in Uganda. Conclusion: Implementation of the WHO HH improvement strategy using a CQI approach can lead to remarkable improvement in HH capacity, and HCW compliance and knowledge in hospitals within resource-limited settings.","author":[{"dropping-particle":"","family":"Kasujja","given":"Hassan","non-dropping-particle":"","parse-names":false,"suffix":""},{"dropping-particle":"","family":"Waswa","given":"J. P.","non-dropping-particle":"","parse-names":false,"suffix":""},{"dropping-particle":"","family":"Kiggundu","given":"Reuben","non-dropping-particle":"","parse-names":false,"suffix":""},{"dropping-particle":"","family":"Murungi","given":"Marion","non-dropping-particle":"","parse-names":false,"suffix":""},{"dropping-particle":"","family":"Kwikiriza","given":"Grace","non-dropping-particle":"","parse-names":false,"suffix":""},{"dropping-particle":"","family":"Bahatungire","given":"Rony","non-dropping-particle":"","parse-names":false,"suffix":""},{"dropping-particle":"","family":"Kajumbula","given":"Henry","non-dropping-particle":"","parse-names":false,"suffix":""},{"dropping-particle":"","family":"Alombah","given":"Fozo","non-dropping-particle":"","parse-names":false,"suffix":""},{"dropping-particle":"","family":"Joshi","given":"Mohan P.","non-dropping-particle":"","parse-names":false,"suffix":""},{"dropping-particle":"","family":"Konduri","given":"Niranjan","non-dropping-particle":"","parse-names":false,"suffix":""}],"container-title":"Frontiers in Public Health","id":"ITEM-1","issued":{"date-parts":[["2024","10","22"]]},"page":"1465439","publisher":"Frontiers","title":"Enhancing infection prevention and control through hand hygiene compliance in six Ugandan hospitals using quality improvement approaches","type":"article-journal","volume":"12"},"uris":["http://www.mendeley.com/documents/?uuid=d355fdf4-aeff-318c-bbb8-e636c8d6a5b5"]}],"mendeley":{"formattedCitation":"[96]","plainTextFormattedCitation":"[96]","previouslyFormattedCitation":"[96]"},"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[96]</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and in Rwanda across 25 hospitals with an IPCAF score of 545 </w:t>
      </w:r>
      <w:r w:rsidRPr="003F4633">
        <w:rPr>
          <w:rFonts w:eastAsia="Times New Roman" w:cs="Times New Roman"/>
          <w:szCs w:val="24"/>
          <w:lang w:val="en" w:bidi="en-US"/>
        </w:rPr>
        <w:fldChar w:fldCharType="begin" w:fldLock="1"/>
      </w:r>
      <w:r w:rsidR="005E406D">
        <w:rPr>
          <w:rFonts w:eastAsia="Times New Roman" w:cs="Times New Roman"/>
          <w:szCs w:val="24"/>
          <w:lang w:val="en" w:bidi="en-US"/>
        </w:rPr>
        <w:instrText>ADDIN CSL_CITATION {"citationItems":[{"id":"ITEM-1","itemData":{"DOI":"10.1002/puh2.183","ISSN":"27692450","abstract":"Background: Infection prevention and control (IPC) is important in ensuring patient safety, protecting healthcare workers, and reducing healthcare-associated costs. The World Health Organization (WHO)-validated Infection Prevention and Control Assessment Framework (IPCAF) was used to evaluate IPC practices in Rwandan healthcare facilities. Methodology: In this cross-sectional study, we assessed 25 health facilities across Rwanda, including district and referral hospitals. Using the IPCAF tool, we assessed eight core components (CCs) of IPC programs. We calculated median scores and interquartile ranges to determine the levels of implementation of IPC practices. Findings: Among the 25 facilities, all showed some degree of IPCAF implementation, with an overall median IPCAF score of 545.0, reflecting an intermediate level. Three facilities (12%) were at a basic level, 16 (64%) at an intermediate level, and 6 (24%) at an advanced level of IPC practices. The presence of IPC guidelines scored the highest among CCs (median: 87.5). About 96% of facilities did not have a dedicated full-time IPC staff, 64% of facilities did not offer IPC training to new staff, and 84% did not have protocols for multidrug-resistant pathogens. Conclusions: This initial IPCAF assessment in Rwanda reveals critical IPC strengths and gaps. These findings highlight the necessity for targeted interventions, such as appointing dedicated IPC staff, strengthening IPC committees, and enhancing IPC training and resources.","author":[{"dropping-particle":"","family":"Irakiza","given":"Jean Jacques","non-dropping-particle":"","parse-names":false,"suffix":""},{"dropping-particle":"","family":"Mazimpaka","given":"Christian","non-dropping-particle":"","parse-names":false,"suffix":""},{"dropping-particle":"","family":"Ndatimana","given":"Dieudonne","non-dropping-particle":"","parse-names":false,"suffix":""},{"dropping-particle":"","family":"Kalach","given":"John Baptist","non-dropping-particle":"","parse-names":false,"suffix":""},{"dropping-particle":"","family":"Hatangimbabazi","given":"Vincent","non-dropping-particle":"","parse-names":false,"suffix":""},{"dropping-particle":"","family":"Kamuhangire","given":"Edouard","non-dropping-particle":"","parse-names":false,"suffix":""},{"dropping-particle":"","family":"Mukamunana","given":"Alphonsine","non-dropping-particle":"","parse-names":false,"suffix":""},{"dropping-particle":"","family":"Ntakirutimana","given":"Olive","non-dropping-particle":"","parse-names":false,"suffix":""},{"dropping-particle":"","family":"Tengera","given":"Joseline","non-dropping-particle":"","parse-names":false,"suffix":""},{"dropping-particle":"","family":"Ruhumuriza","given":"Olivier","non-dropping-particle":"","parse-names":false,"suffix":""},{"dropping-particle":"","family":"Manishimwe","given":"Onesime","non-dropping-particle":"","parse-names":false,"suffix":""},{"dropping-particle":"","family":"Mwali","given":"Assumpta Kayinamura","non-dropping-particle":"","parse-names":false,"suffix":""},{"dropping-particle":"","family":"Rutayisire","given":"Erigene","non-dropping-particle":"","parse-names":false,"suffix":""}],"container-title":"Public Health Challenges","id":"ITEM-1","issue":"2","issued":{"date-parts":[["2024","6","1"]]},"page":"e183","publisher":"John Wiley &amp; Sons, Ltd","title":"Status of infection prevention and control programs in 25 facilities of Rwanda: Results from the WHO infection prevention and control assessment framework","type":"article-journal","volume":"3"},"uris":["http://www.mendeley.com/documents/?uuid=3020efe9-c6fb-3fcf-b9c0-9dbd68901d50"]}],"mendeley":{"formattedCitation":"[97]","plainTextFormattedCitation":"[97]","previouslyFormattedCitation":"[97]"},"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[97]</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potentially reflecting similar resource constraints and healthcare system structures within the East African region. Intermediate implementation of IPC, though lower than scores reported in Zambia, was also reported in Malawi across 33 hospitals with an IPCAF score of 445 </w:t>
      </w:r>
      <w:r w:rsidRPr="003F4633">
        <w:rPr>
          <w:rFonts w:eastAsia="Times New Roman" w:cs="Times New Roman"/>
          <w:szCs w:val="24"/>
          <w:lang w:val="en" w:bidi="en-US"/>
        </w:rPr>
        <w:fldChar w:fldCharType="begin" w:fldLock="1"/>
      </w:r>
      <w:r w:rsidR="005E406D">
        <w:rPr>
          <w:rFonts w:eastAsia="Times New Roman" w:cs="Times New Roman"/>
          <w:szCs w:val="24"/>
          <w:lang w:val="en" w:bidi="en-US"/>
        </w:rPr>
        <w:instrText>ADDIN CSL_CITATION {"citationItems":[{"id":"ITEM-1","itemData":{"DOI":"10.1016/j.infpip.2024.100388","ISSN":"25900889","abstract":"Background: Infection prevention and control (IPC) is important for the reduction of healthcare-associated infections (HAI). The World Health Organization (WHO) developed the IPC Assessment Framework (IPCAF) tool to assess the level of IPC implementation and to identify areas for improvement in healthcare facilities. Methods: A cross -sectional survey was conducted using the WHO IPCAF tool from May to June 2023. The aim was to provide a baseline assessment of the IPC programme and activities within health care facilities in Malawi. Forty healthcare facilities were invited to participate. IPC teams were requested to complete the IPCAF and return the scores. The IPCAF tool scores were assessed as recommended in the WHO IPCAF tool. Results: The response rate was 82.5%. The median IPCAF score was 445 out of 800 corresponding to an intermediate IPC implementation level. The results revealed that 66.7% facilities were at intermediate level, 26.4% at basic level, and 6.9% at advanced level. Most facilities (76%) had an IPC program in place with clear objectives and an IPC focal person. Few had a dedicated budget for IPC. The IPCAF domain “monitoring/audit of IPC practices and feedback” had the lowest median score of 15/100, and in 90% of facilities, no monitoring, audit, and feedback was done. HAI surveillance median score was 40/100, workload, staffing and bed occupancy median score was 45/100. Conclusions: Whilst there has been some degree of implementation of WHO IPC guidelines in Malawi's healthcare system, there is significant room for improvement. The IPCAF tool revealed that monitoring/audit and feedback, HAI surveillance and workload, staffing and bed occupancy need to be strengthened. The IPCAF scoring system may need reconsidering given the centrality of these domains to IPC.","author":[{"dropping-particle":"","family":"Ng'ambi","given":"Dorica","non-dropping-particle":"","parse-names":false,"suffix":""},{"dropping-particle":"","family":"O'Byrne","given":"Thomasena","non-dropping-particle":"","parse-names":false,"suffix":""},{"dropping-particle":"","family":"Jingini","given":"Emmie","non-dropping-particle":"","parse-names":false,"suffix":""},{"dropping-particle":"","family":"Chadwala","given":"Hope","non-dropping-particle":"","parse-names":false,"suffix":""},{"dropping-particle":"","family":"Musopole","given":"Owen","non-dropping-particle":"","parse-names":false,"suffix":""},{"dropping-particle":"","family":"Kamchedzera","given":"Wala","non-dropping-particle":"","parse-names":false,"suffix":""},{"dropping-particle":"","family":"Tancred","given":"Tara","non-dropping-particle":"","parse-names":false,"suffix":""},{"dropping-particle":"","family":"Feasey","given":"Nicholas","non-dropping-particle":"","parse-names":false,"suffix":""}],"container-title":"Infection Prevention in Practice","id":"ITEM-1","issue":"4","issued":{"date-parts":[["2024","12","1"]]},"page":"100388","publisher":"Elsevier","title":"An assessment of infection prevention and control implementation in Malawian hospitals using the WHO Infection Prevention and Control Assessment Framework (IPCAF) tool","type":"article-journal","volume":"6"},"uris":["http://www.mendeley.com/documents/?uuid=5d0bfc10-c722-34f0-88bd-6182247493f9"]}],"mendeley":{"formattedCitation":"[62]","plainTextFormattedCitation":"[62]","previouslyFormattedCitation":"[62]"},"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[62]</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and in Burkina Faso with an IPCAF overall score of 415 </w:t>
      </w:r>
      <w:r w:rsidRPr="003F4633">
        <w:rPr>
          <w:rFonts w:eastAsia="Times New Roman" w:cs="Times New Roman"/>
          <w:szCs w:val="24"/>
          <w:lang w:val="en" w:bidi="en-US"/>
        </w:rPr>
        <w:fldChar w:fldCharType="begin" w:fldLock="1"/>
      </w:r>
      <w:r w:rsidR="005E406D">
        <w:rPr>
          <w:rFonts w:eastAsia="Times New Roman" w:cs="Times New Roman"/>
          <w:szCs w:val="24"/>
          <w:lang w:val="en" w:bidi="en-US"/>
        </w:rPr>
        <w:instrText>ADDIN CSL_CITATION {"citationItems":[{"id":"ITEM-1","itemData":{"DOI":"10.1186/s13756-023-01358-1","ISSN":"20472994","PMID":"38221629","abstract":"Background: The coronavirus pandemic again highlighted the need for robust health care facility infection prevention and control (IPC) programmes. WHO guidelines on the core components (CCs) of IPC programmes provides guidance for facilities, but their implementation can be difficult to achieve in resource-limited settings. We aimed to gather evidence on an initial WHO IPC implementation experience using a mixed methods approach. Methods: A five-day training on the WHO IPC CCs was conducted at two reference acute health care facilities in the Democratic Republic of Congo and Burkina Faso. This was accompanied by a three-part mixed-methods evaluation consisting of a: (1) baseline and follow-up survey of participants’ knowledge, attitudes and practices (KAP), (2) qualitative assessment of plenary discussion transcripts and (3) deployment of the WHO IPC assessment framework (IPCAF) tool. Results were analysed descriptively and with a qualitative inductive thematic approach. Results: Twenty-two and twenty-four participants were trained at each facility, respectively. Baseline and follow-up KAP results suggested increases in knowledge related to the necessity of a dedicated IPC focal person and annual evaluations of IPC training although lack of recognition on the importance of including hospital leadership in IPC training and hand hygiene monitoring recommendations remained. Most participants reported rarely attending IPC meetings or participating in IPC action planning although attitudes shifted towards stronger agreement with the feeling of IPC responsibility and importance of an IPC team. A reocurring theme in plenary discussions was related to limited resources as a barrier to IPC implementation, namely lack of reliable water access. However, participants recognised the importance of IPC improvement efforts such as practical IPC training methods or the use of data to improve quality of care. The facilities’ IPCAF scores reflected a ‘basic/intermediate’ IPC implementation level. Conclusions: The training and mixed methods evaluation revealed initial IPC implementation experiences that could be used to inform stepwise approaches to facility IPC improvement in resource-limited settings. Implementation strategies should consider both global standards such as the WHO IPC CCs and specific local contexts. The early involvement of all relevant stakeholders and parallel efforts to advocate for sufficient resources and health system infrastructure are critical.","author":[{"dropping-particle":"","family":"Wood","given":"R.","non-dropping-particle":"","parse-names":false,"suffix":""},{"dropping-particle":"","family":"Tembele","given":"W.","non-dropping-particle":"","parse-names":false,"suffix":""},{"dropping-particle":"","family":"Hema","given":"A.","non-dropping-particle":"","parse-names":false,"suffix":""},{"dropping-particle":"","family":"Somé","given":"A.","non-dropping-particle":"","parse-names":false,"suffix":""},{"dropping-particle":"","family":"Kinganda-Lusamaki","given":"E.","non-dropping-particle":"","parse-names":false,"suffix":""},{"dropping-particle":"","family":"Basilubo","given":"C.","non-dropping-particle":"","parse-names":false,"suffix":""},{"dropping-particle":"","family":"Lumembe","given":"R.","non-dropping-particle":"","parse-names":false,"suffix":""},{"dropping-particle":"","family":"Alama","given":"N.","non-dropping-particle":"","parse-names":false,"suffix":""},{"dropping-particle":"","family":"Mbunsu","given":"G.","non-dropping-particle":"","parse-names":false,"suffix":""},{"dropping-particle":"","family":"Zongo","given":"A.","non-dropping-particle":"","parse-names":false,"suffix":""},{"dropping-particle":"","family":"Ahuka","given":"S.","non-dropping-particle":"","parse-names":false,"suffix":""},{"dropping-particle":"","family":"Muyembe","given":"J. J.","non-dropping-particle":"","parse-names":false,"suffix":""},{"dropping-particle":"","family":"Leendertz","given":"F.","non-dropping-particle":"","parse-names":false,"suffix":""},{"dropping-particle":"","family":"Eckmanns","given":"T.","non-dropping-particle":"","parse-names":false,"suffix":""},{"dropping-particle":"","family":"Schubert","given":"G.","non-dropping-particle":"","parse-names":false,"suffix":""},{"dropping-particle":"","family":"Kagoné","given":"T.","non-dropping-particle":"","parse-names":false,"suffix":""},{"dropping-particle":"","family":"Makiala","given":"S.","non-dropping-particle":"","parse-names":false,"suffix":""},{"dropping-particle":"","family":"Tomczyk","given":"S.","non-dropping-particle":"","parse-names":false,"suffix":""}],"container-title":"Antimicrobial Resistance and Infection Control","id":"ITEM-1","issue":"1","issued":{"date-parts":[["2024","12","1"]]},"page":"4","publisher":"BioMed Central Ltd","title":"Implementation of the WHO core components of an infection prevention and control programme in two sub-Saharan African acute health-care facilities: a mixed methods study","type":"article-journal","volume":"13"},"uris":["http://www.mendeley.com/documents/?uuid=9259b542-e689-3b8e-b204-e38787758396"]}],"mendeley":{"formattedCitation":"[68]","plainTextFormattedCitation":"[68]","previouslyFormattedCitation":"[68]"},"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[68]</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might indicate more significant challenges in basic IPC infrastructure and implementation in those contexts. Our findings are also better than those reported in the Democratic Republic of Congo (DRC) and Cote d'Ivoire. In the DRC, only a basic level implementation of IPC was reported, with an overall IPCAF score of 392.5 </w:t>
      </w:r>
      <w:r w:rsidRPr="003F4633">
        <w:rPr>
          <w:rFonts w:eastAsia="Times New Roman" w:cs="Times New Roman"/>
          <w:szCs w:val="24"/>
          <w:lang w:val="en" w:bidi="en-US"/>
        </w:rPr>
        <w:fldChar w:fldCharType="begin" w:fldLock="1"/>
      </w:r>
      <w:r w:rsidR="005E406D">
        <w:rPr>
          <w:rFonts w:eastAsia="Times New Roman" w:cs="Times New Roman"/>
          <w:szCs w:val="24"/>
          <w:lang w:val="en" w:bidi="en-US"/>
        </w:rPr>
        <w:instrText>ADDIN CSL_CITATION {"citationItems":[{"id":"ITEM-1","itemData":{"DOI":"10.1186/s13756-023-01358-1","ISSN":"20472994","PMID":"38221629","abstract":"Background: The coronavirus pandemic again highlighted the need for robust health care facility infection prevention and control (IPC) programmes. WHO guidelines on the core components (CCs) of IPC programmes provides guidance for facilities, but their implementation can be difficult to achieve in resource-limited settings. We aimed to gather evidence on an initial WHO IPC implementation experience using a mixed methods approach. Methods: A five-day training on the WHO IPC CCs was conducted at two reference acute health care facilities in the Democratic Republic of Congo and Burkina Faso. This was accompanied by a three-part mixed-methods evaluation consisting of a: (1) baseline and follow-up survey of participants’ knowledge, attitudes and practices (KAP), (2) qualitative assessment of plenary discussion transcripts and (3) deployment of the WHO IPC assessment framework (IPCAF) tool. Results were analysed descriptively and with a qualitative inductive thematic approach. Results: Twenty-two and twenty-four participants were trained at each facility, respectively. Baseline and follow-up KAP results suggested increases in knowledge related to the necessity of a dedicated IPC focal person and annual evaluations of IPC training although lack of recognition on the importance of including hospital leadership in IPC training and hand hygiene monitoring recommendations remained. Most participants reported rarely attending IPC meetings or participating in IPC action planning although attitudes shifted towards stronger agreement with the feeling of IPC responsibility and importance of an IPC team. A reocurring theme in plenary discussions was related to limited resources as a barrier to IPC implementation, namely lack of reliable water access. However, participants recognised the importance of IPC improvement efforts such as practical IPC training methods or the use of data to improve quality of care. The facilities’ IPCAF scores reflected a ‘basic/intermediate’ IPC implementation level. Conclusions: The training and mixed methods evaluation revealed initial IPC implementation experiences that could be used to inform stepwise approaches to facility IPC improvement in resource-limited settings. Implementation strategies should consider both global standards such as the WHO IPC CCs and specific local contexts. The early involvement of all relevant stakeholders and parallel efforts to advocate for sufficient resources and health system infrastructure are critical.","author":[{"dropping-particle":"","family":"Wood","given":"R.","non-dropping-particle":"","parse-names":false,"suffix":""},{"dropping-particle":"","family":"Tembele","given":"W.","non-dropping-particle":"","parse-names":false,"suffix":""},{"dropping-particle":"","family":"Hema","given":"A.","non-dropping-particle":"","parse-names":false,"suffix":""},{"dropping-particle":"","family":"Somé","given":"A.","non-dropping-particle":"","parse-names":false,"suffix":""},{"dropping-particle":"","family":"Kinganda-Lusamaki","given":"E.","non-dropping-particle":"","parse-names":false,"suffix":""},{"dropping-particle":"","family":"Basilubo","given":"C.","non-dropping-particle":"","parse-names":false,"suffix":""},{"dropping-particle":"","family":"Lumembe","given":"R.","non-dropping-particle":"","parse-names":false,"suffix":""},{"dropping-particle":"","family":"Alama","given":"N.","non-dropping-particle":"","parse-names":false,"suffix":""},{"dropping-particle":"","family":"Mbunsu","given":"G.","non-dropping-particle":"","parse-names":false,"suffix":""},{"dropping-particle":"","family":"Zongo","given":"A.","non-dropping-particle":"","parse-names":false,"suffix":""},{"dropping-particle":"","family":"Ahuka","given":"S.","non-dropping-particle":"","parse-names":false,"suffix":""},{"dropping-particle":"","family":"Muyembe","given":"J. J.","non-dropping-particle":"","parse-names":false,"suffix":""},{"dropping-particle":"","family":"Leendertz","given":"F.","non-dropping-particle":"","parse-names":false,"suffix":""},{"dropping-particle":"","family":"Eckmanns","given":"T.","non-dropping-particle":"","parse-names":false,"suffix":""},{"dropping-particle":"","family":"Schubert","given":"G.","non-dropping-particle":"","parse-names":false,"suffix":""},{"dropping-particle":"","family":"Kagoné","given":"T.","non-dropping-particle":"","parse-names":false,"suffix":""},{"dropping-particle":"","family":"Makiala","given":"S.","non-dropping-particle":"","parse-names":false,"suffix":""},{"dropping-particle":"","family":"Tomczyk","given":"S.","non-dropping-particle":"","parse-names":false,"suffix":""}],"container-title":"Antimicrobial Resistance and Infection Control","id":"ITEM-1","issue":"1","issued":{"date-parts":[["2024","12","1"]]},"page":"4","publisher":"BioMed Central Ltd","title":"Implementation of the WHO core components of an infection prevention and control programme in two sub-Saharan African acute health-care facilities: a mixed methods study","type":"article-journal","volume":"13"},"uris":["http://www.mendeley.com/documents/?uuid=9259b542-e689-3b8e-b204-e38787758396"]}],"mendeley":{"formattedCitation":"[68]","plainTextFormattedCitation":"[68]","previouslyFormattedCitation":"[68]"},"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[68]</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while in Cote d'Ivoire, the score was only 242.5 </w:t>
      </w:r>
      <w:r w:rsidRPr="003F4633">
        <w:rPr>
          <w:rFonts w:eastAsia="Times New Roman" w:cs="Times New Roman"/>
          <w:szCs w:val="24"/>
          <w:lang w:val="en" w:bidi="en-US"/>
        </w:rPr>
        <w:fldChar w:fldCharType="begin" w:fldLock="1"/>
      </w:r>
      <w:r w:rsidR="00EE7503">
        <w:rPr>
          <w:rFonts w:eastAsia="Times New Roman" w:cs="Times New Roman"/>
          <w:szCs w:val="24"/>
          <w:lang w:val="en" w:bidi="en-US"/>
        </w:rPr>
        <w:instrText>ADDIN CSL_CITATION {"citationItems":[{"id":"ITEM-1","itemData":{"DOI":"10.1186/s12913-023-09853-2","ISSN":"14726963","PMID":"37587467","abstract":"Introduction: As part of the implementation of its mission “to integrate hygiene activities into healthcare”, the general directorate of health conducted in 2018 with its technical structures, an evaluation of the implementation of Infection Prevention and Control (IPC) using the WHO IPCAF tool in 30 health-care facilities in the autonomous district of Abidjan. Materials and methods: This were a cross-sectional survey with a conceptualized component considering the issue of injection safety and sanitary waste management, which was conducted in the named health-care facilities from March 20 to 28, 2018. The scores of the essential components of the IPC made it possible to assess the IPC level of each health-care facility evaluated and the overall IPCAF score of all facilities. Results: The overall median IPCAF score of the health-care facilities was 242.5/800 and corresponded to an inadequate level overall. No facility reached the “advanced” level of performance, 5 facilities (17%) reached the “intermediate” level, 10 (33%) fell into the “basic” level, and 15 (50%) were at the “inadequate” level. Baseline institutions had much higher scores than first contact institutions. Conclusion: IPC component activities were inadequate and fragmented in the under-resourced health facilities at the time of the assessment. It would be appropriate to provide adequate resources and develop expertise in IPC through strong political will and leadership. This will contribute to the achievement of universal health insurance objectives with safe health services for patients.","author":[{"dropping-particle":"","family":"Cissé","given":"Doumbia Mariamou","non-dropping-particle":"","parse-names":false,"suffix":""},{"dropping-particle":"","family":"Laure","given":"Essis Esme Marie","non-dropping-particle":"","parse-names":false,"suffix":""},{"dropping-particle":"","family":"Blaise","given":"Koné Atioumounan","non-dropping-particle":"","parse-names":false,"suffix":""},{"dropping-particle":"","family":"Jean Paul","given":"N’gbesso N’gbesso","non-dropping-particle":"","parse-names":false,"suffix":""},{"dropping-particle":"","family":"Gbonon","given":"Mbengue Valérie","non-dropping-particle":"","parse-names":false,"suffix":""},{"dropping-particle":"","family":"Mayaka","given":"Cissé Raïssa Adja","non-dropping-particle":"","parse-names":false,"suffix":""},{"dropping-particle":"","family":"Eugénie","given":"Gagne Doh","non-dropping-particle":"","parse-names":false,"suffix":""},{"dropping-particle":"","family":"Simplice","given":"Dagnan N’cho","non-dropping-particle":"","parse-names":false,"suffix":""},{"dropping-particle":"","family":"Philippe","given":"Kouadio Luc","non-dropping-particle":"","parse-names":false,"suffix":""},{"dropping-particle":"","family":"Mamadou","given":"Samba","non-dropping-particle":"","parse-names":false,"suffix":""}],"container-title":"BMC Health Services Research","id":"ITEM-1","issue":"1","issued":{"date-parts":[["2023","12","1"]]},"page":"870","publisher":"BMC Health Serv Res","title":"Evaluation of the implementation of hospital hygiene components in 30 health-care facilities in the autonomous district of Abidjan (Cote d’Ivoire) with the WHO Infection Prevention and Control Assessment Framework (IPCAF)","type":"article-journal","volume":"23"},"uris":["http://www.mendeley.com/documents/?uuid=1d6c4867-e9f8-3a9a-8bc0-e98782ec64cc"]}],"mendeley":{"formattedCitation":"[98]","plainTextFormattedCitation":"[98]","previouslyFormattedCitation":"[98]"},"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[98]</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indicating the key barriers at play as reported in many LMICs, including inadequate allocation of budget for IPC, insufficient staffing of full-time IPC professionals, absence of clear IPC goals, challenges in staff training, no HAI surveillance, no periodic monitoring and inconsistent availability of IPC supplies </w:t>
      </w:r>
      <w:r w:rsidRPr="003F4633">
        <w:rPr>
          <w:rFonts w:eastAsia="Times New Roman" w:cs="Times New Roman"/>
          <w:szCs w:val="24"/>
          <w:lang w:val="en" w:bidi="en-US"/>
        </w:rPr>
        <w:fldChar w:fldCharType="begin" w:fldLock="1"/>
      </w:r>
      <w:r w:rsidR="002B46FA">
        <w:rPr>
          <w:rFonts w:eastAsia="Times New Roman" w:cs="Times New Roman"/>
          <w:szCs w:val="24"/>
          <w:lang w:val="en" w:bidi="en-US"/>
        </w:rPr>
        <w:instrText>ADDIN CSL_CITATION {"citationItems":[{"id":"ITEM-1","itemData":{"DOI":"10.1016/J.IDH.2025.03.005","ISSN":"2468-0451","author":[{"dropping-particle":"","family":"Asghar","given":"Saima","non-dropping-particle":"","parse-names":false,"suffix":""},{"dropping-particle":"","family":"Atif","given":"Muhammad","non-dropping-particle":"","parse-names":false,"suffix":""},{"dropping-particle":"","family":"Masood","given":"Imran","non-dropping-particle":"","parse-names":false,"suffix":""},{"dropping-particle":"","family":"Khan","given":"Madiha","non-dropping-particle":"","parse-names":false,"suffix":""}],"container-title":"Infection, Disease &amp; Health","id":"ITEM-1","issue":"3","issued":{"date-parts":[["2025","4","7"]]},"page":"260-283","publisher":"Elsevier","title":"A comprehensive review of current status of infection prevention and control program in low- and middle-income countries","type":"article-journal","volume":"30"},"uris":["http://www.mendeley.com/documents/?uuid=8e705de3-4e18-33bc-a493-f2be7600d663"]},{"id":"ITEM-2","itemData":{"DOI":"10.3390/tropicalmed6020069","ISSN":"24146366","PMID":"34062871","abstract":"Globally, 5–15% of hospitalized patients acquire infections (often caused by antimicrobial-resistant microbes) due to inadequate infection prevention and control (IPC) measures. We used the World Health Organization’s (WHO) ‘Infection Prevention and Control Assessment Framework’ (IPCAF) tool to assess the IPC compliance at Lira University hospital (LUH), a teaching hospital in Uganda. We also characterized challenges in completing the tool. This was a hospital-based, cross-sectional study conducted in November 2020. The IPC focal person at LUH completed the WHO IPCAF tool. Responses were validated, scored, and interpreted per WHO guidelines. The overall IPC compliance score at LUH was 225/800 (28.5%), implying a basic IPC compliance level. There was no IPC committee, no IPC team, and no budgets. Training was rarely or never conducted. There was no surveillance system and no monitoring/audit of IPC activities. Bed capacity, water, electricity, and disposal of hospital waste were adequate. Disposables and personal protective equipment were not available in appropriate quantities. Major challenges in completing the IPCAF tool were related to the detailed questions requiring repeated consultation with other hospital stakeholders and the long time it took to complete the tool. IPC compliance at LUH was not optimal. The gaps identified need to be addressed urgently.","author":[{"dropping-particle":"","family":"Opollo","given":"Marc Sam","non-dropping-particle":"","parse-names":false,"suffix":""},{"dropping-particle":"","family":"Otim","given":"Tom Charles","non-dropping-particle":"","parse-names":false,"suffix":""},{"dropping-particle":"","family":"Kizito","given":"Walter","non-dropping-particle":"","parse-names":false,"suffix":""},{"dropping-particle":"","family":"Thekkur","given":"Pruthu","non-dropping-particle":"","parse-names":false,"suffix":""},{"dropping-particle":"","family":"Kumar","given":"Ajay M.V.","non-dropping-particle":"","parse-names":false,"suffix":""},{"dropping-particle":"","family":"Kitutu","given":"Freddy Eric","non-dropping-particle":"","parse-names":false,"suffix":""},{"dropping-particle":"","family":"Kisame","given":"Rogers","non-dropping-particle":"","parse-names":false,"suffix":""},{"dropping-particle":"","family":"Zolfo","given":"Maria","non-dropping-particle":"","parse-names":false,"suffix":""}],"container-title":"Tropical Medicine and Infectious Disease","id":"ITEM-2","issue":"2","issued":{"date-parts":[["2021","6","1"]]},"page":"69","publisher":"Trop Med Infect Dis","title":"Infection Prevention and Control at Lira University Hospital, Uganda: More Needs to Be Done","type":"article-journal","volume":"6"},"uris":["http://www.mendeley.com/documents/?uuid=b32f0170-26e1-3902-97ff-a2d8d66c75b4"]},{"id":"ITEM-3","itemData":{"DOI":"10.1016/j.infpip.2024.100351","ISSN":"25900889","abstract":"Healthcare settings have a high prevalence of infectious agents. This narrative review examines the existing evidence regarding infection prevention and control (IPC) using the WHO Infection Prevention and Control Assessment Framework (IPCAF) tool in healthcare facilities. A total of 13 full length papers from Africa, Asia and Europe were considered for this review. The findings showed that there are discrepancies in the IPCAF values from insufficient to advanced level. The current review shows an advanced IPCAF level in middle income and high income countries. Low income countries showed a lower IPCAF score. There is a need to enhance the IPC capacity building and to supply infection prevention resources to prevent healthcare associated infection (HAI) with a focus on low income countries.","author":[{"dropping-particle":"","family":"Asgedom","given":"Akeza Awealom","non-dropping-particle":"","parse-names":false,"suffix":""}],"container-title":"Infection Prevention in Practice","id":"ITEM-3","issue":"2","issued":{"date-parts":[["2024","6","1"]]},"page":"100351","publisher":"Elsevier","title":"Status of infection prevention and control (IPC) as per the WHO standardised Infection Prevention and Control Assessment Framework (IPCAF) tool: existing evidence and its implication","type":"article-journal","volume":"6"},"uris":["http://www.mendeley.com/documents/?uuid=b53a2779-315e-3f6d-84e3-3b2ee2049686"]}],"mendeley":{"formattedCitation":"[63,99,100]","plainTextFormattedCitation":"[63,99,100]","previouslyFormattedCitation":"[63,99,100]"},"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[63,99,100]</w:t>
      </w:r>
      <w:r w:rsidRPr="003F4633">
        <w:rPr>
          <w:rFonts w:eastAsia="Times New Roman" w:cs="Times New Roman"/>
          <w:szCs w:val="24"/>
          <w:lang w:val="en"/>
        </w:rPr>
        <w:fldChar w:fldCharType="end"/>
      </w:r>
      <w:r w:rsidRPr="003F4633">
        <w:rPr>
          <w:rFonts w:eastAsia="Times New Roman" w:cs="Times New Roman"/>
          <w:szCs w:val="24"/>
          <w:lang w:val="en" w:bidi="en-US"/>
        </w:rPr>
        <w:t>.</w:t>
      </w:r>
      <w:r w:rsidRPr="003F4633">
        <w:rPr>
          <w:rFonts w:eastAsia="Times New Roman" w:cs="Times New Roman"/>
          <w:szCs w:val="24"/>
        </w:rPr>
        <w:t xml:space="preserve"> </w:t>
      </w:r>
      <w:r w:rsidRPr="003F4633">
        <w:rPr>
          <w:rFonts w:eastAsia="Times New Roman" w:cs="Times New Roman"/>
          <w:szCs w:val="24"/>
          <w:lang w:val="en" w:bidi="en-US"/>
        </w:rPr>
        <w:t xml:space="preserve">Conversely, the advanced implementation in Latin America [73] and high-income countries (HICs) </w:t>
      </w:r>
      <w:r w:rsidRPr="003F4633">
        <w:rPr>
          <w:rFonts w:eastAsia="Times New Roman" w:cs="Times New Roman"/>
          <w:szCs w:val="24"/>
          <w:lang w:val="en" w:bidi="en-US"/>
        </w:rPr>
        <w:fldChar w:fldCharType="begin" w:fldLock="1"/>
      </w:r>
      <w:r w:rsidR="00EE7503">
        <w:rPr>
          <w:rFonts w:eastAsia="Times New Roman" w:cs="Times New Roman"/>
          <w:szCs w:val="24"/>
          <w:lang w:val="en" w:bidi="en-US"/>
        </w:rPr>
        <w:instrText>ADDIN CSL_CITATION {"citationItems":[{"id":"ITEM-1","itemData":{"DOI":"10.1016/j.ajic.2021.09.019","ISSN":"01966553","PMID":"34600081","abstract":"Background: Healthcare associated infections (HAIs) are prevalent and difficult to treat worldwide. Most HAIs can be prevented by effective implementation of Infection Prevention and Control (IPC) measures. A survey was conducted to assess the existing IPC practices across a network of Indian Hospitals using the World Health Organization designed self-assessment IPC Assessment Framework (IPCAF) tool. Methods: This was a cross sectional observation study. Thirty-two tertiary care public and private facilities, part of the existing Indian HAI surveillance network was included. Data collected was analyzed by a central team at All India Institute of Medical Sciences, New Delhi, a tertiary care hospital of India. The WHO questionnaire tool was used to understand the capacity and efforts to implement IPC practices across the network. Results: The overall median score of IPCAF across the network was 620. Based on the final IPCAF score of the facilities; 13% hospitals had basic IPC practices, 28% hospitals had intermediate and 59% hospitals had advanced IPC practices. The component multimodal strategies had the broadest range of score while the component IPC guidelines had the narrowest one. Conclusions: Quality improvement training for IPC nurses and healthcare professionals are needed to be provided to health facilities.","author":[{"dropping-particle":"","family":"Katoch","given":"Omika","non-dropping-particle":"","parse-names":false,"suffix":""},{"dropping-particle":"","family":"Katyal","given":"Sonal","non-dropping-particle":"","parse-names":false,"suffix":""},{"dropping-particle":"","family":"Srivastav","given":"Sharad","non-dropping-particle":"","parse-names":false,"suffix":""},{"dropping-particle":"","family":"Rodrigues","given":"Camilla","non-dropping-particle":"","parse-names":false,"suffix":""},{"dropping-particle":"","family":"Rupali","given":"Priscilla","non-dropping-particle":"","parse-names":false,"suffix":""},{"dropping-particle":"","family":"Chakrabarti","given":"Arunaloke","non-dropping-particle":"","parse-names":false,"suffix":""},{"dropping-particle":"","family":"Ray","given":"Pallab","non-dropping-particle":"","parse-names":false,"suffix":""},{"dropping-particle":"","family":"Tak","given":"Vibhor","non-dropping-particle":"","parse-names":false,"suffix":""},{"dropping-particle":"","family":"Biswal","given":"Manisha","non-dropping-particle":"","parse-names":false,"suffix":""},{"dropping-particle":"","family":"Nath","given":"Reema","non-dropping-particle":"","parse-names":false,"suffix":""},{"dropping-particle":"","family":"Mukhopadhyay","given":"Chiranjay","non-dropping-particle":"","parse-names":false,"suffix":""},{"dropping-particle":"","family":"Bhattacharya","given":"Sanjay","non-dropping-particle":"","parse-names":false,"suffix":""},{"dropping-particle":"","family":"Padmaja","given":"Kanne","non-dropping-particle":"","parse-names":false,"suffix":""},{"dropping-particle":"","family":"Deotale","given":"Vijayshri","non-dropping-particle":"","parse-names":false,"suffix":""},{"dropping-particle":"","family":"Venkatesh","given":"Vimala","non-dropping-particle":"","parse-names":false,"suffix":""},{"dropping-particle":"","family":"Wattal","given":"Chand","non-dropping-particle":"","parse-names":false,"suffix":""},{"dropping-particle":"","family":"MA","given":"Thirunarayan","non-dropping-particle":"","parse-names":false,"suffix":""},{"dropping-particle":"","family":"Nag","given":"Vijaya Lakshmi","non-dropping-particle":"","parse-names":false,"suffix":""},{"dropping-particle":"","family":"Ray","given":"Raja","non-dropping-particle":"","parse-names":false,"suffix":""},{"dropping-particle":"","family":"Behera","given":"Bijayini","non-dropping-particle":"","parse-names":false,"suffix":""},{"dropping-particle":"","family":"Baveja","given":"Sujata","non-dropping-particle":"","parse-names":false,"suffix":""},{"dropping-particle":"","family":"Karuna","given":"Tadepalli","non-dropping-particle":"","parse-names":false,"suffix":""},{"dropping-particle":"","family":"Singh","given":"Sanjeev K.","non-dropping-particle":"","parse-names":false,"suffix":""},{"dropping-particle":"","family":"Fomda","given":"Bashir","non-dropping-particle":"","parse-names":false,"suffix":""},{"dropping-particle":"","family":"Devi","given":"Sulochana khumanthem","non-dropping-particle":"","parse-names":false,"suffix":""},{"dropping-particle":"","family":"Das","given":"Padma","non-dropping-particle":"","parse-names":false,"suffix":""},{"dropping-particle":"","family":"Khandelwal","given":"Neeta","non-dropping-particle":"","parse-names":false,"suffix":""},{"dropping-particle":"","family":"Verma","given":"Prachi","non-dropping-particle":"","parse-names":false,"suffix":""},{"dropping-particle":"","family":"Gaind","given":"Rajni","non-dropping-particle":"","parse-names":false,"suffix":""},{"dropping-particle":"","family":"Bhattacharyya","given":"Prithwis","non-dropping-particle":"","parse-names":false,"suffix":""},{"dropping-particle":"","family":"Kumar","given":"Puneet","non-dropping-particle":"","parse-names":false,"suffix":""},{"dropping-particle":"","family":"Srivastava","given":"Ashutosh","non-dropping-particle":"","parse-names":false,"suffix":""},{"dropping-particle":"","family":"Iravane","given":"Jyoti","non-dropping-particle":"","parse-names":false,"suffix":""},{"dropping-particle":"","family":"Majumdar","given":"Tapan","non-dropping-particle":"","parse-names":false,"suffix":""},{"dropping-particle":"","family":"Sharma","given":"Rajni","non-dropping-particle":"","parse-names":false,"suffix":""},{"dropping-particle":"","family":"Sankara","given":"Dhanapaul","non-dropping-particle":"","parse-names":false,"suffix":""},{"dropping-particle":"","family":"Kalwaje Eshwara","given":"Vandana","non-dropping-particle":"","parse-names":false,"suffix":""},{"dropping-particle":"","family":"Varma","given":"Muralidhar","non-dropping-particle":"","parse-names":false,"suffix":""},{"dropping-particle":"","family":"Nazir","given":"Shaista","non-dropping-particle":"","parse-names":false,"suffix":""},{"dropping-particle":"","family":"Tripathy","given":"Swagata","non-dropping-particle":"","parse-names":false,"suffix":""},{"dropping-particle":"","family":"Mishra","given":"Satyajeet","non-dropping-particle":"","parse-names":false,"suffix":""},{"dropping-particle":"","family":"Dey","given":"Anupam","non-dropping-particle":"","parse-names":false,"suffix":""},{"dropping-particle":"","family":"Thangavelu","given":"Premkumar","non-dropping-particle":"","parse-names":false,"suffix":""},{"dropping-particle":"","family":"Kapoor","given":"Lata","non-dropping-particle":"","parse-names":false,"suffix":""},{"dropping-particle":"","family":"Malhotra","given":"Rajesh","non-dropping-particle":"","parse-names":false,"suffix":""},{"dropping-particle":"","family":"Walia","given":"Kamini","non-dropping-particle":"","parse-names":false,"suffix":""},{"dropping-particle":"","family":"Guleria","given":"Randeep","non-dropping-particle":"","parse-names":false,"suffix":""},{"dropping-particle":"","family":"Mathur","given":"Purva","non-dropping-particle":"","parse-names":false,"suffix":""}],"container-title":"American Journal of Infection Control","id":"ITEM-1","issue":"4","issued":{"date-parts":[["2022","4","1"]]},"page":"390-395","publisher":"Mosby","title":"Self-reported survey on infection prevention and control structures in healthcare facilities part of a national level healthcare associated infection surveillance network in India, 2019","type":"article-journal","volume":"50"},"uris":["http://www.mendeley.com/documents/?uuid=0955f792-99c3-3f9f-ae62-f6445bf3a278"]},{"id":"ITEM-2","itemData":{"DOI":"10.1186/s13756-023-01208-0","ISSN":"20472994","PMID":"36782267","abstract":"Background: The core components (CCs) of infection prevention and control (IPC) from World Health Organization (WHO) are crucial for the safety and quality of health care. Our objective was to examine the level of implementation of WHO infection prevention and control core components (IPC CC) in a developing country. We also aimed to evaluate health care-associated infections (HAIs) and antimicrobial resistance (AMR) in intensive care units (ICUs) in association with implemented IPC CCs. Methods: Members of the Turkish Infectious Diseases and Clinical Microbiology Specialization Association (EKMUD) were invited to the study via e-mail. Volunteer members of any healt care facilities (HCFs) participated in the study. The investigating doctor of each HCF filled out a questionnaire to collect data on IPC implementations, including the Infection Prevention and Control Assessment Framework (IPCAF) and HAIs/AMR in ICUs in 2021. Results: A total of 68 HCFs from seven regions in Türkiye and the Turkish Republic of Northern Cyprus participated while 85% of these were tertiary care hospitals. Fifty (73.5%) HCFs had advanced IPC level, whereas 16 (23.5%) of the 68 hospitals had intermediate IPC levels. The hospitals’ median (IQR) IPCAF score was 668.8 (125.0) points. Workload, staffing and occupancy (CC7; median 70 points) and multimodal strategies (CC5; median 75 points) had the lowest scores. The limited number of nurses were the most important problems. Hospitals with a bed capacity of &gt; 1000 beds had higher rates of HAIs. Certified IPC specialists, frequent feedback, and enough nurses reduced HAIs. The most common HAIs were central line-associated blood stream infections. Most HAIs were caused by gram negative bacteria, which have a high AMR. Conclusions: Most HCFs had an advanced level of IPC implementation, for which staffing was an important driver. To further improve care quality and ensure everyone has access to safe care, it is a key element to have enough staff, the availability of certified IPC specialists, and frequent feedback. Although there is a significant decrease in HAI rates compared to previous years, HAI rates are still high and AMR is an important problem. Increasing nurses and reducing workload can prevent HAIs and AMR. Nationwide “Antibiotic Stewardship Programme” should be initiated.","author":[{"dropping-particle":"","family":"Azak","given":"Emel","non-dropping-particle":"","parse-names":false,"suffix":""},{"dropping-particle":"","family":"Sertcelik","given":"Ahmet","non-dropping-particle":"","parse-names":false,"suffix":""},{"dropping-particle":"","family":"Ersoz","given":"Gulden","non-dropping-particle":"","parse-names":false,"suffix":""},{"dropping-particle":"","family":"Celebi","given":"Guven","non-dropping-particle":"","parse-names":false,"suffix":""},{"dropping-particle":"","family":"Eser","given":"Fatma","non-dropping-particle":"","parse-names":false,"suffix":""},{"dropping-particle":"","family":"Batirel","given":"Ayse","non-dropping-particle":"","parse-names":false,"suffix":""},{"dropping-particle":"","family":"Cag","given":"Yasemin","non-dropping-particle":"","parse-names":false,"suffix":""},{"dropping-particle":"","family":"Ture","given":"Zeynep","non-dropping-particle":"","parse-names":false,"suffix":""},{"dropping-particle":"","family":"Ozturk Engin","given":"Derya","non-dropping-particle":"","parse-names":false,"suffix":""},{"dropping-particle":"","family":"Yetkin","given":"Meltem Arzu","non-dropping-particle":"","parse-names":false,"suffix":""},{"dropping-particle":"","family":"Kaygusuz","given":"Sedat","non-dropping-particle":"","parse-names":false,"suffix":""},{"dropping-particle":"","family":"Candevir","given":"Aslıhan","non-dropping-particle":"","parse-names":false,"suffix":""},{"dropping-particle":"","family":"Tartari","given":"Ermira","non-dropping-particle":"","parse-names":false,"suffix":""},{"dropping-particle":"","family":"Rello","given":"Jordi","non-dropping-particle":"","parse-names":false,"suffix":""},{"dropping-particle":"","family":"Alp","given":"Emine","non-dropping-particle":"","parse-names":false,"suffix":""},{"dropping-particle":"","family":"Alpay","given":"Ali Seydi","non-dropping-particle":"","parse-names":false,"suffix":""},{"dropping-particle":"","family":"Altuncekic Yildirim","given":"Arzu","non-dropping-particle":"","parse-names":false,"suffix":""},{"dropping-particle":"","family":"Vatan","given":"Asli","non-dropping-particle":"","parse-names":false,"suffix":""},{"dropping-particle":"","family":"Yahsi","given":"Aysun","non-dropping-particle":"","parse-names":false,"suffix":""},{"dropping-particle":"","family":"Kaya Kalem","given":"Ayse","non-dropping-particle":"","parse-names":false,"suffix":""},{"dropping-particle":"","family":"Sagmak Tartar","given":"Ayse","non-dropping-particle":"","parse-names":false,"suffix":""},{"dropping-particle":"","family":"Tuna","given":"Aysegul","non-dropping-particle":"","parse-names":false,"suffix":""},{"dropping-particle":"","family":"Karaca","given":"Banu","non-dropping-particle":"","parse-names":false,"suffix":""},{"dropping-particle":"","family":"Coskun","given":"Belgin","non-dropping-particle":"","parse-names":false,"suffix":""},{"dropping-particle":"","family":"Gonulal","given":"Burcu","non-dropping-particle":"","parse-names":false,"suffix":""},{"dropping-particle":"","family":"Demir","given":"Canan","non-dropping-particle":"","parse-names":false,"suffix":""},{"dropping-particle":"","family":"Ipek","given":"Davut","non-dropping-particle":"","parse-names":false,"suffix":""},{"dropping-particle":"","family":"Tepe","given":"Dilsat","non-dropping-particle":"","parse-names":false,"suffix":""},{"dropping-particle":"","family":"Mıstanoglu Ozatag","given":"Duru","non-dropping-particle":"","parse-names":false,"suffix":""},{"dropping-particle":"","family":"Sezer","given":"Edanur","non-dropping-particle":"","parse-names":false,"suffix":""},{"dropping-particle":"","family":"Sehmen","given":"Emine","non-dropping-particle":"","parse-names":false,"suffix":""},{"dropping-particle":"","family":"Unal Evren","given":"Emine","non-dropping-particle":"","parse-names":false,"suffix":""},{"dropping-particle":"","family":"Aydın","given":"Emsal","non-dropping-particle":"","parse-names":false,"suffix":""},{"dropping-particle":"","family":"Guclu","given":"Ertugrul","non-dropping-particle":"","parse-names":false,"suffix":""},{"dropping-particle":"","family":"Eryilmaz Eren","given":"Esma","non-dropping-particle":"","parse-names":false,"suffix":""},{"dropping-particle":"","family":"Mutlu Yilmaz","given":"Esmeray","non-dropping-particle":"","parse-names":false,"suffix":""},{"dropping-particle":"","family":"Yilmaz Karadag","given":"Fatma","non-dropping-particle":"","parse-names":false,"suffix":""},{"dropping-particle":"","family":"Kerget","given":"Ferhan","non-dropping-particle":"","parse-names":false,"suffix":""},{"dropping-particle":"","family":"Surucu Bayar","given":"Filiz","non-dropping-particle":"","parse-names":false,"suffix":""},{"dropping-particle":"","family":"Kalin Unuvar","given":"Gamze","non-dropping-particle":"","parse-names":false,"suffix":""},{"dropping-particle":"","family":"Eser Karlidag","given":"Gulden","non-dropping-particle":"","parse-names":false,"suffix":""},{"dropping-particle":"","family":"Akengin Ocal","given":"Gulfem","non-dropping-particle":"","parse-names":false,"suffix":""},{"dropping-particle":"","family":"Kul","given":"Gulnur","non-dropping-particle":"","parse-names":false,"suffix":""},{"dropping-particle":"","family":"Senol","given":"Gunes","non-dropping-particle":"","parse-names":false,"suffix":""},{"dropping-particle":"","family":"Yilmaz","given":"Gurdal","non-dropping-particle":"","parse-names":false,"suffix":""},{"dropping-particle":"","family":"Erdogan","given":"Haluk","non-dropping-particle":"","parse-names":false,"suffix":""},{"dropping-particle":"","family":"Alay","given":"Handan","non-dropping-particle":"","parse-names":false,"suffix":""},{"dropping-particle":"","family":"Arslan","given":"Hande","non-dropping-particle":"","parse-names":false,"suffix":""},{"dropping-particle":"","family":"Kahraman","given":"Hasip","non-dropping-particle":"","parse-names":false,"suffix":""},{"dropping-particle":"","family":"Ozturk Cerik","given":"Hatun","non-dropping-particle":"","parse-names":false,"suffix":""},{"dropping-particle":"","family":"Caskurlu","given":"Hulya","non-dropping-particle":"","parse-names":false,"suffix":""},{"dropping-particle":"","family":"Erdem","given":"Ilknur","non-dropping-particle":"","parse-names":false,"suffix":""},{"dropping-particle":"","family":"Esen Yildiz","given":"Ilknur","non-dropping-particle":"","parse-names":false,"suffix":""},{"dropping-particle":"","family":"Serefhanoglu","given":"Kivanc","non-dropping-particle":"","parse-names":false,"suffix":""},{"dropping-particle":"","family":"Demir Onder","given":"Kubra","non-dropping-particle":"","parse-names":false,"suffix":""},{"dropping-particle":"","family":"Altunal","given":"Lutfiye Nilsun","non-dropping-particle":"","parse-names":false,"suffix":""},{"dropping-particle":"","family":"Celik","given":"Mehmet","non-dropping-particle":"","parse-names":false,"suffix":""},{"dropping-particle":"","family":"Ceylan","given":"Mehmet Resat","non-dropping-particle":"","parse-names":false,"suffix":""},{"dropping-particle":"","family":"Sefa Sayar","given":"Merve","non-dropping-particle":"","parse-names":false,"suffix":""},{"dropping-particle":"","family":"Ozen","given":"Metehan","non-dropping-particle":"","parse-names":false,"suffix":""},{"dropping-particle":"","family":"Guler","given":"Muharrem","non-dropping-particle":"","parse-names":false,"suffix":""},{"dropping-particle":"","family":"Uguz","given":"Mustafa","non-dropping-particle":"","parse-names":false,"suffix":""},{"dropping-particle":"","family":"Yildirim","given":"Mustafa","non-dropping-particle":"","parse-names":false,"suffix":""},{"dropping-particle":"","family":"Kocoglu","given":"Mucahide Esra","non-dropping-particle":"","parse-names":false,"suffix":""},{"dropping-particle":"","family":"Ayhan","given":"Muge","non-dropping-particle":"","parse-names":false,"suffix":""},{"dropping-particle":"","family":"Toygar Deniz","given":"Muge","non-dropping-particle":"","parse-names":false,"suffix":""},{"dropping-particle":"","family":"Sari","given":"Nagehan Didem","non-dropping-particle":"","parse-names":false,"suffix":""},{"dropping-particle":"","family":"Tuna","given":"Nazan","non-dropping-particle":"","parse-names":false,"suffix":""},{"dropping-particle":"","family":"Ince","given":"Nevin","non-dropping-particle":"","parse-names":false,"suffix":""},{"dropping-particle":"","family":"Bayrak","given":"Ozlem","non-dropping-particle":"","parse-names":false,"suffix":""},{"dropping-particle":"","family":"Ak","given":"Oznur","non-dropping-particle":"","parse-names":false,"suffix":""},{"dropping-particle":"","family":"Gozukuçuk","given":"Ramazan","non-dropping-particle":"","parse-names":false,"suffix":""},{"dropping-particle":"","family":"Balik","given":"Recep","non-dropping-particle":"","parse-names":false,"suffix":""},{"dropping-particle":"","family":"Nemli","given":"Salih Atakan","non-dropping-particle":"","parse-names":false,"suffix":""},{"dropping-particle":"","family":"Aslan","given":"Selda","non-dropping-particle":"","parse-names":false,"suffix":""},{"dropping-particle":"","family":"Sahin","given":"Selma Ilkay","non-dropping-particle":"","parse-names":false,"suffix":""},{"dropping-particle":"","family":"Solak Grassie","given":"Semiha","non-dropping-particle":"","parse-names":false,"suffix":""},{"dropping-particle":"","family":"Unlu","given":"Serpil","non-dropping-particle":"","parse-names":false,"suffix":""},{"dropping-particle":"","family":"Alkan","given":"Sevil","non-dropping-particle":"","parse-names":false,"suffix":""},{"dropping-particle":"","family":"Altunisik Toplu","given":"Sibel","non-dropping-particle":"","parse-names":false,"suffix":""},{"dropping-particle":"","family":"Ozturk Deniz","given":"Suna Secil","non-dropping-particle":"","parse-names":false,"suffix":""},{"dropping-particle":"","family":"Komur","given":"Suheyla","non-dropping-particle":"","parse-names":false,"suffix":""},{"dropping-particle":"","family":"Koc","given":"Suleyman","non-dropping-particle":"","parse-names":false,"suffix":""},{"dropping-particle":"","family":"Incecik","given":"Saban","non-dropping-particle":"","parse-names":false,"suffix":""},{"dropping-particle":"","family":"Yanik Yalcin","given":"Tuba","non-dropping-particle":"","parse-names":false,"suffix":""},{"dropping-particle":"","family":"Demirdal","given":"Tuna","non-dropping-particle":"","parse-names":false,"suffix":""},{"dropping-particle":"","family":"Tuzun","given":"Turkan","non-dropping-particle":"","parse-names":false,"suffix":""},{"dropping-particle":"","family":"Dinar Tuna","given":"Verda","non-dropping-particle":"","parse-names":false,"suffix":""},{"dropping-particle":"","family":"Cakir","given":"Yasemin","non-dropping-particle":"","parse-names":false,"suffix":""},{"dropping-particle":"","family":"Ersozlu","given":"Yasemin","non-dropping-particle":"","parse-names":false,"suffix":""},{"dropping-particle":"","family":"Aybar Bilir","given":"Yesim","non-dropping-particle":"","parse-names":false,"suffix":""},{"dropping-particle":"","family":"Uygun Kizmaz","given":"Yesim","non-dropping-particle":"","parse-names":false,"suffix":""},{"dropping-particle":"","family":"Olcar","given":"Yildiz","non-dropping-particle":"","parse-names":false,"suffix":""},{"dropping-particle":"","family":"Yulugkural","given":"Zerrin","non-dropping-particle":"","parse-names":false,"suffix":""}],"container-title":"Antimicrobial Resistance and Infection Control","id":"ITEM-2","issue":"1","issued":{"date-parts":[["2023","12","1"]]},"page":"11","publisher":"BioMed Central Ltd","title":"Evaluation of the implementation of WHO infection prevention and control core components in Turkish health care facilities: results from a WHO infection prevention and control assessment framework (IPCAF)—based survey","type":"article-journal","volume":"12"},"uris":["http://www.mendeley.com/documents/?uuid=d98bb565-4a6d-3741-a217-28c8d14f6c5e"]},{"id":"ITEM-3","itemData":{"DOI":"10.1186/s13756-022-01175-y","ISSN":"20472994","PMID":"36352429","abstract":"Background: Infection prevention and control (IPC) measures in Japan are facilitated by a financial incentive process at the national level, where facilities are categorized into three groups (Tier 1, Tier 2, or no financial incentive). However, its impact on IPC at the facility level using a validated tool has not been measured. Methods: A nationwide cross-sectional study was conducted from August 2019 to January 2020 to evaluate the situation of IPC programs in Japan, using the global IPC Assessment Framework (IPCAF) developed by the World Health Organization. Combined with the information on the national financial incentive system, the demographics of facilities and each IPCAF item were descriptively analyzed. IPCAF scores were analyzed according to the facility level of care and the national financial incentive system for IPC facility status, using Dunn-Bonferroni and Mann–Whitney U tests. Results: Fifty-nine facilities in Japan responded to the IPCAF survey: 34 private facilities (57.6%) and 25 public facilities (42.4%). Of these, 11 (18.6%), 29 (49.2%), and 19 (32.3%) were primary, secondary, and tertiary care facilities, respectively. According to the national financial incentive system for IPC, 45 (76.3%), 11 (18.6%), and three (5.1%) facilities were categorized as Tier 1, Tier 2, and no financial incentive system, respectively. Based on the IPCAF total score, more than half of the facilities were categorized as “Advanced” (n = 31, 55.3%), followed by “Intermediate” (n = 21, 37.5%). The IPCAF total score increased as the facility level of care increased, while no statistically significant difference was identified between the secondary and tertiary care facilities (p = 0.79). There was a significant difference between Tier 1 and Tier 2 for all core components and total scores. Core components 5 (multimodal strategies for implementation of IPC interventions) and 6 (monitoring/audit of IPC and feedback) were characteristically low in Japan with a median score of 65.0 (interquartile range 40.0–85.0) and 67.5 (interquartile range 52.5–87.5), respectively. Conclusions: The national financial incentive system was associated with IPC programs at facility level in Japan. The current financial incentive system does not emphasize the multimodal strategy or cover monitoring/audit, and an additional systematic approach may be required to further promote IPC for more practical healthcare-associated infection prevention.","author":[{"dropping-particle":"","family":"Nomoto","given":"Hidetoshi","non-dropping-particle":"","parse-names":false,"suffix":""},{"dropping-particle":"","family":"Saito","given":"Hiroki","non-dropping-particle":"","parse-names":false,"suffix":""},{"dropping-particle":"","family":"Ishikane","given":"Masahiro","non-dropping-particle":"","parse-names":false,"suffix":""},{"dropping-particle":"","family":"Gu","given":"Yoshiaki","non-dropping-particle":"","parse-names":false,"suffix":""},{"dropping-particle":"","family":"Ohmagari","given":"Norio","non-dropping-particle":"","parse-names":false,"suffix":""},{"dropping-particle":"","family":"Pittet","given":"Didier","non-dropping-particle":"","parse-names":false,"suffix":""},{"dropping-particle":"","family":"Kunishima","given":"Hiroyuki","non-dropping-particle":"","parse-names":false,"suffix":""},{"dropping-particle":"","family":"Allegranzi","given":"Benedetta","non-dropping-particle":"","parse-names":false,"suffix":""},{"dropping-particle":"","family":"Yoshida","given":"Masaki","non-dropping-particle":"","parse-names":false,"suffix":""}],"container-title":"Antimicrobial Resistance and Infection Control","id":"ITEM-3","issue":"1","issued":{"date-parts":[["2022","12","1"]]},"page":"135","publisher":"BioMed Central Ltd","title":"First nationwide survey of infection prevention and control among healthcare facilities in Japan: impact of the national regulatory system","type":"article-journal","volume":"11"},"uris":["http://www.mendeley.com/documents/?uuid=4877f849-2b2d-3292-a42f-b4969cd3aca9"]},{"id":"ITEM-4","itemData":{"DOI":"10.1186/s13756-022-01087-x","ISSN":"20472994","PMID":"35264208","abstract":"Background: The burden of healthcare-associated infections (HAIs) and the spread of antimicrobial resistance can be potentially preventable through comprehensive infection prevention and control (IPC) programs. However, information on the current state of IPC implementation is rare in China. Methods: A cross-sectional study was conducted in Zhejiang province, China, from April to June 2021. The Zhejiang nosocomial infection control and quality improvement center (NICQI) cooperated with 11 municipal NICQI centers to introduce the purpose of this study and invite all licensed secondary and tertiary hospitals in Zhejiang province through WeChat group. The questionnaire had three sections, including information about participating hospitals, demographic information about IPs, and the Chinese version of the Infection Prevention and Control Assessment Framework that covered eight core components (CC). Results: Of the 382 hospitals invited, 222 (58.1% response rate) accepted and completed the online questionnaire. The overall median score of the participating hospitals was 682 (630–723), which corresponded to an advanced level of IPC. There was a significant difference in scores between hospitals types (P &lt; 0.001). Profound differences were revealed regarding the scores of the individual components, with CC2 (IPC guidelines) and CC6 (Monitoring/audit of IPC practices and feedback) having the highest (100) and lowest (65) median scores, respectively. Only 23 (10.4%) hospitals reported assessing facility safety culture. Conclusions: IPC structures are at a relatively high level in acute care hospitals in Eastern China. The identified potential areas for improvement were similar to those identified in developed countries, particularly regarding multimodal strategies for implementation and safety culture construction. Meanwhile, the Chinese government should pay more attention to IPC resources and practices among secondary care hospitals.","author":[{"dropping-particle":"","family":"Ni","given":"Kaiwen","non-dropping-particle":"","parse-names":false,"suffix":""},{"dropping-particle":"","family":"Jin","given":"Dingping","non-dropping-particle":"","parse-names":false,"suffix":""},{"dropping-particle":"","family":"Wu","given":"Zhe","non-dropping-particle":"","parse-names":false,"suffix":""},{"dropping-particle":"","family":"Sun","given":"Liyuan","non-dropping-particle":"","parse-names":false,"suffix":""},{"dropping-particle":"","family":"Lu","given":"Qun","non-dropping-particle":"","parse-names":false,"suffix":""}],"container-title":"Antimicrobial Resistance and Infection Control","id":"ITEM-4","issue":"1","issued":{"date-parts":[["2022","12","1"]]},"page":"46","publisher":"Antimicrob Resist Infect Control","title":"The status of infection prevention and control structures in Eastern China based on the IPCAF tool of the World Health Organization","type":"article-journal","volume":"11"},"uris":["http://www.mendeley.com/documents/?uuid=af82453d-4baa-3ad6-b51b-d97d748c4181"]},{"id":"ITEM-5","itemData":{"DOI":"10.1186/s13756-019-0532-4","ISSN":"20472994","PMID":"31080588","abstract":"Background: Healthcare-associated infections (HAI) pose a burden on healthcare providers worldwide. To prevent HAI and strengthen infection prevention and control (IPC) structures, the WHO has developed a variety of tools and guidelines. Recently, the WHO released the Infection Prevention and Control Assessment Framework (IPCAF), a questionnaire-like tool designed for assessing IPC structures at the facility level. The IPCAF reflects the eight WHO core components of IPC. Data on the implementation of IPC measures in German hospitals are scarce. Therefore, it was our objective to utilize the IPCAF in order to gather information on the current state of IPC implementation in German hospitals, as well as to promote the IPCAF to a broad audience. Methods: The National Reference Center for Surveillance of Nosocomial Infections (NRZ) sent a translated version of the IPCAF to 1472 acute care hospitals in Germany. Data entry and transfer to the NRZ was done electronically between October and December 2018. The IPCAF was conceived in a way that depending on the selected answers a score was calculated, with 0 being the lowest possible and 800 the highest possible score. Depending on the overall score, the IPCAF allocated hospitals to four different \"IPC levels\": inadequate, basic, intermediate, and advanced. Results: A total of 736 hospitals provided a complete dataset and were included in the data analysis. The overall median score of all hospitals was 690, which corresponded to an advanced level of IPC. Only three hospitals (0.4%) fell into the category \"basic\", with 111 hospitals (15.1%) being \"intermediate\" and 622 hospitals (84.5%) being \"advanced\". In no case was the category \"inadequate\" allocated. More profound differences were found between the respective core components. Components on multimodal strategies and workload, staffing, ward design and bed occupancy revealed the lowest scores. Conclusions: IPC key aspects in general are well established in Germany. Potentials for improvement were identified particularly with regard to workload and staffing. Insufficient implementation of multimodal strategies was found to be another relevant deficit. Our survey represents a successful attempt at promoting the IPCAF and encouraging hospitals to utilize WHO tools for self-assessment.","author":[{"dropping-particle":"","family":"Aghdassi","given":"Seven Johannes Sam","non-dropping-particle":"","parse-names":false,"suffix":""},{"dropping-particle":"","family":"Hansen","given":"Sonja","non-dropping-particle":"","parse-names":false,"suffix":""},{"dropping-particle":"","family":"Bischoff","given":"Peter","non-dropping-particle":"","parse-names":false,"suffix":""},{"dropping-particle":"","family":"Behnke","given":"Michael","non-dropping-particle":"","parse-names":false,"suffix":""},{"dropping-particle":"","family":"Gastmeier","given":"Petra","non-dropping-particle":"","parse-names":false,"suffix":""}],"container-title":"Antimicrobial Resistance and Infection Control","id":"ITEM-5","issue":"1","issued":{"date-parts":[["2019","5","8"]]},"page":"73","publisher":"Antimicrob Resist Infect Control","title":"A national survey on the implementation of key infection prevention and control structures in German hospitals: Results from 736 hospitals conducting the WHO Infection Prevention and Control Assessment Framework (IPCAF)","type":"article-journal","volume":"8"},"uris":["http://www.mendeley.com/documents/?uuid=1a6f6523-478f-30d1-b3be-856d820fcab4"]},{"id":"ITEM-6","itemData":{"DOI":"10.1186/s13756-020-00761-2","ISSN":"20472994","PMID":"32571434","abstract":"Background: Infection prevention and control (IPC) is crucial for patient safety. The World Health Organization (WHO) has released various tools to promote IPC. In 2018, the WHO released the Infection Prevention and Control Assessment Framework (IPCAF) that enables acute care healthcare facilities to evaluate IPC structures and practices. Data regarding IPC implementation in Austria are scarce. To deliver insights into this topic and promote the IPCAF within the Austrian IPC community, we decided to invite all Austrian hospitals participating in the German nosocomial infection surveillance system to conduct a self-assessment using the WHO IPCAF. Methods: The IPCAF follows the eight WHO core components of IPC. A German translation of the IPCAF was sent to 127 Austrian acute care hospitals. The survey period was from October to December 2018. Participation in the survey, data entry and transfer to the German national reference center for surveillance of healthcare-associated infections was on a voluntary basis. Results: Altogether, 65 Austrian hospitals provided a complete dataset. The overall median IPCAF score of all hospitals was 620 (of a possible maximum score of 800), which corresponded to an advanced level of IPC. Of the 65 hospitals, 38 achieved an advanced IPC level. Deeper analysis of the different core components yielded diverse results. Scores were lowest for core components on multimodal strategies for implementation of IPC interventions, and IPC education and training. Around 26% (n = 17) of hospitals reported that the local IPC team was not steadily supported by an IPC committee. Senior clinical staff was not present in the IPC committee in 23% (n = 15) of hospitals. Only 26% (n = 17) of hospitals reported employing at least one IPC professional per ≤250 beds. Surveillance for multidrug-resistant pathogens was not conducted in 26% (n = 17) of hospitals. Conclusions: Implementation of IPC key aspects is generally at a high level in Austria. However, potentials for improvement were demonstrated, most prominently with regard to staffing, IPC education and training, effective implementation of multimodal strategies, and involvement of professional groups. Our survey demonstrated that the IPCAF is a useful tool for IPC self-assessment and can uncover deficits even in a high-income setting like Austria.","author":[{"dropping-particle":"","family":"Aghdassi","given":"Seven Johannes Sam","non-dropping-particle":"","parse-names":false,"suffix":""},{"dropping-particle":"","family":"Aghdassi","given":"Seven Johannes Sam","non-dropping-particle":"","parse-names":false,"suffix":""},{"dropping-particle":"","family":"Grisold","given":"Andrea","non-dropping-particle":"","parse-names":false,"suffix":""},{"dropping-particle":"","family":"Grisold","given":"Andrea","non-dropping-particle":"","parse-names":false,"suffix":""},{"dropping-particle":"","family":"Wechsler-Fördös","given":"Agnes","non-dropping-particle":"","parse-names":false,"suffix":""},{"dropping-particle":"","family":"Hansen","given":"Sonja","non-dropping-particle":"","parse-names":false,"suffix":""},{"dropping-particle":"","family":"Hansen","given":"Sonja","non-dropping-particle":"","parse-names":false,"suffix":""},{"dropping-particle":"","family":"Bischoff","given":"Peter","non-dropping-particle":"","parse-names":false,"suffix":""},{"dropping-particle":"","family":"Bischoff","given":"Peter","non-dropping-particle":"","parse-names":false,"suffix":""},{"dropping-particle":"","family":"Behnke","given":"Michael","non-dropping-particle":"","parse-names":false,"suffix":""},{"dropping-particle":"","family":"Behnke","given":"Michael","non-dropping-particle":"","parse-names":false,"suffix":""},{"dropping-particle":"","family":"Gastmeier","given":"Petra","non-dropping-particle":"","parse-names":false,"suffix":""},{"dropping-particle":"","family":"Gastmeier","given":"Petra","non-dropping-particle":"","parse-names":false,"suffix":""}],"container-title":"Antimicrobial Resistance and Infection Control","id":"ITEM-6","issue":"1","issued":{"date-parts":[["2020","6","22"]]},"page":"92","publisher":"BioMed Central","title":"Evaluating infection prevention and control programs in Austrian acute care hospitals using the WHO Infection Prevention and Control Assessment Framework","type":"article-journal","volume":"9"},"uris":["http://www.mendeley.com/documents/?uuid=2a4ccabd-6c37-3daa-91ab-b3c797f956ee"]},{"id":"ITEM-7","itemData":{"DOI":"10.1186/s13756-023-01211-5","ISSN":"20472994","PMID":"36732802","abstract":"Background: Infection prevention and control (IPC) in hospitals is key to safe patient care. There is currently no data regarding the implementation of IPC in hospitals in Indonesia. The aim of this study was to assess the existing IPC level in a nationwide survey, using the World Health Organization (WHO) IPC assessment framework tool (IPCAF), and to identify strengths, gaps, and challenges. Methods: A cross-sectional study was conducted from July to November 2021. Of all general hospitals in Indonesia, 20% (N = 475) were selected using stratified random sampling based on class (A, B, C and D; class D with a maximum of 50 beds and class A with ≥ 250 beds) and region. The IPCAF was translated into Indonesian and tested in four hospitals. Questions were added regarding challenges in the implementation of IPC. Quantitative IPCAF scores are reported as median (minimum–maximum). IPC levels were calculated according to WHO tools. Results: In total, 355 hospitals (74.7%) participated in this study. The overall median IPCAF score was 620.0 (535.0–687.5). The level of IPC was mostly assessed as advanced (56.9% of hospitals), followed by intermediate (35.8%), basic (7.0%) and inadequate (0.3%). In the eastern region of the country, the majority of hospitals scored intermediate level. Of the eight core components, the one with the highest score was IPC guidelines. Almost all hospitals had guidelines on the most important topics, including hand hygiene. Core components with the lowest score were surveillance of healthcare-associated infections (HAIs), education and training, and multimodal strategies. Although &gt; 90% of hospitals indicated that surveillance of HAIs was performed, 57.2% reported no availability of adequate microbiology laboratory capacity to support HAIs surveillance. The most frequently reported challenges in the implementation of IPC were communication with the management of the hospitals, followed by the unavailability of antimicrobial susceptibility testing results and insufficient staffing of full-time IPC nurses. Conclusion: The IPC level in the majority of Indonesian hospitals was assessed as advanced, but there was no even distribution over the country. The IPCAF in combination with interviews identified several priority areas for interventions to improve IPC in Indonesian hospitals.","author":[{"dropping-particle":"","family":"Supriadi","given":"Indri Rooslamiati","non-dropping-particle":"","parse-names":false,"suffix":""},{"dropping-particle":"","family":"Haanappel","given":"Cynthia P.","non-dropping-particle":"","parse-names":false,"suffix":""},{"dropping-particle":"","family":"Saptawati","given":"Leli","non-dropping-particle":"","parse-names":false,"suffix":""},{"dropping-particle":"","family":"Widodo","given":"Nani H.","non-dropping-particle":"","parse-names":false,"suffix":""},{"dropping-particle":"","family":"Sitohang","given":"Gortap","non-dropping-particle":"","parse-names":false,"suffix":""},{"dropping-particle":"","family":"Usman","given":"Yuslely","non-dropping-particle":"","parse-names":false,"suffix":""},{"dropping-particle":"","family":"Anom","given":"Ida Bagus","non-dropping-particle":"","parse-names":false,"suffix":""},{"dropping-particle":"","family":"Saraswati","given":"Ratih Dian","non-dropping-particle":"","parse-names":false,"suffix":""},{"dropping-particle":"","family":"Heger","given":"Michal","non-dropping-particle":"","parse-names":false,"suffix":""},{"dropping-particle":"","family":"Doevendans","given":"Pieter A.","non-dropping-particle":"","parse-names":false,"suffix":""},{"dropping-particle":"","family":"Satari","given":"Hindra Irawan","non-dropping-particle":"","parse-names":false,"suffix":""},{"dropping-particle":"","family":"Voor in ‘t holt","given":"Anne F.","non-dropping-particle":"","parse-names":false,"suffix":""},{"dropping-particle":"","family":"Severin","given":"Juliëtte A.","non-dropping-particle":"","parse-names":false,"suffix":""}],"container-title":"Antimicrobial Resistance and Infection Control","id":"ITEM-7","issue":"1","issued":{"date-parts":[["2023","12","1"]]},"page":"6","publisher":"Antimicrob Resist Infect Control","title":"Infection prevention and control in Indonesian hospitals: identification of strengths, gaps, and challenges","type":"article-journal","volume":"12"},"uris":["http://www.mendeley.com/documents/?uuid=01f1acfc-a476-3ae9-b2c7-891cb40d7850"]},{"id":"ITEM-8","itemData":{"DOI":"10.1186/s13756-024-01484-4","ISSN":"20472994","PMID":"39491033","abstract":"BACKGROUND: Infection prevention and control (IPC) programs are essential to prevent and control the spread of multidrug-resistant organisms in healthcare facilities (HCFs). The current implementation of these programs in Latin America remains largely unknown. METHODS: We conducted a mixed-methods evaluation of IPC program implementation in HCFs from Guatemala, Panama, Ecuador, and Argentina, March-July 2022. We used the World Health Organization (WHO) IPC Assessment Framework (IPCAF) survey, a previously validated structured questionnaire with an associated scoring system that evaluates the eight core components of IPC (IPC program; IPC guidelines; IPC education and training; healthcare-associated infection [HAI] surveillance; multimodal strategies; monitoring and audit of IPC practices and feedback; workload, staffing, and bed occupancy; and the built environment and materials and equipment for IPC). Each section generates a score 0-100. According to the final score, the HCF IPC program implementation is categorized into four levels: inadequate (0-200), basic (201-400), intermediate (401-600), or advanced (601-800). Additionally, we conducted semi-structured interviews among IPC personnel and microbiologists using the Systems Engineering Initiative for Patient Safety model to evaluate barriers and facilitators for IPC program implementation. We performed directed content analysis of interview transcripts to identify themes that focused on barriers and facilitators of IPC program implementation which are summarized descriptively. RESULTS: Thirty-seven HCFs (15 for-profit and 22 non-profit) completed the IPCAF survey. The overall median score was 614 (IQR 569, 693) which corresponded to an \"advanced\" level of IPC implementation (32% [7/22] non-profit vs. 93% [14/15] for-profit HCFs in this category). The lowest scores were in workload, staffing and bed occupancy followed by IPC training and multimodal strategies. Forty individuals from 16 HCFs were interviewed. They perceived inadequate staffing and technical resources, limited leadership support, and cultural determinants as major barriers to effective IPC guideline implementation, while external accreditation and technical support from public health authorities were perceived as facilitators. CONCLUSIONS: Efforts to strengthen IPC activities in Latin American HCFs should focus on improving support from hospital leadership and public health authorities to ensure better resource allocation, promoting sa…","author":[{"dropping-particle":"","family":"Fabre","given":"Valeria","non-dropping-particle":"","parse-names":false,"suffix":""},{"dropping-particle":"","family":"Secaira","given":"Clara","non-dropping-particle":"","parse-names":false,"suffix":""},{"dropping-particle":"","family":"Herzig","given":"Carolyn","non-dropping-particle":"","parse-names":false,"suffix":""},{"dropping-particle":"","family":"Bancroft","given":"Elizabeth","non-dropping-particle":"","parse-names":false,"suffix":""},{"dropping-particle":"","family":"Bernachea","given":"Maria Paula","non-dropping-particle":"","parse-names":false,"suffix":""},{"dropping-particle":"","family":"Galarza","given":"Lucy Anchiraico","non-dropping-particle":"","parse-names":false,"suffix":""},{"dropping-particle":"","family":"Aquiles","given":"Bowen","non-dropping-particle":"","parse-names":false,"suffix":""},{"dropping-particle":"","family":"Arauz","given":"Ana Belén","non-dropping-particle":"","parse-names":false,"suffix":""},{"dropping-particle":"","family":"Bangher","given":"Maria Del Carmen","non-dropping-particle":"","parse-names":false,"suffix":""},{"dropping-particle":"","family":"Bernan","given":"Marisa Liliana","non-dropping-particle":"","parse-names":false,"suffix":""},{"dropping-particle":"","family":"Burokas","given":"Sol","non-dropping-particle":"","parse-names":false,"suffix":""},{"dropping-particle":"","family":"Canton","given":"Alfredo","non-dropping-particle":"","parse-names":false,"suffix":""},{"dropping-particle":"","family":"Cazali","given":"Iris L.","non-dropping-particle":"","parse-names":false,"suffix":""},{"dropping-particle":"","family":"Colque","given":"Angel","non-dropping-particle":"","parse-names":false,"suffix":""},{"dropping-particle":"","family":"Comas","given":"Marisabel","non-dropping-particle":"","parse-names":false,"suffix":""},{"dropping-particle":"","family":"Contreras","given":"Rosa Verónica","non-dropping-particle":"","parse-names":false,"suffix":""},{"dropping-particle":"","family":"Cornistein","given":"Wanda","non-dropping-particle":"","parse-names":false,"suffix":""},{"dropping-particle":"","family":"Cordoba","given":"Maria Gabriela","non-dropping-particle":"","parse-names":false,"suffix":""},{"dropping-particle":"","family":"Correa","given":"Silvia Mabel","non-dropping-particle":"","parse-names":false,"suffix":""},{"dropping-particle":"","family":"Campero","given":"Gustavo Costilla","non-dropping-particle":"","parse-names":false,"suffix":""},{"dropping-particle":"","family":"Chamorro Ayala","given":"Marta Isabel","non-dropping-particle":"","parse-names":false,"suffix":""},{"dropping-particle":"","family":"Chavez","given":"Nuria","non-dropping-particle":"","parse-names":false,"suffix":""},{"dropping-particle":"","family":"Ascencao","given":"Gabriela","non-dropping-particle":"De","parse-names":false,"suffix":""},{"dropping-particle":"","family":"García","given":"Carlos Cruz","non-dropping-particle":"","parse-names":false,"suffix":""},{"dropping-particle":"","family":"Esquivel","given":"Clara","non-dropping-particle":"","parse-names":false,"suffix":""},{"dropping-particle":"","family":"Ezcurra","given":"Cecilia","non-dropping-particle":"","parse-names":false,"suffix":""},{"dropping-particle":"","family":"Fabbro","given":"Leonardo","non-dropping-particle":"","parse-names":false,"suffix":""},{"dropping-particle":"","family":"Falleroni","given":"Leandro","non-dropping-particle":"","parse-names":false,"suffix":""},{"dropping-particle":"","family":"Fernandez","given":"Johana","non-dropping-particle":"","parse-names":false,"suffix":""},{"dropping-particle":"","family":"Ferrari","given":"Sandra","non-dropping-particle":"","parse-names":false,"suffix":""},{"dropping-particle":"","family":"Freire","given":"Veronica","non-dropping-particle":"","parse-names":false,"suffix":""},{"dropping-particle":"","family":"Garzón","given":"Maria Isabel","non-dropping-particle":"","parse-names":false,"suffix":""},{"dropping-particle":"","family":"Gonzales","given":"José Anel","non-dropping-particle":"","parse-names":false,"suffix":""},{"dropping-particle":"","family":"Guaymas","given":"Lucrecia","non-dropping-particle":"","parse-names":false,"suffix":""},{"dropping-particle":"","family":"Guerrero-Toapanta","given":"Fausto","non-dropping-particle":"","parse-names":false,"suffix":""},{"dropping-particle":"","family":"Laplume","given":"Diego","non-dropping-particle":"","parse-names":false,"suffix":""},{"dropping-particle":"","family":"Lambert","given":"Sandra","non-dropping-particle":"","parse-names":false,"suffix":""},{"dropping-particle":"","family":"Lemir","given":"César Guillermo","non-dropping-particle":"","parse-names":false,"suffix":""},{"dropping-particle":"","family":"Lazarte","given":"Paola Romina","non-dropping-particle":"","parse-names":false,"suffix":""},{"dropping-particle":"","family":"Lopez","given":"Itzel L.","non-dropping-particle":"","parse-names":false,"suffix":""},{"dropping-particle":"","family":"Maldonado","given":"Herberth","non-dropping-particle":"","parse-names":false,"suffix":""},{"dropping-particle":"","family":"Martínez","given":"Guadalupe","non-dropping-particle":"","parse-names":false,"suffix":""},{"dropping-particle":"","family":"Maurizi","given":"Diego M.","non-dropping-particle":"","parse-names":false,"suffix":""},{"dropping-particle":"","family":"Mesplet","given":"Florencia","non-dropping-particle":"","parse-names":false,"suffix":""},{"dropping-particle":"","family":"Moreno Izquierdo","given":"Cristina","non-dropping-particle":"","parse-names":false,"suffix":""},{"dropping-particle":"","family":"Moya","given":"Gabriela Luciana","non-dropping-particle":"","parse-names":false,"suffix":""},{"dropping-particle":"","family":"Nájera","given":"Mariela","non-dropping-particle":"","parse-names":false,"suffix":""},{"dropping-particle":"","family":"Nuccetelli","given":"Yanina","non-dropping-particle":"","parse-names":false,"suffix":""},{"dropping-particle":"","family":"Olmedo","given":"Argelis","non-dropping-particle":"","parse-names":false,"suffix":""},{"dropping-particle":"","family":"Palacio","given":"Belén","non-dropping-particle":"","parse-names":false,"suffix":""},{"dropping-particle":"","family":"Pellice","given":"Florencia","non-dropping-particle":"","parse-names":false,"suffix":""},{"dropping-particle":"","family":"Raffo","given":"Carla Lorena","non-dropping-particle":"","parse-names":false,"suffix":""},{"dropping-particle":"","family":"Ramos","given":"Carolina","non-dropping-particle":"","parse-names":false,"suffix":""},{"dropping-particle":"","family":"Reino","given":"Fanny","non-dropping-particle":"","parse-names":false,"suffix":""},{"dropping-particle":"","family":"Rodriguez","given":"Viviana","non-dropping-particle":"","parse-names":false,"suffix":""},{"dropping-particle":"","family":"Romero","given":"Federico","non-dropping-particle":"","parse-names":false,"suffix":""},{"dropping-particle":"","family":"Romero","given":"Juan José","non-dropping-particle":"","parse-names":false,"suffix":""},{"dropping-particle":"","family":"Sadino","given":"Graciela","non-dropping-particle":"","parse-names":false,"suffix":""},{"dropping-particle":"","family":"Sandoval","given":"Nancy","non-dropping-particle":"","parse-names":false,"suffix":""},{"dropping-particle":"","family":"Suarez","given":"Mariana","non-dropping-particle":"","parse-names":false,"suffix":""},{"dropping-particle":"","family":"Suayter","given":"Maria Victoria","non-dropping-particle":"","parse-names":false,"suffix":""},{"dropping-particle":"","family":"Ureña","given":"Maria Alejandra","non-dropping-particle":"","parse-names":false,"suffix":""},{"dropping-particle":"","family":"Valle","given":"Marisol","non-dropping-particle":"","parse-names":false,"suffix":""},{"dropping-particle":"","family":"Vence Reyes","given":"Ligia","non-dropping-particle":"","parse-names":false,"suffix":""},{"dropping-particle":"","family":"Perez","given":"Silvia Vera Amate","non-dropping-particle":"","parse-names":false,"suffix":""},{"dropping-particle":"","family":"Videla","given":"Hugo","non-dropping-particle":"","parse-names":false,"suffix":""},{"dropping-particle":"","family":"Villamandos","given":"Silvina","non-dropping-particle":"","parse-names":false,"suffix":""},{"dropping-particle":"","family":"Villarreal","given":"Olmedo","non-dropping-particle":"","parse-names":false,"suffix":""},{"dropping-particle":"","family":"Viteri","given":"Maria Alejandra","non-dropping-particle":"","parse-names":false,"suffix":""},{"dropping-particle":"","family":"Warley","given":"Eduardo","non-dropping-particle":"","parse-names":false,"suffix":""},{"dropping-particle":"","family":"Quiros","given":"Rodolfo E.","non-dropping-particle":"","parse-names":false,"suffix":""}],"container-title":"Antimicrobial resistance and infection control","id":"ITEM-8","issue":"1","issued":{"date-parts":[["2024","12","1"]]},"page":"132","publisher":"BioMed Central","title":"Contextual barriers to infection prevention and control program implementation in hospitals in Latin America: a mixed methods evaluation","type":"article-journal","volume":"13"},"uris":["http://www.mendeley.com/documents/?uuid=d79cfdf0-466f-311e-95a2-da7e4ebbe8f8"]},{"id":"ITEM-9","itemData":{"DOI":"10.1016/S1473-3099(21)00809-4","ISSN":"14744457","PMID":"35202599","abstract":"Background: WHO core components for infection prevention and control (IPC) are important building blocks for effective IPC programmes. To our knowledge, we did the first WHO global survey to assess implementation of these programmes in health-care facilities. Methods: In this cross-sectional survey, IPC professionals were invited through global outreach and national coordinated efforts to complete the online WHO IPC assessment framework (IPCAF). The survey was created in English and was then translated into ten languages: Arabic, Chinese, English, French, German, Italian, Japanese, Russian, Spanish, and Thai. Post-stratification weighting was applied and countries with low response rates were excluded to improve representativeness. Weighted median scores and IQRs as well as weighted proportions (Nw) meeting defined IPCAF minimum requirements were reported. Indicators associated with the IPCAF score were assessed using a generalised estimating equation. Findings: From Jan 16 to Dec 31, 2019, 4440 responses were received from 81 countries. The overall weighted IPCAF median score indicated an advanced level of implementation (605, IQR 450·4–705·0), but significantly lower scores were found in low-income (385, 279·7–442·9) and lower-middle-income countries (500·4, 345·0–657·5), and public facilities (515, 385–637·8). Core component 8 (built environment; 90·0, IQR 75·0–100·0) and core component 2 (guidelines; 87·5, 70·0–97·5) scored the highest, and core component 7 (workload, staffing, and bed occupancy; 70·0, 50–90) and core component 3 (education and training; 70 ·0, 50·0–85·0) scored the lowest. Overall, only 15·2% (Nw: 588 of 3873) of facilities met all IPCAF minimum requirements, ranging from 0% (0 of 417) in low-income countries to 25·6% (278 of 1087) in primary facilities, 9% (24 of 268) in secondary facilities, and 19% (18 of 95) in tertiary facilities in high-income countries. Interpretation: Despite an overall high IPCAF score globally, important gaps in IPC facility implementation and core components across income levels hinder IPC progress. Increased support for more effective and sustainable IPC programmes is crucial to reduce risks posed by outbreaks to global health security and to ensure patient and health worker safety. Funding: WHO and the Infection Control Programme, University of Geneva Hospitals and Faculty of Medicine. Translations: For the French and Spanish translations of the abstract see Supplementary Materials section.","author":[{"dropping-particle":"","family":"Tomczyk","given":"Sara","non-dropping-particle":"","parse-names":false,"suffix":""},{"dropping-particle":"","family":"Twyman","given":"Anthony","non-dropping-particle":"","parse-names":false,"suffix":""},{"dropping-particle":"","family":"Kraker","given":"Marlieke E.A.","non-dropping-particle":"de","parse-names":false,"suffix":""},{"dropping-particle":"","family":"Coutinho Rehse","given":"Ana Paula","non-dropping-particle":"","parse-names":false,"suffix":""},{"dropping-particle":"","family":"Tartari","given":"Ermira","non-dropping-particle":"","parse-names":false,"suffix":""},{"dropping-particle":"","family":"Toledo","given":"João Paulo","non-dropping-particle":"","parse-names":false,"suffix":""},{"dropping-particle":"","family":"Cassini","given":"Alessandro","non-dropping-particle":"","parse-names":false,"suffix":""},{"dropping-particle":"","family":"Pittet","given":"Didier","non-dropping-particle":"","parse-names":false,"suffix":""},{"dropping-particle":"","family":"Allegranzi","given":"Benedetta","non-dropping-particle":"","parse-names":false,"suffix":""}],"container-title":"The Lancet Infectious Diseases","id":"ITEM-9","issue":"6","issued":{"date-parts":[["2022","6","1"]]},"page":"845-856","publisher":"Elsevier Ltd","title":"The first WHO global survey on infection prevention and control in health-care facilities","type":"article-journal","volume":"22"},"uris":["http://www.mendeley.com/documents/?uuid=38bdf83d-4730-3db3-b5bb-3b9a2d3b8e42"]}],"mendeley":{"formattedCitation":"[58,60,101–107]","plainTextFormattedCitation":"[58,60,101–107]","previouslyFormattedCitation":"[58,60,101–107]"},"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[58,60,101–107]</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likely benefits from high-income level, greater investment in healthcare infrastructure, staffing, more attention given to IPC, and established IPC protocols </w:t>
      </w:r>
      <w:r w:rsidRPr="003F4633">
        <w:rPr>
          <w:rFonts w:eastAsia="Times New Roman" w:cs="Times New Roman"/>
          <w:szCs w:val="24"/>
          <w:lang w:val="en" w:bidi="en-US"/>
        </w:rPr>
        <w:fldChar w:fldCharType="begin" w:fldLock="1"/>
      </w:r>
      <w:r w:rsidR="005E406D">
        <w:rPr>
          <w:rFonts w:eastAsia="Times New Roman" w:cs="Times New Roman"/>
          <w:szCs w:val="24"/>
          <w:lang w:val="en" w:bidi="en-US"/>
        </w:rPr>
        <w:instrText>ADDIN CSL_CITATION {"citationItems":[{"id":"ITEM-1","itemData":{"DOI":"10.1016/j.infpip.2024.100351","ISSN":"25900889","abstract":"Healthcare settings have a high prevalence of infectious agents. This narrative review examines the existing evidence regarding infection prevention and control (IPC) using the WHO Infection Prevention and Control Assessment Framework (IPCAF) tool in healthcare facilities. A total of 13 full length papers from Africa, Asia and Europe were considered for this review. The findings showed that there are discrepancies in the IPCAF values from insufficient to advanced level. The current review shows an advanced IPCAF level in middle income and high income countries. Low income countries showed a lower IPCAF score. There is a need to enhance the IPC capacity building and to supply infection prevention resources to prevent healthcare associated infection (HAI) with a focus on low income countries.","author":[{"dropping-particle":"","family":"Asgedom","given":"Akeza Awealom","non-dropping-particle":"","parse-names":false,"suffix":""}],"container-title":"Infection Prevention in Practice","id":"ITEM-1","issue":"2","issued":{"date-parts":[["2024","6","1"]]},"page":"100351","publisher":"Elsevier","title":"Status of infection prevention and control (IPC) as per the WHO standardised Infection Prevention and Control Assessment Framework (IPCAF) tool: existing evidence and its implication","type":"article-journal","volume":"6"},"uris":["http://www.mendeley.com/documents/?uuid=b53a2779-315e-3f6d-84e3-3b2ee2049686"]}],"mendeley":{"formattedCitation":"[63]","plainTextFormattedCitation":"[63]","previouslyFormattedCitation":"[63]"},"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[63]</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These findings indicate that most HICs have advanced implementation of IPC in their hospitals. Consequently, evidence has shown that significantly lower scores of IPC implementation were observed in LMICs and public healthcare facilities </w:t>
      </w:r>
      <w:r w:rsidRPr="003F4633">
        <w:rPr>
          <w:rFonts w:eastAsia="Times New Roman" w:cs="Times New Roman"/>
          <w:szCs w:val="24"/>
          <w:lang w:val="en" w:bidi="en-US"/>
        </w:rPr>
        <w:fldChar w:fldCharType="begin" w:fldLock="1"/>
      </w:r>
      <w:r w:rsidR="005E406D">
        <w:rPr>
          <w:rFonts w:eastAsia="Times New Roman" w:cs="Times New Roman"/>
          <w:szCs w:val="24"/>
          <w:lang w:val="en" w:bidi="en-US"/>
        </w:rPr>
        <w:instrText>ADDIN CSL_CITATION {"citationItems":[{"id":"ITEM-1","itemData":{"DOI":"10.1016/S1473-3099(21)00809-4","ISSN":"14744457","PMID":"35202599","abstract":"Background: WHO core components for infection prevention and control (IPC) are important building blocks for effective IPC programmes. To our knowledge, we did the first WHO global survey to assess implementation of these programmes in health-care facilities. Methods: In this cross-sectional survey, IPC professionals were invited through global outreach and national coordinated efforts to complete the online WHO IPC assessment framework (IPCAF). The survey was created in English and was then translated into ten languages: Arabic, Chinese, English, French, German, Italian, Japanese, Russian, Spanish, and Thai. Post-stratification weighting was applied and countries with low response rates were excluded to improve representativeness. Weighted median scores and IQRs as well as weighted proportions (Nw) meeting defined IPCAF minimum requirements were reported. Indicators associated with the IPCAF score were assessed using a generalised estimating equation. Findings: From Jan 16 to Dec 31, 2019, 4440 responses were received from 81 countries. The overall weighted IPCAF median score indicated an advanced level of implementation (605, IQR 450·4–705·0), but significantly lower scores were found in low-income (385, 279·7–442·9) and lower-middle-income countries (500·4, 345·0–657·5), and public facilities (515, 385–637·8). Core component 8 (built environment; 90·0, IQR 75·0–100·0) and core component 2 (guidelines; 87·5, 70·0–97·5) scored the highest, and core component 7 (workload, staffing, and bed occupancy; 70·0, 50–90) and core component 3 (education and training; 70 ·0, 50·0–85·0) scored the lowest. Overall, only 15·2% (Nw: 588 of 3873) of facilities met all IPCAF minimum requirements, ranging from 0% (0 of 417) in low-income countries to 25·6% (278 of 1087) in primary facilities, 9% (24 of 268) in secondary facilities, and 19% (18 of 95) in tertiary facilities in high-income countries. Interpretation: Despite an overall high IPCAF score globally, important gaps in IPC facility implementation and core components across income levels hinder IPC progress. Increased support for more effective and sustainable IPC programmes is crucial to reduce risks posed by outbreaks to global health security and to ensure patient and health worker safety. Funding: WHO and the Infection Control Programme, University of Geneva Hospitals and Faculty of Medicine. Translations: For the French and Spanish translations of the abstract see Supplementary Materials section.","author":[{"dropping-particle":"","family":"Tomczyk","given":"Sara","non-dropping-particle":"","parse-names":false,"suffix":""},{"dropping-particle":"","family":"Twyman","given":"Anthony","non-dropping-particle":"","parse-names":false,"suffix":""},{"dropping-particle":"","family":"Kraker","given":"Marlieke E.A.","non-dropping-particle":"de","parse-names":false,"suffix":""},{"dropping-particle":"","family":"Coutinho Rehse","given":"Ana Paula","non-dropping-particle":"","parse-names":false,"suffix":""},{"dropping-particle":"","family":"Tartari","given":"Ermira","non-dropping-particle":"","parse-names":false,"suffix":""},{"dropping-particle":"","family":"Toledo","given":"João Paulo","non-dropping-particle":"","parse-names":false,"suffix":""},{"dropping-particle":"","family":"Cassini","given":"Alessandro","non-dropping-particle":"","parse-names":false,"suffix":""},{"dropping-particle":"","family":"Pittet","given":"Didier","non-dropping-particle":"","parse-names":false,"suffix":""},{"dropping-particle":"","family":"Allegranzi","given":"Benedetta","non-dropping-particle":"","parse-names":false,"suffix":""}],"container-title":"The Lancet Infectious Diseases","id":"ITEM-1","issue":"6","issued":{"date-parts":[["2022","6","1"]]},"page":"845-856","publisher":"Elsevier Ltd","title":"The first WHO global survey on infection prevention and control in health-care facilities","type":"article-journal","volume":"22"},"uris":["http://www.mendeley.com/documents/?uuid=38bdf83d-4730-3db3-b5bb-3b9a2d3b8e42"]},{"id":"ITEM-2","itemData":{"DOI":"10.1016/j.infpip.2024.100351","ISSN":"25900889","abstract":"Healthcare settings have a high prevalence of infectious agents. This narrative review examines the existing evidence regarding infection prevention and control (IPC) using the WHO Infection Prevention and Control Assessment Framework (IPCAF) tool in healthcare facilities. A total of 13 full length papers from Africa, Asia and Europe were considered for this review. The findings showed that there are discrepancies in the IPCAF values from insufficient to advanced level. The current review shows an advanced IPCAF level in middle income and high income countries. Low income countries showed a lower IPCAF score. There is a need to enhance the IPC capacity building and to supply infection prevention resources to prevent healthcare associated infection (HAI) with a focus on low income countries.","author":[{"dropping-particle":"","family":"Asgedom","given":"Akeza Awealom","non-dropping-particle":"","parse-names":false,"suffix":""}],"container-title":"Infection Prevention in Practice","id":"ITEM-2","issue":"2","issued":{"date-parts":[["2024","6","1"]]},"page":"100351","publisher":"Elsevier","title":"Status of infection prevention and control (IPC) as per the WHO standardised Infection Prevention and Control Assessment Framework (IPCAF) tool: existing evidence and its implication","type":"article-journal","volume":"6"},"uris":["http://www.mendeley.com/documents/?uuid=b53a2779-315e-3f6d-84e3-3b2ee2049686"]}],"mendeley":{"formattedCitation":"[58,63]","plainTextFormattedCitation":"[58,63]","previouslyFormattedCitation":"[58,63]"},"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[58,63]</w:t>
      </w:r>
      <w:r w:rsidRPr="003F4633">
        <w:rPr>
          <w:rFonts w:eastAsia="Times New Roman" w:cs="Times New Roman"/>
          <w:szCs w:val="24"/>
          <w:lang w:val="en"/>
        </w:rPr>
        <w:fldChar w:fldCharType="end"/>
      </w:r>
      <w:r w:rsidRPr="003F4633">
        <w:rPr>
          <w:rFonts w:eastAsia="Times New Roman" w:cs="Times New Roman"/>
          <w:szCs w:val="24"/>
          <w:lang w:val="en" w:bidi="en-US"/>
        </w:rPr>
        <w:t>.</w:t>
      </w:r>
    </w:p>
    <w:p w14:paraId="062E76DE" w14:textId="13554D2E" w:rsidR="003F4633" w:rsidRPr="003F4633" w:rsidRDefault="003F4633" w:rsidP="003F4633">
      <w:pPr>
        <w:spacing w:before="0" w:line="360" w:lineRule="auto"/>
        <w:jc w:val="both"/>
        <w:rPr>
          <w:rFonts w:eastAsia="Times New Roman" w:cs="Times New Roman"/>
          <w:szCs w:val="24"/>
          <w:lang w:val="en" w:bidi="en-US"/>
        </w:rPr>
      </w:pPr>
      <w:r w:rsidRPr="003F4633">
        <w:rPr>
          <w:rFonts w:eastAsia="Times New Roman" w:cs="Times New Roman"/>
          <w:szCs w:val="24"/>
          <w:lang w:val="en" w:bidi="en-US"/>
        </w:rPr>
        <w:t xml:space="preserve">Our study found that most tertiary-level hospitals had an advanced implementation of IPC core components compared to </w:t>
      </w:r>
      <w:r w:rsidR="00D003A9">
        <w:rPr>
          <w:rFonts w:eastAsia="Times New Roman" w:cs="Times New Roman"/>
          <w:szCs w:val="24"/>
          <w:lang w:val="en" w:bidi="en-US"/>
        </w:rPr>
        <w:t>secondary</w:t>
      </w:r>
      <w:r w:rsidRPr="003F4633">
        <w:rPr>
          <w:rFonts w:eastAsia="Times New Roman" w:cs="Times New Roman"/>
          <w:szCs w:val="24"/>
          <w:lang w:val="en" w:bidi="en-US"/>
        </w:rPr>
        <w:t xml:space="preserve">-level hospitals. Arguably, this could be attributed to a higher density of specialized IPC-trained personnel serving in the facilities, more consistent access to funding for IPC supplies and programme support, or the presence of established IPC committees with more actions and implementing activities in the hospital. </w:t>
      </w:r>
      <w:r w:rsidR="00875027">
        <w:rPr>
          <w:rFonts w:eastAsia="Times New Roman" w:cs="Times New Roman"/>
          <w:szCs w:val="24"/>
          <w:lang w:val="en" w:bidi="en-US"/>
        </w:rPr>
        <w:t xml:space="preserve">These findings </w:t>
      </w:r>
      <w:r w:rsidR="00875027" w:rsidRPr="00875027">
        <w:rPr>
          <w:rFonts w:eastAsia="Times New Roman" w:cs="Times New Roman"/>
          <w:szCs w:val="24"/>
          <w:lang w:val="en" w:bidi="en-US"/>
        </w:rPr>
        <w:t>underscores persistent disparities in resources and capacity that warrant targeted interventions to strengthen IPC performance nationwide</w:t>
      </w:r>
      <w:r w:rsidR="00875027">
        <w:rPr>
          <w:rFonts w:eastAsia="Times New Roman" w:cs="Times New Roman"/>
          <w:szCs w:val="24"/>
          <w:lang w:val="en" w:bidi="en-US"/>
        </w:rPr>
        <w:t xml:space="preserve">. </w:t>
      </w:r>
      <w:r w:rsidRPr="003F4633">
        <w:rPr>
          <w:rFonts w:eastAsia="Times New Roman" w:cs="Times New Roman"/>
          <w:szCs w:val="24"/>
          <w:lang w:val="en" w:bidi="en-US"/>
        </w:rPr>
        <w:t xml:space="preserve">Our findings differ from those reported in Malawi, in which tertiary-level hospitals had an intermediate implementation of IPC programs </w:t>
      </w:r>
      <w:r w:rsidRPr="003F4633">
        <w:rPr>
          <w:rFonts w:eastAsia="Times New Roman" w:cs="Times New Roman"/>
          <w:szCs w:val="24"/>
          <w:lang w:val="en" w:bidi="en-US"/>
        </w:rPr>
        <w:fldChar w:fldCharType="begin" w:fldLock="1"/>
      </w:r>
      <w:r w:rsidR="005E406D">
        <w:rPr>
          <w:rFonts w:eastAsia="Times New Roman" w:cs="Times New Roman"/>
          <w:szCs w:val="24"/>
          <w:lang w:val="en" w:bidi="en-US"/>
        </w:rPr>
        <w:instrText>ADDIN CSL_CITATION {"citationItems":[{"id":"ITEM-1","itemData":{"DOI":"10.1016/j.infpip.2024.100388","ISSN":"25900889","abstract":"Background: Infection prevention and control (IPC) is important for the reduction of healthcare-associated infections (HAI). The World Health Organization (WHO) developed the IPC Assessment Framework (IPCAF) tool to assess the level of IPC implementation and to identify areas for improvement in healthcare facilities. Methods: A cross -sectional survey was conducted using the WHO IPCAF tool from May to June 2023. The aim was to provide a baseline assessment of the IPC programme and activities within health care facilities in Malawi. Forty healthcare facilities were invited to participate. IPC teams were requested to complete the IPCAF and return the scores. The IPCAF tool scores were assessed as recommended in the WHO IPCAF tool. Results: The response rate was 82.5%. The median IPCAF score was 445 out of 800 corresponding to an intermediate IPC implementation level. The results revealed that 66.7% facilities were at intermediate level, 26.4% at basic level, and 6.9% at advanced level. Most facilities (76%) had an IPC program in place with clear objectives and an IPC focal person. Few had a dedicated budget for IPC. The IPCAF domain “monitoring/audit of IPC practices and feedback” had the lowest median score of 15/100, and in 90% of facilities, no monitoring, audit, and feedback was done. HAI surveillance median score was 40/100, workload, staffing and bed occupancy median score was 45/100. Conclusions: Whilst there has been some degree of implementation of WHO IPC guidelines in Malawi's healthcare system, there is significant room for improvement. The IPCAF tool revealed that monitoring/audit and feedback, HAI surveillance and workload, staffing and bed occupancy need to be strengthened. The IPCAF scoring system may need reconsidering given the centrality of these domains to IPC.","author":[{"dropping-particle":"","family":"Ng'ambi","given":"Dorica","non-dropping-particle":"","parse-names":false,"suffix":""},{"dropping-particle":"","family":"O'Byrne","given":"Thomasena","non-dropping-particle":"","parse-names":false,"suffix":""},{"dropping-particle":"","family":"Jingini","given":"Emmie","non-dropping-particle":"","parse-names":false,"suffix":""},{"dropping-particle":"","family":"Chadwala","given":"Hope","non-dropping-particle":"","parse-names":false,"suffix":""},{"dropping-particle":"","family":"Musopole","given":"Owen","non-dropping-particle":"","parse-names":false,"suffix":""},{"dropping-particle":"","family":"Kamchedzera","given":"Wala","non-dropping-particle":"","parse-names":false,"suffix":""},{"dropping-particle":"","family":"Tancred","given":"Tara","non-dropping-particle":"","parse-names":false,"suffix":""},{"dropping-particle":"","family":"Feasey","given":"Nicholas","non-dropping-particle":"","parse-names":false,"suffix":""}],"container-title":"Infection Prevention in Practice","id":"ITEM-1","issue":"4","issued":{"date-parts":[["2024","12","1"]]},"page":"100388","publisher":"Elsevier","title":"An assessment of infection prevention and control implementation in Malawian hospitals using the WHO Infection Prevention and Control Assessment Framework (IPCAF) tool","type":"article-journal","volume":"6"},"uris":["http://www.mendeley.com/documents/?uuid=5d0bfc10-c722-34f0-88bd-6182247493f9"]}],"mendeley":{"formattedCitation":"[62]","plainTextFormattedCitation":"[62]","previouslyFormattedCitation":"[62]"},"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[62]</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Our findings are also better than those reported in Bangladesh, where most tertiary-level hospitals had an inadequate implementation of IPC components </w:t>
      </w:r>
      <w:r w:rsidRPr="003F4633">
        <w:rPr>
          <w:rFonts w:eastAsia="Times New Roman" w:cs="Times New Roman"/>
          <w:szCs w:val="24"/>
          <w:lang w:val="en" w:bidi="en-US"/>
        </w:rPr>
        <w:fldChar w:fldCharType="begin" w:fldLock="1"/>
      </w:r>
      <w:r w:rsidR="00707407">
        <w:rPr>
          <w:rFonts w:eastAsia="Times New Roman" w:cs="Times New Roman"/>
          <w:szCs w:val="24"/>
          <w:lang w:val="en" w:bidi="en-US"/>
        </w:rPr>
        <w:instrText>ADDIN CSL_CITATION {"citationItems":[{"id":"ITEM-1","itemData":{"DOI":"10.1186/s12913-022-08603-0","ISSN":"14726963","PMID":"36207710","abstract":"Background: Hospital-acquired infections (HAIs) and antimicrobial resistance (AMR) are major global health challenges. Drug-resistant infectious diseases continue to rise in developing countries, driven by shortfalls in infection control measures, antibiotic misuse, and scarcity of reliable diagnostics. These escalating global challenges have highlighted the importance of strengthening fundamental infection prevention and control (IPC) measures and implementing effective antimicrobial stewardship programs (ASP). This study aims to present a framework for enhancing IPC measures and ASP efforts to reduce the HAI and AMR burden in Bangladesh. Methods: This implementation approach will employ a mixed-methods strategy, combining both quantitative and qualitative data from 12 tertiary hospitals in Bangladesh. A baseline assessment will be conducted using the Infection Prevention and Control Assessment Framework (IPCAF) developed by the WHO. We will record IPC practices through direct observations of hand hygiene, personal protective equipment (PPE) utilization, and hospital ward IPC infrastructure. Additionally, data on healthcare providers’ knowledge, attitudes, and practices regarding IPC and antibiotic prescribing will be collected using both structured questionnaires and qualitative interviews. We will also assist the hospital leadership with establishing and/or strengthening IPC and ASP committees. Based on baseline assessments of each healthcare facility, tailored interventions and quality improvement projects will be designed and implemented. An end-line assessment will also be conducted after 12 months of intervention using the same assessment tools. The findings will be compared with the baseline to determine changes in IPC and antibiotic stewardship practices. Discussion: Comprehensive assessments of healthcare facilities in low-resource settings are crucial for strengthening IPC measures and ASP activities,. This approach to assessing existing IPC and ASP activities will provide policy-relevant data for addressing current shortfalls. Moreover, this framework proposes identifying institutionally-tailored solutions, which will ensure that response activities are appropriately contextualized, aligned with stakeholder priorities, and offer sustainable solutions. Conclusion: Findings from this study can guide the design and implementation of feasible and sustainable interventions in resource-constrained healthcare settings to address gaps in existing IP…","author":[{"dropping-particle":"","family":"Harun","given":"Md Golam Dostogir","non-dropping-particle":"","parse-names":false,"suffix":""},{"dropping-particle":"","family":"Anwar","given":"Md Mahabub Ul","non-dropping-particle":"","parse-names":false,"suffix":""},{"dropping-particle":"","family":"Sumon","given":"Shariful Amin","non-dropping-particle":"","parse-names":false,"suffix":""},{"dropping-particle":"","family":"Hassan","given":"Md Zakiul","non-dropping-particle":"","parse-names":false,"suffix":""},{"dropping-particle":"","family":"Mohona","given":"Tahrima Mohsin","non-dropping-particle":"","parse-names":false,"suffix":""},{"dropping-particle":"","family":"Rahman","given":"Aninda","non-dropping-particle":"","parse-names":false,"suffix":""},{"dropping-particle":"","family":"Abdullah","given":"Syed Abul Hassan Md","non-dropping-particle":"","parse-names":false,"suffix":""},{"dropping-particle":"","family":"Islam","given":"Md Saiful","non-dropping-particle":"","parse-names":false,"suffix":""},{"dropping-particle":"","family":"Kaydos-Daniels","given":"S. Cornelia","non-dropping-particle":"","parse-names":false,"suffix":""},{"dropping-particle":"","family":"Styczynski","given":"Ashley R.","non-dropping-particle":"","parse-names":false,"suffix":""}],"container-title":"BMC Health Services Research","id":"ITEM-1","issue":"1","issued":{"date-parts":[["2022","12","1"]]},"page":"1239","publisher":"BioMed Central Ltd","title":"Rationale and guidance for strengthening infection prevention and control measures and antimicrobial stewardship programs in Bangladesh: a study protocol","type":"article-journal","volume":"22"},"uris":["http://www.mendeley.com/documents/?uuid=5e85a909-ec93-3d60-8fa8-12a241a8ad2d"]}],"mendeley":{"formattedCitation":"[51]","plainTextFormattedCitation":"[51]","previouslyFormattedCitation":"[51]"},"properties":{"noteIndex":0},"schema":"https://github.com/citation-style-language/schema/raw/master/csl-citation.json"}</w:instrText>
      </w:r>
      <w:r w:rsidRPr="003F4633">
        <w:rPr>
          <w:rFonts w:eastAsia="Times New Roman" w:cs="Times New Roman"/>
          <w:szCs w:val="24"/>
          <w:lang w:val="en" w:bidi="en-US"/>
        </w:rPr>
        <w:fldChar w:fldCharType="separate"/>
      </w:r>
      <w:r w:rsidR="00D56FA2" w:rsidRPr="00D56FA2">
        <w:rPr>
          <w:rFonts w:eastAsia="Times New Roman" w:cs="Times New Roman"/>
          <w:noProof/>
          <w:szCs w:val="24"/>
          <w:lang w:val="en" w:bidi="en-US"/>
        </w:rPr>
        <w:t>[51]</w:t>
      </w:r>
      <w:r w:rsidRPr="003F4633">
        <w:rPr>
          <w:rFonts w:eastAsia="Times New Roman" w:cs="Times New Roman"/>
          <w:szCs w:val="24"/>
          <w:lang w:val="en"/>
        </w:rPr>
        <w:fldChar w:fldCharType="end"/>
      </w:r>
      <w:r w:rsidRPr="003F4633">
        <w:rPr>
          <w:rFonts w:eastAsia="Times New Roman" w:cs="Times New Roman"/>
          <w:szCs w:val="24"/>
          <w:lang w:val="en" w:bidi="en-US"/>
        </w:rPr>
        <w:t>. The findings in Malawi and Bangladesh, where tertiary hospitals showed intermediate implementation of IPC programs, suggest potentially different national-level resource allocation or policy implementation strategies.</w:t>
      </w:r>
    </w:p>
    <w:p w14:paraId="3F92CEEE" w14:textId="4559523A" w:rsidR="003F4633" w:rsidRPr="003F4633" w:rsidRDefault="003F4633" w:rsidP="003F4633">
      <w:pPr>
        <w:spacing w:before="0" w:line="360" w:lineRule="auto"/>
        <w:jc w:val="both"/>
        <w:rPr>
          <w:rFonts w:eastAsia="Times New Roman" w:cs="Times New Roman"/>
          <w:b/>
          <w:bCs/>
          <w:szCs w:val="24"/>
          <w:lang w:val="en" w:bidi="en-US"/>
        </w:rPr>
      </w:pPr>
      <w:r w:rsidRPr="003F4633">
        <w:rPr>
          <w:rFonts w:eastAsia="Times New Roman" w:cs="Times New Roman"/>
          <w:szCs w:val="24"/>
          <w:lang w:val="en" w:bidi="en-US"/>
        </w:rPr>
        <w:t xml:space="preserve">Of the eight core components of IPC, the highest IPCAF scores were in IPC programmes and national and facility-level IPC guidelines. Our findings corroborate those reported in a study that was conducted in the DRC, in which the highest was the presence of IPC programmes, and national and facility IPC guidelines </w:t>
      </w:r>
      <w:r w:rsidRPr="003F4633">
        <w:rPr>
          <w:rFonts w:eastAsia="Times New Roman" w:cs="Times New Roman"/>
          <w:szCs w:val="24"/>
          <w:lang w:val="en" w:bidi="en-US"/>
        </w:rPr>
        <w:fldChar w:fldCharType="begin" w:fldLock="1"/>
      </w:r>
      <w:r w:rsidR="005E406D">
        <w:rPr>
          <w:rFonts w:eastAsia="Times New Roman" w:cs="Times New Roman"/>
          <w:szCs w:val="24"/>
          <w:lang w:val="en" w:bidi="en-US"/>
        </w:rPr>
        <w:instrText>ADDIN CSL_CITATION {"citationItems":[{"id":"ITEM-1","itemData":{"DOI":"10.1186/s13756-023-01358-1","ISSN":"20472994","PMID":"38221629","abstract":"Background: The coronavirus pandemic again highlighted the need for robust health care facility infection prevention and control (IPC) programmes. WHO guidelines on the core components (CCs) of IPC programmes provides guidance for facilities, but their implementation can be difficult to achieve in resource-limited settings. We aimed to gather evidence on an initial WHO IPC implementation experience using a mixed methods approach. Methods: A five-day training on the WHO IPC CCs was conducted at two reference acute health care facilities in the Democratic Republic of Congo and Burkina Faso. This was accompanied by a three-part mixed-methods evaluation consisting of a: (1) baseline and follow-up survey of participants’ knowledge, attitudes and practices (KAP), (2) qualitative assessment of plenary discussion transcripts and (3) deployment of the WHO IPC assessment framework (IPCAF) tool. Results were analysed descriptively and with a qualitative inductive thematic approach. Results: Twenty-two and twenty-four participants were trained at each facility, respectively. Baseline and follow-up KAP results suggested increases in knowledge related to the necessity of a dedicated IPC focal person and annual evaluations of IPC training although lack of recognition on the importance of including hospital leadership in IPC training and hand hygiene monitoring recommendations remained. Most participants reported rarely attending IPC meetings or participating in IPC action planning although attitudes shifted towards stronger agreement with the feeling of IPC responsibility and importance of an IPC team. A reocurring theme in plenary discussions was related to limited resources as a barrier to IPC implementation, namely lack of reliable water access. However, participants recognised the importance of IPC improvement efforts such as practical IPC training methods or the use of data to improve quality of care. The facilities’ IPCAF scores reflected a ‘basic/intermediate’ IPC implementation level. Conclusions: The training and mixed methods evaluation revealed initial IPC implementation experiences that could be used to inform stepwise approaches to facility IPC improvement in resource-limited settings. Implementation strategies should consider both global standards such as the WHO IPC CCs and specific local contexts. The early involvement of all relevant stakeholders and parallel efforts to advocate for sufficient resources and health system infrastructure are critical.","author":[{"dropping-particle":"","family":"Wood","given":"R.","non-dropping-particle":"","parse-names":false,"suffix":""},{"dropping-particle":"","family":"Tembele","given":"W.","non-dropping-particle":"","parse-names":false,"suffix":""},{"dropping-particle":"","family":"Hema","given":"A.","non-dropping-particle":"","parse-names":false,"suffix":""},{"dropping-particle":"","family":"Somé","given":"A.","non-dropping-particle":"","parse-names":false,"suffix":""},{"dropping-particle":"","family":"Kinganda-Lusamaki","given":"E.","non-dropping-particle":"","parse-names":false,"suffix":""},{"dropping-particle":"","family":"Basilubo","given":"C.","non-dropping-particle":"","parse-names":false,"suffix":""},{"dropping-particle":"","family":"Lumembe","given":"R.","non-dropping-particle":"","parse-names":false,"suffix":""},{"dropping-particle":"","family":"Alama","given":"N.","non-dropping-particle":"","parse-names":false,"suffix":""},{"dropping-particle":"","family":"Mbunsu","given":"G.","non-dropping-particle":"","parse-names":false,"suffix":""},{"dropping-particle":"","family":"Zongo","given":"A.","non-dropping-particle":"","parse-names":false,"suffix":""},{"dropping-particle":"","family":"Ahuka","given":"S.","non-dropping-particle":"","parse-names":false,"suffix":""},{"dropping-particle":"","family":"Muyembe","given":"J. J.","non-dropping-particle":"","parse-names":false,"suffix":""},{"dropping-particle":"","family":"Leendertz","given":"F.","non-dropping-particle":"","parse-names":false,"suffix":""},{"dropping-particle":"","family":"Eckmanns","given":"T.","non-dropping-particle":"","parse-names":false,"suffix":""},{"dropping-particle":"","family":"Schubert","given":"G.","non-dropping-particle":"","parse-names":false,"suffix":""},{"dropping-particle":"","family":"Kagoné","given":"T.","non-dropping-particle":"","parse-names":false,"suffix":""},{"dropping-particle":"","family":"Makiala","given":"S.","non-dropping-particle":"","parse-names":false,"suffix":""},{"dropping-particle":"","family":"Tomczyk","given":"S.","non-dropping-particle":"","parse-names":false,"suffix":""}],"container-title":"Antimicrobial Resistance and Infection Control","id":"ITEM-1","issue":"1","issued":{"date-parts":[["2024","12","1"]]},"page":"4","publisher":"BioMed Central Ltd","title":"Implementation of the WHO core components of an infection prevention and control programme in two sub-Saharan African acute health-care facilities: a mixed methods study","type":"article-journal","volume":"13"},"uris":["http://www.mendeley.com/documents/?uuid=9259b542-e689-3b8e-b204-e38787758396"]}],"mendeley":{"formattedCitation":"[68]","plainTextFormattedCitation":"[68]","previouslyFormattedCitation":"[68]"},"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[68]</w:t>
      </w:r>
      <w:r w:rsidRPr="003F4633">
        <w:rPr>
          <w:rFonts w:eastAsia="Times New Roman" w:cs="Times New Roman"/>
          <w:szCs w:val="24"/>
          <w:lang w:val="en"/>
        </w:rPr>
        <w:fldChar w:fldCharType="end"/>
      </w:r>
      <w:r w:rsidRPr="003F4633">
        <w:rPr>
          <w:rFonts w:eastAsia="Times New Roman" w:cs="Times New Roman"/>
          <w:szCs w:val="24"/>
          <w:lang w:val="en" w:bidi="en-US"/>
        </w:rPr>
        <w:t>. This is in line with established global guidelines and the</w:t>
      </w:r>
      <w:r w:rsidRPr="003F4633">
        <w:rPr>
          <w:rFonts w:eastAsia="Times New Roman" w:cs="Times New Roman"/>
          <w:bCs/>
          <w:szCs w:val="24"/>
          <w:lang w:val="en" w:bidi="en-US"/>
        </w:rPr>
        <w:t xml:space="preserve"> 17</w:t>
      </w:r>
      <w:r w:rsidRPr="003F4633">
        <w:rPr>
          <w:rFonts w:eastAsia="Times New Roman" w:cs="Times New Roman"/>
          <w:bCs/>
          <w:szCs w:val="24"/>
          <w:vertAlign w:val="superscript"/>
          <w:lang w:val="en" w:bidi="en-US"/>
        </w:rPr>
        <w:t>th</w:t>
      </w:r>
      <w:r w:rsidRPr="003F4633">
        <w:rPr>
          <w:rFonts w:eastAsia="Times New Roman" w:cs="Times New Roman"/>
          <w:bCs/>
          <w:szCs w:val="24"/>
          <w:lang w:val="en" w:bidi="en-US"/>
        </w:rPr>
        <w:t xml:space="preserve"> International Congress on Infectious Diseases workshop on establishing IPC and developing IPC resources for LMICs </w:t>
      </w:r>
      <w:r w:rsidRPr="003F4633">
        <w:rPr>
          <w:rFonts w:eastAsia="Times New Roman" w:cs="Times New Roman"/>
          <w:bCs/>
          <w:szCs w:val="24"/>
          <w:lang w:val="en" w:bidi="en-US"/>
        </w:rPr>
        <w:fldChar w:fldCharType="begin" w:fldLock="1"/>
      </w:r>
      <w:r w:rsidR="005E406D">
        <w:rPr>
          <w:rFonts w:eastAsia="Times New Roman" w:cs="Times New Roman"/>
          <w:bCs/>
          <w:szCs w:val="24"/>
          <w:lang w:val="en" w:bidi="en-US"/>
        </w:rPr>
        <w:instrText>ADDIN CSL_CITATION {"citationItems":[{"id":"ITEM-1","itemData":{"DOI":"10.1016/j.ijid.2017.01.040","ISSN":"18783511","PMID":"28216179","abstract":"Hospital-acquired infections (HAIs) are a major concern to healthcare systems around the world. They are associated with significant morbidity and mortality, in addition to increased hospitalization costs. Recent outbreaks, including those caused by the Middle East respiratory syndrome coronavirus and Ebola virus, have highlighted the importance of infection control. Moreover, HAIs, especially those caused by multidrug-resistant Gram-negative rods, have become a top global priority. Although adequate approaches and guidelines have been in existence for many years and have often proven effective in some countries, the implementation of such approaches in low- and middle-income countries (LMICs) is often restricted due to limited resources and underdeveloped infrastructure. While evidence-based infection prevention and control (IPC) principles and practices are universal, studies are needed to evaluate simplified approaches that can be better adapted to LMIC needs, in order to guide IPC in practice. A group of experts from around the world attended a workshop held at the 17th International Congress on Infectious Diseases in Hyderabad, India in March 2016, to discuss the existing IPC practices in LMICs, and how best these can be improved within the local context.","author":[{"dropping-particle":"","family":"Sastry","given":"Sangeeta","non-dropping-particle":"","parse-names":false,"suffix":""},{"dropping-particle":"","family":"Masroor","given":"Nadia","non-dropping-particle":"","parse-names":false,"suffix":""},{"dropping-particle":"","family":"Bearman","given":"Gonzalo","non-dropping-particle":"","parse-names":false,"suffix":""},{"dropping-particle":"","family":"Hajjeh","given":"Rana","non-dropping-particle":"","parse-names":false,"suffix":""},{"dropping-particle":"","family":"Holmes","given":"Alison","non-dropping-particle":"","parse-names":false,"suffix":""},{"dropping-particle":"","family":"Memish","given":"Ziad","non-dropping-particle":"","parse-names":false,"suffix":""},{"dropping-particle":"","family":"Lassmann","given":"Britta","non-dropping-particle":"","parse-names":false,"suffix":""},{"dropping-particle":"","family":"Pittet","given":"Didier","non-dropping-particle":"","parse-names":false,"suffix":""},{"dropping-particle":"","family":"Macnab","given":"Fiona","non-dropping-particle":"","parse-names":false,"suffix":""},{"dropping-particle":"","family":"Kamau","given":"Rachel","non-dropping-particle":"","parse-names":false,"suffix":""},{"dropping-particle":"","family":"Wesangula","given":"Evelyn","non-dropping-particle":"","parse-names":false,"suffix":""},{"dropping-particle":"","family":"Pokharel","given":"Paras","non-dropping-particle":"","parse-names":false,"suffix":""},{"dropping-particle":"","family":"Brown","given":"Paul","non-dropping-particle":"","parse-names":false,"suffix":""},{"dropping-particle":"","family":"Daily","given":"Frances","non-dropping-particle":"","parse-names":false,"suffix":""},{"dropping-particle":"","family":"Amer","given":"Fatma","non-dropping-particle":"","parse-names":false,"suffix":""},{"dropping-particle":"","family":"Torres","given":"Jaime","non-dropping-particle":"","parse-names":false,"suffix":""},{"dropping-particle":"","family":"O'Ryan","given":"Miguel","non-dropping-particle":"","parse-names":false,"suffix":""},{"dropping-particle":"","family":"Gunturu","given":"Revathi","non-dropping-particle":"","parse-names":false,"suffix":""},{"dropping-particle":"","family":"Bulabula","given":"Andre","non-dropping-particle":"","parse-names":false,"suffix":""},{"dropping-particle":"","family":"Mehtar","given":"Shaheen","non-dropping-particle":"","parse-names":false,"suffix":""}],"container-title":"International Journal of Infectious Diseases","id":"ITEM-1","issued":{"date-parts":[["2017","4","1"]]},"page":"138-143","publisher":"Elsevier B.V.","title":"The 17th International Congress on Infectious Diseases workshop on developing infection prevention and control resources for low- and middle-income countries","type":"paper-conference","volume":"57"},"uris":["http://www.mendeley.com/documents/?uuid=b8b4ec92-0840-34e6-b246-a0660e06fb6b"]},{"id":"ITEM-2","itemData":{"DOI":"10.1016/j.jhin.2020.11.025","ISSN":"15322939","PMID":"33271215","abstract":"Background: Strengthening infection prevention and control (IPC) is essential to combat healthcare-associated infections, antimicrobial resistance, and to prevent and respond to outbreaks. Aim: To assess national IPC programmes worldwide according to the World Health Organization (WHO) IPC core components. Methods: Between June 1st, 2017 and November 30th, 2018, a multi-country, cross-sectional study was conducted, based on semi-structured interviews with national IPC focal points of countries that pledged to the WHO ‘Clean Care is Safer Care’ challenge. Results and differences between regions and national income levels were summarized using descriptive statistics. Findings: Eighty-eight of 103 (85.4%) eligible countries participated; 22.7% were low-income, 19.3% lower-middle-income, 23.9% upper-middle-income, and 34.1% high-income economies. A national IPC programme existed in 62.5%, but only 26.1% had a dedicated budget. National guidelines were available in 67.0%, but only 36.4% and 21.6% of countries had an implementation strategy and evaluated compliance with guidelines, respectively. Undergraduate IPC curriculum and in-service and postgraduate IPC training were reported by 35.2%, 54.5%, and 42% of countries, respectively. Healthcare-associated infection surveillance was reported by 46.6% of countries, with significant differences ranging from 83.3% (high-income) to zero (low-income) (P &lt; 0.001); monitoring and feedback of IPC indicators was reported by 65.9%. Only 12.5% of countries had all core components in place. Conclusion: Most countries have IPC programme and guidelines, but many less have invested adequate resources and translated them in implementation and monitoring, particularly in low-income countries. Leadership support at the national and global level is needed to achieve implementation of the core components in all countries.","author":[{"dropping-particle":"","family":"Tartari","given":"E.","non-dropping-particle":"","parse-names":false,"suffix":""},{"dropping-particle":"","family":"Tomczyk","given":"S.","non-dropping-particle":"","parse-names":false,"suffix":""},{"dropping-particle":"","family":"Pires","given":"D.","non-dropping-particle":"","parse-names":false,"suffix":""},{"dropping-particle":"","family":"Zayed","given":"B.","non-dropping-particle":"","parse-names":false,"suffix":""},{"dropping-particle":"","family":"Coutinho Rehse","given":"A. P.","non-dropping-particle":"","parse-names":false,"suffix":""},{"dropping-particle":"","family":"Kariyo","given":"P.","non-dropping-particle":"","parse-names":false,"suffix":""},{"dropping-particle":"","family":"Stempliuk","given":"V.","non-dropping-particle":"","parse-names":false,"suffix":""},{"dropping-particle":"","family":"Zingg","given":"W.","non-dropping-particle":"","parse-names":false,"suffix":""},{"dropping-particle":"","family":"Pittet","given":"D.","non-dropping-particle":"","parse-names":false,"suffix":""},{"dropping-particle":"","family":"Allegranzi","given":"B.","non-dropping-particle":"","parse-names":false,"suffix":""}],"container-title":"Journal of Hospital Infection","id":"ITEM-2","issued":{"date-parts":[["2021","2","1"]]},"page":"94-103","publisher":"W.B. Saunders Ltd","title":"Implementation of the infection prevention and control core components at the national level: a global situational analysis","type":"article-journal","volume":"108"},"uris":["http://www.mendeley.com/documents/?uuid=61ede6bd-30cd-389d-97c7-4bd390d66ee5"]}],"mendeley":{"formattedCitation":"[108,109]","plainTextFormattedCitation":"[108,109]","previouslyFormattedCitation":"[108,109]"},"properties":{"noteIndex":0},"schema":"https://github.com/citation-style-language/schema/raw/master/csl-citation.json"}</w:instrText>
      </w:r>
      <w:r w:rsidRPr="003F4633">
        <w:rPr>
          <w:rFonts w:eastAsia="Times New Roman" w:cs="Times New Roman"/>
          <w:bCs/>
          <w:szCs w:val="24"/>
          <w:lang w:val="en" w:bidi="en-US"/>
        </w:rPr>
        <w:fldChar w:fldCharType="separate"/>
      </w:r>
      <w:r w:rsidR="001E7355" w:rsidRPr="001E7355">
        <w:rPr>
          <w:rFonts w:eastAsia="Times New Roman" w:cs="Times New Roman"/>
          <w:bCs/>
          <w:noProof/>
          <w:szCs w:val="24"/>
          <w:lang w:val="en" w:bidi="en-US"/>
        </w:rPr>
        <w:t>[108,109]</w:t>
      </w:r>
      <w:r w:rsidRPr="003F4633">
        <w:rPr>
          <w:rFonts w:eastAsia="Times New Roman" w:cs="Times New Roman"/>
          <w:szCs w:val="24"/>
          <w:lang w:val="en"/>
        </w:rPr>
        <w:fldChar w:fldCharType="end"/>
      </w:r>
      <w:r w:rsidRPr="003F4633">
        <w:rPr>
          <w:rFonts w:eastAsia="Times New Roman" w:cs="Times New Roman"/>
          <w:bCs/>
          <w:szCs w:val="24"/>
          <w:lang w:val="en" w:bidi="en-US"/>
        </w:rPr>
        <w:t>.</w:t>
      </w:r>
      <w:r w:rsidRPr="003F4633">
        <w:rPr>
          <w:rFonts w:eastAsia="Times New Roman" w:cs="Times New Roman"/>
          <w:b/>
          <w:bCs/>
          <w:szCs w:val="24"/>
          <w:lang w:val="en" w:bidi="en-US"/>
        </w:rPr>
        <w:t xml:space="preserve"> </w:t>
      </w:r>
      <w:r w:rsidRPr="003F4633">
        <w:rPr>
          <w:rFonts w:eastAsia="Times New Roman" w:cs="Times New Roman"/>
          <w:szCs w:val="24"/>
          <w:lang w:val="en" w:bidi="en-US"/>
        </w:rPr>
        <w:t xml:space="preserve">However, our findings differ from those reported in Burkina Faso, where the highest IPCAF scores were in HAI surveillance, built environment, and equipment </w:t>
      </w:r>
      <w:r w:rsidRPr="003F4633">
        <w:rPr>
          <w:rFonts w:eastAsia="Times New Roman" w:cs="Times New Roman"/>
          <w:szCs w:val="24"/>
          <w:lang w:val="en" w:bidi="en-US"/>
        </w:rPr>
        <w:fldChar w:fldCharType="begin" w:fldLock="1"/>
      </w:r>
      <w:r w:rsidR="005E406D">
        <w:rPr>
          <w:rFonts w:eastAsia="Times New Roman" w:cs="Times New Roman"/>
          <w:szCs w:val="24"/>
          <w:lang w:val="en" w:bidi="en-US"/>
        </w:rPr>
        <w:instrText>ADDIN CSL_CITATION {"citationItems":[{"id":"ITEM-1","itemData":{"DOI":"10.1186/s13756-023-01358-1","ISSN":"20472994","PMID":"38221629","abstract":"Background: The coronavirus pandemic again highlighted the need for robust health care facility infection prevention and control (IPC) programmes. WHO guidelines on the core components (CCs) of IPC programmes provides guidance for facilities, but their implementation can be difficult to achieve in resource-limited settings. We aimed to gather evidence on an initial WHO IPC implementation experience using a mixed methods approach. Methods: A five-day training on the WHO IPC CCs was conducted at two reference acute health care facilities in the Democratic Republic of Congo and Burkina Faso. This was accompanied by a three-part mixed-methods evaluation consisting of a: (1) baseline and follow-up survey of participants’ knowledge, attitudes and practices (KAP), (2) qualitative assessment of plenary discussion transcripts and (3) deployment of the WHO IPC assessment framework (IPCAF) tool. Results were analysed descriptively and with a qualitative inductive thematic approach. Results: Twenty-two and twenty-four participants were trained at each facility, respectively. Baseline and follow-up KAP results suggested increases in knowledge related to the necessity of a dedicated IPC focal person and annual evaluations of IPC training although lack of recognition on the importance of including hospital leadership in IPC training and hand hygiene monitoring recommendations remained. Most participants reported rarely attending IPC meetings or participating in IPC action planning although attitudes shifted towards stronger agreement with the feeling of IPC responsibility and importance of an IPC team. A reocurring theme in plenary discussions was related to limited resources as a barrier to IPC implementation, namely lack of reliable water access. However, participants recognised the importance of IPC improvement efforts such as practical IPC training methods or the use of data to improve quality of care. The facilities’ IPCAF scores reflected a ‘basic/intermediate’ IPC implementation level. Conclusions: The training and mixed methods evaluation revealed initial IPC implementation experiences that could be used to inform stepwise approaches to facility IPC improvement in resource-limited settings. Implementation strategies should consider both global standards such as the WHO IPC CCs and specific local contexts. The early involvement of all relevant stakeholders and parallel efforts to advocate for sufficient resources and health system infrastructure are critical.","author":[{"dropping-particle":"","family":"Wood","given":"R.","non-dropping-particle":"","parse-names":false,"suffix":""},{"dropping-particle":"","family":"Tembele","given":"W.","non-dropping-particle":"","parse-names":false,"suffix":""},{"dropping-particle":"","family":"Hema","given":"A.","non-dropping-particle":"","parse-names":false,"suffix":""},{"dropping-particle":"","family":"Somé","given":"A.","non-dropping-particle":"","parse-names":false,"suffix":""},{"dropping-particle":"","family":"Kinganda-Lusamaki","given":"E.","non-dropping-particle":"","parse-names":false,"suffix":""},{"dropping-particle":"","family":"Basilubo","given":"C.","non-dropping-particle":"","parse-names":false,"suffix":""},{"dropping-particle":"","family":"Lumembe","given":"R.","non-dropping-particle":"","parse-names":false,"suffix":""},{"dropping-particle":"","family":"Alama","given":"N.","non-dropping-particle":"","parse-names":false,"suffix":""},{"dropping-particle":"","family":"Mbunsu","given":"G.","non-dropping-particle":"","parse-names":false,"suffix":""},{"dropping-particle":"","family":"Zongo","given":"A.","non-dropping-particle":"","parse-names":false,"suffix":""},{"dropping-particle":"","family":"Ahuka","given":"S.","non-dropping-particle":"","parse-names":false,"suffix":""},{"dropping-particle":"","family":"Muyembe","given":"J. J.","non-dropping-particle":"","parse-names":false,"suffix":""},{"dropping-particle":"","family":"Leendertz","given":"F.","non-dropping-particle":"","parse-names":false,"suffix":""},{"dropping-particle":"","family":"Eckmanns","given":"T.","non-dropping-particle":"","parse-names":false,"suffix":""},{"dropping-particle":"","family":"Schubert","given":"G.","non-dropping-particle":"","parse-names":false,"suffix":""},{"dropping-particle":"","family":"Kagoné","given":"T.","non-dropping-particle":"","parse-names":false,"suffix":""},{"dropping-particle":"","family":"Makiala","given":"S.","non-dropping-particle":"","parse-names":false,"suffix":""},{"dropping-particle":"","family":"Tomczyk","given":"S.","non-dropping-particle":"","parse-names":false,"suffix":""}],"container-title":"Antimicrobial Resistance and Infection Control","id":"ITEM-1","issue":"1","issued":{"date-parts":[["2024","12","1"]]},"page":"4","publisher":"BioMed Central Ltd","title":"Implementation of the WHO core components of an infection prevention and control programme in two sub-Saharan African acute health-care facilities: a mixed methods study","type":"article-journal","volume":"13"},"uris":["http://www.mendeley.com/documents/?uuid=9259b542-e689-3b8e-b204-e38787758396"]}],"mendeley":{"formattedCitation":"[68]","plainTextFormattedCitation":"[68]","previouslyFormattedCitation":"[68]"},"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[68]</w:t>
      </w:r>
      <w:r w:rsidRPr="003F4633">
        <w:rPr>
          <w:rFonts w:eastAsia="Times New Roman" w:cs="Times New Roman"/>
          <w:szCs w:val="24"/>
          <w:lang w:val="en"/>
        </w:rPr>
        <w:fldChar w:fldCharType="end"/>
      </w:r>
      <w:r w:rsidRPr="003F4633">
        <w:rPr>
          <w:rFonts w:eastAsia="Times New Roman" w:cs="Times New Roman"/>
          <w:szCs w:val="24"/>
          <w:lang w:val="en" w:bidi="en-US"/>
        </w:rPr>
        <w:t>.</w:t>
      </w:r>
      <w:r w:rsidRPr="003F4633">
        <w:rPr>
          <w:rFonts w:eastAsia="Times New Roman" w:cs="Times New Roman"/>
          <w:szCs w:val="24"/>
        </w:rPr>
        <w:t xml:space="preserve"> </w:t>
      </w:r>
      <w:r w:rsidRPr="003F4633">
        <w:rPr>
          <w:rFonts w:eastAsia="Times New Roman" w:cs="Times New Roman"/>
          <w:szCs w:val="24"/>
          <w:lang w:val="en" w:bidi="en-US"/>
        </w:rPr>
        <w:t>The difference could be due to the fact that in Zambia, IPC program guidelines scored well because they were instigated but the Zambian program had not implemented HAI surveillance. However, our findings guide future activities in this area in Zambia.</w:t>
      </w:r>
    </w:p>
    <w:p w14:paraId="7E1967B5" w14:textId="56BD8697" w:rsidR="003F4633" w:rsidRPr="003F4633" w:rsidRDefault="003F4633" w:rsidP="003F4633">
      <w:pPr>
        <w:spacing w:before="0" w:line="360" w:lineRule="auto"/>
        <w:jc w:val="both"/>
        <w:rPr>
          <w:rFonts w:eastAsia="Times New Roman" w:cs="Times New Roman"/>
          <w:szCs w:val="24"/>
          <w:lang w:val="en" w:bidi="en-US"/>
        </w:rPr>
      </w:pPr>
      <w:r w:rsidRPr="003F4633">
        <w:rPr>
          <w:rFonts w:eastAsia="Times New Roman" w:cs="Times New Roman"/>
          <w:szCs w:val="24"/>
          <w:lang w:val="en" w:bidi="en-US"/>
        </w:rPr>
        <w:t xml:space="preserve">In our study, the lowest IPCAF scores were in workload, staffing, bed occupancy, built environment and equipment, and IPC education and training, which may reflect systemic issues within the Zambian healthcare system and limitations in infrastructure planning. Low scores in workload staffing and bed occupancy have also been reported in other LMICs, including the DRC and Malawi </w:t>
      </w:r>
      <w:r w:rsidRPr="003F4633">
        <w:rPr>
          <w:rFonts w:eastAsia="Times New Roman" w:cs="Times New Roman"/>
          <w:szCs w:val="24"/>
          <w:lang w:val="en" w:bidi="en-US"/>
        </w:rPr>
        <w:fldChar w:fldCharType="begin" w:fldLock="1"/>
      </w:r>
      <w:r w:rsidR="005E406D">
        <w:rPr>
          <w:rFonts w:eastAsia="Times New Roman" w:cs="Times New Roman"/>
          <w:szCs w:val="24"/>
          <w:lang w:val="en" w:bidi="en-US"/>
        </w:rPr>
        <w:instrText>ADDIN CSL_CITATION {"citationItems":[{"id":"ITEM-1","itemData":{"DOI":"10.1186/s13756-023-01358-1","ISSN":"20472994","PMID":"38221629","abstract":"Background: The coronavirus pandemic again highlighted the need for robust health care facility infection prevention and control (IPC) programmes. WHO guidelines on the core components (CCs) of IPC programmes provides guidance for facilities, but their implementation can be difficult to achieve in resource-limited settings. We aimed to gather evidence on an initial WHO IPC implementation experience using a mixed methods approach. Methods: A five-day training on the WHO IPC CCs was conducted at two reference acute health care facilities in the Democratic Republic of Congo and Burkina Faso. This was accompanied by a three-part mixed-methods evaluation consisting of a: (1) baseline and follow-up survey of participants’ knowledge, attitudes and practices (KAP), (2) qualitative assessment of plenary discussion transcripts and (3) deployment of the WHO IPC assessment framework (IPCAF) tool. Results were analysed descriptively and with a qualitative inductive thematic approach. Results: Twenty-two and twenty-four participants were trained at each facility, respectively. Baseline and follow-up KAP results suggested increases in knowledge related to the necessity of a dedicated IPC focal person and annual evaluations of IPC training although lack of recognition on the importance of including hospital leadership in IPC training and hand hygiene monitoring recommendations remained. Most participants reported rarely attending IPC meetings or participating in IPC action planning although attitudes shifted towards stronger agreement with the feeling of IPC responsibility and importance of an IPC team. A reocurring theme in plenary discussions was related to limited resources as a barrier to IPC implementation, namely lack of reliable water access. However, participants recognised the importance of IPC improvement efforts such as practical IPC training methods or the use of data to improve quality of care. The facilities’ IPCAF scores reflected a ‘basic/intermediate’ IPC implementation level. Conclusions: The training and mixed methods evaluation revealed initial IPC implementation experiences that could be used to inform stepwise approaches to facility IPC improvement in resource-limited settings. Implementation strategies should consider both global standards such as the WHO IPC CCs and specific local contexts. The early involvement of all relevant stakeholders and parallel efforts to advocate for sufficient resources and health system infrastructure are critical.","author":[{"dropping-particle":"","family":"Wood","given":"R.","non-dropping-particle":"","parse-names":false,"suffix":""},{"dropping-particle":"","family":"Tembele","given":"W.","non-dropping-particle":"","parse-names":false,"suffix":""},{"dropping-particle":"","family":"Hema","given":"A.","non-dropping-particle":"","parse-names":false,"suffix":""},{"dropping-particle":"","family":"Somé","given":"A.","non-dropping-particle":"","parse-names":false,"suffix":""},{"dropping-particle":"","family":"Kinganda-Lusamaki","given":"E.","non-dropping-particle":"","parse-names":false,"suffix":""},{"dropping-particle":"","family":"Basilubo","given":"C.","non-dropping-particle":"","parse-names":false,"suffix":""},{"dropping-particle":"","family":"Lumembe","given":"R.","non-dropping-particle":"","parse-names":false,"suffix":""},{"dropping-particle":"","family":"Alama","given":"N.","non-dropping-particle":"","parse-names":false,"suffix":""},{"dropping-particle":"","family":"Mbunsu","given":"G.","non-dropping-particle":"","parse-names":false,"suffix":""},{"dropping-particle":"","family":"Zongo","given":"A.","non-dropping-particle":"","parse-names":false,"suffix":""},{"dropping-particle":"","family":"Ahuka","given":"S.","non-dropping-particle":"","parse-names":false,"suffix":""},{"dropping-particle":"","family":"Muyembe","given":"J. J.","non-dropping-particle":"","parse-names":false,"suffix":""},{"dropping-particle":"","family":"Leendertz","given":"F.","non-dropping-particle":"","parse-names":false,"suffix":""},{"dropping-particle":"","family":"Eckmanns","given":"T.","non-dropping-particle":"","parse-names":false,"suffix":""},{"dropping-particle":"","family":"Schubert","given":"G.","non-dropping-particle":"","parse-names":false,"suffix":""},{"dropping-particle":"","family":"Kagoné","given":"T.","non-dropping-particle":"","parse-names":false,"suffix":""},{"dropping-particle":"","family":"Makiala","given":"S.","non-dropping-particle":"","parse-names":false,"suffix":""},{"dropping-particle":"","family":"Tomczyk","given":"S.","non-dropping-particle":"","parse-names":false,"suffix":""}],"container-title":"Antimicrobial Resistance and Infection Control","id":"ITEM-1","issue":"1","issued":{"date-parts":[["2024","12","1"]]},"page":"4","publisher":"BioMed Central Ltd","title":"Implementation of the WHO core components of an infection prevention and control programme in two sub-Saharan African acute health-care facilities: a mixed methods study","type":"article-journal","volume":"13"},"uris":["http://www.mendeley.com/documents/?uuid=9259b542-e689-3b8e-b204-e38787758396"]},{"id":"ITEM-2","itemData":{"DOI":"10.1016/j.infpip.2024.100388","ISSN":"25900889","abstract":"Background: Infection prevention and control (IPC) is important for the reduction of healthcare-associated infections (HAI). The World Health Organization (WHO) developed the IPC Assessment Framework (IPCAF) tool to assess the level of IPC implementation and to identify areas for improvement in healthcare facilities. Methods: A cross -sectional survey was conducted using the WHO IPCAF tool from May to June 2023. The aim was to provide a baseline assessment of the IPC programme and activities within health care facilities in Malawi. Forty healthcare facilities were invited to participate. IPC teams were requested to complete the IPCAF and return the scores. The IPCAF tool scores were assessed as recommended in the WHO IPCAF tool. Results: The response rate was 82.5%. The median IPCAF score was 445 out of 800 corresponding to an intermediate IPC implementation level. The results revealed that 66.7% facilities were at intermediate level, 26.4% at basic level, and 6.9% at advanced level. Most facilities (76%) had an IPC program in place with clear objectives and an IPC focal person. Few had a dedicated budget for IPC. The IPCAF domain “monitoring/audit of IPC practices and feedback” had the lowest median score of 15/100, and in 90% of facilities, no monitoring, audit, and feedback was done. HAI surveillance median score was 40/100, workload, staffing and bed occupancy median score was 45/100. Conclusions: Whilst there has been some degree of implementation of WHO IPC guidelines in Malawi's healthcare system, there is significant room for improvement. The IPCAF tool revealed that monitoring/audit and feedback, HAI surveillance and workload, staffing and bed occupancy need to be strengthened. The IPCAF scoring system may need reconsidering given the centrality of these domains to IPC.","author":[{"dropping-particle":"","family":"Ng'ambi","given":"Dorica","non-dropping-particle":"","parse-names":false,"suffix":""},{"dropping-particle":"","family":"O'Byrne","given":"Thomasena","non-dropping-particle":"","parse-names":false,"suffix":""},{"dropping-particle":"","family":"Jingini","given":"Emmie","non-dropping-particle":"","parse-names":false,"suffix":""},{"dropping-particle":"","family":"Chadwala","given":"Hope","non-dropping-particle":"","parse-names":false,"suffix":""},{"dropping-particle":"","family":"Musopole","given":"Owen","non-dropping-particle":"","parse-names":false,"suffix":""},{"dropping-particle":"","family":"Kamchedzera","given":"Wala","non-dropping-particle":"","parse-names":false,"suffix":""},{"dropping-particle":"","family":"Tancred","given":"Tara","non-dropping-particle":"","parse-names":false,"suffix":""},{"dropping-particle":"","family":"Feasey","given":"Nicholas","non-dropping-particle":"","parse-names":false,"suffix":""}],"container-title":"Infection Prevention in Practice","id":"ITEM-2","issue":"4","issued":{"date-parts":[["2024","12","1"]]},"page":"100388","publisher":"Elsevier","title":"An assessment of infection prevention and control implementation in Malawian hospitals using the WHO Infection Prevention and Control Assessment Framework (IPCAF) tool","type":"article-journal","volume":"6"},"uris":["http://www.mendeley.com/documents/?uuid=5d0bfc10-c722-34f0-88bd-6182247493f9"]}],"mendeley":{"formattedCitation":"[62,68]","plainTextFormattedCitation":"[62,68]","previouslyFormattedCitation":"[62,68]"},"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[62,68]</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In Zambia, staffing, workload, and bed occupancy scored 60% better than the 45% reported in Malawi </w:t>
      </w:r>
      <w:r w:rsidRPr="003F4633">
        <w:rPr>
          <w:rFonts w:eastAsia="Times New Roman" w:cs="Times New Roman"/>
          <w:szCs w:val="24"/>
          <w:lang w:val="en" w:bidi="en-US"/>
        </w:rPr>
        <w:fldChar w:fldCharType="begin" w:fldLock="1"/>
      </w:r>
      <w:r w:rsidR="005E406D">
        <w:rPr>
          <w:rFonts w:eastAsia="Times New Roman" w:cs="Times New Roman"/>
          <w:szCs w:val="24"/>
          <w:lang w:val="en" w:bidi="en-US"/>
        </w:rPr>
        <w:instrText>ADDIN CSL_CITATION {"citationItems":[{"id":"ITEM-1","itemData":{"DOI":"10.1016/j.infpip.2024.100388","ISSN":"25900889","abstract":"Background: Infection prevention and control (IPC) is important for the reduction of healthcare-associated infections (HAI). The World Health Organization (WHO) developed the IPC Assessment Framework (IPCAF) tool to assess the level of IPC implementation and to identify areas for improvement in healthcare facilities. Methods: A cross -sectional survey was conducted using the WHO IPCAF tool from May to June 2023. The aim was to provide a baseline assessment of the IPC programme and activities within health care facilities in Malawi. Forty healthcare facilities were invited to participate. IPC teams were requested to complete the IPCAF and return the scores. The IPCAF tool scores were assessed as recommended in the WHO IPCAF tool. Results: The response rate was 82.5%. The median IPCAF score was 445 out of 800 corresponding to an intermediate IPC implementation level. The results revealed that 66.7% facilities were at intermediate level, 26.4% at basic level, and 6.9% at advanced level. Most facilities (76%) had an IPC program in place with clear objectives and an IPC focal person. Few had a dedicated budget for IPC. The IPCAF domain “monitoring/audit of IPC practices and feedback” had the lowest median score of 15/100, and in 90% of facilities, no monitoring, audit, and feedback was done. HAI surveillance median score was 40/100, workload, staffing and bed occupancy median score was 45/100. Conclusions: Whilst there has been some degree of implementation of WHO IPC guidelines in Malawi's healthcare system, there is significant room for improvement. The IPCAF tool revealed that monitoring/audit and feedback, HAI surveillance and workload, staffing and bed occupancy need to be strengthened. The IPCAF scoring system may need reconsidering given the centrality of these domains to IPC.","author":[{"dropping-particle":"","family":"Ng'ambi","given":"Dorica","non-dropping-particle":"","parse-names":false,"suffix":""},{"dropping-particle":"","family":"O'Byrne","given":"Thomasena","non-dropping-particle":"","parse-names":false,"suffix":""},{"dropping-particle":"","family":"Jingini","given":"Emmie","non-dropping-particle":"","parse-names":false,"suffix":""},{"dropping-particle":"","family":"Chadwala","given":"Hope","non-dropping-particle":"","parse-names":false,"suffix":""},{"dropping-particle":"","family":"Musopole","given":"Owen","non-dropping-particle":"","parse-names":false,"suffix":""},{"dropping-particle":"","family":"Kamchedzera","given":"Wala","non-dropping-particle":"","parse-names":false,"suffix":""},{"dropping-particle":"","family":"Tancred","given":"Tara","non-dropping-particle":"","parse-names":false,"suffix":""},{"dropping-particle":"","family":"Feasey","given":"Nicholas","non-dropping-particle":"","parse-names":false,"suffix":""}],"container-title":"Infection Prevention in Practice","id":"ITEM-1","issue":"4","issued":{"date-parts":[["2024","12","1"]]},"page":"100388","publisher":"Elsevier","title":"An assessment of infection prevention and control implementation in Malawian hospitals using the WHO Infection Prevention and Control Assessment Framework (IPCAF) tool","type":"article-journal","volume":"6"},"uris":["http://www.mendeley.com/documents/?uuid=5d0bfc10-c722-34f0-88bd-6182247493f9"]}],"mendeley":{"formattedCitation":"[62]","plainTextFormattedCitation":"[62]","previouslyFormattedCitation":"[62]"},"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[62]</w:t>
      </w:r>
      <w:r w:rsidRPr="003F4633">
        <w:rPr>
          <w:rFonts w:eastAsia="Times New Roman" w:cs="Times New Roman"/>
          <w:szCs w:val="24"/>
          <w:lang w:val="en"/>
        </w:rPr>
        <w:fldChar w:fldCharType="end"/>
      </w:r>
      <w:r w:rsidRPr="003F4633">
        <w:rPr>
          <w:rFonts w:eastAsia="Times New Roman" w:cs="Times New Roman"/>
          <w:szCs w:val="24"/>
          <w:lang w:val="en" w:bidi="en-US"/>
        </w:rPr>
        <w:t>.</w:t>
      </w:r>
      <w:r w:rsidRPr="003F4633">
        <w:rPr>
          <w:rFonts w:eastAsia="Times New Roman" w:cs="Times New Roman"/>
          <w:b/>
          <w:szCs w:val="24"/>
          <w:lang w:val="en" w:bidi="en-US"/>
        </w:rPr>
        <w:t xml:space="preserve"> </w:t>
      </w:r>
      <w:r w:rsidRPr="003F4633">
        <w:rPr>
          <w:rFonts w:eastAsia="Times New Roman" w:cs="Times New Roman"/>
          <w:szCs w:val="24"/>
          <w:lang w:val="en" w:bidi="en-US"/>
        </w:rPr>
        <w:t xml:space="preserve">Studies in Latin America, Germany, and Turkey also found low scores in workload, staffing and bed occupancy, followed by IPC training and multimodal strategies </w:t>
      </w:r>
      <w:r w:rsidRPr="003F4633">
        <w:rPr>
          <w:rFonts w:eastAsia="Times New Roman" w:cs="Times New Roman"/>
          <w:szCs w:val="24"/>
          <w:lang w:val="en" w:bidi="en-US"/>
        </w:rPr>
        <w:fldChar w:fldCharType="begin" w:fldLock="1"/>
      </w:r>
      <w:r w:rsidR="00EE7503">
        <w:rPr>
          <w:rFonts w:eastAsia="Times New Roman" w:cs="Times New Roman"/>
          <w:szCs w:val="24"/>
          <w:lang w:val="en" w:bidi="en-US"/>
        </w:rPr>
        <w:instrText>ADDIN CSL_CITATION {"citationItems":[{"id":"ITEM-1","itemData":{"DOI":"10.1186/s13756-024-01484-4","ISSN":"20472994","PMID":"39491033","abstract":"BACKGROUND: Infection prevention and control (IPC) programs are essential to prevent and control the spread of multidrug-resistant organisms in healthcare facilities (HCFs). The current implementation of these programs in Latin America remains largely unknown. METHODS: We conducted a mixed-methods evaluation of IPC program implementation in HCFs from Guatemala, Panama, Ecuador, and Argentina, March-July 2022. We used the World Health Organization (WHO) IPC Assessment Framework (IPCAF) survey, a previously validated structured questionnaire with an associated scoring system that evaluates the eight core components of IPC (IPC program; IPC guidelines; IPC education and training; healthcare-associated infection [HAI] surveillance; multimodal strategies; monitoring and audit of IPC practices and feedback; workload, staffing, and bed occupancy; and the built environment and materials and equipment for IPC). Each section generates a score 0-100. According to the final score, the HCF IPC program implementation is categorized into four levels: inadequate (0-200), basic (201-400), intermediate (401-600), or advanced (601-800). Additionally, we conducted semi-structured interviews among IPC personnel and microbiologists using the Systems Engineering Initiative for Patient Safety model to evaluate barriers and facilitators for IPC program implementation. We performed directed content analysis of interview transcripts to identify themes that focused on barriers and facilitators of IPC program implementation which are summarized descriptively. RESULTS: Thirty-seven HCFs (15 for-profit and 22 non-profit) completed the IPCAF survey. The overall median score was 614 (IQR 569, 693) which corresponded to an \"advanced\" level of IPC implementation (32% [7/22] non-profit vs. 93% [14/15] for-profit HCFs in this category). The lowest scores were in workload, staffing and bed occupancy followed by IPC training and multimodal strategies. Forty individuals from 16 HCFs were interviewed. They perceived inadequate staffing and technical resources, limited leadership support, and cultural determinants as major barriers to effective IPC guideline implementation, while external accreditation and technical support from public health authorities were perceived as facilitators. CONCLUSIONS: Efforts to strengthen IPC activities in Latin American HCFs should focus on improving support from hospital leadership and public health authorities to ensure better resource allocation, promoting sa…","author":[{"dropping-particle":"","family":"Fabre","given":"Valeria","non-dropping-particle":"","parse-names":false,"suffix":""},{"dropping-particle":"","family":"Secaira","given":"Clara","non-dropping-particle":"","parse-names":false,"suffix":""},{"dropping-particle":"","family":"Herzig","given":"Carolyn","non-dropping-particle":"","parse-names":false,"suffix":""},{"dropping-particle":"","family":"Bancroft","given":"Elizabeth","non-dropping-particle":"","parse-names":false,"suffix":""},{"dropping-particle":"","family":"Bernachea","given":"Maria Paula","non-dropping-particle":"","parse-names":false,"suffix":""},{"dropping-particle":"","family":"Galarza","given":"Lucy Anchiraico","non-dropping-particle":"","parse-names":false,"suffix":""},{"dropping-particle":"","family":"Aquiles","given":"Bowen","non-dropping-particle":"","parse-names":false,"suffix":""},{"dropping-particle":"","family":"Arauz","given":"Ana Belén","non-dropping-particle":"","parse-names":false,"suffix":""},{"dropping-particle":"","family":"Bangher","given":"Maria Del Carmen","non-dropping-particle":"","parse-names":false,"suffix":""},{"dropping-particle":"","family":"Bernan","given":"Marisa Liliana","non-dropping-particle":"","parse-names":false,"suffix":""},{"dropping-particle":"","family":"Burokas","given":"Sol","non-dropping-particle":"","parse-names":false,"suffix":""},{"dropping-particle":"","family":"Canton","given":"Alfredo","non-dropping-particle":"","parse-names":false,"suffix":""},{"dropping-particle":"","family":"Cazali","given":"Iris L.","non-dropping-particle":"","parse-names":false,"suffix":""},{"dropping-particle":"","family":"Colque","given":"Angel","non-dropping-particle":"","parse-names":false,"suffix":""},{"dropping-particle":"","family":"Comas","given":"Marisabel","non-dropping-particle":"","parse-names":false,"suffix":""},{"dropping-particle":"","family":"Contreras","given":"Rosa Verónica","non-dropping-particle":"","parse-names":false,"suffix":""},{"dropping-particle":"","family":"Cornistein","given":"Wanda","non-dropping-particle":"","parse-names":false,"suffix":""},{"dropping-particle":"","family":"Cordoba","given":"Maria Gabriela","non-dropping-particle":"","parse-names":false,"suffix":""},{"dropping-particle":"","family":"Correa","given":"Silvia Mabel","non-dropping-particle":"","parse-names":false,"suffix":""},{"dropping-particle":"","family":"Campero","given":"Gustavo Costilla","non-dropping-particle":"","parse-names":false,"suffix":""},{"dropping-particle":"","family":"Chamorro Ayala","given":"Marta Isabel","non-dropping-particle":"","parse-names":false,"suffix":""},{"dropping-particle":"","family":"Chavez","given":"Nuria","non-dropping-particle":"","parse-names":false,"suffix":""},{"dropping-particle":"","family":"Ascencao","given":"Gabriela","non-dropping-particle":"De","parse-names":false,"suffix":""},{"dropping-particle":"","family":"García","given":"Carlos Cruz","non-dropping-particle":"","parse-names":false,"suffix":""},{"dropping-particle":"","family":"Esquivel","given":"Clara","non-dropping-particle":"","parse-names":false,"suffix":""},{"dropping-particle":"","family":"Ezcurra","given":"Cecilia","non-dropping-particle":"","parse-names":false,"suffix":""},{"dropping-particle":"","family":"Fabbro","given":"Leonardo","non-dropping-particle":"","parse-names":false,"suffix":""},{"dropping-particle":"","family":"Falleroni","given":"Leandro","non-dropping-particle":"","parse-names":false,"suffix":""},{"dropping-particle":"","family":"Fernandez","given":"Johana","non-dropping-particle":"","parse-names":false,"suffix":""},{"dropping-particle":"","family":"Ferrari","given":"Sandra","non-dropping-particle":"","parse-names":false,"suffix":""},{"dropping-particle":"","family":"Freire","given":"Veronica","non-dropping-particle":"","parse-names":false,"suffix":""},{"dropping-particle":"","family":"Garzón","given":"Maria Isabel","non-dropping-particle":"","parse-names":false,"suffix":""},{"dropping-particle":"","family":"Gonzales","given":"José Anel","non-dropping-particle":"","parse-names":false,"suffix":""},{"dropping-particle":"","family":"Guaymas","given":"Lucrecia","non-dropping-particle":"","parse-names":false,"suffix":""},{"dropping-particle":"","family":"Guerrero-Toapanta","given":"Fausto","non-dropping-particle":"","parse-names":false,"suffix":""},{"dropping-particle":"","family":"Laplume","given":"Diego","non-dropping-particle":"","parse-names":false,"suffix":""},{"dropping-particle":"","family":"Lambert","given":"Sandra","non-dropping-particle":"","parse-names":false,"suffix":""},{"dropping-particle":"","family":"Lemir","given":"César Guillermo","non-dropping-particle":"","parse-names":false,"suffix":""},{"dropping-particle":"","family":"Lazarte","given":"Paola Romina","non-dropping-particle":"","parse-names":false,"suffix":""},{"dropping-particle":"","family":"Lopez","given":"Itzel L.","non-dropping-particle":"","parse-names":false,"suffix":""},{"dropping-particle":"","family":"Maldonado","given":"Herberth","non-dropping-particle":"","parse-names":false,"suffix":""},{"dropping-particle":"","family":"Martínez","given":"Guadalupe","non-dropping-particle":"","parse-names":false,"suffix":""},{"dropping-particle":"","family":"Maurizi","given":"Diego M.","non-dropping-particle":"","parse-names":false,"suffix":""},{"dropping-particle":"","family":"Mesplet","given":"Florencia","non-dropping-particle":"","parse-names":false,"suffix":""},{"dropping-particle":"","family":"Moreno Izquierdo","given":"Cristina","non-dropping-particle":"","parse-names":false,"suffix":""},{"dropping-particle":"","family":"Moya","given":"Gabriela Luciana","non-dropping-particle":"","parse-names":false,"suffix":""},{"dropping-particle":"","family":"Nájera","given":"Mariela","non-dropping-particle":"","parse-names":false,"suffix":""},{"dropping-particle":"","family":"Nuccetelli","given":"Yanina","non-dropping-particle":"","parse-names":false,"suffix":""},{"dropping-particle":"","family":"Olmedo","given":"Argelis","non-dropping-particle":"","parse-names":false,"suffix":""},{"dropping-particle":"","family":"Palacio","given":"Belén","non-dropping-particle":"","parse-names":false,"suffix":""},{"dropping-particle":"","family":"Pellice","given":"Florencia","non-dropping-particle":"","parse-names":false,"suffix":""},{"dropping-particle":"","family":"Raffo","given":"Carla Lorena","non-dropping-particle":"","parse-names":false,"suffix":""},{"dropping-particle":"","family":"Ramos","given":"Carolina","non-dropping-particle":"","parse-names":false,"suffix":""},{"dropping-particle":"","family":"Reino","given":"Fanny","non-dropping-particle":"","parse-names":false,"suffix":""},{"dropping-particle":"","family":"Rodriguez","given":"Viviana","non-dropping-particle":"","parse-names":false,"suffix":""},{"dropping-particle":"","family":"Romero","given":"Federico","non-dropping-particle":"","parse-names":false,"suffix":""},{"dropping-particle":"","family":"Romero","given":"Juan José","non-dropping-particle":"","parse-names":false,"suffix":""},{"dropping-particle":"","family":"Sadino","given":"Graciela","non-dropping-particle":"","parse-names":false,"suffix":""},{"dropping-particle":"","family":"Sandoval","given":"Nancy","non-dropping-particle":"","parse-names":false,"suffix":""},{"dropping-particle":"","family":"Suarez","given":"Mariana","non-dropping-particle":"","parse-names":false,"suffix":""},{"dropping-particle":"","family":"Suayter","given":"Maria Victoria","non-dropping-particle":"","parse-names":false,"suffix":""},{"dropping-particle":"","family":"Ureña","given":"Maria Alejandra","non-dropping-particle":"","parse-names":false,"suffix":""},{"dropping-particle":"","family":"Valle","given":"Marisol","non-dropping-particle":"","parse-names":false,"suffix":""},{"dropping-particle":"","family":"Vence Reyes","given":"Ligia","non-dropping-particle":"","parse-names":false,"suffix":""},{"dropping-particle":"","family":"Perez","given":"Silvia Vera Amate","non-dropping-particle":"","parse-names":false,"suffix":""},{"dropping-particle":"","family":"Videla","given":"Hugo","non-dropping-particle":"","parse-names":false,"suffix":""},{"dropping-particle":"","family":"Villamandos","given":"Silvina","non-dropping-particle":"","parse-names":false,"suffix":""},{"dropping-particle":"","family":"Villarreal","given":"Olmedo","non-dropping-particle":"","parse-names":false,"suffix":""},{"dropping-particle":"","family":"Viteri","given":"Maria Alejandra","non-dropping-particle":"","parse-names":false,"suffix":""},{"dropping-particle":"","family":"Warley","given":"Eduardo","non-dropping-particle":"","parse-names":false,"suffix":""},{"dropping-particle":"","family":"Quiros","given":"Rodolfo E.","non-dropping-particle":"","parse-names":false,"suffix":""}],"container-title":"Antimicrobial resistance and infection control","id":"ITEM-1","issue":"1","issued":{"date-parts":[["2024","12","1"]]},"page":"132","publisher":"BioMed Central","title":"Contextual barriers to infection prevention and control program implementation in hospitals in Latin America: a mixed methods evaluation","type":"article-journal","volume":"13"},"uris":["http://www.mendeley.com/documents/?uuid=d79cfdf0-466f-311e-95a2-da7e4ebbe8f8"]},{"id":"ITEM-2","itemData":{"DOI":"10.1186/s13756-023-01208-0","ISSN":"20472994","PMID":"36782267","abstract":"Background: The core components (CCs) of infection prevention and control (IPC) from World Health Organization (WHO) are crucial for the safety and quality of health care. Our objective was to examine the level of implementation of WHO infection prevention and control core components (IPC CC) in a developing country. We also aimed to evaluate health care-associated infections (HAIs) and antimicrobial resistance (AMR) in intensive care units (ICUs) in association with implemented IPC CCs. Methods: Members of the Turkish Infectious Diseases and Clinical Microbiology Specialization Association (EKMUD) were invited to the study via e-mail. Volunteer members of any healt care facilities (HCFs) participated in the study. The investigating doctor of each HCF filled out a questionnaire to collect data on IPC implementations, including the Infection Prevention and Control Assessment Framework (IPCAF) and HAIs/AMR in ICUs in 2021. Results: A total of 68 HCFs from seven regions in Türkiye and the Turkish Republic of Northern Cyprus participated while 85% of these were tertiary care hospitals. Fifty (73.5%) HCFs had advanced IPC level, whereas 16 (23.5%) of the 68 hospitals had intermediate IPC levels. The hospitals’ median (IQR) IPCAF score was 668.8 (125.0) points. Workload, staffing and occupancy (CC7; median 70 points) and multimodal strategies (CC5; median 75 points) had the lowest scores. The limited number of nurses were the most important problems. Hospitals with a bed capacity of &gt; 1000 beds had higher rates of HAIs. Certified IPC specialists, frequent feedback, and enough nurses reduced HAIs. The most common HAIs were central line-associated blood stream infections. Most HAIs were caused by gram negative bacteria, which have a high AMR. Conclusions: Most HCFs had an advanced level of IPC implementation, for which staffing was an important driver. To further improve care quality and ensure everyone has access to safe care, it is a key element to have enough staff, the availability of certified IPC specialists, and frequent feedback. Although there is a significant decrease in HAI rates compared to previous years, HAI rates are still high and AMR is an important problem. Increasing nurses and reducing workload can prevent HAIs and AMR. Nationwide “Antibiotic Stewardship Programme” should be initiated.","author":[{"dropping-particle":"","family":"Azak","given":"Emel","non-dropping-particle":"","parse-names":false,"suffix":""},{"dropping-particle":"","family":"Sertcelik","given":"Ahmet","non-dropping-particle":"","parse-names":false,"suffix":""},{"dropping-particle":"","family":"Ersoz","given":"Gulden","non-dropping-particle":"","parse-names":false,"suffix":""},{"dropping-particle":"","family":"Celebi","given":"Guven","non-dropping-particle":"","parse-names":false,"suffix":""},{"dropping-particle":"","family":"Eser","given":"Fatma","non-dropping-particle":"","parse-names":false,"suffix":""},{"dropping-particle":"","family":"Batirel","given":"Ayse","non-dropping-particle":"","parse-names":false,"suffix":""},{"dropping-particle":"","family":"Cag","given":"Yasemin","non-dropping-particle":"","parse-names":false,"suffix":""},{"dropping-particle":"","family":"Ture","given":"Zeynep","non-dropping-particle":"","parse-names":false,"suffix":""},{"dropping-particle":"","family":"Ozturk Engin","given":"Derya","non-dropping-particle":"","parse-names":false,"suffix":""},{"dropping-particle":"","family":"Yetkin","given":"Meltem Arzu","non-dropping-particle":"","parse-names":false,"suffix":""},{"dropping-particle":"","family":"Kaygusuz","given":"Sedat","non-dropping-particle":"","parse-names":false,"suffix":""},{"dropping-particle":"","family":"Candevir","given":"Aslıhan","non-dropping-particle":"","parse-names":false,"suffix":""},{"dropping-particle":"","family":"Tartari","given":"Ermira","non-dropping-particle":"","parse-names":false,"suffix":""},{"dropping-particle":"","family":"Rello","given":"Jordi","non-dropping-particle":"","parse-names":false,"suffix":""},{"dropping-particle":"","family":"Alp","given":"Emine","non-dropping-particle":"","parse-names":false,"suffix":""},{"dropping-particle":"","family":"Alpay","given":"Ali Seydi","non-dropping-particle":"","parse-names":false,"suffix":""},{"dropping-particle":"","family":"Altuncekic Yildirim","given":"Arzu","non-dropping-particle":"","parse-names":false,"suffix":""},{"dropping-particle":"","family":"Vatan","given":"Asli","non-dropping-particle":"","parse-names":false,"suffix":""},{"dropping-particle":"","family":"Yahsi","given":"Aysun","non-dropping-particle":"","parse-names":false,"suffix":""},{"dropping-particle":"","family":"Kaya Kalem","given":"Ayse","non-dropping-particle":"","parse-names":false,"suffix":""},{"dropping-particle":"","family":"Sagmak Tartar","given":"Ayse","non-dropping-particle":"","parse-names":false,"suffix":""},{"dropping-particle":"","family":"Tuna","given":"Aysegul","non-dropping-particle":"","parse-names":false,"suffix":""},{"dropping-particle":"","family":"Karaca","given":"Banu","non-dropping-particle":"","parse-names":false,"suffix":""},{"dropping-particle":"","family":"Coskun","given":"Belgin","non-dropping-particle":"","parse-names":false,"suffix":""},{"dropping-particle":"","family":"Gonulal","given":"Burcu","non-dropping-particle":"","parse-names":false,"suffix":""},{"dropping-particle":"","family":"Demir","given":"Canan","non-dropping-particle":"","parse-names":false,"suffix":""},{"dropping-particle":"","family":"Ipek","given":"Davut","non-dropping-particle":"","parse-names":false,"suffix":""},{"dropping-particle":"","family":"Tepe","given":"Dilsat","non-dropping-particle":"","parse-names":false,"suffix":""},{"dropping-particle":"","family":"Mıstanoglu Ozatag","given":"Duru","non-dropping-particle":"","parse-names":false,"suffix":""},{"dropping-particle":"","family":"Sezer","given":"Edanur","non-dropping-particle":"","parse-names":false,"suffix":""},{"dropping-particle":"","family":"Sehmen","given":"Emine","non-dropping-particle":"","parse-names":false,"suffix":""},{"dropping-particle":"","family":"Unal Evren","given":"Emine","non-dropping-particle":"","parse-names":false,"suffix":""},{"dropping-particle":"","family":"Aydın","given":"Emsal","non-dropping-particle":"","parse-names":false,"suffix":""},{"dropping-particle":"","family":"Guclu","given":"Ertugrul","non-dropping-particle":"","parse-names":false,"suffix":""},{"dropping-particle":"","family":"Eryilmaz Eren","given":"Esma","non-dropping-particle":"","parse-names":false,"suffix":""},{"dropping-particle":"","family":"Mutlu Yilmaz","given":"Esmeray","non-dropping-particle":"","parse-names":false,"suffix":""},{"dropping-particle":"","family":"Yilmaz Karadag","given":"Fatma","non-dropping-particle":"","parse-names":false,"suffix":""},{"dropping-particle":"","family":"Kerget","given":"Ferhan","non-dropping-particle":"","parse-names":false,"suffix":""},{"dropping-particle":"","family":"Surucu Bayar","given":"Filiz","non-dropping-particle":"","parse-names":false,"suffix":""},{"dropping-particle":"","family":"Kalin Unuvar","given":"Gamze","non-dropping-particle":"","parse-names":false,"suffix":""},{"dropping-particle":"","family":"Eser Karlidag","given":"Gulden","non-dropping-particle":"","parse-names":false,"suffix":""},{"dropping-particle":"","family":"Akengin Ocal","given":"Gulfem","non-dropping-particle":"","parse-names":false,"suffix":""},{"dropping-particle":"","family":"Kul","given":"Gulnur","non-dropping-particle":"","parse-names":false,"suffix":""},{"dropping-particle":"","family":"Senol","given":"Gunes","non-dropping-particle":"","parse-names":false,"suffix":""},{"dropping-particle":"","family":"Yilmaz","given":"Gurdal","non-dropping-particle":"","parse-names":false,"suffix":""},{"dropping-particle":"","family":"Erdogan","given":"Haluk","non-dropping-particle":"","parse-names":false,"suffix":""},{"dropping-particle":"","family":"Alay","given":"Handan","non-dropping-particle":"","parse-names":false,"suffix":""},{"dropping-particle":"","family":"Arslan","given":"Hande","non-dropping-particle":"","parse-names":false,"suffix":""},{"dropping-particle":"","family":"Kahraman","given":"Hasip","non-dropping-particle":"","parse-names":false,"suffix":""},{"dropping-particle":"","family":"Ozturk Cerik","given":"Hatun","non-dropping-particle":"","parse-names":false,"suffix":""},{"dropping-particle":"","family":"Caskurlu","given":"Hulya","non-dropping-particle":"","parse-names":false,"suffix":""},{"dropping-particle":"","family":"Erdem","given":"Ilknur","non-dropping-particle":"","parse-names":false,"suffix":""},{"dropping-particle":"","family":"Esen Yildiz","given":"Ilknur","non-dropping-particle":"","parse-names":false,"suffix":""},{"dropping-particle":"","family":"Serefhanoglu","given":"Kivanc","non-dropping-particle":"","parse-names":false,"suffix":""},{"dropping-particle":"","family":"Demir Onder","given":"Kubra","non-dropping-particle":"","parse-names":false,"suffix":""},{"dropping-particle":"","family":"Altunal","given":"Lutfiye Nilsun","non-dropping-particle":"","parse-names":false,"suffix":""},{"dropping-particle":"","family":"Celik","given":"Mehmet","non-dropping-particle":"","parse-names":false,"suffix":""},{"dropping-particle":"","family":"Ceylan","given":"Mehmet Resat","non-dropping-particle":"","parse-names":false,"suffix":""},{"dropping-particle":"","family":"Sefa Sayar","given":"Merve","non-dropping-particle":"","parse-names":false,"suffix":""},{"dropping-particle":"","family":"Ozen","given":"Metehan","non-dropping-particle":"","parse-names":false,"suffix":""},{"dropping-particle":"","family":"Guler","given":"Muharrem","non-dropping-particle":"","parse-names":false,"suffix":""},{"dropping-particle":"","family":"Uguz","given":"Mustafa","non-dropping-particle":"","parse-names":false,"suffix":""},{"dropping-particle":"","family":"Yildirim","given":"Mustafa","non-dropping-particle":"","parse-names":false,"suffix":""},{"dropping-particle":"","family":"Kocoglu","given":"Mucahide Esra","non-dropping-particle":"","parse-names":false,"suffix":""},{"dropping-particle":"","family":"Ayhan","given":"Muge","non-dropping-particle":"","parse-names":false,"suffix":""},{"dropping-particle":"","family":"Toygar Deniz","given":"Muge","non-dropping-particle":"","parse-names":false,"suffix":""},{"dropping-particle":"","family":"Sari","given":"Nagehan Didem","non-dropping-particle":"","parse-names":false,"suffix":""},{"dropping-particle":"","family":"Tuna","given":"Nazan","non-dropping-particle":"","parse-names":false,"suffix":""},{"dropping-particle":"","family":"Ince","given":"Nevin","non-dropping-particle":"","parse-names":false,"suffix":""},{"dropping-particle":"","family":"Bayrak","given":"Ozlem","non-dropping-particle":"","parse-names":false,"suffix":""},{"dropping-particle":"","family":"Ak","given":"Oznur","non-dropping-particle":"","parse-names":false,"suffix":""},{"dropping-particle":"","family":"Gozukuçuk","given":"Ramazan","non-dropping-particle":"","parse-names":false,"suffix":""},{"dropping-particle":"","family":"Balik","given":"Recep","non-dropping-particle":"","parse-names":false,"suffix":""},{"dropping-particle":"","family":"Nemli","given":"Salih Atakan","non-dropping-particle":"","parse-names":false,"suffix":""},{"dropping-particle":"","family":"Aslan","given":"Selda","non-dropping-particle":"","parse-names":false,"suffix":""},{"dropping-particle":"","family":"Sahin","given":"Selma Ilkay","non-dropping-particle":"","parse-names":false,"suffix":""},{"dropping-particle":"","family":"Solak Grassie","given":"Semiha","non-dropping-particle":"","parse-names":false,"suffix":""},{"dropping-particle":"","family":"Unlu","given":"Serpil","non-dropping-particle":"","parse-names":false,"suffix":""},{"dropping-particle":"","family":"Alkan","given":"Sevil","non-dropping-particle":"","parse-names":false,"suffix":""},{"dropping-particle":"","family":"Altunisik Toplu","given":"Sibel","non-dropping-particle":"","parse-names":false,"suffix":""},{"dropping-particle":"","family":"Ozturk Deniz","given":"Suna Secil","non-dropping-particle":"","parse-names":false,"suffix":""},{"dropping-particle":"","family":"Komur","given":"Suheyla","non-dropping-particle":"","parse-names":false,"suffix":""},{"dropping-particle":"","family":"Koc","given":"Suleyman","non-dropping-particle":"","parse-names":false,"suffix":""},{"dropping-particle":"","family":"Incecik","given":"Saban","non-dropping-particle":"","parse-names":false,"suffix":""},{"dropping-particle":"","family":"Yanik Yalcin","given":"Tuba","non-dropping-particle":"","parse-names":false,"suffix":""},{"dropping-particle":"","family":"Demirdal","given":"Tuna","non-dropping-particle":"","parse-names":false,"suffix":""},{"dropping-particle":"","family":"Tuzun","given":"Turkan","non-dropping-particle":"","parse-names":false,"suffix":""},{"dropping-particle":"","family":"Dinar Tuna","given":"Verda","non-dropping-particle":"","parse-names":false,"suffix":""},{"dropping-particle":"","family":"Cakir","given":"Yasemin","non-dropping-particle":"","parse-names":false,"suffix":""},{"dropping-particle":"","family":"Ersozlu","given":"Yasemin","non-dropping-particle":"","parse-names":false,"suffix":""},{"dropping-particle":"","family":"Aybar Bilir","given":"Yesim","non-dropping-particle":"","parse-names":false,"suffix":""},{"dropping-particle":"","family":"Uygun Kizmaz","given":"Yesim","non-dropping-particle":"","parse-names":false,"suffix":""},{"dropping-particle":"","family":"Olcar","given":"Yildiz","non-dropping-particle":"","parse-names":false,"suffix":""},{"dropping-particle":"","family":"Yulugkural","given":"Zerrin","non-dropping-particle":"","parse-names":false,"suffix":""}],"container-title":"Antimicrobial Resistance and Infection Control","id":"ITEM-2","issue":"1","issued":{"date-parts":[["2023","12","1"]]},"page":"11","publisher":"BioMed Central Ltd","title":"Evaluation of the implementation of WHO infection prevention and control core components in Turkish health care facilities: results from a WHO infection prevention and control assessment framework (IPCAF)—based survey","type":"article-journal","volume":"12"},"uris":["http://www.mendeley.com/documents/?uuid=d98bb565-4a6d-3741-a217-28c8d14f6c5e"]},{"id":"ITEM-3","itemData":{"DOI":"10.1186/s13756-024-01465-7","ISSN":"20472994","abstract":"Background: The WHO Infection Prevention and Control Assessment Framework (IPCAF) is a standardized tool to assess infection prevention and control (IPC) structures in healthcare facilities. The IPCAF reflects the eight WHO core components (CC) of IPC. Besides facility self-assessment, the IPCAF can be used for national surveys, and repeated usage can aid in describing trends concerning IPC structures. A previous survey in over 700 German hospitals conducted in 2018, yielded an overall high IPC level in participating hospitals, albeit with potentials for improvement. In 2023, the survey was repeated to describe once again the state of IPC implementation in German hospitals and compare findings to data from 2018. Methods: The German National Reference Center for the Surveillance of Nosocomial Infections (NRC) invited 1,530 German acute care hospitals participating in the national surveillance network “KISS”, to complete a translated online version of the IPCAF between October 2023 and January 2024. The questionnaire-like nature of the IPCAF, where each answer corresponds to a number of points, allows for calculating an overall IPC score. Based on the overall score, hospitals were allocated to four different IPC levels: inadequate (0–200), basic (201–400), intermediate (401–600), and advanced (601–800). Aggregated scores were calculated and compared with results from 2018. Results: Complete datasets from 660 hospitals were received and analyzed. The median overall IPCAF score was 692.5 (interquartile range: 642.5–737.5), with 572 hospitals (86.6%) classified as advanced, and 87 hospitals (13.2%) as intermediate. One hospital (0.2%) fell into the basic category. The overall median score was virtually unchanged when compared to 2018 (690; data from 736 hospitals). The median score for the CC on workload, staffing and bed occupancy was markedly higher (85 vs. 75), whereas the median score for the CC on multimodal strategies was slightly lower than in 2018 (75 vs. 80). Conclusions: Repeated assessments of IPC structures at the national level with the IPCAF are feasible and a means to gain insights into the evolution of IPC structures. When comparing aggregated scores, a stable and high level of IPC key aspects in Germany was observed, with improvements over time in IPC indicators related to workload and staffing.","author":[{"dropping-particle":"","family":"Rüther","given":"Ferenc Darius","non-dropping-particle":"","parse-names":false,"suffix":""},{"dropping-particle":"","family":"Gropmann","given":"Alexander","non-dropping-particle":"","parse-names":false,"suffix":""},{"dropping-particle":"","family":"Hansen","given":"Sonja","non-dropping-particle":"","parse-names":false,"suffix":""},{"dropping-particle":"","family":"Behnke","given":"Michael","non-dropping-particle":"","parse-names":false,"suffix":""},{"dropping-particle":"","family":"Geffers","given":"Christine","non-dropping-particle":"","parse-names":false,"suffix":""},{"dropping-particle":"","family":"Aghdassi","given":"Seven Johannes Sam","non-dropping-particle":"","parse-names":false,"suffix":""}],"container-title":"Antimicrobial Resistance and Infection Control","id":"ITEM-3","issue":"1","issued":{"date-parts":[["2024","12","1"]]},"page":"103","publisher":"BioMed Central Ltd","title":"Assessing infection prevention and control structures in German hospitals after the COVID-19 pandemic using the WHO infection prevention and control assessment framework (IPCAF): results from 660 hospitals and comparison with a pre-pandemic survey","type":"article-journal","volume":"13"},"uris":["http://www.mendeley.com/documents/?uuid=4a40a1df-9aec-328c-adbe-fc4d63320b40"]}],"mendeley":{"formattedCitation":"[102,107,110]","plainTextFormattedCitation":"[102,107,110]","previouslyFormattedCitation":"[102,107,110]"},"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[102,107,110]</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Low scores in IPC education and training were also recorded in Burkina Faso </w:t>
      </w:r>
      <w:r w:rsidRPr="003F4633">
        <w:rPr>
          <w:rFonts w:eastAsia="Times New Roman" w:cs="Times New Roman"/>
          <w:szCs w:val="24"/>
          <w:lang w:val="en" w:bidi="en-US"/>
        </w:rPr>
        <w:fldChar w:fldCharType="begin" w:fldLock="1"/>
      </w:r>
      <w:r w:rsidR="005E406D">
        <w:rPr>
          <w:rFonts w:eastAsia="Times New Roman" w:cs="Times New Roman"/>
          <w:szCs w:val="24"/>
          <w:lang w:val="en" w:bidi="en-US"/>
        </w:rPr>
        <w:instrText>ADDIN CSL_CITATION {"citationItems":[{"id":"ITEM-1","itemData":{"DOI":"10.1186/s13756-023-01358-1","ISSN":"20472994","PMID":"38221629","abstract":"Background: The coronavirus pandemic again highlighted the need for robust health care facility infection prevention and control (IPC) programmes. WHO guidelines on the core components (CCs) of IPC programmes provides guidance for facilities, but their implementation can be difficult to achieve in resource-limited settings. We aimed to gather evidence on an initial WHO IPC implementation experience using a mixed methods approach. Methods: A five-day training on the WHO IPC CCs was conducted at two reference acute health care facilities in the Democratic Republic of Congo and Burkina Faso. This was accompanied by a three-part mixed-methods evaluation consisting of a: (1) baseline and follow-up survey of participants’ knowledge, attitudes and practices (KAP), (2) qualitative assessment of plenary discussion transcripts and (3) deployment of the WHO IPC assessment framework (IPCAF) tool. Results were analysed descriptively and with a qualitative inductive thematic approach. Results: Twenty-two and twenty-four participants were trained at each facility, respectively. Baseline and follow-up KAP results suggested increases in knowledge related to the necessity of a dedicated IPC focal person and annual evaluations of IPC training although lack of recognition on the importance of including hospital leadership in IPC training and hand hygiene monitoring recommendations remained. Most participants reported rarely attending IPC meetings or participating in IPC action planning although attitudes shifted towards stronger agreement with the feeling of IPC responsibility and importance of an IPC team. A reocurring theme in plenary discussions was related to limited resources as a barrier to IPC implementation, namely lack of reliable water access. However, participants recognised the importance of IPC improvement efforts such as practical IPC training methods or the use of data to improve quality of care. The facilities’ IPCAF scores reflected a ‘basic/intermediate’ IPC implementation level. Conclusions: The training and mixed methods evaluation revealed initial IPC implementation experiences that could be used to inform stepwise approaches to facility IPC improvement in resource-limited settings. Implementation strategies should consider both global standards such as the WHO IPC CCs and specific local contexts. The early involvement of all relevant stakeholders and parallel efforts to advocate for sufficient resources and health system infrastructure are critical.","author":[{"dropping-particle":"","family":"Wood","given":"R.","non-dropping-particle":"","parse-names":false,"suffix":""},{"dropping-particle":"","family":"Tembele","given":"W.","non-dropping-particle":"","parse-names":false,"suffix":""},{"dropping-particle":"","family":"Hema","given":"A.","non-dropping-particle":"","parse-names":false,"suffix":""},{"dropping-particle":"","family":"Somé","given":"A.","non-dropping-particle":"","parse-names":false,"suffix":""},{"dropping-particle":"","family":"Kinganda-Lusamaki","given":"E.","non-dropping-particle":"","parse-names":false,"suffix":""},{"dropping-particle":"","family":"Basilubo","given":"C.","non-dropping-particle":"","parse-names":false,"suffix":""},{"dropping-particle":"","family":"Lumembe","given":"R.","non-dropping-particle":"","parse-names":false,"suffix":""},{"dropping-particle":"","family":"Alama","given":"N.","non-dropping-particle":"","parse-names":false,"suffix":""},{"dropping-particle":"","family":"Mbunsu","given":"G.","non-dropping-particle":"","parse-names":false,"suffix":""},{"dropping-particle":"","family":"Zongo","given":"A.","non-dropping-particle":"","parse-names":false,"suffix":""},{"dropping-particle":"","family":"Ahuka","given":"S.","non-dropping-particle":"","parse-names":false,"suffix":""},{"dropping-particle":"","family":"Muyembe","given":"J. J.","non-dropping-particle":"","parse-names":false,"suffix":""},{"dropping-particle":"","family":"Leendertz","given":"F.","non-dropping-particle":"","parse-names":false,"suffix":""},{"dropping-particle":"","family":"Eckmanns","given":"T.","non-dropping-particle":"","parse-names":false,"suffix":""},{"dropping-particle":"","family":"Schubert","given":"G.","non-dropping-particle":"","parse-names":false,"suffix":""},{"dropping-particle":"","family":"Kagoné","given":"T.","non-dropping-particle":"","parse-names":false,"suffix":""},{"dropping-particle":"","family":"Makiala","given":"S.","non-dropping-particle":"","parse-names":false,"suffix":""},{"dropping-particle":"","family":"Tomczyk","given":"S.","non-dropping-particle":"","parse-names":false,"suffix":""}],"container-title":"Antimicrobial Resistance and Infection Control","id":"ITEM-1","issue":"1","issued":{"date-parts":[["2024","12","1"]]},"page":"4","publisher":"BioMed Central Ltd","title":"Implementation of the WHO core components of an infection prevention and control programme in two sub-Saharan African acute health-care facilities: a mixed methods study","type":"article-journal","volume":"13"},"uris":["http://www.mendeley.com/documents/?uuid=9259b542-e689-3b8e-b204-e38787758396"]}],"mendeley":{"formattedCitation":"[68]","plainTextFormattedCitation":"[68]","previouslyFormattedCitation":"[68]"},"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[68]</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The low scores in IPC education and training highlight a crucial gap that has been recognized in other settings and likely hinders the effective implementation of IPC practices on the ground </w:t>
      </w:r>
      <w:r w:rsidRPr="003F4633">
        <w:rPr>
          <w:rFonts w:eastAsia="Times New Roman" w:cs="Times New Roman"/>
          <w:szCs w:val="24"/>
          <w:lang w:val="en" w:bidi="en-US"/>
        </w:rPr>
        <w:fldChar w:fldCharType="begin" w:fldLock="1"/>
      </w:r>
      <w:r w:rsidR="00EE7503">
        <w:rPr>
          <w:rFonts w:eastAsia="Times New Roman" w:cs="Times New Roman"/>
          <w:szCs w:val="24"/>
          <w:lang w:val="en" w:bidi="en-US"/>
        </w:rPr>
        <w:instrText>ADDIN CSL_CITATION {"citationItems":[{"id":"ITEM-1","itemData":{"DOI":"10.1186/s13756-024-01447-9","ISSN":"20472994","PMID":"39334478","abstract":"BACKGROUND: Comprehensive infection prevention and control (IPC) programmes are proven to reduce the spread of healthcare-associated infections (HAIs) and antimicrobial resistance (AMR). However, published assessments of IPC programmes against the World Health Organization (WHO) IPC Core Components in Pacific Island Countries and Territories (PICTs) at the national and acute healthcare facility level are currently unavailable. METHODS: From January 2022 to April 2023, a multi-country, cross-sectional study was conducted in PICTs. The self reporting survey was based on the WHO Infection Prevention Assessment Framework (IPCAF) that supports implementing the minimum requirements of the WHO eight core components of IPC programmes at both the national and facility level. The results were presented as a 'traffic light' (present, in progress, not present) matrix. Each PICT's overall status in achieving IPC core components was summarised using descriptive statistics. RESULTS: Fifteen PICTs participated in this study. Ten (67%) PICTs had national IPC programmes, supported mainly by IPC focal points (87%, n = 13), updated national IPC guidelines (80%, n = 12), IPC monitoring and feedback mechanisms (80%, n = 12), and waste management plans (87%, n = 13). Significant gaps were identified in education and training (20%, n = 3). Despite being a defined component in 67% (n = 10) of national IPC programmes, HAI surveillance and monitoring was the lowest scoring core component (13%, n = 2). National and facility level IPC guidelines had been adapted and implemented in 67% (n = 10) PICTs; however, only 40% (n = 6) of PICTs had a dedicated IPC budget, 40% (n = 6) had multimodal strategies for IPC, and 33% (n = 5) had daily environmental cleaning records. CONCLUSIONS: Identifying IPC strengths, gaps, and challenges across PICTs will inform future IPC programme priorities and contribute to regional efforts in strengthening IPC capacity. This will promote global public health through the prevention of HAIs and AMR.","author":[{"dropping-particle":"","family":"Leong","given":"Margaret","non-dropping-particle":"","parse-names":false,"suffix":""},{"dropping-particle":"","family":"Picton","given":"Rochelle","non-dropping-particle":"","parse-names":false,"suffix":""},{"dropping-particle":"","family":"Wratten","given":"Melanie","non-dropping-particle":"","parse-names":false,"suffix":""},{"dropping-particle":"","family":"Mahe","given":"Ana","non-dropping-particle":"","parse-names":false,"suffix":""},{"dropping-particle":"","family":"Zimmerman","given":"Peta Anne","non-dropping-particle":"","parse-names":false,"suffix":""}],"container-title":"Antimicrobial resistance and infection control","id":"ITEM-1","issue":"1","issued":{"date-parts":[["2024","12","1"]]},"page":"108","publisher":"BioMed Central","title":"Baseline evaluation of the World Health Organization (WHO) infection prevention and control (IPC) core components in Pacific Island Countries and Territories (PICTs)","type":"article-journal","volume":"13"},"uris":["http://www.mendeley.com/documents/?uuid=98ceb33c-fa91-33cb-8aca-e1a005830dd1"]},{"id":"ITEM-2","itemData":{"DOI":"10.1017/ash.2024.35","ISSN":"2732494X","PMID":"38628374","abstract":"The burden of healthcare-associated infections (HAIs) and antimicrobial resistance (AMR) is disproportionately high in low and middle-income countries. Barriers to implementing effective antimicrobial stewardship and infection prevention programs include the lack of a structural framework, consensus guidelines, educational opportunities, trained personnel, funding, and access to resources such as manpower, information technology, and diagnostics. Socioeconomic instability with supply chain interruptions, poor skilled staff retention, absence of mandates, and inadequate support to enforce existing policies further aggravates the situation. Failure to implement measures to tackle AMR and HAIs effectively will result in repercussions globally.","author":[{"dropping-particle":"","family":"Abbas","given":"Salma","non-dropping-particle":"","parse-names":false,"suffix":""}],"container-title":"Antimicrobial Stewardship and Healthcare Epidemiology","id":"ITEM-2","issue":"1","issued":{"date-parts":[["2024","4","16"]]},"page":"e45","publisher":"Cambridge University Press","title":"The challenges of implementing infection prevention and antimicrobial stewardship programs in resource-constrained settings","type":"article-journal","volume":"4"},"uris":["http://www.mendeley.com/documents/?uuid=369b6d91-1b4e-3ef2-b744-60b0c6743771"]}],"mendeley":{"formattedCitation":"[111,112]","plainTextFormattedCitation":"[111,112]","previouslyFormattedCitation":"[111,112]"},"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[111,112]</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Providing education and training for healthcare workers in IPC is an essential area for the improvement of IPC practices and must be implemented in all countries </w:t>
      </w:r>
      <w:r w:rsidRPr="003F4633">
        <w:rPr>
          <w:rFonts w:eastAsia="Times New Roman" w:cs="Times New Roman"/>
          <w:szCs w:val="24"/>
          <w:lang w:val="en" w:bidi="en-US"/>
        </w:rPr>
        <w:fldChar w:fldCharType="begin" w:fldLock="1"/>
      </w:r>
      <w:r w:rsidR="00EE7503">
        <w:rPr>
          <w:rFonts w:eastAsia="Times New Roman" w:cs="Times New Roman"/>
          <w:szCs w:val="24"/>
          <w:lang w:val="en" w:bidi="en-US"/>
        </w:rPr>
        <w:instrText>ADDIN CSL_CITATION {"citationItems":[{"id":"ITEM-1","itemData":{"DOI":"10.1016/j.cmi.2025.01.011","ISSN":"1198743X","PMID":"39863071","abstract":"Background: Health care-associated infections (HAIs) remain a significant challenge worldwide, and the use of multimodal strategies is recommended by the WHO to enhance infection prevention. Objectives: To update the systematic review on facility level infection prevention and control interventions on the WHO core component of using multimodal strategies. Methods: Data sources: Medline (by PubMed), EMBASE, CINAHL, and the Cochrane library. Study eligibility criteria: Randomized controlled studies, interrupted time series, and before-after studies in acute care settings, from November 24, 2015 to June 30, 2023. Participants: Both paediatric and adult populations. Interventions: Infection prevention and control interventions implemented with at least three WHO multimodality elements. Assessment of risk of bias: Effective practice and organisation of care and integrated quality criteria for review of multiple study designs tools. Methods of data synthesis: Descriptive data synthesis. Results: Of 5678 identified titles and abstracts, 32 publications were eligible for data extraction and analysis. Five non-controlled before-after studies were excluded due to an insufficient integrated quality criteria for review of multiple study designs score. Of the remaining 27 studies, nine reported on the effect of multimodal strategies to reduce device-associated HAIs, four on surgical site infections, eight on infections due to antimicrobial resistance and six on hand hygiene (HH) compliance. Eleven were controlled studies (randomized controlled studies or controlled before-after studies), nine interrupted time series and seven non-controlled before-after studies. Twenty-two of the studies originated from high-income countries, and the overall quality was medium to low. Twenty studies showed either significant HAI reductions or HH improvement. Conclusion: Most studies demonstrate a significant effect on HAI prevention and HH improvement after applying a multimodal strategy. However, the quality of evidence remains low to moderate, with few studies from low-income or middle-income countries. Future research should focus on higher quality studies in resource limited settings.","author":[{"dropping-particle":"","family":"Sonpar","given":"Ashlesha","non-dropping-particle":"","parse-names":false,"suffix":""},{"dropping-particle":"","family":"Hundal","given":"Chandra Omar","non-dropping-particle":"","parse-names":false,"suffix":""},{"dropping-particle":"","family":"Totté","given":"Joan E.E.","non-dropping-particle":"","parse-names":false,"suffix":""},{"dropping-particle":"","family":"Wang","given":"Jiancong","non-dropping-particle":"","parse-names":false,"suffix":""},{"dropping-particle":"","family":"Klein","given":"Sabine D.","non-dropping-particle":"","parse-names":false,"suffix":""},{"dropping-particle":"","family":"Twyman","given":"Anthony","non-dropping-particle":"","parse-names":false,"suffix":""},{"dropping-particle":"","family":"Allegranzi","given":"Benedetta","non-dropping-particle":"","parse-names":false,"suffix":""},{"dropping-particle":"","family":"Zingg","given":"Walter","non-dropping-particle":"","parse-names":false,"suffix":""}],"container-title":"Clinical Microbiology and Infection","id":"ITEM-1","issue":"6","issued":{"date-parts":[["2025","6","23"]]},"page":"948-957","publisher":"Elsevier","title":"Multimodal strategies for the implementation of infection prevention and control interventions—update of a systematic review for the WHO guidelines on core components of infection prevention and control programmes at the facility level","type":"article-journal","volume":"31"},"uris":["http://www.mendeley.com/documents/?uuid=43f92882-62a3-329a-ae6e-76ae60197f85"]}],"mendeley":{"formattedCitation":"[70]","plainTextFormattedCitation":"[70]","previouslyFormattedCitation":"[70]"},"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[70]</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A study in China reported that multimodal strategies had the lowest average scores among the core components of IPC, thereby demonstrating gaps in adopting and using evidence-based strategies to implement IPC in hospitals </w:t>
      </w:r>
      <w:r w:rsidRPr="003F4633">
        <w:rPr>
          <w:rFonts w:eastAsia="Times New Roman" w:cs="Times New Roman"/>
          <w:szCs w:val="24"/>
          <w:lang w:val="en" w:bidi="en-US"/>
        </w:rPr>
        <w:fldChar w:fldCharType="begin" w:fldLock="1"/>
      </w:r>
      <w:r w:rsidR="00EE7503">
        <w:rPr>
          <w:rFonts w:eastAsia="Times New Roman" w:cs="Times New Roman"/>
          <w:szCs w:val="24"/>
          <w:lang w:val="en" w:bidi="en-US"/>
        </w:rPr>
        <w:instrText>ADDIN CSL_CITATION {"citationItems":[{"id":"ITEM-1","itemData":{"DOI":"10.1016/j.ajic.2024.12.015","ISSN":"01966553","PMID":"39736332","abstract":"A cross-sectional study was conducted to evaluate the relationship between Infection Prevention and Control Assessment Framework scores and the incidence of health care-associated infections in tertiary hospitals in Eastern China. The results indicate that hospitals with Infection Prevention and Control Assessment Framework scores above 700 have a lower incidence rate of health care-associated infections (1.31%; 95%CI, 1.15%-1.47%) compared to those with scores below 700 (1.90%; 95%CI, 1.60%-2.21%).","author":[{"dropping-particle":"","family":"Lu","given":"Qun","non-dropping-particle":"","parse-names":false,"suffix":""},{"dropping-particle":"","family":"Sun","given":"Liyuan","non-dropping-particle":"","parse-names":false,"suffix":""},{"dropping-particle":"","family":"Wang","given":"Wei","non-dropping-particle":"","parse-names":false,"suffix":""},{"dropping-particle":"","family":"Li","given":"Zhenwei","non-dropping-particle":"","parse-names":false,"suffix":""},{"dropping-particle":"","family":"Wu","given":"Feiyu","non-dropping-particle":"","parse-names":false,"suffix":""},{"dropping-particle":"","family":"Ni","given":"Kaiwen","non-dropping-particle":"","parse-names":false,"suffix":""}],"container-title":"American Journal of Infection Control","id":"ITEM-1","issue":"4","issued":{"date-parts":[["2025","4","28"]]},"page":"527-529","publisher":"Mosby","title":"Assessment of IPCAF scores and incidence of health care-associated infections: A cross-sectional study in Eastern China","type":"article-journal","volume":"53"},"uris":["http://www.mendeley.com/documents/?uuid=3247d63b-624d-3caa-81dc-e19534b222e8"]}],"mendeley":{"formattedCitation":"[61]","plainTextFormattedCitation":"[61]","previouslyFormattedCitation":"[61]"},"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[61]</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w:t>
      </w:r>
    </w:p>
    <w:p w14:paraId="2FAC967F" w14:textId="213CE045" w:rsidR="003F4633" w:rsidRDefault="003F4633" w:rsidP="003F4633">
      <w:pPr>
        <w:spacing w:before="0" w:line="360" w:lineRule="auto"/>
        <w:jc w:val="both"/>
        <w:rPr>
          <w:rFonts w:eastAsia="Times New Roman" w:cs="Times New Roman"/>
          <w:szCs w:val="24"/>
          <w:lang w:val="en" w:bidi="en-US"/>
        </w:rPr>
      </w:pPr>
      <w:r w:rsidRPr="003F4633">
        <w:rPr>
          <w:rFonts w:eastAsia="Times New Roman" w:cs="Times New Roman"/>
          <w:szCs w:val="24"/>
          <w:lang w:val="en" w:bidi="en-US"/>
        </w:rPr>
        <w:t xml:space="preserve">The present study reported a 75% score in HAI surveillance. The scoring on HAI surveillance in our study may be biased due to the lack of participant understanding related to what constitutes HAI surveillance, because of the lack of training on HAI surveillance standards and requirements. This highlights a critical need for targeted education and capacity-building initiatives to ensure accurate data collection and effective utilization of HAI surveillance for IPC program improvement, as recommended by WHO guidelines on HAI surveillance </w:t>
      </w:r>
      <w:r w:rsidRPr="003F4633">
        <w:rPr>
          <w:rFonts w:eastAsia="Times New Roman" w:cs="Times New Roman"/>
          <w:szCs w:val="24"/>
          <w:lang w:val="en" w:bidi="en-US"/>
        </w:rPr>
        <w:fldChar w:fldCharType="begin" w:fldLock="1"/>
      </w:r>
      <w:r w:rsidR="00707407">
        <w:rPr>
          <w:rFonts w:eastAsia="Times New Roman" w:cs="Times New Roman"/>
          <w:szCs w:val="24"/>
          <w:lang w:val="en" w:bidi="en-US"/>
        </w:rPr>
        <w:instrText>ADDIN CSL_CITATION {"citationItems":[{"id":"ITEM-1","itemData":{"DOI":"10.1186/s13756-016-0149-9","ISBN":"1375601601499","ISSN":"20472994","abstract":"Health care-associated infections (HAI) are a major public health problem with a significant impact on morbidity, mortality and quality of life. They represent also an important economic burden to health systems worldwide. However, a large proportion of HAI are preventable through effective infection prevention and control (IPC) measures. Improvements in IPC at the national and facility level are critical for the successful containment of antimicrobial resistance and the prevention of HAI, including outbreaks of highly transmissible diseases through high quality care within the context of universal health coverage. Given the limited availability of IPC evidence-based guidance and standards, the World Health Organization (WHO) decided to prioritize the development of global recommendations on the core components of effective IPC programmes both at the national and acute health care facility level, based on systematic literature reviews and expert consensus. The aim of the guideline development process was to identify the evidence and evaluate its quality, consider patient values and preferences, resource implications, and the feasibility and acceptability of the recommendations. As a result, 11 recommendations and three good practice statements are presented here, including a summary of the supporting evidence, and form the substance of a new WHO IPC guideline.","author":[{"dropping-particle":"","family":"Storr","given":"Julie","non-dropping-particle":"","parse-names":false,"suffix":""},{"dropping-particle":"","family":"Twyman","given":"Anthony","non-dropping-particle":"","parse-names":false,"suffix":""},{"dropping-particle":"","family":"Zingg","given":"Walter","non-dropping-particle":"","parse-names":false,"suffix":""},{"dropping-particle":"","family":"Damani","given":"Nizam","non-dropping-particle":"","parse-names":false,"suffix":""},{"dropping-particle":"","family":"Kilpatrick","given":"Claire","non-dropping-particle":"","parse-names":false,"suffix":""},{"dropping-particle":"","family":"Reilly","given":"Jacqui","non-dropping-particle":"","parse-names":false,"suffix":""},{"dropping-particle":"","family":"Price","given":"Lesley","non-dropping-particle":"","parse-names":false,"suffix":""},{"dropping-particle":"","family":"Egger","given":"Matthias","non-dropping-particle":"","parse-names":false,"suffix":""},{"dropping-particle":"","family":"Grayson","given":"M. Lindsay","non-dropping-particle":"","parse-names":false,"suffix":""},{"dropping-particle":"","family":"Kelley","given":"Edward","non-dropping-particle":"","parse-names":false,"suffix":""},{"dropping-particle":"","family":"Allegranzi","given":"Benedetta","non-dropping-particle":"","parse-names":false,"suffix":""},{"dropping-particle":"","family":"Caluwaerts","given":"An","non-dropping-particle":"","parse-names":false,"suffix":""},{"dropping-particle":"","family":"El-Asady","given":"Riham","non-dropping-particle":"","parse-names":false,"suffix":""},{"dropping-particle":"","family":"Fisher","given":"Dale","non-dropping-particle":"","parse-names":false,"suffix":""},{"dropping-particle":"","family":"Gastmeier","given":"Petra","non-dropping-particle":"","parse-names":false,"suffix":""},{"dropping-particle":"","family":"Holmes","given":"Alison","non-dropping-particle":"","parse-names":false,"suffix":""},{"dropping-particle":"","family":"Jayatilleke","given":"Kushlani","non-dropping-particle":"","parse-names":false,"suffix":""},{"dropping-particle":"","family":"McLaws","given":"Mary Louise","non-dropping-particle":"","parse-names":false,"suffix":""},{"dropping-particle":"","family":"Mehta","given":"Geeta","non-dropping-particle":"","parse-names":false,"suffix":""},{"dropping-particle":"","family":"Mehtar","given":"Shaheen","non-dropping-particle":"","parse-names":false,"suffix":""},{"dropping-particle":"","family":"Ndoye","given":"Babacar","non-dropping-particle":"","parse-names":false,"suffix":""},{"dropping-particle":"","family":"Otaíza","given":"Fernando","non-dropping-particle":"","parse-names":false,"suffix":""},{"dropping-particle":"","family":"Padoveze","given":"Maria Clara","non-dropping-particle":"","parse-names":false,"suffix":""},{"dropping-particle":"","family":"Park","given":"Benjamin","non-dropping-particle":"","parse-names":false,"suffix":""},{"dropping-particle":"","family":"Parneix","given":"Pierre","non-dropping-particle":"","parse-names":false,"suffix":""},{"dropping-particle":"","family":"Pittet","given":"Didier","non-dropping-particle":"","parse-names":false,"suffix":""},{"dropping-particle":"","family":"Robertson","given":"Valerie","non-dropping-particle":"","parse-names":false,"suffix":""},{"dropping-particle":"","family":"Sesay-Kamara","given":"Nanah","non-dropping-particle":"","parse-names":false,"suffix":""},{"dropping-particle":"","family":"Seto","given":"Wing Hong","non-dropping-particle":"","parse-names":false,"suffix":""},{"dropping-particle":"","family":"Talaat","given":"Maha","non-dropping-particle":"","parse-names":false,"suffix":""},{"dropping-particle":"","family":"Unahalekhaka","given":"Akeau","non-dropping-particle":"","parse-names":false,"suffix":""},{"dropping-particle":"","family":"Curiel","given":"Evangelina Vazquez","non-dropping-particle":"","parse-names":false,"suffix":""}],"container-title":"Antimicrobial Resistance and Infection Control","id":"ITEM-1","issue":"1","issued":{"date-parts":[["2017","1","10"]]},"page":"6","publisher":"BioMed Central","title":"Core components for effective infection prevention and control programmes: New WHO evidence-based recommendations","type":"article-journal","volume":"6"},"uris":["http://www.mendeley.com/documents/?uuid=9596cd72-a4b9-3dc9-93ed-ae1d8f7d44ec"]},{"id":"ITEM-2","itemData":{"DOI":"10.1016/j.jhin.2020.11.025","ISSN":"15322939","PMID":"33271215","abstract":"Background: Strengthening infection prevention and control (IPC) is essential to combat healthcare-associated infections, antimicrobial resistance, and to prevent and respond to outbreaks. Aim: To assess national IPC programmes worldwide according to the World Health Organization (WHO) IPC core components. Methods: Between June 1st, 2017 and November 30th, 2018, a multi-country, cross-sectional study was conducted, based on semi-structured interviews with national IPC focal points of countries that pledged to the WHO ‘Clean Care is Safer Care’ challenge. Results and differences between regions and national income levels were summarized using descriptive statistics. Findings: Eighty-eight of 103 (85.4%) eligible countries participated; 22.7% were low-income, 19.3% lower-middle-income, 23.9% upper-middle-income, and 34.1% high-income economies. A national IPC programme existed in 62.5%, but only 26.1% had a dedicated budget. National guidelines were available in 67.0%, but only 36.4% and 21.6% of countries had an implementation strategy and evaluated compliance with guidelines, respectively. Undergraduate IPC curriculum and in-service and postgraduate IPC training were reported by 35.2%, 54.5%, and 42% of countries, respectively. Healthcare-associated infection surveillance was reported by 46.6% of countries, with significant differences ranging from 83.3% (high-income) to zero (low-income) (P &lt; 0.001); monitoring and feedback of IPC indicators was reported by 65.9%. Only 12.5% of countries had all core components in place. Conclusion: Most countries have IPC programme and guidelines, but many less have invested adequate resources and translated them in implementation and monitoring, particularly in low-income countries. Leadership support at the national and global level is needed to achieve implementation of the core components in all countries.","author":[{"dropping-particle":"","family":"Tartari","given":"E.","non-dropping-particle":"","parse-names":false,"suffix":""},{"dropping-particle":"","family":"Tomczyk","given":"S.","non-dropping-particle":"","parse-names":false,"suffix":""},{"dropping-particle":"","family":"Pires","given":"D.","non-dropping-particle":"","parse-names":false,"suffix":""},{"dropping-particle":"","family":"Zayed","given":"B.","non-dropping-particle":"","parse-names":false,"suffix":""},{"dropping-particle":"","family":"Coutinho Rehse","given":"A. P.","non-dropping-particle":"","parse-names":false,"suffix":""},{"dropping-particle":"","family":"Kariyo","given":"P.","non-dropping-particle":"","parse-names":false,"suffix":""},{"dropping-particle":"","family":"Stempliuk","given":"V.","non-dropping-particle":"","parse-names":false,"suffix":""},{"dropping-particle":"","family":"Zingg","given":"W.","non-dropping-particle":"","parse-names":false,"suffix":""},{"dropping-particle":"","family":"Pittet","given":"D.","non-dropping-particle":"","parse-names":false,"suffix":""},{"dropping-particle":"","family":"Allegranzi","given":"B.","non-dropping-particle":"","parse-names":false,"suffix":""}],"container-title":"Journal of Hospital Infection","id":"ITEM-2","issued":{"date-parts":[["2021","2","1"]]},"page":"94-103","publisher":"W.B. Saunders Ltd","title":"Implementation of the infection prevention and control core components at the national level: a global situational analysis","type":"article-journal","volume":"108"},"uris":["http://www.mendeley.com/documents/?uuid=61ede6bd-30cd-389d-97c7-4bd390d66ee5"]},{"id":"ITEM-3","itemData":{"DOI":"10.1186/s13756-023-01299-9","ISSN":"20472994","PMID":"37667340","abstract":"Background: A strong understanding of infection prevention and control (IPC) procedures and comprehensive training among healthcare workers is essential for effective IPC programs. These elements play a crucial role in breaking the chain of nosocomial infections by preventing the transmission of resistant organisms to patients and staff members. This study mapped the components of IPC education and training across various member states of the World Health Organization (WHO) in the Eastern Mediterranean Region (EMR) at national, academic, and healthcare institutional levels. Methods: A self-administered structured online questionnaire based on the WHO “Core Component 3” of IPC programs at the national and acute healthcare facility levels (IPC education and training) was given to national IPC focal persons in each of the WHO’s EMR countries between February and March 2023. Results: From 14 of the 22 countries,15 IPC persons participated in the survey. Most countries have scattered nonhomogeneous IPC education programs in human health undergraduate majors without considering it a standalone module. Academic institutions are rarely involved, and elaborate and predefined undergraduate IPC education programs provided by universities are present in 21.4% of the countries. In 71.4% of these countries, postgraduate training targeting IPC professionals is provided by national IPC teams, primarily based on national IPC guidelines developed with the aid of the WHO. Generally, healthcare worker training relies heavily on healthcare facilities in 92.9% of the countries, rather than on a national training program. In 42.9% of the countries, practicing IPC physicians are not necessarily specialists of infectious disease or medical microbiologists and IPC nurses are not required to specialize in IPC. However, nonspecialized IPC professionals are expected to undergo training upon employment and before beginning practice. Nongovernmental organizations such as the WHO play a significant role in IPC education and in supporting national IPC authorities in establishing national IPC guidelines, as it is the case in 78.6% of these countries. Conclusion: Clear disparities exist in IPC education and training across different countries in the WHO’s EMR. Establishing a regional scientific network specializing in IPC would help bridge the existing gaps and standardize this education within individual countries and across countries in the region. This region needs to establish IPC ce…","author":[{"dropping-particle":"","family":"Moghnieh","given":"Rima","non-dropping-particle":"","parse-names":false,"suffix":""},{"dropping-particle":"","family":"Al-Maani","given":"Amal Saif","non-dropping-particle":"","parse-names":false,"suffix":""},{"dropping-particle":"","family":"Berro","given":"Jana","non-dropping-particle":"","parse-names":false,"suffix":""},{"dropping-particle":"","family":"Ibrahim","given":"Nour","non-dropping-particle":"","parse-names":false,"suffix":""},{"dropping-particle":"","family":"Attieh","given":"Rana","non-dropping-particle":"","parse-names":false,"suffix":""},{"dropping-particle":"","family":"Abdallah","given":"Dania","non-dropping-particle":"","parse-names":false,"suffix":""},{"dropping-particle":"","family":"Al-Ajmi","given":"Jameela","non-dropping-particle":"","parse-names":false,"suffix":""},{"dropping-particle":"","family":"Hamdani","given":"Dhouha","non-dropping-particle":"","parse-names":false,"suffix":""},{"dropping-particle":"","family":"Abdulrazzaq","given":"Najiba","non-dropping-particle":"","parse-names":false,"suffix":""},{"dropping-particle":"","family":"Omar","given":"Abeer","non-dropping-particle":"","parse-names":false,"suffix":""},{"dropping-particle":"","family":"Al-Khawaja","given":"Safa","non-dropping-particle":"","parse-names":false,"suffix":""},{"dropping-particle":"","family":"Al-Abadla","given":"Rami","non-dropping-particle":"","parse-names":false,"suffix":""},{"dropping-particle":"","family":"Al-Ratrout","given":"Salam","non-dropping-particle":"","parse-names":false,"suffix":""},{"dropping-particle":"","family":"Gharaibeh","given":"Mohammad","non-dropping-particle":"","parse-names":false,"suffix":""},{"dropping-particle":"","family":"Abdelrahim","given":"Zakaria","non-dropping-particle":"","parse-names":false,"suffix":""},{"dropping-particle":"","family":"Azrag","given":"Hiba","non-dropping-particle":"","parse-names":false,"suffix":""},{"dropping-particle":"","family":"Amiri","given":"Karima Mayar","non-dropping-particle":"","parse-names":false,"suffix":""},{"dropping-particle":"","family":"Berry","given":"Atika","non-dropping-particle":"","parse-names":false,"suffix":""},{"dropping-particle":"","family":"Hagali","given":"Bashar","non-dropping-particle":"","parse-names":false,"suffix":""},{"dropping-particle":"","family":"Kadhim","given":"Jamal","non-dropping-particle":"","parse-names":false,"suffix":""},{"dropping-particle":"","family":"Al-Shami","given":"Huda","non-dropping-particle":"","parse-names":false,"suffix":""},{"dropping-particle":"","family":"Khan","given":"Mumtaz Ali","non-dropping-particle":"","parse-names":false,"suffix":""},{"dropping-particle":"","family":"Husni","given":"Roula","non-dropping-particle":"","parse-names":false,"suffix":""},{"dropping-particle":"","family":"Heweidy","given":"Iman","non-dropping-particle":"","parse-names":false,"suffix":""},{"dropping-particle":"","family":"Zayed","given":"Bassim","non-dropping-particle":"","parse-names":false,"suffix":""}],"container-title":"Antimicrobial Resistance and Infection Control","id":"ITEM-3","issue":"1","issued":{"date-parts":[["2023","12","1"]]},"page":"90","publisher":"BioMed Central Ltd","title":"Mapping of infection prevention and control education and training in some countries of the World Health Organization’s Eastern Mediterranean Region: current situation and future needs","type":"article-journal","volume":"12"},"uris":["http://www.mendeley.com/documents/?uuid=63bb0493-32f6-3bb3-aab7-a863860d96b3"]}],"mendeley":{"formattedCitation":"[56,109,113]","plainTextFormattedCitation":"[56,109,113]","previouslyFormattedCitation":"[56,109,113]"},"properties":{"noteIndex":0},"schema":"https://github.com/citation-style-language/schema/raw/master/csl-citation.json"}</w:instrText>
      </w:r>
      <w:r w:rsidRPr="003F4633">
        <w:rPr>
          <w:rFonts w:eastAsia="Times New Roman" w:cs="Times New Roman"/>
          <w:szCs w:val="24"/>
          <w:lang w:val="en" w:bidi="en-US"/>
        </w:rPr>
        <w:fldChar w:fldCharType="separate"/>
      </w:r>
      <w:r w:rsidR="00D56FA2" w:rsidRPr="00D56FA2">
        <w:rPr>
          <w:rFonts w:eastAsia="Times New Roman" w:cs="Times New Roman"/>
          <w:noProof/>
          <w:szCs w:val="24"/>
          <w:lang w:val="en" w:bidi="en-US"/>
        </w:rPr>
        <w:t>[56,109,113]</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However, our findings are better than those reported in Malawi, where the HAI surveillance score was 40% </w:t>
      </w:r>
      <w:r w:rsidRPr="003F4633">
        <w:rPr>
          <w:rFonts w:eastAsia="Times New Roman" w:cs="Times New Roman"/>
          <w:szCs w:val="24"/>
          <w:lang w:val="en" w:bidi="en-US"/>
        </w:rPr>
        <w:fldChar w:fldCharType="begin" w:fldLock="1"/>
      </w:r>
      <w:r w:rsidR="005E406D">
        <w:rPr>
          <w:rFonts w:eastAsia="Times New Roman" w:cs="Times New Roman"/>
          <w:szCs w:val="24"/>
          <w:lang w:val="en" w:bidi="en-US"/>
        </w:rPr>
        <w:instrText>ADDIN CSL_CITATION {"citationItems":[{"id":"ITEM-1","itemData":{"DOI":"10.1016/j.infpip.2024.100388","ISSN":"25900889","abstract":"Background: Infection prevention and control (IPC) is important for the reduction of healthcare-associated infections (HAI). The World Health Organization (WHO) developed the IPC Assessment Framework (IPCAF) tool to assess the level of IPC implementation and to identify areas for improvement in healthcare facilities. Methods: A cross -sectional survey was conducted using the WHO IPCAF tool from May to June 2023. The aim was to provide a baseline assessment of the IPC programme and activities within health care facilities in Malawi. Forty healthcare facilities were invited to participate. IPC teams were requested to complete the IPCAF and return the scores. The IPCAF tool scores were assessed as recommended in the WHO IPCAF tool. Results: The response rate was 82.5%. The median IPCAF score was 445 out of 800 corresponding to an intermediate IPC implementation level. The results revealed that 66.7% facilities were at intermediate level, 26.4% at basic level, and 6.9% at advanced level. Most facilities (76%) had an IPC program in place with clear objectives and an IPC focal person. Few had a dedicated budget for IPC. The IPCAF domain “monitoring/audit of IPC practices and feedback” had the lowest median score of 15/100, and in 90% of facilities, no monitoring, audit, and feedback was done. HAI surveillance median score was 40/100, workload, staffing and bed occupancy median score was 45/100. Conclusions: Whilst there has been some degree of implementation of WHO IPC guidelines in Malawi's healthcare system, there is significant room for improvement. The IPCAF tool revealed that monitoring/audit and feedback, HAI surveillance and workload, staffing and bed occupancy need to be strengthened. The IPCAF scoring system may need reconsidering given the centrality of these domains to IPC.","author":[{"dropping-particle":"","family":"Ng'ambi","given":"Dorica","non-dropping-particle":"","parse-names":false,"suffix":""},{"dropping-particle":"","family":"O'Byrne","given":"Thomasena","non-dropping-particle":"","parse-names":false,"suffix":""},{"dropping-particle":"","family":"Jingini","given":"Emmie","non-dropping-particle":"","parse-names":false,"suffix":""},{"dropping-particle":"","family":"Chadwala","given":"Hope","non-dropping-particle":"","parse-names":false,"suffix":""},{"dropping-particle":"","family":"Musopole","given":"Owen","non-dropping-particle":"","parse-names":false,"suffix":""},{"dropping-particle":"","family":"Kamchedzera","given":"Wala","non-dropping-particle":"","parse-names":false,"suffix":""},{"dropping-particle":"","family":"Tancred","given":"Tara","non-dropping-particle":"","parse-names":false,"suffix":""},{"dropping-particle":"","family":"Feasey","given":"Nicholas","non-dropping-particle":"","parse-names":false,"suffix":""}],"container-title":"Infection Prevention in Practice","id":"ITEM-1","issue":"4","issued":{"date-parts":[["2024","12","1"]]},"page":"100388","publisher":"Elsevier","title":"An assessment of infection prevention and control implementation in Malawian hospitals using the WHO Infection Prevention and Control Assessment Framework (IPCAF) tool","type":"article-journal","volume":"6"},"uris":["http://www.mendeley.com/documents/?uuid=5d0bfc10-c722-34f0-88bd-6182247493f9"]}],"mendeley":{"formattedCitation":"[62]","plainTextFormattedCitation":"[62]","previouslyFormattedCitation":"[62]"},"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[62]</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Our findings and those reported in other studies indicate the need to strengthen all the IPC core components in hospitals to control HAIs and prevent the emergence and spread of AMR. Furthermore, there is a need to develop IPC resources, especially for LMICs, where the burden of infections is high </w:t>
      </w:r>
      <w:r w:rsidRPr="003F4633">
        <w:rPr>
          <w:rFonts w:eastAsia="Times New Roman" w:cs="Times New Roman"/>
          <w:szCs w:val="24"/>
          <w:lang w:val="en" w:bidi="en-US"/>
        </w:rPr>
        <w:fldChar w:fldCharType="begin" w:fldLock="1"/>
      </w:r>
      <w:r w:rsidR="005E406D">
        <w:rPr>
          <w:rFonts w:eastAsia="Times New Roman" w:cs="Times New Roman"/>
          <w:szCs w:val="24"/>
          <w:lang w:val="en" w:bidi="en-US"/>
        </w:rPr>
        <w:instrText>ADDIN CSL_CITATION {"citationItems":[{"id":"ITEM-1","itemData":{"DOI":"10.1016/j.ijid.2017.01.040","ISSN":"18783511","PMID":"28216179","abstract":"Hospital-acquired infections (HAIs) are a major concern to healthcare systems around the world. They are associated with significant morbidity and mortality, in addition to increased hospitalization costs. Recent outbreaks, including those caused by the Middle East respiratory syndrome coronavirus and Ebola virus, have highlighted the importance of infection control. Moreover, HAIs, especially those caused by multidrug-resistant Gram-negative rods, have become a top global priority. Although adequate approaches and guidelines have been in existence for many years and have often proven effective in some countries, the implementation of such approaches in low- and middle-income countries (LMICs) is often restricted due to limited resources and underdeveloped infrastructure. While evidence-based infection prevention and control (IPC) principles and practices are universal, studies are needed to evaluate simplified approaches that can be better adapted to LMIC needs, in order to guide IPC in practice. A group of experts from around the world attended a workshop held at the 17th International Congress on Infectious Diseases in Hyderabad, India in March 2016, to discuss the existing IPC practices in LMICs, and how best these can be improved within the local context.","author":[{"dropping-particle":"","family":"Sastry","given":"Sangeeta","non-dropping-particle":"","parse-names":false,"suffix":""},{"dropping-particle":"","family":"Masroor","given":"Nadia","non-dropping-particle":"","parse-names":false,"suffix":""},{"dropping-particle":"","family":"Bearman","given":"Gonzalo","non-dropping-particle":"","parse-names":false,"suffix":""},{"dropping-particle":"","family":"Hajjeh","given":"Rana","non-dropping-particle":"","parse-names":false,"suffix":""},{"dropping-particle":"","family":"Holmes","given":"Alison","non-dropping-particle":"","parse-names":false,"suffix":""},{"dropping-particle":"","family":"Memish","given":"Ziad","non-dropping-particle":"","parse-names":false,"suffix":""},{"dropping-particle":"","family":"Lassmann","given":"Britta","non-dropping-particle":"","parse-names":false,"suffix":""},{"dropping-particle":"","family":"Pittet","given":"Didier","non-dropping-particle":"","parse-names":false,"suffix":""},{"dropping-particle":"","family":"Macnab","given":"Fiona","non-dropping-particle":"","parse-names":false,"suffix":""},{"dropping-particle":"","family":"Kamau","given":"Rachel","non-dropping-particle":"","parse-names":false,"suffix":""},{"dropping-particle":"","family":"Wesangula","given":"Evelyn","non-dropping-particle":"","parse-names":false,"suffix":""},{"dropping-particle":"","family":"Pokharel","given":"Paras","non-dropping-particle":"","parse-names":false,"suffix":""},{"dropping-particle":"","family":"Brown","given":"Paul","non-dropping-particle":"","parse-names":false,"suffix":""},{"dropping-particle":"","family":"Daily","given":"Frances","non-dropping-particle":"","parse-names":false,"suffix":""},{"dropping-particle":"","family":"Amer","given":"Fatma","non-dropping-particle":"","parse-names":false,"suffix":""},{"dropping-particle":"","family":"Torres","given":"Jaime","non-dropping-particle":"","parse-names":false,"suffix":""},{"dropping-particle":"","family":"O'Ryan","given":"Miguel","non-dropping-particle":"","parse-names":false,"suffix":""},{"dropping-particle":"","family":"Gunturu","given":"Revathi","non-dropping-particle":"","parse-names":false,"suffix":""},{"dropping-particle":"","family":"Bulabula","given":"Andre","non-dropping-particle":"","parse-names":false,"suffix":""},{"dropping-particle":"","family":"Mehtar","given":"Shaheen","non-dropping-particle":"","parse-names":false,"suffix":""}],"container-title":"International Journal of Infectious Diseases","id":"ITEM-1","issued":{"date-parts":[["2017","4","1"]]},"page":"138-143","publisher":"Elsevier B.V.","title":"The 17th International Congress on Infectious Diseases workshop on developing infection prevention and control resources for low- and middle-income countries","type":"paper-conference","volume":"57"},"uris":["http://www.mendeley.com/documents/?uuid=b8b4ec92-0840-34e6-b246-a0660e06fb6b"]}],"mendeley":{"formattedCitation":"[108]","plainTextFormattedCitation":"[108]","previouslyFormattedCitation":"[108]"},"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[108]</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Leadership support at the facility, national, and global levels is also needed to achieve implementation of the core components across all countries </w:t>
      </w:r>
      <w:r w:rsidRPr="003F4633">
        <w:rPr>
          <w:rFonts w:eastAsia="Times New Roman" w:cs="Times New Roman"/>
          <w:szCs w:val="24"/>
          <w:lang w:val="en" w:bidi="en-US"/>
        </w:rPr>
        <w:fldChar w:fldCharType="begin" w:fldLock="1"/>
      </w:r>
      <w:r w:rsidR="005E406D">
        <w:rPr>
          <w:rFonts w:eastAsia="Times New Roman" w:cs="Times New Roman"/>
          <w:szCs w:val="24"/>
          <w:lang w:val="en" w:bidi="en-US"/>
        </w:rPr>
        <w:instrText>ADDIN CSL_CITATION {"citationItems":[{"id":"ITEM-1","itemData":{"DOI":"10.1016/j.jhin.2020.11.025","ISSN":"15322939","PMID":"33271215","abstract":"Background: Strengthening infection prevention and control (IPC) is essential to combat healthcare-associated infections, antimicrobial resistance, and to prevent and respond to outbreaks. Aim: To assess national IPC programmes worldwide according to the World Health Organization (WHO) IPC core components. Methods: Between June 1st, 2017 and November 30th, 2018, a multi-country, cross-sectional study was conducted, based on semi-structured interviews with national IPC focal points of countries that pledged to the WHO ‘Clean Care is Safer Care’ challenge. Results and differences between regions and national income levels were summarized using descriptive statistics. Findings: Eighty-eight of 103 (85.4%) eligible countries participated; 22.7% were low-income, 19.3% lower-middle-income, 23.9% upper-middle-income, and 34.1% high-income economies. A national IPC programme existed in 62.5%, but only 26.1% had a dedicated budget. National guidelines were available in 67.0%, but only 36.4% and 21.6% of countries had an implementation strategy and evaluated compliance with guidelines, respectively. Undergraduate IPC curriculum and in-service and postgraduate IPC training were reported by 35.2%, 54.5%, and 42% of countries, respectively. Healthcare-associated infection surveillance was reported by 46.6% of countries, with significant differences ranging from 83.3% (high-income) to zero (low-income) (P &lt; 0.001); monitoring and feedback of IPC indicators was reported by 65.9%. Only 12.5% of countries had all core components in place. Conclusion: Most countries have IPC programme and guidelines, but many less have invested adequate resources and translated them in implementation and monitoring, particularly in low-income countries. Leadership support at the national and global level is needed to achieve implementation of the core components in all countries.","author":[{"dropping-particle":"","family":"Tartari","given":"E.","non-dropping-particle":"","parse-names":false,"suffix":""},{"dropping-particle":"","family":"Tomczyk","given":"S.","non-dropping-particle":"","parse-names":false,"suffix":""},{"dropping-particle":"","family":"Pires","given":"D.","non-dropping-particle":"","parse-names":false,"suffix":""},{"dropping-particle":"","family":"Zayed","given":"B.","non-dropping-particle":"","parse-names":false,"suffix":""},{"dropping-particle":"","family":"Coutinho Rehse","given":"A. P.","non-dropping-particle":"","parse-names":false,"suffix":""},{"dropping-particle":"","family":"Kariyo","given":"P.","non-dropping-particle":"","parse-names":false,"suffix":""},{"dropping-particle":"","family":"Stempliuk","given":"V.","non-dropping-particle":"","parse-names":false,"suffix":""},{"dropping-particle":"","family":"Zingg","given":"W.","non-dropping-particle":"","parse-names":false,"suffix":""},{"dropping-particle":"","family":"Pittet","given":"D.","non-dropping-particle":"","parse-names":false,"suffix":""},{"dropping-particle":"","family":"Allegranzi","given":"B.","non-dropping-particle":"","parse-names":false,"suffix":""}],"container-title":"Journal of Hospital Infection","id":"ITEM-1","issued":{"date-parts":[["2021","2","1"]]},"page":"94-103","publisher":"W.B. Saunders Ltd","title":"Implementation of the infection prevention and control core components at the national level: a global situational analysis","type":"article-journal","volume":"108"},"uris":["http://www.mendeley.com/documents/?uuid=61ede6bd-30cd-389d-97c7-4bd390d66ee5"]}],"mendeley":{"formattedCitation":"[109]","plainTextFormattedCitation":"[109]","previouslyFormattedCitation":"[109]"},"properties":{"noteIndex":0},"schema":"https://github.com/citation-style-language/schema/raw/master/csl-citation.json"}</w:instrText>
      </w:r>
      <w:r w:rsidRPr="003F4633">
        <w:rPr>
          <w:rFonts w:eastAsia="Times New Roman" w:cs="Times New Roman"/>
          <w:szCs w:val="24"/>
          <w:lang w:val="en" w:bidi="en-US"/>
        </w:rPr>
        <w:fldChar w:fldCharType="separate"/>
      </w:r>
      <w:r w:rsidR="001E7355" w:rsidRPr="001E7355">
        <w:rPr>
          <w:rFonts w:eastAsia="Times New Roman" w:cs="Times New Roman"/>
          <w:noProof/>
          <w:szCs w:val="24"/>
          <w:lang w:val="en" w:bidi="en-US"/>
        </w:rPr>
        <w:t>[109]</w:t>
      </w:r>
      <w:r w:rsidRPr="003F4633">
        <w:rPr>
          <w:rFonts w:eastAsia="Times New Roman" w:cs="Times New Roman"/>
          <w:szCs w:val="24"/>
          <w:lang w:val="en"/>
        </w:rPr>
        <w:fldChar w:fldCharType="end"/>
      </w:r>
      <w:r w:rsidRPr="003F4633">
        <w:rPr>
          <w:rFonts w:eastAsia="Times New Roman" w:cs="Times New Roman"/>
          <w:szCs w:val="24"/>
          <w:lang w:val="en" w:bidi="en-US"/>
        </w:rPr>
        <w:t xml:space="preserve">. </w:t>
      </w:r>
    </w:p>
    <w:p w14:paraId="1CF85E2B" w14:textId="2190F721" w:rsidR="00F90C32" w:rsidRDefault="002B46FA" w:rsidP="003F4633">
      <w:pPr>
        <w:spacing w:before="0" w:line="360" w:lineRule="auto"/>
        <w:jc w:val="both"/>
        <w:rPr>
          <w:rFonts w:eastAsia="Times New Roman" w:cs="Times New Roman"/>
          <w:szCs w:val="24"/>
          <w:lang w:val="en" w:bidi="en-US"/>
        </w:rPr>
      </w:pPr>
      <w:r w:rsidRPr="00357E07">
        <w:rPr>
          <w:rFonts w:eastAsia="Times New Roman" w:cs="Times New Roman"/>
          <w:szCs w:val="24"/>
          <w:lang w:val="en" w:bidi="en-US"/>
        </w:rPr>
        <w:t xml:space="preserve">The gaps identified in IPC performance across the nine hospitals can be better understood by examining the underlying systemic barriers and facilitators. </w:t>
      </w:r>
      <w:r>
        <w:rPr>
          <w:rFonts w:eastAsia="Times New Roman" w:cs="Times New Roman"/>
          <w:szCs w:val="24"/>
          <w:lang w:val="en" w:bidi="en-US"/>
        </w:rPr>
        <w:t>The study found that g</w:t>
      </w:r>
      <w:r w:rsidRPr="00357E07">
        <w:rPr>
          <w:rFonts w:eastAsia="Times New Roman" w:cs="Times New Roman"/>
          <w:szCs w:val="24"/>
          <w:lang w:val="en" w:bidi="en-US"/>
        </w:rPr>
        <w:t xml:space="preserve">overnance challenges, such as the absence of dedicated IPC focal persons in some facilities and weak enforcement of national guidelines, undermine consistent implementation of IPC policies. </w:t>
      </w:r>
      <w:r>
        <w:rPr>
          <w:rFonts w:eastAsia="Times New Roman" w:cs="Times New Roman"/>
          <w:szCs w:val="24"/>
          <w:lang w:val="en" w:bidi="en-US"/>
        </w:rPr>
        <w:t xml:space="preserve">These gaps affect the full implementation of IPC strategies in hospitals, similar to findings from other studies </w:t>
      </w:r>
      <w:r>
        <w:rPr>
          <w:rFonts w:eastAsia="Times New Roman" w:cs="Times New Roman"/>
          <w:szCs w:val="24"/>
          <w:lang w:val="en" w:bidi="en-US"/>
        </w:rPr>
        <w:fldChar w:fldCharType="begin" w:fldLock="1"/>
      </w:r>
      <w:r>
        <w:rPr>
          <w:rFonts w:eastAsia="Times New Roman" w:cs="Times New Roman"/>
          <w:szCs w:val="24"/>
          <w:lang w:val="en" w:bidi="en-US"/>
        </w:rPr>
        <w:instrText>ADDIN CSL_CITATION {"citationItems":[{"id":"ITEM-1","itemData":{"DOI":"10.1016/j.jhin.2020.11.025","ISSN":"15322939","PMID":"33271215","abstract":"Background: Strengthening infection prevention and control (IPC) is essential to combat healthcare-associated infections, antimicrobial resistance, and to prevent and respond to outbreaks. Aim: To assess national IPC programmes worldwide according to the World Health Organization (WHO) IPC core components. Methods: Between June 1st, 2017 and November 30th, 2018, a multi-country, cross-sectional study was conducted, based on semi-structured interviews with national IPC focal points of countries that pledged to the WHO ‘Clean Care is Safer Care’ challenge. Results and differences between regions and national income levels were summarized using descriptive statistics. Findings: Eighty-eight of 103 (85.4%) eligible countries participated; 22.7% were low-income, 19.3% lower-middle-income, 23.9% upper-middle-income, and 34.1% high-income economies. A national IPC programme existed in 62.5%, but only 26.1% had a dedicated budget. National guidelines were available in 67.0%, but only 36.4% and 21.6% of countries had an implementation strategy and evaluated compliance with guidelines, respectively. Undergraduate IPC curriculum and in-service and postgraduate IPC training were reported by 35.2%, 54.5%, and 42% of countries, respectively. Healthcare-associated infection surveillance was reported by 46.6% of countries, with significant differences ranging from 83.3% (high-income) to zero (low-income) (P &lt; 0.001); monitoring and feedback of IPC indicators was reported by 65.9%. Only 12.5% of countries had all core components in place. Conclusion: Most countries have IPC programme and guidelines, but many less have invested adequate resources and translated them in implementation and monitoring, particularly in low-income countries. Leadership support at the national and global level is needed to achieve implementation of the core components in all countries.","author":[{"dropping-particle":"","family":"Tartari","given":"E.","non-dropping-particle":"","parse-names":false,"suffix":""},{"dropping-particle":"","family":"Tomczyk","given":"S.","non-dropping-particle":"","parse-names":false,"suffix":""},{"dropping-particle":"","family":"Pires","given":"D.","non-dropping-particle":"","parse-names":false,"suffix":""},{"dropping-particle":"","family":"Zayed","given":"B.","non-dropping-particle":"","parse-names":false,"suffix":""},{"dropping-particle":"","family":"Coutinho Rehse","given":"A. P.","non-dropping-particle":"","parse-names":false,"suffix":""},{"dropping-particle":"","family":"Kariyo","given":"P.","non-dropping-particle":"","parse-names":false,"suffix":""},{"dropping-particle":"","family":"Stempliuk","given":"V.","non-dropping-particle":"","parse-names":false,"suffix":""},{"dropping-particle":"","family":"Zingg","given":"W.","non-dropping-particle":"","parse-names":false,"suffix":""},{"dropping-particle":"","family":"Pittet","given":"D.","non-dropping-particle":"","parse-names":false,"suffix":""},{"dropping-particle":"","family":"Allegranzi","given":"B.","non-dropping-particle":"","parse-names":false,"suffix":""}],"container-title":"Journal of Hospital Infection","id":"ITEM-1","issued":{"date-parts":[["2021","2","1"]]},"page":"94-103","publisher":"W.B. Saunders Ltd","title":"Implementation of the infection prevention and control core components at the national level: a global situational analysis","type":"article-journal","volume":"108"},"uris":["http://www.mendeley.com/documents/?uuid=61ede6bd-30cd-389d-97c7-4bd390d66ee5"]},{"id":"ITEM-2","itemData":{"DOI":"10.1016/S2214-109X(24)00277-8","ISSN":"2214109X","PMID":"39304235","abstract":"Background: WHO infection prevention and control (IPC) minimum requirements provide standards to reduce the risk of infection during health-care delivery. We aimed to investigate the global implementation of these requirements at national levels and the progress of doing so across 2021–22 compared with 2017–18 to identify future directions for interventions. Methods: National IPC focal points were invited to complete an online survey measuring IPC minimum requirements from July 19, 2021, to Jan 31, 2022. The primary outcome was the proportion of countries meeting IPC minimum requirements. Country characteristics associated with this outcome were assessed with beta regression. Subset analyses were conducted to compare the 2021–22 indicators with a WHO IPC survey conducted in 2017–18 and to assess the correlation of the proportion of IPC minimum requirements met with the results of other WHO metrics. Findings: 106 countries (ie, 13 low income, 27 lower-middle income, 33 upper-middle income, and 33 high income) participated in the survey (56% response rate). Four (4%) of 106 met all IPC minimum requirements. The highest scoring IPC core component was multimodal improvement strategies and the lowest was IPC education and training. The odds of meeting IPC minimum requirements was higher among high-income countries compared with low-income countries (adjusted odds ratio 2·7, 95% CI 1·3–5·8; p=0·020). Compared with the 2017–18 survey, there was a significant increase in the proportion of countries reporting an active national IPC programme (65% to 82%, p=0·037) and a dedicated budget (26% to 44%, p=0·037). Evaluation of the IPC minimum requirements compared with other survey instruments revealed a low positive correlation. Interpretation: To build resilient health systems capable of withstanding future health threats, urgently scaling up adherence to WHO IPC minimum requirements is essential. Funding: WHO. Translations: For the French and Spanish translations of the abstract see Supplementary Materials section.","author":[{"dropping-particle":"","family":"Tartari","given":"Ermira","non-dropping-particle":"","parse-names":false,"suffix":""},{"dropping-particle":"","family":"Tomczyk","given":"Sara","non-dropping-particle":"","parse-names":false,"suffix":""},{"dropping-particle":"","family":"Twyman","given":"Anthony","non-dropping-particle":"","parse-names":false,"suffix":""},{"dropping-particle":"","family":"Rehse","given":"Ana Paula Coutinho","non-dropping-particle":"","parse-names":false,"suffix":""},{"dropping-particle":"","family":"Gomaa","given":"Mohamed","non-dropping-particle":"","parse-names":false,"suffix":""},{"dropping-particle":"","family":"Talaat","given":"Maha","non-dropping-particle":"","parse-names":false,"suffix":""},{"dropping-particle":"","family":"Shah","given":"Aparna Singh","non-dropping-particle":"","parse-names":false,"suffix":""},{"dropping-particle":"","family":"Sobel","given":"Howard","non-dropping-particle":"","parse-names":false,"suffix":""},{"dropping-particle":"","family":"Toledo","given":"Joao Paulo","non-dropping-particle":"","parse-names":false,"suffix":""},{"dropping-particle":"","family":"Allegranzi","given":"Benedetta","non-dropping-particle":"","parse-names":false,"suffix":""}],"container-title":"The Lancet Global Health","id":"ITEM-2","issue":"10","issued":{"date-parts":[["2024","10","1"]]},"page":"e1620-e1628","publisher":"Elsevier Ltd","title":"Evaluating national infection prevention and control minimum requirements: evidence from global cross-sectional surveys, 2017–22","type":"article-journal","volume":"12"},"uris":["http://www.mendeley.com/documents/?uuid=6abd9595-4ae9-386f-8375-6fd5e4b35eb5"]}],"mendeley":{"formattedCitation":"[109,114]","plainTextFormattedCitation":"[109,114]","previouslyFormattedCitation":"[109,114]"},"properties":{"noteIndex":0},"schema":"https://github.com/citation-style-language/schema/raw/master/csl-citation.json"}</w:instrText>
      </w:r>
      <w:r>
        <w:rPr>
          <w:rFonts w:eastAsia="Times New Roman" w:cs="Times New Roman"/>
          <w:szCs w:val="24"/>
          <w:lang w:val="en" w:bidi="en-US"/>
        </w:rPr>
        <w:fldChar w:fldCharType="separate"/>
      </w:r>
      <w:r w:rsidRPr="00323509">
        <w:rPr>
          <w:rFonts w:eastAsia="Times New Roman" w:cs="Times New Roman"/>
          <w:noProof/>
          <w:szCs w:val="24"/>
          <w:lang w:val="en" w:bidi="en-US"/>
        </w:rPr>
        <w:t>[109,114]</w:t>
      </w:r>
      <w:r>
        <w:rPr>
          <w:rFonts w:eastAsia="Times New Roman" w:cs="Times New Roman"/>
          <w:szCs w:val="24"/>
          <w:lang w:val="en" w:bidi="en-US"/>
        </w:rPr>
        <w:fldChar w:fldCharType="end"/>
      </w:r>
      <w:r>
        <w:rPr>
          <w:rFonts w:eastAsia="Times New Roman" w:cs="Times New Roman"/>
          <w:szCs w:val="24"/>
          <w:lang w:val="en" w:bidi="en-US"/>
        </w:rPr>
        <w:t xml:space="preserve">. </w:t>
      </w:r>
      <w:r w:rsidR="00875027">
        <w:rPr>
          <w:rFonts w:eastAsia="Times New Roman" w:cs="Times New Roman"/>
          <w:szCs w:val="24"/>
          <w:lang w:val="en" w:bidi="en-US"/>
        </w:rPr>
        <w:t>For a</w:t>
      </w:r>
      <w:r w:rsidR="00EE7503">
        <w:rPr>
          <w:rFonts w:eastAsia="Times New Roman" w:cs="Times New Roman"/>
          <w:szCs w:val="24"/>
          <w:lang w:val="en" w:bidi="en-US"/>
        </w:rPr>
        <w:t xml:space="preserve"> </w:t>
      </w:r>
      <w:r w:rsidR="00875027">
        <w:rPr>
          <w:rFonts w:eastAsia="Times New Roman" w:cs="Times New Roman"/>
          <w:szCs w:val="24"/>
          <w:lang w:val="en" w:bidi="en-US"/>
        </w:rPr>
        <w:t xml:space="preserve">functional and </w:t>
      </w:r>
      <w:r w:rsidR="00EE7503">
        <w:rPr>
          <w:rFonts w:eastAsia="Times New Roman" w:cs="Times New Roman"/>
          <w:szCs w:val="24"/>
          <w:lang w:val="en" w:bidi="en-US"/>
        </w:rPr>
        <w:t>effective IPC program</w:t>
      </w:r>
      <w:r w:rsidR="00875027">
        <w:rPr>
          <w:rFonts w:eastAsia="Times New Roman" w:cs="Times New Roman"/>
          <w:szCs w:val="24"/>
          <w:lang w:val="en" w:bidi="en-US"/>
        </w:rPr>
        <w:t>me</w:t>
      </w:r>
      <w:r w:rsidR="00EE7503">
        <w:rPr>
          <w:rFonts w:eastAsia="Times New Roman" w:cs="Times New Roman"/>
          <w:szCs w:val="24"/>
          <w:lang w:val="en" w:bidi="en-US"/>
        </w:rPr>
        <w:t xml:space="preserve">, there is a need of having a dedicated </w:t>
      </w:r>
      <w:r w:rsidR="00875027">
        <w:rPr>
          <w:rFonts w:eastAsia="Times New Roman" w:cs="Times New Roman"/>
          <w:szCs w:val="24"/>
          <w:lang w:val="en" w:bidi="en-US"/>
        </w:rPr>
        <w:t xml:space="preserve">focal point person to implement IPC measures </w:t>
      </w:r>
      <w:r w:rsidR="00875027">
        <w:rPr>
          <w:rFonts w:eastAsia="Times New Roman" w:cs="Times New Roman"/>
          <w:szCs w:val="24"/>
          <w:lang w:val="en" w:bidi="en-US"/>
        </w:rPr>
        <w:fldChar w:fldCharType="begin" w:fldLock="1"/>
      </w:r>
      <w:r w:rsidR="00716D1F">
        <w:rPr>
          <w:rFonts w:eastAsia="Times New Roman" w:cs="Times New Roman"/>
          <w:szCs w:val="24"/>
          <w:lang w:val="en" w:bidi="en-US"/>
        </w:rPr>
        <w:instrText>ADDIN CSL_CITATION {"citationItems":[{"id":"ITEM-1","itemData":{"DOI":"10.1186/s12879-023-08830-8","ISSN":"14712334","PMID":"37996811","abstract":"Background: The declaration of SARS-CoV-2 as a public health emergency of international concern in January 2020 prompted the need to strengthen infection prevention and control (IPC) capacities within health care facilities (HCF). IPC guidelines, with standard and transmission-based precautions to be put in place to prevent the spread of SARS-CoV-2 at these HCFs were developed. Based on these IPC guidelines, a rapid assessment scorecard tool, with 14 components, to enhance assessment and improvement of IPC measures at HCFs was developed. This study assessed the level of implementation of the IPC measures in HCFs across the African Region during the COVID-19 pandemic. Method: An observational study was conducted from April 2020 to November 2022 in 17 countries in the African Region to monitor the progress made in implementing IPC standard and transmission-based precautions in primary-, secondary- and tertiary-level HCFs. A total of 5168 primary, secondary and tertiary HCFs were assessed. The HCFs were assessed and scored each component of the tool. Statistical analyses were done using R (version 4.2.0). Results: A total of 11 564 assessments were conducted in 5153 HCFs, giving an average of 2.2 assessments per HCF. The baseline median score for the facility assessments was 60.2%. Tertiary HCFs and those dedicated to COVID-19 patients had the highest IPC scores. Tertiary-level HCFs had a median score of 70%, secondary-level HCFs 62.3% and primary-level HCFs 56.8%. HCFs dedicated to COVID-19 patients had the highest scores, with a median of 68.2%, followed by the mixed facilities that attended to both COVID-19 and non-COVID-19 patients, with 64.84%. On the components, there was a strong correlation between high IPC assessment scores and the presence of IPC focal points in HCFs, the availability of IPC guidelines in HCFs and HCFs that had all their health workers trained in basic IPC. Conclusion: In conclusion, a functional IPC programme with a dedicated focal person is a prerequisite for implementing improved IPC measures at the HCF level. In the absence of an epidemic, the general IPC standards in HCFs are low, as evidenced by the low scores in the non-COVID-19 treatment centres.","author":[{"dropping-particle":"","family":"Kabego","given":"Landry","non-dropping-particle":"","parse-names":false,"suffix":""},{"dropping-particle":"","family":"Balde","given":"Thierno","non-dropping-particle":"","parse-names":false,"suffix":""},{"dropping-particle":"","family":"Barasa","given":"Deborah","non-dropping-particle":"","parse-names":false,"suffix":""},{"dropping-particle":"","family":"Ndoye","given":"Babacar","non-dropping-particle":"","parse-names":false,"suffix":""},{"dropping-particle":"","family":"Hilde","given":"Okou Bisso","non-dropping-particle":"","parse-names":false,"suffix":""},{"dropping-particle":"","family":"Makamure","given":"Tendai","non-dropping-particle":"","parse-names":false,"suffix":""},{"dropping-particle":"","family":"Mulumeoderwa","given":"Guy Ohirweoluhya","non-dropping-particle":"","parse-names":false,"suffix":""},{"dropping-particle":"","family":"Kanyowa","given":"Trevor","non-dropping-particle":"","parse-names":false,"suffix":""},{"dropping-particle":"","family":"Kamara","given":"Rashidatu Fouad","non-dropping-particle":"","parse-names":false,"suffix":""},{"dropping-particle":"","family":"Hamadou","given":"Boiro","non-dropping-particle":"","parse-names":false,"suffix":""},{"dropping-particle":"","family":"Ogundiran","given":"Opeayo","non-dropping-particle":"","parse-names":false,"suffix":""},{"dropping-particle":"","family":"Okeibunor","given":"Joseph","non-dropping-particle":"","parse-names":false,"suffix":""},{"dropping-particle":"","family":"Williams","given":"George","non-dropping-particle":"","parse-names":false,"suffix":""},{"dropping-particle":"","family":"Tusiime","given":"Jayne Byakika","non-dropping-particle":"","parse-names":false,"suffix":""},{"dropping-particle":"","family":"Atuhebwe","given":"Phionah Lynn","non-dropping-particle":"","parse-names":false,"suffix":""},{"dropping-particle":"","family":"Oyugi","given":"Boniface","non-dropping-particle":"","parse-names":false,"suffix":""},{"dropping-particle":"","family":"Mawanda","given":"Elande Taty","non-dropping-particle":"","parse-names":false,"suffix":""},{"dropping-particle":"","family":"Razakamanantsoa","given":"Andry","non-dropping-particle":"","parse-names":false,"suffix":""},{"dropping-particle":"","family":"Braka","given":"Fiona","non-dropping-particle":"","parse-names":false,"suffix":""},{"dropping-particle":"","family":"Chamla","given":"Dick","non-dropping-particle":"","parse-names":false,"suffix":""},{"dropping-particle":"","family":"Gueye","given":"Abdou Salam","non-dropping-particle":"","parse-names":false,"suffix":""}],"container-title":"BMC Infectious Diseases","id":"ITEM-1","issue":"1","issued":{"date-parts":[["2023","12","1"]]},"page":"824","publisher":"BioMed Central Ltd","title":"Analysing the implementation of infection prevention and control measures in health care facilities during the COVID-19 pandemic in the African Region","type":"article-journal","volume":"23"},"uris":["http://www.mendeley.com/documents/?uuid=942ae601-5ec5-37b4-acab-73bfb926f917"]}],"mendeley":{"formattedCitation":"[115]","plainTextFormattedCitation":"[115]","previouslyFormattedCitation":"[115]"},"properties":{"noteIndex":0},"schema":"https://github.com/citation-style-language/schema/raw/master/csl-citation.json"}</w:instrText>
      </w:r>
      <w:r w:rsidR="00875027">
        <w:rPr>
          <w:rFonts w:eastAsia="Times New Roman" w:cs="Times New Roman"/>
          <w:szCs w:val="24"/>
          <w:lang w:val="en" w:bidi="en-US"/>
        </w:rPr>
        <w:fldChar w:fldCharType="separate"/>
      </w:r>
      <w:r w:rsidR="00875027" w:rsidRPr="00875027">
        <w:rPr>
          <w:rFonts w:eastAsia="Times New Roman" w:cs="Times New Roman"/>
          <w:noProof/>
          <w:szCs w:val="24"/>
          <w:lang w:val="en" w:bidi="en-US"/>
        </w:rPr>
        <w:t>[115]</w:t>
      </w:r>
      <w:r w:rsidR="00875027">
        <w:rPr>
          <w:rFonts w:eastAsia="Times New Roman" w:cs="Times New Roman"/>
          <w:szCs w:val="24"/>
          <w:lang w:val="en" w:bidi="en-US"/>
        </w:rPr>
        <w:fldChar w:fldCharType="end"/>
      </w:r>
      <w:r w:rsidR="00875027">
        <w:rPr>
          <w:rFonts w:eastAsia="Times New Roman" w:cs="Times New Roman"/>
          <w:szCs w:val="24"/>
          <w:lang w:val="en" w:bidi="en-US"/>
        </w:rPr>
        <w:t xml:space="preserve">. </w:t>
      </w:r>
      <w:r w:rsidRPr="00357E07">
        <w:rPr>
          <w:rFonts w:eastAsia="Times New Roman" w:cs="Times New Roman"/>
          <w:szCs w:val="24"/>
          <w:lang w:val="en" w:bidi="en-US"/>
        </w:rPr>
        <w:t>In</w:t>
      </w:r>
      <w:r>
        <w:rPr>
          <w:rFonts w:eastAsia="Times New Roman" w:cs="Times New Roman"/>
          <w:szCs w:val="24"/>
          <w:lang w:val="en" w:bidi="en-US"/>
        </w:rPr>
        <w:t xml:space="preserve"> the present study, inadequate financing, </w:t>
      </w:r>
      <w:r w:rsidRPr="00357E07">
        <w:rPr>
          <w:rFonts w:eastAsia="Times New Roman" w:cs="Times New Roman"/>
          <w:szCs w:val="24"/>
          <w:lang w:val="en" w:bidi="en-US"/>
        </w:rPr>
        <w:t>characterized by limited or non</w:t>
      </w:r>
      <w:r>
        <w:rPr>
          <w:rFonts w:eastAsia="Times New Roman" w:cs="Times New Roman"/>
          <w:szCs w:val="24"/>
          <w:lang w:val="en" w:bidi="en-US"/>
        </w:rPr>
        <w:t xml:space="preserve">-ring-fenced budget allocations, </w:t>
      </w:r>
      <w:r w:rsidRPr="00357E07">
        <w:rPr>
          <w:rFonts w:eastAsia="Times New Roman" w:cs="Times New Roman"/>
          <w:szCs w:val="24"/>
          <w:lang w:val="en" w:bidi="en-US"/>
        </w:rPr>
        <w:t>restricts investment in essential supplies, infrastructure, and training</w:t>
      </w:r>
      <w:r>
        <w:rPr>
          <w:rFonts w:eastAsia="Times New Roman" w:cs="Times New Roman"/>
          <w:szCs w:val="24"/>
          <w:lang w:val="en" w:bidi="en-US"/>
        </w:rPr>
        <w:t xml:space="preserve">. These challenges have been reported in other studies and affect the implementation of IPC in hospitals </w:t>
      </w:r>
      <w:r>
        <w:rPr>
          <w:rFonts w:eastAsia="Times New Roman" w:cs="Times New Roman"/>
          <w:szCs w:val="24"/>
          <w:lang w:val="en" w:bidi="en-US"/>
        </w:rPr>
        <w:fldChar w:fldCharType="begin" w:fldLock="1"/>
      </w:r>
      <w:r w:rsidR="00716D1F">
        <w:rPr>
          <w:rFonts w:eastAsia="Times New Roman" w:cs="Times New Roman"/>
          <w:szCs w:val="24"/>
          <w:lang w:val="en" w:bidi="en-US"/>
        </w:rPr>
        <w:instrText>ADDIN CSL_CITATION {"citationItems":[{"id":"ITEM-1","itemData":{"DOI":"10.1186/s13031-021-00428-8","ISSN":"17521505","abstract":"Background: Healthcare associated infections (HAIs) are the most frequent adverse outcome in healthcare delivery worldwide. In conflict-affected settings HAIs, in particular surgical site infections, are prevalent. Effective infection prevention and control (IPC) is crucial to ending avoidable HAIs and an integral part of safe, effective, high quality health service delivery. However, armed conflict and widespread violence can negatively affect the quality of health care through workforce shortages, supply chain disruptions and attacks on health facilities and staff. To improve IPC in these settings it is necessary to understand the specific barriers and facilitators experienced locally. Methods: In January and February of 2020, we conducted semi-structured interviews with hospital staff working for the International Committee of the Red Cross across eight conflict-affected countries (Central African Republic, South Sudan, Democratic Republic of the Congo, Mali, Nigeria, Lebanon, Yemen and Afghanistan). We explored barriers and facilitators to IPC, as well as the direct impact of conflict on the hospital and its’ IPC programme. Data was analysed thematically. Results: We found that inadequate hospital infrastructure, resource and workforce shortages, education of staff, inadequate in-service IPC training and supervision and large visitor numbers are barriers to IPC in hospitals in this study, similar to barriers seen in other resource-limited settings. High patient numbers, supply chain disruptions, high infection rates and attacks on healthcare infrastructures, all as a direct result of conflict, exacerbated existing challenges and imposed an additional burden on hospitals and their IPC programmes. We also found examples of local strategies for improving IPC in the face of limited resources, including departmental IPC champions and illustrated guidelines for in-service training. Conclusions: Hospitals included in this study demonstrated how they overcame certain challenges in the face of limited resources and funding. These strategies present opportunities for learning and knowledge exchange across contexts, particularly in the face of the current global coronavirus pandemic. The findings are increasingly relevant today as they provide evidence of the fragility of IPC programmes in these settings. More research is required on tailoring IPC programmes so that they can be feasible and sustainable in unstable settings.","author":[{"dropping-particle":"","family":"Lowe","given":"Hattie","non-dropping-particle":"","parse-names":false,"suffix":""},{"dropping-particle":"","family":"Woodd","given":"Susannah","non-dropping-particle":"","parse-names":false,"suffix":""},{"dropping-particle":"","family":"Lange","given":"Isabelle L.","non-dropping-particle":"","parse-names":false,"suffix":""},{"dropping-particle":"","family":"Janjanin","given":"Sanja","non-dropping-particle":"","parse-names":false,"suffix":""},{"dropping-particle":"","family":"Barnett","given":"Julie","non-dropping-particle":"","parse-names":false,"suffix":""},{"dropping-particle":"","family":"Graham","given":"Wendy","non-dropping-particle":"","parse-names":false,"suffix":""}],"container-title":"Conflict and Health","id":"ITEM-1","issue":"1","issued":{"date-parts":[["2021","12","1"]]},"page":"94","publisher":"BioMed Central Ltd","title":"Challenges and opportunities for infection prevention and control in hospitals in conflict-affected settings: a qualitative study","type":"article-journal","volume":"15"},"uris":["http://www.mendeley.com/documents/?uuid=cb696fc6-bf4b-3747-ba69-d279fe35f77b"]},{"id":"ITEM-2","itemData":{"DOI":"10.1186/s13756-023-01344-7","ISSN":"20472994","PMID":"38331974","abstract":"The 5th edition of the Global Ministerial Summit on Patient Safety was held in Montreux, Switzerland, in February 2023, delayed by three years due to the COVID-19 pandemic. The overarching theme of the summit was “Less Harm, Better Care – from Resolution to Implementation”, focusing on the challenges of implementation of infection prevention and control (IPC) strategies as well as antimicrobial stewardship programs (ASP) around the world. IPC strategies and ASP are of increasing importance due to the substantial burden of healthcare-associated infections and antimicrobial resistance threatening patient safety. Here, we summarize countries’ and regional experiences and activities related to the implementation of IPC strategies and ASP shared at the meeting. Full implementation of effective programs remains a major challenge in all settings due to limited support by political and healthcare leaders, and human and financial constraints. In addition, the COVID-19 pandemic challenged already well-established programs. By enforcing sustained implementation by dedicated, cross-disciplinary healthcare personnel with a broad skill set, a reduction in healthcare-associated infections and multidrug-resistant pathogens can be achieved, leading ultimately to improved patient safety.","author":[{"dropping-particle":"","family":"Büchler","given":"Andrea C.","non-dropping-particle":"","parse-names":false,"suffix":""},{"dropping-particle":"","family":"Haddad Galas","given":"Murielle","non-dropping-particle":"","parse-names":false,"suffix":""},{"dropping-particle":"","family":"Buetti","given":"Niccolò","non-dropping-particle":"","parse-names":false,"suffix":""},{"dropping-particle":"","family":"Alp","given":"Emine","non-dropping-particle":"","parse-names":false,"suffix":""},{"dropping-particle":"","family":"Apisarnthanarak","given":"Anucha","non-dropping-particle":"","parse-names":false,"suffix":""},{"dropping-particle":"","family":"Dziekan","given":"Gerald","non-dropping-particle":"","parse-names":false,"suffix":""},{"dropping-particle":"","family":"Fabre","given":"Valeria","non-dropping-particle":"","parse-names":false,"suffix":""},{"dropping-particle":"","family":"Gottwalt","given":"Simon","non-dropping-particle":"","parse-names":false,"suffix":""},{"dropping-particle":"","family":"Jindai","given":"Kazuaki","non-dropping-particle":"","parse-names":false,"suffix":""},{"dropping-particle":"","family":"Ndoye","given":"Babacar","non-dropping-particle":"","parse-names":false,"suffix":""},{"dropping-particle":"","family":"Márquez Villareal","given":"Hilda","non-dropping-particle":"","parse-names":false,"suffix":""},{"dropping-particle":"","family":"Otaiza","given":"Fernando","non-dropping-particle":"","parse-names":false,"suffix":""},{"dropping-particle":"","family":"Pittet","given":"Didier","non-dropping-particle":"","parse-names":false,"suffix":""},{"dropping-particle":"","family":"Schellack","given":"Natalie","non-dropping-particle":"","parse-names":false,"suffix":""},{"dropping-particle":"","family":"Gardiol","given":"Céline","non-dropping-particle":"","parse-names":false,"suffix":""},{"dropping-particle":"","family":"Harbarth","given":"Stephan","non-dropping-particle":"","parse-names":false,"suffix":""}],"container-title":"Antimicrobial Resistance and Infection Control","id":"ITEM-2","issue":"1","issued":{"date-parts":[["2024","12","1"]]},"page":"16","publisher":"BioMed Central Ltd","title":"Challenges and success stories of the implementation of infection control and antimicrobial stewardship strategies: proceedings of the 5th Global Ministerial Summit on Patient Safety, 2023","type":"article-journal","volume":"13"},"uris":["http://www.mendeley.com/documents/?uuid=8334e947-5e57-3a52-8ce5-2bddb071f3d6"]},{"id":"ITEM-3","itemData":{"DOI":"10.1186/s13756-025-01544-3","ISSN":"20472994","abstract":"Background: In EU countries, 33,000 people die of antibiotic-resistant infections annually, and Türkiye is one of the countries with the highest rate of antimicrobial resistance. More than 70% of these infections are directly related to healthcare-associated infections (HAIs). Implementing IPC measures is critical to preventing HAIs in ICUs, with the highest risk of HAIs. However, compliance with IPC measures by HCWs is suboptimal. In this study, we aimed to identify the barriers to compliance with infection prevention and control (IPC) measures in intensive care units (ICUs) and to find solutions by interviewing healthcare workers (HCWs). Methods: The study used a qualitative approach with in-depth face-to-face interviews. Between March 1 and May 31, 2024, 20 HCWs were interviewed in five tertiary hospitals in Istanbul. Purposive sampling included at least three HCWs from each hospital: an IPC nurse or physician, an ICU physician, and an ICU nurse. The conceptual framework of the semi-structured interview guide was based on the Health Belief Model (HBM). Results: The majority of HCWs were aware of the importance and benefits of IPC measures; however, none reported full compliance. A significant proportion of HCWs (n = 16) reported that in-service training programs conducted by infection control committees were not effective enough to positively influence staff behaviuor. Increased workload (n = 13) and unexpected medical emergencies interrupting IPC activities (n = 13) were also cited as barriers to compliance. More than half of respondents indicated that increased sanctions (n = 11), stricter control mechanisms (n = 11), and more effective IPC training programs (n = 11) would help improve compliance rates. Conclusions: Addressing barriers and implementing tailored solutions can significantly enhance compliance. By integrating innovative training programs, improving working conditions, and strengthening enforcement mechanisms, hospital administrators and IPC committees can foster a safer environment for patients, HCWs, and the broader community.","author":[{"dropping-particle":"","family":"Madran","given":"Bahar","non-dropping-particle":"","parse-names":false,"suffix":""},{"dropping-particle":"","family":"Demir","given":"Zeynep Ilgin","non-dropping-particle":"","parse-names":false,"suffix":""},{"dropping-particle":"","family":"Yalcin","given":"Busra","non-dropping-particle":"","parse-names":false,"suffix":""},{"dropping-particle":"","family":"Ayaz","given":"Oguz Taha","non-dropping-particle":"","parse-names":false,"suffix":""},{"dropping-particle":"","family":"Iyikosker","given":"Kaan","non-dropping-particle":"","parse-names":false,"suffix":""},{"dropping-particle":"","family":"Keskin","given":"Aleyna","non-dropping-particle":"","parse-names":false,"suffix":""},{"dropping-particle":"","family":"Gorel","given":"Azra","non-dropping-particle":"","parse-names":false,"suffix":""},{"dropping-particle":"","family":"Aksoy","given":"Yunus","non-dropping-particle":"","parse-names":false,"suffix":""},{"dropping-particle":"","family":"Sagaltici","given":"Nilayda","non-dropping-particle":"","parse-names":false,"suffix":""},{"dropping-particle":"","family":"Hacioglu","given":"Koray","non-dropping-particle":"","parse-names":false,"suffix":""},{"dropping-particle":"","family":"Kayi","given":"Ilker","non-dropping-particle":"","parse-names":false,"suffix":""},{"dropping-particle":"","family":"Ergönül","given":"Önder","non-dropping-particle":"","parse-names":false,"suffix":""},{"dropping-particle":"","family":"Sakarya","given":"Sibel","non-dropping-particle":"","parse-names":false,"suffix":""},{"dropping-particle":"","family":"Keske","given":"Şiran","non-dropping-particle":"","parse-names":false,"suffix":""}],"container-title":"Antimicrobial Resistance and Infection Control","id":"ITEM-3","issue":"1","issued":{"date-parts":[["2025","12","1"]]},"page":"71","publisher":"BioMed Central Ltd","title":"Reasons for insufficient compliance with infection prevention and control measures in the intensive care unit: a qualitative study conducted in Türkiye in 2024","type":"article-journal","volume":"14"},"uris":["http://www.mendeley.com/documents/?uuid=e2decc14-6884-373e-a395-c6db43aebb45"]},{"id":"ITEM-4","itemData":{"DOI":"10.1016/J.IDH.2025.03.005","ISSN":"2468-0451","author":[{"dropping-particle":"","family":"Asghar","given":"Saima","non-dropping-particle":"","parse-names":false,"suffix":""},{"dropping-particle":"","family":"Atif","given":"Muhammad","non-dropping-particle":"","parse-names":false,"suffix":""},{"dropping-particle":"","family":"Masood","given":"Imran","non-dropping-particle":"","parse-names":false,"suffix":""},{"dropping-particle":"","family":"Khan","given":"Madiha","non-dropping-particle":"","parse-names":false,"suffix":""}],"container-title":"Infection, Disease &amp; Health","id":"ITEM-4","issue":"3","issued":{"date-parts":[["2025","4","7"]]},"page":"260-283","publisher":"Elsevier","title":"A comprehensive review of current status of infection prevention and control program in low- and middle-income countries","type":"article-journal","volume":"30"},"uris":["http://www.mendeley.com/documents/?uuid=8e705de3-4e18-33bc-a493-f2be7600d663"]}],"mendeley":{"formattedCitation":"[99,116–118]","plainTextFormattedCitation":"[99,116–118]","previouslyFormattedCitation":"[99,116–118]"},"properties":{"noteIndex":0},"schema":"https://github.com/citation-style-language/schema/raw/master/csl-citation.json"}</w:instrText>
      </w:r>
      <w:r>
        <w:rPr>
          <w:rFonts w:eastAsia="Times New Roman" w:cs="Times New Roman"/>
          <w:szCs w:val="24"/>
          <w:lang w:val="en" w:bidi="en-US"/>
        </w:rPr>
        <w:fldChar w:fldCharType="separate"/>
      </w:r>
      <w:r w:rsidR="00875027" w:rsidRPr="00875027">
        <w:rPr>
          <w:rFonts w:eastAsia="Times New Roman" w:cs="Times New Roman"/>
          <w:noProof/>
          <w:szCs w:val="24"/>
          <w:lang w:val="en" w:bidi="en-US"/>
        </w:rPr>
        <w:t>[99,116–118]</w:t>
      </w:r>
      <w:r>
        <w:rPr>
          <w:rFonts w:eastAsia="Times New Roman" w:cs="Times New Roman"/>
          <w:szCs w:val="24"/>
          <w:lang w:val="en" w:bidi="en-US"/>
        </w:rPr>
        <w:fldChar w:fldCharType="end"/>
      </w:r>
      <w:r>
        <w:rPr>
          <w:rFonts w:eastAsia="Times New Roman" w:cs="Times New Roman"/>
          <w:szCs w:val="24"/>
          <w:lang w:val="en" w:bidi="en-US"/>
        </w:rPr>
        <w:t>. Our study further found that w</w:t>
      </w:r>
      <w:r w:rsidRPr="00357E07">
        <w:rPr>
          <w:rFonts w:eastAsia="Times New Roman" w:cs="Times New Roman"/>
          <w:szCs w:val="24"/>
          <w:lang w:val="en" w:bidi="en-US"/>
        </w:rPr>
        <w:t xml:space="preserve">eaknesses in supply chain systems further exacerbate these constraints, with frequent shortages of PPE, disinfectants, and sterilization materials disrupting adherence to IPC protocols. </w:t>
      </w:r>
      <w:r>
        <w:rPr>
          <w:rFonts w:eastAsia="Times New Roman" w:cs="Times New Roman"/>
          <w:szCs w:val="24"/>
          <w:lang w:val="en" w:bidi="en-US"/>
        </w:rPr>
        <w:t xml:space="preserve">Similar findings were reported in Nigeria where inadequate IPC materials affected the implementation of IPC in hospitals </w:t>
      </w:r>
      <w:r>
        <w:rPr>
          <w:rFonts w:eastAsia="Times New Roman" w:cs="Times New Roman"/>
          <w:szCs w:val="24"/>
          <w:lang w:val="en" w:bidi="en-US"/>
        </w:rPr>
        <w:fldChar w:fldCharType="begin" w:fldLock="1"/>
      </w:r>
      <w:r w:rsidR="006F1480">
        <w:rPr>
          <w:rFonts w:eastAsia="Times New Roman" w:cs="Times New Roman"/>
          <w:szCs w:val="24"/>
          <w:lang w:val="en" w:bidi="en-US"/>
        </w:rPr>
        <w:instrText>ADDIN CSL_CITATION {"citationItems":[{"id":"ITEM-1","itemData":{"DOI":"10.1016/j.idnow.2024.104877","ISSN":"26669919","PMID":"38395258","abstract":"Objective: While infection prevention and control are of paramount importance, up until recently an assessment of implementation challenges and performance gaps was lacking. This study explored the barriers to infection prevention and control implementation at selected healthcare facilities, the objective being to find ways to improve their programs. Material and Method: A qualitative approach was applied. Purposive sampling was used to select thirty-three healthcare facilities in Ekiti State, Nigeria. They were globally assessed, and an Infection Prevention and Control team, represented by the Infection Prevention and Control referent in each of the selected facilities trained the participants. Data were collected using the Key Informant Interview Guide and analyzed by means of content and thematic analyses using Atlas.ti software. Results: Inadequate infection prevention and control materials, poor waste management, non-compliance of patients with infection prevention and control protocols, and poor infrastructure were identified as major barriers to infection prevention and control implementation. Conclusion: The study concluded that a number of identified factors hindering infection prevention and control implementation in healthcare facilities in Ekiti State needed to be addressed.","author":[{"dropping-particle":"","family":"Falana","given":"Rachael O.A.","non-dropping-particle":"","parse-names":false,"suffix":""},{"dropping-particle":"","family":"Ogidan","given":"Oluwakemi C.","non-dropping-particle":"","parse-names":false,"suffix":""},{"dropping-particle":"","family":"Fajemilehin","given":"Boluwaji R.","non-dropping-particle":"","parse-names":false,"suffix":""}],"container-title":"Infectious Diseases Now","id":"ITEM-1","issue":"3","issued":{"date-parts":[["2024","4","1"]]},"page":"104877","publisher":"Elsevier Masson","title":"Barriers to infection prevention and control implementation in selected healthcare facilities in Nigeria","type":"article-journal","volume":"54"},"uris":["http://www.mendeley.com/documents/?uuid=de7b437e-501b-3eeb-8806-ae9ef7f4b623"]}],"mendeley":{"formattedCitation":"[119]","plainTextFormattedCitation":"[119]","previouslyFormattedCitation":"[119]"},"properties":{"noteIndex":0},"schema":"https://github.com/citation-style-language/schema/raw/master/csl-citation.json"}</w:instrText>
      </w:r>
      <w:r>
        <w:rPr>
          <w:rFonts w:eastAsia="Times New Roman" w:cs="Times New Roman"/>
          <w:szCs w:val="24"/>
          <w:lang w:val="en" w:bidi="en-US"/>
        </w:rPr>
        <w:fldChar w:fldCharType="separate"/>
      </w:r>
      <w:r w:rsidR="00875027" w:rsidRPr="00875027">
        <w:rPr>
          <w:rFonts w:eastAsia="Times New Roman" w:cs="Times New Roman"/>
          <w:noProof/>
          <w:szCs w:val="24"/>
          <w:lang w:val="en" w:bidi="en-US"/>
        </w:rPr>
        <w:t>[119]</w:t>
      </w:r>
      <w:r>
        <w:rPr>
          <w:rFonts w:eastAsia="Times New Roman" w:cs="Times New Roman"/>
          <w:szCs w:val="24"/>
          <w:lang w:val="en" w:bidi="en-US"/>
        </w:rPr>
        <w:fldChar w:fldCharType="end"/>
      </w:r>
      <w:r>
        <w:rPr>
          <w:rFonts w:eastAsia="Times New Roman" w:cs="Times New Roman"/>
          <w:szCs w:val="24"/>
          <w:lang w:val="en" w:bidi="en-US"/>
        </w:rPr>
        <w:t>. The present study also found that</w:t>
      </w:r>
      <w:r w:rsidRPr="00357E07">
        <w:rPr>
          <w:rFonts w:eastAsia="Times New Roman" w:cs="Times New Roman"/>
          <w:szCs w:val="24"/>
          <w:lang w:val="en" w:bidi="en-US"/>
        </w:rPr>
        <w:t xml:space="preserve"> in some hospitals, low prioritization of IPC by leadership and inconsistent staff compliance reflect competing demands, limited training opportunities, and insufficient role modelling. </w:t>
      </w:r>
      <w:r>
        <w:rPr>
          <w:rFonts w:eastAsia="Times New Roman" w:cs="Times New Roman"/>
          <w:szCs w:val="24"/>
          <w:lang w:val="en" w:bidi="en-US"/>
        </w:rPr>
        <w:t xml:space="preserve">Lack of leadership support to implement IPC in hospitals has been reported to affect the effective prevention of infections </w:t>
      </w:r>
      <w:r>
        <w:rPr>
          <w:rFonts w:eastAsia="Times New Roman" w:cs="Times New Roman"/>
          <w:szCs w:val="24"/>
          <w:lang w:val="en" w:bidi="en-US"/>
        </w:rPr>
        <w:fldChar w:fldCharType="begin" w:fldLock="1"/>
      </w:r>
      <w:r w:rsidR="00716D1F">
        <w:rPr>
          <w:rFonts w:eastAsia="Times New Roman" w:cs="Times New Roman"/>
          <w:szCs w:val="24"/>
          <w:lang w:val="en" w:bidi="en-US"/>
        </w:rPr>
        <w:instrText>ADDIN CSL_CITATION {"citationItems":[{"id":"ITEM-1","itemData":{"DOI":"10.4102/hsag.v27i0.2033","ISSN":"20719736","abstract":"Background: Infection prevention and control (IPC) programmes were introduced to combat healthcare-associated infections and antimicrobial resistance and to facilitate the implementation of IPC measures. The implementation of policies and guidelines results in effective service delivery. Aim: The purpose of the study was to explore nurses’ experiences and perceptions regarding the impediments to implementing the IPC measures. Setting: The study was conducted in three public hospitals in Gauteng Province, South Africa. Methods: A qualitative exploratory design was used, and 49 nurses were purposively selected from three public hospitals to understand their experiences and perceptions regarding the impediments to implementing the IPC measures. Five focus group discussions were conducted using semi-structured interviews. Tesch’s eight steps method was used to analyse data resulting in three main themes and seven sub-themes. Results: Three main themes emerged. Nurses experienced challenges regarding knowledge and attitudes towards IPC measures, inadequate hospital infrastructure and lack of management support. Conclusion: The lack of infection prevention control knowledge, infrastructure and management support impede the implementation of IPC measures. Consistent support in terms of training, resources and infrastructure is essential for implementing the measures. Contribution: The findings in this study will empower the nurses, doctors and managers with knowledge in implementing IPC measures to improve the infection prevention programme.","author":[{"dropping-particle":"","family":"Magadze","given":"Thizwilondi A.","non-dropping-particle":"","parse-names":false,"suffix":""},{"dropping-particle":"","family":"Nkhwashu","given":"Tinyiko E.","non-dropping-particle":"","parse-names":false,"suffix":""},{"dropping-particle":"","family":"Moloko","given":"Sophy M.","non-dropping-particle":"","parse-names":false,"suffix":""},{"dropping-particle":"","family":"Chetty","given":"Dayanithee","non-dropping-particle":"","parse-names":false,"suffix":""}],"container-title":"Health SA Gesondheid","id":"ITEM-1","issued":{"date-parts":[["2022"]]},"page":"2033","publisher":"AOSIS OpenJournals Publishing AOSIS (Pty) Ltd","title":"The impediments of implementing infection prevention control in public hospitals: Nurses’ perspectives","type":"article-journal","volume":"27"},"uris":["http://www.mendeley.com/documents/?uuid=663ecf62-911b-36c7-859e-c0d798d59eb7"]},{"id":"ITEM-2","itemData":{"DOI":"10.1007/s40506-019-00200-w","ISSN":"1534-6250","abstract":"Healthcare-associated infections (HAIs) and rising antimicrobial resistance (AMR) have posed a major challenge in patient care across the globe, more so in lower-middle-income countries (LMICs). Studies have shown that implementation of an effective infection prevention and control (IPC) program reduces incidence of HAI to a large extent. However, implementation of such a program in low-resource setting has many challenges. Research have shown that gaps exist due to absence of political will, trained manpower, and alternate healthcare priorities. With progress in science of healthcare epidemiology and digital communication, opportunities to establish an effective IPC program at minimal cost is possible. In this review, we explore ways the existing challenges can be mitigated in LMICs. In recent times, the UN general assembly along with World Health Organization (2015) and member countries took a resolution to come up with an action plan to tackle the rising threat of AMR by strengthening IPC programs at national level. We reviewed the progress made by the developing countries in their efforts to implement the program.","author":[{"dropping-particle":"","family":"Sengupta","given":"Sharmila","non-dropping-particle":"","parse-names":false,"suffix":""},{"dropping-particle":"","family":"Barman","given":"Purabi","non-dropping-particle":"","parse-names":false,"suffix":""},{"dropping-particle":"","family":"Lo","given":"Jamie","non-dropping-particle":"","parse-names":false,"suffix":""}],"container-title":"Current Treatment Options in Infectious Diseases","id":"ITEM-2","issue":"3","issued":{"date-parts":[["2019","7","27"]]},"page":"267-280","publisher":"Springer","title":"Opportunities to Overcome Implementation Challenges of Infection Prevention and Control in Low-Middle Income Countries","type":"article-journal","volume":"11"},"uris":["http://www.mendeley.com/documents/?uuid=0d36a205-1de7-3970-af08-9fa3b8fd1578"]}],"mendeley":{"formattedCitation":"[64,120]","plainTextFormattedCitation":"[64,120]","previouslyFormattedCitation":"[64,120]"},"properties":{"noteIndex":0},"schema":"https://github.com/citation-style-language/schema/raw/master/csl-citation.json"}</w:instrText>
      </w:r>
      <w:r>
        <w:rPr>
          <w:rFonts w:eastAsia="Times New Roman" w:cs="Times New Roman"/>
          <w:szCs w:val="24"/>
          <w:lang w:val="en" w:bidi="en-US"/>
        </w:rPr>
        <w:fldChar w:fldCharType="separate"/>
      </w:r>
      <w:r w:rsidR="00875027" w:rsidRPr="00875027">
        <w:rPr>
          <w:rFonts w:eastAsia="Times New Roman" w:cs="Times New Roman"/>
          <w:noProof/>
          <w:szCs w:val="24"/>
          <w:lang w:val="en" w:bidi="en-US"/>
        </w:rPr>
        <w:t>[64,120]</w:t>
      </w:r>
      <w:r>
        <w:rPr>
          <w:rFonts w:eastAsia="Times New Roman" w:cs="Times New Roman"/>
          <w:szCs w:val="24"/>
          <w:lang w:val="en" w:bidi="en-US"/>
        </w:rPr>
        <w:fldChar w:fldCharType="end"/>
      </w:r>
      <w:r>
        <w:rPr>
          <w:rFonts w:eastAsia="Times New Roman" w:cs="Times New Roman"/>
          <w:szCs w:val="24"/>
          <w:lang w:val="en" w:bidi="en-US"/>
        </w:rPr>
        <w:t>. Addressing these gaps is critical to full implementation of IPC strategies in hospitals.</w:t>
      </w:r>
    </w:p>
    <w:p w14:paraId="61028205" w14:textId="444AEA07" w:rsidR="00357E07" w:rsidRPr="003F4633" w:rsidRDefault="00F90C32" w:rsidP="003F4633">
      <w:pPr>
        <w:spacing w:before="0" w:line="360" w:lineRule="auto"/>
        <w:jc w:val="both"/>
        <w:rPr>
          <w:rFonts w:eastAsia="Times New Roman" w:cs="Times New Roman"/>
          <w:szCs w:val="24"/>
          <w:lang w:val="en" w:bidi="en-US"/>
        </w:rPr>
      </w:pPr>
      <w:r>
        <w:rPr>
          <w:rFonts w:eastAsia="Times New Roman" w:cs="Times New Roman"/>
          <w:szCs w:val="24"/>
          <w:lang w:val="en" w:bidi="en-US"/>
        </w:rPr>
        <w:t xml:space="preserve">Our study revealed </w:t>
      </w:r>
      <w:r w:rsidR="00357E07" w:rsidRPr="00357E07">
        <w:rPr>
          <w:rFonts w:eastAsia="Times New Roman" w:cs="Times New Roman"/>
          <w:szCs w:val="24"/>
          <w:lang w:val="en" w:bidi="en-US"/>
        </w:rPr>
        <w:t xml:space="preserve">several facilitators </w:t>
      </w:r>
      <w:r>
        <w:rPr>
          <w:rFonts w:eastAsia="Times New Roman" w:cs="Times New Roman"/>
          <w:szCs w:val="24"/>
          <w:lang w:val="en" w:bidi="en-US"/>
        </w:rPr>
        <w:t>of IPC implementation in some hospitals</w:t>
      </w:r>
      <w:r w:rsidR="00357E07" w:rsidRPr="00357E07">
        <w:rPr>
          <w:rFonts w:eastAsia="Times New Roman" w:cs="Times New Roman"/>
          <w:szCs w:val="24"/>
          <w:lang w:val="en" w:bidi="en-US"/>
        </w:rPr>
        <w:t xml:space="preserve">, including the presence of active IPC committees, supportive leadership in certain facilities, and existing national guidelines that provide a structured framework for implementation. Donor-supported programs offering training and procurement support also helped to strengthen IPC in specific settings. </w:t>
      </w:r>
      <w:r w:rsidR="00487422">
        <w:rPr>
          <w:rFonts w:eastAsia="Times New Roman" w:cs="Times New Roman"/>
          <w:szCs w:val="24"/>
          <w:lang w:val="en" w:bidi="en-US"/>
        </w:rPr>
        <w:t xml:space="preserve">These facilitators of IPC implementation have been recommended for LMICs, such as Zambia </w:t>
      </w:r>
      <w:r w:rsidR="00487422">
        <w:rPr>
          <w:rFonts w:eastAsia="Times New Roman" w:cs="Times New Roman"/>
          <w:szCs w:val="24"/>
          <w:lang w:val="en" w:bidi="en-US"/>
        </w:rPr>
        <w:fldChar w:fldCharType="begin" w:fldLock="1"/>
      </w:r>
      <w:r w:rsidR="002B46FA">
        <w:rPr>
          <w:rFonts w:eastAsia="Times New Roman" w:cs="Times New Roman"/>
          <w:szCs w:val="24"/>
          <w:lang w:val="en" w:bidi="en-US"/>
        </w:rPr>
        <w:instrText>ADDIN CSL_CITATION {"citationItems":[{"id":"ITEM-1","itemData":{"DOI":"10.1186/s13756-021-00962-3","ISSN":"20472994","PMID":"34332622","abstract":"Background: The coronavirus disease-2019 (COVID-19) pandemic has again demonstrated the critical role of effective infection prevention and control (IPC) implementation to combat infectious disease threats. Standards such as the World Health Organization (WHO) IPC minimum requirements offer a basis, but robust evidence on effective IPC implementation strategies in low-resource settings remains limited. We aimed to qualitatively assess IPC implementation themes in these settings. Methods: Semi-structured interviews were conducted with IPC experts from low-resource settings, guided by a standardised questionnaire. Applying a qualitative inductive thematic analysis, IPC implementation examples from interview transcripts were coded, collated into sub-themes, grouped again into broad themes, and finally reviewed to ensure validity. Sub-themes appearing ≥ 3 times in data were highlighted as frequent IPC implementation themes and all findings were summarised descriptively. Results: Interviews were conducted with IPC experts from 29 countries in six WHO regions. Frequent IPC implementation themes including the related critical actions to achieve the WHO IPC core components included: (1) To develop IPC programmes: continuous advocacy with leadership, initial external technical assistance, stepwise approach to build resources, use of catalysts, linkages with other programmes, role of national IPC associations and normative legal actions; (2) To develop guidelines: early planning for their operationalization, initial external technical assistance and local guideline adaption; (3) To establish training: attention to methods, fostering local leadership, and sustainable health system linkages such as developing an IPC career path; (4) To establish health care-associated (HAI) surveillance: feasible but high-impact pilots, multidisciplinary collaboration, mentorship, careful consideration of definitions and data quality, and “data for action”; (5) To implement multimodal strategies: clear communication to explain multimodal strategies, attention to certain elements, and feasible but high-impact pilots; (6) To develop monitoring, audit and feedback: feasible but high-impact pilots, attention to methods such as positive (not punitive) incentives and “data for action”; (7) To improve staffing and bed occupancy: participation of national actors to set standards and attention to methods such as use of data; and (8) To promote built environment: involvement of IPC professio…","author":[{"dropping-particle":"","family":"Tomczyk","given":"Sara","non-dropping-particle":"","parse-names":false,"suffix":""},{"dropping-particle":"","family":"Storr","given":"Julie","non-dropping-particle":"","parse-names":false,"suffix":""},{"dropping-particle":"","family":"Kilpatrick","given":"Claire","non-dropping-particle":"","parse-names":false,"suffix":""},{"dropping-particle":"","family":"Allegranzi","given":"Benedetta","non-dropping-particle":"","parse-names":false,"suffix":""}],"container-title":"Antimicrobial Resistance and Infection Control","id":"ITEM-1","issue":"1","issued":{"date-parts":[["2021","12","1"]]},"page":"113","publisher":"BioMed Central Ltd","title":"Infection prevention and control (IPC) implementation in low-resource settings: a qualitative analysis","type":"article-journal","volume":"10"},"uris":["http://www.mendeley.com/documents/?uuid=667d1007-aecf-3dc9-b08a-4cb379536d9a"]},{"id":"ITEM-2","itemData":{"DOI":"10.1007/s40506-019-00200-w","ISSN":"1534-6250","abstract":"Healthcare-associated infections (HAIs) and rising antimicrobial resistance (AMR) have posed a major challenge in patient care across the globe, more so in lower-middle-income countries (LMICs). Studies have shown that implementation of an effective infection prevention and control (IPC) program reduces incidence of HAI to a large extent. However, implementation of such a program in low-resource setting has many challenges. Research have shown that gaps exist due to absence of political will, trained manpower, and alternate healthcare priorities. With progress in science of healthcare epidemiology and digital communication, opportunities to establish an effective IPC program at minimal cost is possible. In this review, we explore ways the existing challenges can be mitigated in LMICs. In recent times, the UN general assembly along with World Health Organization (2015) and member countries took a resolution to come up with an action plan to tackle the rising threat of AMR by strengthening IPC programs at national level. We reviewed the progress made by the developing countries in their efforts to implement the program.","author":[{"dropping-particle":"","family":"Sengupta","given":"Sharmila","non-dropping-particle":"","parse-names":false,"suffix":""},{"dropping-particle":"","family":"Barman","given":"Purabi","non-dropping-particle":"","parse-names":false,"suffix":""},{"dropping-particle":"","family":"Lo","given":"Jamie","non-dropping-particle":"","parse-names":false,"suffix":""}],"container-title":"Current Treatment Options in Infectious Diseases","id":"ITEM-2","issue":"3","issued":{"date-parts":[["2019","7","27"]]},"page":"267-280","publisher":"Springer","title":"Opportunities to Overcome Implementation Challenges of Infection Prevention and Control in Low-Middle Income Countries","type":"article-journal","volume":"11"},"uris":["http://www.mendeley.com/documents/?uuid=0d36a205-1de7-3970-af08-9fa3b8fd1578"]}],"mendeley":{"formattedCitation":"[59,64]","plainTextFormattedCitation":"[59,64]","previouslyFormattedCitation":"[59,64]"},"properties":{"noteIndex":0},"schema":"https://github.com/citation-style-language/schema/raw/master/csl-citation.json"}</w:instrText>
      </w:r>
      <w:r w:rsidR="00487422">
        <w:rPr>
          <w:rFonts w:eastAsia="Times New Roman" w:cs="Times New Roman"/>
          <w:szCs w:val="24"/>
          <w:lang w:val="en" w:bidi="en-US"/>
        </w:rPr>
        <w:fldChar w:fldCharType="separate"/>
      </w:r>
      <w:r w:rsidR="00487422" w:rsidRPr="00487422">
        <w:rPr>
          <w:rFonts w:eastAsia="Times New Roman" w:cs="Times New Roman"/>
          <w:noProof/>
          <w:szCs w:val="24"/>
          <w:lang w:val="en" w:bidi="en-US"/>
        </w:rPr>
        <w:t>[59,64]</w:t>
      </w:r>
      <w:r w:rsidR="00487422">
        <w:rPr>
          <w:rFonts w:eastAsia="Times New Roman" w:cs="Times New Roman"/>
          <w:szCs w:val="24"/>
          <w:lang w:val="en" w:bidi="en-US"/>
        </w:rPr>
        <w:fldChar w:fldCharType="end"/>
      </w:r>
      <w:r w:rsidR="00487422">
        <w:rPr>
          <w:rFonts w:eastAsia="Times New Roman" w:cs="Times New Roman"/>
          <w:szCs w:val="24"/>
          <w:lang w:val="en" w:bidi="en-US"/>
        </w:rPr>
        <w:t xml:space="preserve">. </w:t>
      </w:r>
      <w:r w:rsidR="00357E07" w:rsidRPr="00357E07">
        <w:rPr>
          <w:rFonts w:eastAsia="Times New Roman" w:cs="Times New Roman"/>
          <w:szCs w:val="24"/>
          <w:lang w:val="en" w:bidi="en-US"/>
        </w:rPr>
        <w:t>T</w:t>
      </w:r>
      <w:r>
        <w:rPr>
          <w:rFonts w:eastAsia="Times New Roman" w:cs="Times New Roman"/>
          <w:szCs w:val="24"/>
          <w:lang w:val="en" w:bidi="en-US"/>
        </w:rPr>
        <w:t>herefore, t</w:t>
      </w:r>
      <w:r w:rsidR="00357E07" w:rsidRPr="00357E07">
        <w:rPr>
          <w:rFonts w:eastAsia="Times New Roman" w:cs="Times New Roman"/>
          <w:szCs w:val="24"/>
          <w:lang w:val="en" w:bidi="en-US"/>
        </w:rPr>
        <w:t xml:space="preserve">hese findings underscore the need for a multi-pronged approach that addresses governance, financing, supply chain resilience, and cultural change to close IPC performance gaps and </w:t>
      </w:r>
      <w:r w:rsidR="00357E07">
        <w:rPr>
          <w:rFonts w:eastAsia="Times New Roman" w:cs="Times New Roman"/>
          <w:szCs w:val="24"/>
          <w:lang w:val="en" w:bidi="en-US"/>
        </w:rPr>
        <w:t>sustain improvements over time.</w:t>
      </w:r>
    </w:p>
    <w:p w14:paraId="0B1656D7" w14:textId="48666487" w:rsidR="003F4633" w:rsidRDefault="003F4633" w:rsidP="003F4633">
      <w:pPr>
        <w:spacing w:before="0" w:line="360" w:lineRule="auto"/>
        <w:jc w:val="both"/>
        <w:rPr>
          <w:rFonts w:eastAsia="Times New Roman" w:cs="Times New Roman"/>
          <w:szCs w:val="24"/>
          <w:lang w:val="en" w:bidi="en-US"/>
        </w:rPr>
      </w:pPr>
      <w:r w:rsidRPr="003F4633">
        <w:rPr>
          <w:rFonts w:eastAsia="Times New Roman" w:cs="Times New Roman"/>
          <w:szCs w:val="24"/>
          <w:lang w:val="en" w:bidi="en-US"/>
        </w:rPr>
        <w:t xml:space="preserve">We are aware that cross-sectional studies have limitations. </w:t>
      </w:r>
      <w:r w:rsidR="0098411D" w:rsidRPr="003F4633">
        <w:rPr>
          <w:rFonts w:eastAsia="Times New Roman" w:cs="Times New Roman"/>
          <w:szCs w:val="24"/>
          <w:lang w:val="en" w:bidi="en-US"/>
        </w:rPr>
        <w:t>Our study relied on self-reported measurements which may be prone to recall bias</w:t>
      </w:r>
      <w:r w:rsidR="0098411D">
        <w:rPr>
          <w:rFonts w:eastAsia="Times New Roman" w:cs="Times New Roman"/>
          <w:szCs w:val="24"/>
          <w:lang w:val="en" w:bidi="en-US"/>
        </w:rPr>
        <w:t>,</w:t>
      </w:r>
      <w:r w:rsidR="0098411D" w:rsidRPr="00CB5104">
        <w:t xml:space="preserve"> </w:t>
      </w:r>
      <w:r w:rsidR="0098411D" w:rsidRPr="00CB5104">
        <w:rPr>
          <w:rFonts w:eastAsia="Times New Roman" w:cs="Times New Roman"/>
          <w:szCs w:val="24"/>
          <w:lang w:val="en" w:bidi="en-US"/>
        </w:rPr>
        <w:t>including social desirability bias, whereby participants may overstate compliance with IPC standards, and recall bias, particularly for activities or events o</w:t>
      </w:r>
      <w:r w:rsidR="0098411D">
        <w:rPr>
          <w:rFonts w:eastAsia="Times New Roman" w:cs="Times New Roman"/>
          <w:szCs w:val="24"/>
          <w:lang w:val="en" w:bidi="en-US"/>
        </w:rPr>
        <w:t>ccurring in the past</w:t>
      </w:r>
      <w:r w:rsidR="0098411D" w:rsidRPr="003F4633">
        <w:rPr>
          <w:rFonts w:eastAsia="Times New Roman" w:cs="Times New Roman"/>
          <w:szCs w:val="24"/>
          <w:lang w:val="en" w:bidi="en-US"/>
        </w:rPr>
        <w:t xml:space="preserve">. </w:t>
      </w:r>
      <w:r w:rsidR="00525D59" w:rsidRPr="00525D59">
        <w:rPr>
          <w:rFonts w:eastAsia="Times New Roman" w:cs="Times New Roman"/>
          <w:szCs w:val="24"/>
          <w:lang w:bidi="en-US"/>
        </w:rPr>
        <w:t>The study was limited to nine hospitals, which may restrict the generalizability of the findings to other healthcare facilities across the country, particularly those with differing levels of resources, s</w:t>
      </w:r>
      <w:r w:rsidR="00525D59">
        <w:rPr>
          <w:rFonts w:eastAsia="Times New Roman" w:cs="Times New Roman"/>
          <w:szCs w:val="24"/>
          <w:lang w:bidi="en-US"/>
        </w:rPr>
        <w:t>taffing, or patient populations</w:t>
      </w:r>
      <w:r w:rsidR="00525D59">
        <w:rPr>
          <w:rFonts w:eastAsia="Times New Roman" w:cs="Times New Roman"/>
          <w:szCs w:val="24"/>
          <w:lang w:val="en" w:bidi="en-US"/>
        </w:rPr>
        <w:t xml:space="preserve">. </w:t>
      </w:r>
      <w:r w:rsidR="00745047" w:rsidRPr="00745047">
        <w:rPr>
          <w:rFonts w:eastAsia="Times New Roman" w:cs="Times New Roman"/>
          <w:szCs w:val="24"/>
          <w:lang w:val="en" w:bidi="en-US"/>
        </w:rPr>
        <w:t>The purposive sampling approach may overrepresent facilities with better-established IPC programs or stronger administrative support, and underrepresent those with fewer resources.</w:t>
      </w:r>
      <w:r w:rsidR="00745047">
        <w:rPr>
          <w:rFonts w:eastAsia="Times New Roman" w:cs="Times New Roman"/>
          <w:szCs w:val="24"/>
          <w:lang w:val="en" w:bidi="en-US"/>
        </w:rPr>
        <w:t xml:space="preserve"> </w:t>
      </w:r>
      <w:r w:rsidR="00525D59">
        <w:rPr>
          <w:rFonts w:eastAsia="Times New Roman" w:cs="Times New Roman"/>
          <w:szCs w:val="24"/>
          <w:lang w:val="en" w:bidi="en-US"/>
        </w:rPr>
        <w:t>Alongside this, t</w:t>
      </w:r>
      <w:r w:rsidRPr="003F4633">
        <w:rPr>
          <w:rFonts w:eastAsia="Times New Roman" w:cs="Times New Roman"/>
          <w:szCs w:val="24"/>
          <w:lang w:val="en" w:bidi="en-US"/>
        </w:rPr>
        <w:t xml:space="preserve">he cross-sectional nature of this study </w:t>
      </w:r>
      <w:r w:rsidR="00A9393C">
        <w:rPr>
          <w:rFonts w:eastAsia="Times New Roman" w:cs="Times New Roman"/>
          <w:szCs w:val="24"/>
          <w:lang w:val="en" w:bidi="en-US"/>
        </w:rPr>
        <w:t>captured</w:t>
      </w:r>
      <w:r w:rsidR="0098411D" w:rsidRPr="0098411D">
        <w:rPr>
          <w:rFonts w:eastAsia="Times New Roman" w:cs="Times New Roman"/>
          <w:szCs w:val="24"/>
          <w:lang w:val="en" w:bidi="en-US"/>
        </w:rPr>
        <w:t xml:space="preserve"> IPC performance at a single point in time</w:t>
      </w:r>
      <w:r w:rsidR="00A9393C">
        <w:rPr>
          <w:rFonts w:eastAsia="Times New Roman" w:cs="Times New Roman"/>
          <w:szCs w:val="24"/>
          <w:lang w:val="en" w:bidi="en-US"/>
        </w:rPr>
        <w:t xml:space="preserve"> within a month</w:t>
      </w:r>
      <w:r w:rsidR="0098411D" w:rsidRPr="0098411D">
        <w:rPr>
          <w:rFonts w:eastAsia="Times New Roman" w:cs="Times New Roman"/>
          <w:szCs w:val="24"/>
          <w:lang w:val="en" w:bidi="en-US"/>
        </w:rPr>
        <w:t>, which limits the ability to assess temporal changes, monitor trends, or establish causal relationships between identified factors and IPC outcomes.</w:t>
      </w:r>
      <w:r w:rsidR="0098411D">
        <w:rPr>
          <w:rFonts w:eastAsia="Times New Roman" w:cs="Times New Roman"/>
          <w:szCs w:val="24"/>
          <w:lang w:val="en" w:bidi="en-US"/>
        </w:rPr>
        <w:t xml:space="preserve"> </w:t>
      </w:r>
      <w:r w:rsidRPr="003F4633">
        <w:rPr>
          <w:rFonts w:eastAsia="Times New Roman" w:cs="Times New Roman"/>
          <w:szCs w:val="24"/>
          <w:lang w:val="en" w:bidi="en-US"/>
        </w:rPr>
        <w:t xml:space="preserve">For example, infectious disease episodes may be higher during the rainy season, which may have an impact on </w:t>
      </w:r>
      <w:r w:rsidR="0098411D">
        <w:rPr>
          <w:rFonts w:eastAsia="Times New Roman" w:cs="Times New Roman"/>
          <w:szCs w:val="24"/>
          <w:lang w:val="en" w:bidi="en-US"/>
        </w:rPr>
        <w:t xml:space="preserve">the implementation of </w:t>
      </w:r>
      <w:r w:rsidRPr="003F4633">
        <w:rPr>
          <w:rFonts w:eastAsia="Times New Roman" w:cs="Times New Roman"/>
          <w:szCs w:val="24"/>
          <w:lang w:val="en" w:bidi="en-US"/>
        </w:rPr>
        <w:t xml:space="preserve">IPC strategies. </w:t>
      </w:r>
      <w:r w:rsidR="0098411D" w:rsidRPr="0098411D">
        <w:rPr>
          <w:rFonts w:eastAsia="Times New Roman" w:cs="Times New Roman"/>
          <w:szCs w:val="24"/>
          <w:lang w:val="en" w:bidi="en-US"/>
        </w:rPr>
        <w:t>These factors may have led to overestimation or underestimation of IPC performance in some hospitals. As a result, while the findings provide valuable insights into the current IPC landscape, they should be interpreted with caution and complemented by future longitudinal and observational studies.</w:t>
      </w:r>
      <w:r w:rsidR="0098411D">
        <w:rPr>
          <w:rFonts w:eastAsia="Times New Roman" w:cs="Times New Roman"/>
          <w:szCs w:val="24"/>
          <w:lang w:val="en" w:bidi="en-US"/>
        </w:rPr>
        <w:t xml:space="preserve"> </w:t>
      </w:r>
      <w:r w:rsidRPr="003F4633">
        <w:rPr>
          <w:rFonts w:eastAsia="Times New Roman" w:cs="Times New Roman"/>
          <w:szCs w:val="24"/>
          <w:lang w:val="en" w:bidi="en-US"/>
        </w:rPr>
        <w:t xml:space="preserve">Notwithstanding, this study provides baseline findings that can be used to develop strategies for improving IPC in hospitals across Zambia. In doing so, this can impact reductions in antimicrobial use, and the emergence and spread of AMR. </w:t>
      </w:r>
      <w:r w:rsidR="00A9393C" w:rsidRPr="00A9393C">
        <w:rPr>
          <w:rFonts w:eastAsia="Times New Roman" w:cs="Times New Roman"/>
          <w:szCs w:val="24"/>
          <w:lang w:val="en" w:bidi="en-US"/>
        </w:rPr>
        <w:t>Future research should employ nationally representative longitudinal study designs that include both public and private hospitals across all provinces. Such studies would enhance the generalizability of findings, allow for the monitoring of IPC performance trends over time, and enable a more robust assessment of causal relationships between governance, financing, supply chain resilience, and IPC outcomes</w:t>
      </w:r>
      <w:r w:rsidR="00A9393C">
        <w:rPr>
          <w:rFonts w:eastAsia="Times New Roman" w:cs="Times New Roman"/>
          <w:szCs w:val="24"/>
          <w:lang w:val="en" w:bidi="en-US"/>
        </w:rPr>
        <w:t xml:space="preserve"> over time</w:t>
      </w:r>
      <w:r w:rsidR="00A9393C" w:rsidRPr="00A9393C">
        <w:rPr>
          <w:rFonts w:eastAsia="Times New Roman" w:cs="Times New Roman"/>
          <w:szCs w:val="24"/>
          <w:lang w:val="en" w:bidi="en-US"/>
        </w:rPr>
        <w:t>.</w:t>
      </w:r>
      <w:r w:rsidR="00A9393C">
        <w:rPr>
          <w:rFonts w:eastAsia="Times New Roman" w:cs="Times New Roman"/>
          <w:szCs w:val="24"/>
          <w:lang w:val="en" w:bidi="en-US"/>
        </w:rPr>
        <w:t xml:space="preserve"> Alongside this, f</w:t>
      </w:r>
      <w:r w:rsidR="00A9393C" w:rsidRPr="00A9393C">
        <w:rPr>
          <w:rFonts w:eastAsia="Times New Roman" w:cs="Times New Roman"/>
          <w:szCs w:val="24"/>
          <w:lang w:val="en" w:bidi="en-US"/>
        </w:rPr>
        <w:t>uture IPC research in Zambia should adopt mixed-methods approaches, combining quantitative assessments with qualitative studies to explore healthcare workers’ perspectives, organizational culture, and practical barriers to IPC adherence. Such approaches would provide deeper contextual understanding, uncover underlying systemic challenges, and inform the design of interventions that are both feasible and culturally appropriate.</w:t>
      </w:r>
    </w:p>
    <w:p w14:paraId="248F017B" w14:textId="3241B04E" w:rsidR="002B46FA" w:rsidRPr="002B46FA" w:rsidRDefault="002B46FA" w:rsidP="003F4633">
      <w:pPr>
        <w:spacing w:before="0" w:line="360" w:lineRule="auto"/>
        <w:jc w:val="both"/>
        <w:rPr>
          <w:rFonts w:eastAsia="Times New Roman" w:cs="Times New Roman"/>
          <w:b/>
          <w:szCs w:val="24"/>
          <w:lang w:val="en" w:bidi="en-US"/>
        </w:rPr>
      </w:pPr>
      <w:r w:rsidRPr="002B46FA">
        <w:rPr>
          <w:rFonts w:eastAsia="Times New Roman" w:cs="Times New Roman"/>
          <w:b/>
          <w:szCs w:val="24"/>
          <w:lang w:val="en" w:bidi="en-US"/>
        </w:rPr>
        <w:t xml:space="preserve">Policy Recommendations and Implications </w:t>
      </w:r>
    </w:p>
    <w:p w14:paraId="36F8D5F0" w14:textId="0CC7324F" w:rsidR="00CB5104" w:rsidRDefault="00104FDE" w:rsidP="003F4633">
      <w:pPr>
        <w:spacing w:before="0" w:line="360" w:lineRule="auto"/>
        <w:jc w:val="both"/>
        <w:rPr>
          <w:rFonts w:eastAsia="Times New Roman" w:cs="Times New Roman"/>
          <w:szCs w:val="24"/>
          <w:lang w:val="en" w:bidi="en-US"/>
        </w:rPr>
      </w:pPr>
      <w:r w:rsidRPr="00104FDE">
        <w:rPr>
          <w:rFonts w:eastAsia="Times New Roman" w:cs="Times New Roman"/>
          <w:szCs w:val="24"/>
          <w:lang w:val="en" w:bidi="en-US"/>
        </w:rPr>
        <w:t>The proposed policy recommendations address key systemic gaps identified in IPC implementation across Zambia’s hospitals</w:t>
      </w:r>
      <w:r>
        <w:rPr>
          <w:rFonts w:eastAsia="Times New Roman" w:cs="Times New Roman"/>
          <w:szCs w:val="24"/>
          <w:lang w:val="en" w:bidi="en-US"/>
        </w:rPr>
        <w:t xml:space="preserve"> (Table 4)</w:t>
      </w:r>
      <w:r w:rsidRPr="00104FDE">
        <w:rPr>
          <w:rFonts w:eastAsia="Times New Roman" w:cs="Times New Roman"/>
          <w:szCs w:val="24"/>
          <w:lang w:val="en" w:bidi="en-US"/>
        </w:rPr>
        <w:t>. Strengthening governance through the appointment of trained IPC focal persons and regular audit mechanisms would improve accountability and ensure adherence to national guidelines. Dedicated and ring-fenced funding at both national and facility levels is essential to sustain IPC programs and prioritize expenditure on critical supplies. Enhancing supply chain resilience via robust procurement systems and pooled purchasing arrangements would minimize shortages of essential IPC commodities. Building the skills and knowledge of healthcare workers through regular refresher training and integration of IPC into continuous professional development would reinforce best practices. Promoting a culture of safety through leadership advocacy, role modelling, and recognition systems would encourage staff adherence and institutional commitment. Finally, leveraging partnerships with development agencies for infrastructure upgrades, technical support, and collaborative research would expand the resource base and support innovation in IPC strategies. Together, these measures offer a practical and context-specific framework for improving IPC performance nationwide.</w:t>
      </w:r>
    </w:p>
    <w:p w14:paraId="5552B4D8" w14:textId="6D5A6032" w:rsidR="00746D70" w:rsidRDefault="00CB5104" w:rsidP="003F4633">
      <w:pPr>
        <w:spacing w:before="0" w:line="360" w:lineRule="auto"/>
        <w:jc w:val="both"/>
        <w:rPr>
          <w:rFonts w:eastAsia="Times New Roman" w:cs="Times New Roman"/>
          <w:szCs w:val="24"/>
          <w:lang w:val="en" w:bidi="en-US"/>
        </w:rPr>
      </w:pPr>
      <w:r>
        <w:rPr>
          <w:rFonts w:eastAsia="Times New Roman" w:cs="Times New Roman"/>
          <w:szCs w:val="24"/>
          <w:lang w:val="en" w:bidi="en-US"/>
        </w:rPr>
        <w:t xml:space="preserve">Table </w:t>
      </w:r>
      <w:r w:rsidR="00104FDE">
        <w:rPr>
          <w:rFonts w:eastAsia="Times New Roman" w:cs="Times New Roman"/>
          <w:szCs w:val="24"/>
          <w:lang w:val="en" w:bidi="en-US"/>
        </w:rPr>
        <w:t>4</w:t>
      </w:r>
      <w:r>
        <w:rPr>
          <w:rFonts w:eastAsia="Times New Roman" w:cs="Times New Roman"/>
          <w:szCs w:val="24"/>
          <w:lang w:val="en" w:bidi="en-US"/>
        </w:rPr>
        <w:t xml:space="preserve">. </w:t>
      </w:r>
      <w:r w:rsidRPr="00CB5104">
        <w:rPr>
          <w:rFonts w:eastAsia="Times New Roman" w:cs="Times New Roman"/>
          <w:szCs w:val="24"/>
          <w:lang w:val="en" w:bidi="en-US"/>
        </w:rPr>
        <w:t>Policy recommendations to strengthen Infection Prevention and Control (IPC) in Zambia’s hospitals</w:t>
      </w:r>
      <w:r>
        <w:rPr>
          <w:rFonts w:eastAsia="Times New Roman" w:cs="Times New Roman"/>
          <w:szCs w:val="24"/>
          <w:lang w:val="en" w:bidi="en-US"/>
        </w:rPr>
        <w:t>.</w:t>
      </w:r>
    </w:p>
    <w:tbl>
      <w:tblPr>
        <w:tblStyle w:val="PlainTable2"/>
        <w:tblW w:w="11520" w:type="dxa"/>
        <w:tblInd w:w="-915" w:type="dxa"/>
        <w:tblLook w:val="04A0" w:firstRow="1" w:lastRow="0" w:firstColumn="1" w:lastColumn="0" w:noHBand="0" w:noVBand="1"/>
      </w:tblPr>
      <w:tblGrid>
        <w:gridCol w:w="2926"/>
        <w:gridCol w:w="3258"/>
        <w:gridCol w:w="5336"/>
      </w:tblGrid>
      <w:tr w:rsidR="00746D70" w:rsidRPr="00746D70" w14:paraId="58E0B56B" w14:textId="77777777" w:rsidTr="00CB5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hideMark/>
          </w:tcPr>
          <w:p w14:paraId="34E7EA3F" w14:textId="77777777" w:rsidR="00746D70" w:rsidRPr="00746D70" w:rsidRDefault="00746D70" w:rsidP="006F1480">
            <w:pPr>
              <w:spacing w:before="0" w:after="0" w:line="360" w:lineRule="auto"/>
              <w:jc w:val="both"/>
              <w:rPr>
                <w:rFonts w:eastAsia="Times New Roman" w:cs="Times New Roman"/>
                <w:bCs w:val="0"/>
                <w:szCs w:val="24"/>
              </w:rPr>
            </w:pPr>
            <w:r w:rsidRPr="00746D70">
              <w:rPr>
                <w:rFonts w:eastAsia="Times New Roman" w:cs="Times New Roman"/>
                <w:bCs w:val="0"/>
                <w:szCs w:val="24"/>
              </w:rPr>
              <w:t>Policy Area</w:t>
            </w:r>
          </w:p>
        </w:tc>
        <w:tc>
          <w:tcPr>
            <w:tcW w:w="0" w:type="auto"/>
            <w:hideMark/>
          </w:tcPr>
          <w:p w14:paraId="401237D2" w14:textId="77777777" w:rsidR="00746D70" w:rsidRPr="00746D70" w:rsidRDefault="00746D70" w:rsidP="006F1480">
            <w:pPr>
              <w:spacing w:before="0" w:after="0"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bCs w:val="0"/>
                <w:szCs w:val="24"/>
              </w:rPr>
            </w:pPr>
            <w:r w:rsidRPr="00746D70">
              <w:rPr>
                <w:rFonts w:eastAsia="Times New Roman" w:cs="Times New Roman"/>
                <w:bCs w:val="0"/>
                <w:szCs w:val="24"/>
              </w:rPr>
              <w:t>Recommendation</w:t>
            </w:r>
          </w:p>
        </w:tc>
        <w:tc>
          <w:tcPr>
            <w:tcW w:w="5336" w:type="dxa"/>
            <w:hideMark/>
          </w:tcPr>
          <w:p w14:paraId="15F45154" w14:textId="77777777" w:rsidR="00746D70" w:rsidRPr="00746D70" w:rsidRDefault="00746D70" w:rsidP="006F1480">
            <w:pPr>
              <w:spacing w:before="0" w:after="0"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bCs w:val="0"/>
                <w:szCs w:val="24"/>
              </w:rPr>
            </w:pPr>
            <w:r w:rsidRPr="00746D70">
              <w:rPr>
                <w:rFonts w:eastAsia="Times New Roman" w:cs="Times New Roman"/>
                <w:bCs w:val="0"/>
                <w:szCs w:val="24"/>
              </w:rPr>
              <w:t>Key Actions</w:t>
            </w:r>
          </w:p>
        </w:tc>
      </w:tr>
      <w:tr w:rsidR="00746D70" w:rsidRPr="00746D70" w14:paraId="3CF83B64" w14:textId="77777777" w:rsidTr="00CB5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hideMark/>
          </w:tcPr>
          <w:p w14:paraId="3F9CA2A9" w14:textId="77777777" w:rsidR="00746D70" w:rsidRPr="00CB5104" w:rsidRDefault="00746D70" w:rsidP="006F1480">
            <w:pPr>
              <w:spacing w:before="0" w:after="0" w:line="360" w:lineRule="auto"/>
              <w:jc w:val="both"/>
              <w:rPr>
                <w:rFonts w:eastAsia="Times New Roman" w:cs="Times New Roman"/>
                <w:b w:val="0"/>
                <w:szCs w:val="24"/>
              </w:rPr>
            </w:pPr>
            <w:r w:rsidRPr="00CB5104">
              <w:rPr>
                <w:rFonts w:eastAsia="Times New Roman" w:cs="Times New Roman"/>
                <w:b w:val="0"/>
                <w:bCs w:val="0"/>
                <w:szCs w:val="24"/>
              </w:rPr>
              <w:t>1. IPC Governance</w:t>
            </w:r>
          </w:p>
        </w:tc>
        <w:tc>
          <w:tcPr>
            <w:tcW w:w="0" w:type="auto"/>
            <w:hideMark/>
          </w:tcPr>
          <w:p w14:paraId="77191099" w14:textId="77777777" w:rsidR="00746D70" w:rsidRPr="00746D70" w:rsidRDefault="00746D70" w:rsidP="006F1480">
            <w:p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746D70">
              <w:rPr>
                <w:rFonts w:eastAsia="Times New Roman" w:cs="Times New Roman"/>
                <w:szCs w:val="24"/>
              </w:rPr>
              <w:t>Strengthen governance and accountability for IPC</w:t>
            </w:r>
          </w:p>
        </w:tc>
        <w:tc>
          <w:tcPr>
            <w:tcW w:w="5336" w:type="dxa"/>
            <w:hideMark/>
          </w:tcPr>
          <w:p w14:paraId="60D46D51" w14:textId="77777777" w:rsidR="00CB5104" w:rsidRDefault="00746D70" w:rsidP="006F1480">
            <w:pPr>
              <w:pStyle w:val="ListParagraph"/>
              <w:numPr>
                <w:ilvl w:val="0"/>
                <w:numId w:val="24"/>
              </w:num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CB5104">
              <w:rPr>
                <w:rFonts w:eastAsia="Times New Roman"/>
                <w:lang w:eastAsia="en-GB"/>
              </w:rPr>
              <w:t xml:space="preserve">Appoint trained IPC </w:t>
            </w:r>
            <w:r w:rsidR="00CB5104">
              <w:rPr>
                <w:rFonts w:eastAsia="Times New Roman"/>
              </w:rPr>
              <w:t>focal persons in all hospitals</w:t>
            </w:r>
          </w:p>
          <w:p w14:paraId="179EAA4E" w14:textId="2822B52E" w:rsidR="00746D70" w:rsidRPr="00CB5104" w:rsidRDefault="00746D70" w:rsidP="006F1480">
            <w:pPr>
              <w:pStyle w:val="ListParagraph"/>
              <w:numPr>
                <w:ilvl w:val="0"/>
                <w:numId w:val="24"/>
              </w:num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CB5104">
              <w:rPr>
                <w:rFonts w:eastAsia="Times New Roman"/>
                <w:lang w:eastAsia="en-GB"/>
              </w:rPr>
              <w:t>Conduct regular audits and feedback sessions</w:t>
            </w:r>
          </w:p>
        </w:tc>
      </w:tr>
      <w:tr w:rsidR="00746D70" w:rsidRPr="00746D70" w14:paraId="551427C8" w14:textId="77777777" w:rsidTr="00CB5104">
        <w:tc>
          <w:tcPr>
            <w:cnfStyle w:val="001000000000" w:firstRow="0" w:lastRow="0" w:firstColumn="1" w:lastColumn="0" w:oddVBand="0" w:evenVBand="0" w:oddHBand="0" w:evenHBand="0" w:firstRowFirstColumn="0" w:firstRowLastColumn="0" w:lastRowFirstColumn="0" w:lastRowLastColumn="0"/>
            <w:tcW w:w="2926" w:type="dxa"/>
            <w:hideMark/>
          </w:tcPr>
          <w:p w14:paraId="1A0B48FE" w14:textId="5072B5CF" w:rsidR="00746D70" w:rsidRPr="00CB5104" w:rsidRDefault="00746D70" w:rsidP="006F1480">
            <w:pPr>
              <w:spacing w:before="0" w:after="0" w:line="360" w:lineRule="auto"/>
              <w:jc w:val="both"/>
              <w:rPr>
                <w:rFonts w:eastAsia="Times New Roman" w:cs="Times New Roman"/>
                <w:b w:val="0"/>
                <w:szCs w:val="24"/>
              </w:rPr>
            </w:pPr>
            <w:r w:rsidRPr="00CB5104">
              <w:rPr>
                <w:rFonts w:eastAsia="Times New Roman" w:cs="Times New Roman"/>
                <w:b w:val="0"/>
                <w:bCs w:val="0"/>
                <w:szCs w:val="24"/>
              </w:rPr>
              <w:t>2. Financing</w:t>
            </w:r>
          </w:p>
        </w:tc>
        <w:tc>
          <w:tcPr>
            <w:tcW w:w="0" w:type="auto"/>
            <w:hideMark/>
          </w:tcPr>
          <w:p w14:paraId="3DFBEDB3" w14:textId="77777777" w:rsidR="00746D70" w:rsidRPr="00746D70" w:rsidRDefault="00746D70" w:rsidP="006F1480">
            <w:p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746D70">
              <w:rPr>
                <w:rFonts w:eastAsia="Times New Roman" w:cs="Times New Roman"/>
                <w:szCs w:val="24"/>
              </w:rPr>
              <w:t>Increase and ring-fence funding for IPC</w:t>
            </w:r>
          </w:p>
        </w:tc>
        <w:tc>
          <w:tcPr>
            <w:tcW w:w="5336" w:type="dxa"/>
            <w:hideMark/>
          </w:tcPr>
          <w:p w14:paraId="410C8F05" w14:textId="77777777" w:rsidR="00CB5104" w:rsidRDefault="00746D70" w:rsidP="006F1480">
            <w:pPr>
              <w:pStyle w:val="ListParagraph"/>
              <w:numPr>
                <w:ilvl w:val="0"/>
                <w:numId w:val="25"/>
              </w:num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CB5104">
              <w:rPr>
                <w:rFonts w:eastAsia="Times New Roman"/>
                <w:lang w:eastAsia="en-GB"/>
              </w:rPr>
              <w:t>Allocate dedicated budget lines a</w:t>
            </w:r>
            <w:r w:rsidR="00CB5104">
              <w:rPr>
                <w:rFonts w:eastAsia="Times New Roman"/>
              </w:rPr>
              <w:t>t national and facility levels</w:t>
            </w:r>
          </w:p>
          <w:p w14:paraId="04DAB310" w14:textId="5DC74770" w:rsidR="00746D70" w:rsidRPr="00CB5104" w:rsidRDefault="00746D70" w:rsidP="006F1480">
            <w:pPr>
              <w:pStyle w:val="ListParagraph"/>
              <w:numPr>
                <w:ilvl w:val="0"/>
                <w:numId w:val="25"/>
              </w:num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CB5104">
              <w:rPr>
                <w:rFonts w:eastAsia="Times New Roman"/>
                <w:lang w:eastAsia="en-GB"/>
              </w:rPr>
              <w:t>Prioritize spending on IPC essentials</w:t>
            </w:r>
          </w:p>
        </w:tc>
      </w:tr>
      <w:tr w:rsidR="00746D70" w:rsidRPr="00746D70" w14:paraId="63D49D83" w14:textId="77777777" w:rsidTr="00CB5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hideMark/>
          </w:tcPr>
          <w:p w14:paraId="0146FBA0" w14:textId="19D78BE9" w:rsidR="00746D70" w:rsidRPr="00CB5104" w:rsidRDefault="00746D70" w:rsidP="006F1480">
            <w:pPr>
              <w:spacing w:before="0" w:after="0" w:line="360" w:lineRule="auto"/>
              <w:jc w:val="both"/>
              <w:rPr>
                <w:rFonts w:eastAsia="Times New Roman" w:cs="Times New Roman"/>
                <w:b w:val="0"/>
                <w:szCs w:val="24"/>
              </w:rPr>
            </w:pPr>
            <w:r w:rsidRPr="00CB5104">
              <w:rPr>
                <w:rFonts w:eastAsia="Times New Roman" w:cs="Times New Roman"/>
                <w:b w:val="0"/>
                <w:bCs w:val="0"/>
                <w:szCs w:val="24"/>
              </w:rPr>
              <w:t>3. Supply Chain Resilience</w:t>
            </w:r>
          </w:p>
        </w:tc>
        <w:tc>
          <w:tcPr>
            <w:tcW w:w="0" w:type="auto"/>
            <w:hideMark/>
          </w:tcPr>
          <w:p w14:paraId="1B2FE60B" w14:textId="77777777" w:rsidR="00746D70" w:rsidRPr="00746D70" w:rsidRDefault="00746D70" w:rsidP="006F1480">
            <w:p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746D70">
              <w:rPr>
                <w:rFonts w:eastAsia="Times New Roman" w:cs="Times New Roman"/>
                <w:szCs w:val="24"/>
              </w:rPr>
              <w:t>Ensure consistent availability of essential IPC commodities</w:t>
            </w:r>
          </w:p>
        </w:tc>
        <w:tc>
          <w:tcPr>
            <w:tcW w:w="5336" w:type="dxa"/>
            <w:hideMark/>
          </w:tcPr>
          <w:p w14:paraId="3BD3A4A6" w14:textId="77777777" w:rsidR="00CB5104" w:rsidRDefault="00746D70" w:rsidP="006F1480">
            <w:pPr>
              <w:pStyle w:val="ListParagraph"/>
              <w:numPr>
                <w:ilvl w:val="0"/>
                <w:numId w:val="25"/>
              </w:num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CB5104">
              <w:rPr>
                <w:rFonts w:eastAsia="Times New Roman"/>
                <w:lang w:eastAsia="en-GB"/>
              </w:rPr>
              <w:t>Implement robust procuremen</w:t>
            </w:r>
            <w:r w:rsidR="00CB5104">
              <w:rPr>
                <w:rFonts w:eastAsia="Times New Roman"/>
              </w:rPr>
              <w:t>t and stock monitoring systems</w:t>
            </w:r>
          </w:p>
          <w:p w14:paraId="17990153" w14:textId="229150C0" w:rsidR="00746D70" w:rsidRPr="00CB5104" w:rsidRDefault="00746D70" w:rsidP="006F1480">
            <w:pPr>
              <w:pStyle w:val="ListParagraph"/>
              <w:numPr>
                <w:ilvl w:val="0"/>
                <w:numId w:val="25"/>
              </w:num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CB5104">
              <w:rPr>
                <w:rFonts w:eastAsia="Times New Roman"/>
                <w:lang w:eastAsia="en-GB"/>
              </w:rPr>
              <w:t>Explore pooled procurement with suppliers</w:t>
            </w:r>
          </w:p>
        </w:tc>
      </w:tr>
      <w:tr w:rsidR="00746D70" w:rsidRPr="00746D70" w14:paraId="6148F4AE" w14:textId="77777777" w:rsidTr="00CB5104">
        <w:tc>
          <w:tcPr>
            <w:cnfStyle w:val="001000000000" w:firstRow="0" w:lastRow="0" w:firstColumn="1" w:lastColumn="0" w:oddVBand="0" w:evenVBand="0" w:oddHBand="0" w:evenHBand="0" w:firstRowFirstColumn="0" w:firstRowLastColumn="0" w:lastRowFirstColumn="0" w:lastRowLastColumn="0"/>
            <w:tcW w:w="2926" w:type="dxa"/>
            <w:hideMark/>
          </w:tcPr>
          <w:p w14:paraId="6EAB904D" w14:textId="41605869" w:rsidR="00746D70" w:rsidRPr="00CB5104" w:rsidRDefault="00746D70" w:rsidP="006F1480">
            <w:pPr>
              <w:spacing w:before="0" w:after="0" w:line="360" w:lineRule="auto"/>
              <w:jc w:val="both"/>
              <w:rPr>
                <w:rFonts w:eastAsia="Times New Roman" w:cs="Times New Roman"/>
                <w:b w:val="0"/>
                <w:szCs w:val="24"/>
              </w:rPr>
            </w:pPr>
            <w:r w:rsidRPr="00CB5104">
              <w:rPr>
                <w:rFonts w:eastAsia="Times New Roman" w:cs="Times New Roman"/>
                <w:b w:val="0"/>
                <w:bCs w:val="0"/>
                <w:szCs w:val="24"/>
              </w:rPr>
              <w:t>4. Training &amp; Capacity Building</w:t>
            </w:r>
          </w:p>
        </w:tc>
        <w:tc>
          <w:tcPr>
            <w:tcW w:w="0" w:type="auto"/>
            <w:hideMark/>
          </w:tcPr>
          <w:p w14:paraId="46CBDD19" w14:textId="77777777" w:rsidR="00746D70" w:rsidRPr="00746D70" w:rsidRDefault="00746D70" w:rsidP="006F1480">
            <w:p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746D70">
              <w:rPr>
                <w:rFonts w:eastAsia="Times New Roman" w:cs="Times New Roman"/>
                <w:szCs w:val="24"/>
              </w:rPr>
              <w:t>Enhance skills and knowledge of healthcare workers</w:t>
            </w:r>
          </w:p>
        </w:tc>
        <w:tc>
          <w:tcPr>
            <w:tcW w:w="5336" w:type="dxa"/>
            <w:hideMark/>
          </w:tcPr>
          <w:p w14:paraId="7301653B" w14:textId="77777777" w:rsidR="00CB5104" w:rsidRDefault="00746D70" w:rsidP="006F1480">
            <w:pPr>
              <w:pStyle w:val="ListParagraph"/>
              <w:numPr>
                <w:ilvl w:val="0"/>
                <w:numId w:val="25"/>
              </w:num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CB5104">
              <w:rPr>
                <w:rFonts w:eastAsia="Times New Roman"/>
                <w:lang w:eastAsia="en-GB"/>
              </w:rPr>
              <w:t>Institutionalize</w:t>
            </w:r>
            <w:r w:rsidR="00CB5104">
              <w:rPr>
                <w:rFonts w:eastAsia="Times New Roman"/>
              </w:rPr>
              <w:t xml:space="preserve"> regular IPC refresher courses</w:t>
            </w:r>
          </w:p>
          <w:p w14:paraId="15EDDD21" w14:textId="18CC5C66" w:rsidR="00746D70" w:rsidRPr="00CB5104" w:rsidRDefault="00746D70" w:rsidP="006F1480">
            <w:pPr>
              <w:pStyle w:val="ListParagraph"/>
              <w:numPr>
                <w:ilvl w:val="0"/>
                <w:numId w:val="25"/>
              </w:num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CB5104">
              <w:rPr>
                <w:rFonts w:eastAsia="Times New Roman"/>
                <w:lang w:eastAsia="en-GB"/>
              </w:rPr>
              <w:t>Integrate IPC into continuous professional development</w:t>
            </w:r>
          </w:p>
        </w:tc>
      </w:tr>
      <w:tr w:rsidR="00746D70" w:rsidRPr="00746D70" w14:paraId="3D56B27A" w14:textId="77777777" w:rsidTr="00CB5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hideMark/>
          </w:tcPr>
          <w:p w14:paraId="46DFB22B" w14:textId="179580C5" w:rsidR="00746D70" w:rsidRPr="00CB5104" w:rsidRDefault="00746D70" w:rsidP="006F1480">
            <w:pPr>
              <w:spacing w:before="0" w:after="0" w:line="360" w:lineRule="auto"/>
              <w:jc w:val="both"/>
              <w:rPr>
                <w:rFonts w:eastAsia="Times New Roman" w:cs="Times New Roman"/>
                <w:b w:val="0"/>
                <w:szCs w:val="24"/>
              </w:rPr>
            </w:pPr>
            <w:r w:rsidRPr="00CB5104">
              <w:rPr>
                <w:rFonts w:eastAsia="Times New Roman" w:cs="Times New Roman"/>
                <w:b w:val="0"/>
                <w:bCs w:val="0"/>
                <w:szCs w:val="24"/>
              </w:rPr>
              <w:t>5. Culture of Safety</w:t>
            </w:r>
          </w:p>
        </w:tc>
        <w:tc>
          <w:tcPr>
            <w:tcW w:w="0" w:type="auto"/>
            <w:hideMark/>
          </w:tcPr>
          <w:p w14:paraId="0EC2F83C" w14:textId="77777777" w:rsidR="00746D70" w:rsidRPr="00746D70" w:rsidRDefault="00746D70" w:rsidP="006F1480">
            <w:p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746D70">
              <w:rPr>
                <w:rFonts w:eastAsia="Times New Roman" w:cs="Times New Roman"/>
                <w:szCs w:val="24"/>
              </w:rPr>
              <w:t>Promote a hospital-wide safety and IPC-oriented culture</w:t>
            </w:r>
          </w:p>
        </w:tc>
        <w:tc>
          <w:tcPr>
            <w:tcW w:w="5336" w:type="dxa"/>
            <w:hideMark/>
          </w:tcPr>
          <w:p w14:paraId="292D5AEE" w14:textId="77777777" w:rsidR="00CB5104" w:rsidRDefault="00746D70" w:rsidP="006F1480">
            <w:pPr>
              <w:pStyle w:val="ListParagraph"/>
              <w:numPr>
                <w:ilvl w:val="0"/>
                <w:numId w:val="25"/>
              </w:num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CB5104">
              <w:rPr>
                <w:rFonts w:eastAsia="Times New Roman"/>
                <w:lang w:eastAsia="en-GB"/>
              </w:rPr>
              <w:t>Leadersh</w:t>
            </w:r>
            <w:r w:rsidR="00CB5104">
              <w:rPr>
                <w:rFonts w:eastAsia="Times New Roman"/>
              </w:rPr>
              <w:t>ip advocacy and role modelling</w:t>
            </w:r>
          </w:p>
          <w:p w14:paraId="68B9DCC0" w14:textId="38DB92EE" w:rsidR="00746D70" w:rsidRPr="00CB5104" w:rsidRDefault="00746D70" w:rsidP="006F1480">
            <w:pPr>
              <w:pStyle w:val="ListParagraph"/>
              <w:numPr>
                <w:ilvl w:val="0"/>
                <w:numId w:val="25"/>
              </w:num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CB5104">
              <w:rPr>
                <w:rFonts w:eastAsia="Times New Roman"/>
                <w:lang w:eastAsia="en-GB"/>
              </w:rPr>
              <w:t>Recognition and reward systems for good IPC practices</w:t>
            </w:r>
          </w:p>
        </w:tc>
      </w:tr>
      <w:tr w:rsidR="00746D70" w:rsidRPr="00746D70" w14:paraId="5C9AA67C" w14:textId="77777777" w:rsidTr="00CB5104">
        <w:tc>
          <w:tcPr>
            <w:cnfStyle w:val="001000000000" w:firstRow="0" w:lastRow="0" w:firstColumn="1" w:lastColumn="0" w:oddVBand="0" w:evenVBand="0" w:oddHBand="0" w:evenHBand="0" w:firstRowFirstColumn="0" w:firstRowLastColumn="0" w:lastRowFirstColumn="0" w:lastRowLastColumn="0"/>
            <w:tcW w:w="2926" w:type="dxa"/>
            <w:hideMark/>
          </w:tcPr>
          <w:p w14:paraId="4209CE68" w14:textId="4C062DE8" w:rsidR="00746D70" w:rsidRPr="00CB5104" w:rsidRDefault="00746D70" w:rsidP="006F1480">
            <w:pPr>
              <w:spacing w:before="0" w:after="0" w:line="360" w:lineRule="auto"/>
              <w:jc w:val="both"/>
              <w:rPr>
                <w:rFonts w:eastAsia="Times New Roman" w:cs="Times New Roman"/>
                <w:b w:val="0"/>
                <w:szCs w:val="24"/>
              </w:rPr>
            </w:pPr>
            <w:r w:rsidRPr="00CB5104">
              <w:rPr>
                <w:rFonts w:eastAsia="Times New Roman" w:cs="Times New Roman"/>
                <w:b w:val="0"/>
                <w:bCs w:val="0"/>
                <w:szCs w:val="24"/>
              </w:rPr>
              <w:t>6. Partnerships</w:t>
            </w:r>
          </w:p>
        </w:tc>
        <w:tc>
          <w:tcPr>
            <w:tcW w:w="0" w:type="auto"/>
            <w:hideMark/>
          </w:tcPr>
          <w:p w14:paraId="0D404EB1" w14:textId="77777777" w:rsidR="00746D70" w:rsidRPr="00746D70" w:rsidRDefault="00746D70" w:rsidP="006F1480">
            <w:p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746D70">
              <w:rPr>
                <w:rFonts w:eastAsia="Times New Roman" w:cs="Times New Roman"/>
                <w:szCs w:val="24"/>
              </w:rPr>
              <w:t>Leverage partnerships for infrastructure and technical support</w:t>
            </w:r>
          </w:p>
        </w:tc>
        <w:tc>
          <w:tcPr>
            <w:tcW w:w="5336" w:type="dxa"/>
            <w:hideMark/>
          </w:tcPr>
          <w:p w14:paraId="6F3B914F" w14:textId="77777777" w:rsidR="00CB5104" w:rsidRDefault="00746D70" w:rsidP="006F1480">
            <w:pPr>
              <w:pStyle w:val="ListParagraph"/>
              <w:numPr>
                <w:ilvl w:val="0"/>
                <w:numId w:val="25"/>
              </w:num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CB5104">
              <w:rPr>
                <w:rFonts w:eastAsia="Times New Roman"/>
                <w:lang w:eastAsia="en-GB"/>
              </w:rPr>
              <w:t xml:space="preserve">Collaborate with development </w:t>
            </w:r>
            <w:r w:rsidR="00CB5104">
              <w:rPr>
                <w:rFonts w:eastAsia="Times New Roman"/>
              </w:rPr>
              <w:t>partners for facility upgrades</w:t>
            </w:r>
          </w:p>
          <w:p w14:paraId="771786C8" w14:textId="5A12ADA3" w:rsidR="00746D70" w:rsidRPr="00CB5104" w:rsidRDefault="00746D70" w:rsidP="006F1480">
            <w:pPr>
              <w:pStyle w:val="ListParagraph"/>
              <w:numPr>
                <w:ilvl w:val="0"/>
                <w:numId w:val="25"/>
              </w:num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CB5104">
              <w:rPr>
                <w:rFonts w:eastAsia="Times New Roman"/>
                <w:lang w:eastAsia="en-GB"/>
              </w:rPr>
              <w:t>Support joint IPC research initiatives</w:t>
            </w:r>
          </w:p>
        </w:tc>
      </w:tr>
    </w:tbl>
    <w:p w14:paraId="59D3001B" w14:textId="5B42822D" w:rsidR="00746D70" w:rsidRPr="003F4633" w:rsidRDefault="00746D70" w:rsidP="003F4633">
      <w:pPr>
        <w:spacing w:before="0" w:line="360" w:lineRule="auto"/>
        <w:jc w:val="both"/>
        <w:rPr>
          <w:rFonts w:eastAsia="Times New Roman" w:cs="Times New Roman"/>
          <w:szCs w:val="24"/>
          <w:lang w:val="en" w:bidi="en-US"/>
        </w:rPr>
      </w:pPr>
    </w:p>
    <w:p w14:paraId="730E1B44" w14:textId="77777777" w:rsidR="003F4633" w:rsidRPr="003F4633" w:rsidRDefault="003F4633" w:rsidP="003F4633">
      <w:pPr>
        <w:spacing w:before="0" w:after="0" w:line="360" w:lineRule="auto"/>
        <w:jc w:val="both"/>
        <w:rPr>
          <w:rFonts w:eastAsia="Times New Roman" w:cs="Times New Roman"/>
          <w:b/>
          <w:szCs w:val="24"/>
          <w:lang w:val="en" w:bidi="en-US"/>
        </w:rPr>
      </w:pPr>
      <w:r w:rsidRPr="003F4633">
        <w:rPr>
          <w:rFonts w:eastAsia="Times New Roman" w:cs="Times New Roman"/>
          <w:b/>
          <w:szCs w:val="24"/>
          <w:lang w:val="en" w:bidi="en-US"/>
        </w:rPr>
        <w:t>Conclusion</w:t>
      </w:r>
    </w:p>
    <w:p w14:paraId="7F390380" w14:textId="0BB593EA" w:rsidR="003F4633" w:rsidRPr="003F4633" w:rsidRDefault="003F4633" w:rsidP="003F4633">
      <w:pPr>
        <w:spacing w:before="0" w:after="0" w:line="360" w:lineRule="auto"/>
        <w:jc w:val="both"/>
        <w:rPr>
          <w:rFonts w:eastAsia="Times New Roman" w:cs="Times New Roman"/>
          <w:szCs w:val="24"/>
          <w:lang w:val="en" w:bidi="en-US"/>
        </w:rPr>
      </w:pPr>
      <w:r w:rsidRPr="003F4633">
        <w:rPr>
          <w:rFonts w:eastAsia="Times New Roman" w:cs="Times New Roman"/>
          <w:szCs w:val="24"/>
          <w:lang w:val="en" w:bidi="en-US"/>
        </w:rPr>
        <w:t xml:space="preserve">In conclusion, this study found an intermediate implementation of IPC core components in most </w:t>
      </w:r>
      <w:r w:rsidR="00D003A9">
        <w:rPr>
          <w:rFonts w:eastAsia="Times New Roman" w:cs="Times New Roman"/>
          <w:szCs w:val="24"/>
          <w:lang w:val="en" w:bidi="en-US"/>
        </w:rPr>
        <w:t>secondary</w:t>
      </w:r>
      <w:r w:rsidRPr="003F4633">
        <w:rPr>
          <w:rFonts w:eastAsia="Times New Roman" w:cs="Times New Roman"/>
          <w:szCs w:val="24"/>
          <w:lang w:val="en" w:bidi="en-US"/>
        </w:rPr>
        <w:t>-level hospitals but an advanced implementation in most tertiary-level hospitals in Zambia. Overall, the average IPCAF level was found to be intermediate. The implementation of the WHO IPCAF tool in Zambia represents a significant opportunity to enhance IPC practices, reduce the burden of HAIs, and combat AMR. By leveraging this systematic and evidence-based approach, healthcare facilities can achieve measurable improvements in patient safety and healthcare quality. While this study provides valuable baseline data, future research should focus on conducting a larger, nationally representative survey, employing qualitative methods to explore barriers to IPC implementation at different hospital levels, and undertaking longitudinal studies to evaluate the impact of targeted IPC interventions on HAI rates and antibiotic use. Notably, our results contribute to ongoing efforts to optimize IPC programmes in Zambia, ensuring alignment with global best practices while addressing local healthcare challenges. Finally, there is a need for quality improvement in education and training of IPC measures among healthcare workers across all the hospitals in Zambia.</w:t>
      </w:r>
    </w:p>
    <w:p w14:paraId="494832D2" w14:textId="77777777" w:rsidR="003F4633" w:rsidRPr="003F4633" w:rsidRDefault="003F4633" w:rsidP="003F4633">
      <w:pPr>
        <w:spacing w:before="0" w:after="0" w:line="360" w:lineRule="auto"/>
        <w:jc w:val="both"/>
        <w:rPr>
          <w:rFonts w:eastAsia="Times New Roman" w:cs="Times New Roman"/>
          <w:szCs w:val="24"/>
          <w:lang w:val="en" w:bidi="en-US"/>
        </w:rPr>
      </w:pPr>
    </w:p>
    <w:p w14:paraId="71D27CBA" w14:textId="77777777" w:rsidR="003F4633" w:rsidRPr="003F4633" w:rsidRDefault="003F4633" w:rsidP="003F4633">
      <w:pPr>
        <w:spacing w:before="0" w:after="0" w:line="360" w:lineRule="auto"/>
        <w:jc w:val="both"/>
        <w:rPr>
          <w:rFonts w:eastAsia="Times New Roman" w:cs="Times New Roman"/>
          <w:b/>
          <w:bCs/>
          <w:szCs w:val="24"/>
          <w:lang w:bidi="en-US"/>
        </w:rPr>
      </w:pPr>
      <w:r w:rsidRPr="003F4633">
        <w:rPr>
          <w:rFonts w:eastAsia="Times New Roman" w:cs="Times New Roman"/>
          <w:b/>
          <w:bCs/>
          <w:szCs w:val="24"/>
          <w:lang w:bidi="en-US"/>
        </w:rPr>
        <w:t>Author Contributions</w:t>
      </w:r>
    </w:p>
    <w:p w14:paraId="3307CEA0" w14:textId="77777777" w:rsidR="003F4633" w:rsidRPr="003F4633" w:rsidRDefault="003F4633" w:rsidP="003F4633">
      <w:pPr>
        <w:spacing w:before="0" w:after="0" w:line="360" w:lineRule="auto"/>
        <w:jc w:val="both"/>
        <w:rPr>
          <w:rFonts w:eastAsia="Times New Roman" w:cs="Times New Roman"/>
          <w:szCs w:val="24"/>
          <w:lang w:bidi="en-US"/>
        </w:rPr>
      </w:pPr>
      <w:r w:rsidRPr="003F4633">
        <w:rPr>
          <w:rFonts w:eastAsia="Times New Roman" w:cs="Times New Roman"/>
          <w:szCs w:val="24"/>
          <w:lang w:val="en" w:bidi="en-US"/>
        </w:rPr>
        <w:t>The study was conceptualized by</w:t>
      </w:r>
      <w:r w:rsidRPr="003F4633">
        <w:rPr>
          <w:rFonts w:eastAsia="Times New Roman" w:cs="Times New Roman"/>
          <w:szCs w:val="24"/>
          <w:lang w:bidi="en-US"/>
        </w:rPr>
        <w:t xml:space="preserve"> S.M., J.Y.C. and R.C. The study design was done by S.M., I.L., J.Y.C., N.S., M.S., K.Y., C.N., Y.S. and R.C. The study activities were overseen by S.M. and J.Y.C. Data interpretation was done by S.M., J.Y.C., I.M., L.N., E.W., J.C.L.M., M.S., KY., CN., YS., J.B.M., B.G. and R.C. Data analysis was done by S.M. Data collection was done by S.M., J.Y.C., M.K., I.M. and R.C. Resources of the study were provided by S.M., J.Y.C. and R.C. </w:t>
      </w:r>
      <w:r w:rsidRPr="003F4633">
        <w:rPr>
          <w:rFonts w:eastAsia="Times New Roman" w:cs="Times New Roman"/>
          <w:szCs w:val="24"/>
          <w:lang w:val="en" w:bidi="en-US"/>
        </w:rPr>
        <w:t>Writing of the first draft was done by</w:t>
      </w:r>
      <w:r w:rsidRPr="003F4633">
        <w:rPr>
          <w:rFonts w:eastAsia="Times New Roman" w:cs="Times New Roman"/>
          <w:szCs w:val="24"/>
          <w:lang w:bidi="en-US"/>
        </w:rPr>
        <w:t xml:space="preserve"> S.M., J.Y.C., L.N., M.K., I.M., A.C.K.., E.W., A.F.L., J.C.L.M., M.M (Martha Mwaba), M.S., A.Y.M., N.S., T.M., M.M (Malambo Mutila)., P.S., D.L., K.Y., M.S., C.N., Y.S., J.B.M., B.G. and R.C. </w:t>
      </w:r>
      <w:r w:rsidRPr="003F4633">
        <w:rPr>
          <w:rFonts w:eastAsia="Times New Roman" w:cs="Times New Roman"/>
          <w:szCs w:val="24"/>
          <w:lang w:val="en" w:bidi="en-US"/>
        </w:rPr>
        <w:t>Intellectual content of the manuscript was done by</w:t>
      </w:r>
      <w:r w:rsidRPr="003F4633">
        <w:rPr>
          <w:rFonts w:eastAsia="Times New Roman" w:cs="Times New Roman"/>
          <w:szCs w:val="24"/>
          <w:lang w:bidi="en-US"/>
        </w:rPr>
        <w:t xml:space="preserve"> S.M., J.Y.C., L.N., M.K., I.M., A.C.K., E.W., A.F.L., J.C.L.M., M.M (Martha Mwaba)., M.S., A.Y.M., N.S., T.M., M.M (Malambo Mutila)., P.S., D.L., K.Y., M.S., C.N., Y.S., J.B.M., B.G. and R.C. Supervision was done by N.S., B.G., J.B.M., B.G. and R.C. Project administration was done by S.M., J.Y.C. and R.C. </w:t>
      </w:r>
      <w:r w:rsidRPr="003F4633">
        <w:rPr>
          <w:rFonts w:eastAsia="Times New Roman" w:cs="Times New Roman"/>
          <w:szCs w:val="24"/>
          <w:lang w:val="en" w:bidi="en-US"/>
        </w:rPr>
        <w:t>All authors participated in the writing of the final manuscript, reviewed, and approved the final version of the manuscript.</w:t>
      </w:r>
    </w:p>
    <w:p w14:paraId="4D8EAF0F" w14:textId="77777777" w:rsidR="003F4633" w:rsidRPr="003F4633" w:rsidRDefault="003F4633" w:rsidP="003F4633">
      <w:pPr>
        <w:spacing w:before="0" w:after="0" w:line="360" w:lineRule="auto"/>
        <w:jc w:val="both"/>
        <w:rPr>
          <w:rFonts w:eastAsia="Times New Roman" w:cs="Times New Roman"/>
          <w:b/>
          <w:bCs/>
          <w:szCs w:val="24"/>
          <w:lang w:bidi="en-US"/>
        </w:rPr>
      </w:pPr>
    </w:p>
    <w:p w14:paraId="75DEB19B" w14:textId="77777777" w:rsidR="003F4633" w:rsidRPr="003F4633" w:rsidRDefault="003F4633" w:rsidP="003F4633">
      <w:pPr>
        <w:spacing w:before="0" w:after="0" w:line="360" w:lineRule="auto"/>
        <w:jc w:val="both"/>
        <w:rPr>
          <w:rFonts w:eastAsia="Times New Roman" w:cs="Times New Roman"/>
          <w:b/>
          <w:bCs/>
          <w:szCs w:val="24"/>
          <w:lang w:bidi="en-US"/>
        </w:rPr>
      </w:pPr>
      <w:r w:rsidRPr="003F4633">
        <w:rPr>
          <w:rFonts w:eastAsia="Times New Roman" w:cs="Times New Roman"/>
          <w:b/>
          <w:bCs/>
          <w:szCs w:val="24"/>
          <w:lang w:bidi="en-US"/>
        </w:rPr>
        <w:t>Conflict of interest statement</w:t>
      </w:r>
    </w:p>
    <w:p w14:paraId="7B507B5F" w14:textId="77777777" w:rsidR="003F4633" w:rsidRPr="003F4633" w:rsidRDefault="003F4633" w:rsidP="003F4633">
      <w:pPr>
        <w:spacing w:before="0" w:after="0" w:line="360" w:lineRule="auto"/>
        <w:jc w:val="both"/>
        <w:rPr>
          <w:rFonts w:eastAsia="Times New Roman" w:cs="Times New Roman"/>
          <w:szCs w:val="24"/>
          <w:lang w:val="en" w:bidi="en-US"/>
        </w:rPr>
      </w:pPr>
      <w:r w:rsidRPr="003F4633">
        <w:rPr>
          <w:rFonts w:eastAsia="Times New Roman" w:cs="Times New Roman"/>
          <w:szCs w:val="24"/>
          <w:lang w:val="en" w:bidi="en-US"/>
        </w:rPr>
        <w:t>The authors declare that the research was conducted in the absence of any commercial or financial relationships that could be construed as a potential conflict of interest.</w:t>
      </w:r>
    </w:p>
    <w:p w14:paraId="5999D349" w14:textId="77777777" w:rsidR="003F4633" w:rsidRPr="003F4633" w:rsidRDefault="003F4633" w:rsidP="003F4633">
      <w:pPr>
        <w:spacing w:before="0" w:after="0" w:line="360" w:lineRule="auto"/>
        <w:jc w:val="both"/>
        <w:rPr>
          <w:rFonts w:eastAsia="Times New Roman" w:cs="Times New Roman"/>
          <w:b/>
          <w:bCs/>
          <w:szCs w:val="24"/>
          <w:lang w:bidi="en-US"/>
        </w:rPr>
      </w:pPr>
    </w:p>
    <w:p w14:paraId="7D4B8762" w14:textId="77777777" w:rsidR="003F4633" w:rsidRPr="003F4633" w:rsidRDefault="003F4633" w:rsidP="003F4633">
      <w:pPr>
        <w:spacing w:before="0" w:after="0" w:line="360" w:lineRule="auto"/>
        <w:jc w:val="both"/>
        <w:rPr>
          <w:rFonts w:eastAsia="Times New Roman" w:cs="Times New Roman"/>
          <w:b/>
          <w:bCs/>
          <w:szCs w:val="24"/>
          <w:lang w:bidi="en-US"/>
        </w:rPr>
      </w:pPr>
      <w:r w:rsidRPr="003F4633">
        <w:rPr>
          <w:rFonts w:eastAsia="Times New Roman" w:cs="Times New Roman"/>
          <w:b/>
          <w:bCs/>
          <w:szCs w:val="24"/>
          <w:lang w:bidi="en-US"/>
        </w:rPr>
        <w:t>Funding Sources</w:t>
      </w:r>
    </w:p>
    <w:p w14:paraId="5595C212" w14:textId="77777777" w:rsidR="003F4633" w:rsidRPr="003F4633" w:rsidRDefault="003F4633" w:rsidP="003F4633">
      <w:pPr>
        <w:spacing w:before="0" w:after="0" w:line="360" w:lineRule="auto"/>
        <w:jc w:val="both"/>
        <w:rPr>
          <w:rFonts w:eastAsia="Times New Roman" w:cs="Times New Roman"/>
          <w:szCs w:val="24"/>
          <w:lang w:bidi="en-US"/>
        </w:rPr>
      </w:pPr>
      <w:r w:rsidRPr="003F4633">
        <w:rPr>
          <w:rFonts w:eastAsia="Times New Roman" w:cs="Times New Roman"/>
          <w:szCs w:val="24"/>
          <w:lang w:bidi="en-US"/>
        </w:rPr>
        <w:t>This work was supported the Pandemic Fund.</w:t>
      </w:r>
    </w:p>
    <w:p w14:paraId="6D4315F6" w14:textId="77777777" w:rsidR="003F4633" w:rsidRPr="003F4633" w:rsidRDefault="003F4633" w:rsidP="003F4633">
      <w:pPr>
        <w:spacing w:before="0" w:after="0" w:line="360" w:lineRule="auto"/>
        <w:jc w:val="both"/>
        <w:rPr>
          <w:rFonts w:eastAsia="Times New Roman" w:cs="Times New Roman"/>
          <w:b/>
          <w:bCs/>
          <w:szCs w:val="24"/>
          <w:lang w:bidi="en-US"/>
        </w:rPr>
      </w:pPr>
    </w:p>
    <w:p w14:paraId="41AE6E03" w14:textId="77777777" w:rsidR="003F4633" w:rsidRPr="003F4633" w:rsidRDefault="003F4633" w:rsidP="003F4633">
      <w:pPr>
        <w:spacing w:before="0" w:after="0" w:line="360" w:lineRule="auto"/>
        <w:jc w:val="both"/>
        <w:rPr>
          <w:rFonts w:eastAsia="Times New Roman" w:cs="Times New Roman"/>
          <w:b/>
          <w:bCs/>
          <w:szCs w:val="24"/>
          <w:lang w:bidi="en-US"/>
        </w:rPr>
      </w:pPr>
      <w:r w:rsidRPr="003F4633">
        <w:rPr>
          <w:rFonts w:eastAsia="Times New Roman" w:cs="Times New Roman"/>
          <w:b/>
          <w:bCs/>
          <w:szCs w:val="24"/>
          <w:lang w:bidi="en-US"/>
        </w:rPr>
        <w:t>Acknowledgements</w:t>
      </w:r>
    </w:p>
    <w:p w14:paraId="5BBF3571" w14:textId="77777777" w:rsidR="003F4633" w:rsidRPr="003F4633" w:rsidRDefault="003F4633" w:rsidP="003F4633">
      <w:pPr>
        <w:spacing w:before="0" w:after="0" w:line="360" w:lineRule="auto"/>
        <w:jc w:val="both"/>
        <w:rPr>
          <w:rFonts w:eastAsia="Times New Roman" w:cs="Times New Roman"/>
          <w:b/>
          <w:bCs/>
          <w:szCs w:val="24"/>
          <w:lang w:bidi="en-US"/>
        </w:rPr>
      </w:pPr>
      <w:r w:rsidRPr="003F4633">
        <w:rPr>
          <w:rFonts w:eastAsia="Times New Roman" w:cs="Times New Roman"/>
          <w:szCs w:val="24"/>
          <w:lang w:bidi="en-US"/>
        </w:rPr>
        <w:t>We are grateful to all the Management Staff of the public hospitals that were involved in this study.</w:t>
      </w:r>
    </w:p>
    <w:p w14:paraId="51720D69" w14:textId="77777777" w:rsidR="003F4633" w:rsidRPr="003F4633" w:rsidRDefault="003F4633" w:rsidP="003F4633">
      <w:pPr>
        <w:spacing w:before="0" w:after="0" w:line="360" w:lineRule="auto"/>
        <w:jc w:val="both"/>
        <w:rPr>
          <w:rFonts w:eastAsia="Times New Roman" w:cs="Times New Roman"/>
          <w:b/>
          <w:bCs/>
          <w:szCs w:val="24"/>
          <w:lang w:bidi="en-US"/>
        </w:rPr>
      </w:pPr>
    </w:p>
    <w:p w14:paraId="1F795B6D" w14:textId="77777777" w:rsidR="003F4633" w:rsidRPr="003F4633" w:rsidRDefault="003F4633" w:rsidP="003F4633">
      <w:pPr>
        <w:spacing w:before="0" w:after="0" w:line="360" w:lineRule="auto"/>
        <w:jc w:val="both"/>
        <w:rPr>
          <w:rFonts w:eastAsia="Times New Roman" w:cs="Times New Roman"/>
          <w:b/>
          <w:bCs/>
          <w:szCs w:val="24"/>
          <w:lang w:bidi="en-US"/>
        </w:rPr>
      </w:pPr>
      <w:r w:rsidRPr="003F4633">
        <w:rPr>
          <w:rFonts w:eastAsia="Times New Roman" w:cs="Times New Roman"/>
          <w:b/>
          <w:bCs/>
          <w:szCs w:val="24"/>
          <w:lang w:bidi="en-US"/>
        </w:rPr>
        <w:t>Supplementary material</w:t>
      </w:r>
    </w:p>
    <w:p w14:paraId="0DB515C1" w14:textId="77777777" w:rsidR="003F4633" w:rsidRPr="003F4633" w:rsidRDefault="003F4633" w:rsidP="003F4633">
      <w:pPr>
        <w:spacing w:before="0" w:after="0" w:line="360" w:lineRule="auto"/>
        <w:jc w:val="both"/>
        <w:rPr>
          <w:rFonts w:eastAsia="Times New Roman" w:cs="Times New Roman"/>
          <w:szCs w:val="24"/>
          <w:lang w:val="en" w:bidi="en-US"/>
        </w:rPr>
      </w:pPr>
      <w:r w:rsidRPr="003F4633">
        <w:rPr>
          <w:rFonts w:eastAsia="Times New Roman" w:cs="Times New Roman"/>
          <w:szCs w:val="24"/>
          <w:lang w:val="en" w:bidi="en-US"/>
        </w:rPr>
        <w:t xml:space="preserve">The Supplementary Material for this article can be found online at: </w:t>
      </w:r>
      <w:proofErr w:type="spellStart"/>
      <w:r w:rsidRPr="003F4633">
        <w:rPr>
          <w:rFonts w:eastAsia="Times New Roman" w:cs="Times New Roman"/>
          <w:szCs w:val="24"/>
          <w:lang w:val="en" w:bidi="en-US"/>
        </w:rPr>
        <w:t>xxxxxxxxxxxxxxxxxxxxxxxxx</w:t>
      </w:r>
      <w:proofErr w:type="spellEnd"/>
    </w:p>
    <w:p w14:paraId="77104695" w14:textId="77777777" w:rsidR="003F4633" w:rsidRPr="003F4633" w:rsidRDefault="003F4633" w:rsidP="003F4633">
      <w:pPr>
        <w:spacing w:before="0" w:after="0" w:line="276" w:lineRule="auto"/>
        <w:jc w:val="both"/>
        <w:rPr>
          <w:rFonts w:eastAsia="Times New Roman" w:cs="Times New Roman"/>
          <w:b/>
          <w:szCs w:val="24"/>
          <w:lang w:val="en"/>
        </w:rPr>
      </w:pPr>
    </w:p>
    <w:p w14:paraId="4670A82E" w14:textId="77777777" w:rsidR="003F4633" w:rsidRPr="003F4633" w:rsidRDefault="003F4633" w:rsidP="003F4633">
      <w:pPr>
        <w:spacing w:before="0" w:after="0" w:line="276" w:lineRule="auto"/>
        <w:jc w:val="both"/>
        <w:rPr>
          <w:rFonts w:eastAsia="Times New Roman" w:cs="Times New Roman"/>
          <w:b/>
          <w:szCs w:val="24"/>
        </w:rPr>
      </w:pPr>
      <w:r w:rsidRPr="003F4633">
        <w:rPr>
          <w:rFonts w:eastAsia="Times New Roman" w:cs="Times New Roman"/>
          <w:b/>
          <w:szCs w:val="24"/>
        </w:rPr>
        <w:t>Data Availability Statement</w:t>
      </w:r>
    </w:p>
    <w:p w14:paraId="6AF0D5D5" w14:textId="77777777" w:rsidR="003F4633" w:rsidRPr="003F4633" w:rsidRDefault="003F4633" w:rsidP="003F4633">
      <w:pPr>
        <w:spacing w:before="0" w:after="0" w:line="276" w:lineRule="auto"/>
        <w:jc w:val="both"/>
        <w:rPr>
          <w:rFonts w:eastAsia="Times New Roman" w:cs="Times New Roman"/>
          <w:szCs w:val="24"/>
        </w:rPr>
      </w:pPr>
      <w:r w:rsidRPr="003F4633">
        <w:rPr>
          <w:rFonts w:eastAsia="Times New Roman" w:cs="Times New Roman"/>
          <w:szCs w:val="24"/>
          <w:lang w:val="en"/>
        </w:rPr>
        <w:t>The raw data supporting the conclusions of this article will be made available by the authors, without undue reservation.</w:t>
      </w:r>
    </w:p>
    <w:p w14:paraId="34484683" w14:textId="77777777" w:rsidR="003F4633" w:rsidRPr="00EF7410" w:rsidRDefault="003F4633" w:rsidP="003F4633">
      <w:pPr>
        <w:spacing w:before="0" w:after="0" w:line="276" w:lineRule="auto"/>
        <w:jc w:val="both"/>
        <w:rPr>
          <w:rFonts w:eastAsia="Times New Roman" w:cs="Times New Roman"/>
          <w:b/>
          <w:szCs w:val="24"/>
          <w:lang w:val="en"/>
        </w:rPr>
      </w:pPr>
    </w:p>
    <w:p w14:paraId="53C5EC6D" w14:textId="77777777" w:rsidR="003F4633" w:rsidRPr="00EF7410" w:rsidRDefault="003F4633" w:rsidP="006F1480">
      <w:pPr>
        <w:spacing w:before="0" w:after="0" w:line="276" w:lineRule="auto"/>
        <w:jc w:val="both"/>
        <w:rPr>
          <w:rFonts w:eastAsia="Times New Roman" w:cs="Times New Roman"/>
          <w:b/>
          <w:szCs w:val="24"/>
          <w:lang w:val="en"/>
        </w:rPr>
      </w:pPr>
      <w:r w:rsidRPr="00EF7410">
        <w:rPr>
          <w:rFonts w:eastAsia="Times New Roman" w:cs="Times New Roman"/>
          <w:b/>
          <w:szCs w:val="24"/>
          <w:lang w:val="en"/>
        </w:rPr>
        <w:t xml:space="preserve">References </w:t>
      </w:r>
    </w:p>
    <w:p w14:paraId="75B022B1" w14:textId="7C344C4D" w:rsidR="006F1480" w:rsidRPr="006F1480" w:rsidRDefault="003F4633" w:rsidP="006F1480">
      <w:pPr>
        <w:widowControl w:val="0"/>
        <w:autoSpaceDE w:val="0"/>
        <w:autoSpaceDN w:val="0"/>
        <w:adjustRightInd w:val="0"/>
        <w:spacing w:before="0" w:after="0"/>
        <w:ind w:left="640" w:hanging="640"/>
        <w:rPr>
          <w:rFonts w:cs="Times New Roman"/>
          <w:noProof/>
          <w:szCs w:val="24"/>
        </w:rPr>
      </w:pPr>
      <w:r w:rsidRPr="00EF7410">
        <w:rPr>
          <w:rFonts w:eastAsia="Times New Roman" w:cs="Times New Roman"/>
          <w:szCs w:val="24"/>
          <w:lang w:val="en"/>
        </w:rPr>
        <w:fldChar w:fldCharType="begin" w:fldLock="1"/>
      </w:r>
      <w:r w:rsidRPr="00EF7410">
        <w:rPr>
          <w:rFonts w:eastAsia="Times New Roman" w:cs="Times New Roman"/>
          <w:szCs w:val="24"/>
          <w:lang w:val="en"/>
        </w:rPr>
        <w:instrText xml:space="preserve">ADDIN Mendeley Bibliography CSL_BIBLIOGRAPHY </w:instrText>
      </w:r>
      <w:r w:rsidRPr="00EF7410">
        <w:rPr>
          <w:rFonts w:eastAsia="Times New Roman" w:cs="Times New Roman"/>
          <w:szCs w:val="24"/>
          <w:lang w:val="en"/>
        </w:rPr>
        <w:fldChar w:fldCharType="separate"/>
      </w:r>
      <w:r w:rsidR="006F1480" w:rsidRPr="006F1480">
        <w:rPr>
          <w:rFonts w:cs="Times New Roman"/>
          <w:noProof/>
          <w:szCs w:val="24"/>
        </w:rPr>
        <w:t xml:space="preserve">1. </w:t>
      </w:r>
      <w:r w:rsidR="006F1480" w:rsidRPr="006F1480">
        <w:rPr>
          <w:rFonts w:cs="Times New Roman"/>
          <w:noProof/>
          <w:szCs w:val="24"/>
        </w:rPr>
        <w:tab/>
        <w:t>World Health Organization. Guidelines on core components of infection prevention and control programmes at the national and acute health care facility level [Internet]. 2016. Available from: https://www.who.int/publications/i/item/9789241549929</w:t>
      </w:r>
    </w:p>
    <w:p w14:paraId="012FC95B"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2. </w:t>
      </w:r>
      <w:r w:rsidRPr="006F1480">
        <w:rPr>
          <w:rFonts w:cs="Times New Roman"/>
          <w:noProof/>
          <w:szCs w:val="24"/>
        </w:rPr>
        <w:tab/>
        <w:t>Tsioutis C, Birgand G, Bathoorn E, Deptula A, ten Horn L, Castro-Sánchez E, et al. Education and training programmes for infection prevention and control professionals: mapping the current opportunities and local needs in European countries [Internet]. Vol. 9, Antimicrobial Resistance and Infection Control. BioMed Central Ltd; 2020. p. 183. Available from: https://aricjournal.biomedcentral.com/articles/10.1186/s13756-020-00835-1</w:t>
      </w:r>
    </w:p>
    <w:p w14:paraId="214C4EA6"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3. </w:t>
      </w:r>
      <w:r w:rsidRPr="006F1480">
        <w:rPr>
          <w:rFonts w:cs="Times New Roman"/>
          <w:noProof/>
          <w:szCs w:val="24"/>
        </w:rPr>
        <w:tab/>
        <w:t>Hill B, Lamichhane G, Wamburu A. Infection prevention and control: critical strategies for nursing practice. Br J Nurs. 2024;33(17):804–11. Available from: https://pubmed.ncbi.nlm.nih.gov/39302906/</w:t>
      </w:r>
    </w:p>
    <w:p w14:paraId="0771FEB1"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4. </w:t>
      </w:r>
      <w:r w:rsidRPr="006F1480">
        <w:rPr>
          <w:rFonts w:cs="Times New Roman"/>
          <w:noProof/>
          <w:szCs w:val="24"/>
        </w:rPr>
        <w:tab/>
        <w:t>Barrera-Cancedda AE, Riman KA, Shinnick JE, Buttenheim AM. Implementation strategies for infection prevention and control promotion for nurses in Sub-Saharan Africa: A systematic review [Internet]. Vol. 14, Implementation Science. BMC; 2019. p. 111. Available from: /pmc/articles/PMC6937686/</w:t>
      </w:r>
    </w:p>
    <w:p w14:paraId="3B4476C0"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5. </w:t>
      </w:r>
      <w:r w:rsidRPr="006F1480">
        <w:rPr>
          <w:rFonts w:cs="Times New Roman"/>
          <w:noProof/>
          <w:szCs w:val="24"/>
        </w:rPr>
        <w:tab/>
        <w:t>Abubakar U, Amir O, Rodríguez-Baño J. Healthcare-associated infections in Africa: a systematic review and meta-analysis of point prevalence studies. J Pharm Policy Pract. 2022;15(1):99. Available from: https://pubmed.ncbi.nlm.nih.gov/36494700/</w:t>
      </w:r>
    </w:p>
    <w:p w14:paraId="4C8C668C"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6. </w:t>
      </w:r>
      <w:r w:rsidRPr="006F1480">
        <w:rPr>
          <w:rFonts w:cs="Times New Roman"/>
          <w:noProof/>
          <w:szCs w:val="24"/>
        </w:rPr>
        <w:tab/>
        <w:t>Sievert DM, Ricks P, Edwards JR, Schneider A, Patel J, Srinivasan A, et al. Antimicrobial-Resistant Pathogens Associated with Healthcare-Associated Infections Summary of Data Reported to the National Healthcare Safety Network at the Centers for Disease Control and Prevention, 2009–2010. Infect Control Hosp Epidemiol. 2013;34(1):1–14. Available from: https://pubmed.ncbi.nlm.nih.gov/23221186/</w:t>
      </w:r>
    </w:p>
    <w:p w14:paraId="4146F342"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7. </w:t>
      </w:r>
      <w:r w:rsidRPr="006F1480">
        <w:rPr>
          <w:rFonts w:cs="Times New Roman"/>
          <w:noProof/>
          <w:szCs w:val="24"/>
        </w:rPr>
        <w:tab/>
        <w:t>Sartorius B, Gray AP, Davis Weaver N, Robles Aguilar G, Swetschinski LR, Ikuta KS, et al. The burden of bacterial antimicrobial resistance in the WHO African region in 2019: a cross-country systematic analysis. Lancet Glob Heal. 2024;12(2):e201–16. Available from: http://www.thelancet.com/article/S2214109X23005399/fulltext</w:t>
      </w:r>
    </w:p>
    <w:p w14:paraId="59EF021E"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8. </w:t>
      </w:r>
      <w:r w:rsidRPr="006F1480">
        <w:rPr>
          <w:rFonts w:cs="Times New Roman"/>
          <w:noProof/>
          <w:szCs w:val="24"/>
        </w:rPr>
        <w:tab/>
        <w:t>Alp E, Damani N. Healthcare-associated infections in intensive care units: Epidemiology and infection control in low-to-middle income countries [Internet]. Vol. 9, Journal of Infection in Developing Countries. J Infect Dev Ctries; 2015. p. 1040–5. Available from: https://pubmed.ncbi.nlm.nih.gov/26517477/</w:t>
      </w:r>
    </w:p>
    <w:p w14:paraId="41311C41"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9. </w:t>
      </w:r>
      <w:r w:rsidRPr="006F1480">
        <w:rPr>
          <w:rFonts w:cs="Times New Roman"/>
          <w:noProof/>
          <w:szCs w:val="24"/>
        </w:rPr>
        <w:tab/>
        <w:t>Sartelli M, Barie PS, Coccolini F, Abbas M, Abbo LM, Abdukhalilova GK, et al. Ten golden rules for optimal antibiotic use in hospital settings: the WARNING call to action. World J Emerg Surg. 2023;18(1):50. Available from: https://wjes.biomedcentral.com/articles/10.1186/s13017-023-00518-3</w:t>
      </w:r>
    </w:p>
    <w:p w14:paraId="1415BDE9"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10. </w:t>
      </w:r>
      <w:r w:rsidRPr="006F1480">
        <w:rPr>
          <w:rFonts w:cs="Times New Roman"/>
          <w:noProof/>
          <w:szCs w:val="24"/>
        </w:rPr>
        <w:tab/>
        <w:t>Avortri GS, Nabyonga-Orem J. The Global call for action on infection prevention and control: Implication for low income countries. Int J Health Care Qual Assur. 2019;32(6):927–40. Available from: https://pubmed.ncbi.nlm.nih.gov/31282256/</w:t>
      </w:r>
    </w:p>
    <w:p w14:paraId="21235463"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11. </w:t>
      </w:r>
      <w:r w:rsidRPr="006F1480">
        <w:rPr>
          <w:rFonts w:cs="Times New Roman"/>
          <w:noProof/>
          <w:szCs w:val="24"/>
        </w:rPr>
        <w:tab/>
        <w:t>Kinyenje E, Hokororo J, Eliakimu E, Yahya T, Mbwele B, Mohamed M, et al. Status of Infection Prevention and Control in Tanzanian Primary Health Care Facilities: Learning From Star Rating Assessment. Infect Prev Pract. 2020;2(3):100071. Available from: https://pubmed.ncbi.nlm.nih.gov/34316561/</w:t>
      </w:r>
    </w:p>
    <w:p w14:paraId="63690B0B"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12. </w:t>
      </w:r>
      <w:r w:rsidRPr="006F1480">
        <w:rPr>
          <w:rFonts w:cs="Times New Roman"/>
          <w:noProof/>
          <w:szCs w:val="24"/>
        </w:rPr>
        <w:tab/>
        <w:t>Oppong TB, Amponsem-Boateng C, Kyere EKD, Wang Y, Gheisari Z, Oppong EE, et al. Infection prevention and control preparedness level and associated determinants in 56 acute healthcare facilities in Ghana. Infect Drug Resist. 2020;13:4263–71. Available from: https://www.dovepress.com/infection-prevention-and-control-preparedness-level-and-associated-det-peer-reviewed-fulltext-article-IDR</w:t>
      </w:r>
    </w:p>
    <w:p w14:paraId="4FD97DDC"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13. </w:t>
      </w:r>
      <w:r w:rsidRPr="006F1480">
        <w:rPr>
          <w:rFonts w:cs="Times New Roman"/>
          <w:noProof/>
          <w:szCs w:val="24"/>
        </w:rPr>
        <w:tab/>
        <w:t>Nejad SB, Allegranzi B, Syed SB, Ellisc B, Pittetd D. Health-care-associated infection in Africa: a systematic review. Bull World Health Organ. 2011;89(10):757–65. Available from: https://pubmed.ncbi.nlm.nih.gov/22084514/</w:t>
      </w:r>
    </w:p>
    <w:p w14:paraId="65BE4B18"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14. </w:t>
      </w:r>
      <w:r w:rsidRPr="006F1480">
        <w:rPr>
          <w:rFonts w:cs="Times New Roman"/>
          <w:noProof/>
          <w:szCs w:val="24"/>
        </w:rPr>
        <w:tab/>
        <w:t>Bunduki GK, Masoamphambe E, Fox T, Musaya J, Musicha P, Feasey N. Prevalence, risk factors, and antimicrobial resistance of endemic healthcare-associated infections in Africa: a systematic review and meta-analysis. BMC Infect Dis. 2024;24(1):158. Available from: https://pubmed.ncbi.nlm.nih.gov/38302895/</w:t>
      </w:r>
    </w:p>
    <w:p w14:paraId="5053C051"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15. </w:t>
      </w:r>
      <w:r w:rsidRPr="006F1480">
        <w:rPr>
          <w:rFonts w:cs="Times New Roman"/>
          <w:noProof/>
          <w:szCs w:val="24"/>
        </w:rPr>
        <w:tab/>
        <w:t>Abban MK, Ayerakwa EA, Mosi L, Isawumi A. The burden of hospital acquired infections and antimicrobial resistance. Heliyon. 2023;9(10):e20561. Available from: https://linkinghub.elsevier.com/retrieve/pii/S2405844023077691</w:t>
      </w:r>
    </w:p>
    <w:p w14:paraId="3805D325"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16. </w:t>
      </w:r>
      <w:r w:rsidRPr="006F1480">
        <w:rPr>
          <w:rFonts w:cs="Times New Roman"/>
          <w:noProof/>
          <w:szCs w:val="24"/>
        </w:rPr>
        <w:tab/>
        <w:t>Machado E, Costa P, Carvalho A. Occurrence of Healthcare-Associated Infections (HAIs) by Escherichia coli and Klebsiella spp. Producing Extended-Spectrum β-lactamases (ESBL) and/or Carbapenemases in Portuguese Long-Term Care Facilities. Pathogens. 2022;11(9):1019. Available from: https://pmc.ncbi.nlm.nih.gov/articles/PMC9504074/</w:t>
      </w:r>
    </w:p>
    <w:p w14:paraId="5282059C"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17. </w:t>
      </w:r>
      <w:r w:rsidRPr="006F1480">
        <w:rPr>
          <w:rFonts w:cs="Times New Roman"/>
          <w:noProof/>
          <w:szCs w:val="24"/>
        </w:rPr>
        <w:tab/>
        <w:t>Mudenda S, Hakayuwa CM, Lubanga AF, Kasanga M, Daka V, Salachi KI, et al. Global Antimicrobial Stewardship, Surveillance, and Infection Prevention and Control Programs: Leveraging One Health, Nanotechnology, and Artificial Intelligence to Combat Antimicrobial Resistance in a Climate-Impacted World. Pharmacol Pharm. 2025;16(7):197–291. Available from: https://www.scirp.org/journal/paperabs?paperid=144152</w:t>
      </w:r>
    </w:p>
    <w:p w14:paraId="611E2356"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18. </w:t>
      </w:r>
      <w:r w:rsidRPr="006F1480">
        <w:rPr>
          <w:rFonts w:cs="Times New Roman"/>
          <w:noProof/>
          <w:szCs w:val="24"/>
        </w:rPr>
        <w:tab/>
        <w:t>Haque M, Sartelli M, McKimm J, Bakar MA. Health care-associated infections – An overview. Infect Drug Resist. 2018;11:2321–33. Available from: https://pubmed.ncbi.nlm.nih.gov/30532565/</w:t>
      </w:r>
    </w:p>
    <w:p w14:paraId="5C3E8922"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19. </w:t>
      </w:r>
      <w:r w:rsidRPr="006F1480">
        <w:rPr>
          <w:rFonts w:cs="Times New Roman"/>
          <w:noProof/>
          <w:szCs w:val="24"/>
        </w:rPr>
        <w:tab/>
        <w:t>Centers for Disease Control. About Healthcare-Associated Infections (HAIs) [Internet]. 2025. Available from: https://www.cdc.gov/healthcare-associated-infections/about/index.html</w:t>
      </w:r>
    </w:p>
    <w:p w14:paraId="661FD6F5"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20. </w:t>
      </w:r>
      <w:r w:rsidRPr="006F1480">
        <w:rPr>
          <w:rFonts w:cs="Times New Roman"/>
          <w:noProof/>
          <w:szCs w:val="24"/>
        </w:rPr>
        <w:tab/>
        <w:t>Teus JK, Mithen L, Green H, Hutton A, Fernandez R. Impact of infection prevention and control practices, including personal protective equipment, on the prevalence of hospital-acquired infections in acute care hospitals during COVID-19: a systematic review and meta-analysis. J Hosp Infect. 2024;147:32–9. Available from: https://linkinghub.elsevier.com/retrieve/pii/S0195670124000677</w:t>
      </w:r>
    </w:p>
    <w:p w14:paraId="6E866DA3"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21. </w:t>
      </w:r>
      <w:r w:rsidRPr="006F1480">
        <w:rPr>
          <w:rFonts w:cs="Times New Roman"/>
          <w:noProof/>
          <w:szCs w:val="24"/>
        </w:rPr>
        <w:tab/>
        <w:t>Hu Y, Li D, Xu L, Hu Y, Sang Y, Zhang G, et al. Epidemiology and outcomes of bloodstream infections in severe burn patients: a six-year retrospective study. Antimicrob Resist Infect Control. 2021;10(1):98. Available from: https://pubmed.ncbi.nlm.nih.gov/34193300/</w:t>
      </w:r>
    </w:p>
    <w:p w14:paraId="3628F0FD"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22. </w:t>
      </w:r>
      <w:r w:rsidRPr="006F1480">
        <w:rPr>
          <w:rFonts w:cs="Times New Roman"/>
          <w:noProof/>
          <w:szCs w:val="24"/>
        </w:rPr>
        <w:tab/>
        <w:t>Ketata N, Ben Ayed H, Ben Hmida M, Trigui M, Ben Jemaa M, Yaich S, et al. Point prevalence survey of health-care associated infections and their risk factors in the tertiary-care referral hospitals of Southern Tunisia. Infect Dis Heal. 2021;26(4):284–91. Available from: https://pubmed.ncbi.nlm.nih.gov/34334351/</w:t>
      </w:r>
    </w:p>
    <w:p w14:paraId="5BB1ED9B"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23. </w:t>
      </w:r>
      <w:r w:rsidRPr="006F1480">
        <w:rPr>
          <w:rFonts w:cs="Times New Roman"/>
          <w:noProof/>
          <w:szCs w:val="24"/>
        </w:rPr>
        <w:tab/>
        <w:t>Magill SS, Edwards JR, Bamberg W, Beldavs ZG, Dumyati G, Kainer MA, et al. Multistate Point-Prevalence Survey of Health Care–Associated Infections. N Engl J Med. 2014;370(13):1198–208. Available from: https://pubmed.ncbi.nlm.nih.gov/24670166/</w:t>
      </w:r>
    </w:p>
    <w:p w14:paraId="53F52907"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24. </w:t>
      </w:r>
      <w:r w:rsidRPr="006F1480">
        <w:rPr>
          <w:rFonts w:cs="Times New Roman"/>
          <w:noProof/>
          <w:szCs w:val="24"/>
        </w:rPr>
        <w:tab/>
        <w:t>Al-Tawfiq JA, Tambyah PA. Healthcare associated infections (HAI) perspectives. J Infect Public Health. 2014;7(4):339–44. Available from: https://linkinghub.elsevier.com/retrieve/pii/S1876034114000689</w:t>
      </w:r>
    </w:p>
    <w:p w14:paraId="7F33C396"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25. </w:t>
      </w:r>
      <w:r w:rsidRPr="006F1480">
        <w:rPr>
          <w:rFonts w:cs="Times New Roman"/>
          <w:noProof/>
          <w:szCs w:val="24"/>
        </w:rPr>
        <w:tab/>
        <w:t>Vincent JL, Rello J, Marshall J, Silva E, Anzueto A, Martin CD, et al. International study of the prevalence and outcomes of infection in intensive care units. JAMA. 2009;302(21):2323–9. Available from: https://pubmed.ncbi.nlm.nih.gov/19952319/</w:t>
      </w:r>
    </w:p>
    <w:p w14:paraId="7FE34DB8"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26. </w:t>
      </w:r>
      <w:r w:rsidRPr="006F1480">
        <w:rPr>
          <w:rFonts w:cs="Times New Roman"/>
          <w:noProof/>
          <w:szCs w:val="24"/>
        </w:rPr>
        <w:tab/>
        <w:t>Ahmed SK, Hussein S, Qurbani K, Ibrahim RH, Fareeq A, Mahmood KA, et al. Antimicrobial resistance: Impacts, challenges, and future prospects. J Med Surgery, Public Heal. 2024;2:100081. Available from: https://linkinghub.elsevier.com/retrieve/pii/S2949916X24000343</w:t>
      </w:r>
    </w:p>
    <w:p w14:paraId="4E299257"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27. </w:t>
      </w:r>
      <w:r w:rsidRPr="006F1480">
        <w:rPr>
          <w:rFonts w:cs="Times New Roman"/>
          <w:noProof/>
          <w:szCs w:val="24"/>
        </w:rPr>
        <w:tab/>
        <w:t>Gidey K, Gidey MT, Hailu BY, Gebreamlak ZB, Niriayo YL. Clinical and economic burden of healthcare-associated infections: A prospective cohort study. PLoS One. 2023;18(2):e0282141. Available from: https://pubmed.ncbi.nlm.nih.gov/36821590/</w:t>
      </w:r>
    </w:p>
    <w:p w14:paraId="2BDFEF3F"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28. </w:t>
      </w:r>
      <w:r w:rsidRPr="006F1480">
        <w:rPr>
          <w:rFonts w:cs="Times New Roman"/>
          <w:noProof/>
          <w:szCs w:val="24"/>
        </w:rPr>
        <w:tab/>
        <w:t>Lv Y, Huang X, Wu J, Xiao X, Ma C, Jiang X, et al. Economic burden attributable to healthcare-associated infections at western China hospitals: 6 Year, prospective cohort study. J Infect. 2024;88(2):112–22. Available from: https://pubmed.ncbi.nlm.nih.gov/38135161/</w:t>
      </w:r>
    </w:p>
    <w:p w14:paraId="48E9FCFB"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29. </w:t>
      </w:r>
      <w:r w:rsidRPr="006F1480">
        <w:rPr>
          <w:rFonts w:cs="Times New Roman"/>
          <w:noProof/>
          <w:szCs w:val="24"/>
        </w:rPr>
        <w:tab/>
        <w:t>Nelson RE, Schweizer M, Jones M, Stevens VW, Khader K, Perencevich E, et al. The Cost and Mortality Burden of Hospital-Onset Antimicrobial-Resistant Healthcare-Associated Infections in the USA. Open Forum Infect Dis. 2017;4(suppl_1):S177–8. Available from: https://iro.uiowa.edu/esploro/outputs/abstract/The-Cost-and-Mortality-Burden-of/9984001242902771</w:t>
      </w:r>
    </w:p>
    <w:p w14:paraId="539B12C2"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30. </w:t>
      </w:r>
      <w:r w:rsidRPr="006F1480">
        <w:rPr>
          <w:rFonts w:cs="Times New Roman"/>
          <w:noProof/>
          <w:szCs w:val="24"/>
        </w:rPr>
        <w:tab/>
        <w:t>Nelson RE, Hatfield KM, Wolford H, Samore MH, Scott RD, Reddy SC, et al. National estimates of healthcare costs associated with multidrug-resistant bacterial infections among hospitalized patients in the United States. Clin Infect Dis. 2021;72(Suppl 1):S17–26. Available from: https://pubmed.ncbi.nlm.nih.gov/33512523/</w:t>
      </w:r>
    </w:p>
    <w:p w14:paraId="7F2B73B1"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31. </w:t>
      </w:r>
      <w:r w:rsidRPr="006F1480">
        <w:rPr>
          <w:rFonts w:cs="Times New Roman"/>
          <w:noProof/>
          <w:szCs w:val="24"/>
        </w:rPr>
        <w:tab/>
        <w:t>Magill SS, O’Leary E, Janelle SJ, Thompson DL, Dumyati G, Nadle J, et al. Changes in Prevalence of Health Care–Associated Infections in U.S. Hospitals. N Engl J Med. 2018;379(18):1732–44. Available from: https://pubmed.ncbi.nlm.nih.gov/30380384/</w:t>
      </w:r>
    </w:p>
    <w:p w14:paraId="410237A0"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32. </w:t>
      </w:r>
      <w:r w:rsidRPr="006F1480">
        <w:rPr>
          <w:rFonts w:cs="Times New Roman"/>
          <w:noProof/>
          <w:szCs w:val="24"/>
        </w:rPr>
        <w:tab/>
        <w:t>Salam MA, Al-Amin MY, Salam MT, Pawar JS, Akhter N, Rabaan AA, et al. Antimicrobial Resistance: A Growing Serious Threat for Global Public Health. Healthcare. 2023;11(13):1946. Available from: https://pubmed.ncbi.nlm.nih.gov/37444780/</w:t>
      </w:r>
    </w:p>
    <w:p w14:paraId="0D1CC560"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33. </w:t>
      </w:r>
      <w:r w:rsidRPr="006F1480">
        <w:rPr>
          <w:rFonts w:cs="Times New Roman"/>
          <w:noProof/>
          <w:szCs w:val="24"/>
        </w:rPr>
        <w:tab/>
        <w:t>Ikuta KS, Swetschinski LR, Robles Aguilar G, Sharara F, Mestrovic T, Gray AP, et al. Global mortality associated with 33 bacterial pathogens in 2019: a systematic analysis for the Global Burden of Disease Study 2019. Lancet. 2022;400(10369):2221–48. Available from: http://www.thelancet.com/article/S0140673622021857/fulltext</w:t>
      </w:r>
    </w:p>
    <w:p w14:paraId="23CCBBF5"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34. </w:t>
      </w:r>
      <w:r w:rsidRPr="006F1480">
        <w:rPr>
          <w:rFonts w:cs="Times New Roman"/>
          <w:noProof/>
          <w:szCs w:val="24"/>
        </w:rPr>
        <w:tab/>
        <w:t>Murray CJ, Ikuta KS, Sharara F, Swetschinski L, Robles Aguilar G, Gray A, et al. Global burden of bacterial antimicrobial resistance in 2019: a systematic analysis. Lancet. 2022;399(10325):629–55. Available from: http://www.thelancet.com/article/S0140673621027240/fulltext</w:t>
      </w:r>
    </w:p>
    <w:p w14:paraId="005375CF"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35. </w:t>
      </w:r>
      <w:r w:rsidRPr="006F1480">
        <w:rPr>
          <w:rFonts w:cs="Times New Roman"/>
          <w:noProof/>
          <w:szCs w:val="24"/>
        </w:rPr>
        <w:tab/>
        <w:t>Naghavi M, Emil Vollset S, Ikuta KS, Swetschinski LR, Gray AP, Wool EE, et al. Global burden of bacterial antimicrobial resistance 1990–2021: a systematic analysis with forecasts to 2050. Lancet. 2024;404(10459):1199–226. Available from: http://www.thelancet.com/article/S0140673624018671/fulltext</w:t>
      </w:r>
    </w:p>
    <w:p w14:paraId="1CDB2479"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36. </w:t>
      </w:r>
      <w:r w:rsidRPr="006F1480">
        <w:rPr>
          <w:rFonts w:cs="Times New Roman"/>
          <w:noProof/>
          <w:szCs w:val="24"/>
        </w:rPr>
        <w:tab/>
        <w:t>Prestinaci F, Pezzotti P, Pantosti A. Antimicrobial resistance: a global multifaceted phenomenon. Pathog Glob Health. 2015;109(7):309–18. Available from: /pmc/articles/PMC4768623/</w:t>
      </w:r>
    </w:p>
    <w:p w14:paraId="1E12F81F"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37. </w:t>
      </w:r>
      <w:r w:rsidRPr="006F1480">
        <w:rPr>
          <w:rFonts w:cs="Times New Roman"/>
          <w:noProof/>
          <w:szCs w:val="24"/>
        </w:rPr>
        <w:tab/>
        <w:t>Shahida SM, Islam A, Dey BR, Islam F, Venkatesh K, Goodman A. Hospital Acquired Infections in Low and Middle Income Countries: Root Cause Analysis and the Development of Infection Control Practices in Bangladesh. Open J Obstet Gynecol. 2016;06(01):28–39. Available from: https://www.scirp.org/journal/paperinformation?paperid=62917</w:t>
      </w:r>
    </w:p>
    <w:p w14:paraId="58C58E09"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38. </w:t>
      </w:r>
      <w:r w:rsidRPr="006F1480">
        <w:rPr>
          <w:rFonts w:cs="Times New Roman"/>
          <w:noProof/>
          <w:szCs w:val="24"/>
        </w:rPr>
        <w:tab/>
        <w:t>Raoofi S, Kan FP, Rafiei S, Hosseinipalangi Z, Mejareh ZN, Khani S, et al. Global prevalence of nosocomial infection: A systematic review and meta-analysis. PLoS One. 2023;18(1):e0274248. Available from: https://pubmed.ncbi.nlm.nih.gov/36706112/</w:t>
      </w:r>
    </w:p>
    <w:p w14:paraId="2DE6C1C4"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39. </w:t>
      </w:r>
      <w:r w:rsidRPr="006F1480">
        <w:rPr>
          <w:rFonts w:cs="Times New Roman"/>
          <w:noProof/>
          <w:szCs w:val="24"/>
        </w:rPr>
        <w:tab/>
        <w:t>Fraser JL, Mwatondo A, Alimi YH, Varma JK, Vilas VJDR. Healthcare-associated outbreaks of bacterial infections in Africa, 2009–2018: A review. Int J Infect Dis. 2021;103:469–77. Available from: https://pubmed.ncbi.nlm.nih.gov/33333248/</w:t>
      </w:r>
    </w:p>
    <w:p w14:paraId="08A45585"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40. </w:t>
      </w:r>
      <w:r w:rsidRPr="006F1480">
        <w:rPr>
          <w:rFonts w:cs="Times New Roman"/>
          <w:noProof/>
          <w:szCs w:val="24"/>
        </w:rPr>
        <w:tab/>
        <w:t>Hutton G, Chase C, Kennedy-Walker R, Hamilton H. Financial and economic costs of healthcare-associated infections in Africa. J Hosp Infect. 2024;150:1–8. Available from: https://pubmed.ncbi.nlm.nih.gov/38723903/</w:t>
      </w:r>
    </w:p>
    <w:p w14:paraId="23719693"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41. </w:t>
      </w:r>
      <w:r w:rsidRPr="006F1480">
        <w:rPr>
          <w:rFonts w:cs="Times New Roman"/>
          <w:noProof/>
          <w:szCs w:val="24"/>
        </w:rPr>
        <w:tab/>
        <w:t>Irek EO, Amupitan AA, Obadare TO, Aboderin AO. A systematic review of healthcare-associated infections in Africa: An antimicrobial resistance perspective. Afr J Lab Med. 2018;7(2):796. Available from: http://www.ajlmonline.org/index.php/AJLM/article/view/796</w:t>
      </w:r>
    </w:p>
    <w:p w14:paraId="57AA5546"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42. </w:t>
      </w:r>
      <w:r w:rsidRPr="006F1480">
        <w:rPr>
          <w:rFonts w:cs="Times New Roman"/>
          <w:noProof/>
          <w:szCs w:val="24"/>
        </w:rPr>
        <w:tab/>
        <w:t>Ogunsola FT, Mehtar S. Challenges regarding the control of environmental sources of contamination in healthcare settings in low-and middle-income countries - A narrative review. Antimicrob Resist Infect Control. 2020;9(1):81. Available from: https://pubmed.ncbi.nlm.nih.gov/32517810/</w:t>
      </w:r>
    </w:p>
    <w:p w14:paraId="3C965065"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43. </w:t>
      </w:r>
      <w:r w:rsidRPr="006F1480">
        <w:rPr>
          <w:rFonts w:cs="Times New Roman"/>
          <w:noProof/>
          <w:szCs w:val="24"/>
        </w:rPr>
        <w:tab/>
        <w:t>World Health Organization &amp; United Nations Children’s Fund (UNICEF). Progress on WASH in health care facilities 2000–2021: special focus on WASH and infection prevention and control (IPC) [Internet]. 2022. Available from: https://iris.who.int/handle/10665/366657</w:t>
      </w:r>
    </w:p>
    <w:p w14:paraId="6D971718"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44. </w:t>
      </w:r>
      <w:r w:rsidRPr="006F1480">
        <w:rPr>
          <w:rFonts w:cs="Times New Roman"/>
          <w:noProof/>
          <w:szCs w:val="24"/>
        </w:rPr>
        <w:tab/>
        <w:t>World Health Organization. WASH in health care facilities [Internet]. 2024. Available from: https://www.who.int/publications/m/item/wash-in-health-care-facilities-2023-data-update</w:t>
      </w:r>
    </w:p>
    <w:p w14:paraId="585DDCD8"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45. </w:t>
      </w:r>
      <w:r w:rsidRPr="006F1480">
        <w:rPr>
          <w:rFonts w:cs="Times New Roman"/>
          <w:noProof/>
          <w:szCs w:val="24"/>
        </w:rPr>
        <w:tab/>
        <w:t>Tseole NP, Mindu T, Kalinda C, Chimbari MJ. Barriers and facilitators to Water, Sanitation and Hygiene (WaSH) practices in Southern Africa: A scoping review [Internet]. Vol. 17, PLoS ONE. PLOS; 2022. p. e0271726. Available from: /pmc/articles/PMC9345477/</w:t>
      </w:r>
    </w:p>
    <w:p w14:paraId="23EE1E51"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46. </w:t>
      </w:r>
      <w:r w:rsidRPr="006F1480">
        <w:rPr>
          <w:rFonts w:cs="Times New Roman"/>
          <w:noProof/>
          <w:szCs w:val="24"/>
        </w:rPr>
        <w:tab/>
        <w:t>Godman B, Egwuenu A, Wesangula E, Schellack N, Kalungia AC, Tiroyakgosi C, et al. Tackling antimicrobial resistance across sub-Saharan Africa: current challenges and implications for the future. Expert Opin Drug Saf. 2022;21(8):1089–111. Available from: https://pubmed.ncbi.nlm.nih.gov/35876080/</w:t>
      </w:r>
    </w:p>
    <w:p w14:paraId="010DC6B9"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47. </w:t>
      </w:r>
      <w:r w:rsidRPr="006F1480">
        <w:rPr>
          <w:rFonts w:cs="Times New Roman"/>
          <w:noProof/>
          <w:szCs w:val="24"/>
        </w:rPr>
        <w:tab/>
        <w:t>Haque M, McKimm J, Sartelli M, Dhingra S, Labricciosa FM, Islam S, et al. Strategies to prevent healthcare-associated infections: A narrative overview. Risk Manag Healthc Policy. 2020;13:1765–80. Available from: https://www.dovepress.com/strategies-to-prevent-healthcare-associated-infections-a-narrative-ove-peer-reviewed-fulltext-article-RMHP</w:t>
      </w:r>
    </w:p>
    <w:p w14:paraId="088D4AA7"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48. </w:t>
      </w:r>
      <w:r w:rsidRPr="006F1480">
        <w:rPr>
          <w:rFonts w:cs="Times New Roman"/>
          <w:noProof/>
          <w:szCs w:val="24"/>
        </w:rPr>
        <w:tab/>
        <w:t>Gamalathge PU, Kularatna S, Carter HE, Senanayake S, Graves N. Cost-effectiveness of interventions to reduce the risk of healthcare-acquired infections in middle-income countries: A systematic review. J Infect Prev. 2019;20(6):266–73. Available from: https://pmc.ncbi.nlm.nih.gov/articles/PMC6851621/</w:t>
      </w:r>
    </w:p>
    <w:p w14:paraId="2F7598ED"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49. </w:t>
      </w:r>
      <w:r w:rsidRPr="006F1480">
        <w:rPr>
          <w:rFonts w:cs="Times New Roman"/>
          <w:noProof/>
          <w:szCs w:val="24"/>
        </w:rPr>
        <w:tab/>
        <w:t>Godman B, Egwuenu A, Haque M, Malande OO, Schellack N, Kumar S, et al. Strategies to improve antimicrobial utilization with a special focus on developing countries [Internet]. Vol. 11, Life. 2021. p. 528. Available from: https://pubmed.ncbi.nlm.nih.gov/34200116/</w:t>
      </w:r>
    </w:p>
    <w:p w14:paraId="4D787A2D"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50. </w:t>
      </w:r>
      <w:r w:rsidRPr="006F1480">
        <w:rPr>
          <w:rFonts w:cs="Times New Roman"/>
          <w:noProof/>
          <w:szCs w:val="24"/>
        </w:rPr>
        <w:tab/>
        <w:t>Mudenda S, Chabalenge B, Daka V, Mfune RL, Salachi KI, Mohamed S, et al. Global Strategies to Combat Antimicrobial Resistance: A One Health Perspective. Pharmacol Pharm. 2023;14(8):271–328. Available from: http://www.scirp.org/Journal/Paperabs.aspx?paperid=127161</w:t>
      </w:r>
    </w:p>
    <w:p w14:paraId="21F3E9C7"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51. </w:t>
      </w:r>
      <w:r w:rsidRPr="006F1480">
        <w:rPr>
          <w:rFonts w:cs="Times New Roman"/>
          <w:noProof/>
          <w:szCs w:val="24"/>
        </w:rPr>
        <w:tab/>
        <w:t>Harun MGD, Anwar MMU, Sumon SA, Hassan MZ, Mohona TM, Rahman A, et al. Rationale and guidance for strengthening infection prevention and control measures and antimicrobial stewardship programs in Bangladesh: a study protocol. BMC Health Serv Res. 2022;22(1):1239. Available from: https://bmchealthservres.biomedcentral.com/articles/10.1186/s12913-022-08603-0</w:t>
      </w:r>
    </w:p>
    <w:p w14:paraId="255C35C9"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52. </w:t>
      </w:r>
      <w:r w:rsidRPr="006F1480">
        <w:rPr>
          <w:rFonts w:cs="Times New Roman"/>
          <w:noProof/>
          <w:szCs w:val="24"/>
        </w:rPr>
        <w:tab/>
        <w:t>Gahamanyi N, Umuhoza T, Saeed SI, Mayigane LN, Hakizimana JN. A Review of the Important Weapons against Antimicrobial Resistance in Sub-Saharan Africa. Appl Biosci. 2023;2(2):136–56. Available from: https://www.mdpi.com/2813-0464/2/2/11/htm</w:t>
      </w:r>
    </w:p>
    <w:p w14:paraId="5D88263A"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53. </w:t>
      </w:r>
      <w:r w:rsidRPr="006F1480">
        <w:rPr>
          <w:rFonts w:cs="Times New Roman"/>
          <w:noProof/>
          <w:szCs w:val="24"/>
        </w:rPr>
        <w:tab/>
        <w:t>Oliveira M, Antunes W, Mota S, Madureira-Carvalho Á, Dinis-Oliveira RJ, Dias da Silva D. An Overview of the Recent Advances in Antimicrobial Resistance. Microorganisms. 2024;12(9):1920. Available from: https://www.mdpi.com/2076-2607/12/9/1920/htm</w:t>
      </w:r>
    </w:p>
    <w:p w14:paraId="4B2F607A"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54. </w:t>
      </w:r>
      <w:r w:rsidRPr="006F1480">
        <w:rPr>
          <w:rFonts w:cs="Times New Roman"/>
          <w:noProof/>
          <w:szCs w:val="24"/>
        </w:rPr>
        <w:tab/>
        <w:t>Woolhouse MEJ. One Health approaches to tackling antimicrobial resistance. Sci One Heal. 2024;3:100082. Available from: https://pubmed.ncbi.nlm.nih.gov/39559453/</w:t>
      </w:r>
    </w:p>
    <w:p w14:paraId="73950740"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55. </w:t>
      </w:r>
      <w:r w:rsidRPr="006F1480">
        <w:rPr>
          <w:rFonts w:cs="Times New Roman"/>
          <w:noProof/>
          <w:szCs w:val="24"/>
        </w:rPr>
        <w:tab/>
        <w:t>Walsh TR, Gales AC, Laxminarayan R, Dodd PC. Antimicrobial Resistance: Addressing a Global Threat to Humanity [Internet]. Vol. 20, PLoS medicine. Public Library of Science; 2023. p. e1004264. Available from: https://journals.plos.org/plosmedicine/article?id=10.1371/journal.pmed.1004264</w:t>
      </w:r>
    </w:p>
    <w:p w14:paraId="374427C6"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56. </w:t>
      </w:r>
      <w:r w:rsidRPr="006F1480">
        <w:rPr>
          <w:rFonts w:cs="Times New Roman"/>
          <w:noProof/>
          <w:szCs w:val="24"/>
        </w:rPr>
        <w:tab/>
        <w:t>Storr J, Twyman A, Zingg W, Damani N, Kilpatrick C, Reilly J, et al. Core components for effective infection prevention and control programmes: New WHO evidence-based recommendations. Antimicrob Resist Infect Control. 2017;6(1):6. Available from: https://aricjournal.biomedcentral.com/articles/10.1186/s13756-016-0149-9</w:t>
      </w:r>
    </w:p>
    <w:p w14:paraId="4CB6A4C8"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57. </w:t>
      </w:r>
      <w:r w:rsidRPr="006F1480">
        <w:rPr>
          <w:rFonts w:cs="Times New Roman"/>
          <w:noProof/>
          <w:szCs w:val="24"/>
        </w:rPr>
        <w:tab/>
        <w:t>World Health Organization. Infection Prevention and Control Assessment Framework at the Facility Level [Internet]. World Health Organization. 2018. Available from: https://www.who.int/publications/i/item/WHO-HIS-SDS-2018.9</w:t>
      </w:r>
    </w:p>
    <w:p w14:paraId="15DC5BEF"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58. </w:t>
      </w:r>
      <w:r w:rsidRPr="006F1480">
        <w:rPr>
          <w:rFonts w:cs="Times New Roman"/>
          <w:noProof/>
          <w:szCs w:val="24"/>
        </w:rPr>
        <w:tab/>
        <w:t>Tomczyk S, Twyman A, de Kraker MEA, Coutinho Rehse AP, Tartari E, Toledo JP, et al. The first WHO global survey on infection prevention and control in health-care facilities. Lancet Infect Dis. 2022;22(6):845–56. Available from: https://pmc.ncbi.nlm.nih.gov/articles/PMC9132775/</w:t>
      </w:r>
    </w:p>
    <w:p w14:paraId="41BF9A0B"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59. </w:t>
      </w:r>
      <w:r w:rsidRPr="006F1480">
        <w:rPr>
          <w:rFonts w:cs="Times New Roman"/>
          <w:noProof/>
          <w:szCs w:val="24"/>
        </w:rPr>
        <w:tab/>
        <w:t>Tomczyk S, Storr J, Kilpatrick C, Allegranzi B. Infection prevention and control (IPC) implementation in low-resource settings: a qualitative analysis. Antimicrob Resist Infect Control. 2021;10(1):113. Available from: https://aricjournal.biomedcentral.com/articles/10.1186/s13756-021-00962-3</w:t>
      </w:r>
    </w:p>
    <w:p w14:paraId="6E857701"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60. </w:t>
      </w:r>
      <w:r w:rsidRPr="006F1480">
        <w:rPr>
          <w:rFonts w:cs="Times New Roman"/>
          <w:noProof/>
          <w:szCs w:val="24"/>
        </w:rPr>
        <w:tab/>
        <w:t>Aghdassi SJS, Aghdassi SJS, Grisold A, Grisold A, Wechsler-Fördös A, Hansen S, et al. Evaluating infection prevention and control programs in Austrian acute care hospitals using the WHO Infection Prevention and Control Assessment Framework. Antimicrob Resist Infect Control. 2020;9(1):92. Available from: https://aricjournal.biomedcentral.com/articles/10.1186/s13756-020-00761-2</w:t>
      </w:r>
    </w:p>
    <w:p w14:paraId="1133477E"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61. </w:t>
      </w:r>
      <w:r w:rsidRPr="006F1480">
        <w:rPr>
          <w:rFonts w:cs="Times New Roman"/>
          <w:noProof/>
          <w:szCs w:val="24"/>
        </w:rPr>
        <w:tab/>
        <w:t>Lu Q, Sun L, Wang W, Li Z, Wu F, Ni K. Assessment of IPCAF scores and incidence of health care-associated infections: A cross-sectional study in Eastern China. Am J Infect Control. 2025;53(4):527–9. Available from: https://linkinghub.elsevier.com/retrieve/pii/S0196655324009040</w:t>
      </w:r>
    </w:p>
    <w:p w14:paraId="774A766D"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62. </w:t>
      </w:r>
      <w:r w:rsidRPr="006F1480">
        <w:rPr>
          <w:rFonts w:cs="Times New Roman"/>
          <w:noProof/>
          <w:szCs w:val="24"/>
        </w:rPr>
        <w:tab/>
        <w:t>Ng’ambi D, O’Byrne T, Jingini E, Chadwala H, Musopole O, Kamchedzera W, et al. An assessment of infection prevention and control implementation in Malawian hospitals using the WHO Infection Prevention and Control Assessment Framework (IPCAF) tool. Infect Prev Pract. 2024;6(4):100388. Available from: https://linkinghub.elsevier.com/retrieve/pii/S2590088924000520</w:t>
      </w:r>
    </w:p>
    <w:p w14:paraId="7EAE22A3"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63. </w:t>
      </w:r>
      <w:r w:rsidRPr="006F1480">
        <w:rPr>
          <w:rFonts w:cs="Times New Roman"/>
          <w:noProof/>
          <w:szCs w:val="24"/>
        </w:rPr>
        <w:tab/>
        <w:t>Asgedom AA. Status of infection prevention and control (IPC) as per the WHO standardised Infection Prevention and Control Assessment Framework (IPCAF) tool: existing evidence and its implication. Infect Prev Pract. 2024;6(2):100351. Available from: https://linkinghub.elsevier.com/retrieve/pii/S2590088924000155</w:t>
      </w:r>
    </w:p>
    <w:p w14:paraId="7973CEE8"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64. </w:t>
      </w:r>
      <w:r w:rsidRPr="006F1480">
        <w:rPr>
          <w:rFonts w:cs="Times New Roman"/>
          <w:noProof/>
          <w:szCs w:val="24"/>
        </w:rPr>
        <w:tab/>
        <w:t>Sengupta S, Barman P, Lo J. Opportunities to Overcome Implementation Challenges of Infection Prevention and Control in Low-Middle Income Countries. Curr Treat Options Infect Dis. 2019;11(3):267–80. Available from: https://link.springer.com/article/10.1007/s40506-019-00200-w</w:t>
      </w:r>
    </w:p>
    <w:p w14:paraId="6AD598AF"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65. </w:t>
      </w:r>
      <w:r w:rsidRPr="006F1480">
        <w:rPr>
          <w:rFonts w:cs="Times New Roman"/>
          <w:noProof/>
          <w:szCs w:val="24"/>
        </w:rPr>
        <w:tab/>
        <w:t>Lacotte Y, Årdal C, Ploy MC. Infection prevention and control research priorities: What do we need to combat healthcare-associated infections and antimicrobial resistance? Results of a narrative literature review and survey analysis. Antimicrob Resist Infect Control. 2020;9(1):142. Available from: https://aricjournal.biomedcentral.com/articles/10.1186/s13756-020-00801-x</w:t>
      </w:r>
    </w:p>
    <w:p w14:paraId="1F4F5BE6"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66. </w:t>
      </w:r>
      <w:r w:rsidRPr="006F1480">
        <w:rPr>
          <w:rFonts w:cs="Times New Roman"/>
          <w:noProof/>
          <w:szCs w:val="24"/>
        </w:rPr>
        <w:tab/>
        <w:t>World Health Organization. Infection Prevention and Control [Internet]. IPC and Antimicrobial Resistance (AMR). 2025. Available from: https://www.who.int/teams/integrated-health-services/infection-prevention-control/ipc-and-antimicrobial-resistance</w:t>
      </w:r>
    </w:p>
    <w:p w14:paraId="428556CE"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67. </w:t>
      </w:r>
      <w:r w:rsidRPr="006F1480">
        <w:rPr>
          <w:rFonts w:cs="Times New Roman"/>
          <w:noProof/>
          <w:szCs w:val="24"/>
        </w:rPr>
        <w:tab/>
        <w:t>Hearn P, Miliya T, Seng S, Ngoun C, Day NPJ, Lubell Y, et al. Prospective surveillance of healthcare associated infections in a Cambodian pediatric hospital. Antimicrob Resist Infect Control. 2017;6(1):16. Available from: http://aricjournal.biomedcentral.com/articles/10.1186/s13756-017-0172-5</w:t>
      </w:r>
    </w:p>
    <w:p w14:paraId="105FE4EC"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68. </w:t>
      </w:r>
      <w:r w:rsidRPr="006F1480">
        <w:rPr>
          <w:rFonts w:cs="Times New Roman"/>
          <w:noProof/>
          <w:szCs w:val="24"/>
        </w:rPr>
        <w:tab/>
        <w:t>Wood R, Tembele W, Hema A, Somé A, Kinganda-Lusamaki E, Basilubo C, et al. Implementation of the WHO core components of an infection prevention and control programme in two sub-Saharan African acute health-care facilities: a mixed methods study. Antimicrob Resist Infect Control. 2024;13(1):4. Available from: https://aricjournal.biomedcentral.com/articles/10.1186/s13756-023-01358-1</w:t>
      </w:r>
    </w:p>
    <w:p w14:paraId="49DDDB2B"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69. </w:t>
      </w:r>
      <w:r w:rsidRPr="006F1480">
        <w:rPr>
          <w:rFonts w:cs="Times New Roman"/>
          <w:noProof/>
          <w:szCs w:val="24"/>
        </w:rPr>
        <w:tab/>
        <w:t>Allegranzi B, Aiken AM, Zeynep Kubilay N, Nthumba P, Barasa J, Okumu G, et al. A multimodal infection control and patient safety intervention to reduce surgical site infections in Africa: a multicentre, before–after, cohort study. Lancet Infect Dis. 2018;18(5):507–15. Available from: https://pubmed.ncbi.nlm.nih.gov/29519766/</w:t>
      </w:r>
    </w:p>
    <w:p w14:paraId="5F2DEB9E"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70. </w:t>
      </w:r>
      <w:r w:rsidRPr="006F1480">
        <w:rPr>
          <w:rFonts w:cs="Times New Roman"/>
          <w:noProof/>
          <w:szCs w:val="24"/>
        </w:rPr>
        <w:tab/>
        <w:t>Sonpar A, Hundal CO, Totté JEE, Wang J, Klein SD, Twyman A, et al. Multimodal strategies for the implementation of infection prevention and control interventions—update of a systematic review for the WHO guidelines on core components of infection prevention and control programmes at the facility level. Clin Microbiol Infect. 2025;31(6):948–57. Available from: https://linkinghub.elsevier.com/retrieve/pii/S1198743X25000163</w:t>
      </w:r>
    </w:p>
    <w:p w14:paraId="7FB4F4EB"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71. </w:t>
      </w:r>
      <w:r w:rsidRPr="006F1480">
        <w:rPr>
          <w:rFonts w:cs="Times New Roman"/>
          <w:noProof/>
          <w:szCs w:val="24"/>
        </w:rPr>
        <w:tab/>
        <w:t>Aiken LH, Sloane DM, Bruyneel L, Van Den Heede K, Griffiths P, Busse R, et al. Nurse staffing and education and hospital mortality in nine European countries: A retrospective observational study. Lancet. 2014;383(9931):1824–30. Available from: https://pubmed.ncbi.nlm.nih.gov/24581683/</w:t>
      </w:r>
    </w:p>
    <w:p w14:paraId="5C24EA7C"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72. </w:t>
      </w:r>
      <w:r w:rsidRPr="006F1480">
        <w:rPr>
          <w:rFonts w:cs="Times New Roman"/>
          <w:noProof/>
          <w:szCs w:val="24"/>
        </w:rPr>
        <w:tab/>
        <w:t>Sehulster L, Chinn RYW. Guidelines for environmental infection control in health-care facilities. Recommendations of CDC and the Healthcare Infection Control Practices Advisory Committee (HICPAC). MMWR Recomm Reports. 2003;52(RR-10):1–42. Available from: https://pubmed.ncbi.nlm.nih.gov/12836624/</w:t>
      </w:r>
    </w:p>
    <w:p w14:paraId="0F446E7E"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73. </w:t>
      </w:r>
      <w:r w:rsidRPr="006F1480">
        <w:rPr>
          <w:rFonts w:cs="Times New Roman"/>
          <w:noProof/>
          <w:szCs w:val="24"/>
        </w:rPr>
        <w:tab/>
        <w:t>Kasanga M, Gajdács M, Muleya W, Ikhimiukor OO, Mudenda S, Kasanga M, et al. Genotypic Characterisation and Antimicrobial Resistance of Extended-Spectrum β-Lactamase-Producing Escherichia coli in Humans, Animals, and the Environment from Lusaka, Zambia: Public Health Implications and One Health Surveillance. Antibiotics. 2024;13(10):951. Available from: https://www.mdpi.com/2079-6382/13/10/951/htm</w:t>
      </w:r>
    </w:p>
    <w:p w14:paraId="4F4F8A46"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74. </w:t>
      </w:r>
      <w:r w:rsidRPr="006F1480">
        <w:rPr>
          <w:rFonts w:cs="Times New Roman"/>
          <w:noProof/>
          <w:szCs w:val="24"/>
        </w:rPr>
        <w:tab/>
        <w:t>Siame A, Yamba K, Samutela M, Mukubesa A, Mulundu G. Carriage and antimicrobial susceptibility patterns of rectal ESBL E. coli in surgical patients at the University Teaching Hospitals in Lusaka, Zambia. JAC-Antimicrobial Resist. 2024;6(5):dlae159. Available from: https://dx.doi.org/10.1093/jacamr/dlae159</w:t>
      </w:r>
    </w:p>
    <w:p w14:paraId="3978899B"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75. </w:t>
      </w:r>
      <w:r w:rsidRPr="006F1480">
        <w:rPr>
          <w:rFonts w:cs="Times New Roman"/>
          <w:noProof/>
          <w:szCs w:val="24"/>
        </w:rPr>
        <w:tab/>
        <w:t>Kasanga M, Kwenda G, Wu J, Kasanga M, Mwikisa MJ, Chanda R, et al. Antimicrobial Resistance Patterns and Risk Factors Associated with ESBL-Producing and MDR Escherichia coli in Hospital and Environmental Settings in Lusaka, Zambia: Implications for One Health, Antimicrobial Stewardship and Surveillance Systems. Microorganisms. 2023;11(8):1951. Available from: https://www.mdpi.com/2076-2607/11/8/1951/htm</w:t>
      </w:r>
    </w:p>
    <w:p w14:paraId="6043C18B"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76. </w:t>
      </w:r>
      <w:r w:rsidRPr="006F1480">
        <w:rPr>
          <w:rFonts w:cs="Times New Roman"/>
          <w:noProof/>
          <w:szCs w:val="24"/>
        </w:rPr>
        <w:tab/>
        <w:t>Kasanga M, Shempela DM, Daka V, Mwikisa MJ, Sikalima J, Chanda D, et al. Antimicrobial resistance profiles of Escherichia coli isolated from clinical and environmental samples: findings and implications. JAC-Antimicrobial Resist. 2024;6(2):dlae061. Available from: https://dx.doi.org/10.1093/jacamr/dlae061</w:t>
      </w:r>
    </w:p>
    <w:p w14:paraId="2264E137"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77. </w:t>
      </w:r>
      <w:r w:rsidRPr="006F1480">
        <w:rPr>
          <w:rFonts w:cs="Times New Roman"/>
          <w:noProof/>
          <w:szCs w:val="24"/>
        </w:rPr>
        <w:tab/>
        <w:t>Bumbangi FN, Llarena A-K, Skjerve E, Hang’ombe BM, Mpundu P, Mudenda S, et al. Evidence of Community-Wide Spread of Multi-Drug Resistant Escherichia coli in Young Children in Lusaka and Ndola Districts, Zambia. Microorganisms. 2022;10(8):1684. Available from: https://www.mdpi.com/2076-2607/10/8/1684/htm</w:t>
      </w:r>
    </w:p>
    <w:p w14:paraId="1320CE27"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78. </w:t>
      </w:r>
      <w:r w:rsidRPr="006F1480">
        <w:rPr>
          <w:rFonts w:cs="Times New Roman"/>
          <w:noProof/>
          <w:szCs w:val="24"/>
        </w:rPr>
        <w:tab/>
        <w:t>Chanda W, Manyepa M, Chikwanda E, Daka V, Chileshe J, Tembo M, et al. Evaluation of antibiotic susceptibility patterns of pathogens isolated from routine laboratory specimens at Ndola Teaching Hospital: A retrospective study. PLoS One. 2019;14(12):e0226676. Available from: https://pubmed.ncbi.nlm.nih.gov/31869354/</w:t>
      </w:r>
    </w:p>
    <w:p w14:paraId="6C917978"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79. </w:t>
      </w:r>
      <w:r w:rsidRPr="006F1480">
        <w:rPr>
          <w:rFonts w:cs="Times New Roman"/>
          <w:noProof/>
          <w:szCs w:val="24"/>
        </w:rPr>
        <w:tab/>
        <w:t>Yamba K, Lukwesa-Musyani C, Samutela MT, Kapesa C, Hang’ombe MB, Mpabalwani E, et al. Phenotypic and genotypic antibiotic susceptibility profiles of Gram-negative bacteria isolated from bloodstream infections at a referral hospital, Lusaka, Zambia. PLOS Glob Public Heal. 2023;3(1):e0001414. Available from: https://journals.plos.org/globalpublichealth/article?id=10.1371/journal.pgph.0001414</w:t>
      </w:r>
    </w:p>
    <w:p w14:paraId="23EDDF7D"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80. </w:t>
      </w:r>
      <w:r w:rsidRPr="006F1480">
        <w:rPr>
          <w:rFonts w:cs="Times New Roman"/>
          <w:noProof/>
          <w:szCs w:val="24"/>
        </w:rPr>
        <w:tab/>
        <w:t>Mudenda S, Mufwambi W, Mohamed S. The Burden of Antimicrobial Resistance in Zambia, a Sub-Saharan African Country: A One Health Review of the Current Situation, Risk Factors, and Solutions. Pharmacol &amp;amp; Pharm. 2024;15(12):403–65. Available from: https://www.scirp.org/journal/paperabs?paperid=137998</w:t>
      </w:r>
    </w:p>
    <w:p w14:paraId="77A391A7"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81. </w:t>
      </w:r>
      <w:r w:rsidRPr="006F1480">
        <w:rPr>
          <w:rFonts w:cs="Times New Roman"/>
          <w:noProof/>
          <w:szCs w:val="24"/>
        </w:rPr>
        <w:tab/>
        <w:t>Yamba K, Chizimu JY, Chanda R, Mpundu M, Samutela MT, Chanda D, et al. Antibiotic Resistance Profiles in Gram-negative Bacteria Causing Bloodstream and Urinary Tract Infections in Paediatric and Adult Patients in Ndola District, Zambia, 2020-2021. Infect Prev Pract. 2025;100462. Available from: https://linkinghub.elsevier.com/retrieve/pii/S2590088925000265</w:t>
      </w:r>
    </w:p>
    <w:p w14:paraId="5917AC4D"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82. </w:t>
      </w:r>
      <w:r w:rsidRPr="006F1480">
        <w:rPr>
          <w:rFonts w:cs="Times New Roman"/>
          <w:noProof/>
          <w:szCs w:val="24"/>
        </w:rPr>
        <w:tab/>
        <w:t>Mudenda S, Chizimu J, Chabalenge B, Kasanga M, Matafwali SK, Daka V, et al. Knowledge, attitude, and practices toward infection prevention and control among undergraduate pharmacy students in Zambia: findings and implications. Antimicrob Steward Healthc Epidemiol. 2023;3(1):e154. Available from: https://www.cambridge.org/core/journals/antimicrobial-stewardship-and-healthcare-epidemiology/article/knowledge-attitude-and-practices-toward-infection-prevention-and-control-among-undergraduate-pharmacy-students-in-zambia-findings-and-implications/2BF561</w:t>
      </w:r>
    </w:p>
    <w:p w14:paraId="7C39F0E4"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83. </w:t>
      </w:r>
      <w:r w:rsidRPr="006F1480">
        <w:rPr>
          <w:rFonts w:cs="Times New Roman"/>
          <w:noProof/>
          <w:szCs w:val="24"/>
        </w:rPr>
        <w:tab/>
        <w:t>Mukwato K, Ngoma C, Maimbolwa M. Compliance With Infection Prevention Guidelines By Health Care Workers at Ronald Ross General Hospital Mufulira District. Med J Zambia. 2009;35(3):110–6. Available from: http://www.ajol.info/index.php/mjz/article/view/46530</w:t>
      </w:r>
    </w:p>
    <w:p w14:paraId="55DB62BF"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84. </w:t>
      </w:r>
      <w:r w:rsidRPr="006F1480">
        <w:rPr>
          <w:rFonts w:cs="Times New Roman"/>
          <w:noProof/>
          <w:szCs w:val="24"/>
        </w:rPr>
        <w:tab/>
        <w:t>Zambia National Public Health Institute. Multi-sectoral National Action Plan on Antimicrobial Resistance [Internet]. Zambia National Public Health Institute. 2017. Available from: https://www.afro.who.int/publications/multi-sectoral-national-action-plan-antimicrobial-resistance-2017-2027</w:t>
      </w:r>
    </w:p>
    <w:p w14:paraId="5C682668"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85. </w:t>
      </w:r>
      <w:r w:rsidRPr="006F1480">
        <w:rPr>
          <w:rFonts w:cs="Times New Roman"/>
          <w:noProof/>
          <w:szCs w:val="24"/>
        </w:rPr>
        <w:tab/>
        <w:t>Kalungia AC, Mukosha M, Mwila C, Banda D, Mwale M, Kagulura S, et al. Antibiotic Use and Stewardship Indicators in the First- and Second-Level Hospitals in Zambia: Findings and Implications for the Future. Antibiotics. 2022;11(11):1626. Available from: https://www.mdpi.com/2079-6382/11/11/1626/htm</w:t>
      </w:r>
    </w:p>
    <w:p w14:paraId="229648A3"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86. </w:t>
      </w:r>
      <w:r w:rsidRPr="006F1480">
        <w:rPr>
          <w:rFonts w:cs="Times New Roman"/>
          <w:noProof/>
          <w:szCs w:val="24"/>
        </w:rPr>
        <w:tab/>
        <w:t>Mudenda S, Chilimboyi R, Matafwali SK, Daka V, Lindizyani Mfune R, Arielle L, et al. Hospital prescribing patterns of antibiotics in Zambia using the WHO prescribing indicators post-COVID-19 pandemic: findings and implications. JAC-Antimicrobial Resist. 2024;6(1):dlae023. Available from: https://dx.doi.org/10.1093/jacamr/dlae023</w:t>
      </w:r>
    </w:p>
    <w:p w14:paraId="7A6D5B6B"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87. </w:t>
      </w:r>
      <w:r w:rsidRPr="006F1480">
        <w:rPr>
          <w:rFonts w:cs="Times New Roman"/>
          <w:noProof/>
          <w:szCs w:val="24"/>
        </w:rPr>
        <w:tab/>
        <w:t>Mudenda S, Chomba M, Chabalenge B, Hikaambo CN, Banda M, Daka V, et al. Antibiotic Prescribing Patterns in Adult Patients According to the WHO AWaRe Classification: A Multi-Facility Cross-Sectional Study in Primary Healthcare Hospitals in Lusaka, Zambia. Pharmacol Pharm. 2022;13(10):379–92. Available from: http://www.scirp.org/journal/PaperInformation.aspx?PaperID=120529</w:t>
      </w:r>
    </w:p>
    <w:p w14:paraId="50591FA4"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88. </w:t>
      </w:r>
      <w:r w:rsidRPr="006F1480">
        <w:rPr>
          <w:rFonts w:cs="Times New Roman"/>
          <w:noProof/>
          <w:szCs w:val="24"/>
        </w:rPr>
        <w:tab/>
        <w:t>Mudenda S, Lubanga AF, Jamshed S, Biemba B, Sakala R, Chiyabi M, et al. Point Prevalence Survey of Antibiotic Use in Level 1 hospitals in Zambia: Future Prospects for Antimicrobial Stewardship Programs. Infect Drug Resist. 2025;18:887–902. Available from: https://www.dovepress.com/point-prevalence-survey-of-antibiotic-use-in-level-1hospitals-in-zambi-peer-reviewed-fulltext-article-IDR</w:t>
      </w:r>
    </w:p>
    <w:p w14:paraId="061FB584"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89. </w:t>
      </w:r>
      <w:r w:rsidRPr="006F1480">
        <w:rPr>
          <w:rFonts w:cs="Times New Roman"/>
          <w:noProof/>
          <w:szCs w:val="24"/>
        </w:rPr>
        <w:tab/>
        <w:t>Chizimu JY, Mudenda S, Yamba K, Lukwesa C, Chanda R, Nakazwe R, et al. Antibiotic use and adherence to the WHO AWaRe guidelines across 16 hospitals in Zambia: a point prevalence survey. JAC-Antimicrobial Resist. 2024;6(5):dlae170. Available from: https://dx.doi.org/10.1093/jacamr/dlae170</w:t>
      </w:r>
    </w:p>
    <w:p w14:paraId="098341C1"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90. </w:t>
      </w:r>
      <w:r w:rsidRPr="006F1480">
        <w:rPr>
          <w:rFonts w:cs="Times New Roman"/>
          <w:noProof/>
          <w:szCs w:val="24"/>
        </w:rPr>
        <w:tab/>
        <w:t>Kalonga J, Hangoma J, Banda M, Munkombwe D, Mudenda S. Antibiotic Prescribing Patterns in Paediatric Patients at Levy Mwanawasa University Teaching Hospital in Lusaka, Zambia. Int J Pharm Pharmacol. 2020;4(1):1–9. Available from: https://1library.net/document/yn44611z-antibiotic-prescribing-patterns-paediatric-patients-mwanawasa-university-teaching.html</w:t>
      </w:r>
    </w:p>
    <w:p w14:paraId="0B7E3074"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91. </w:t>
      </w:r>
      <w:r w:rsidRPr="006F1480">
        <w:rPr>
          <w:rFonts w:cs="Times New Roman"/>
          <w:noProof/>
          <w:szCs w:val="24"/>
        </w:rPr>
        <w:tab/>
        <w:t xml:space="preserve">Masich AM, Vega AD, Callahan P, Herbert A, Fwoloshi S, Zulu PM, et al. Antimicrobial usage at a large teaching hospital in Lusaka, Zambia. PLoS One. 2020;15(2):e0228555. </w:t>
      </w:r>
    </w:p>
    <w:p w14:paraId="0315937B"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92. </w:t>
      </w:r>
      <w:r w:rsidRPr="006F1480">
        <w:rPr>
          <w:rFonts w:cs="Times New Roman"/>
          <w:noProof/>
          <w:szCs w:val="24"/>
        </w:rPr>
        <w:tab/>
        <w:t>Shawa M, Paudel A, Chambaro H, Kamboyi H, Nakazwe R, Alutuli L, et al. Trends, patterns and relationship of antimicrobial use and resistance in bacterial isolates tested between 2015–2020 in a national referral hospital of Zambia. Ahmed MO, editor. PLoS One. 2024;19(4):e0302053. Available from: https://journals.plos.org/plosone/article?id=10.1371/journal.pone.0302053</w:t>
      </w:r>
    </w:p>
    <w:p w14:paraId="6DC79824"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93. </w:t>
      </w:r>
      <w:r w:rsidRPr="006F1480">
        <w:rPr>
          <w:rFonts w:cs="Times New Roman"/>
          <w:noProof/>
          <w:szCs w:val="24"/>
        </w:rPr>
        <w:tab/>
        <w:t>Mudenda S, Simbaya R, Moonga G, Mwaba F, Zulu M, Tembo R, et al. Surveillance of Antibiotic Use and Adherence to the WHO/INRUD Core Prescribing Indicators at a Primary Healthcare Hospital in Southern Zambia: Opportunities for Antimicrobial Stewardship Programs. Pharmacol Pharm. 2025;16(1):1–19. Available from: https://www.scirp.org/journal/paperabs?paperid=138735</w:t>
      </w:r>
    </w:p>
    <w:p w14:paraId="1D24A1B5"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94. </w:t>
      </w:r>
      <w:r w:rsidRPr="006F1480">
        <w:rPr>
          <w:rFonts w:cs="Times New Roman"/>
          <w:noProof/>
          <w:szCs w:val="24"/>
        </w:rPr>
        <w:tab/>
        <w:t>Kalungia AC, Kampamba M, Banda D, Bambala AM, Marshall S, Newport M, et al. Impact of a hub-and-spoke approach to hospital antimicrobial stewardship programmes on antibiotic use in Zambia. JAC-Antimicrobial Resist. 2024;6(6):dlae178. Available from: https://dx.doi.org/10.1093/jacamr/dlae178</w:t>
      </w:r>
    </w:p>
    <w:p w14:paraId="215C5447"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95. </w:t>
      </w:r>
      <w:r w:rsidRPr="006F1480">
        <w:rPr>
          <w:rFonts w:cs="Times New Roman"/>
          <w:noProof/>
          <w:szCs w:val="24"/>
        </w:rPr>
        <w:tab/>
        <w:t>Chizimu JY, Mudenda S, Yamba K, Lukwesa C, Chanda R, Nakazwe R, et al. Antimicrobial stewardship situation analysis in selected hospitals in Zambia: findings and implications from a national survey. Front Public Heal. 2024;12:1367703. Available from: https://www.frontiersin.org/articles/10.3389/fpubh.2024.1367703/full</w:t>
      </w:r>
    </w:p>
    <w:p w14:paraId="6E19F21F"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96. </w:t>
      </w:r>
      <w:r w:rsidRPr="006F1480">
        <w:rPr>
          <w:rFonts w:cs="Times New Roman"/>
          <w:noProof/>
          <w:szCs w:val="24"/>
        </w:rPr>
        <w:tab/>
        <w:t>Kasujja H, Waswa JP, Kiggundu R, Murungi M, Kwikiriza G, Bahatungire R, et al. Enhancing infection prevention and control through hand hygiene compliance in six Ugandan hospitals using quality improvement approaches. Front Public Heal. 2024;12:1465439. Available from: https://www.frontiersin.org/articles/10.3389/fpubh.2024.1465439/full</w:t>
      </w:r>
    </w:p>
    <w:p w14:paraId="746A704A"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97. </w:t>
      </w:r>
      <w:r w:rsidRPr="006F1480">
        <w:rPr>
          <w:rFonts w:cs="Times New Roman"/>
          <w:noProof/>
          <w:szCs w:val="24"/>
        </w:rPr>
        <w:tab/>
        <w:t>Irakiza JJ, Mazimpaka C, Ndatimana D, Kalach JB, Hatangimbabazi V, Kamuhangire E, et al. Status of infection prevention and control programs in 25 facilities of Rwanda: Results from the WHO infection prevention and control assessment framework. Public Heal Challenges. 2024;3(2):e183. Available from: https://onlinelibrary.wiley.com/doi/full/10.1002/puh2.183</w:t>
      </w:r>
    </w:p>
    <w:p w14:paraId="3262CFC7"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98. </w:t>
      </w:r>
      <w:r w:rsidRPr="006F1480">
        <w:rPr>
          <w:rFonts w:cs="Times New Roman"/>
          <w:noProof/>
          <w:szCs w:val="24"/>
        </w:rPr>
        <w:tab/>
        <w:t>Cissé DM, Laure EEM, Blaise KA, Jean Paul NN, Gbonon MV, Mayaka CRA, et al. Evaluation of the implementation of hospital hygiene components in 30 health-care facilities in the autonomous district of Abidjan (Cote d’Ivoire) with the WHO Infection Prevention and Control Assessment Framework (IPCAF). BMC Health Serv Res. 2023;23(1):870. Available from: https://pubmed.ncbi.nlm.nih.gov/37587467/</w:t>
      </w:r>
    </w:p>
    <w:p w14:paraId="13C9D9BD"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99. </w:t>
      </w:r>
      <w:r w:rsidRPr="006F1480">
        <w:rPr>
          <w:rFonts w:cs="Times New Roman"/>
          <w:noProof/>
          <w:szCs w:val="24"/>
        </w:rPr>
        <w:tab/>
        <w:t>Asghar S, Atif M, Masood I, Khan M. A comprehensive review of current status of infection prevention and control program in low- and middle-income countries. Infect Dis Heal. 2025;30(3):260–83. Available from: https://linkinghub.elsevier.com/retrieve/pii/S2468045125000227</w:t>
      </w:r>
    </w:p>
    <w:p w14:paraId="41B2F656"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100. </w:t>
      </w:r>
      <w:r w:rsidRPr="006F1480">
        <w:rPr>
          <w:rFonts w:cs="Times New Roman"/>
          <w:noProof/>
          <w:szCs w:val="24"/>
        </w:rPr>
        <w:tab/>
        <w:t>Opollo MS, Otim TC, Kizito W, Thekkur P, Kumar AMV, Kitutu FE, et al. Infection Prevention and Control at Lira University Hospital, Uganda: More Needs to Be Done. Trop Med Infect Dis. 2021;6(2):69. Available from: https://pubmed.ncbi.nlm.nih.gov/34062871/</w:t>
      </w:r>
    </w:p>
    <w:p w14:paraId="09A11072"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101. </w:t>
      </w:r>
      <w:r w:rsidRPr="006F1480">
        <w:rPr>
          <w:rFonts w:cs="Times New Roman"/>
          <w:noProof/>
          <w:szCs w:val="24"/>
        </w:rPr>
        <w:tab/>
        <w:t>Katoch O, Katyal S, Srivastav S, Rodrigues C, Rupali P, Chakrabarti A, et al. Self-reported survey on infection prevention and control structures in healthcare facilities part of a national level healthcare associated infection surveillance network in India, 2019. Am J Infect Control. 2022;50(4):390–5. Available from: https://linkinghub.elsevier.com/retrieve/pii/S0196655321006192</w:t>
      </w:r>
    </w:p>
    <w:p w14:paraId="030098AB"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102. </w:t>
      </w:r>
      <w:r w:rsidRPr="006F1480">
        <w:rPr>
          <w:rFonts w:cs="Times New Roman"/>
          <w:noProof/>
          <w:szCs w:val="24"/>
        </w:rPr>
        <w:tab/>
        <w:t>Azak E, Sertcelik A, Ersoz G, Celebi G, Eser F, Batirel A, et al. Evaluation of the implementation of WHO infection prevention and control core components in Turkish health care facilities: results from a WHO infection prevention and control assessment framework (IPCAF)—based survey. Antimicrob Resist Infect Control. 2023;12(1):11. Available from: https://aricjournal.biomedcentral.com/articles/10.1186/s13756-023-01208-0</w:t>
      </w:r>
    </w:p>
    <w:p w14:paraId="48ED94E3"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103. </w:t>
      </w:r>
      <w:r w:rsidRPr="006F1480">
        <w:rPr>
          <w:rFonts w:cs="Times New Roman"/>
          <w:noProof/>
          <w:szCs w:val="24"/>
        </w:rPr>
        <w:tab/>
        <w:t>Nomoto H, Saito H, Ishikane M, Gu Y, Ohmagari N, Pittet D, et al. First nationwide survey of infection prevention and control among healthcare facilities in Japan: impact of the national regulatory system. Antimicrob Resist Infect Control. 2022;11(1):135. Available from: https://aricjournal.biomedcentral.com/articles/10.1186/s13756-022-01175-y</w:t>
      </w:r>
    </w:p>
    <w:p w14:paraId="5D75AE38"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104. </w:t>
      </w:r>
      <w:r w:rsidRPr="006F1480">
        <w:rPr>
          <w:rFonts w:cs="Times New Roman"/>
          <w:noProof/>
          <w:szCs w:val="24"/>
        </w:rPr>
        <w:tab/>
        <w:t>Ni K, Jin D, Wu Z, Sun L, Lu Q. The status of infection prevention and control structures in Eastern China based on the IPCAF tool of the World Health Organization. Antimicrob Resist Infect Control. 2022;11(1):46. Available from: https://pubmed.ncbi.nlm.nih.gov/35264208/</w:t>
      </w:r>
    </w:p>
    <w:p w14:paraId="06A97E74"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105. </w:t>
      </w:r>
      <w:r w:rsidRPr="006F1480">
        <w:rPr>
          <w:rFonts w:cs="Times New Roman"/>
          <w:noProof/>
          <w:szCs w:val="24"/>
        </w:rPr>
        <w:tab/>
        <w:t>Aghdassi SJS, Hansen S, Bischoff P, Behnke M, Gastmeier P. A national survey on the implementation of key infection prevention and control structures in German hospitals: Results from 736 hospitals conducting the WHO Infection Prevention and Control Assessment Framework (IPCAF). Antimicrob Resist Infect Control. 2019;8(1):73. Available from: https://pubmed.ncbi.nlm.nih.gov/31080588/</w:t>
      </w:r>
    </w:p>
    <w:p w14:paraId="2F64CF08"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106. </w:t>
      </w:r>
      <w:r w:rsidRPr="006F1480">
        <w:rPr>
          <w:rFonts w:cs="Times New Roman"/>
          <w:noProof/>
          <w:szCs w:val="24"/>
        </w:rPr>
        <w:tab/>
        <w:t>Supriadi IR, Haanappel CP, Saptawati L, Widodo NH, Sitohang G, Usman Y, et al. Infection prevention and control in Indonesian hospitals: identification of strengths, gaps, and challenges. Antimicrob Resist Infect Control. 2023;12(1):6. Available from: https://pubmed.ncbi.nlm.nih.gov/36732802/</w:t>
      </w:r>
    </w:p>
    <w:p w14:paraId="496723CC"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107. </w:t>
      </w:r>
      <w:r w:rsidRPr="006F1480">
        <w:rPr>
          <w:rFonts w:cs="Times New Roman"/>
          <w:noProof/>
          <w:szCs w:val="24"/>
        </w:rPr>
        <w:tab/>
        <w:t>Fabre V, Secaira C, Herzig C, Bancroft E, Bernachea MP, Galarza LA, et al. Contextual barriers to infection prevention and control program implementation in hospitals in Latin America: a mixed methods evaluation. Antimicrob Resist Infect Control. 2024;13(1):132. Available from: https://aricjournal.biomedcentral.com/articles/10.1186/s13756-024-01484-4</w:t>
      </w:r>
    </w:p>
    <w:p w14:paraId="14D5244D"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108. </w:t>
      </w:r>
      <w:r w:rsidRPr="006F1480">
        <w:rPr>
          <w:rFonts w:cs="Times New Roman"/>
          <w:noProof/>
          <w:szCs w:val="24"/>
        </w:rPr>
        <w:tab/>
        <w:t>Sastry S, Masroor N, Bearman G, Hajjeh R, Holmes A, Memish Z, et al. The 17th International Congress on Infectious Diseases workshop on developing infection prevention and control resources for low- and middle-income countries. In: International Journal of Infectious Diseases. Elsevier B.V.; 2017. p. 138–43. Available from: https://pmc.ncbi.nlm.nih.gov/articles/PMC7110576/</w:t>
      </w:r>
    </w:p>
    <w:p w14:paraId="4FDE539F"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109. </w:t>
      </w:r>
      <w:r w:rsidRPr="006F1480">
        <w:rPr>
          <w:rFonts w:cs="Times New Roman"/>
          <w:noProof/>
          <w:szCs w:val="24"/>
        </w:rPr>
        <w:tab/>
        <w:t>Tartari E, Tomczyk S, Pires D, Zayed B, Coutinho Rehse AP, Kariyo P, et al. Implementation of the infection prevention and control core components at the national level: a global situational analysis. J Hosp Infect. 2021;108:94–103. Available from: https://pmc.ncbi.nlm.nih.gov/articles/PMC7884929/</w:t>
      </w:r>
    </w:p>
    <w:p w14:paraId="1F3AD6B3"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110. </w:t>
      </w:r>
      <w:r w:rsidRPr="006F1480">
        <w:rPr>
          <w:rFonts w:cs="Times New Roman"/>
          <w:noProof/>
          <w:szCs w:val="24"/>
        </w:rPr>
        <w:tab/>
        <w:t>Rüther FD, Gropmann A, Hansen S, Behnke M, Geffers C, Aghdassi SJS. Assessing infection prevention and control structures in German hospitals after the COVID-19 pandemic using the WHO infection prevention and control assessment framework (IPCAF): results from 660 hospitals and comparison with a pre-pandemic survey. Antimicrob Resist Infect Control. 2024;13(1):103. Available from: https://aricjournal.biomedcentral.com/articles/10.1186/s13756-024-01465-7</w:t>
      </w:r>
    </w:p>
    <w:p w14:paraId="2F4B65FF"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111. </w:t>
      </w:r>
      <w:r w:rsidRPr="006F1480">
        <w:rPr>
          <w:rFonts w:cs="Times New Roman"/>
          <w:noProof/>
          <w:szCs w:val="24"/>
        </w:rPr>
        <w:tab/>
        <w:t>Leong M, Picton R, Wratten M, Mahe A, Zimmerman PA. Baseline evaluation of the World Health Organization (WHO) infection prevention and control (IPC) core components in Pacific Island Countries and Territories (PICTs). Antimicrob Resist Infect Control. 2024;13(1):108. Available from: https://aricjournal.biomedcentral.com/articles/10.1186/s13756-024-01447-9</w:t>
      </w:r>
    </w:p>
    <w:p w14:paraId="7A94C0B9"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112. </w:t>
      </w:r>
      <w:r w:rsidRPr="006F1480">
        <w:rPr>
          <w:rFonts w:cs="Times New Roman"/>
          <w:noProof/>
          <w:szCs w:val="24"/>
        </w:rPr>
        <w:tab/>
        <w:t>Abbas S. The challenges of implementing infection prevention and antimicrobial stewardship programs in resource-constrained settings. Antimicrob Steward Healthc Epidemiol. 2024;4(1):e45. Available from: /pmc/articles/PMC11019578/</w:t>
      </w:r>
    </w:p>
    <w:p w14:paraId="37B27849"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113. </w:t>
      </w:r>
      <w:r w:rsidRPr="006F1480">
        <w:rPr>
          <w:rFonts w:cs="Times New Roman"/>
          <w:noProof/>
          <w:szCs w:val="24"/>
        </w:rPr>
        <w:tab/>
        <w:t>Moghnieh R, Al-Maani AS, Berro J, Ibrahim N, Attieh R, Abdallah D, et al. Mapping of infection prevention and control education and training in some countries of the World Health Organization’s Eastern Mediterranean Region: current situation and future needs. Antimicrob Resist Infect Control. 2023;12(1):90. Available from: https://aricjournal.biomedcentral.com/articles/10.1186/s13756-023-01299-9</w:t>
      </w:r>
    </w:p>
    <w:p w14:paraId="54BD64C1"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114. </w:t>
      </w:r>
      <w:r w:rsidRPr="006F1480">
        <w:rPr>
          <w:rFonts w:cs="Times New Roman"/>
          <w:noProof/>
          <w:szCs w:val="24"/>
        </w:rPr>
        <w:tab/>
        <w:t>Tartari E, Tomczyk S, Twyman A, Rehse APC, Gomaa M, Talaat M, et al. Evaluating national infection prevention and control minimum requirements: evidence from global cross-sectional surveys, 2017–22. Lancet Glob Heal. 2024;12(10):e1620–8. Available from: https://www.thelancet.com/action/showFullText?pii=S2214109X24002778</w:t>
      </w:r>
    </w:p>
    <w:p w14:paraId="00CF30F6"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115. </w:t>
      </w:r>
      <w:r w:rsidRPr="006F1480">
        <w:rPr>
          <w:rFonts w:cs="Times New Roman"/>
          <w:noProof/>
          <w:szCs w:val="24"/>
        </w:rPr>
        <w:tab/>
        <w:t>Kabego L, Balde T, Barasa D, Ndoye B, Hilde OB, Makamure T, et al. Analysing the implementation of infection prevention and control measures in health care facilities during the COVID-19 pandemic in the African Region. BMC Infect Dis. 2023;23(1):824. Available from: https://bmcinfectdis.biomedcentral.com/articles/10.1186/s12879-023-08830-8</w:t>
      </w:r>
    </w:p>
    <w:p w14:paraId="2795EF9C"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116. </w:t>
      </w:r>
      <w:r w:rsidRPr="006F1480">
        <w:rPr>
          <w:rFonts w:cs="Times New Roman"/>
          <w:noProof/>
          <w:szCs w:val="24"/>
        </w:rPr>
        <w:tab/>
        <w:t>Lowe H, Woodd S, Lange IL, Janjanin S, Barnett J, Graham W. Challenges and opportunities for infection prevention and control in hospitals in conflict-affected settings: a qualitative study. Confl Health. 2021;15(1):94. Available from: https://conflictandhealth.biomedcentral.com/articles/10.1186/s13031-021-00428-8</w:t>
      </w:r>
    </w:p>
    <w:p w14:paraId="3E160DE3"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117. </w:t>
      </w:r>
      <w:r w:rsidRPr="006F1480">
        <w:rPr>
          <w:rFonts w:cs="Times New Roman"/>
          <w:noProof/>
          <w:szCs w:val="24"/>
        </w:rPr>
        <w:tab/>
        <w:t>Büchler AC, Haddad Galas M, Buetti N, Alp E, Apisarnthanarak A, Dziekan G, et al. Challenges and success stories of the implementation of infection control and antimicrobial stewardship strategies: proceedings of the 5th Global Ministerial Summit on Patient Safety, 2023. Antimicrob Resist Infect Control. 2024;13(1):16. Available from: https://aricjournal.biomedcentral.com/articles/10.1186/s13756-023-01344-7</w:t>
      </w:r>
    </w:p>
    <w:p w14:paraId="6F1F971D"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118. </w:t>
      </w:r>
      <w:r w:rsidRPr="006F1480">
        <w:rPr>
          <w:rFonts w:cs="Times New Roman"/>
          <w:noProof/>
          <w:szCs w:val="24"/>
        </w:rPr>
        <w:tab/>
        <w:t>Madran B, Demir ZI, Yalcin B, Ayaz OT, Iyikosker K, Keskin A, et al. Reasons for insufficient compliance with infection prevention and control measures in the intensive care unit: a qualitative study conducted in Türkiye in 2024. Antimicrob Resist Infect Control. 2025;14(1):71. Available from: https://aricjournal.biomedcentral.com/articles/10.1186/s13756-025-01544-3</w:t>
      </w:r>
    </w:p>
    <w:p w14:paraId="29F52D5F" w14:textId="77777777" w:rsidR="006F1480" w:rsidRPr="006F1480" w:rsidRDefault="006F1480" w:rsidP="006F1480">
      <w:pPr>
        <w:widowControl w:val="0"/>
        <w:autoSpaceDE w:val="0"/>
        <w:autoSpaceDN w:val="0"/>
        <w:adjustRightInd w:val="0"/>
        <w:spacing w:before="0" w:after="0"/>
        <w:ind w:left="640" w:hanging="640"/>
        <w:rPr>
          <w:rFonts w:cs="Times New Roman"/>
          <w:noProof/>
          <w:szCs w:val="24"/>
        </w:rPr>
      </w:pPr>
      <w:r w:rsidRPr="006F1480">
        <w:rPr>
          <w:rFonts w:cs="Times New Roman"/>
          <w:noProof/>
          <w:szCs w:val="24"/>
        </w:rPr>
        <w:t xml:space="preserve">119. </w:t>
      </w:r>
      <w:r w:rsidRPr="006F1480">
        <w:rPr>
          <w:rFonts w:cs="Times New Roman"/>
          <w:noProof/>
          <w:szCs w:val="24"/>
        </w:rPr>
        <w:tab/>
        <w:t>Falana ROA, Ogidan OC, Fajemilehin BR. Barriers to infection prevention and control implementation in selected healthcare facilities in Nigeria. Infect Dis Now. 2024;54(3):104877. Available from: https://www.sciencedirect.com/science/article/pii/S2666991924000320</w:t>
      </w:r>
    </w:p>
    <w:p w14:paraId="3DDA567A" w14:textId="77777777" w:rsidR="006F1480" w:rsidRPr="006F1480" w:rsidRDefault="006F1480" w:rsidP="006F1480">
      <w:pPr>
        <w:widowControl w:val="0"/>
        <w:autoSpaceDE w:val="0"/>
        <w:autoSpaceDN w:val="0"/>
        <w:adjustRightInd w:val="0"/>
        <w:spacing w:before="0" w:after="0"/>
        <w:ind w:left="640" w:hanging="640"/>
        <w:rPr>
          <w:rFonts w:cs="Times New Roman"/>
          <w:noProof/>
        </w:rPr>
      </w:pPr>
      <w:r w:rsidRPr="006F1480">
        <w:rPr>
          <w:rFonts w:cs="Times New Roman"/>
          <w:noProof/>
          <w:szCs w:val="24"/>
        </w:rPr>
        <w:t xml:space="preserve">120. </w:t>
      </w:r>
      <w:r w:rsidRPr="006F1480">
        <w:rPr>
          <w:rFonts w:cs="Times New Roman"/>
          <w:noProof/>
          <w:szCs w:val="24"/>
        </w:rPr>
        <w:tab/>
        <w:t>Magadze TA, Nkhwashu TE, Moloko SM, Chetty D. The impediments of implementing infection prevention control in public hospitals: Nurses’ perspectives. Heal SA Gesondheid. 2022;27:2033. Available from: https://pubmed.ncbi.nlm.nih.gov/36483503/</w:t>
      </w:r>
    </w:p>
    <w:p w14:paraId="5404AA8B" w14:textId="77777777" w:rsidR="003F4633" w:rsidRPr="003F4633" w:rsidRDefault="003F4633" w:rsidP="006F1480">
      <w:pPr>
        <w:spacing w:before="0" w:after="0" w:line="276" w:lineRule="auto"/>
        <w:jc w:val="both"/>
        <w:rPr>
          <w:rFonts w:eastAsia="Times New Roman" w:cs="Times New Roman"/>
          <w:szCs w:val="24"/>
          <w:lang w:val="en"/>
        </w:rPr>
      </w:pPr>
      <w:r w:rsidRPr="00EF7410">
        <w:rPr>
          <w:rFonts w:eastAsia="Times New Roman" w:cs="Times New Roman"/>
          <w:szCs w:val="24"/>
          <w:lang w:val="en"/>
        </w:rPr>
        <w:fldChar w:fldCharType="end"/>
      </w:r>
    </w:p>
    <w:p w14:paraId="530E8C15" w14:textId="60423587" w:rsidR="0088513A" w:rsidRPr="003F4633" w:rsidRDefault="0088513A" w:rsidP="003F4633"/>
    <w:sectPr w:rsidR="0088513A" w:rsidRPr="003F4633" w:rsidSect="00E67B00">
      <w:footerReference w:type="even" r:id="rId18"/>
      <w:footerReference w:type="default" r:id="rId19"/>
      <w:headerReference w:type="first" r:id="rId20"/>
      <w:pgSz w:w="12240" w:h="15840"/>
      <w:pgMar w:top="1138" w:right="1181" w:bottom="1138" w:left="1282" w:header="283"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32941" w14:textId="77777777" w:rsidR="00DC274E" w:rsidRDefault="00DC274E" w:rsidP="00117666">
      <w:pPr>
        <w:spacing w:after="0"/>
      </w:pPr>
      <w:r>
        <w:separator/>
      </w:r>
    </w:p>
  </w:endnote>
  <w:endnote w:type="continuationSeparator" w:id="0">
    <w:p w14:paraId="02474A2A" w14:textId="77777777" w:rsidR="00DC274E" w:rsidRDefault="00DC274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FCB79" w14:textId="77777777" w:rsidR="00746D70" w:rsidRPr="00577C4C" w:rsidRDefault="00746D70">
    <w:pPr>
      <w:pStyle w:val="Footer"/>
      <w:rPr>
        <w:color w:val="C00000"/>
        <w:szCs w:val="24"/>
      </w:rPr>
    </w:pPr>
    <w:r w:rsidRPr="00577C4C">
      <w:rPr>
        <w:noProof/>
        <w:color w:val="C00000"/>
        <w:szCs w:val="24"/>
      </w:rPr>
      <mc:AlternateContent>
        <mc:Choice Requires="wps">
          <w:drawing>
            <wp:anchor distT="0" distB="0" distL="114300" distR="114300" simplePos="0" relativeHeight="251683840" behindDoc="0" locked="0" layoutInCell="1" allowOverlap="1" wp14:anchorId="5744FF29" wp14:editId="0CFDB4C5">
              <wp:simplePos x="0" y="0"/>
              <wp:positionH relativeFrom="column">
                <wp:posOffset>-108280</wp:posOffset>
              </wp:positionH>
              <wp:positionV relativeFrom="paragraph">
                <wp:posOffset>-58420</wp:posOffset>
              </wp:positionV>
              <wp:extent cx="3672231" cy="1403985"/>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31" cy="1403985"/>
                      </a:xfrm>
                      <a:prstGeom prst="rect">
                        <a:avLst/>
                      </a:prstGeom>
                      <a:solidFill>
                        <a:srgbClr val="FFFFFF"/>
                      </a:solidFill>
                      <a:ln w="9525">
                        <a:noFill/>
                        <a:miter lim="800000"/>
                        <a:headEnd/>
                        <a:tailEnd/>
                      </a:ln>
                    </wps:spPr>
                    <wps:txbx>
                      <w:txbxContent>
                        <w:p w14:paraId="7B187B51" w14:textId="77777777" w:rsidR="00746D70" w:rsidRPr="00E9561B" w:rsidRDefault="00746D70">
                          <w:pPr>
                            <w:rPr>
                              <w:color w:val="C00000"/>
                            </w:rPr>
                          </w:pPr>
                          <w:r w:rsidRPr="00E9561B">
                            <w:rPr>
                              <w:color w:val="C00000"/>
                            </w:rPr>
                            <w:t>This is a provisional file, not the final typeset article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44FF29" id="_x0000_t202" coordsize="21600,21600" o:spt="202" path="m,l,21600r21600,l21600,xe">
              <v:stroke joinstyle="miter"/>
              <v:path gradientshapeok="t" o:connecttype="rect"/>
            </v:shapetype>
            <v:shape id="Text Box 2" o:spid="_x0000_s1026" type="#_x0000_t202" style="position:absolute;margin-left:-8.55pt;margin-top:-4.6pt;width:289.1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" stroked="f">
              <v:textbox style="mso-fit-shape-to-text:t">
                <w:txbxContent>
                  <w:p w14:paraId="7B187B51" w14:textId="77777777" w:rsidR="00746D70" w:rsidRPr="00E9561B" w:rsidRDefault="00746D70">
                    <w:pPr>
                      <w:rPr>
                        <w:color w:val="C00000"/>
                      </w:rPr>
                    </w:pPr>
                    <w:r w:rsidRPr="00E9561B">
                      <w:rPr>
                        <w:color w:val="C00000"/>
                      </w:rPr>
                      <w:t>This is a provisional file, not the final typeset article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C0C9A1E" wp14:editId="0A8165B7">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B86276A" w14:textId="77777777" w:rsidR="00746D70" w:rsidRPr="003F4633" w:rsidRDefault="00746D70">
                          <w:pPr>
                            <w:pStyle w:val="Footer"/>
                            <w:jc w:val="right"/>
                            <w:rPr>
                              <w:color w:val="000000"/>
                              <w:szCs w:val="40"/>
                            </w:rPr>
                          </w:pPr>
                          <w:r w:rsidRPr="003F4633">
                            <w:rPr>
                              <w:color w:val="000000"/>
                              <w:szCs w:val="40"/>
                            </w:rPr>
                            <w:fldChar w:fldCharType="begin"/>
                          </w:r>
                          <w:r w:rsidRPr="003F4633">
                            <w:rPr>
                              <w:color w:val="000000"/>
                              <w:szCs w:val="40"/>
                            </w:rPr>
                            <w:instrText xml:space="preserve"> PAGE  \* Arabic  \* MERGEFORMAT </w:instrText>
                          </w:r>
                          <w:r w:rsidRPr="003F4633">
                            <w:rPr>
                              <w:color w:val="000000"/>
                              <w:szCs w:val="40"/>
                            </w:rPr>
                            <w:fldChar w:fldCharType="separate"/>
                          </w:r>
                          <w:r w:rsidR="008910AD" w:rsidRPr="008910AD">
                            <w:rPr>
                              <w:noProof/>
                              <w:color w:val="000000"/>
                              <w:sz w:val="22"/>
                              <w:szCs w:val="40"/>
                            </w:rPr>
                            <w:t>20</w:t>
                          </w:r>
                          <w:r w:rsidRPr="003F4633">
                            <w:rPr>
                              <w:color w:val="00000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C0C9A1E" id="_x0000_t202" coordsize="21600,21600" o:spt="202" path="m,l,21600r21600,l21600,xe">
              <v:stroke joinstyle="miter"/>
              <v:path gradientshapeok="t" o:connecttype="rect"/>
            </v:shapetype>
            <v:shape id="Text Box 1" o:spid="_x0000_s1027"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MjG5lo1AgAAZgQAAA4AAAAAAAAAAAAAAAAALgIA&#10;AGRycy9lMm9Eb2MueG1sUEsBAi0AFAAGAAgAAAAhADiwEsPZAAAABAEAAA8AAAAAAAAAAAAAAAAA&#10;jwQAAGRycy9kb3ducmV2LnhtbFBLBQYAAAAABAAEAPMAAACVBQAAAAA=&#10;" filled="f" stroked="f" strokeweight=".5pt">
              <v:textbox style="mso-fit-shape-to-text:t">
                <w:txbxContent>
                  <w:p w14:paraId="2B86276A" w14:textId="77777777" w:rsidR="00746D70" w:rsidRPr="003F4633" w:rsidRDefault="00746D70">
                    <w:pPr>
                      <w:pStyle w:val="Footer"/>
                      <w:jc w:val="right"/>
                      <w:rPr>
                        <w:color w:val="000000"/>
                        <w:szCs w:val="40"/>
                      </w:rPr>
                    </w:pPr>
                    <w:r w:rsidRPr="003F4633">
                      <w:rPr>
                        <w:color w:val="000000"/>
                        <w:szCs w:val="40"/>
                      </w:rPr>
                      <w:fldChar w:fldCharType="begin"/>
                    </w:r>
                    <w:r w:rsidRPr="003F4633">
                      <w:rPr>
                        <w:color w:val="000000"/>
                        <w:szCs w:val="40"/>
                      </w:rPr>
                      <w:instrText xml:space="preserve"> PAGE  \* Arabic  \* MERGEFORMAT </w:instrText>
                    </w:r>
                    <w:r w:rsidRPr="003F4633">
                      <w:rPr>
                        <w:color w:val="000000"/>
                        <w:szCs w:val="40"/>
                      </w:rPr>
                      <w:fldChar w:fldCharType="separate"/>
                    </w:r>
                    <w:r w:rsidR="008910AD" w:rsidRPr="008910AD">
                      <w:rPr>
                        <w:noProof/>
                        <w:color w:val="000000"/>
                        <w:sz w:val="22"/>
                        <w:szCs w:val="40"/>
                      </w:rPr>
                      <w:t>20</w:t>
                    </w:r>
                    <w:r w:rsidRPr="003F4633">
                      <w:rPr>
                        <w:color w:val="000000"/>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8A60F" w14:textId="77777777" w:rsidR="00746D70" w:rsidRPr="00577C4C" w:rsidRDefault="00746D70">
    <w:pPr>
      <w:pStyle w:val="Footer"/>
      <w:rPr>
        <w:b/>
        <w:sz w:val="20"/>
        <w:szCs w:val="24"/>
      </w:rPr>
    </w:pPr>
    <w:r>
      <w:rPr>
        <w:noProof/>
      </w:rPr>
      <mc:AlternateContent>
        <mc:Choice Requires="wps">
          <w:drawing>
            <wp:anchor distT="0" distB="0" distL="114300" distR="114300" simplePos="0" relativeHeight="251646976" behindDoc="0" locked="0" layoutInCell="1" allowOverlap="1" wp14:anchorId="2127D7DA" wp14:editId="10908CC8">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4C0BEFB" w14:textId="77777777" w:rsidR="00746D70" w:rsidRPr="003F4633" w:rsidRDefault="00746D70">
                          <w:pPr>
                            <w:pStyle w:val="Footer"/>
                            <w:jc w:val="right"/>
                            <w:rPr>
                              <w:color w:val="000000"/>
                              <w:szCs w:val="40"/>
                            </w:rPr>
                          </w:pPr>
                          <w:r w:rsidRPr="003F4633">
                            <w:rPr>
                              <w:color w:val="000000"/>
                              <w:szCs w:val="40"/>
                            </w:rPr>
                            <w:fldChar w:fldCharType="begin"/>
                          </w:r>
                          <w:r w:rsidRPr="003F4633">
                            <w:rPr>
                              <w:color w:val="000000"/>
                              <w:szCs w:val="40"/>
                            </w:rPr>
                            <w:instrText xml:space="preserve"> PAGE  \* Arabic  \* MERGEFORMAT </w:instrText>
                          </w:r>
                          <w:r w:rsidRPr="003F4633">
                            <w:rPr>
                              <w:color w:val="000000"/>
                              <w:szCs w:val="40"/>
                            </w:rPr>
                            <w:fldChar w:fldCharType="separate"/>
                          </w:r>
                          <w:r w:rsidR="008910AD" w:rsidRPr="008910AD">
                            <w:rPr>
                              <w:noProof/>
                              <w:color w:val="000000"/>
                              <w:sz w:val="22"/>
                              <w:szCs w:val="40"/>
                            </w:rPr>
                            <w:t>21</w:t>
                          </w:r>
                          <w:r w:rsidRPr="003F4633">
                            <w:rPr>
                              <w:color w:val="00000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127D7DA" id="_x0000_t202" coordsize="21600,21600" o:spt="202" path="m,l,21600r21600,l21600,xe">
              <v:stroke joinstyle="miter"/>
              <v:path gradientshapeok="t" o:connecttype="rect"/>
            </v:shapetype>
            <v:shape id="Text Box 56" o:spid="_x0000_s1028"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" filled="f" stroked="f" strokeweight=".5pt">
              <v:textbox style="mso-fit-shape-to-text:t">
                <w:txbxContent>
                  <w:p w14:paraId="04C0BEFB" w14:textId="77777777" w:rsidR="00746D70" w:rsidRPr="003F4633" w:rsidRDefault="00746D70">
                    <w:pPr>
                      <w:pStyle w:val="Footer"/>
                      <w:jc w:val="right"/>
                      <w:rPr>
                        <w:color w:val="000000"/>
                        <w:szCs w:val="40"/>
                      </w:rPr>
                    </w:pPr>
                    <w:r w:rsidRPr="003F4633">
                      <w:rPr>
                        <w:color w:val="000000"/>
                        <w:szCs w:val="40"/>
                      </w:rPr>
                      <w:fldChar w:fldCharType="begin"/>
                    </w:r>
                    <w:r w:rsidRPr="003F4633">
                      <w:rPr>
                        <w:color w:val="000000"/>
                        <w:szCs w:val="40"/>
                      </w:rPr>
                      <w:instrText xml:space="preserve"> PAGE  \* Arabic  \* MERGEFORMAT </w:instrText>
                    </w:r>
                    <w:r w:rsidRPr="003F4633">
                      <w:rPr>
                        <w:color w:val="000000"/>
                        <w:szCs w:val="40"/>
                      </w:rPr>
                      <w:fldChar w:fldCharType="separate"/>
                    </w:r>
                    <w:r w:rsidR="008910AD" w:rsidRPr="008910AD">
                      <w:rPr>
                        <w:noProof/>
                        <w:color w:val="000000"/>
                        <w:sz w:val="22"/>
                        <w:szCs w:val="40"/>
                      </w:rPr>
                      <w:t>21</w:t>
                    </w:r>
                    <w:r w:rsidRPr="003F4633">
                      <w:rPr>
                        <w:color w:val="000000"/>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D6FAD" w14:textId="77777777" w:rsidR="00DC274E" w:rsidRDefault="00DC274E" w:rsidP="00117666">
      <w:pPr>
        <w:spacing w:after="0"/>
      </w:pPr>
      <w:r>
        <w:separator/>
      </w:r>
    </w:p>
  </w:footnote>
  <w:footnote w:type="continuationSeparator" w:id="0">
    <w:p w14:paraId="26823A07" w14:textId="77777777" w:rsidR="00DC274E" w:rsidRDefault="00DC274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4DC69" w14:textId="77777777" w:rsidR="00746D70" w:rsidRDefault="00746D70" w:rsidP="00A53000">
    <w:pPr>
      <w:pStyle w:val="Header"/>
    </w:pPr>
    <w:r w:rsidRPr="003F4633">
      <w:rPr>
        <w:noProof/>
        <w:color w:val="A6A6A6"/>
      </w:rPr>
      <w:drawing>
        <wp:inline distT="0" distB="0" distL="0" distR="0" wp14:anchorId="14758C2E" wp14:editId="7C8F8B09">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4C33C2"/>
    <w:multiLevelType w:val="hybridMultilevel"/>
    <w:tmpl w:val="01F44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8FE49CB"/>
    <w:multiLevelType w:val="hybridMultilevel"/>
    <w:tmpl w:val="0246A8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02A7CAC"/>
    <w:multiLevelType w:val="multilevel"/>
    <w:tmpl w:val="C6A8CCEA"/>
    <w:numStyleLink w:val="Headings"/>
  </w:abstractNum>
  <w:abstractNum w:abstractNumId="8"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3F1817"/>
    <w:multiLevelType w:val="hybridMultilevel"/>
    <w:tmpl w:val="D5AA9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EC64DBE"/>
    <w:multiLevelType w:val="multilevel"/>
    <w:tmpl w:val="4EC64DB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BC6F29"/>
    <w:multiLevelType w:val="multilevel"/>
    <w:tmpl w:val="C6A8CCEA"/>
    <w:numStyleLink w:val="Headings"/>
  </w:abstractNum>
  <w:abstractNum w:abstractNumId="21"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391804425">
    <w:abstractNumId w:val="0"/>
  </w:num>
  <w:num w:numId="2" w16cid:durableId="2119135543">
    <w:abstractNumId w:val="17"/>
  </w:num>
  <w:num w:numId="3" w16cid:durableId="350646446">
    <w:abstractNumId w:val="1"/>
  </w:num>
  <w:num w:numId="4" w16cid:durableId="1287080766">
    <w:abstractNumId w:val="19"/>
  </w:num>
  <w:num w:numId="5" w16cid:durableId="5529357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22955970">
    <w:abstractNumId w:val="12"/>
  </w:num>
  <w:num w:numId="7" w16cid:durableId="133179197">
    <w:abstractNumId w:val="10"/>
  </w:num>
  <w:num w:numId="8" w16cid:durableId="2043478770">
    <w:abstractNumId w:val="8"/>
  </w:num>
  <w:num w:numId="9" w16cid:durableId="1321345673">
    <w:abstractNumId w:val="11"/>
  </w:num>
  <w:num w:numId="10" w16cid:durableId="532573936">
    <w:abstractNumId w:val="9"/>
  </w:num>
  <w:num w:numId="11" w16cid:durableId="1888099097">
    <w:abstractNumId w:val="3"/>
  </w:num>
  <w:num w:numId="12" w16cid:durableId="325014084">
    <w:abstractNumId w:val="21"/>
  </w:num>
  <w:num w:numId="13" w16cid:durableId="371078696">
    <w:abstractNumId w:val="15"/>
  </w:num>
  <w:num w:numId="14" w16cid:durableId="933899482">
    <w:abstractNumId w:val="5"/>
  </w:num>
  <w:num w:numId="15" w16cid:durableId="1257445599">
    <w:abstractNumId w:val="14"/>
  </w:num>
  <w:num w:numId="16" w16cid:durableId="1650211989">
    <w:abstractNumId w:val="18"/>
  </w:num>
  <w:num w:numId="17" w16cid:durableId="254941785">
    <w:abstractNumId w:val="4"/>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8" w16cid:durableId="3314915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59378566">
    <w:abstractNumId w:val="7"/>
  </w:num>
  <w:num w:numId="20" w16cid:durableId="1544898751">
    <w:abstractNumId w:val="20"/>
  </w:num>
  <w:num w:numId="21" w16cid:durableId="1145927055">
    <w:abstractNumId w:val="4"/>
  </w:num>
  <w:num w:numId="22" w16cid:durableId="1529757416">
    <w:abstractNumId w:val="4"/>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16cid:durableId="1231963793">
    <w:abstractNumId w:val="16"/>
  </w:num>
  <w:num w:numId="24" w16cid:durableId="1530026253">
    <w:abstractNumId w:val="13"/>
  </w:num>
  <w:num w:numId="25" w16cid:durableId="1104572496">
    <w:abstractNumId w:val="2"/>
  </w:num>
  <w:num w:numId="26" w16cid:durableId="16489026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trackRevisions/>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20"/>
    <w:rsid w:val="000001BE"/>
    <w:rsid w:val="00015D7B"/>
    <w:rsid w:val="0002273A"/>
    <w:rsid w:val="00034304"/>
    <w:rsid w:val="00035434"/>
    <w:rsid w:val="00045678"/>
    <w:rsid w:val="000458E4"/>
    <w:rsid w:val="00063D84"/>
    <w:rsid w:val="0006636D"/>
    <w:rsid w:val="00077D53"/>
    <w:rsid w:val="00081394"/>
    <w:rsid w:val="000B34BD"/>
    <w:rsid w:val="000C7E2A"/>
    <w:rsid w:val="000F4CFB"/>
    <w:rsid w:val="00104FDE"/>
    <w:rsid w:val="00117666"/>
    <w:rsid w:val="001223A7"/>
    <w:rsid w:val="00134256"/>
    <w:rsid w:val="00147395"/>
    <w:rsid w:val="00152161"/>
    <w:rsid w:val="001552C9"/>
    <w:rsid w:val="00177D84"/>
    <w:rsid w:val="0018230D"/>
    <w:rsid w:val="001908B1"/>
    <w:rsid w:val="001964EF"/>
    <w:rsid w:val="001B1A2C"/>
    <w:rsid w:val="001C46C8"/>
    <w:rsid w:val="001D5C23"/>
    <w:rsid w:val="001E4F08"/>
    <w:rsid w:val="001E7355"/>
    <w:rsid w:val="001F4C07"/>
    <w:rsid w:val="0020615B"/>
    <w:rsid w:val="00206322"/>
    <w:rsid w:val="0021190A"/>
    <w:rsid w:val="00217BA1"/>
    <w:rsid w:val="00220AEA"/>
    <w:rsid w:val="00226954"/>
    <w:rsid w:val="002368CB"/>
    <w:rsid w:val="002629A3"/>
    <w:rsid w:val="00265660"/>
    <w:rsid w:val="002677A0"/>
    <w:rsid w:val="00267D18"/>
    <w:rsid w:val="002868E2"/>
    <w:rsid w:val="002869C3"/>
    <w:rsid w:val="002936E4"/>
    <w:rsid w:val="00296B88"/>
    <w:rsid w:val="002A260D"/>
    <w:rsid w:val="002B46FA"/>
    <w:rsid w:val="002C192C"/>
    <w:rsid w:val="002C74CA"/>
    <w:rsid w:val="002F1C0E"/>
    <w:rsid w:val="002F744D"/>
    <w:rsid w:val="00303641"/>
    <w:rsid w:val="00303DE6"/>
    <w:rsid w:val="00310124"/>
    <w:rsid w:val="00322306"/>
    <w:rsid w:val="00323509"/>
    <w:rsid w:val="003544FB"/>
    <w:rsid w:val="00357E07"/>
    <w:rsid w:val="00365D63"/>
    <w:rsid w:val="0036793B"/>
    <w:rsid w:val="00372682"/>
    <w:rsid w:val="00376CC5"/>
    <w:rsid w:val="00377F66"/>
    <w:rsid w:val="0039693B"/>
    <w:rsid w:val="003A3928"/>
    <w:rsid w:val="003A7ACF"/>
    <w:rsid w:val="003B3C40"/>
    <w:rsid w:val="003C1876"/>
    <w:rsid w:val="003D2F2D"/>
    <w:rsid w:val="003F4633"/>
    <w:rsid w:val="00401590"/>
    <w:rsid w:val="00435F08"/>
    <w:rsid w:val="00441112"/>
    <w:rsid w:val="00446E4C"/>
    <w:rsid w:val="00463E3D"/>
    <w:rsid w:val="004645AE"/>
    <w:rsid w:val="00486316"/>
    <w:rsid w:val="00487422"/>
    <w:rsid w:val="004D3E33"/>
    <w:rsid w:val="004F250A"/>
    <w:rsid w:val="00510770"/>
    <w:rsid w:val="0052252B"/>
    <w:rsid w:val="005250F2"/>
    <w:rsid w:val="00525D59"/>
    <w:rsid w:val="005426BE"/>
    <w:rsid w:val="005A1D84"/>
    <w:rsid w:val="005A70EA"/>
    <w:rsid w:val="005C3963"/>
    <w:rsid w:val="005D1840"/>
    <w:rsid w:val="005D35E4"/>
    <w:rsid w:val="005D7910"/>
    <w:rsid w:val="005E406D"/>
    <w:rsid w:val="00614C68"/>
    <w:rsid w:val="0062154F"/>
    <w:rsid w:val="00626026"/>
    <w:rsid w:val="00631A8C"/>
    <w:rsid w:val="00651CA2"/>
    <w:rsid w:val="00653D60"/>
    <w:rsid w:val="00660D05"/>
    <w:rsid w:val="00671D9A"/>
    <w:rsid w:val="00673952"/>
    <w:rsid w:val="006765F0"/>
    <w:rsid w:val="00686C9D"/>
    <w:rsid w:val="006B2D5B"/>
    <w:rsid w:val="006B7D14"/>
    <w:rsid w:val="006C186D"/>
    <w:rsid w:val="006D5B93"/>
    <w:rsid w:val="006E18DE"/>
    <w:rsid w:val="006E54C5"/>
    <w:rsid w:val="006F1480"/>
    <w:rsid w:val="006F4BBB"/>
    <w:rsid w:val="00707407"/>
    <w:rsid w:val="00716D1F"/>
    <w:rsid w:val="00725A7D"/>
    <w:rsid w:val="00727093"/>
    <w:rsid w:val="0073085C"/>
    <w:rsid w:val="00745047"/>
    <w:rsid w:val="00746505"/>
    <w:rsid w:val="00746D70"/>
    <w:rsid w:val="00752FD1"/>
    <w:rsid w:val="00756AF4"/>
    <w:rsid w:val="00790BB3"/>
    <w:rsid w:val="00792043"/>
    <w:rsid w:val="00797EDD"/>
    <w:rsid w:val="007B0322"/>
    <w:rsid w:val="007C0E3F"/>
    <w:rsid w:val="007C206C"/>
    <w:rsid w:val="007C5729"/>
    <w:rsid w:val="007C7E0B"/>
    <w:rsid w:val="008111E4"/>
    <w:rsid w:val="0081301C"/>
    <w:rsid w:val="00817DD6"/>
    <w:rsid w:val="0082323C"/>
    <w:rsid w:val="008455DE"/>
    <w:rsid w:val="008629A9"/>
    <w:rsid w:val="00875027"/>
    <w:rsid w:val="00884B21"/>
    <w:rsid w:val="0088513A"/>
    <w:rsid w:val="008910AD"/>
    <w:rsid w:val="00893C19"/>
    <w:rsid w:val="00895308"/>
    <w:rsid w:val="008A0240"/>
    <w:rsid w:val="008D6C8D"/>
    <w:rsid w:val="008E2B54"/>
    <w:rsid w:val="008E4404"/>
    <w:rsid w:val="008E58C7"/>
    <w:rsid w:val="008E6CC4"/>
    <w:rsid w:val="008F5021"/>
    <w:rsid w:val="009067FC"/>
    <w:rsid w:val="00924F9B"/>
    <w:rsid w:val="00926757"/>
    <w:rsid w:val="00943573"/>
    <w:rsid w:val="00971B61"/>
    <w:rsid w:val="00980C31"/>
    <w:rsid w:val="0098411D"/>
    <w:rsid w:val="009955FF"/>
    <w:rsid w:val="009C5D07"/>
    <w:rsid w:val="009D259D"/>
    <w:rsid w:val="00A00487"/>
    <w:rsid w:val="00A10681"/>
    <w:rsid w:val="00A353B4"/>
    <w:rsid w:val="00A45B66"/>
    <w:rsid w:val="00A50D9D"/>
    <w:rsid w:val="00A53000"/>
    <w:rsid w:val="00A545C6"/>
    <w:rsid w:val="00A6589C"/>
    <w:rsid w:val="00A75F87"/>
    <w:rsid w:val="00A9393C"/>
    <w:rsid w:val="00A95D8B"/>
    <w:rsid w:val="00AC0270"/>
    <w:rsid w:val="00AC3EA3"/>
    <w:rsid w:val="00AC792D"/>
    <w:rsid w:val="00B11548"/>
    <w:rsid w:val="00B657B8"/>
    <w:rsid w:val="00B84920"/>
    <w:rsid w:val="00B8556A"/>
    <w:rsid w:val="00BB2DDB"/>
    <w:rsid w:val="00BB41CE"/>
    <w:rsid w:val="00BB6949"/>
    <w:rsid w:val="00BE67DA"/>
    <w:rsid w:val="00C012A3"/>
    <w:rsid w:val="00C16F19"/>
    <w:rsid w:val="00C30EB1"/>
    <w:rsid w:val="00C520AE"/>
    <w:rsid w:val="00C52A7B"/>
    <w:rsid w:val="00C6324C"/>
    <w:rsid w:val="00C679AA"/>
    <w:rsid w:val="00C724CF"/>
    <w:rsid w:val="00C75972"/>
    <w:rsid w:val="00C82792"/>
    <w:rsid w:val="00C948FD"/>
    <w:rsid w:val="00CA4F44"/>
    <w:rsid w:val="00CB17F7"/>
    <w:rsid w:val="00CB2220"/>
    <w:rsid w:val="00CB43D5"/>
    <w:rsid w:val="00CB5104"/>
    <w:rsid w:val="00CC76F9"/>
    <w:rsid w:val="00CD066B"/>
    <w:rsid w:val="00CD3ECE"/>
    <w:rsid w:val="00CD46E2"/>
    <w:rsid w:val="00D003A9"/>
    <w:rsid w:val="00D00D0B"/>
    <w:rsid w:val="00D04B69"/>
    <w:rsid w:val="00D17FBC"/>
    <w:rsid w:val="00D40420"/>
    <w:rsid w:val="00D537FA"/>
    <w:rsid w:val="00D56FA2"/>
    <w:rsid w:val="00D62654"/>
    <w:rsid w:val="00D702D7"/>
    <w:rsid w:val="00D80D99"/>
    <w:rsid w:val="00D9503C"/>
    <w:rsid w:val="00DC274E"/>
    <w:rsid w:val="00DD73EF"/>
    <w:rsid w:val="00DE23E8"/>
    <w:rsid w:val="00DF187F"/>
    <w:rsid w:val="00E0128B"/>
    <w:rsid w:val="00E11C78"/>
    <w:rsid w:val="00E64E17"/>
    <w:rsid w:val="00E67B00"/>
    <w:rsid w:val="00E70264"/>
    <w:rsid w:val="00E852EA"/>
    <w:rsid w:val="00EA3D3C"/>
    <w:rsid w:val="00EC3645"/>
    <w:rsid w:val="00EC7CC3"/>
    <w:rsid w:val="00EE7503"/>
    <w:rsid w:val="00EF7410"/>
    <w:rsid w:val="00F254A4"/>
    <w:rsid w:val="00F46494"/>
    <w:rsid w:val="00F558AB"/>
    <w:rsid w:val="00F61D89"/>
    <w:rsid w:val="00F86ABB"/>
    <w:rsid w:val="00F90C32"/>
    <w:rsid w:val="00F97039"/>
    <w:rsid w:val="00FD7648"/>
    <w:rsid w:val="00FE2193"/>
    <w:rsid w:val="00FE2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EA237"/>
  <w15:docId w15:val="{757ABA37-7D5A-42D5-8BA2-C3ABF0C36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D99"/>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D80D99"/>
    <w:pPr>
      <w:numPr>
        <w:numId w:val="17"/>
      </w:numPr>
      <w:spacing w:before="240"/>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
    <w:qFormat/>
    <w:rsid w:val="00310124"/>
    <w:pPr>
      <w:numPr>
        <w:numId w:val="14"/>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semiHidden/>
    <w:unhideWhenUsed/>
    <w:rsid w:val="00725A7D"/>
    <w:rPr>
      <w:sz w:val="20"/>
      <w:szCs w:val="20"/>
    </w:rPr>
  </w:style>
  <w:style w:type="character" w:customStyle="1" w:styleId="CommentTextChar">
    <w:name w:val="Comment Text Char"/>
    <w:basedOn w:val="DefaultParagraphFont"/>
    <w:link w:val="CommentText"/>
    <w:uiPriority w:val="99"/>
    <w:semiHidden/>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character" w:customStyle="1" w:styleId="UnresolvedMention1">
    <w:name w:val="Unresolved Mention1"/>
    <w:basedOn w:val="DefaultParagraphFont"/>
    <w:uiPriority w:val="99"/>
    <w:semiHidden/>
    <w:unhideWhenUsed/>
    <w:rsid w:val="00895308"/>
    <w:rPr>
      <w:color w:val="605E5C"/>
      <w:shd w:val="clear" w:color="auto" w:fill="E1DFDD"/>
    </w:rPr>
  </w:style>
  <w:style w:type="table" w:customStyle="1" w:styleId="TableGrid11">
    <w:name w:val="Table Grid11"/>
    <w:basedOn w:val="TableNormal"/>
    <w:next w:val="TableGrid"/>
    <w:uiPriority w:val="99"/>
    <w:qFormat/>
    <w:rsid w:val="003F4633"/>
    <w:pPr>
      <w:spacing w:after="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377F6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basedOn w:val="TableNormal"/>
    <w:next w:val="PlainTable2"/>
    <w:uiPriority w:val="42"/>
    <w:rsid w:val="00B11548"/>
    <w:pPr>
      <w:spacing w:after="0" w:line="240" w:lineRule="auto"/>
    </w:pPr>
    <w:rPr>
      <w:rFonts w:ascii="Calibri" w:hAnsi="Calibri"/>
      <w:kern w:val="2"/>
      <w:sz w:val="24"/>
      <w:szCs w:val="24"/>
      <w:lang w:val="en-GB"/>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888689418">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2049331684">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steward.mudenda@unza.ac.zm" TargetMode="External"/><Relationship Id="rId17"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chart" Target="charts/chart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frontiers_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chemeClr val="accent1"/>
            </a:solidFill>
            <a:ln>
              <a:noFill/>
            </a:ln>
            <a:effectLst/>
          </c:spPr>
          <c:invertIfNegative val="0"/>
          <c:dLbls>
            <c:dLbl>
              <c:idx val="0"/>
              <c:tx>
                <c:rich>
                  <a:bodyPr/>
                  <a:lstStyle/>
                  <a:p>
                    <a:fld id="{8D3FE3C4-8048-49F0-A14F-06E9D0EB5AC5}"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C3F-427C-B9F0-3F27518E61F6}"/>
                </c:ext>
              </c:extLst>
            </c:dLbl>
            <c:dLbl>
              <c:idx val="1"/>
              <c:tx>
                <c:rich>
                  <a:bodyPr/>
                  <a:lstStyle/>
                  <a:p>
                    <a:fld id="{26EB104F-3D40-4101-A742-69B160A0365B}"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C3F-427C-B9F0-3F27518E61F6}"/>
                </c:ext>
              </c:extLst>
            </c:dLbl>
            <c:dLbl>
              <c:idx val="2"/>
              <c:tx>
                <c:rich>
                  <a:bodyPr rot="0" spcFirstLastPara="1" vertOverflow="ellipsis" vert="horz" wrap="square" lIns="38100" tIns="19050" rIns="38100" bIns="19050" anchor="ctr" anchorCtr="1">
                    <a:spAutoFit/>
                  </a:bodyPr>
                  <a:lstStyle/>
                  <a:p>
                    <a:pPr>
                      <a:defRPr lang="en-US"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DD908E86-F178-4125-8CFA-E3B41A73FF1D}" type="VALUE">
                      <a:rPr lang="en-US" sz="1200">
                        <a:solidFill>
                          <a:sysClr val="windowText" lastClr="000000"/>
                        </a:solidFill>
                        <a:latin typeface="Times New Roman" panose="02020603050405020304" pitchFamily="18" charset="0"/>
                        <a:cs typeface="Times New Roman" panose="02020603050405020304" pitchFamily="18" charset="0"/>
                      </a:rPr>
                      <a:pPr>
                        <a:defRPr sz="1200" b="1">
                          <a:solidFill>
                            <a:sysClr val="windowText" lastClr="000000"/>
                          </a:solidFill>
                          <a:latin typeface="Times New Roman" panose="02020603050405020304" pitchFamily="18" charset="0"/>
                          <a:cs typeface="Times New Roman" panose="02020603050405020304" pitchFamily="18" charset="0"/>
                        </a:defRPr>
                      </a:pPr>
                      <a:t>[VALUE]</a:t>
                    </a:fld>
                    <a:r>
                      <a:rPr lang="en-US" sz="1200">
                        <a:solidFill>
                          <a:sysClr val="windowText" lastClr="000000"/>
                        </a:solidFill>
                        <a:latin typeface="Times New Roman" panose="02020603050405020304" pitchFamily="18" charset="0"/>
                        <a:cs typeface="Times New Roman" panose="02020603050405020304" pitchFamily="18" charset="0"/>
                      </a:rPr>
                      <a:t>%</a:t>
                    </a:r>
                  </a:p>
                </c:rich>
              </c:tx>
              <c:spPr>
                <a:noFill/>
                <a:ln>
                  <a:noFill/>
                </a:ln>
                <a:effectLst/>
              </c:spPr>
              <c:txPr>
                <a:bodyPr rot="0" spcFirstLastPara="1" vertOverflow="ellipsis" vert="horz" wrap="square" lIns="38100" tIns="19050" rIns="38100" bIns="19050" anchor="ctr" anchorCtr="1">
                  <a:spAutoFit/>
                </a:bodyPr>
                <a:lstStyle/>
                <a:p>
                  <a:pPr>
                    <a:defRPr lang="en-US"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C3F-427C-B9F0-3F27518E61F6}"/>
                </c:ext>
              </c:extLst>
            </c:dLbl>
            <c:dLbl>
              <c:idx val="3"/>
              <c:tx>
                <c:rich>
                  <a:bodyPr/>
                  <a:lstStyle/>
                  <a:p>
                    <a:fld id="{380100E6-3F71-4478-AAEA-27DB77582128}" type="VALUE">
                      <a:rPr lang="en-US">
                        <a:solidFill>
                          <a:sysClr val="windowText" lastClr="000000"/>
                        </a:solidFill>
                      </a:rPr>
                      <a:pPr/>
                      <a:t>[VALUE]</a:t>
                    </a:fld>
                    <a:r>
                      <a:rPr lang="en-US">
                        <a:solidFill>
                          <a:sysClr val="windowText" lastClr="000000"/>
                        </a:solidFill>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C3F-427C-B9F0-3F27518E61F6}"/>
                </c:ext>
              </c:extLst>
            </c:dLbl>
            <c:dLbl>
              <c:idx val="4"/>
              <c:tx>
                <c:rich>
                  <a:bodyPr/>
                  <a:lstStyle/>
                  <a:p>
                    <a:fld id="{FF3EDB82-6196-4886-BCEC-8C295BA65EBA}"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C3F-427C-B9F0-3F27518E61F6}"/>
                </c:ext>
              </c:extLst>
            </c:dLbl>
            <c:dLbl>
              <c:idx val="5"/>
              <c:tx>
                <c:rich>
                  <a:bodyPr/>
                  <a:lstStyle/>
                  <a:p>
                    <a:fld id="{027AC5D7-31B0-4B21-84AC-A3B1AF1ECFFA}"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C3F-427C-B9F0-3F27518E61F6}"/>
                </c:ext>
              </c:extLst>
            </c:dLbl>
            <c:dLbl>
              <c:idx val="6"/>
              <c:tx>
                <c:rich>
                  <a:bodyPr/>
                  <a:lstStyle/>
                  <a:p>
                    <a:fld id="{A8CC77F6-E9E5-4020-A483-AD45A35C945C}"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C3F-427C-B9F0-3F27518E61F6}"/>
                </c:ext>
              </c:extLst>
            </c:dLbl>
            <c:dLbl>
              <c:idx val="7"/>
              <c:tx>
                <c:rich>
                  <a:bodyPr/>
                  <a:lstStyle/>
                  <a:p>
                    <a:fld id="{8D747FAF-C3E3-4851-B278-B69472574669}"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C3F-427C-B9F0-3F27518E61F6}"/>
                </c:ext>
              </c:extLst>
            </c:dLbl>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errBars>
            <c:errBarType val="both"/>
            <c:errValType val="stdErr"/>
            <c:noEndCap val="0"/>
            <c:spPr>
              <a:noFill/>
              <a:ln w="9525">
                <a:solidFill>
                  <a:schemeClr val="tx1">
                    <a:lumMod val="65000"/>
                    <a:lumOff val="35000"/>
                  </a:schemeClr>
                </a:solidFill>
                <a:round/>
              </a:ln>
              <a:effectLst/>
            </c:spPr>
          </c:errBars>
          <c:cat>
            <c:strRef>
              <c:f>Sheet1!$A$26:$A$33</c:f>
              <c:strCache>
                <c:ptCount val="8"/>
                <c:pt idx="0">
                  <c:v>IPC Programmes</c:v>
                </c:pt>
                <c:pt idx="1">
                  <c:v>National and Facility level IPC guidelines</c:v>
                </c:pt>
                <c:pt idx="2">
                  <c:v>IPC education and training</c:v>
                </c:pt>
                <c:pt idx="3">
                  <c:v>HAI surveillance</c:v>
                </c:pt>
                <c:pt idx="4">
                  <c:v>Multimodal strategies for IPC activities</c:v>
                </c:pt>
                <c:pt idx="5">
                  <c:v>IPC monitoring and feedback</c:v>
                </c:pt>
                <c:pt idx="6">
                  <c:v>Workload Staffing and Bed Occupancy</c:v>
                </c:pt>
                <c:pt idx="7">
                  <c:v>Built Environment and Equipment</c:v>
                </c:pt>
              </c:strCache>
            </c:strRef>
          </c:cat>
          <c:val>
            <c:numRef>
              <c:f>Sheet1!$B$26:$B$33</c:f>
              <c:numCache>
                <c:formatCode>General</c:formatCode>
                <c:ptCount val="8"/>
                <c:pt idx="0">
                  <c:v>86</c:v>
                </c:pt>
                <c:pt idx="1">
                  <c:v>80</c:v>
                </c:pt>
                <c:pt idx="2">
                  <c:v>71</c:v>
                </c:pt>
                <c:pt idx="3">
                  <c:v>75</c:v>
                </c:pt>
                <c:pt idx="4">
                  <c:v>75</c:v>
                </c:pt>
                <c:pt idx="5">
                  <c:v>79</c:v>
                </c:pt>
                <c:pt idx="6">
                  <c:v>60</c:v>
                </c:pt>
                <c:pt idx="7">
                  <c:v>68</c:v>
                </c:pt>
              </c:numCache>
            </c:numRef>
          </c:val>
          <c:extLst>
            <c:ext xmlns:c16="http://schemas.microsoft.com/office/drawing/2014/chart" uri="{C3380CC4-5D6E-409C-BE32-E72D297353CC}">
              <c16:uniqueId val="{00000000-5BC9-49FA-BC1B-8B7381B603A6}"/>
            </c:ext>
          </c:extLst>
        </c:ser>
        <c:dLbls>
          <c:showLegendKey val="0"/>
          <c:showVal val="0"/>
          <c:showCatName val="0"/>
          <c:showSerName val="0"/>
          <c:showPercent val="0"/>
          <c:showBubbleSize val="0"/>
        </c:dLbls>
        <c:gapWidth val="150"/>
        <c:overlap val="100"/>
        <c:axId val="442302416"/>
        <c:axId val="442302808"/>
      </c:barChart>
      <c:catAx>
        <c:axId val="442302416"/>
        <c:scaling>
          <c:orientation val="minMax"/>
        </c:scaling>
        <c:delete val="0"/>
        <c:axPos val="b"/>
        <c:title>
          <c:tx>
            <c:rich>
              <a:bodyPr rot="0" spcFirstLastPara="1" vertOverflow="ellipsis" vert="horz" wrap="square" anchor="ctr" anchorCtr="1"/>
              <a:lstStyle/>
              <a:p>
                <a:pPr>
                  <a:defRPr lang="en-US"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IPC</a:t>
                </a:r>
                <a:r>
                  <a:rPr lang="en-US" sz="1000" b="1" baseline="0">
                    <a:latin typeface="Times New Roman" panose="02020603050405020304" pitchFamily="18" charset="0"/>
                    <a:cs typeface="Times New Roman" panose="02020603050405020304" pitchFamily="18" charset="0"/>
                  </a:rPr>
                  <a:t> Core Components</a:t>
                </a:r>
                <a:endParaRPr lang="en-US" sz="10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lang="en-US"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42302808"/>
        <c:crosses val="autoZero"/>
        <c:auto val="1"/>
        <c:lblAlgn val="ctr"/>
        <c:lblOffset val="100"/>
        <c:noMultiLvlLbl val="0"/>
      </c:catAx>
      <c:valAx>
        <c:axId val="442302808"/>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IPC</a:t>
                </a:r>
                <a:r>
                  <a:rPr lang="en-US" sz="1000" b="1" baseline="0">
                    <a:latin typeface="Times New Roman" panose="02020603050405020304" pitchFamily="18" charset="0"/>
                    <a:cs typeface="Times New Roman" panose="02020603050405020304" pitchFamily="18" charset="0"/>
                  </a:rPr>
                  <a:t> Scores</a:t>
                </a:r>
                <a:endParaRPr lang="en-US" sz="1000"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lang="en-US"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42302416"/>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lang="en-US"/>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errBars>
            <c:errBarType val="both"/>
            <c:errValType val="stdErr"/>
            <c:noEndCap val="0"/>
            <c:spPr>
              <a:noFill/>
              <a:ln w="9525">
                <a:solidFill>
                  <a:schemeClr val="tx1">
                    <a:lumMod val="65000"/>
                    <a:lumOff val="35000"/>
                  </a:schemeClr>
                </a:solidFill>
                <a:round/>
              </a:ln>
              <a:effectLst/>
            </c:spPr>
          </c:errBars>
          <c:cat>
            <c:strRef>
              <c:f>Sheet1!$A$36:$A$44</c:f>
              <c:strCache>
                <c:ptCount val="9"/>
                <c:pt idx="0">
                  <c:v>ADCH</c:v>
                </c:pt>
                <c:pt idx="1">
                  <c:v>CCH</c:v>
                </c:pt>
                <c:pt idx="2">
                  <c:v>CGH</c:v>
                </c:pt>
                <c:pt idx="3">
                  <c:v>KGH</c:v>
                </c:pt>
                <c:pt idx="4">
                  <c:v>LGH</c:v>
                </c:pt>
                <c:pt idx="5">
                  <c:v>LUTH</c:v>
                </c:pt>
                <c:pt idx="6">
                  <c:v>MGH</c:v>
                </c:pt>
                <c:pt idx="7">
                  <c:v>NTH</c:v>
                </c:pt>
                <c:pt idx="8">
                  <c:v>SGH</c:v>
                </c:pt>
              </c:strCache>
            </c:strRef>
          </c:cat>
          <c:val>
            <c:numRef>
              <c:f>Sheet1!$B$36:$B$44</c:f>
              <c:numCache>
                <c:formatCode>General</c:formatCode>
                <c:ptCount val="9"/>
                <c:pt idx="0">
                  <c:v>581</c:v>
                </c:pt>
                <c:pt idx="1">
                  <c:v>652.5</c:v>
                </c:pt>
                <c:pt idx="2">
                  <c:v>505</c:v>
                </c:pt>
                <c:pt idx="3">
                  <c:v>615</c:v>
                </c:pt>
                <c:pt idx="4">
                  <c:v>461</c:v>
                </c:pt>
                <c:pt idx="5">
                  <c:v>705</c:v>
                </c:pt>
                <c:pt idx="6">
                  <c:v>692.5</c:v>
                </c:pt>
                <c:pt idx="7">
                  <c:v>625</c:v>
                </c:pt>
                <c:pt idx="8">
                  <c:v>507.5</c:v>
                </c:pt>
              </c:numCache>
            </c:numRef>
          </c:val>
          <c:extLst>
            <c:ext xmlns:c16="http://schemas.microsoft.com/office/drawing/2014/chart" uri="{C3380CC4-5D6E-409C-BE32-E72D297353CC}">
              <c16:uniqueId val="{00000000-DE57-4ACD-972C-64BED28FE762}"/>
            </c:ext>
          </c:extLst>
        </c:ser>
        <c:dLbls>
          <c:showLegendKey val="0"/>
          <c:showVal val="0"/>
          <c:showCatName val="0"/>
          <c:showSerName val="0"/>
          <c:showPercent val="0"/>
          <c:showBubbleSize val="0"/>
        </c:dLbls>
        <c:gapWidth val="150"/>
        <c:overlap val="100"/>
        <c:axId val="442303200"/>
        <c:axId val="621822944"/>
      </c:barChart>
      <c:catAx>
        <c:axId val="442303200"/>
        <c:scaling>
          <c:orientation val="minMax"/>
        </c:scaling>
        <c:delete val="0"/>
        <c:axPos val="b"/>
        <c:title>
          <c:tx>
            <c:rich>
              <a:bodyPr rot="0" spcFirstLastPara="1" vertOverflow="ellipsis" vert="horz" wrap="square" anchor="ctr" anchorCtr="1"/>
              <a:lstStyle/>
              <a:p>
                <a:pPr>
                  <a:defRPr lang="en-US"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Name of Hospital</a:t>
                </a:r>
              </a:p>
            </c:rich>
          </c:tx>
          <c:layout>
            <c:manualLayout>
              <c:xMode val="edge"/>
              <c:yMode val="edge"/>
              <c:x val="0.44466001293068402"/>
              <c:y val="0.91735015772870698"/>
            </c:manualLayout>
          </c:layout>
          <c:overlay val="0"/>
          <c:spPr>
            <a:noFill/>
            <a:ln>
              <a:noFill/>
            </a:ln>
            <a:effectLst/>
          </c:spPr>
          <c:txPr>
            <a:bodyPr rot="0" spcFirstLastPara="1" vertOverflow="ellipsis" vert="horz" wrap="square" anchor="ctr" anchorCtr="1"/>
            <a:lstStyle/>
            <a:p>
              <a:pPr>
                <a:defRPr lang="en-US"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lang="en-US"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21822944"/>
        <c:crosses val="autoZero"/>
        <c:auto val="1"/>
        <c:lblAlgn val="ctr"/>
        <c:lblOffset val="100"/>
        <c:noMultiLvlLbl val="0"/>
      </c:catAx>
      <c:valAx>
        <c:axId val="621822944"/>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IPCAF</a:t>
                </a:r>
                <a:r>
                  <a:rPr lang="en-US" sz="1100" b="1" baseline="0">
                    <a:latin typeface="Times New Roman" panose="02020603050405020304" pitchFamily="18" charset="0"/>
                    <a:cs typeface="Times New Roman" panose="02020603050405020304" pitchFamily="18" charset="0"/>
                  </a:rPr>
                  <a:t> scores</a:t>
                </a:r>
                <a:endParaRPr lang="en-US" sz="1100"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lang="en-US"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42303200"/>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lang="en-US"/>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chemeClr val="accent1"/>
            </a:solidFill>
            <a:ln>
              <a:noFill/>
            </a:ln>
            <a:effectLst/>
          </c:spPr>
          <c:invertIfNegative val="0"/>
          <c:dLbls>
            <c:dLbl>
              <c:idx val="0"/>
              <c:layout>
                <c:manualLayout>
                  <c:x val="-2.5462668816040001E-17"/>
                  <c:y val="-4.6296296296296398E-2"/>
                </c:manualLayout>
              </c:layout>
              <c:spPr>
                <a:noFill/>
                <a:ln>
                  <a:noFill/>
                </a:ln>
                <a:effectLst/>
              </c:spPr>
              <c:txPr>
                <a:bodyPr rot="0" spcFirstLastPara="1" vertOverflow="ellipsis" vert="horz" wrap="square" lIns="38100" tIns="19050" rIns="38100" bIns="19050" anchor="ctr" anchorCtr="1">
                  <a:spAutoFit/>
                </a:bodyPr>
                <a:lstStyle/>
                <a:p>
                  <a:pPr>
                    <a:defRPr lang="en-US"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F2-4427-8C95-3E8A6FDD231C}"/>
                </c:ext>
              </c:extLst>
            </c:dLbl>
            <c:dLbl>
              <c:idx val="1"/>
              <c:layout>
                <c:manualLayout>
                  <c:x val="-5.0925337632080002E-17"/>
                  <c:y val="-4.1666666666666803E-2"/>
                </c:manualLayout>
              </c:layout>
              <c:spPr>
                <a:noFill/>
                <a:ln>
                  <a:noFill/>
                </a:ln>
                <a:effectLst/>
              </c:spPr>
              <c:txPr>
                <a:bodyPr rot="0" spcFirstLastPara="1" vertOverflow="ellipsis" vert="horz" wrap="square" lIns="38100" tIns="19050" rIns="38100" bIns="19050" anchor="ctr" anchorCtr="1">
                  <a:spAutoFit/>
                </a:bodyPr>
                <a:lstStyle/>
                <a:p>
                  <a:pPr>
                    <a:defRPr lang="en-US"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F2-4427-8C95-3E8A6FDD231C}"/>
                </c:ext>
              </c:extLst>
            </c:dLbl>
            <c:dLbl>
              <c:idx val="2"/>
              <c:spPr>
                <a:noFill/>
                <a:ln>
                  <a:noFill/>
                </a:ln>
                <a:effectLst/>
              </c:spPr>
              <c:txPr>
                <a:bodyPr rot="0" spcFirstLastPara="1" vertOverflow="ellipsis" vert="horz" wrap="square" lIns="38100" tIns="19050" rIns="38100" bIns="19050" anchor="ctr" anchorCtr="1">
                  <a:spAutoFit/>
                </a:bodyPr>
                <a:lstStyle/>
                <a:p>
                  <a:pPr>
                    <a:defRPr lang="en-US"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4FF5-40B6-9BB1-F96D56086561}"/>
                </c:ext>
              </c:extLst>
            </c:dLbl>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lumMod val="75000"/>
                        <a:lumOff val="25000"/>
                      </a:schemeClr>
                    </a:solidFill>
                    <a:latin typeface="Palatino Linotype" panose="02040502050505030304" pitchFamily="18" charset="0"/>
                    <a:ea typeface="+mn-ea"/>
                    <a:cs typeface="Arial" panose="020B0604020202020204" pitchFamily="2"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Sheet1!$A$10:$A$13</c:f>
              <c:strCache>
                <c:ptCount val="4"/>
                <c:pt idx="0">
                  <c:v>Inadequate</c:v>
                </c:pt>
                <c:pt idx="1">
                  <c:v>Basic</c:v>
                </c:pt>
                <c:pt idx="2">
                  <c:v>Intermediate </c:v>
                </c:pt>
                <c:pt idx="3">
                  <c:v>Advanced</c:v>
                </c:pt>
              </c:strCache>
            </c:strRef>
          </c:cat>
          <c:val>
            <c:numRef>
              <c:f>Sheet1!$B$10:$B$13</c:f>
              <c:numCache>
                <c:formatCode>General</c:formatCode>
                <c:ptCount val="4"/>
                <c:pt idx="0">
                  <c:v>0</c:v>
                </c:pt>
                <c:pt idx="1">
                  <c:v>0</c:v>
                </c:pt>
                <c:pt idx="2">
                  <c:v>4</c:v>
                </c:pt>
                <c:pt idx="3">
                  <c:v>5</c:v>
                </c:pt>
              </c:numCache>
            </c:numRef>
          </c:val>
          <c:extLst>
            <c:ext xmlns:c16="http://schemas.microsoft.com/office/drawing/2014/chart" uri="{C3380CC4-5D6E-409C-BE32-E72D297353CC}">
              <c16:uniqueId val="{00000002-2EF2-4427-8C95-3E8A6FDD231C}"/>
            </c:ext>
          </c:extLst>
        </c:ser>
        <c:dLbls>
          <c:showLegendKey val="0"/>
          <c:showVal val="0"/>
          <c:showCatName val="0"/>
          <c:showSerName val="0"/>
          <c:showPercent val="0"/>
          <c:showBubbleSize val="0"/>
        </c:dLbls>
        <c:gapWidth val="150"/>
        <c:overlap val="100"/>
        <c:axId val="621824904"/>
        <c:axId val="621826080"/>
      </c:barChart>
      <c:catAx>
        <c:axId val="621824904"/>
        <c:scaling>
          <c:orientation val="minMax"/>
        </c:scaling>
        <c:delete val="0"/>
        <c:axPos val="b"/>
        <c:title>
          <c:tx>
            <c:rich>
              <a:bodyPr rot="0" spcFirstLastPara="1" vertOverflow="ellipsis" vert="horz" wrap="square" anchor="ctr" anchorCtr="1"/>
              <a:lstStyle/>
              <a:p>
                <a:pPr>
                  <a:defRPr lang="en-US"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IPCAF</a:t>
                </a:r>
                <a:r>
                  <a:rPr lang="en-US" sz="1000" b="1" baseline="0">
                    <a:latin typeface="Times New Roman" panose="02020603050405020304" pitchFamily="18" charset="0"/>
                    <a:cs typeface="Times New Roman" panose="02020603050405020304" pitchFamily="18" charset="0"/>
                  </a:rPr>
                  <a:t> Level</a:t>
                </a:r>
                <a:endParaRPr lang="en-US" sz="1000" b="1">
                  <a:latin typeface="Times New Roman" panose="02020603050405020304" pitchFamily="18" charset="0"/>
                  <a:cs typeface="Times New Roman" panose="02020603050405020304" pitchFamily="18" charset="0"/>
                </a:endParaRPr>
              </a:p>
            </c:rich>
          </c:tx>
          <c:layout>
            <c:manualLayout>
              <c:xMode val="edge"/>
              <c:yMode val="edge"/>
              <c:x val="0.44364457567804"/>
              <c:y val="0.92111292906568498"/>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schemeClr val="tx1">
                    <a:lumMod val="65000"/>
                    <a:lumOff val="35000"/>
                  </a:schemeClr>
                </a:solidFill>
                <a:latin typeface="Palatino Linotype" panose="02040502050505030304" pitchFamily="18" charset="0"/>
                <a:ea typeface="+mn-ea"/>
                <a:cs typeface="Arial" panose="020B0604020202020204" pitchFamily="2" charset="0"/>
              </a:defRPr>
            </a:pPr>
            <a:endParaRPr lang="en-US"/>
          </a:p>
        </c:txPr>
        <c:crossAx val="621826080"/>
        <c:crosses val="autoZero"/>
        <c:auto val="1"/>
        <c:lblAlgn val="ctr"/>
        <c:lblOffset val="100"/>
        <c:noMultiLvlLbl val="0"/>
      </c:catAx>
      <c:valAx>
        <c:axId val="621826080"/>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Number</a:t>
                </a:r>
                <a:r>
                  <a:rPr lang="en-US" sz="1000" b="1" baseline="0">
                    <a:latin typeface="Times New Roman" panose="02020603050405020304" pitchFamily="18" charset="0"/>
                    <a:cs typeface="Times New Roman" panose="02020603050405020304" pitchFamily="18" charset="0"/>
                  </a:rPr>
                  <a:t> of Facilities</a:t>
                </a:r>
                <a:endParaRPr lang="en-US" sz="1000" b="1">
                  <a:latin typeface="Times New Roman" panose="02020603050405020304" pitchFamily="18" charset="0"/>
                  <a:cs typeface="Times New Roman" panose="02020603050405020304" pitchFamily="18" charset="0"/>
                </a:endParaRPr>
              </a:p>
            </c:rich>
          </c:tx>
          <c:layout>
            <c:manualLayout>
              <c:xMode val="edge"/>
              <c:yMode val="edge"/>
              <c:x val="2.4996875390576177E-2"/>
              <c:y val="0.18614068091274"/>
            </c:manualLayout>
          </c:layout>
          <c:overlay val="0"/>
          <c:spPr>
            <a:noFill/>
            <a:ln>
              <a:noFill/>
            </a:ln>
            <a:effectLst/>
          </c:spPr>
          <c:txPr>
            <a:bodyPr rot="-5400000" spcFirstLastPara="1" vertOverflow="ellipsis" vert="horz" wrap="square" anchor="ctr" anchorCtr="1"/>
            <a:lstStyle/>
            <a:p>
              <a:pPr>
                <a:defRPr lang="en-US"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000" b="1" i="0" u="none" strike="noStrike" kern="1200" baseline="0">
                <a:solidFill>
                  <a:schemeClr val="tx1">
                    <a:lumMod val="65000"/>
                    <a:lumOff val="35000"/>
                  </a:schemeClr>
                </a:solidFill>
                <a:latin typeface="Palatino Linotype" panose="02040502050505030304" pitchFamily="18" charset="0"/>
                <a:ea typeface="+mn-ea"/>
                <a:cs typeface="Arial" panose="020B0604020202020204" pitchFamily="2" charset="0"/>
              </a:defRPr>
            </a:pPr>
            <a:endParaRPr lang="en-US"/>
          </a:p>
        </c:txPr>
        <c:crossAx val="621824904"/>
        <c:crosses val="autoZero"/>
        <c:crossBetween val="between"/>
      </c:valAx>
      <c:spPr>
        <a:noFill/>
        <a:ln w="25400">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lang="en-US"/>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FRONDOC-1086935359-10120</_dlc_DocId>
    <_dlc_DocIdUrl xmlns="26005759-6815-4540-b8ea-913958d74f23">
      <Url>https://frontiersin.sharepoint.com/Publishing/PubOps/Production/_layouts/15/DocIdRedir.aspx?ID=FRONDOC-1086935359-10120</Url>
      <Description>FRONDOC-1086935359-10120</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6fd1d3709ebdae3c6e0eeb2d23db798b">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830d6d9b807b871f8ec19ed92d251fd0"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47FD6E-73F0-4542-8474-D6680317EFD1}">
  <ds:schemaRefs>
    <ds:schemaRef ds:uri="http://schemas.microsoft.com/sharepoint/v3/contenttype/forms"/>
  </ds:schemaRefs>
</ds:datastoreItem>
</file>

<file path=customXml/itemProps2.xml><?xml version="1.0" encoding="utf-8"?>
<ds:datastoreItem xmlns:ds="http://schemas.openxmlformats.org/officeDocument/2006/customXml" ds:itemID="{3EE826D9-E96D-4EC9-B59D-4FECA4F5EBE6}">
  <ds:schemaRefs>
    <ds:schemaRef ds:uri="http://schemas.openxmlformats.org/officeDocument/2006/bibliography"/>
  </ds:schemaRefs>
</ds:datastoreItem>
</file>

<file path=customXml/itemProps3.xml><?xml version="1.0" encoding="utf-8"?>
<ds:datastoreItem xmlns:ds="http://schemas.openxmlformats.org/officeDocument/2006/customXml" ds:itemID="{C80633FE-2C4D-43D3-9027-7B70B5BC8799}">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51F9E78B-9130-4244-A349-202827F2937E}">
  <ds:schemaRefs>
    <ds:schemaRef ds:uri="http://schemas.microsoft.com/sharepoint/events"/>
  </ds:schemaRefs>
</ds:datastoreItem>
</file>

<file path=customXml/itemProps5.xml><?xml version="1.0" encoding="utf-8"?>
<ds:datastoreItem xmlns:ds="http://schemas.openxmlformats.org/officeDocument/2006/customXml" ds:itemID="{37D19558-80B8-407F-9A85-A5582859BF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frontiers_template</Template>
  <TotalTime>6</TotalTime>
  <Pages>29</Pages>
  <Words>137900</Words>
  <Characters>786035</Characters>
  <Application>Microsoft Office Word</Application>
  <DocSecurity>0</DocSecurity>
  <Lines>6550</Lines>
  <Paragraphs>1844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dc:creator>
  <cp:keywords/>
  <dc:description/>
  <cp:lastModifiedBy>Brian Godman</cp:lastModifiedBy>
  <cp:revision>3</cp:revision>
  <cp:lastPrinted>2025-08-10T20:50:00Z</cp:lastPrinted>
  <dcterms:created xsi:type="dcterms:W3CDTF">2025-08-12T12:56:00Z</dcterms:created>
  <dcterms:modified xsi:type="dcterms:W3CDTF">2025-08-12T13:00:00Z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1f20ac40-4545-4ae8-9e88-2ffc72570862</vt:lpwstr>
  </property>
  <property fmtid="{D5CDD505-2E9C-101B-9397-08002B2CF9AE}" pid="4" name="Order">
    <vt:r8>1012000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Mendeley Recent Style Id 0_1">
    <vt:lpwstr>http://www.zotero.org/styles/apa</vt:lpwstr>
  </property>
  <property fmtid="{D5CDD505-2E9C-101B-9397-08002B2CF9AE}" pid="11" name="Mendeley Recent Style Name 0_1">
    <vt:lpwstr>American Psychological Association 7th edition</vt:lpwstr>
  </property>
  <property fmtid="{D5CDD505-2E9C-101B-9397-08002B2CF9AE}" pid="12" name="Mendeley Recent Style Id 1_1">
    <vt:lpwstr>http://www.zotero.org/styles/harvard1</vt:lpwstr>
  </property>
  <property fmtid="{D5CDD505-2E9C-101B-9397-08002B2CF9AE}" pid="13" name="Mendeley Recent Style Name 1_1">
    <vt:lpwstr>Harvard reference format 1 (deprecated)</vt:lpwstr>
  </property>
  <property fmtid="{D5CDD505-2E9C-101B-9397-08002B2CF9AE}" pid="14" name="Mendeley Recent Style Id 2_1">
    <vt:lpwstr>http://www.zotero.org/styles/jama</vt:lpwstr>
  </property>
  <property fmtid="{D5CDD505-2E9C-101B-9397-08002B2CF9AE}" pid="15" name="Mendeley Recent Style Name 2_1">
    <vt:lpwstr>JAMA (The Journal of the American Medical Association)</vt:lpwstr>
  </property>
  <property fmtid="{D5CDD505-2E9C-101B-9397-08002B2CF9AE}" pid="16" name="Mendeley Recent Style Id 3_1">
    <vt:lpwstr>http://csl.mendeley.com/styles/540978001/journal-of-antimicrobial-chemotherapy-StewardMMPhD</vt:lpwstr>
  </property>
  <property fmtid="{D5CDD505-2E9C-101B-9397-08002B2CF9AE}" pid="17" name="Mendeley Recent Style Name 3_1">
    <vt:lpwstr>Journal of Antimicrobial Chemotherapy - Steward Mudenda</vt:lpwstr>
  </property>
  <property fmtid="{D5CDD505-2E9C-101B-9397-08002B2CF9AE}" pid="18" name="Mendeley Recent Style Id 4_1">
    <vt:lpwstr>http://www.zotero.org/styles/nature</vt:lpwstr>
  </property>
  <property fmtid="{D5CDD505-2E9C-101B-9397-08002B2CF9AE}" pid="19" name="Mendeley Recent Style Name 4_1">
    <vt:lpwstr>Nature</vt:lpwstr>
  </property>
  <property fmtid="{D5CDD505-2E9C-101B-9397-08002B2CF9AE}" pid="20" name="Mendeley Recent Style Id 5_1">
    <vt:lpwstr>http://www.zotero.org/styles/plos-one</vt:lpwstr>
  </property>
  <property fmtid="{D5CDD505-2E9C-101B-9397-08002B2CF9AE}" pid="21" name="Mendeley Recent Style Name 5_1">
    <vt:lpwstr>PLOS ONE</vt:lpwstr>
  </property>
  <property fmtid="{D5CDD505-2E9C-101B-9397-08002B2CF9AE}" pid="22" name="Mendeley Recent Style Id 6_1">
    <vt:lpwstr>http://www.zotero.org/styles/university-of-york-harvard-environment</vt:lpwstr>
  </property>
  <property fmtid="{D5CDD505-2E9C-101B-9397-08002B2CF9AE}" pid="23" name="Mendeley Recent Style Name 6_1">
    <vt:lpwstr>University of York - Harvard - Environment</vt:lpwstr>
  </property>
  <property fmtid="{D5CDD505-2E9C-101B-9397-08002B2CF9AE}" pid="24" name="Mendeley Recent Style Id 7_1">
    <vt:lpwstr>http://csl.mendeley.com/styles/540978001/university-of-york-harvard-environment-SM3</vt:lpwstr>
  </property>
  <property fmtid="{D5CDD505-2E9C-101B-9397-08002B2CF9AE}" pid="25" name="Mendeley Recent Style Name 7_1">
    <vt:lpwstr>University of York - Harvard - Environment - Steward Mudenda</vt:lpwstr>
  </property>
  <property fmtid="{D5CDD505-2E9C-101B-9397-08002B2CF9AE}" pid="26" name="Mendeley Recent Style Id 8_1">
    <vt:lpwstr>http://www.zotero.org/styles/vaccines</vt:lpwstr>
  </property>
  <property fmtid="{D5CDD505-2E9C-101B-9397-08002B2CF9AE}" pid="27" name="Mendeley Recent Style Name 8_1">
    <vt:lpwstr>Vaccines</vt:lpwstr>
  </property>
  <property fmtid="{D5CDD505-2E9C-101B-9397-08002B2CF9AE}" pid="28" name="Mendeley Recent Style Id 9_1">
    <vt:lpwstr>http://csl.mendeley.com/styles/540978001/vancouver-Steward</vt:lpwstr>
  </property>
  <property fmtid="{D5CDD505-2E9C-101B-9397-08002B2CF9AE}" pid="29" name="Mendeley Recent Style Name 9_1">
    <vt:lpwstr>Vancouver - Steward Mudenda, PhD - Steward Mudenda</vt:lpwstr>
  </property>
  <property fmtid="{D5CDD505-2E9C-101B-9397-08002B2CF9AE}" pid="30" name="Mendeley Document_1">
    <vt:lpwstr>True</vt:lpwstr>
  </property>
  <property fmtid="{D5CDD505-2E9C-101B-9397-08002B2CF9AE}" pid="31" name="Mendeley Unique User Id_1">
    <vt:lpwstr>1ef05d3d-ba8d-3d99-83a1-951a0614bbac</vt:lpwstr>
  </property>
  <property fmtid="{D5CDD505-2E9C-101B-9397-08002B2CF9AE}" pid="32" name="Mendeley Citation Style_1">
    <vt:lpwstr>http://csl.mendeley.com/styles/540978001/vancouver-Steward</vt:lpwstr>
  </property>
</Properties>
</file>